
<file path=[Content_Types].xml><?xml version="1.0" encoding="utf-8"?>
<Types xmlns="http://schemas.openxmlformats.org/package/2006/content-types">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theme/themeOverride1.xml" ContentType="application/vnd.openxmlformats-officedocument.themeOverrid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theme/themeOverride2.xml" ContentType="application/vnd.openxmlformats-officedocument.themeOverride+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theme/themeOverride3.xml" ContentType="application/vnd.openxmlformats-officedocument.themeOverride+xml"/>
  <Override PartName="/word/charts/chart4.xml" ContentType="application/vnd.openxmlformats-officedocument.drawingml.chart+xml"/>
  <Override PartName="/word/charts/style4.xml" ContentType="application/vnd.ms-office.chartstyle+xml"/>
  <Override PartName="/word/charts/colors4.xml" ContentType="application/vnd.ms-office.chartcolorstyle+xml"/>
  <Override PartName="/word/theme/themeOverride4.xml" ContentType="application/vnd.openxmlformats-officedocument.themeOverride+xml"/>
  <Override PartName="/word/charts/chart5.xml" ContentType="application/vnd.openxmlformats-officedocument.drawingml.chart+xml"/>
  <Override PartName="/word/charts/style5.xml" ContentType="application/vnd.ms-office.chartstyle+xml"/>
  <Override PartName="/word/charts/colors5.xml" ContentType="application/vnd.ms-office.chartcolorstyle+xml"/>
  <Override PartName="/word/theme/themeOverride5.xml" ContentType="application/vnd.openxmlformats-officedocument.themeOverride+xml"/>
  <Override PartName="/word/charts/chart6.xml" ContentType="application/vnd.openxmlformats-officedocument.drawingml.chart+xml"/>
  <Override PartName="/word/charts/style6.xml" ContentType="application/vnd.ms-office.chartstyle+xml"/>
  <Override PartName="/word/charts/colors6.xml" ContentType="application/vnd.ms-office.chartcolorstyle+xml"/>
  <Override PartName="/word/theme/themeOverride6.xml" ContentType="application/vnd.openxmlformats-officedocument.themeOverride+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626914A" w14:textId="77777777" w:rsidR="00963A30" w:rsidRDefault="00985EA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spacing w:line="360" w:lineRule="auto"/>
        <w:jc w:val="center"/>
        <w:rPr>
          <w:b/>
          <w:bCs/>
          <w:sz w:val="24"/>
          <w:szCs w:val="24"/>
          <w:lang w:eastAsia="en-ID"/>
        </w:rPr>
      </w:pPr>
      <w:r>
        <w:rPr>
          <w:b/>
          <w:bCs/>
          <w:sz w:val="24"/>
          <w:szCs w:val="24"/>
          <w:lang w:eastAsia="en-ID"/>
        </w:rPr>
        <w:t xml:space="preserve">SYNCHRONIZED UREA-SULFUR SUPPLEMENTATION MODULATES RUMEN FERMENTATION KINETICS, NUTRIENTS DIGESTIBILITY, AND VOLATILE FATTY ACID PROFILE IN CORN STRAW-CASSAVA PEEL RATIONS </w:t>
      </w:r>
    </w:p>
    <w:p w14:paraId="20A0AE82" w14:textId="77777777" w:rsidR="00963A30" w:rsidRDefault="00963A3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jc w:val="center"/>
        <w:rPr>
          <w:b/>
          <w:bCs/>
          <w:sz w:val="24"/>
          <w:szCs w:val="24"/>
          <w:lang w:eastAsia="en-ID"/>
        </w:rPr>
      </w:pPr>
    </w:p>
    <w:p w14:paraId="4F5376E9" w14:textId="77777777" w:rsidR="00963A30" w:rsidRDefault="00985EA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spacing w:after="240" w:line="360" w:lineRule="auto"/>
        <w:jc w:val="center"/>
        <w:rPr>
          <w:sz w:val="24"/>
          <w:szCs w:val="24"/>
          <w:lang w:eastAsia="en-ID"/>
        </w:rPr>
      </w:pPr>
      <w:r>
        <w:rPr>
          <w:sz w:val="24"/>
          <w:szCs w:val="24"/>
          <w:lang w:eastAsia="en-ID"/>
        </w:rPr>
        <w:t>Fauzia Agustin</w:t>
      </w:r>
      <w:r>
        <w:rPr>
          <w:sz w:val="24"/>
          <w:szCs w:val="24"/>
          <w:vertAlign w:val="superscript"/>
          <w:lang w:eastAsia="en-ID"/>
        </w:rPr>
        <w:t>1*</w:t>
      </w:r>
      <w:r>
        <w:rPr>
          <w:sz w:val="24"/>
          <w:szCs w:val="24"/>
          <w:lang w:eastAsia="en-ID"/>
        </w:rPr>
        <w:t>, Elihasridas</w:t>
      </w:r>
      <w:r>
        <w:rPr>
          <w:sz w:val="24"/>
          <w:szCs w:val="24"/>
          <w:vertAlign w:val="superscript"/>
          <w:lang w:eastAsia="en-ID"/>
        </w:rPr>
        <w:t>1</w:t>
      </w:r>
      <w:r>
        <w:rPr>
          <w:sz w:val="24"/>
          <w:szCs w:val="24"/>
          <w:lang w:eastAsia="en-ID"/>
        </w:rPr>
        <w:t>, Roni Pazla</w:t>
      </w:r>
      <w:r>
        <w:rPr>
          <w:sz w:val="24"/>
          <w:szCs w:val="24"/>
          <w:vertAlign w:val="superscript"/>
          <w:lang w:eastAsia="en-ID"/>
        </w:rPr>
        <w:t>1</w:t>
      </w:r>
      <w:r>
        <w:rPr>
          <w:sz w:val="24"/>
          <w:szCs w:val="24"/>
          <w:lang w:eastAsia="en-ID"/>
        </w:rPr>
        <w:t>, Giant Kapri Pasha</w:t>
      </w:r>
      <w:r>
        <w:rPr>
          <w:sz w:val="24"/>
          <w:szCs w:val="24"/>
          <w:vertAlign w:val="superscript"/>
          <w:lang w:eastAsia="en-ID"/>
        </w:rPr>
        <w:t>2</w:t>
      </w:r>
      <w:r>
        <w:rPr>
          <w:sz w:val="24"/>
          <w:szCs w:val="24"/>
          <w:lang w:eastAsia="en-ID"/>
        </w:rPr>
        <w:t>, M. Farhan Furqani</w:t>
      </w:r>
      <w:r>
        <w:rPr>
          <w:sz w:val="24"/>
          <w:szCs w:val="24"/>
          <w:vertAlign w:val="superscript"/>
          <w:lang w:eastAsia="en-ID"/>
        </w:rPr>
        <w:t xml:space="preserve">2 </w:t>
      </w:r>
      <w:r>
        <w:rPr>
          <w:sz w:val="24"/>
          <w:szCs w:val="24"/>
          <w:lang w:eastAsia="en-ID"/>
        </w:rPr>
        <w:t>and Dede Wirdani</w:t>
      </w:r>
      <w:r>
        <w:rPr>
          <w:sz w:val="24"/>
          <w:szCs w:val="24"/>
          <w:vertAlign w:val="superscript"/>
          <w:lang w:eastAsia="en-ID"/>
        </w:rPr>
        <w:t>2</w:t>
      </w:r>
      <w:r>
        <w:rPr>
          <w:sz w:val="24"/>
          <w:szCs w:val="24"/>
          <w:lang w:eastAsia="en-ID"/>
        </w:rPr>
        <w:t xml:space="preserve">   </w:t>
      </w:r>
    </w:p>
    <w:p w14:paraId="50059FA3" w14:textId="5E2C1412" w:rsidR="00963A30" w:rsidRDefault="00985EA0">
      <w:pPr>
        <w:pStyle w:val="Default"/>
        <w:spacing w:line="360" w:lineRule="auto"/>
        <w:jc w:val="center"/>
      </w:pPr>
      <w:r>
        <w:rPr>
          <w:vertAlign w:val="superscript"/>
        </w:rPr>
        <w:t>1</w:t>
      </w:r>
      <w:r>
        <w:t>Department of Animal Nutrition and Feed Technology, Faculty</w:t>
      </w:r>
      <w:r w:rsidR="002D79E0">
        <w:t xml:space="preserve"> of </w:t>
      </w:r>
      <w:r w:rsidR="002D79E0">
        <w:t>Animal Science</w:t>
      </w:r>
      <w:r>
        <w:t>, Universitas Andalas, Kampus Limau Manis, Padang, West Sumatera, Indonesia</w:t>
      </w:r>
    </w:p>
    <w:p w14:paraId="02CA05A3" w14:textId="2B529A26" w:rsidR="00963A30" w:rsidRDefault="00985EA0">
      <w:pPr>
        <w:widowControl/>
        <w:autoSpaceDE/>
        <w:autoSpaceDN/>
        <w:spacing w:line="360" w:lineRule="auto"/>
        <w:jc w:val="center"/>
        <w:rPr>
          <w:bCs/>
          <w:sz w:val="24"/>
          <w:szCs w:val="24"/>
          <w:lang w:val="id-ID"/>
        </w:rPr>
      </w:pPr>
      <w:r>
        <w:rPr>
          <w:bCs/>
          <w:sz w:val="24"/>
          <w:szCs w:val="24"/>
          <w:vertAlign w:val="superscript"/>
          <w:lang w:val="id-ID"/>
        </w:rPr>
        <w:t>2</w:t>
      </w:r>
      <w:r>
        <w:rPr>
          <w:bCs/>
          <w:sz w:val="24"/>
          <w:szCs w:val="24"/>
          <w:lang w:val="id-ID"/>
        </w:rPr>
        <w:t>Under</w:t>
      </w:r>
      <w:r>
        <w:rPr>
          <w:bCs/>
          <w:sz w:val="24"/>
          <w:szCs w:val="24"/>
          <w:lang w:val="en-US"/>
        </w:rPr>
        <w:t>graduate Student, Department of Animal Nutrition,</w:t>
      </w:r>
      <w:r>
        <w:rPr>
          <w:bCs/>
          <w:sz w:val="24"/>
          <w:szCs w:val="24"/>
          <w:lang w:val="id-ID"/>
        </w:rPr>
        <w:t xml:space="preserve"> </w:t>
      </w:r>
      <w:r w:rsidR="007F4B86">
        <w:t>Faculty of Animal Science</w:t>
      </w:r>
      <w:r>
        <w:rPr>
          <w:bCs/>
          <w:sz w:val="24"/>
          <w:szCs w:val="24"/>
          <w:lang w:val="en-US"/>
        </w:rPr>
        <w:t>, Universitas Andalas, Kampus Limau Manis, Padang, West Sumatera, Indonesia</w:t>
      </w:r>
    </w:p>
    <w:p w14:paraId="1B46F464" w14:textId="77777777" w:rsidR="00963A30" w:rsidRDefault="00985EA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spacing w:before="240" w:line="360" w:lineRule="auto"/>
        <w:jc w:val="center"/>
        <w:rPr>
          <w:sz w:val="24"/>
          <w:szCs w:val="24"/>
        </w:rPr>
      </w:pPr>
      <w:r>
        <w:rPr>
          <w:b/>
          <w:bCs/>
          <w:i/>
          <w:iCs/>
          <w:sz w:val="24"/>
          <w:szCs w:val="24"/>
        </w:rPr>
        <w:t>*</w:t>
      </w:r>
      <w:r>
        <w:rPr>
          <w:i/>
          <w:iCs/>
          <w:sz w:val="24"/>
          <w:szCs w:val="24"/>
        </w:rPr>
        <w:t>Corresponding author:</w:t>
      </w:r>
      <w:r>
        <w:rPr>
          <w:b/>
          <w:bCs/>
          <w:sz w:val="24"/>
          <w:szCs w:val="24"/>
        </w:rPr>
        <w:t xml:space="preserve"> </w:t>
      </w:r>
      <w:hyperlink r:id="rId6" w:history="1">
        <w:r>
          <w:rPr>
            <w:rStyle w:val="Hyperlink"/>
            <w:sz w:val="24"/>
            <w:szCs w:val="24"/>
          </w:rPr>
          <w:t>fauziaagustin@ansci.unand.ac.id</w:t>
        </w:r>
      </w:hyperlink>
      <w:bookmarkStart w:id="0" w:name="_Hlk210897648"/>
    </w:p>
    <w:bookmarkEnd w:id="0"/>
    <w:p w14:paraId="0C1A6053" w14:textId="77777777" w:rsidR="00963A30" w:rsidRDefault="00963A3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jc w:val="both"/>
        <w:rPr>
          <w:sz w:val="24"/>
          <w:szCs w:val="24"/>
          <w:lang w:eastAsia="en-ID"/>
        </w:rPr>
      </w:pPr>
    </w:p>
    <w:p w14:paraId="6AEDF8E9" w14:textId="77777777" w:rsidR="00963A30" w:rsidRDefault="00985EA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spacing w:after="240" w:line="360" w:lineRule="auto"/>
        <w:rPr>
          <w:b/>
          <w:bCs/>
          <w:sz w:val="24"/>
          <w:szCs w:val="24"/>
          <w:lang w:eastAsia="en-ID"/>
        </w:rPr>
      </w:pPr>
      <w:r>
        <w:rPr>
          <w:b/>
          <w:bCs/>
          <w:sz w:val="24"/>
          <w:szCs w:val="24"/>
          <w:lang w:eastAsia="en-ID"/>
        </w:rPr>
        <w:t>ORCID dan Email</w:t>
      </w:r>
    </w:p>
    <w:tbl>
      <w:tblPr>
        <w:tblStyle w:val="TableGrid"/>
        <w:tblW w:w="913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57"/>
        <w:gridCol w:w="4043"/>
        <w:gridCol w:w="3136"/>
      </w:tblGrid>
      <w:tr w:rsidR="00963A30" w14:paraId="47292843" w14:textId="77777777" w:rsidTr="005A43A0">
        <w:trPr>
          <w:trHeight w:val="836"/>
        </w:trPr>
        <w:tc>
          <w:tcPr>
            <w:tcW w:w="2242" w:type="dxa"/>
          </w:tcPr>
          <w:p w14:paraId="4672FBA7" w14:textId="77777777" w:rsidR="00963A30" w:rsidRDefault="00985EA0">
            <w:pPr>
              <w:pStyle w:val="jbd-Pendahul10"/>
              <w:spacing w:before="0" w:after="0" w:line="360" w:lineRule="auto"/>
              <w:ind w:left="-108"/>
              <w:jc w:val="both"/>
              <w:rPr>
                <w:rFonts w:cs="Times New Roman"/>
                <w:caps w:val="0"/>
                <w:sz w:val="24"/>
                <w:szCs w:val="24"/>
                <w:lang w:val="en-US"/>
              </w:rPr>
            </w:pPr>
            <w:r>
              <w:rPr>
                <w:rFonts w:cs="Times New Roman"/>
                <w:b w:val="0"/>
                <w:bCs w:val="0"/>
                <w:caps w:val="0"/>
                <w:sz w:val="24"/>
                <w:szCs w:val="24"/>
                <w:lang w:val="en-US"/>
              </w:rPr>
              <w:t>Fauzia Agustin</w:t>
            </w:r>
          </w:p>
        </w:tc>
        <w:tc>
          <w:tcPr>
            <w:tcW w:w="3483" w:type="dxa"/>
          </w:tcPr>
          <w:p w14:paraId="442D1CFF" w14:textId="500EFCA3" w:rsidR="00963A30" w:rsidRPr="002B1B9D" w:rsidRDefault="007F4B86">
            <w:pPr>
              <w:pStyle w:val="jbd-Pendahul10"/>
              <w:spacing w:before="0" w:after="0" w:line="360" w:lineRule="auto"/>
              <w:jc w:val="both"/>
              <w:rPr>
                <w:rFonts w:cs="Times New Roman"/>
                <w:b w:val="0"/>
                <w:bCs w:val="0"/>
                <w:caps w:val="0"/>
                <w:sz w:val="24"/>
                <w:szCs w:val="24"/>
                <w:lang w:val="en-US"/>
              </w:rPr>
            </w:pPr>
            <w:hyperlink r:id="rId7" w:history="1">
              <w:r w:rsidR="00C25300" w:rsidRPr="002B1B9D">
                <w:rPr>
                  <w:rStyle w:val="Hyperlink"/>
                  <w:rFonts w:cs="Times New Roman"/>
                  <w:b w:val="0"/>
                  <w:bCs w:val="0"/>
                  <w:caps w:val="0"/>
                  <w:color w:val="auto"/>
                  <w:sz w:val="24"/>
                  <w:szCs w:val="24"/>
                  <w:u w:val="none"/>
                  <w:lang w:val="en-US"/>
                </w:rPr>
                <w:t>fauziaaagustin@ansci.unand.ac.id</w:t>
              </w:r>
            </w:hyperlink>
          </w:p>
        </w:tc>
        <w:tc>
          <w:tcPr>
            <w:tcW w:w="3411" w:type="dxa"/>
          </w:tcPr>
          <w:p w14:paraId="11BE289F" w14:textId="6DE28418" w:rsidR="00963A30" w:rsidRPr="00C25300" w:rsidRDefault="007F4B86">
            <w:pPr>
              <w:pStyle w:val="jbd-nam"/>
              <w:spacing w:before="0" w:line="360" w:lineRule="auto"/>
              <w:jc w:val="both"/>
              <w:rPr>
                <w:rFonts w:cs="Times New Roman"/>
                <w:b w:val="0"/>
                <w:bCs w:val="0"/>
                <w:caps w:val="0"/>
                <w:sz w:val="24"/>
                <w:szCs w:val="24"/>
                <w:vertAlign w:val="superscript"/>
                <w:lang w:val="en-US"/>
              </w:rPr>
            </w:pPr>
            <w:hyperlink r:id="rId8" w:history="1">
              <w:r w:rsidR="00C25300" w:rsidRPr="00C25300">
                <w:rPr>
                  <w:rStyle w:val="Hyperlink"/>
                  <w:rFonts w:cs="Times New Roman"/>
                  <w:b w:val="0"/>
                  <w:bCs w:val="0"/>
                  <w:caps w:val="0"/>
                  <w:color w:val="auto"/>
                  <w:sz w:val="24"/>
                  <w:szCs w:val="24"/>
                  <w:u w:val="none"/>
                  <w:lang w:val="en-US"/>
                </w:rPr>
                <w:t>https://orcid</w:t>
              </w:r>
            </w:hyperlink>
            <w:r w:rsidR="00985EA0" w:rsidRPr="00C25300">
              <w:rPr>
                <w:rFonts w:cs="Times New Roman"/>
                <w:b w:val="0"/>
                <w:bCs w:val="0"/>
                <w:caps w:val="0"/>
                <w:sz w:val="24"/>
                <w:szCs w:val="24"/>
                <w:lang w:val="en-US"/>
              </w:rPr>
              <w:t>.org/0009-0000-1651-2295</w:t>
            </w:r>
          </w:p>
        </w:tc>
      </w:tr>
      <w:tr w:rsidR="00963A30" w14:paraId="21F447E5" w14:textId="77777777" w:rsidTr="005A43A0">
        <w:trPr>
          <w:trHeight w:val="836"/>
        </w:trPr>
        <w:tc>
          <w:tcPr>
            <w:tcW w:w="2242" w:type="dxa"/>
          </w:tcPr>
          <w:p w14:paraId="10FA7DA4" w14:textId="77777777" w:rsidR="00963A30" w:rsidRDefault="00985EA0">
            <w:pPr>
              <w:pStyle w:val="jbd-Pendahul10"/>
              <w:spacing w:before="0" w:after="0" w:line="360" w:lineRule="auto"/>
              <w:ind w:left="-108"/>
              <w:jc w:val="both"/>
              <w:rPr>
                <w:rFonts w:cs="Times New Roman"/>
                <w:caps w:val="0"/>
                <w:sz w:val="24"/>
                <w:szCs w:val="24"/>
                <w:lang w:val="en-US"/>
              </w:rPr>
            </w:pPr>
            <w:r>
              <w:rPr>
                <w:rFonts w:cs="Times New Roman"/>
                <w:b w:val="0"/>
                <w:bCs w:val="0"/>
                <w:caps w:val="0"/>
                <w:sz w:val="24"/>
                <w:szCs w:val="24"/>
                <w:lang w:val="en-US"/>
              </w:rPr>
              <w:t>Elihasridas</w:t>
            </w:r>
          </w:p>
        </w:tc>
        <w:tc>
          <w:tcPr>
            <w:tcW w:w="3483" w:type="dxa"/>
          </w:tcPr>
          <w:p w14:paraId="74B2B43F" w14:textId="77777777" w:rsidR="00963A30" w:rsidRDefault="00985EA0">
            <w:pPr>
              <w:pStyle w:val="jbd-Pendahul10"/>
              <w:spacing w:before="0" w:after="0" w:line="360" w:lineRule="auto"/>
              <w:jc w:val="both"/>
              <w:rPr>
                <w:rFonts w:cs="Times New Roman"/>
                <w:b w:val="0"/>
                <w:bCs w:val="0"/>
                <w:caps w:val="0"/>
                <w:sz w:val="24"/>
                <w:szCs w:val="24"/>
                <w:lang w:val="en-US"/>
              </w:rPr>
            </w:pPr>
            <w:r>
              <w:rPr>
                <w:rFonts w:cs="Times New Roman"/>
                <w:b w:val="0"/>
                <w:bCs w:val="0"/>
                <w:caps w:val="0"/>
                <w:sz w:val="24"/>
                <w:szCs w:val="24"/>
                <w:lang w:val="en-US"/>
              </w:rPr>
              <w:t>elihasridas@ansci.unand.ac.id</w:t>
            </w:r>
          </w:p>
        </w:tc>
        <w:tc>
          <w:tcPr>
            <w:tcW w:w="3411" w:type="dxa"/>
          </w:tcPr>
          <w:p w14:paraId="06B9D385" w14:textId="0F843CB9" w:rsidR="00963A30" w:rsidRPr="00C25300" w:rsidRDefault="007F4B86">
            <w:pPr>
              <w:pStyle w:val="jbd-nam"/>
              <w:spacing w:before="0" w:line="360" w:lineRule="auto"/>
              <w:jc w:val="both"/>
              <w:rPr>
                <w:rFonts w:cs="Times New Roman"/>
                <w:b w:val="0"/>
                <w:bCs w:val="0"/>
                <w:caps w:val="0"/>
                <w:sz w:val="24"/>
                <w:szCs w:val="24"/>
                <w:lang w:val="en-US"/>
              </w:rPr>
            </w:pPr>
            <w:hyperlink r:id="rId9" w:history="1">
              <w:r w:rsidR="00C25300" w:rsidRPr="00C25300">
                <w:rPr>
                  <w:rStyle w:val="Hyperlink"/>
                  <w:rFonts w:cs="Times New Roman"/>
                  <w:b w:val="0"/>
                  <w:bCs w:val="0"/>
                  <w:caps w:val="0"/>
                  <w:color w:val="auto"/>
                  <w:sz w:val="24"/>
                  <w:szCs w:val="24"/>
                  <w:u w:val="none"/>
                  <w:lang w:val="en-US"/>
                </w:rPr>
                <w:t>https://orcid</w:t>
              </w:r>
            </w:hyperlink>
            <w:r w:rsidR="00985EA0" w:rsidRPr="00C25300">
              <w:rPr>
                <w:rFonts w:cs="Times New Roman"/>
                <w:b w:val="0"/>
                <w:bCs w:val="0"/>
                <w:caps w:val="0"/>
                <w:sz w:val="24"/>
                <w:szCs w:val="24"/>
                <w:lang w:val="en-US"/>
              </w:rPr>
              <w:t>.org/0009-0000-5081-3657</w:t>
            </w:r>
          </w:p>
        </w:tc>
      </w:tr>
      <w:tr w:rsidR="005A43A0" w14:paraId="102F4E3C" w14:textId="77777777" w:rsidTr="005A43A0">
        <w:trPr>
          <w:trHeight w:val="836"/>
        </w:trPr>
        <w:tc>
          <w:tcPr>
            <w:tcW w:w="2242" w:type="dxa"/>
          </w:tcPr>
          <w:p w14:paraId="560F6DB2" w14:textId="498FD72D" w:rsidR="005A43A0" w:rsidRDefault="005A43A0" w:rsidP="005A43A0">
            <w:pPr>
              <w:pStyle w:val="jbd-Pendahul10"/>
              <w:spacing w:before="0" w:after="0" w:line="360" w:lineRule="auto"/>
              <w:ind w:left="-108"/>
              <w:jc w:val="both"/>
              <w:rPr>
                <w:rFonts w:cs="Times New Roman"/>
                <w:b w:val="0"/>
                <w:bCs w:val="0"/>
                <w:caps w:val="0"/>
                <w:sz w:val="24"/>
                <w:szCs w:val="24"/>
                <w:lang w:val="en-US"/>
              </w:rPr>
            </w:pPr>
            <w:r>
              <w:rPr>
                <w:rFonts w:cs="Times New Roman"/>
                <w:b w:val="0"/>
                <w:bCs w:val="0"/>
                <w:caps w:val="0"/>
                <w:sz w:val="24"/>
                <w:szCs w:val="24"/>
                <w:lang w:val="en-US"/>
              </w:rPr>
              <w:t>Roni Pazla</w:t>
            </w:r>
          </w:p>
        </w:tc>
        <w:tc>
          <w:tcPr>
            <w:tcW w:w="3483" w:type="dxa"/>
          </w:tcPr>
          <w:p w14:paraId="28F03562" w14:textId="2E3EB343" w:rsidR="005A43A0" w:rsidRDefault="005A43A0" w:rsidP="005A43A0">
            <w:pPr>
              <w:pStyle w:val="jbd-Pendahul10"/>
              <w:spacing w:before="0" w:after="0" w:line="360" w:lineRule="auto"/>
              <w:jc w:val="both"/>
              <w:rPr>
                <w:rFonts w:cs="Times New Roman"/>
                <w:b w:val="0"/>
                <w:bCs w:val="0"/>
                <w:caps w:val="0"/>
                <w:sz w:val="24"/>
                <w:szCs w:val="24"/>
                <w:lang w:val="en-US"/>
              </w:rPr>
            </w:pPr>
            <w:r>
              <w:rPr>
                <w:rFonts w:cs="Times New Roman"/>
                <w:b w:val="0"/>
                <w:bCs w:val="0"/>
                <w:caps w:val="0"/>
                <w:sz w:val="24"/>
                <w:szCs w:val="24"/>
                <w:lang w:val="en-US"/>
              </w:rPr>
              <w:t>ronipazla@ansci.unand.ac.id</w:t>
            </w:r>
          </w:p>
        </w:tc>
        <w:tc>
          <w:tcPr>
            <w:tcW w:w="3411" w:type="dxa"/>
          </w:tcPr>
          <w:p w14:paraId="223CC3C6" w14:textId="366FE9FB" w:rsidR="005A43A0" w:rsidRDefault="005A43A0" w:rsidP="005A43A0">
            <w:pPr>
              <w:pStyle w:val="jbd-Pendahul10"/>
              <w:spacing w:before="0" w:after="0" w:line="360" w:lineRule="auto"/>
              <w:jc w:val="both"/>
            </w:pPr>
            <w:r w:rsidRPr="00C25300">
              <w:rPr>
                <w:rFonts w:cs="Times New Roman"/>
                <w:b w:val="0"/>
                <w:bCs w:val="0"/>
                <w:caps w:val="0"/>
                <w:sz w:val="24"/>
                <w:szCs w:val="24"/>
                <w:lang w:val="en-US"/>
              </w:rPr>
              <w:t>https://orcid.org/0000-0003-3240-7596</w:t>
            </w:r>
          </w:p>
        </w:tc>
      </w:tr>
      <w:tr w:rsidR="005A43A0" w14:paraId="29D46DBD" w14:textId="77777777" w:rsidTr="005A43A0">
        <w:trPr>
          <w:trHeight w:val="836"/>
        </w:trPr>
        <w:tc>
          <w:tcPr>
            <w:tcW w:w="2242" w:type="dxa"/>
          </w:tcPr>
          <w:p w14:paraId="091974C6" w14:textId="7C72255E" w:rsidR="005A43A0" w:rsidRDefault="005A43A0" w:rsidP="005A43A0">
            <w:pPr>
              <w:pStyle w:val="jbd-Pendahul10"/>
              <w:spacing w:before="0" w:after="0" w:line="360" w:lineRule="auto"/>
              <w:ind w:left="-108"/>
              <w:jc w:val="both"/>
              <w:rPr>
                <w:rFonts w:cs="Times New Roman"/>
                <w:b w:val="0"/>
                <w:bCs w:val="0"/>
                <w:caps w:val="0"/>
                <w:sz w:val="24"/>
                <w:szCs w:val="24"/>
                <w:lang w:val="en-US"/>
              </w:rPr>
            </w:pPr>
            <w:r>
              <w:rPr>
                <w:rFonts w:cs="Times New Roman"/>
                <w:b w:val="0"/>
                <w:bCs w:val="0"/>
                <w:caps w:val="0"/>
                <w:sz w:val="24"/>
                <w:szCs w:val="24"/>
                <w:lang w:val="en-US"/>
              </w:rPr>
              <w:t>Giant Kapri Pasya</w:t>
            </w:r>
          </w:p>
        </w:tc>
        <w:tc>
          <w:tcPr>
            <w:tcW w:w="3483" w:type="dxa"/>
          </w:tcPr>
          <w:p w14:paraId="30A18761" w14:textId="4210748B" w:rsidR="005A43A0" w:rsidRDefault="005A43A0" w:rsidP="005A43A0">
            <w:pPr>
              <w:pStyle w:val="jbd-Pendahul10"/>
              <w:spacing w:before="0" w:after="0" w:line="360" w:lineRule="auto"/>
              <w:jc w:val="both"/>
              <w:rPr>
                <w:rFonts w:cs="Times New Roman"/>
                <w:b w:val="0"/>
                <w:bCs w:val="0"/>
                <w:caps w:val="0"/>
                <w:sz w:val="24"/>
                <w:szCs w:val="24"/>
                <w:lang w:val="en-US"/>
              </w:rPr>
            </w:pPr>
            <w:r>
              <w:rPr>
                <w:rFonts w:cs="Times New Roman"/>
                <w:b w:val="0"/>
                <w:bCs w:val="0"/>
                <w:caps w:val="0"/>
                <w:sz w:val="24"/>
                <w:szCs w:val="24"/>
                <w:lang w:val="en-US"/>
              </w:rPr>
              <w:t>giantkapripasya1@gmail.com</w:t>
            </w:r>
          </w:p>
        </w:tc>
        <w:tc>
          <w:tcPr>
            <w:tcW w:w="3411" w:type="dxa"/>
          </w:tcPr>
          <w:p w14:paraId="0C53D9D5" w14:textId="77777777" w:rsidR="005A43A0" w:rsidRDefault="005A43A0" w:rsidP="005A43A0">
            <w:pPr>
              <w:pStyle w:val="jbd-Pendahul10"/>
              <w:spacing w:before="0" w:after="0" w:line="360" w:lineRule="auto"/>
              <w:jc w:val="both"/>
              <w:rPr>
                <w:rFonts w:cs="Times New Roman"/>
                <w:b w:val="0"/>
                <w:bCs w:val="0"/>
                <w:caps w:val="0"/>
                <w:sz w:val="24"/>
                <w:szCs w:val="24"/>
                <w:lang w:val="en-US"/>
              </w:rPr>
            </w:pPr>
            <w:hyperlink r:id="rId10" w:history="1">
              <w:r w:rsidRPr="00C25300">
                <w:rPr>
                  <w:rStyle w:val="Hyperlink"/>
                  <w:rFonts w:cs="Times New Roman"/>
                  <w:b w:val="0"/>
                  <w:bCs w:val="0"/>
                  <w:caps w:val="0"/>
                  <w:color w:val="auto"/>
                  <w:sz w:val="24"/>
                  <w:szCs w:val="24"/>
                  <w:u w:val="none"/>
                  <w:lang w:val="en-US"/>
                </w:rPr>
                <w:t>https://orcid</w:t>
              </w:r>
            </w:hyperlink>
            <w:r w:rsidRPr="00C25300">
              <w:rPr>
                <w:rFonts w:cs="Times New Roman"/>
                <w:b w:val="0"/>
                <w:bCs w:val="0"/>
                <w:caps w:val="0"/>
                <w:sz w:val="24"/>
                <w:szCs w:val="24"/>
                <w:lang w:val="en-US"/>
              </w:rPr>
              <w:t>.org/0000-0003-</w:t>
            </w:r>
          </w:p>
          <w:p w14:paraId="3FD35799" w14:textId="07D871FC" w:rsidR="005A43A0" w:rsidRDefault="005A43A0" w:rsidP="005A43A0">
            <w:pPr>
              <w:pStyle w:val="jbd-Pendahul10"/>
              <w:spacing w:before="0" w:after="0" w:line="360" w:lineRule="auto"/>
              <w:jc w:val="both"/>
              <w:rPr>
                <w:rFonts w:cs="Times New Roman"/>
                <w:b w:val="0"/>
                <w:bCs w:val="0"/>
                <w:caps w:val="0"/>
                <w:sz w:val="24"/>
                <w:szCs w:val="24"/>
                <w:lang w:val="en-US"/>
              </w:rPr>
            </w:pPr>
            <w:r w:rsidRPr="00C25300">
              <w:rPr>
                <w:rFonts w:cs="Times New Roman"/>
                <w:b w:val="0"/>
                <w:bCs w:val="0"/>
                <w:caps w:val="0"/>
                <w:sz w:val="24"/>
                <w:szCs w:val="24"/>
                <w:lang w:val="en-US"/>
              </w:rPr>
              <w:t>1196-6006</w:t>
            </w:r>
          </w:p>
        </w:tc>
      </w:tr>
      <w:tr w:rsidR="005A43A0" w14:paraId="25500E85" w14:textId="77777777" w:rsidTr="005A43A0">
        <w:trPr>
          <w:trHeight w:val="836"/>
        </w:trPr>
        <w:tc>
          <w:tcPr>
            <w:tcW w:w="2242" w:type="dxa"/>
          </w:tcPr>
          <w:p w14:paraId="52274A0F" w14:textId="77777777" w:rsidR="005A43A0" w:rsidRDefault="005A43A0" w:rsidP="005A43A0">
            <w:pPr>
              <w:pStyle w:val="jbd-Pendahul10"/>
              <w:spacing w:before="0" w:after="0" w:line="360" w:lineRule="auto"/>
              <w:ind w:left="-108"/>
              <w:jc w:val="both"/>
              <w:rPr>
                <w:rFonts w:cs="Times New Roman"/>
                <w:caps w:val="0"/>
                <w:sz w:val="24"/>
                <w:szCs w:val="24"/>
                <w:lang w:val="en-US"/>
              </w:rPr>
            </w:pPr>
            <w:r>
              <w:rPr>
                <w:rFonts w:cs="Times New Roman"/>
                <w:b w:val="0"/>
                <w:bCs w:val="0"/>
                <w:caps w:val="0"/>
                <w:sz w:val="24"/>
                <w:szCs w:val="24"/>
                <w:lang w:val="en-US"/>
              </w:rPr>
              <w:t>M. Farhan Furqani</w:t>
            </w:r>
          </w:p>
        </w:tc>
        <w:tc>
          <w:tcPr>
            <w:tcW w:w="3483" w:type="dxa"/>
          </w:tcPr>
          <w:p w14:paraId="48511237" w14:textId="405BFF0C" w:rsidR="005A43A0" w:rsidRDefault="007A37F0" w:rsidP="005A43A0">
            <w:pPr>
              <w:pStyle w:val="jbd-Pendahul10"/>
              <w:spacing w:before="0" w:after="0" w:line="360" w:lineRule="auto"/>
              <w:jc w:val="both"/>
              <w:rPr>
                <w:rFonts w:cs="Times New Roman"/>
                <w:b w:val="0"/>
                <w:bCs w:val="0"/>
                <w:caps w:val="0"/>
                <w:sz w:val="24"/>
                <w:szCs w:val="24"/>
                <w:lang w:val="en-US"/>
              </w:rPr>
            </w:pPr>
            <w:r w:rsidRPr="007A37F0">
              <w:rPr>
                <w:rFonts w:cs="Times New Roman"/>
                <w:b w:val="0"/>
                <w:bCs w:val="0"/>
                <w:caps w:val="0"/>
                <w:sz w:val="24"/>
                <w:szCs w:val="24"/>
                <w:lang w:val="en-US"/>
              </w:rPr>
              <w:t>muhammadfarhan0852963@gmail.com</w:t>
            </w:r>
          </w:p>
        </w:tc>
        <w:tc>
          <w:tcPr>
            <w:tcW w:w="3411" w:type="dxa"/>
          </w:tcPr>
          <w:p w14:paraId="6934AFFB" w14:textId="77777777" w:rsidR="005A43A0" w:rsidRDefault="005A43A0" w:rsidP="005A43A0">
            <w:pPr>
              <w:pStyle w:val="jbd-Pendahul10"/>
              <w:spacing w:before="0" w:after="0" w:line="360" w:lineRule="auto"/>
              <w:jc w:val="both"/>
              <w:rPr>
                <w:rFonts w:cs="Times New Roman"/>
                <w:caps w:val="0"/>
                <w:sz w:val="24"/>
                <w:szCs w:val="24"/>
                <w:lang w:val="en-US"/>
              </w:rPr>
            </w:pPr>
            <w:r>
              <w:rPr>
                <w:rFonts w:cs="Times New Roman"/>
                <w:b w:val="0"/>
                <w:bCs w:val="0"/>
                <w:caps w:val="0"/>
                <w:sz w:val="24"/>
                <w:szCs w:val="24"/>
                <w:lang w:val="en-US"/>
              </w:rPr>
              <w:t>https://orcid.org/0009-0004-8995-507X</w:t>
            </w:r>
          </w:p>
        </w:tc>
      </w:tr>
      <w:tr w:rsidR="005A43A0" w14:paraId="2C2761BD" w14:textId="77777777" w:rsidTr="005A43A0">
        <w:trPr>
          <w:trHeight w:val="836"/>
        </w:trPr>
        <w:tc>
          <w:tcPr>
            <w:tcW w:w="2242" w:type="dxa"/>
          </w:tcPr>
          <w:p w14:paraId="0B49D218" w14:textId="77777777" w:rsidR="005A43A0" w:rsidRDefault="005A43A0" w:rsidP="005A43A0">
            <w:pPr>
              <w:pStyle w:val="jbd-Pendahul10"/>
              <w:spacing w:before="0" w:after="0" w:line="360" w:lineRule="auto"/>
              <w:ind w:left="-108"/>
              <w:jc w:val="both"/>
              <w:rPr>
                <w:rFonts w:cs="Times New Roman"/>
                <w:caps w:val="0"/>
                <w:sz w:val="24"/>
                <w:szCs w:val="24"/>
                <w:lang w:val="en-US"/>
              </w:rPr>
            </w:pPr>
            <w:r>
              <w:rPr>
                <w:rFonts w:cs="Times New Roman"/>
                <w:b w:val="0"/>
                <w:bCs w:val="0"/>
                <w:caps w:val="0"/>
                <w:sz w:val="24"/>
                <w:szCs w:val="24"/>
                <w:lang w:val="en-US"/>
              </w:rPr>
              <w:t>Dede Wirdani</w:t>
            </w:r>
          </w:p>
        </w:tc>
        <w:tc>
          <w:tcPr>
            <w:tcW w:w="3483" w:type="dxa"/>
          </w:tcPr>
          <w:p w14:paraId="2A0DAB07" w14:textId="14AB3A63" w:rsidR="005A43A0" w:rsidRDefault="005A43A0" w:rsidP="005A43A0">
            <w:pPr>
              <w:pStyle w:val="jbd-Pendahul10"/>
              <w:spacing w:before="0" w:after="0" w:line="360" w:lineRule="auto"/>
              <w:jc w:val="both"/>
              <w:rPr>
                <w:rFonts w:cs="Times New Roman"/>
                <w:b w:val="0"/>
                <w:bCs w:val="0"/>
                <w:caps w:val="0"/>
                <w:sz w:val="24"/>
                <w:szCs w:val="24"/>
                <w:lang w:val="en-US"/>
              </w:rPr>
            </w:pPr>
            <w:r>
              <w:rPr>
                <w:rFonts w:cs="Times New Roman"/>
                <w:b w:val="0"/>
                <w:bCs w:val="0"/>
                <w:caps w:val="0"/>
                <w:sz w:val="24"/>
                <w:szCs w:val="24"/>
                <w:lang w:val="en-US"/>
              </w:rPr>
              <w:t>wirdanidede123@gmail.com</w:t>
            </w:r>
          </w:p>
        </w:tc>
        <w:tc>
          <w:tcPr>
            <w:tcW w:w="3411" w:type="dxa"/>
          </w:tcPr>
          <w:p w14:paraId="6966E9E2" w14:textId="77777777" w:rsidR="005A43A0" w:rsidRDefault="005A43A0" w:rsidP="005A43A0">
            <w:pPr>
              <w:pStyle w:val="jbd-Pendahul10"/>
              <w:spacing w:before="0" w:after="0" w:line="360" w:lineRule="auto"/>
              <w:jc w:val="both"/>
              <w:rPr>
                <w:rFonts w:cs="Times New Roman"/>
                <w:caps w:val="0"/>
                <w:sz w:val="24"/>
                <w:szCs w:val="24"/>
                <w:lang w:val="en-US"/>
              </w:rPr>
            </w:pPr>
            <w:r>
              <w:rPr>
                <w:rFonts w:cs="Times New Roman"/>
                <w:b w:val="0"/>
                <w:bCs w:val="0"/>
                <w:caps w:val="0"/>
                <w:sz w:val="24"/>
                <w:szCs w:val="24"/>
                <w:lang w:val="en-US"/>
              </w:rPr>
              <w:t>https://orcid.org/0009-0001-0980-633X</w:t>
            </w:r>
          </w:p>
        </w:tc>
      </w:tr>
    </w:tbl>
    <w:p w14:paraId="7DDD52F1" w14:textId="77777777" w:rsidR="00963A30" w:rsidRDefault="00963A3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spacing w:after="240" w:line="360" w:lineRule="auto"/>
        <w:rPr>
          <w:b/>
          <w:bCs/>
          <w:sz w:val="24"/>
          <w:szCs w:val="24"/>
          <w:lang w:eastAsia="en-ID"/>
        </w:rPr>
      </w:pPr>
    </w:p>
    <w:p w14:paraId="2EC3EC1A" w14:textId="77777777" w:rsidR="00963A30" w:rsidRDefault="00985EA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spacing w:after="240" w:line="360" w:lineRule="auto"/>
        <w:jc w:val="center"/>
        <w:rPr>
          <w:b/>
          <w:bCs/>
          <w:sz w:val="24"/>
          <w:szCs w:val="24"/>
          <w:lang w:eastAsia="en-ID"/>
        </w:rPr>
      </w:pPr>
      <w:r>
        <w:rPr>
          <w:b/>
          <w:bCs/>
          <w:sz w:val="24"/>
          <w:szCs w:val="24"/>
          <w:lang w:eastAsia="en-ID"/>
        </w:rPr>
        <w:t>ABSTRACT</w:t>
      </w:r>
    </w:p>
    <w:p w14:paraId="2D45615C" w14:textId="19301048" w:rsidR="00963A30" w:rsidRDefault="00985EA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spacing w:line="360" w:lineRule="auto"/>
        <w:jc w:val="both"/>
        <w:rPr>
          <w:sz w:val="24"/>
          <w:szCs w:val="24"/>
          <w:lang w:eastAsia="en-ID"/>
        </w:rPr>
      </w:pPr>
      <w:r>
        <w:rPr>
          <w:sz w:val="24"/>
          <w:szCs w:val="24"/>
          <w:lang w:eastAsia="en-ID"/>
        </w:rPr>
        <w:t xml:space="preserve">This research aimed to evaluated the effect of synchronized urea and sulfur supplementation on rumen fermentation kinetics, nutrients degradability, and microbial population dynamics.  </w:t>
      </w:r>
      <w:r>
        <w:rPr>
          <w:rStyle w:val="y2iqfc"/>
          <w:sz w:val="24"/>
          <w:szCs w:val="24"/>
        </w:rPr>
        <w:t xml:space="preserve">The research was conducted with a randomized block design, consisting of seven treatments and four groups. The treatments were the addition of several levels of urea, sulfur and their </w:t>
      </w:r>
      <w:r>
        <w:rPr>
          <w:rStyle w:val="y2iqfc"/>
          <w:sz w:val="24"/>
          <w:szCs w:val="24"/>
        </w:rPr>
        <w:lastRenderedPageBreak/>
        <w:t>combination into the basal ration containing 30% corn straw and 30% cassava peel, namely: R1=basal ration (control treatment); R2=addition of 0.5% urea; R</w:t>
      </w:r>
      <w:r w:rsidR="0003299C">
        <w:rPr>
          <w:rStyle w:val="y2iqfc"/>
          <w:sz w:val="24"/>
          <w:szCs w:val="24"/>
        </w:rPr>
        <w:t>3</w:t>
      </w:r>
      <w:r>
        <w:rPr>
          <w:rStyle w:val="y2iqfc"/>
          <w:sz w:val="24"/>
          <w:szCs w:val="24"/>
        </w:rPr>
        <w:t xml:space="preserve">=addition of 1% urea; </w:t>
      </w:r>
      <w:r w:rsidR="0003299C">
        <w:rPr>
          <w:rStyle w:val="y2iqfc"/>
          <w:sz w:val="24"/>
          <w:szCs w:val="24"/>
        </w:rPr>
        <w:t>R</w:t>
      </w:r>
      <w:r>
        <w:rPr>
          <w:rStyle w:val="y2iqfc"/>
          <w:sz w:val="24"/>
          <w:szCs w:val="24"/>
        </w:rPr>
        <w:t xml:space="preserve">4=addition of 0.1% sulfur; R5=addition of 0.2%; R6=addition of 1% urea +0.1% sulfur; R7=addition 1% urea + 0.2% sulfur.  </w:t>
      </w:r>
      <w:r>
        <w:rPr>
          <w:sz w:val="24"/>
          <w:szCs w:val="24"/>
          <w:lang w:eastAsia="en-ID"/>
        </w:rPr>
        <w:t xml:space="preserve">The treatments had highly significant effects (P&gt;0.01) on nutrients digestibility, ammonia concentration, total </w:t>
      </w:r>
      <w:r w:rsidR="00743224">
        <w:rPr>
          <w:sz w:val="24"/>
          <w:szCs w:val="24"/>
          <w:lang w:eastAsia="en-ID"/>
        </w:rPr>
        <w:t>VFA</w:t>
      </w:r>
      <w:r>
        <w:rPr>
          <w:sz w:val="24"/>
          <w:szCs w:val="24"/>
          <w:lang w:eastAsia="en-ID"/>
        </w:rPr>
        <w:t xml:space="preserve">, protozoa population and acetic acid production. Meanwhile, microbial biomass and protein synthesis did not differ significantly (P&gt;0.05). The addition of urea and sulfur maintained the rumen fluid pH between 6.8 and 6.9. In conclusion, synchronized urea and sulfur supply successfully optimized the rumen ecosystem on a high-fiber-starch ration, </w:t>
      </w:r>
      <w:r>
        <w:rPr>
          <w:rStyle w:val="y2iqfc"/>
          <w:sz w:val="24"/>
          <w:szCs w:val="24"/>
        </w:rPr>
        <w:t xml:space="preserve">containing 30% corn straw and cassava peel, respectively. </w:t>
      </w:r>
      <w:r>
        <w:rPr>
          <w:sz w:val="24"/>
          <w:szCs w:val="24"/>
          <w:lang w:eastAsia="en-ID"/>
        </w:rPr>
        <w:t xml:space="preserve">The optimum level of urea and sulfur addition was achieved at a combination of 1% urea and 0.2% sulfur, which was determined through an N:S ratio of 10.7:1. In this specific formulation, pH (6.85) and ammonia production (14mg/100mL) were maintained in an ideal physiological environment, promoting organic matter digestion and NFE to absolute peaks of 71.50% and 68.76%, respectively, and increasing total </w:t>
      </w:r>
      <w:r w:rsidR="00743224">
        <w:rPr>
          <w:sz w:val="24"/>
          <w:szCs w:val="24"/>
          <w:lang w:eastAsia="en-ID"/>
        </w:rPr>
        <w:t>VFA</w:t>
      </w:r>
      <w:r>
        <w:rPr>
          <w:sz w:val="24"/>
          <w:szCs w:val="24"/>
          <w:lang w:eastAsia="en-ID"/>
        </w:rPr>
        <w:t xml:space="preserve"> production to 133mM.</w:t>
      </w:r>
    </w:p>
    <w:p w14:paraId="59B4DDF0" w14:textId="77777777" w:rsidR="00963A30" w:rsidRDefault="00985EA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spacing w:after="240" w:line="360" w:lineRule="auto"/>
        <w:jc w:val="both"/>
        <w:rPr>
          <w:sz w:val="24"/>
          <w:szCs w:val="24"/>
        </w:rPr>
      </w:pPr>
      <w:r>
        <w:rPr>
          <w:i/>
          <w:iCs/>
          <w:sz w:val="24"/>
          <w:szCs w:val="24"/>
        </w:rPr>
        <w:t>Keywords:</w:t>
      </w:r>
      <w:r>
        <w:rPr>
          <w:sz w:val="24"/>
          <w:szCs w:val="24"/>
        </w:rPr>
        <w:t xml:space="preserve"> Agricultural by-product, rumen characteristic, sulphur-urea, microbial dynamic, rumen fermentation</w:t>
      </w:r>
    </w:p>
    <w:p w14:paraId="0AB32006" w14:textId="77777777" w:rsidR="00963A30" w:rsidRDefault="00985EA0">
      <w:pPr>
        <w:pStyle w:val="ListParagraph"/>
        <w:numPr>
          <w:ilvl w:val="0"/>
          <w:numId w:val="1"/>
        </w:numPr>
        <w:spacing w:line="360" w:lineRule="auto"/>
        <w:ind w:left="360"/>
        <w:jc w:val="both"/>
        <w:rPr>
          <w:b/>
          <w:bCs/>
          <w:sz w:val="24"/>
          <w:szCs w:val="24"/>
        </w:rPr>
      </w:pPr>
      <w:r>
        <w:rPr>
          <w:b/>
          <w:bCs/>
          <w:sz w:val="24"/>
          <w:szCs w:val="24"/>
        </w:rPr>
        <w:t>INTRODUCTION</w:t>
      </w:r>
    </w:p>
    <w:p w14:paraId="14E045DF" w14:textId="77777777" w:rsidR="00963A30" w:rsidRDefault="00985EA0">
      <w:pPr>
        <w:pStyle w:val="HTMLPreformatted"/>
        <w:spacing w:line="360" w:lineRule="auto"/>
        <w:ind w:firstLine="360"/>
        <w:jc w:val="both"/>
        <w:rPr>
          <w:rFonts w:ascii="Times New Roman" w:hAnsi="Times New Roman"/>
          <w:color w:val="7030A0"/>
          <w:sz w:val="24"/>
          <w:szCs w:val="24"/>
          <w:lang w:eastAsia="en-ID"/>
        </w:rPr>
      </w:pPr>
      <w:r>
        <w:rPr>
          <w:rFonts w:ascii="Times New Roman" w:hAnsi="Times New Roman"/>
          <w:sz w:val="24"/>
          <w:szCs w:val="24"/>
          <w:lang w:eastAsia="en-ID"/>
        </w:rPr>
        <w:t xml:space="preserve">The sustainable expansion of the ruminant livestock industry in tropical and developing region is heavily dependent on strategic utilization of local agricultural by-product as alternative feedstuffs. When high quality is limited, alternative feedstuffs is a critical strategy to sustain ruminant production.  Alternative feedstuffs that have great potential as an energy source are corn straw and cassava peel. Corn straw contains a fiber fraction, which is a substrate for cellulolytic microbes to produce VFA, </w:t>
      </w:r>
      <w:r>
        <w:rPr>
          <w:rStyle w:val="y2iqfc"/>
          <w:rFonts w:ascii="Times New Roman" w:hAnsi="Times New Roman"/>
          <w:sz w:val="24"/>
          <w:szCs w:val="24"/>
        </w:rPr>
        <w:t>energy source for ruminant livestock (</w:t>
      </w:r>
      <w:r>
        <w:rPr>
          <w:rFonts w:ascii="Times New Roman" w:hAnsi="Times New Roman"/>
          <w:sz w:val="24"/>
          <w:szCs w:val="24"/>
          <w:lang w:eastAsia="en-ID"/>
        </w:rPr>
        <w:t>McDonald et al. 2011; Agustin et al. 2017; Agustin et al. 2018; Agustin et al. 2020).</w:t>
      </w:r>
    </w:p>
    <w:p w14:paraId="7AE53E9F" w14:textId="77777777" w:rsidR="00963A30" w:rsidRDefault="00985EA0">
      <w:pPr>
        <w:pStyle w:val="HTMLPreformatted"/>
        <w:spacing w:line="360" w:lineRule="auto"/>
        <w:ind w:firstLine="360"/>
        <w:jc w:val="both"/>
        <w:rPr>
          <w:rFonts w:ascii="Times New Roman" w:hAnsi="Times New Roman"/>
          <w:sz w:val="24"/>
          <w:szCs w:val="24"/>
          <w:lang w:eastAsia="en-ID"/>
        </w:rPr>
      </w:pPr>
      <w:r>
        <w:rPr>
          <w:rFonts w:ascii="Times New Roman" w:hAnsi="Times New Roman"/>
          <w:sz w:val="24"/>
          <w:szCs w:val="24"/>
          <w:lang w:eastAsia="en-ID"/>
        </w:rPr>
        <w:t>Conversely, cassava peel is rich in readily available carbohydrate. It has a high nitrogen free extract (NFE) content of 77.27% and total digestible nutrients (TDN) of 73.58%, providing a rapid supply of energy (ATP) (Promkot and Wanapat 2003; Agustin et al. 2020; Agustin et al. 2021; Agustin et al. 2025;). Corn straw and cassava peel present a highly complementary combination. However, the nutritional value of this mixed diet is severely constrained by its low crude protein (CP) content and deficient essential mineral, particularly sulfur (S), which leads to poor fiber degradation and low feed efficiency (NASEM 2016).</w:t>
      </w:r>
    </w:p>
    <w:p w14:paraId="47A045F5" w14:textId="77777777" w:rsidR="00963A30" w:rsidRDefault="00985EA0">
      <w:pPr>
        <w:pStyle w:val="HTMLPreformatted"/>
        <w:spacing w:line="360" w:lineRule="auto"/>
        <w:ind w:firstLine="360"/>
        <w:jc w:val="both"/>
        <w:rPr>
          <w:rFonts w:ascii="Times New Roman" w:hAnsi="Times New Roman"/>
          <w:sz w:val="24"/>
          <w:szCs w:val="24"/>
          <w:lang w:eastAsia="en-ID"/>
        </w:rPr>
      </w:pPr>
      <w:r>
        <w:rPr>
          <w:rFonts w:ascii="Times New Roman" w:hAnsi="Times New Roman"/>
          <w:sz w:val="24"/>
          <w:szCs w:val="24"/>
          <w:lang w:eastAsia="en-ID"/>
        </w:rPr>
        <w:t xml:space="preserve">To overcome these elemental deficiencies, the supplementation of non-protein nitrogen (NPN), such as urea, paired with elemental sulfur, has been widely investigated to stimulate </w:t>
      </w:r>
      <w:r>
        <w:rPr>
          <w:rFonts w:ascii="Times New Roman" w:hAnsi="Times New Roman"/>
          <w:sz w:val="24"/>
          <w:szCs w:val="24"/>
          <w:lang w:eastAsia="en-ID"/>
        </w:rPr>
        <w:lastRenderedPageBreak/>
        <w:t>ruminal fermentation. To optimize the fermentation of rich fibrous diet, the rumen microbes require adequate and continuous supply non-protein nitrogen (NPN), such as urea to maintain optimum rumen ammonia (NH</w:t>
      </w:r>
      <w:r>
        <w:rPr>
          <w:rFonts w:ascii="Times New Roman" w:hAnsi="Times New Roman"/>
          <w:sz w:val="24"/>
          <w:szCs w:val="24"/>
          <w:vertAlign w:val="subscript"/>
          <w:lang w:eastAsia="en-ID"/>
        </w:rPr>
        <w:t>3</w:t>
      </w:r>
      <w:r>
        <w:rPr>
          <w:rFonts w:ascii="Times New Roman" w:hAnsi="Times New Roman"/>
          <w:sz w:val="24"/>
          <w:szCs w:val="24"/>
          <w:lang w:eastAsia="en-ID"/>
        </w:rPr>
        <w:t>) level (Satter and Slyter 1974). Nevertheless, the rapid hydrolysis of urea into NH</w:t>
      </w:r>
      <w:r>
        <w:rPr>
          <w:rFonts w:ascii="Times New Roman" w:hAnsi="Times New Roman"/>
          <w:sz w:val="24"/>
          <w:szCs w:val="24"/>
          <w:vertAlign w:val="subscript"/>
          <w:lang w:eastAsia="en-ID"/>
        </w:rPr>
        <w:t>3</w:t>
      </w:r>
      <w:r>
        <w:rPr>
          <w:rFonts w:ascii="Times New Roman" w:hAnsi="Times New Roman"/>
          <w:sz w:val="24"/>
          <w:szCs w:val="24"/>
          <w:lang w:eastAsia="en-ID"/>
        </w:rPr>
        <w:t xml:space="preserve"> often outpaces the rate of carbohydrate fermentation, leading to excessive ammonia accumulation, energy waste via the hepatic urea cycle, and potential toxicity (Huntington et al. 2006). Maximizing the conversion of this available nitrogen into microbial protein strictly depend on the synchronous availability of sulfur. </w:t>
      </w:r>
    </w:p>
    <w:p w14:paraId="6AA8ACEE" w14:textId="77777777" w:rsidR="00963A30" w:rsidRDefault="00985EA0">
      <w:pPr>
        <w:pStyle w:val="HTMLPreformatted"/>
        <w:spacing w:line="360" w:lineRule="auto"/>
        <w:ind w:firstLine="360"/>
        <w:jc w:val="both"/>
        <w:rPr>
          <w:rFonts w:ascii="Times New Roman" w:hAnsi="Times New Roman"/>
          <w:sz w:val="24"/>
          <w:szCs w:val="24"/>
          <w:lang w:eastAsia="en-ID"/>
        </w:rPr>
      </w:pPr>
      <w:r>
        <w:rPr>
          <w:rFonts w:ascii="Times New Roman" w:hAnsi="Times New Roman"/>
          <w:sz w:val="24"/>
          <w:szCs w:val="24"/>
          <w:lang w:eastAsia="en-ID"/>
        </w:rPr>
        <w:t xml:space="preserve">Sulfur is highly required by cellulolytic bacteria like </w:t>
      </w:r>
      <w:r>
        <w:rPr>
          <w:rFonts w:ascii="Times New Roman" w:hAnsi="Times New Roman"/>
          <w:i/>
          <w:iCs/>
          <w:sz w:val="24"/>
          <w:szCs w:val="24"/>
          <w:lang w:eastAsia="en-ID"/>
        </w:rPr>
        <w:t>Fibrobachter succinogenes</w:t>
      </w:r>
      <w:r>
        <w:rPr>
          <w:rFonts w:ascii="Times New Roman" w:hAnsi="Times New Roman"/>
          <w:sz w:val="24"/>
          <w:szCs w:val="24"/>
          <w:lang w:eastAsia="en-ID"/>
        </w:rPr>
        <w:t xml:space="preserve"> and </w:t>
      </w:r>
      <w:r>
        <w:rPr>
          <w:rFonts w:ascii="Times New Roman" w:hAnsi="Times New Roman"/>
          <w:i/>
          <w:iCs/>
          <w:sz w:val="24"/>
          <w:szCs w:val="24"/>
          <w:lang w:eastAsia="en-ID"/>
        </w:rPr>
        <w:t>Ruminococcus albus</w:t>
      </w:r>
      <w:r>
        <w:rPr>
          <w:rFonts w:ascii="Times New Roman" w:hAnsi="Times New Roman"/>
          <w:sz w:val="24"/>
          <w:szCs w:val="24"/>
          <w:lang w:eastAsia="en-ID"/>
        </w:rPr>
        <w:t xml:space="preserve"> to synthesize their cellular proteins and enzymes (Bryant 1970; Kandylis 1984). Therefore, maintaining an ideal dietary N:S ratio (typically between 10:1 and 14:1) is necessary to prevent nitrogen wastage and boost microbial growth (Spears 2003). Recent studies have re-emphasized that maintaining an ideal dietary N:S ratio is important to enhance nitrogen utilization efficiency, prevent metabolic waste and increase microbial tropical feeding systems (Sumadong et al. 2022).  The Nitrogen and Sulfur ratio for cattle ranges between 10:1 and 14:1 (Ruminant Nitrogen Usage 1985; NRC 2000; European Food Safety Authority 2012;). Urea as a nitrogen source in ruminant rations has a maximum limit of 1%. The requirement for sulfur ranges from 0.14 to 0.26% (average 0.2%) of dry matter (NRC 2000). </w:t>
      </w:r>
    </w:p>
    <w:p w14:paraId="63FF1A00" w14:textId="77777777" w:rsidR="00963A30" w:rsidRDefault="00985EA0">
      <w:pPr>
        <w:widowControl/>
        <w:tabs>
          <w:tab w:val="left" w:pos="56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spacing w:line="360" w:lineRule="auto"/>
        <w:ind w:firstLine="360"/>
        <w:jc w:val="both"/>
        <w:rPr>
          <w:sz w:val="24"/>
          <w:szCs w:val="24"/>
          <w:lang w:eastAsia="en-ID"/>
        </w:rPr>
      </w:pPr>
      <w:r>
        <w:rPr>
          <w:sz w:val="24"/>
          <w:szCs w:val="24"/>
          <w:lang w:eastAsia="en-ID"/>
        </w:rPr>
        <w:t>Previous studies have extensively demonstrated that optimizing nitrogen and sulfur synchronization can beneficially shift rumen fermentation kinetics, increasing total VFA production (Ørskov and McDonald 1979; Nocek and Russell 1988). When energy, nitrogen, and sulfur release are highly synchronized, microbial growth is stimulated, leading to accelerated degradation of structural carbohydrates and a more efficient VFA profile—often characterized by an increased propionate proportion or a balanced acetate-to-propionate ratio, which ultimately improving the energy status of the host animal (Fan et al. 2024). Furthermore, precision in nitrogen release rates has been shown to modulate the abundance of certain core rumen bacteria, driving shifts in the overall micro ecosystem (Fan et al. 2024).</w:t>
      </w:r>
    </w:p>
    <w:p w14:paraId="4C954F49" w14:textId="77777777" w:rsidR="00963A30" w:rsidRDefault="00985EA0">
      <w:pPr>
        <w:widowControl/>
        <w:tabs>
          <w:tab w:val="left" w:pos="56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spacing w:line="360" w:lineRule="auto"/>
        <w:ind w:firstLine="360"/>
        <w:jc w:val="both"/>
        <w:rPr>
          <w:sz w:val="24"/>
          <w:szCs w:val="24"/>
          <w:lang w:eastAsia="en-ID"/>
        </w:rPr>
      </w:pPr>
      <w:r>
        <w:rPr>
          <w:sz w:val="24"/>
          <w:szCs w:val="24"/>
          <w:lang w:eastAsia="en-ID"/>
        </w:rPr>
        <w:t xml:space="preserve">Although the general benefits of urea or sulfur supplementation on ruminant digestion have been documented, empirical data regarding their synchronous formulation in specific dietary matrices of corn straw and cassava peel are scarce. Most of the existing literature focuses on traditional forage-concentrate systems, neglecting the unique fermentation synchronization required when mixing highly biodegradable fiber (corn straw) with highly soluble starch (cassava peel). Furthermore, how this precise synchronization modulates microbial dynamics—specifically shifts in the balance between cellulolytic bacteria, amylolytic populations, and protozoa—remains poorly understood at the molecular level. A deeper </w:t>
      </w:r>
      <w:r>
        <w:rPr>
          <w:sz w:val="24"/>
          <w:szCs w:val="24"/>
          <w:lang w:eastAsia="en-ID"/>
        </w:rPr>
        <w:lastRenderedPageBreak/>
        <w:t>understanding of these microbial shifts is crucial to elucidating the underlying mechanisms driving fermentation kinetics and nutrient utilization in byproduct-based diets.</w:t>
      </w:r>
    </w:p>
    <w:p w14:paraId="170F82D5" w14:textId="77777777" w:rsidR="00963A30" w:rsidRDefault="00985EA0">
      <w:pPr>
        <w:widowControl/>
        <w:tabs>
          <w:tab w:val="left" w:pos="56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spacing w:line="360" w:lineRule="auto"/>
        <w:ind w:firstLine="360"/>
        <w:jc w:val="both"/>
        <w:rPr>
          <w:sz w:val="24"/>
          <w:szCs w:val="24"/>
          <w:lang w:eastAsia="en-ID"/>
        </w:rPr>
      </w:pPr>
      <w:r>
        <w:rPr>
          <w:sz w:val="24"/>
          <w:szCs w:val="24"/>
          <w:lang w:eastAsia="en-ID"/>
        </w:rPr>
        <w:t>To bridge this knowledge gap, this experiment was conducted to investigated the effects of synchronized urea-sulphur addition in a corn straw-cassava peel ration. We hypothesized that a synchronized supply of N and S would create a synergistic effect, optimizing the rumen environment to accelerate fermentation kinetics, enhance nutrient digestibility, and favourably modulate both the VFA profiles and the underlying microbial dynamics.</w:t>
      </w:r>
    </w:p>
    <w:p w14:paraId="491ADAA7" w14:textId="77777777" w:rsidR="00963A30" w:rsidRDefault="00985EA0">
      <w:pPr>
        <w:pStyle w:val="ListParagraph"/>
        <w:widowControl/>
        <w:numPr>
          <w:ilvl w:val="0"/>
          <w:numId w:val="14"/>
        </w:numPr>
        <w:tabs>
          <w:tab w:val="left" w:pos="42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spacing w:before="240" w:line="360" w:lineRule="auto"/>
        <w:ind w:left="360"/>
        <w:rPr>
          <w:rFonts w:eastAsia="Aptos"/>
          <w:b/>
          <w:bCs/>
          <w:kern w:val="2"/>
          <w:sz w:val="24"/>
          <w:szCs w:val="24"/>
          <w:lang w:val="en-GB"/>
          <w14:ligatures w14:val="standardContextual"/>
        </w:rPr>
      </w:pPr>
      <w:r>
        <w:rPr>
          <w:rFonts w:eastAsia="Aptos"/>
          <w:b/>
          <w:bCs/>
          <w:kern w:val="2"/>
          <w:sz w:val="24"/>
          <w:szCs w:val="24"/>
          <w:lang w:val="en-GB"/>
          <w14:ligatures w14:val="standardContextual"/>
        </w:rPr>
        <w:t>MATERIALS AND METHODS</w:t>
      </w:r>
    </w:p>
    <w:p w14:paraId="26431821" w14:textId="77777777" w:rsidR="00963A30" w:rsidRDefault="00985EA0">
      <w:pPr>
        <w:widowControl/>
        <w:autoSpaceDE/>
        <w:autoSpaceDN/>
        <w:spacing w:before="160" w:line="360" w:lineRule="auto"/>
        <w:rPr>
          <w:rFonts w:eastAsia="Aptos"/>
          <w:b/>
          <w:bCs/>
          <w:kern w:val="2"/>
          <w:sz w:val="24"/>
          <w:szCs w:val="24"/>
          <w:lang w:val="en-GB"/>
          <w14:ligatures w14:val="standardContextual"/>
        </w:rPr>
      </w:pPr>
      <w:r>
        <w:rPr>
          <w:rFonts w:eastAsia="Aptos"/>
          <w:b/>
          <w:bCs/>
          <w:kern w:val="2"/>
          <w:sz w:val="24"/>
          <w:szCs w:val="24"/>
          <w:lang w:val="en-GB"/>
          <w14:ligatures w14:val="standardContextual"/>
        </w:rPr>
        <w:t>2.1 Sample preparation, research design and in vitro study</w:t>
      </w:r>
    </w:p>
    <w:p w14:paraId="77016D32" w14:textId="77777777" w:rsidR="00963A30" w:rsidRDefault="00985EA0">
      <w:pPr>
        <w:pStyle w:val="HTMLPreformatted"/>
        <w:spacing w:line="360" w:lineRule="auto"/>
        <w:ind w:firstLine="360"/>
        <w:jc w:val="both"/>
        <w:rPr>
          <w:rFonts w:ascii="Times New Roman" w:hAnsi="Times New Roman"/>
          <w:sz w:val="24"/>
          <w:szCs w:val="24"/>
          <w:lang w:eastAsia="en-ID"/>
        </w:rPr>
      </w:pPr>
      <w:r>
        <w:rPr>
          <w:rStyle w:val="oword"/>
          <w:rFonts w:ascii="Times New Roman" w:eastAsia="SimSun" w:hAnsi="Times New Roman"/>
          <w:sz w:val="24"/>
          <w:szCs w:val="24"/>
        </w:rPr>
        <w:t xml:space="preserve">The corn straw  was collected from farmers, whereas cassava peels were </w:t>
      </w:r>
      <w:r>
        <w:rPr>
          <w:rStyle w:val="y2iqfc"/>
          <w:rFonts w:ascii="Times New Roman" w:hAnsi="Times New Roman"/>
          <w:sz w:val="24"/>
          <w:szCs w:val="24"/>
        </w:rPr>
        <w:t>collected  from cassava processing to produce cassava chips</w:t>
      </w:r>
      <w:r>
        <w:rPr>
          <w:rStyle w:val="y2iqfc"/>
          <w:rFonts w:ascii="Times New Roman" w:hAnsi="Times New Roman"/>
          <w:color w:val="EE0000"/>
          <w:sz w:val="24"/>
          <w:szCs w:val="24"/>
        </w:rPr>
        <w:t>.</w:t>
      </w:r>
      <w:r>
        <w:rPr>
          <w:rStyle w:val="oword"/>
          <w:rFonts w:ascii="Times New Roman" w:eastAsia="SimSun" w:hAnsi="Times New Roman"/>
          <w:sz w:val="24"/>
          <w:szCs w:val="24"/>
        </w:rPr>
        <w:t xml:space="preserve"> The feedstuffs </w:t>
      </w:r>
      <w:r>
        <w:rPr>
          <w:rStyle w:val="y2iqfc"/>
          <w:rFonts w:ascii="Times New Roman" w:hAnsi="Times New Roman"/>
          <w:sz w:val="24"/>
          <w:szCs w:val="24"/>
        </w:rPr>
        <w:t>were sun-dried and</w:t>
      </w:r>
      <w:r>
        <w:rPr>
          <w:rStyle w:val="y2iqfc"/>
          <w:rFonts w:ascii="Times New Roman" w:hAnsi="Times New Roman"/>
        </w:rPr>
        <w:t xml:space="preserve"> </w:t>
      </w:r>
      <w:r>
        <w:rPr>
          <w:rStyle w:val="oword"/>
          <w:rFonts w:ascii="Times New Roman" w:eastAsia="SimSun" w:hAnsi="Times New Roman"/>
          <w:sz w:val="24"/>
          <w:szCs w:val="24"/>
        </w:rPr>
        <w:t xml:space="preserve"> ground. </w:t>
      </w:r>
      <w:r>
        <w:rPr>
          <w:rFonts w:ascii="Times New Roman" w:hAnsi="Times New Roman"/>
          <w:sz w:val="24"/>
          <w:szCs w:val="24"/>
          <w:lang w:eastAsia="en-ID"/>
        </w:rPr>
        <w:t xml:space="preserve">All feed ingredients were then mixed according to their composition, with a crude protein content of 10% and a TDN of 65%. </w:t>
      </w:r>
    </w:p>
    <w:p w14:paraId="0CC714BF" w14:textId="77777777" w:rsidR="00963A30" w:rsidRDefault="00985EA0">
      <w:pPr>
        <w:widowControl/>
        <w:autoSpaceDE/>
        <w:autoSpaceDN/>
        <w:spacing w:line="360" w:lineRule="auto"/>
        <w:ind w:firstLine="360"/>
        <w:jc w:val="both"/>
        <w:rPr>
          <w:sz w:val="24"/>
          <w:szCs w:val="24"/>
          <w:lang w:eastAsia="en-ID"/>
        </w:rPr>
      </w:pPr>
      <w:r>
        <w:rPr>
          <w:rStyle w:val="y2iqfc"/>
          <w:sz w:val="24"/>
          <w:szCs w:val="24"/>
        </w:rPr>
        <w:t>The research was conducted with a randomized block design, consisting of seven treatments and four groups. The treatments were the addition of several levels of urea, sulfur and their combination into the basal ration containing 30% corn straw and 30% cassava peel (Table 1), namely: R1 = basal ration (control treatment); R2 = addition of 0.5% urea; R3 = addition of 1% urea; R4 = addition of 0.1% sulfur; R5 = addition of 0.2% sulfur; R6 = addition of 1% urea +0.1% sulfur; R7 = addition 1% urea + 0.2% sulfur.</w:t>
      </w:r>
      <w:r>
        <w:rPr>
          <w:rFonts w:eastAsia="Aptos"/>
          <w:b/>
          <w:bCs/>
          <w:kern w:val="2"/>
          <w:sz w:val="24"/>
          <w:szCs w:val="24"/>
          <w:lang w:val="en-GB"/>
          <w14:ligatures w14:val="standardContextual"/>
        </w:rPr>
        <w:t xml:space="preserve">  </w:t>
      </w:r>
      <w:r>
        <w:rPr>
          <w:sz w:val="24"/>
          <w:szCs w:val="24"/>
          <w:lang w:eastAsia="en-ID"/>
        </w:rPr>
        <w:t>The addition of urea to the basic ration increased the protein content of the ration. There was a 1.44% increase in protein content with the addition of 0.5% urea and a 2.88% increase with the addition of 1% urea (Table 2).</w:t>
      </w:r>
    </w:p>
    <w:p w14:paraId="4C73A759" w14:textId="77777777" w:rsidR="00963A30" w:rsidRDefault="00985EA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spacing w:line="360" w:lineRule="auto"/>
        <w:jc w:val="both"/>
        <w:rPr>
          <w:sz w:val="24"/>
          <w:szCs w:val="24"/>
          <w:lang w:eastAsia="en-ID"/>
        </w:rPr>
      </w:pPr>
      <w:r>
        <w:rPr>
          <w:rFonts w:eastAsia="Calibri"/>
          <w:b/>
          <w:bCs/>
          <w:sz w:val="24"/>
          <w:szCs w:val="24"/>
          <w:lang w:val="en-US"/>
        </w:rPr>
        <w:t>Table 1:</w:t>
      </w:r>
      <w:r>
        <w:rPr>
          <w:rFonts w:eastAsia="Calibri"/>
          <w:sz w:val="24"/>
          <w:szCs w:val="24"/>
          <w:lang w:val="en-US"/>
        </w:rPr>
        <w:t xml:space="preserve">  Composition of feed ingredients in basal diet (%)</w:t>
      </w:r>
    </w:p>
    <w:tbl>
      <w:tblPr>
        <w:tblW w:w="9085" w:type="dxa"/>
        <w:tblLayout w:type="fixed"/>
        <w:tblCellMar>
          <w:left w:w="100" w:type="dxa"/>
          <w:right w:w="100" w:type="dxa"/>
        </w:tblCellMar>
        <w:tblLook w:val="04A0" w:firstRow="1" w:lastRow="0" w:firstColumn="1" w:lastColumn="0" w:noHBand="0" w:noVBand="1"/>
      </w:tblPr>
      <w:tblGrid>
        <w:gridCol w:w="1919"/>
        <w:gridCol w:w="1041"/>
        <w:gridCol w:w="996"/>
        <w:gridCol w:w="973"/>
        <w:gridCol w:w="16"/>
        <w:gridCol w:w="900"/>
        <w:gridCol w:w="37"/>
        <w:gridCol w:w="953"/>
        <w:gridCol w:w="1170"/>
        <w:gridCol w:w="1080"/>
      </w:tblGrid>
      <w:tr w:rsidR="00963A30" w14:paraId="2C07C287" w14:textId="77777777">
        <w:trPr>
          <w:trHeight w:val="304"/>
        </w:trPr>
        <w:tc>
          <w:tcPr>
            <w:tcW w:w="1919" w:type="dxa"/>
            <w:vMerge w:val="restart"/>
            <w:tcBorders>
              <w:top w:val="single" w:sz="4" w:space="0" w:color="auto"/>
              <w:bottom w:val="single" w:sz="4" w:space="0" w:color="auto"/>
            </w:tcBorders>
            <w:noWrap/>
            <w:vAlign w:val="center"/>
          </w:tcPr>
          <w:p w14:paraId="0BE7D182" w14:textId="77777777" w:rsidR="00963A30" w:rsidRDefault="00985EA0">
            <w:pPr>
              <w:widowControl/>
              <w:autoSpaceDE/>
              <w:autoSpaceDN/>
              <w:jc w:val="center"/>
              <w:rPr>
                <w:color w:val="000000"/>
                <w:sz w:val="24"/>
                <w:szCs w:val="24"/>
                <w:lang w:val="en-US"/>
              </w:rPr>
            </w:pPr>
            <w:r>
              <w:rPr>
                <w:color w:val="000000"/>
                <w:sz w:val="24"/>
                <w:szCs w:val="24"/>
                <w:lang w:val="en-US"/>
              </w:rPr>
              <w:t>Feed ingredients</w:t>
            </w:r>
          </w:p>
        </w:tc>
        <w:tc>
          <w:tcPr>
            <w:tcW w:w="7166" w:type="dxa"/>
            <w:gridSpan w:val="9"/>
            <w:tcBorders>
              <w:top w:val="single" w:sz="4" w:space="0" w:color="auto"/>
              <w:bottom w:val="single" w:sz="4" w:space="0" w:color="auto"/>
            </w:tcBorders>
            <w:noWrap/>
            <w:vAlign w:val="bottom"/>
          </w:tcPr>
          <w:p w14:paraId="575D2957" w14:textId="77777777" w:rsidR="00963A30" w:rsidRDefault="00985EA0">
            <w:pPr>
              <w:widowControl/>
              <w:autoSpaceDE/>
              <w:autoSpaceDN/>
              <w:jc w:val="center"/>
              <w:rPr>
                <w:color w:val="000000"/>
                <w:sz w:val="24"/>
                <w:szCs w:val="24"/>
                <w:lang w:val="en-US"/>
              </w:rPr>
            </w:pPr>
            <w:r>
              <w:rPr>
                <w:color w:val="000000"/>
                <w:sz w:val="24"/>
                <w:szCs w:val="24"/>
                <w:lang w:val="en-US"/>
              </w:rPr>
              <w:t xml:space="preserve">Treatment </w:t>
            </w:r>
          </w:p>
        </w:tc>
      </w:tr>
      <w:tr w:rsidR="00963A30" w14:paraId="1080CAC9" w14:textId="77777777">
        <w:trPr>
          <w:trHeight w:val="304"/>
        </w:trPr>
        <w:tc>
          <w:tcPr>
            <w:tcW w:w="1919" w:type="dxa"/>
            <w:vMerge/>
            <w:tcBorders>
              <w:top w:val="single" w:sz="4" w:space="0" w:color="auto"/>
              <w:bottom w:val="single" w:sz="4" w:space="0" w:color="auto"/>
            </w:tcBorders>
            <w:noWrap/>
            <w:vAlign w:val="center"/>
          </w:tcPr>
          <w:p w14:paraId="40BE794E" w14:textId="77777777" w:rsidR="00963A30" w:rsidRDefault="00963A30">
            <w:pPr>
              <w:widowControl/>
              <w:autoSpaceDE/>
              <w:autoSpaceDN/>
              <w:spacing w:after="120"/>
              <w:jc w:val="both"/>
              <w:rPr>
                <w:rFonts w:eastAsia="Calibri"/>
                <w:kern w:val="2"/>
                <w:sz w:val="24"/>
                <w:szCs w:val="24"/>
                <w:lang w:val="en-US"/>
              </w:rPr>
            </w:pPr>
          </w:p>
        </w:tc>
        <w:tc>
          <w:tcPr>
            <w:tcW w:w="1041" w:type="dxa"/>
            <w:tcBorders>
              <w:top w:val="single" w:sz="4" w:space="0" w:color="auto"/>
              <w:bottom w:val="single" w:sz="4" w:space="0" w:color="auto"/>
            </w:tcBorders>
            <w:noWrap/>
            <w:vAlign w:val="bottom"/>
          </w:tcPr>
          <w:p w14:paraId="66406B04" w14:textId="77777777" w:rsidR="00963A30" w:rsidRDefault="00985EA0">
            <w:pPr>
              <w:widowControl/>
              <w:autoSpaceDE/>
              <w:autoSpaceDN/>
              <w:jc w:val="both"/>
              <w:rPr>
                <w:color w:val="000000"/>
                <w:sz w:val="24"/>
                <w:szCs w:val="24"/>
                <w:lang w:val="en-US"/>
              </w:rPr>
            </w:pPr>
            <w:r>
              <w:rPr>
                <w:color w:val="000000"/>
                <w:sz w:val="24"/>
                <w:szCs w:val="24"/>
                <w:lang w:val="en-US"/>
              </w:rPr>
              <w:t xml:space="preserve">       R1</w:t>
            </w:r>
          </w:p>
        </w:tc>
        <w:tc>
          <w:tcPr>
            <w:tcW w:w="996" w:type="dxa"/>
            <w:tcBorders>
              <w:top w:val="single" w:sz="4" w:space="0" w:color="auto"/>
              <w:bottom w:val="single" w:sz="4" w:space="0" w:color="auto"/>
            </w:tcBorders>
            <w:noWrap/>
            <w:vAlign w:val="bottom"/>
          </w:tcPr>
          <w:p w14:paraId="505675CF" w14:textId="77777777" w:rsidR="00963A30" w:rsidRDefault="00985EA0">
            <w:pPr>
              <w:widowControl/>
              <w:autoSpaceDE/>
              <w:autoSpaceDN/>
              <w:jc w:val="both"/>
              <w:rPr>
                <w:color w:val="000000"/>
                <w:sz w:val="24"/>
                <w:szCs w:val="24"/>
                <w:lang w:val="en-US"/>
              </w:rPr>
            </w:pPr>
            <w:r>
              <w:rPr>
                <w:color w:val="000000"/>
                <w:sz w:val="24"/>
                <w:szCs w:val="24"/>
                <w:lang w:val="en-US"/>
              </w:rPr>
              <w:t xml:space="preserve">    R2</w:t>
            </w:r>
          </w:p>
        </w:tc>
        <w:tc>
          <w:tcPr>
            <w:tcW w:w="989" w:type="dxa"/>
            <w:gridSpan w:val="2"/>
            <w:tcBorders>
              <w:top w:val="single" w:sz="4" w:space="0" w:color="auto"/>
              <w:bottom w:val="single" w:sz="4" w:space="0" w:color="auto"/>
            </w:tcBorders>
            <w:noWrap/>
            <w:vAlign w:val="bottom"/>
          </w:tcPr>
          <w:p w14:paraId="1FF25B9F" w14:textId="77777777" w:rsidR="00963A30" w:rsidRDefault="00985EA0">
            <w:pPr>
              <w:widowControl/>
              <w:autoSpaceDE/>
              <w:autoSpaceDN/>
              <w:ind w:left="-72" w:right="-386"/>
              <w:jc w:val="both"/>
              <w:rPr>
                <w:color w:val="000000"/>
                <w:sz w:val="24"/>
                <w:szCs w:val="24"/>
                <w:lang w:val="en-US"/>
              </w:rPr>
            </w:pPr>
            <w:r>
              <w:rPr>
                <w:color w:val="000000"/>
                <w:sz w:val="24"/>
                <w:szCs w:val="24"/>
                <w:lang w:val="en-US"/>
              </w:rPr>
              <w:t xml:space="preserve">    R3</w:t>
            </w:r>
          </w:p>
        </w:tc>
        <w:tc>
          <w:tcPr>
            <w:tcW w:w="900" w:type="dxa"/>
            <w:tcBorders>
              <w:top w:val="single" w:sz="4" w:space="0" w:color="auto"/>
              <w:bottom w:val="single" w:sz="4" w:space="0" w:color="auto"/>
            </w:tcBorders>
            <w:noWrap/>
            <w:vAlign w:val="bottom"/>
          </w:tcPr>
          <w:p w14:paraId="2FB198F0" w14:textId="77777777" w:rsidR="00963A30" w:rsidRDefault="00985EA0">
            <w:pPr>
              <w:widowControl/>
              <w:tabs>
                <w:tab w:val="left" w:pos="469"/>
              </w:tabs>
              <w:autoSpaceDE/>
              <w:autoSpaceDN/>
              <w:ind w:right="-394"/>
              <w:rPr>
                <w:color w:val="000000"/>
                <w:sz w:val="24"/>
                <w:szCs w:val="24"/>
                <w:lang w:val="en-US"/>
              </w:rPr>
            </w:pPr>
            <w:r>
              <w:rPr>
                <w:color w:val="000000"/>
                <w:sz w:val="24"/>
                <w:szCs w:val="24"/>
                <w:lang w:val="en-US"/>
              </w:rPr>
              <w:t xml:space="preserve">    R4</w:t>
            </w:r>
          </w:p>
        </w:tc>
        <w:tc>
          <w:tcPr>
            <w:tcW w:w="990" w:type="dxa"/>
            <w:gridSpan w:val="2"/>
            <w:tcBorders>
              <w:top w:val="single" w:sz="4" w:space="0" w:color="auto"/>
              <w:bottom w:val="single" w:sz="4" w:space="0" w:color="auto"/>
            </w:tcBorders>
            <w:noWrap/>
            <w:vAlign w:val="bottom"/>
          </w:tcPr>
          <w:p w14:paraId="4B44EF2D" w14:textId="77777777" w:rsidR="00963A30" w:rsidRDefault="00985EA0">
            <w:pPr>
              <w:widowControl/>
              <w:autoSpaceDE/>
              <w:autoSpaceDN/>
              <w:ind w:right="-544"/>
              <w:rPr>
                <w:color w:val="000000"/>
                <w:sz w:val="24"/>
                <w:szCs w:val="24"/>
                <w:lang w:val="en-US"/>
              </w:rPr>
            </w:pPr>
            <w:r>
              <w:rPr>
                <w:color w:val="000000"/>
                <w:sz w:val="24"/>
                <w:szCs w:val="24"/>
                <w:lang w:val="en-US"/>
              </w:rPr>
              <w:t xml:space="preserve">     R5</w:t>
            </w:r>
          </w:p>
        </w:tc>
        <w:tc>
          <w:tcPr>
            <w:tcW w:w="1170" w:type="dxa"/>
            <w:tcBorders>
              <w:top w:val="single" w:sz="4" w:space="0" w:color="auto"/>
              <w:bottom w:val="single" w:sz="4" w:space="0" w:color="auto"/>
            </w:tcBorders>
            <w:noWrap/>
            <w:vAlign w:val="bottom"/>
          </w:tcPr>
          <w:p w14:paraId="2E986FD5" w14:textId="77777777" w:rsidR="00963A30" w:rsidRDefault="00985EA0">
            <w:pPr>
              <w:widowControl/>
              <w:autoSpaceDE/>
              <w:autoSpaceDN/>
              <w:ind w:right="-495"/>
              <w:rPr>
                <w:color w:val="000000"/>
                <w:sz w:val="24"/>
                <w:szCs w:val="24"/>
                <w:lang w:val="en-US"/>
              </w:rPr>
            </w:pPr>
            <w:r>
              <w:rPr>
                <w:color w:val="000000"/>
                <w:sz w:val="24"/>
                <w:szCs w:val="24"/>
                <w:lang w:val="en-US"/>
              </w:rPr>
              <w:t xml:space="preserve">      R6      </w:t>
            </w:r>
          </w:p>
        </w:tc>
        <w:tc>
          <w:tcPr>
            <w:tcW w:w="1080" w:type="dxa"/>
            <w:tcBorders>
              <w:top w:val="single" w:sz="4" w:space="0" w:color="auto"/>
              <w:bottom w:val="single" w:sz="4" w:space="0" w:color="auto"/>
            </w:tcBorders>
            <w:vAlign w:val="center"/>
          </w:tcPr>
          <w:p w14:paraId="29071A18" w14:textId="77777777" w:rsidR="00963A30" w:rsidRDefault="00985EA0">
            <w:pPr>
              <w:widowControl/>
              <w:tabs>
                <w:tab w:val="left" w:pos="862"/>
              </w:tabs>
              <w:autoSpaceDE/>
              <w:autoSpaceDN/>
              <w:ind w:right="207"/>
              <w:jc w:val="center"/>
              <w:rPr>
                <w:color w:val="000000"/>
                <w:sz w:val="24"/>
                <w:szCs w:val="24"/>
                <w:lang w:val="en-US"/>
              </w:rPr>
            </w:pPr>
            <w:r>
              <w:rPr>
                <w:color w:val="000000"/>
                <w:sz w:val="24"/>
                <w:szCs w:val="24"/>
                <w:lang w:val="en-US"/>
              </w:rPr>
              <w:t xml:space="preserve">   R7</w:t>
            </w:r>
          </w:p>
        </w:tc>
      </w:tr>
      <w:tr w:rsidR="00963A30" w14:paraId="1E514136" w14:textId="77777777">
        <w:trPr>
          <w:trHeight w:val="304"/>
        </w:trPr>
        <w:tc>
          <w:tcPr>
            <w:tcW w:w="1919" w:type="dxa"/>
            <w:tcBorders>
              <w:top w:val="single" w:sz="4" w:space="0" w:color="auto"/>
            </w:tcBorders>
            <w:noWrap/>
            <w:vAlign w:val="bottom"/>
          </w:tcPr>
          <w:p w14:paraId="37F0401C" w14:textId="77777777" w:rsidR="00963A30" w:rsidRDefault="00985EA0">
            <w:pPr>
              <w:widowControl/>
              <w:autoSpaceDE/>
              <w:autoSpaceDN/>
              <w:rPr>
                <w:color w:val="000000"/>
                <w:sz w:val="24"/>
                <w:szCs w:val="24"/>
                <w:lang w:val="en-US"/>
              </w:rPr>
            </w:pPr>
            <w:r>
              <w:rPr>
                <w:color w:val="000000"/>
                <w:sz w:val="24"/>
                <w:szCs w:val="24"/>
                <w:lang w:val="en-US"/>
              </w:rPr>
              <w:t>Corn straw</w:t>
            </w:r>
          </w:p>
        </w:tc>
        <w:tc>
          <w:tcPr>
            <w:tcW w:w="1041" w:type="dxa"/>
            <w:tcBorders>
              <w:top w:val="single" w:sz="4" w:space="0" w:color="auto"/>
            </w:tcBorders>
            <w:noWrap/>
            <w:vAlign w:val="bottom"/>
          </w:tcPr>
          <w:p w14:paraId="16D849C4" w14:textId="77777777" w:rsidR="00963A30" w:rsidRDefault="00985EA0">
            <w:pPr>
              <w:widowControl/>
              <w:autoSpaceDE/>
              <w:autoSpaceDN/>
              <w:jc w:val="center"/>
              <w:rPr>
                <w:color w:val="000000"/>
                <w:sz w:val="24"/>
                <w:szCs w:val="24"/>
                <w:lang w:val="en-US"/>
              </w:rPr>
            </w:pPr>
            <w:r>
              <w:rPr>
                <w:color w:val="000000"/>
                <w:sz w:val="24"/>
                <w:szCs w:val="24"/>
                <w:lang w:val="en-US"/>
              </w:rPr>
              <w:t>30</w:t>
            </w:r>
          </w:p>
        </w:tc>
        <w:tc>
          <w:tcPr>
            <w:tcW w:w="996" w:type="dxa"/>
            <w:tcBorders>
              <w:top w:val="single" w:sz="4" w:space="0" w:color="auto"/>
            </w:tcBorders>
            <w:noWrap/>
            <w:vAlign w:val="bottom"/>
          </w:tcPr>
          <w:p w14:paraId="0292A4A5" w14:textId="77777777" w:rsidR="00963A30" w:rsidRDefault="00985EA0">
            <w:pPr>
              <w:widowControl/>
              <w:autoSpaceDE/>
              <w:autoSpaceDN/>
              <w:jc w:val="center"/>
              <w:rPr>
                <w:color w:val="000000"/>
                <w:sz w:val="24"/>
                <w:szCs w:val="24"/>
                <w:lang w:val="en-US"/>
              </w:rPr>
            </w:pPr>
            <w:r>
              <w:rPr>
                <w:color w:val="000000"/>
                <w:sz w:val="24"/>
                <w:szCs w:val="24"/>
                <w:lang w:val="en-US"/>
              </w:rPr>
              <w:t>30</w:t>
            </w:r>
          </w:p>
        </w:tc>
        <w:tc>
          <w:tcPr>
            <w:tcW w:w="973" w:type="dxa"/>
            <w:tcBorders>
              <w:top w:val="single" w:sz="4" w:space="0" w:color="auto"/>
            </w:tcBorders>
            <w:noWrap/>
            <w:vAlign w:val="bottom"/>
          </w:tcPr>
          <w:p w14:paraId="4EC30982" w14:textId="77777777" w:rsidR="00963A30" w:rsidRDefault="00985EA0">
            <w:pPr>
              <w:widowControl/>
              <w:autoSpaceDE/>
              <w:autoSpaceDN/>
              <w:jc w:val="center"/>
              <w:rPr>
                <w:color w:val="000000"/>
                <w:sz w:val="24"/>
                <w:szCs w:val="24"/>
                <w:lang w:val="en-US"/>
              </w:rPr>
            </w:pPr>
            <w:r>
              <w:rPr>
                <w:color w:val="000000"/>
                <w:sz w:val="24"/>
                <w:szCs w:val="24"/>
                <w:lang w:val="en-US"/>
              </w:rPr>
              <w:t>30</w:t>
            </w:r>
          </w:p>
        </w:tc>
        <w:tc>
          <w:tcPr>
            <w:tcW w:w="953" w:type="dxa"/>
            <w:gridSpan w:val="3"/>
            <w:tcBorders>
              <w:top w:val="single" w:sz="4" w:space="0" w:color="auto"/>
            </w:tcBorders>
            <w:noWrap/>
            <w:vAlign w:val="bottom"/>
          </w:tcPr>
          <w:p w14:paraId="2B50A994" w14:textId="77777777" w:rsidR="00963A30" w:rsidRDefault="00985EA0">
            <w:pPr>
              <w:widowControl/>
              <w:autoSpaceDE/>
              <w:autoSpaceDN/>
              <w:jc w:val="center"/>
              <w:rPr>
                <w:color w:val="000000"/>
                <w:sz w:val="24"/>
                <w:szCs w:val="24"/>
                <w:lang w:val="en-US"/>
              </w:rPr>
            </w:pPr>
            <w:r>
              <w:rPr>
                <w:color w:val="000000"/>
                <w:sz w:val="24"/>
                <w:szCs w:val="24"/>
                <w:lang w:val="en-US"/>
              </w:rPr>
              <w:t>30</w:t>
            </w:r>
          </w:p>
        </w:tc>
        <w:tc>
          <w:tcPr>
            <w:tcW w:w="953" w:type="dxa"/>
            <w:tcBorders>
              <w:top w:val="single" w:sz="4" w:space="0" w:color="auto"/>
            </w:tcBorders>
            <w:noWrap/>
            <w:vAlign w:val="bottom"/>
          </w:tcPr>
          <w:p w14:paraId="50866C14" w14:textId="77777777" w:rsidR="00963A30" w:rsidRDefault="00985EA0">
            <w:pPr>
              <w:widowControl/>
              <w:autoSpaceDE/>
              <w:autoSpaceDN/>
              <w:jc w:val="center"/>
              <w:rPr>
                <w:color w:val="000000"/>
                <w:sz w:val="24"/>
                <w:szCs w:val="24"/>
                <w:lang w:val="en-US"/>
              </w:rPr>
            </w:pPr>
            <w:r>
              <w:rPr>
                <w:color w:val="000000"/>
                <w:sz w:val="24"/>
                <w:szCs w:val="24"/>
                <w:lang w:val="en-US"/>
              </w:rPr>
              <w:t>30</w:t>
            </w:r>
          </w:p>
        </w:tc>
        <w:tc>
          <w:tcPr>
            <w:tcW w:w="1170" w:type="dxa"/>
            <w:tcBorders>
              <w:top w:val="single" w:sz="4" w:space="0" w:color="auto"/>
            </w:tcBorders>
            <w:noWrap/>
            <w:vAlign w:val="bottom"/>
          </w:tcPr>
          <w:p w14:paraId="4FED28E3" w14:textId="77777777" w:rsidR="00963A30" w:rsidRDefault="00985EA0">
            <w:pPr>
              <w:widowControl/>
              <w:autoSpaceDE/>
              <w:autoSpaceDN/>
              <w:jc w:val="center"/>
              <w:rPr>
                <w:color w:val="000000"/>
                <w:sz w:val="24"/>
                <w:szCs w:val="24"/>
                <w:lang w:val="en-US"/>
              </w:rPr>
            </w:pPr>
            <w:r>
              <w:rPr>
                <w:color w:val="000000"/>
                <w:sz w:val="24"/>
                <w:szCs w:val="24"/>
                <w:lang w:val="en-US"/>
              </w:rPr>
              <w:t>30</w:t>
            </w:r>
          </w:p>
        </w:tc>
        <w:tc>
          <w:tcPr>
            <w:tcW w:w="1080" w:type="dxa"/>
            <w:tcBorders>
              <w:top w:val="single" w:sz="4" w:space="0" w:color="auto"/>
            </w:tcBorders>
            <w:noWrap/>
            <w:vAlign w:val="bottom"/>
          </w:tcPr>
          <w:p w14:paraId="58465C56" w14:textId="77777777" w:rsidR="00963A30" w:rsidRDefault="00985EA0">
            <w:pPr>
              <w:widowControl/>
              <w:autoSpaceDE/>
              <w:autoSpaceDN/>
              <w:jc w:val="center"/>
              <w:rPr>
                <w:color w:val="000000"/>
                <w:sz w:val="24"/>
                <w:szCs w:val="24"/>
                <w:lang w:val="en-US"/>
              </w:rPr>
            </w:pPr>
            <w:r>
              <w:rPr>
                <w:color w:val="000000"/>
                <w:sz w:val="24"/>
                <w:szCs w:val="24"/>
                <w:lang w:val="en-US"/>
              </w:rPr>
              <w:t>30</w:t>
            </w:r>
          </w:p>
        </w:tc>
      </w:tr>
      <w:tr w:rsidR="00963A30" w14:paraId="0747CCC2" w14:textId="77777777">
        <w:trPr>
          <w:trHeight w:val="304"/>
        </w:trPr>
        <w:tc>
          <w:tcPr>
            <w:tcW w:w="1919" w:type="dxa"/>
            <w:noWrap/>
            <w:vAlign w:val="bottom"/>
          </w:tcPr>
          <w:p w14:paraId="2E3F72A9" w14:textId="77777777" w:rsidR="00963A30" w:rsidRDefault="00985EA0">
            <w:pPr>
              <w:widowControl/>
              <w:autoSpaceDE/>
              <w:autoSpaceDN/>
              <w:jc w:val="both"/>
              <w:rPr>
                <w:color w:val="000000"/>
                <w:sz w:val="24"/>
                <w:szCs w:val="24"/>
                <w:lang w:val="en-US"/>
              </w:rPr>
            </w:pPr>
            <w:r>
              <w:rPr>
                <w:color w:val="000000"/>
                <w:sz w:val="24"/>
                <w:szCs w:val="24"/>
                <w:lang w:val="en-US"/>
              </w:rPr>
              <w:t>Field grass</w:t>
            </w:r>
          </w:p>
        </w:tc>
        <w:tc>
          <w:tcPr>
            <w:tcW w:w="1041" w:type="dxa"/>
            <w:noWrap/>
            <w:vAlign w:val="bottom"/>
          </w:tcPr>
          <w:p w14:paraId="531E8028" w14:textId="77777777" w:rsidR="00963A30" w:rsidRDefault="00985EA0">
            <w:pPr>
              <w:widowControl/>
              <w:autoSpaceDE/>
              <w:autoSpaceDN/>
              <w:jc w:val="center"/>
              <w:rPr>
                <w:color w:val="000000"/>
                <w:sz w:val="24"/>
                <w:szCs w:val="24"/>
                <w:lang w:val="en-US"/>
              </w:rPr>
            </w:pPr>
            <w:r>
              <w:rPr>
                <w:color w:val="000000"/>
                <w:sz w:val="24"/>
                <w:szCs w:val="24"/>
                <w:lang w:val="en-US"/>
              </w:rPr>
              <w:t>20</w:t>
            </w:r>
          </w:p>
        </w:tc>
        <w:tc>
          <w:tcPr>
            <w:tcW w:w="996" w:type="dxa"/>
            <w:noWrap/>
            <w:vAlign w:val="bottom"/>
          </w:tcPr>
          <w:p w14:paraId="5427524D" w14:textId="77777777" w:rsidR="00963A30" w:rsidRDefault="00985EA0">
            <w:pPr>
              <w:widowControl/>
              <w:autoSpaceDE/>
              <w:autoSpaceDN/>
              <w:jc w:val="center"/>
              <w:rPr>
                <w:color w:val="000000"/>
                <w:sz w:val="24"/>
                <w:szCs w:val="24"/>
                <w:lang w:val="en-US"/>
              </w:rPr>
            </w:pPr>
            <w:r>
              <w:rPr>
                <w:color w:val="000000"/>
                <w:sz w:val="24"/>
                <w:szCs w:val="24"/>
                <w:lang w:val="en-US"/>
              </w:rPr>
              <w:t>20</w:t>
            </w:r>
          </w:p>
        </w:tc>
        <w:tc>
          <w:tcPr>
            <w:tcW w:w="973" w:type="dxa"/>
            <w:noWrap/>
            <w:vAlign w:val="bottom"/>
          </w:tcPr>
          <w:p w14:paraId="038D30AA" w14:textId="77777777" w:rsidR="00963A30" w:rsidRDefault="00985EA0">
            <w:pPr>
              <w:widowControl/>
              <w:autoSpaceDE/>
              <w:autoSpaceDN/>
              <w:jc w:val="center"/>
              <w:rPr>
                <w:color w:val="000000"/>
                <w:sz w:val="24"/>
                <w:szCs w:val="24"/>
                <w:lang w:val="en-US"/>
              </w:rPr>
            </w:pPr>
            <w:r>
              <w:rPr>
                <w:color w:val="000000"/>
                <w:sz w:val="24"/>
                <w:szCs w:val="24"/>
                <w:lang w:val="en-US"/>
              </w:rPr>
              <w:t>20</w:t>
            </w:r>
          </w:p>
        </w:tc>
        <w:tc>
          <w:tcPr>
            <w:tcW w:w="953" w:type="dxa"/>
            <w:gridSpan w:val="3"/>
            <w:noWrap/>
            <w:vAlign w:val="bottom"/>
          </w:tcPr>
          <w:p w14:paraId="5A909152" w14:textId="77777777" w:rsidR="00963A30" w:rsidRDefault="00985EA0">
            <w:pPr>
              <w:widowControl/>
              <w:autoSpaceDE/>
              <w:autoSpaceDN/>
              <w:jc w:val="center"/>
              <w:rPr>
                <w:color w:val="000000"/>
                <w:sz w:val="24"/>
                <w:szCs w:val="24"/>
                <w:lang w:val="en-US"/>
              </w:rPr>
            </w:pPr>
            <w:r>
              <w:rPr>
                <w:color w:val="000000"/>
                <w:sz w:val="24"/>
                <w:szCs w:val="24"/>
                <w:lang w:val="en-US"/>
              </w:rPr>
              <w:t>20</w:t>
            </w:r>
          </w:p>
        </w:tc>
        <w:tc>
          <w:tcPr>
            <w:tcW w:w="953" w:type="dxa"/>
            <w:noWrap/>
            <w:vAlign w:val="bottom"/>
          </w:tcPr>
          <w:p w14:paraId="7723CD07" w14:textId="77777777" w:rsidR="00963A30" w:rsidRDefault="00985EA0">
            <w:pPr>
              <w:widowControl/>
              <w:autoSpaceDE/>
              <w:autoSpaceDN/>
              <w:jc w:val="center"/>
              <w:rPr>
                <w:color w:val="000000"/>
                <w:sz w:val="24"/>
                <w:szCs w:val="24"/>
                <w:lang w:val="en-US"/>
              </w:rPr>
            </w:pPr>
            <w:r>
              <w:rPr>
                <w:color w:val="000000"/>
                <w:sz w:val="24"/>
                <w:szCs w:val="24"/>
                <w:lang w:val="en-US"/>
              </w:rPr>
              <w:t>20</w:t>
            </w:r>
          </w:p>
        </w:tc>
        <w:tc>
          <w:tcPr>
            <w:tcW w:w="1170" w:type="dxa"/>
            <w:noWrap/>
            <w:vAlign w:val="bottom"/>
          </w:tcPr>
          <w:p w14:paraId="337D885E" w14:textId="77777777" w:rsidR="00963A30" w:rsidRDefault="00985EA0">
            <w:pPr>
              <w:widowControl/>
              <w:autoSpaceDE/>
              <w:autoSpaceDN/>
              <w:jc w:val="center"/>
              <w:rPr>
                <w:color w:val="000000"/>
                <w:sz w:val="24"/>
                <w:szCs w:val="24"/>
                <w:lang w:val="en-US"/>
              </w:rPr>
            </w:pPr>
            <w:r>
              <w:rPr>
                <w:color w:val="000000"/>
                <w:sz w:val="24"/>
                <w:szCs w:val="24"/>
                <w:lang w:val="en-US"/>
              </w:rPr>
              <w:t>20</w:t>
            </w:r>
          </w:p>
        </w:tc>
        <w:tc>
          <w:tcPr>
            <w:tcW w:w="1080" w:type="dxa"/>
            <w:noWrap/>
            <w:vAlign w:val="bottom"/>
          </w:tcPr>
          <w:p w14:paraId="71E55DAE" w14:textId="77777777" w:rsidR="00963A30" w:rsidRDefault="00985EA0">
            <w:pPr>
              <w:widowControl/>
              <w:autoSpaceDE/>
              <w:autoSpaceDN/>
              <w:jc w:val="center"/>
              <w:rPr>
                <w:color w:val="000000"/>
                <w:sz w:val="24"/>
                <w:szCs w:val="24"/>
                <w:lang w:val="en-US"/>
              </w:rPr>
            </w:pPr>
            <w:r>
              <w:rPr>
                <w:color w:val="000000"/>
                <w:sz w:val="24"/>
                <w:szCs w:val="24"/>
                <w:lang w:val="en-US"/>
              </w:rPr>
              <w:t>20</w:t>
            </w:r>
          </w:p>
        </w:tc>
      </w:tr>
      <w:tr w:rsidR="00963A30" w14:paraId="3369C0AB" w14:textId="77777777">
        <w:trPr>
          <w:trHeight w:val="304"/>
        </w:trPr>
        <w:tc>
          <w:tcPr>
            <w:tcW w:w="1919" w:type="dxa"/>
            <w:noWrap/>
            <w:vAlign w:val="bottom"/>
          </w:tcPr>
          <w:p w14:paraId="6886DB5B" w14:textId="77777777" w:rsidR="00963A30" w:rsidRDefault="00985EA0">
            <w:pPr>
              <w:widowControl/>
              <w:autoSpaceDE/>
              <w:autoSpaceDN/>
              <w:rPr>
                <w:color w:val="000000"/>
                <w:sz w:val="24"/>
                <w:szCs w:val="24"/>
                <w:lang w:val="en-US"/>
              </w:rPr>
            </w:pPr>
            <w:r>
              <w:rPr>
                <w:color w:val="000000"/>
                <w:sz w:val="24"/>
                <w:szCs w:val="24"/>
                <w:lang w:val="en-US"/>
              </w:rPr>
              <w:t>Cassava peel</w:t>
            </w:r>
          </w:p>
        </w:tc>
        <w:tc>
          <w:tcPr>
            <w:tcW w:w="1041" w:type="dxa"/>
            <w:noWrap/>
            <w:vAlign w:val="bottom"/>
          </w:tcPr>
          <w:p w14:paraId="189A2AB2" w14:textId="77777777" w:rsidR="00963A30" w:rsidRDefault="00985EA0">
            <w:pPr>
              <w:widowControl/>
              <w:autoSpaceDE/>
              <w:autoSpaceDN/>
              <w:jc w:val="center"/>
              <w:rPr>
                <w:color w:val="000000"/>
                <w:sz w:val="24"/>
                <w:szCs w:val="24"/>
                <w:lang w:val="en-US"/>
              </w:rPr>
            </w:pPr>
            <w:r>
              <w:rPr>
                <w:color w:val="000000"/>
                <w:sz w:val="24"/>
                <w:szCs w:val="24"/>
                <w:lang w:val="en-US"/>
              </w:rPr>
              <w:t>30</w:t>
            </w:r>
          </w:p>
        </w:tc>
        <w:tc>
          <w:tcPr>
            <w:tcW w:w="996" w:type="dxa"/>
            <w:noWrap/>
            <w:vAlign w:val="bottom"/>
          </w:tcPr>
          <w:p w14:paraId="6D64B312" w14:textId="77777777" w:rsidR="00963A30" w:rsidRDefault="00985EA0">
            <w:pPr>
              <w:widowControl/>
              <w:autoSpaceDE/>
              <w:autoSpaceDN/>
              <w:jc w:val="center"/>
              <w:rPr>
                <w:color w:val="000000"/>
                <w:sz w:val="24"/>
                <w:szCs w:val="24"/>
                <w:lang w:val="en-US"/>
              </w:rPr>
            </w:pPr>
            <w:r>
              <w:rPr>
                <w:color w:val="000000"/>
                <w:sz w:val="24"/>
                <w:szCs w:val="24"/>
                <w:lang w:val="en-US"/>
              </w:rPr>
              <w:t>30</w:t>
            </w:r>
          </w:p>
        </w:tc>
        <w:tc>
          <w:tcPr>
            <w:tcW w:w="973" w:type="dxa"/>
            <w:noWrap/>
            <w:vAlign w:val="bottom"/>
          </w:tcPr>
          <w:p w14:paraId="4B36B386" w14:textId="77777777" w:rsidR="00963A30" w:rsidRDefault="00985EA0">
            <w:pPr>
              <w:widowControl/>
              <w:autoSpaceDE/>
              <w:autoSpaceDN/>
              <w:jc w:val="center"/>
              <w:rPr>
                <w:color w:val="000000"/>
                <w:sz w:val="24"/>
                <w:szCs w:val="24"/>
                <w:lang w:val="en-US"/>
              </w:rPr>
            </w:pPr>
            <w:r>
              <w:rPr>
                <w:color w:val="000000"/>
                <w:sz w:val="24"/>
                <w:szCs w:val="24"/>
                <w:lang w:val="en-US"/>
              </w:rPr>
              <w:t>30</w:t>
            </w:r>
          </w:p>
        </w:tc>
        <w:tc>
          <w:tcPr>
            <w:tcW w:w="953" w:type="dxa"/>
            <w:gridSpan w:val="3"/>
            <w:noWrap/>
            <w:vAlign w:val="bottom"/>
          </w:tcPr>
          <w:p w14:paraId="0C91EA6F" w14:textId="77777777" w:rsidR="00963A30" w:rsidRDefault="00985EA0">
            <w:pPr>
              <w:widowControl/>
              <w:autoSpaceDE/>
              <w:autoSpaceDN/>
              <w:jc w:val="center"/>
              <w:rPr>
                <w:color w:val="000000"/>
                <w:sz w:val="24"/>
                <w:szCs w:val="24"/>
                <w:lang w:val="en-US"/>
              </w:rPr>
            </w:pPr>
            <w:r>
              <w:rPr>
                <w:color w:val="000000"/>
                <w:sz w:val="24"/>
                <w:szCs w:val="24"/>
                <w:lang w:val="en-US"/>
              </w:rPr>
              <w:t>30</w:t>
            </w:r>
          </w:p>
        </w:tc>
        <w:tc>
          <w:tcPr>
            <w:tcW w:w="953" w:type="dxa"/>
            <w:noWrap/>
            <w:vAlign w:val="bottom"/>
          </w:tcPr>
          <w:p w14:paraId="54DB5421" w14:textId="77777777" w:rsidR="00963A30" w:rsidRDefault="00985EA0">
            <w:pPr>
              <w:widowControl/>
              <w:autoSpaceDE/>
              <w:autoSpaceDN/>
              <w:jc w:val="center"/>
              <w:rPr>
                <w:color w:val="000000"/>
                <w:sz w:val="24"/>
                <w:szCs w:val="24"/>
                <w:lang w:val="en-US"/>
              </w:rPr>
            </w:pPr>
            <w:r>
              <w:rPr>
                <w:color w:val="000000"/>
                <w:sz w:val="24"/>
                <w:szCs w:val="24"/>
                <w:lang w:val="en-US"/>
              </w:rPr>
              <w:t>30</w:t>
            </w:r>
          </w:p>
        </w:tc>
        <w:tc>
          <w:tcPr>
            <w:tcW w:w="1170" w:type="dxa"/>
            <w:noWrap/>
            <w:vAlign w:val="bottom"/>
          </w:tcPr>
          <w:p w14:paraId="7D374B7A" w14:textId="77777777" w:rsidR="00963A30" w:rsidRDefault="00985EA0">
            <w:pPr>
              <w:widowControl/>
              <w:autoSpaceDE/>
              <w:autoSpaceDN/>
              <w:jc w:val="center"/>
              <w:rPr>
                <w:color w:val="000000"/>
                <w:sz w:val="24"/>
                <w:szCs w:val="24"/>
                <w:lang w:val="en-US"/>
              </w:rPr>
            </w:pPr>
            <w:r>
              <w:rPr>
                <w:color w:val="000000"/>
                <w:sz w:val="24"/>
                <w:szCs w:val="24"/>
                <w:lang w:val="en-US"/>
              </w:rPr>
              <w:t>30</w:t>
            </w:r>
          </w:p>
        </w:tc>
        <w:tc>
          <w:tcPr>
            <w:tcW w:w="1080" w:type="dxa"/>
            <w:noWrap/>
            <w:vAlign w:val="bottom"/>
          </w:tcPr>
          <w:p w14:paraId="4D579130" w14:textId="77777777" w:rsidR="00963A30" w:rsidRDefault="00985EA0">
            <w:pPr>
              <w:widowControl/>
              <w:autoSpaceDE/>
              <w:autoSpaceDN/>
              <w:jc w:val="center"/>
              <w:rPr>
                <w:color w:val="000000"/>
                <w:sz w:val="24"/>
                <w:szCs w:val="24"/>
                <w:lang w:val="en-US"/>
              </w:rPr>
            </w:pPr>
            <w:r>
              <w:rPr>
                <w:color w:val="000000"/>
                <w:sz w:val="24"/>
                <w:szCs w:val="24"/>
                <w:lang w:val="en-US"/>
              </w:rPr>
              <w:t>30</w:t>
            </w:r>
          </w:p>
        </w:tc>
      </w:tr>
      <w:tr w:rsidR="00963A30" w14:paraId="053F8088" w14:textId="77777777">
        <w:trPr>
          <w:trHeight w:val="304"/>
        </w:trPr>
        <w:tc>
          <w:tcPr>
            <w:tcW w:w="1919" w:type="dxa"/>
            <w:noWrap/>
            <w:vAlign w:val="bottom"/>
          </w:tcPr>
          <w:p w14:paraId="7B113EFA" w14:textId="77777777" w:rsidR="00963A30" w:rsidRDefault="00985EA0">
            <w:pPr>
              <w:widowControl/>
              <w:autoSpaceDE/>
              <w:autoSpaceDN/>
              <w:rPr>
                <w:color w:val="000000"/>
                <w:sz w:val="24"/>
                <w:szCs w:val="24"/>
                <w:lang w:val="en-US"/>
              </w:rPr>
            </w:pPr>
            <w:r>
              <w:rPr>
                <w:color w:val="000000"/>
                <w:sz w:val="24"/>
                <w:szCs w:val="24"/>
                <w:lang w:val="en-US"/>
              </w:rPr>
              <w:t>Ground corn</w:t>
            </w:r>
          </w:p>
        </w:tc>
        <w:tc>
          <w:tcPr>
            <w:tcW w:w="1041" w:type="dxa"/>
            <w:noWrap/>
            <w:vAlign w:val="bottom"/>
          </w:tcPr>
          <w:p w14:paraId="5FA9FB5F" w14:textId="77777777" w:rsidR="00963A30" w:rsidRDefault="00985EA0">
            <w:pPr>
              <w:widowControl/>
              <w:autoSpaceDE/>
              <w:autoSpaceDN/>
              <w:jc w:val="center"/>
              <w:rPr>
                <w:color w:val="000000"/>
                <w:sz w:val="24"/>
                <w:szCs w:val="24"/>
                <w:lang w:val="en-US"/>
              </w:rPr>
            </w:pPr>
            <w:r>
              <w:rPr>
                <w:color w:val="000000"/>
                <w:sz w:val="24"/>
                <w:szCs w:val="24"/>
                <w:lang w:val="en-US"/>
              </w:rPr>
              <w:t>9</w:t>
            </w:r>
          </w:p>
        </w:tc>
        <w:tc>
          <w:tcPr>
            <w:tcW w:w="996" w:type="dxa"/>
            <w:noWrap/>
            <w:vAlign w:val="bottom"/>
          </w:tcPr>
          <w:p w14:paraId="171D63C6" w14:textId="77777777" w:rsidR="00963A30" w:rsidRDefault="00985EA0">
            <w:pPr>
              <w:widowControl/>
              <w:autoSpaceDE/>
              <w:autoSpaceDN/>
              <w:jc w:val="center"/>
              <w:rPr>
                <w:color w:val="000000"/>
                <w:sz w:val="24"/>
                <w:szCs w:val="24"/>
                <w:lang w:val="en-US"/>
              </w:rPr>
            </w:pPr>
            <w:r>
              <w:rPr>
                <w:color w:val="000000"/>
                <w:sz w:val="24"/>
                <w:szCs w:val="24"/>
                <w:lang w:val="en-US"/>
              </w:rPr>
              <w:t>9</w:t>
            </w:r>
          </w:p>
        </w:tc>
        <w:tc>
          <w:tcPr>
            <w:tcW w:w="973" w:type="dxa"/>
            <w:noWrap/>
            <w:vAlign w:val="bottom"/>
          </w:tcPr>
          <w:p w14:paraId="5D896ADC" w14:textId="77777777" w:rsidR="00963A30" w:rsidRDefault="00985EA0">
            <w:pPr>
              <w:widowControl/>
              <w:autoSpaceDE/>
              <w:autoSpaceDN/>
              <w:jc w:val="center"/>
              <w:rPr>
                <w:color w:val="000000"/>
                <w:sz w:val="24"/>
                <w:szCs w:val="24"/>
                <w:lang w:val="en-US"/>
              </w:rPr>
            </w:pPr>
            <w:r>
              <w:rPr>
                <w:color w:val="000000"/>
                <w:sz w:val="24"/>
                <w:szCs w:val="24"/>
                <w:lang w:val="en-US"/>
              </w:rPr>
              <w:t>9</w:t>
            </w:r>
          </w:p>
        </w:tc>
        <w:tc>
          <w:tcPr>
            <w:tcW w:w="953" w:type="dxa"/>
            <w:gridSpan w:val="3"/>
            <w:noWrap/>
            <w:vAlign w:val="bottom"/>
          </w:tcPr>
          <w:p w14:paraId="7BD56225" w14:textId="77777777" w:rsidR="00963A30" w:rsidRDefault="00985EA0">
            <w:pPr>
              <w:widowControl/>
              <w:autoSpaceDE/>
              <w:autoSpaceDN/>
              <w:ind w:firstLineChars="50" w:firstLine="120"/>
              <w:jc w:val="center"/>
              <w:rPr>
                <w:color w:val="000000"/>
                <w:sz w:val="24"/>
                <w:szCs w:val="24"/>
                <w:lang w:val="en-US"/>
              </w:rPr>
            </w:pPr>
            <w:r>
              <w:rPr>
                <w:color w:val="000000"/>
                <w:sz w:val="24"/>
                <w:szCs w:val="24"/>
                <w:lang w:val="en-US"/>
              </w:rPr>
              <w:t>9</w:t>
            </w:r>
          </w:p>
        </w:tc>
        <w:tc>
          <w:tcPr>
            <w:tcW w:w="953" w:type="dxa"/>
            <w:noWrap/>
            <w:vAlign w:val="bottom"/>
          </w:tcPr>
          <w:p w14:paraId="442318AE" w14:textId="77777777" w:rsidR="00963A30" w:rsidRDefault="00985EA0">
            <w:pPr>
              <w:widowControl/>
              <w:autoSpaceDE/>
              <w:autoSpaceDN/>
              <w:jc w:val="center"/>
              <w:rPr>
                <w:color w:val="000000"/>
                <w:sz w:val="24"/>
                <w:szCs w:val="24"/>
                <w:lang w:val="en-US"/>
              </w:rPr>
            </w:pPr>
            <w:r>
              <w:rPr>
                <w:color w:val="000000"/>
                <w:sz w:val="24"/>
                <w:szCs w:val="24"/>
                <w:lang w:val="en-US"/>
              </w:rPr>
              <w:t>9</w:t>
            </w:r>
          </w:p>
        </w:tc>
        <w:tc>
          <w:tcPr>
            <w:tcW w:w="1170" w:type="dxa"/>
            <w:noWrap/>
            <w:vAlign w:val="bottom"/>
          </w:tcPr>
          <w:p w14:paraId="1176B324" w14:textId="77777777" w:rsidR="00963A30" w:rsidRDefault="00985EA0">
            <w:pPr>
              <w:widowControl/>
              <w:autoSpaceDE/>
              <w:autoSpaceDN/>
              <w:jc w:val="center"/>
              <w:rPr>
                <w:color w:val="000000"/>
                <w:sz w:val="24"/>
                <w:szCs w:val="24"/>
                <w:lang w:val="en-US"/>
              </w:rPr>
            </w:pPr>
            <w:r>
              <w:rPr>
                <w:color w:val="000000"/>
                <w:sz w:val="24"/>
                <w:szCs w:val="24"/>
                <w:lang w:val="en-US"/>
              </w:rPr>
              <w:t>9</w:t>
            </w:r>
          </w:p>
        </w:tc>
        <w:tc>
          <w:tcPr>
            <w:tcW w:w="1080" w:type="dxa"/>
            <w:noWrap/>
            <w:vAlign w:val="bottom"/>
          </w:tcPr>
          <w:p w14:paraId="11C31D16" w14:textId="77777777" w:rsidR="00963A30" w:rsidRDefault="00985EA0">
            <w:pPr>
              <w:widowControl/>
              <w:autoSpaceDE/>
              <w:autoSpaceDN/>
              <w:jc w:val="center"/>
              <w:rPr>
                <w:color w:val="000000"/>
                <w:sz w:val="24"/>
                <w:szCs w:val="24"/>
                <w:lang w:val="en-US"/>
              </w:rPr>
            </w:pPr>
            <w:r>
              <w:rPr>
                <w:color w:val="000000"/>
                <w:sz w:val="24"/>
                <w:szCs w:val="24"/>
                <w:lang w:val="en-US"/>
              </w:rPr>
              <w:t>9</w:t>
            </w:r>
          </w:p>
        </w:tc>
      </w:tr>
      <w:tr w:rsidR="00963A30" w14:paraId="08654D09" w14:textId="77777777">
        <w:trPr>
          <w:trHeight w:val="304"/>
        </w:trPr>
        <w:tc>
          <w:tcPr>
            <w:tcW w:w="1919" w:type="dxa"/>
            <w:noWrap/>
            <w:vAlign w:val="bottom"/>
          </w:tcPr>
          <w:p w14:paraId="703282F9" w14:textId="77777777" w:rsidR="00963A30" w:rsidRDefault="00985EA0">
            <w:pPr>
              <w:widowControl/>
              <w:autoSpaceDE/>
              <w:autoSpaceDN/>
              <w:rPr>
                <w:color w:val="000000"/>
                <w:sz w:val="24"/>
                <w:szCs w:val="24"/>
                <w:lang w:val="en-US"/>
              </w:rPr>
            </w:pPr>
            <w:r>
              <w:rPr>
                <w:color w:val="000000"/>
                <w:sz w:val="24"/>
                <w:szCs w:val="24"/>
                <w:lang w:val="en-US"/>
              </w:rPr>
              <w:t>Tofu dregs</w:t>
            </w:r>
          </w:p>
        </w:tc>
        <w:tc>
          <w:tcPr>
            <w:tcW w:w="1041" w:type="dxa"/>
            <w:noWrap/>
            <w:vAlign w:val="bottom"/>
          </w:tcPr>
          <w:p w14:paraId="5CD772AE" w14:textId="77777777" w:rsidR="00963A30" w:rsidRDefault="00985EA0">
            <w:pPr>
              <w:widowControl/>
              <w:autoSpaceDE/>
              <w:autoSpaceDN/>
              <w:jc w:val="center"/>
              <w:rPr>
                <w:color w:val="000000"/>
                <w:sz w:val="24"/>
                <w:szCs w:val="24"/>
                <w:lang w:val="en-US"/>
              </w:rPr>
            </w:pPr>
            <w:r>
              <w:rPr>
                <w:color w:val="000000"/>
                <w:sz w:val="24"/>
                <w:szCs w:val="24"/>
                <w:lang w:val="en-US"/>
              </w:rPr>
              <w:t>9</w:t>
            </w:r>
          </w:p>
        </w:tc>
        <w:tc>
          <w:tcPr>
            <w:tcW w:w="996" w:type="dxa"/>
            <w:noWrap/>
            <w:vAlign w:val="bottom"/>
          </w:tcPr>
          <w:p w14:paraId="50577086" w14:textId="77777777" w:rsidR="00963A30" w:rsidRDefault="00985EA0">
            <w:pPr>
              <w:widowControl/>
              <w:autoSpaceDE/>
              <w:autoSpaceDN/>
              <w:jc w:val="center"/>
              <w:rPr>
                <w:color w:val="000000"/>
                <w:sz w:val="24"/>
                <w:szCs w:val="24"/>
                <w:lang w:val="en-US"/>
              </w:rPr>
            </w:pPr>
            <w:r>
              <w:rPr>
                <w:color w:val="000000"/>
                <w:sz w:val="24"/>
                <w:szCs w:val="24"/>
                <w:lang w:val="en-US"/>
              </w:rPr>
              <w:t>9</w:t>
            </w:r>
          </w:p>
        </w:tc>
        <w:tc>
          <w:tcPr>
            <w:tcW w:w="973" w:type="dxa"/>
            <w:noWrap/>
            <w:vAlign w:val="bottom"/>
          </w:tcPr>
          <w:p w14:paraId="4584B36C" w14:textId="77777777" w:rsidR="00963A30" w:rsidRDefault="00985EA0">
            <w:pPr>
              <w:widowControl/>
              <w:autoSpaceDE/>
              <w:autoSpaceDN/>
              <w:jc w:val="center"/>
              <w:rPr>
                <w:color w:val="000000"/>
                <w:sz w:val="24"/>
                <w:szCs w:val="24"/>
                <w:lang w:val="en-US"/>
              </w:rPr>
            </w:pPr>
            <w:r>
              <w:rPr>
                <w:color w:val="000000"/>
                <w:sz w:val="24"/>
                <w:szCs w:val="24"/>
                <w:lang w:val="en-US"/>
              </w:rPr>
              <w:t>9</w:t>
            </w:r>
          </w:p>
        </w:tc>
        <w:tc>
          <w:tcPr>
            <w:tcW w:w="953" w:type="dxa"/>
            <w:gridSpan w:val="3"/>
            <w:noWrap/>
            <w:vAlign w:val="bottom"/>
          </w:tcPr>
          <w:p w14:paraId="0EE421E9" w14:textId="77777777" w:rsidR="00963A30" w:rsidRDefault="00985EA0">
            <w:pPr>
              <w:widowControl/>
              <w:autoSpaceDE/>
              <w:autoSpaceDN/>
              <w:ind w:firstLineChars="50" w:firstLine="120"/>
              <w:jc w:val="center"/>
              <w:rPr>
                <w:color w:val="000000"/>
                <w:sz w:val="24"/>
                <w:szCs w:val="24"/>
                <w:lang w:val="en-US"/>
              </w:rPr>
            </w:pPr>
            <w:r>
              <w:rPr>
                <w:color w:val="000000"/>
                <w:sz w:val="24"/>
                <w:szCs w:val="24"/>
                <w:lang w:val="en-US"/>
              </w:rPr>
              <w:t>9</w:t>
            </w:r>
          </w:p>
        </w:tc>
        <w:tc>
          <w:tcPr>
            <w:tcW w:w="953" w:type="dxa"/>
            <w:noWrap/>
            <w:vAlign w:val="bottom"/>
          </w:tcPr>
          <w:p w14:paraId="60F59BCB" w14:textId="77777777" w:rsidR="00963A30" w:rsidRDefault="00985EA0">
            <w:pPr>
              <w:widowControl/>
              <w:autoSpaceDE/>
              <w:autoSpaceDN/>
              <w:jc w:val="center"/>
              <w:rPr>
                <w:color w:val="000000"/>
                <w:sz w:val="24"/>
                <w:szCs w:val="24"/>
                <w:lang w:val="en-US"/>
              </w:rPr>
            </w:pPr>
            <w:r>
              <w:rPr>
                <w:color w:val="000000"/>
                <w:sz w:val="24"/>
                <w:szCs w:val="24"/>
                <w:lang w:val="en-US"/>
              </w:rPr>
              <w:t>9</w:t>
            </w:r>
          </w:p>
        </w:tc>
        <w:tc>
          <w:tcPr>
            <w:tcW w:w="1170" w:type="dxa"/>
            <w:noWrap/>
            <w:vAlign w:val="bottom"/>
          </w:tcPr>
          <w:p w14:paraId="4966A4C5" w14:textId="77777777" w:rsidR="00963A30" w:rsidRDefault="00985EA0">
            <w:pPr>
              <w:widowControl/>
              <w:autoSpaceDE/>
              <w:autoSpaceDN/>
              <w:jc w:val="center"/>
              <w:rPr>
                <w:color w:val="000000"/>
                <w:sz w:val="24"/>
                <w:szCs w:val="24"/>
                <w:lang w:val="en-US"/>
              </w:rPr>
            </w:pPr>
            <w:r>
              <w:rPr>
                <w:color w:val="000000"/>
                <w:sz w:val="24"/>
                <w:szCs w:val="24"/>
                <w:lang w:val="en-US"/>
              </w:rPr>
              <w:t>9</w:t>
            </w:r>
          </w:p>
        </w:tc>
        <w:tc>
          <w:tcPr>
            <w:tcW w:w="1080" w:type="dxa"/>
            <w:noWrap/>
            <w:vAlign w:val="bottom"/>
          </w:tcPr>
          <w:p w14:paraId="01CBF43C" w14:textId="77777777" w:rsidR="00963A30" w:rsidRDefault="00985EA0">
            <w:pPr>
              <w:widowControl/>
              <w:autoSpaceDE/>
              <w:autoSpaceDN/>
              <w:jc w:val="center"/>
              <w:rPr>
                <w:color w:val="000000"/>
                <w:sz w:val="24"/>
                <w:szCs w:val="24"/>
                <w:lang w:val="en-US"/>
              </w:rPr>
            </w:pPr>
            <w:r>
              <w:rPr>
                <w:color w:val="000000"/>
                <w:sz w:val="24"/>
                <w:szCs w:val="24"/>
                <w:lang w:val="en-US"/>
              </w:rPr>
              <w:t>9</w:t>
            </w:r>
          </w:p>
        </w:tc>
      </w:tr>
      <w:tr w:rsidR="00963A30" w14:paraId="7730DC1A" w14:textId="77777777">
        <w:trPr>
          <w:trHeight w:val="304"/>
        </w:trPr>
        <w:tc>
          <w:tcPr>
            <w:tcW w:w="1919" w:type="dxa"/>
            <w:noWrap/>
            <w:vAlign w:val="bottom"/>
          </w:tcPr>
          <w:p w14:paraId="3148FE55" w14:textId="77777777" w:rsidR="00963A30" w:rsidRDefault="00985EA0">
            <w:pPr>
              <w:widowControl/>
              <w:autoSpaceDE/>
              <w:autoSpaceDN/>
              <w:rPr>
                <w:b/>
                <w:bCs/>
                <w:color w:val="000000"/>
                <w:sz w:val="24"/>
                <w:szCs w:val="24"/>
                <w:lang w:val="en-US"/>
              </w:rPr>
            </w:pPr>
            <w:r>
              <w:rPr>
                <w:color w:val="000000"/>
                <w:sz w:val="24"/>
                <w:szCs w:val="24"/>
                <w:lang w:val="en-US"/>
              </w:rPr>
              <w:t>Mineral</w:t>
            </w:r>
          </w:p>
        </w:tc>
        <w:tc>
          <w:tcPr>
            <w:tcW w:w="1041" w:type="dxa"/>
            <w:noWrap/>
            <w:vAlign w:val="bottom"/>
          </w:tcPr>
          <w:p w14:paraId="5851C5DB" w14:textId="77777777" w:rsidR="00963A30" w:rsidRDefault="00985EA0">
            <w:pPr>
              <w:widowControl/>
              <w:autoSpaceDE/>
              <w:autoSpaceDN/>
              <w:jc w:val="center"/>
              <w:rPr>
                <w:color w:val="000000"/>
                <w:sz w:val="24"/>
                <w:szCs w:val="24"/>
                <w:lang w:val="en-US"/>
              </w:rPr>
            </w:pPr>
            <w:r>
              <w:rPr>
                <w:color w:val="000000"/>
                <w:sz w:val="24"/>
                <w:szCs w:val="24"/>
                <w:lang w:val="en-US"/>
              </w:rPr>
              <w:t>2</w:t>
            </w:r>
          </w:p>
        </w:tc>
        <w:tc>
          <w:tcPr>
            <w:tcW w:w="996" w:type="dxa"/>
            <w:noWrap/>
            <w:vAlign w:val="bottom"/>
          </w:tcPr>
          <w:p w14:paraId="54203BFC" w14:textId="77777777" w:rsidR="00963A30" w:rsidRDefault="00985EA0">
            <w:pPr>
              <w:widowControl/>
              <w:autoSpaceDE/>
              <w:autoSpaceDN/>
              <w:jc w:val="center"/>
              <w:rPr>
                <w:color w:val="000000"/>
                <w:sz w:val="24"/>
                <w:szCs w:val="24"/>
                <w:lang w:val="en-US"/>
              </w:rPr>
            </w:pPr>
            <w:r>
              <w:rPr>
                <w:color w:val="000000"/>
                <w:sz w:val="24"/>
                <w:szCs w:val="24"/>
                <w:lang w:val="en-US"/>
              </w:rPr>
              <w:t>2</w:t>
            </w:r>
          </w:p>
        </w:tc>
        <w:tc>
          <w:tcPr>
            <w:tcW w:w="973" w:type="dxa"/>
            <w:noWrap/>
            <w:vAlign w:val="bottom"/>
          </w:tcPr>
          <w:p w14:paraId="73AA1766" w14:textId="77777777" w:rsidR="00963A30" w:rsidRDefault="00985EA0">
            <w:pPr>
              <w:widowControl/>
              <w:autoSpaceDE/>
              <w:autoSpaceDN/>
              <w:jc w:val="center"/>
              <w:rPr>
                <w:color w:val="000000"/>
                <w:sz w:val="24"/>
                <w:szCs w:val="24"/>
                <w:lang w:val="en-US"/>
              </w:rPr>
            </w:pPr>
            <w:r>
              <w:rPr>
                <w:color w:val="000000"/>
                <w:sz w:val="24"/>
                <w:szCs w:val="24"/>
                <w:lang w:val="en-US"/>
              </w:rPr>
              <w:t>2</w:t>
            </w:r>
          </w:p>
        </w:tc>
        <w:tc>
          <w:tcPr>
            <w:tcW w:w="953" w:type="dxa"/>
            <w:gridSpan w:val="3"/>
            <w:noWrap/>
            <w:vAlign w:val="bottom"/>
          </w:tcPr>
          <w:p w14:paraId="5F5090A0" w14:textId="77777777" w:rsidR="00963A30" w:rsidRDefault="00985EA0">
            <w:pPr>
              <w:widowControl/>
              <w:autoSpaceDE/>
              <w:autoSpaceDN/>
              <w:ind w:firstLineChars="50" w:firstLine="120"/>
              <w:jc w:val="center"/>
              <w:rPr>
                <w:color w:val="000000"/>
                <w:sz w:val="24"/>
                <w:szCs w:val="24"/>
                <w:lang w:val="en-US"/>
              </w:rPr>
            </w:pPr>
            <w:r>
              <w:rPr>
                <w:color w:val="000000"/>
                <w:sz w:val="24"/>
                <w:szCs w:val="24"/>
                <w:lang w:val="en-US"/>
              </w:rPr>
              <w:t>2</w:t>
            </w:r>
          </w:p>
        </w:tc>
        <w:tc>
          <w:tcPr>
            <w:tcW w:w="953" w:type="dxa"/>
            <w:noWrap/>
            <w:vAlign w:val="bottom"/>
          </w:tcPr>
          <w:p w14:paraId="30C92B9C" w14:textId="77777777" w:rsidR="00963A30" w:rsidRDefault="00985EA0">
            <w:pPr>
              <w:widowControl/>
              <w:autoSpaceDE/>
              <w:autoSpaceDN/>
              <w:jc w:val="center"/>
              <w:rPr>
                <w:color w:val="000000"/>
                <w:sz w:val="24"/>
                <w:szCs w:val="24"/>
                <w:lang w:val="en-US"/>
              </w:rPr>
            </w:pPr>
            <w:r>
              <w:rPr>
                <w:color w:val="000000"/>
                <w:sz w:val="24"/>
                <w:szCs w:val="24"/>
                <w:lang w:val="en-US"/>
              </w:rPr>
              <w:t>2</w:t>
            </w:r>
          </w:p>
        </w:tc>
        <w:tc>
          <w:tcPr>
            <w:tcW w:w="1170" w:type="dxa"/>
            <w:noWrap/>
            <w:vAlign w:val="bottom"/>
          </w:tcPr>
          <w:p w14:paraId="309ABF36" w14:textId="77777777" w:rsidR="00963A30" w:rsidRDefault="00985EA0">
            <w:pPr>
              <w:widowControl/>
              <w:autoSpaceDE/>
              <w:autoSpaceDN/>
              <w:jc w:val="center"/>
              <w:rPr>
                <w:color w:val="000000"/>
                <w:sz w:val="24"/>
                <w:szCs w:val="24"/>
                <w:lang w:val="en-US"/>
              </w:rPr>
            </w:pPr>
            <w:r>
              <w:rPr>
                <w:color w:val="000000"/>
                <w:sz w:val="24"/>
                <w:szCs w:val="24"/>
                <w:lang w:val="en-US"/>
              </w:rPr>
              <w:t>2</w:t>
            </w:r>
          </w:p>
        </w:tc>
        <w:tc>
          <w:tcPr>
            <w:tcW w:w="1080" w:type="dxa"/>
            <w:noWrap/>
            <w:vAlign w:val="bottom"/>
          </w:tcPr>
          <w:p w14:paraId="3BA655A8" w14:textId="77777777" w:rsidR="00963A30" w:rsidRDefault="00985EA0">
            <w:pPr>
              <w:widowControl/>
              <w:autoSpaceDE/>
              <w:autoSpaceDN/>
              <w:jc w:val="center"/>
              <w:rPr>
                <w:color w:val="000000"/>
                <w:sz w:val="24"/>
                <w:szCs w:val="24"/>
                <w:lang w:val="en-US"/>
              </w:rPr>
            </w:pPr>
            <w:r>
              <w:rPr>
                <w:color w:val="000000"/>
                <w:sz w:val="24"/>
                <w:szCs w:val="24"/>
                <w:lang w:val="en-US"/>
              </w:rPr>
              <w:t>2</w:t>
            </w:r>
          </w:p>
        </w:tc>
      </w:tr>
      <w:tr w:rsidR="00963A30" w14:paraId="2B0AA4BD" w14:textId="77777777">
        <w:trPr>
          <w:trHeight w:val="304"/>
        </w:trPr>
        <w:tc>
          <w:tcPr>
            <w:tcW w:w="1919" w:type="dxa"/>
            <w:noWrap/>
            <w:vAlign w:val="bottom"/>
          </w:tcPr>
          <w:p w14:paraId="2878DBFD" w14:textId="77777777" w:rsidR="00963A30" w:rsidRDefault="00985EA0">
            <w:pPr>
              <w:widowControl/>
              <w:autoSpaceDE/>
              <w:autoSpaceDN/>
              <w:rPr>
                <w:color w:val="000000"/>
                <w:sz w:val="24"/>
                <w:szCs w:val="24"/>
                <w:lang w:val="en-US"/>
              </w:rPr>
            </w:pPr>
            <w:r>
              <w:rPr>
                <w:color w:val="000000"/>
                <w:sz w:val="24"/>
                <w:szCs w:val="24"/>
                <w:lang w:val="en-US"/>
              </w:rPr>
              <w:t>Total</w:t>
            </w:r>
          </w:p>
        </w:tc>
        <w:tc>
          <w:tcPr>
            <w:tcW w:w="1041" w:type="dxa"/>
            <w:noWrap/>
            <w:vAlign w:val="bottom"/>
          </w:tcPr>
          <w:p w14:paraId="3F9C4D34" w14:textId="77777777" w:rsidR="00963A30" w:rsidRDefault="00985EA0">
            <w:pPr>
              <w:widowControl/>
              <w:autoSpaceDE/>
              <w:autoSpaceDN/>
              <w:jc w:val="center"/>
              <w:rPr>
                <w:color w:val="000000"/>
                <w:sz w:val="24"/>
                <w:szCs w:val="24"/>
                <w:lang w:val="en-US"/>
              </w:rPr>
            </w:pPr>
            <w:r>
              <w:rPr>
                <w:color w:val="000000"/>
                <w:sz w:val="24"/>
                <w:szCs w:val="24"/>
                <w:lang w:val="en-US"/>
              </w:rPr>
              <w:t>100</w:t>
            </w:r>
          </w:p>
        </w:tc>
        <w:tc>
          <w:tcPr>
            <w:tcW w:w="996" w:type="dxa"/>
            <w:noWrap/>
            <w:vAlign w:val="bottom"/>
          </w:tcPr>
          <w:p w14:paraId="6A4AAAFD" w14:textId="77777777" w:rsidR="00963A30" w:rsidRDefault="00985EA0">
            <w:pPr>
              <w:widowControl/>
              <w:autoSpaceDE/>
              <w:autoSpaceDN/>
              <w:jc w:val="center"/>
              <w:rPr>
                <w:color w:val="000000"/>
                <w:sz w:val="24"/>
                <w:szCs w:val="24"/>
                <w:lang w:val="en-US"/>
              </w:rPr>
            </w:pPr>
            <w:r>
              <w:rPr>
                <w:color w:val="000000"/>
                <w:sz w:val="24"/>
                <w:szCs w:val="24"/>
                <w:lang w:val="en-US"/>
              </w:rPr>
              <w:t>100</w:t>
            </w:r>
          </w:p>
        </w:tc>
        <w:tc>
          <w:tcPr>
            <w:tcW w:w="973" w:type="dxa"/>
            <w:noWrap/>
            <w:vAlign w:val="bottom"/>
          </w:tcPr>
          <w:p w14:paraId="4D8EA9B7" w14:textId="77777777" w:rsidR="00963A30" w:rsidRDefault="00985EA0">
            <w:pPr>
              <w:widowControl/>
              <w:autoSpaceDE/>
              <w:autoSpaceDN/>
              <w:jc w:val="center"/>
              <w:rPr>
                <w:color w:val="000000"/>
                <w:sz w:val="24"/>
                <w:szCs w:val="24"/>
                <w:lang w:val="en-US"/>
              </w:rPr>
            </w:pPr>
            <w:r>
              <w:rPr>
                <w:color w:val="000000"/>
                <w:sz w:val="24"/>
                <w:szCs w:val="24"/>
                <w:lang w:val="en-US"/>
              </w:rPr>
              <w:t>100</w:t>
            </w:r>
          </w:p>
        </w:tc>
        <w:tc>
          <w:tcPr>
            <w:tcW w:w="953" w:type="dxa"/>
            <w:gridSpan w:val="3"/>
            <w:noWrap/>
            <w:vAlign w:val="bottom"/>
          </w:tcPr>
          <w:p w14:paraId="7511AA58" w14:textId="77777777" w:rsidR="00963A30" w:rsidRDefault="00985EA0">
            <w:pPr>
              <w:widowControl/>
              <w:autoSpaceDE/>
              <w:autoSpaceDN/>
              <w:jc w:val="center"/>
              <w:rPr>
                <w:color w:val="000000"/>
                <w:sz w:val="24"/>
                <w:szCs w:val="24"/>
                <w:lang w:val="en-US"/>
              </w:rPr>
            </w:pPr>
            <w:r>
              <w:rPr>
                <w:color w:val="000000"/>
                <w:sz w:val="24"/>
                <w:szCs w:val="24"/>
                <w:lang w:val="en-US"/>
              </w:rPr>
              <w:t>100</w:t>
            </w:r>
          </w:p>
        </w:tc>
        <w:tc>
          <w:tcPr>
            <w:tcW w:w="953" w:type="dxa"/>
            <w:noWrap/>
            <w:vAlign w:val="bottom"/>
          </w:tcPr>
          <w:p w14:paraId="41C0DC24" w14:textId="77777777" w:rsidR="00963A30" w:rsidRDefault="00985EA0">
            <w:pPr>
              <w:widowControl/>
              <w:autoSpaceDE/>
              <w:autoSpaceDN/>
              <w:jc w:val="center"/>
              <w:rPr>
                <w:color w:val="000000"/>
                <w:sz w:val="24"/>
                <w:szCs w:val="24"/>
                <w:lang w:val="en-US"/>
              </w:rPr>
            </w:pPr>
            <w:r>
              <w:rPr>
                <w:color w:val="000000"/>
                <w:sz w:val="24"/>
                <w:szCs w:val="24"/>
                <w:lang w:val="en-US"/>
              </w:rPr>
              <w:t>100</w:t>
            </w:r>
          </w:p>
        </w:tc>
        <w:tc>
          <w:tcPr>
            <w:tcW w:w="1170" w:type="dxa"/>
            <w:noWrap/>
            <w:vAlign w:val="bottom"/>
          </w:tcPr>
          <w:p w14:paraId="1ECA39C1" w14:textId="77777777" w:rsidR="00963A30" w:rsidRDefault="00985EA0">
            <w:pPr>
              <w:widowControl/>
              <w:autoSpaceDE/>
              <w:autoSpaceDN/>
              <w:jc w:val="center"/>
              <w:rPr>
                <w:color w:val="000000"/>
                <w:sz w:val="24"/>
                <w:szCs w:val="24"/>
                <w:lang w:val="en-US"/>
              </w:rPr>
            </w:pPr>
            <w:r>
              <w:rPr>
                <w:color w:val="000000"/>
                <w:sz w:val="24"/>
                <w:szCs w:val="24"/>
                <w:lang w:val="en-US"/>
              </w:rPr>
              <w:t>100</w:t>
            </w:r>
          </w:p>
        </w:tc>
        <w:tc>
          <w:tcPr>
            <w:tcW w:w="1080" w:type="dxa"/>
            <w:noWrap/>
            <w:vAlign w:val="bottom"/>
          </w:tcPr>
          <w:p w14:paraId="4F167170" w14:textId="77777777" w:rsidR="00963A30" w:rsidRDefault="00985EA0">
            <w:pPr>
              <w:widowControl/>
              <w:autoSpaceDE/>
              <w:autoSpaceDN/>
              <w:jc w:val="center"/>
              <w:rPr>
                <w:color w:val="000000"/>
                <w:sz w:val="24"/>
                <w:szCs w:val="24"/>
                <w:lang w:val="en-US"/>
              </w:rPr>
            </w:pPr>
            <w:r>
              <w:rPr>
                <w:color w:val="000000"/>
                <w:sz w:val="24"/>
                <w:szCs w:val="24"/>
                <w:lang w:val="en-US"/>
              </w:rPr>
              <w:t>100</w:t>
            </w:r>
          </w:p>
        </w:tc>
      </w:tr>
      <w:tr w:rsidR="00963A30" w14:paraId="1DF82D23" w14:textId="77777777">
        <w:trPr>
          <w:trHeight w:val="304"/>
        </w:trPr>
        <w:tc>
          <w:tcPr>
            <w:tcW w:w="1919" w:type="dxa"/>
            <w:noWrap/>
            <w:vAlign w:val="bottom"/>
          </w:tcPr>
          <w:p w14:paraId="525EB256" w14:textId="77777777" w:rsidR="00963A30" w:rsidRDefault="00985EA0">
            <w:pPr>
              <w:widowControl/>
              <w:autoSpaceDE/>
              <w:autoSpaceDN/>
              <w:rPr>
                <w:color w:val="000000"/>
                <w:sz w:val="24"/>
                <w:szCs w:val="24"/>
                <w:lang w:val="en-US"/>
              </w:rPr>
            </w:pPr>
            <w:r>
              <w:rPr>
                <w:color w:val="000000"/>
                <w:sz w:val="24"/>
                <w:szCs w:val="24"/>
                <w:lang w:val="en-US"/>
              </w:rPr>
              <w:t>Urea</w:t>
            </w:r>
          </w:p>
        </w:tc>
        <w:tc>
          <w:tcPr>
            <w:tcW w:w="1041" w:type="dxa"/>
            <w:noWrap/>
            <w:vAlign w:val="bottom"/>
          </w:tcPr>
          <w:p w14:paraId="15EC789E" w14:textId="77777777" w:rsidR="00963A30" w:rsidRDefault="00985EA0">
            <w:pPr>
              <w:widowControl/>
              <w:autoSpaceDE/>
              <w:autoSpaceDN/>
              <w:jc w:val="center"/>
              <w:rPr>
                <w:color w:val="000000"/>
                <w:sz w:val="24"/>
                <w:szCs w:val="24"/>
                <w:lang w:val="en-US"/>
              </w:rPr>
            </w:pPr>
            <w:r>
              <w:rPr>
                <w:color w:val="000000"/>
                <w:sz w:val="24"/>
                <w:szCs w:val="24"/>
                <w:lang w:val="en-US"/>
              </w:rPr>
              <w:t>0</w:t>
            </w:r>
          </w:p>
        </w:tc>
        <w:tc>
          <w:tcPr>
            <w:tcW w:w="996" w:type="dxa"/>
            <w:noWrap/>
            <w:vAlign w:val="bottom"/>
          </w:tcPr>
          <w:p w14:paraId="2BDC040A" w14:textId="77777777" w:rsidR="00963A30" w:rsidRDefault="00985EA0">
            <w:pPr>
              <w:widowControl/>
              <w:autoSpaceDE/>
              <w:autoSpaceDN/>
              <w:jc w:val="center"/>
              <w:rPr>
                <w:color w:val="000000"/>
                <w:sz w:val="24"/>
                <w:szCs w:val="24"/>
                <w:lang w:val="en-US"/>
              </w:rPr>
            </w:pPr>
            <w:r>
              <w:rPr>
                <w:color w:val="000000"/>
                <w:sz w:val="24"/>
                <w:szCs w:val="24"/>
                <w:lang w:val="en-US"/>
              </w:rPr>
              <w:t>0.5</w:t>
            </w:r>
          </w:p>
        </w:tc>
        <w:tc>
          <w:tcPr>
            <w:tcW w:w="973" w:type="dxa"/>
            <w:noWrap/>
            <w:vAlign w:val="bottom"/>
          </w:tcPr>
          <w:p w14:paraId="3293C7C7" w14:textId="77777777" w:rsidR="00963A30" w:rsidRDefault="00985EA0">
            <w:pPr>
              <w:widowControl/>
              <w:autoSpaceDE/>
              <w:autoSpaceDN/>
              <w:jc w:val="center"/>
              <w:rPr>
                <w:color w:val="000000"/>
                <w:sz w:val="24"/>
                <w:szCs w:val="24"/>
                <w:lang w:val="en-US"/>
              </w:rPr>
            </w:pPr>
            <w:r>
              <w:rPr>
                <w:color w:val="000000"/>
                <w:sz w:val="24"/>
                <w:szCs w:val="24"/>
                <w:lang w:val="en-US"/>
              </w:rPr>
              <w:t>1.0</w:t>
            </w:r>
          </w:p>
        </w:tc>
        <w:tc>
          <w:tcPr>
            <w:tcW w:w="953" w:type="dxa"/>
            <w:gridSpan w:val="3"/>
            <w:noWrap/>
            <w:vAlign w:val="bottom"/>
          </w:tcPr>
          <w:p w14:paraId="6A63F675" w14:textId="77777777" w:rsidR="00963A30" w:rsidRDefault="00985EA0">
            <w:pPr>
              <w:widowControl/>
              <w:autoSpaceDE/>
              <w:autoSpaceDN/>
              <w:jc w:val="center"/>
              <w:rPr>
                <w:color w:val="000000"/>
                <w:sz w:val="24"/>
                <w:szCs w:val="24"/>
                <w:lang w:val="en-US"/>
              </w:rPr>
            </w:pPr>
            <w:r>
              <w:rPr>
                <w:color w:val="000000"/>
                <w:sz w:val="24"/>
                <w:szCs w:val="24"/>
                <w:lang w:val="en-US"/>
              </w:rPr>
              <w:t>0</w:t>
            </w:r>
          </w:p>
        </w:tc>
        <w:tc>
          <w:tcPr>
            <w:tcW w:w="953" w:type="dxa"/>
            <w:noWrap/>
            <w:vAlign w:val="bottom"/>
          </w:tcPr>
          <w:p w14:paraId="17F2C631" w14:textId="77777777" w:rsidR="00963A30" w:rsidRDefault="00985EA0">
            <w:pPr>
              <w:widowControl/>
              <w:autoSpaceDE/>
              <w:autoSpaceDN/>
              <w:jc w:val="center"/>
              <w:rPr>
                <w:color w:val="000000"/>
                <w:sz w:val="24"/>
                <w:szCs w:val="24"/>
                <w:lang w:val="en-US"/>
              </w:rPr>
            </w:pPr>
            <w:r>
              <w:rPr>
                <w:color w:val="000000"/>
                <w:sz w:val="24"/>
                <w:szCs w:val="24"/>
                <w:lang w:val="en-US"/>
              </w:rPr>
              <w:t>0</w:t>
            </w:r>
          </w:p>
        </w:tc>
        <w:tc>
          <w:tcPr>
            <w:tcW w:w="1170" w:type="dxa"/>
            <w:noWrap/>
            <w:vAlign w:val="bottom"/>
          </w:tcPr>
          <w:p w14:paraId="57A9F78D" w14:textId="77777777" w:rsidR="00963A30" w:rsidRDefault="00985EA0">
            <w:pPr>
              <w:widowControl/>
              <w:autoSpaceDE/>
              <w:autoSpaceDN/>
              <w:jc w:val="center"/>
              <w:rPr>
                <w:color w:val="000000"/>
                <w:sz w:val="24"/>
                <w:szCs w:val="24"/>
                <w:lang w:val="en-US"/>
              </w:rPr>
            </w:pPr>
            <w:r>
              <w:rPr>
                <w:color w:val="000000"/>
                <w:sz w:val="24"/>
                <w:szCs w:val="24"/>
                <w:lang w:val="en-US"/>
              </w:rPr>
              <w:t>0.5</w:t>
            </w:r>
          </w:p>
        </w:tc>
        <w:tc>
          <w:tcPr>
            <w:tcW w:w="1080" w:type="dxa"/>
            <w:noWrap/>
            <w:vAlign w:val="bottom"/>
          </w:tcPr>
          <w:p w14:paraId="2E8ACD71" w14:textId="77777777" w:rsidR="00963A30" w:rsidRDefault="00985EA0">
            <w:pPr>
              <w:widowControl/>
              <w:autoSpaceDE/>
              <w:autoSpaceDN/>
              <w:jc w:val="center"/>
              <w:rPr>
                <w:color w:val="000000"/>
                <w:sz w:val="24"/>
                <w:szCs w:val="24"/>
                <w:lang w:val="en-US"/>
              </w:rPr>
            </w:pPr>
            <w:r>
              <w:rPr>
                <w:color w:val="000000"/>
                <w:sz w:val="24"/>
                <w:szCs w:val="24"/>
                <w:lang w:val="en-US"/>
              </w:rPr>
              <w:t>1.0</w:t>
            </w:r>
          </w:p>
        </w:tc>
      </w:tr>
      <w:tr w:rsidR="00963A30" w14:paraId="36D3E439" w14:textId="77777777">
        <w:trPr>
          <w:trHeight w:val="304"/>
        </w:trPr>
        <w:tc>
          <w:tcPr>
            <w:tcW w:w="1919" w:type="dxa"/>
            <w:tcBorders>
              <w:bottom w:val="single" w:sz="4" w:space="0" w:color="auto"/>
            </w:tcBorders>
            <w:noWrap/>
            <w:vAlign w:val="bottom"/>
          </w:tcPr>
          <w:p w14:paraId="54E85D53" w14:textId="77777777" w:rsidR="00963A30" w:rsidRDefault="00985EA0">
            <w:pPr>
              <w:widowControl/>
              <w:autoSpaceDE/>
              <w:autoSpaceDN/>
              <w:rPr>
                <w:color w:val="000000"/>
                <w:sz w:val="24"/>
                <w:szCs w:val="24"/>
                <w:lang w:val="en-US"/>
              </w:rPr>
            </w:pPr>
            <w:r>
              <w:rPr>
                <w:color w:val="000000"/>
                <w:sz w:val="24"/>
                <w:szCs w:val="24"/>
                <w:lang w:val="en-US"/>
              </w:rPr>
              <w:t>Sulfur</w:t>
            </w:r>
          </w:p>
        </w:tc>
        <w:tc>
          <w:tcPr>
            <w:tcW w:w="1041" w:type="dxa"/>
            <w:tcBorders>
              <w:bottom w:val="single" w:sz="4" w:space="0" w:color="auto"/>
            </w:tcBorders>
            <w:noWrap/>
            <w:vAlign w:val="bottom"/>
          </w:tcPr>
          <w:p w14:paraId="7151092C" w14:textId="77777777" w:rsidR="00963A30" w:rsidRDefault="00985EA0">
            <w:pPr>
              <w:widowControl/>
              <w:autoSpaceDE/>
              <w:autoSpaceDN/>
              <w:jc w:val="center"/>
              <w:rPr>
                <w:color w:val="000000"/>
                <w:sz w:val="24"/>
                <w:szCs w:val="24"/>
                <w:lang w:val="en-US"/>
              </w:rPr>
            </w:pPr>
            <w:r>
              <w:rPr>
                <w:color w:val="000000"/>
                <w:sz w:val="24"/>
                <w:szCs w:val="24"/>
                <w:lang w:val="en-US"/>
              </w:rPr>
              <w:t>0</w:t>
            </w:r>
          </w:p>
        </w:tc>
        <w:tc>
          <w:tcPr>
            <w:tcW w:w="996" w:type="dxa"/>
            <w:tcBorders>
              <w:bottom w:val="single" w:sz="4" w:space="0" w:color="auto"/>
            </w:tcBorders>
            <w:noWrap/>
            <w:vAlign w:val="bottom"/>
          </w:tcPr>
          <w:p w14:paraId="4CD9DCE3" w14:textId="77777777" w:rsidR="00963A30" w:rsidRDefault="00985EA0">
            <w:pPr>
              <w:widowControl/>
              <w:autoSpaceDE/>
              <w:autoSpaceDN/>
              <w:jc w:val="center"/>
              <w:rPr>
                <w:color w:val="000000"/>
                <w:sz w:val="24"/>
                <w:szCs w:val="24"/>
                <w:lang w:val="en-US"/>
              </w:rPr>
            </w:pPr>
            <w:r>
              <w:rPr>
                <w:color w:val="000000"/>
                <w:sz w:val="24"/>
                <w:szCs w:val="24"/>
                <w:lang w:val="en-US"/>
              </w:rPr>
              <w:t>0</w:t>
            </w:r>
          </w:p>
        </w:tc>
        <w:tc>
          <w:tcPr>
            <w:tcW w:w="973" w:type="dxa"/>
            <w:tcBorders>
              <w:bottom w:val="single" w:sz="4" w:space="0" w:color="auto"/>
            </w:tcBorders>
            <w:noWrap/>
            <w:vAlign w:val="bottom"/>
          </w:tcPr>
          <w:p w14:paraId="5CFBCCB3" w14:textId="77777777" w:rsidR="00963A30" w:rsidRDefault="00985EA0">
            <w:pPr>
              <w:widowControl/>
              <w:autoSpaceDE/>
              <w:autoSpaceDN/>
              <w:jc w:val="center"/>
              <w:rPr>
                <w:color w:val="000000"/>
                <w:sz w:val="24"/>
                <w:szCs w:val="24"/>
                <w:lang w:val="en-US"/>
              </w:rPr>
            </w:pPr>
            <w:r>
              <w:rPr>
                <w:color w:val="000000"/>
                <w:sz w:val="24"/>
                <w:szCs w:val="24"/>
                <w:lang w:val="en-US"/>
              </w:rPr>
              <w:t>0</w:t>
            </w:r>
          </w:p>
        </w:tc>
        <w:tc>
          <w:tcPr>
            <w:tcW w:w="953" w:type="dxa"/>
            <w:gridSpan w:val="3"/>
            <w:tcBorders>
              <w:bottom w:val="single" w:sz="4" w:space="0" w:color="auto"/>
            </w:tcBorders>
            <w:noWrap/>
            <w:vAlign w:val="bottom"/>
          </w:tcPr>
          <w:p w14:paraId="42E8DFDF" w14:textId="77777777" w:rsidR="00963A30" w:rsidRDefault="00985EA0">
            <w:pPr>
              <w:widowControl/>
              <w:autoSpaceDE/>
              <w:autoSpaceDN/>
              <w:jc w:val="center"/>
              <w:rPr>
                <w:color w:val="000000"/>
                <w:sz w:val="24"/>
                <w:szCs w:val="24"/>
                <w:lang w:val="en-US"/>
              </w:rPr>
            </w:pPr>
            <w:r>
              <w:rPr>
                <w:color w:val="000000"/>
                <w:sz w:val="24"/>
                <w:szCs w:val="24"/>
                <w:lang w:val="en-US"/>
              </w:rPr>
              <w:t>0.1</w:t>
            </w:r>
          </w:p>
        </w:tc>
        <w:tc>
          <w:tcPr>
            <w:tcW w:w="953" w:type="dxa"/>
            <w:tcBorders>
              <w:bottom w:val="single" w:sz="4" w:space="0" w:color="auto"/>
            </w:tcBorders>
            <w:noWrap/>
            <w:vAlign w:val="bottom"/>
          </w:tcPr>
          <w:p w14:paraId="7AE1369D" w14:textId="77777777" w:rsidR="00963A30" w:rsidRDefault="00985EA0">
            <w:pPr>
              <w:widowControl/>
              <w:autoSpaceDE/>
              <w:autoSpaceDN/>
              <w:jc w:val="center"/>
              <w:rPr>
                <w:color w:val="000000"/>
                <w:sz w:val="24"/>
                <w:szCs w:val="24"/>
                <w:lang w:val="en-US"/>
              </w:rPr>
            </w:pPr>
            <w:r>
              <w:rPr>
                <w:color w:val="000000"/>
                <w:sz w:val="24"/>
                <w:szCs w:val="24"/>
                <w:lang w:val="en-US"/>
              </w:rPr>
              <w:t>0.2</w:t>
            </w:r>
          </w:p>
        </w:tc>
        <w:tc>
          <w:tcPr>
            <w:tcW w:w="1170" w:type="dxa"/>
            <w:tcBorders>
              <w:bottom w:val="single" w:sz="4" w:space="0" w:color="auto"/>
            </w:tcBorders>
            <w:noWrap/>
            <w:vAlign w:val="bottom"/>
          </w:tcPr>
          <w:p w14:paraId="2CF9259D" w14:textId="77777777" w:rsidR="00963A30" w:rsidRDefault="00985EA0">
            <w:pPr>
              <w:widowControl/>
              <w:autoSpaceDE/>
              <w:autoSpaceDN/>
              <w:jc w:val="center"/>
              <w:rPr>
                <w:color w:val="000000"/>
                <w:sz w:val="24"/>
                <w:szCs w:val="24"/>
                <w:lang w:val="en-US"/>
              </w:rPr>
            </w:pPr>
            <w:r>
              <w:rPr>
                <w:color w:val="000000"/>
                <w:sz w:val="24"/>
                <w:szCs w:val="24"/>
                <w:lang w:val="en-US"/>
              </w:rPr>
              <w:t>0.1</w:t>
            </w:r>
          </w:p>
        </w:tc>
        <w:tc>
          <w:tcPr>
            <w:tcW w:w="1080" w:type="dxa"/>
            <w:tcBorders>
              <w:bottom w:val="single" w:sz="4" w:space="0" w:color="auto"/>
            </w:tcBorders>
            <w:noWrap/>
            <w:vAlign w:val="bottom"/>
          </w:tcPr>
          <w:p w14:paraId="6D24C62F" w14:textId="77777777" w:rsidR="00963A30" w:rsidRDefault="00985EA0">
            <w:pPr>
              <w:widowControl/>
              <w:autoSpaceDE/>
              <w:autoSpaceDN/>
              <w:jc w:val="center"/>
              <w:rPr>
                <w:color w:val="000000"/>
                <w:sz w:val="24"/>
                <w:szCs w:val="24"/>
                <w:lang w:val="en-US"/>
              </w:rPr>
            </w:pPr>
            <w:r>
              <w:rPr>
                <w:color w:val="000000"/>
                <w:sz w:val="24"/>
                <w:szCs w:val="24"/>
                <w:lang w:val="en-US"/>
              </w:rPr>
              <w:t>0.2</w:t>
            </w:r>
          </w:p>
        </w:tc>
      </w:tr>
    </w:tbl>
    <w:p w14:paraId="79E72EF4" w14:textId="77777777" w:rsidR="00963A30" w:rsidRDefault="00985EA0">
      <w:pPr>
        <w:widowControl/>
        <w:autoSpaceDE/>
        <w:autoSpaceDN/>
        <w:spacing w:before="240" w:after="120"/>
        <w:jc w:val="both"/>
        <w:rPr>
          <w:rFonts w:eastAsia="Calibri"/>
          <w:sz w:val="24"/>
          <w:szCs w:val="24"/>
          <w:lang w:val="en-US"/>
        </w:rPr>
      </w:pPr>
      <w:bookmarkStart w:id="1" w:name="_Hlk211185283"/>
      <w:bookmarkStart w:id="2" w:name="_Hlk200409821"/>
      <w:r>
        <w:rPr>
          <w:rFonts w:eastAsia="Calibri"/>
          <w:b/>
          <w:bCs/>
          <w:sz w:val="24"/>
          <w:szCs w:val="24"/>
          <w:lang w:val="en-US"/>
        </w:rPr>
        <w:t>Table 2:</w:t>
      </w:r>
      <w:r>
        <w:rPr>
          <w:rFonts w:eastAsia="Calibri"/>
          <w:sz w:val="24"/>
          <w:szCs w:val="24"/>
          <w:lang w:val="en-US"/>
        </w:rPr>
        <w:t xml:space="preserve">  Nutrient content of ration (%) </w:t>
      </w:r>
    </w:p>
    <w:tbl>
      <w:tblPr>
        <w:tblW w:w="9282" w:type="dxa"/>
        <w:tblLayout w:type="fixed"/>
        <w:tblCellMar>
          <w:left w:w="100" w:type="dxa"/>
          <w:right w:w="100" w:type="dxa"/>
        </w:tblCellMar>
        <w:tblLook w:val="04A0" w:firstRow="1" w:lastRow="0" w:firstColumn="1" w:lastColumn="0" w:noHBand="0" w:noVBand="1"/>
      </w:tblPr>
      <w:tblGrid>
        <w:gridCol w:w="2017"/>
        <w:gridCol w:w="1094"/>
        <w:gridCol w:w="833"/>
        <w:gridCol w:w="1003"/>
        <w:gridCol w:w="19"/>
        <w:gridCol w:w="991"/>
        <w:gridCol w:w="9"/>
        <w:gridCol w:w="1000"/>
        <w:gridCol w:w="1000"/>
        <w:gridCol w:w="8"/>
        <w:gridCol w:w="1012"/>
        <w:gridCol w:w="296"/>
      </w:tblGrid>
      <w:tr w:rsidR="00963A30" w14:paraId="61205C1F" w14:textId="77777777">
        <w:trPr>
          <w:gridAfter w:val="1"/>
          <w:wAfter w:w="296" w:type="dxa"/>
          <w:trHeight w:val="301"/>
        </w:trPr>
        <w:tc>
          <w:tcPr>
            <w:tcW w:w="2017" w:type="dxa"/>
            <w:vMerge w:val="restart"/>
            <w:tcBorders>
              <w:top w:val="single" w:sz="4" w:space="0" w:color="auto"/>
              <w:bottom w:val="single" w:sz="4" w:space="0" w:color="auto"/>
            </w:tcBorders>
            <w:noWrap/>
            <w:vAlign w:val="center"/>
          </w:tcPr>
          <w:p w14:paraId="35013516" w14:textId="77777777" w:rsidR="00963A30" w:rsidRDefault="00985EA0">
            <w:pPr>
              <w:widowControl/>
              <w:autoSpaceDE/>
              <w:autoSpaceDN/>
              <w:jc w:val="center"/>
              <w:rPr>
                <w:color w:val="000000"/>
                <w:sz w:val="24"/>
                <w:szCs w:val="24"/>
                <w:lang w:val="en-US"/>
              </w:rPr>
            </w:pPr>
            <w:r>
              <w:rPr>
                <w:color w:val="000000"/>
                <w:sz w:val="24"/>
                <w:szCs w:val="24"/>
                <w:lang w:val="en-US"/>
              </w:rPr>
              <w:lastRenderedPageBreak/>
              <w:t>Feed ingredients</w:t>
            </w:r>
          </w:p>
        </w:tc>
        <w:tc>
          <w:tcPr>
            <w:tcW w:w="6969" w:type="dxa"/>
            <w:gridSpan w:val="10"/>
            <w:tcBorders>
              <w:top w:val="single" w:sz="4" w:space="0" w:color="auto"/>
              <w:bottom w:val="single" w:sz="4" w:space="0" w:color="auto"/>
            </w:tcBorders>
            <w:noWrap/>
            <w:vAlign w:val="center"/>
          </w:tcPr>
          <w:p w14:paraId="0A5E5CF2" w14:textId="77777777" w:rsidR="00963A30" w:rsidRDefault="00985EA0">
            <w:pPr>
              <w:widowControl/>
              <w:autoSpaceDE/>
              <w:autoSpaceDN/>
              <w:jc w:val="center"/>
              <w:rPr>
                <w:color w:val="000000"/>
                <w:sz w:val="24"/>
                <w:szCs w:val="24"/>
                <w:lang w:val="en-US"/>
              </w:rPr>
            </w:pPr>
            <w:r>
              <w:rPr>
                <w:color w:val="000000"/>
                <w:sz w:val="24"/>
                <w:szCs w:val="24"/>
                <w:lang w:val="en-US"/>
              </w:rPr>
              <w:t>Treatment</w:t>
            </w:r>
          </w:p>
        </w:tc>
      </w:tr>
      <w:tr w:rsidR="00963A30" w14:paraId="57421297" w14:textId="77777777">
        <w:trPr>
          <w:gridAfter w:val="1"/>
          <w:wAfter w:w="296" w:type="dxa"/>
          <w:trHeight w:val="76"/>
        </w:trPr>
        <w:tc>
          <w:tcPr>
            <w:tcW w:w="2017" w:type="dxa"/>
            <w:vMerge/>
            <w:tcBorders>
              <w:top w:val="single" w:sz="4" w:space="0" w:color="auto"/>
              <w:bottom w:val="single" w:sz="4" w:space="0" w:color="auto"/>
            </w:tcBorders>
            <w:noWrap/>
            <w:vAlign w:val="center"/>
          </w:tcPr>
          <w:p w14:paraId="317AF18C" w14:textId="77777777" w:rsidR="00963A30" w:rsidRDefault="00963A30">
            <w:pPr>
              <w:widowControl/>
              <w:autoSpaceDE/>
              <w:autoSpaceDN/>
              <w:spacing w:after="120"/>
              <w:jc w:val="center"/>
              <w:rPr>
                <w:rFonts w:eastAsia="Calibri"/>
                <w:kern w:val="2"/>
                <w:sz w:val="24"/>
                <w:szCs w:val="24"/>
                <w:lang w:val="en-US"/>
              </w:rPr>
            </w:pPr>
          </w:p>
        </w:tc>
        <w:tc>
          <w:tcPr>
            <w:tcW w:w="1094" w:type="dxa"/>
            <w:tcBorders>
              <w:top w:val="single" w:sz="4" w:space="0" w:color="auto"/>
              <w:bottom w:val="single" w:sz="4" w:space="0" w:color="auto"/>
            </w:tcBorders>
            <w:noWrap/>
            <w:vAlign w:val="center"/>
          </w:tcPr>
          <w:p w14:paraId="54914AFF" w14:textId="77777777" w:rsidR="00963A30" w:rsidRDefault="00985EA0">
            <w:pPr>
              <w:widowControl/>
              <w:autoSpaceDE/>
              <w:autoSpaceDN/>
              <w:jc w:val="center"/>
              <w:rPr>
                <w:color w:val="000000"/>
                <w:sz w:val="24"/>
                <w:szCs w:val="24"/>
                <w:lang w:val="en-US"/>
              </w:rPr>
            </w:pPr>
            <w:r>
              <w:rPr>
                <w:color w:val="000000"/>
                <w:sz w:val="24"/>
                <w:szCs w:val="24"/>
                <w:lang w:val="en-US"/>
              </w:rPr>
              <w:t xml:space="preserve">     R1</w:t>
            </w:r>
          </w:p>
        </w:tc>
        <w:tc>
          <w:tcPr>
            <w:tcW w:w="833" w:type="dxa"/>
            <w:tcBorders>
              <w:top w:val="single" w:sz="4" w:space="0" w:color="auto"/>
              <w:bottom w:val="single" w:sz="4" w:space="0" w:color="auto"/>
            </w:tcBorders>
            <w:noWrap/>
            <w:vAlign w:val="center"/>
          </w:tcPr>
          <w:p w14:paraId="64F6E8E2" w14:textId="77777777" w:rsidR="00963A30" w:rsidRDefault="00985EA0">
            <w:pPr>
              <w:widowControl/>
              <w:autoSpaceDE/>
              <w:autoSpaceDN/>
              <w:jc w:val="center"/>
              <w:rPr>
                <w:color w:val="000000"/>
                <w:sz w:val="24"/>
                <w:szCs w:val="24"/>
                <w:lang w:val="en-US"/>
              </w:rPr>
            </w:pPr>
            <w:r>
              <w:rPr>
                <w:color w:val="000000"/>
                <w:sz w:val="24"/>
                <w:szCs w:val="24"/>
                <w:lang w:val="en-US"/>
              </w:rPr>
              <w:t xml:space="preserve"> R2</w:t>
            </w:r>
          </w:p>
        </w:tc>
        <w:tc>
          <w:tcPr>
            <w:tcW w:w="1003" w:type="dxa"/>
            <w:tcBorders>
              <w:top w:val="single" w:sz="4" w:space="0" w:color="auto"/>
              <w:bottom w:val="single" w:sz="4" w:space="0" w:color="auto"/>
            </w:tcBorders>
            <w:noWrap/>
            <w:vAlign w:val="center"/>
          </w:tcPr>
          <w:p w14:paraId="6F51148B" w14:textId="77777777" w:rsidR="00963A30" w:rsidRDefault="00985EA0">
            <w:pPr>
              <w:widowControl/>
              <w:autoSpaceDE/>
              <w:autoSpaceDN/>
              <w:ind w:left="-72" w:right="-11"/>
              <w:jc w:val="center"/>
              <w:rPr>
                <w:color w:val="000000"/>
                <w:sz w:val="24"/>
                <w:szCs w:val="24"/>
                <w:lang w:val="en-US"/>
              </w:rPr>
            </w:pPr>
            <w:r>
              <w:rPr>
                <w:color w:val="000000"/>
                <w:sz w:val="24"/>
                <w:szCs w:val="24"/>
                <w:lang w:val="en-US"/>
              </w:rPr>
              <w:t xml:space="preserve">      R3</w:t>
            </w:r>
          </w:p>
        </w:tc>
        <w:tc>
          <w:tcPr>
            <w:tcW w:w="1010" w:type="dxa"/>
            <w:gridSpan w:val="2"/>
            <w:tcBorders>
              <w:top w:val="single" w:sz="4" w:space="0" w:color="auto"/>
              <w:bottom w:val="single" w:sz="4" w:space="0" w:color="auto"/>
            </w:tcBorders>
            <w:noWrap/>
            <w:vAlign w:val="center"/>
          </w:tcPr>
          <w:p w14:paraId="148E0EA9" w14:textId="77777777" w:rsidR="00963A30" w:rsidRDefault="00985EA0">
            <w:pPr>
              <w:widowControl/>
              <w:tabs>
                <w:tab w:val="left" w:pos="469"/>
              </w:tabs>
              <w:autoSpaceDE/>
              <w:autoSpaceDN/>
              <w:ind w:right="-30"/>
              <w:jc w:val="center"/>
              <w:rPr>
                <w:color w:val="000000"/>
                <w:sz w:val="24"/>
                <w:szCs w:val="24"/>
                <w:lang w:val="en-US"/>
              </w:rPr>
            </w:pPr>
            <w:r>
              <w:rPr>
                <w:color w:val="000000"/>
                <w:sz w:val="24"/>
                <w:szCs w:val="24"/>
                <w:lang w:val="en-US"/>
              </w:rPr>
              <w:t xml:space="preserve">    R4</w:t>
            </w:r>
          </w:p>
        </w:tc>
        <w:tc>
          <w:tcPr>
            <w:tcW w:w="1009" w:type="dxa"/>
            <w:gridSpan w:val="2"/>
            <w:tcBorders>
              <w:top w:val="single" w:sz="4" w:space="0" w:color="auto"/>
              <w:bottom w:val="single" w:sz="4" w:space="0" w:color="auto"/>
            </w:tcBorders>
            <w:noWrap/>
            <w:vAlign w:val="center"/>
          </w:tcPr>
          <w:p w14:paraId="28D52E1B" w14:textId="77777777" w:rsidR="00963A30" w:rsidRDefault="00985EA0">
            <w:pPr>
              <w:widowControl/>
              <w:autoSpaceDE/>
              <w:autoSpaceDN/>
              <w:ind w:right="-31"/>
              <w:jc w:val="center"/>
              <w:rPr>
                <w:color w:val="000000"/>
                <w:sz w:val="24"/>
                <w:szCs w:val="24"/>
                <w:lang w:val="en-US"/>
              </w:rPr>
            </w:pPr>
            <w:r>
              <w:rPr>
                <w:color w:val="000000"/>
                <w:sz w:val="24"/>
                <w:szCs w:val="24"/>
                <w:lang w:val="en-US"/>
              </w:rPr>
              <w:t xml:space="preserve">    R5</w:t>
            </w:r>
          </w:p>
        </w:tc>
        <w:tc>
          <w:tcPr>
            <w:tcW w:w="1008" w:type="dxa"/>
            <w:gridSpan w:val="2"/>
            <w:tcBorders>
              <w:top w:val="single" w:sz="4" w:space="0" w:color="auto"/>
              <w:bottom w:val="single" w:sz="4" w:space="0" w:color="auto"/>
            </w:tcBorders>
            <w:noWrap/>
            <w:vAlign w:val="center"/>
          </w:tcPr>
          <w:p w14:paraId="15568AF1" w14:textId="77777777" w:rsidR="00963A30" w:rsidRDefault="00985EA0">
            <w:pPr>
              <w:widowControl/>
              <w:autoSpaceDE/>
              <w:autoSpaceDN/>
              <w:ind w:right="-495"/>
              <w:rPr>
                <w:color w:val="000000"/>
                <w:sz w:val="24"/>
                <w:szCs w:val="24"/>
                <w:lang w:val="en-US"/>
              </w:rPr>
            </w:pPr>
            <w:r>
              <w:rPr>
                <w:color w:val="000000"/>
                <w:sz w:val="24"/>
                <w:szCs w:val="24"/>
                <w:lang w:val="en-US"/>
              </w:rPr>
              <w:t xml:space="preserve">       R6</w:t>
            </w:r>
          </w:p>
        </w:tc>
        <w:tc>
          <w:tcPr>
            <w:tcW w:w="1012" w:type="dxa"/>
            <w:tcBorders>
              <w:top w:val="single" w:sz="4" w:space="0" w:color="auto"/>
              <w:bottom w:val="single" w:sz="4" w:space="0" w:color="auto"/>
            </w:tcBorders>
            <w:vAlign w:val="center"/>
          </w:tcPr>
          <w:p w14:paraId="341CFDD1" w14:textId="77777777" w:rsidR="00963A30" w:rsidRDefault="00985EA0">
            <w:pPr>
              <w:widowControl/>
              <w:tabs>
                <w:tab w:val="left" w:pos="862"/>
              </w:tabs>
              <w:autoSpaceDE/>
              <w:autoSpaceDN/>
              <w:ind w:right="63"/>
              <w:jc w:val="center"/>
              <w:rPr>
                <w:color w:val="000000"/>
                <w:sz w:val="24"/>
                <w:szCs w:val="24"/>
                <w:lang w:val="en-US"/>
              </w:rPr>
            </w:pPr>
            <w:r>
              <w:rPr>
                <w:color w:val="000000"/>
                <w:sz w:val="24"/>
                <w:szCs w:val="24"/>
                <w:lang w:val="en-US"/>
              </w:rPr>
              <w:t xml:space="preserve">     R7</w:t>
            </w:r>
          </w:p>
        </w:tc>
      </w:tr>
      <w:bookmarkEnd w:id="1"/>
      <w:tr w:rsidR="00963A30" w14:paraId="5B178634" w14:textId="77777777">
        <w:trPr>
          <w:trHeight w:val="301"/>
        </w:trPr>
        <w:tc>
          <w:tcPr>
            <w:tcW w:w="2017" w:type="dxa"/>
            <w:tcBorders>
              <w:top w:val="single" w:sz="4" w:space="0" w:color="auto"/>
            </w:tcBorders>
            <w:noWrap/>
            <w:vAlign w:val="bottom"/>
          </w:tcPr>
          <w:p w14:paraId="1CD018A1" w14:textId="77777777" w:rsidR="00963A30" w:rsidRDefault="00985EA0">
            <w:pPr>
              <w:widowControl/>
              <w:autoSpaceDE/>
              <w:autoSpaceDN/>
              <w:rPr>
                <w:color w:val="000000"/>
                <w:sz w:val="24"/>
                <w:szCs w:val="24"/>
                <w:lang w:val="en-US"/>
              </w:rPr>
            </w:pPr>
            <w:r>
              <w:rPr>
                <w:color w:val="000000"/>
                <w:sz w:val="24"/>
                <w:szCs w:val="24"/>
                <w:lang w:val="en-US"/>
              </w:rPr>
              <w:t>Dry matter</w:t>
            </w:r>
          </w:p>
        </w:tc>
        <w:tc>
          <w:tcPr>
            <w:tcW w:w="1094" w:type="dxa"/>
            <w:noWrap/>
            <w:vAlign w:val="bottom"/>
          </w:tcPr>
          <w:p w14:paraId="764D8FEF" w14:textId="77777777" w:rsidR="00963A30" w:rsidRDefault="00985EA0">
            <w:pPr>
              <w:widowControl/>
              <w:autoSpaceDE/>
              <w:autoSpaceDN/>
              <w:jc w:val="right"/>
              <w:rPr>
                <w:color w:val="000000"/>
                <w:sz w:val="24"/>
                <w:szCs w:val="24"/>
                <w:lang w:val="en-US"/>
              </w:rPr>
            </w:pPr>
            <w:r>
              <w:rPr>
                <w:color w:val="000000"/>
                <w:sz w:val="24"/>
                <w:szCs w:val="24"/>
                <w:lang w:val="en-US"/>
              </w:rPr>
              <w:t>90.35</w:t>
            </w:r>
          </w:p>
        </w:tc>
        <w:tc>
          <w:tcPr>
            <w:tcW w:w="833" w:type="dxa"/>
            <w:noWrap/>
            <w:vAlign w:val="bottom"/>
          </w:tcPr>
          <w:p w14:paraId="1897AD8D" w14:textId="77777777" w:rsidR="00963A30" w:rsidRDefault="00985EA0">
            <w:pPr>
              <w:widowControl/>
              <w:autoSpaceDE/>
              <w:autoSpaceDN/>
              <w:jc w:val="right"/>
              <w:rPr>
                <w:color w:val="000000"/>
                <w:sz w:val="24"/>
                <w:szCs w:val="24"/>
                <w:lang w:val="en-US"/>
              </w:rPr>
            </w:pPr>
            <w:r>
              <w:rPr>
                <w:color w:val="000000"/>
                <w:sz w:val="24"/>
                <w:szCs w:val="24"/>
                <w:lang w:val="en-US"/>
              </w:rPr>
              <w:t>90.35</w:t>
            </w:r>
          </w:p>
        </w:tc>
        <w:tc>
          <w:tcPr>
            <w:tcW w:w="1022" w:type="dxa"/>
            <w:gridSpan w:val="2"/>
            <w:noWrap/>
            <w:vAlign w:val="bottom"/>
          </w:tcPr>
          <w:p w14:paraId="0DE9B917" w14:textId="77777777" w:rsidR="00963A30" w:rsidRDefault="00985EA0">
            <w:pPr>
              <w:widowControl/>
              <w:autoSpaceDE/>
              <w:autoSpaceDN/>
              <w:jc w:val="right"/>
              <w:rPr>
                <w:color w:val="000000"/>
                <w:sz w:val="24"/>
                <w:szCs w:val="24"/>
                <w:lang w:val="en-US"/>
              </w:rPr>
            </w:pPr>
            <w:r>
              <w:rPr>
                <w:color w:val="000000"/>
                <w:sz w:val="24"/>
                <w:szCs w:val="24"/>
                <w:lang w:val="en-US"/>
              </w:rPr>
              <w:t>90.35</w:t>
            </w:r>
          </w:p>
        </w:tc>
        <w:tc>
          <w:tcPr>
            <w:tcW w:w="1000" w:type="dxa"/>
            <w:gridSpan w:val="2"/>
            <w:noWrap/>
            <w:vAlign w:val="bottom"/>
          </w:tcPr>
          <w:p w14:paraId="5A6E6A0A" w14:textId="77777777" w:rsidR="00963A30" w:rsidRDefault="00985EA0">
            <w:pPr>
              <w:widowControl/>
              <w:autoSpaceDE/>
              <w:autoSpaceDN/>
              <w:jc w:val="right"/>
              <w:rPr>
                <w:color w:val="000000"/>
                <w:sz w:val="24"/>
                <w:szCs w:val="24"/>
                <w:lang w:val="en-US"/>
              </w:rPr>
            </w:pPr>
            <w:r>
              <w:rPr>
                <w:color w:val="000000"/>
                <w:sz w:val="24"/>
                <w:szCs w:val="24"/>
                <w:lang w:val="en-US"/>
              </w:rPr>
              <w:t>90.35</w:t>
            </w:r>
          </w:p>
        </w:tc>
        <w:tc>
          <w:tcPr>
            <w:tcW w:w="1000" w:type="dxa"/>
            <w:noWrap/>
            <w:vAlign w:val="bottom"/>
          </w:tcPr>
          <w:p w14:paraId="58E6F4CC" w14:textId="77777777" w:rsidR="00963A30" w:rsidRDefault="00985EA0">
            <w:pPr>
              <w:widowControl/>
              <w:autoSpaceDE/>
              <w:autoSpaceDN/>
              <w:jc w:val="right"/>
              <w:rPr>
                <w:color w:val="000000"/>
                <w:sz w:val="24"/>
                <w:szCs w:val="24"/>
                <w:lang w:val="en-US"/>
              </w:rPr>
            </w:pPr>
            <w:r>
              <w:rPr>
                <w:color w:val="000000"/>
                <w:sz w:val="24"/>
                <w:szCs w:val="24"/>
                <w:lang w:val="en-US"/>
              </w:rPr>
              <w:t>90.35</w:t>
            </w:r>
          </w:p>
        </w:tc>
        <w:tc>
          <w:tcPr>
            <w:tcW w:w="1000" w:type="dxa"/>
            <w:noWrap/>
            <w:vAlign w:val="bottom"/>
          </w:tcPr>
          <w:p w14:paraId="2F4A16EB" w14:textId="77777777" w:rsidR="00963A30" w:rsidRDefault="00985EA0">
            <w:pPr>
              <w:widowControl/>
              <w:autoSpaceDE/>
              <w:autoSpaceDN/>
              <w:jc w:val="right"/>
              <w:rPr>
                <w:color w:val="000000"/>
                <w:sz w:val="24"/>
                <w:szCs w:val="24"/>
                <w:lang w:val="en-US"/>
              </w:rPr>
            </w:pPr>
            <w:r>
              <w:rPr>
                <w:color w:val="000000"/>
                <w:sz w:val="24"/>
                <w:szCs w:val="24"/>
                <w:lang w:val="en-US"/>
              </w:rPr>
              <w:t>90.35</w:t>
            </w:r>
          </w:p>
        </w:tc>
        <w:tc>
          <w:tcPr>
            <w:tcW w:w="1020" w:type="dxa"/>
            <w:gridSpan w:val="2"/>
            <w:noWrap/>
            <w:vAlign w:val="bottom"/>
          </w:tcPr>
          <w:p w14:paraId="485E02EC" w14:textId="77777777" w:rsidR="00963A30" w:rsidRDefault="00985EA0">
            <w:pPr>
              <w:widowControl/>
              <w:autoSpaceDE/>
              <w:autoSpaceDN/>
              <w:jc w:val="right"/>
              <w:rPr>
                <w:color w:val="000000"/>
                <w:sz w:val="24"/>
                <w:szCs w:val="24"/>
                <w:lang w:val="en-US"/>
              </w:rPr>
            </w:pPr>
            <w:r>
              <w:rPr>
                <w:color w:val="000000"/>
                <w:sz w:val="24"/>
                <w:szCs w:val="24"/>
                <w:lang w:val="en-US"/>
              </w:rPr>
              <w:t>89.35</w:t>
            </w:r>
          </w:p>
        </w:tc>
        <w:tc>
          <w:tcPr>
            <w:tcW w:w="296" w:type="dxa"/>
            <w:tcBorders>
              <w:left w:val="nil"/>
            </w:tcBorders>
            <w:noWrap/>
            <w:vAlign w:val="bottom"/>
          </w:tcPr>
          <w:p w14:paraId="59A2F17F" w14:textId="77777777" w:rsidR="00963A30" w:rsidRDefault="00963A30">
            <w:pPr>
              <w:widowControl/>
              <w:autoSpaceDE/>
              <w:autoSpaceDN/>
              <w:jc w:val="right"/>
              <w:rPr>
                <w:rFonts w:ascii="Cambria" w:hAnsi="Cambria" w:cs="Calibri"/>
                <w:color w:val="000000"/>
                <w:sz w:val="20"/>
                <w:szCs w:val="20"/>
                <w:lang w:val="en-US"/>
              </w:rPr>
            </w:pPr>
          </w:p>
        </w:tc>
      </w:tr>
      <w:tr w:rsidR="00963A30" w14:paraId="0D86F53A" w14:textId="77777777">
        <w:trPr>
          <w:trHeight w:val="301"/>
        </w:trPr>
        <w:tc>
          <w:tcPr>
            <w:tcW w:w="2017" w:type="dxa"/>
            <w:noWrap/>
            <w:vAlign w:val="bottom"/>
          </w:tcPr>
          <w:p w14:paraId="30845667" w14:textId="77777777" w:rsidR="00963A30" w:rsidRDefault="00985EA0">
            <w:pPr>
              <w:widowControl/>
              <w:autoSpaceDE/>
              <w:autoSpaceDN/>
              <w:rPr>
                <w:color w:val="000000"/>
                <w:sz w:val="24"/>
                <w:szCs w:val="24"/>
                <w:lang w:val="en-US"/>
              </w:rPr>
            </w:pPr>
            <w:r>
              <w:rPr>
                <w:color w:val="000000"/>
                <w:sz w:val="24"/>
                <w:szCs w:val="24"/>
                <w:lang w:val="en-US"/>
              </w:rPr>
              <w:t>Organic matter</w:t>
            </w:r>
          </w:p>
        </w:tc>
        <w:tc>
          <w:tcPr>
            <w:tcW w:w="1094" w:type="dxa"/>
            <w:noWrap/>
            <w:vAlign w:val="bottom"/>
          </w:tcPr>
          <w:p w14:paraId="5FF37B44" w14:textId="77777777" w:rsidR="00963A30" w:rsidRDefault="00985EA0">
            <w:pPr>
              <w:widowControl/>
              <w:autoSpaceDE/>
              <w:autoSpaceDN/>
              <w:jc w:val="right"/>
              <w:rPr>
                <w:color w:val="000000"/>
                <w:sz w:val="24"/>
                <w:szCs w:val="24"/>
                <w:lang w:val="en-US"/>
              </w:rPr>
            </w:pPr>
            <w:r>
              <w:rPr>
                <w:color w:val="000000"/>
                <w:sz w:val="24"/>
                <w:szCs w:val="24"/>
                <w:lang w:val="en-US"/>
              </w:rPr>
              <w:t>88.69</w:t>
            </w:r>
          </w:p>
        </w:tc>
        <w:tc>
          <w:tcPr>
            <w:tcW w:w="833" w:type="dxa"/>
            <w:noWrap/>
            <w:vAlign w:val="bottom"/>
          </w:tcPr>
          <w:p w14:paraId="1ACCD558" w14:textId="77777777" w:rsidR="00963A30" w:rsidRDefault="00985EA0">
            <w:pPr>
              <w:widowControl/>
              <w:autoSpaceDE/>
              <w:autoSpaceDN/>
              <w:jc w:val="right"/>
              <w:rPr>
                <w:color w:val="000000"/>
                <w:sz w:val="24"/>
                <w:szCs w:val="24"/>
                <w:lang w:val="en-US"/>
              </w:rPr>
            </w:pPr>
            <w:r>
              <w:rPr>
                <w:color w:val="000000"/>
                <w:sz w:val="24"/>
                <w:szCs w:val="24"/>
                <w:lang w:val="en-US"/>
              </w:rPr>
              <w:t>88.69</w:t>
            </w:r>
          </w:p>
        </w:tc>
        <w:tc>
          <w:tcPr>
            <w:tcW w:w="1022" w:type="dxa"/>
            <w:gridSpan w:val="2"/>
            <w:noWrap/>
            <w:vAlign w:val="bottom"/>
          </w:tcPr>
          <w:p w14:paraId="3F214B30" w14:textId="77777777" w:rsidR="00963A30" w:rsidRDefault="00985EA0">
            <w:pPr>
              <w:widowControl/>
              <w:autoSpaceDE/>
              <w:autoSpaceDN/>
              <w:jc w:val="right"/>
              <w:rPr>
                <w:color w:val="000000"/>
                <w:sz w:val="24"/>
                <w:szCs w:val="24"/>
                <w:lang w:val="en-US"/>
              </w:rPr>
            </w:pPr>
            <w:r>
              <w:rPr>
                <w:color w:val="000000"/>
                <w:sz w:val="24"/>
                <w:szCs w:val="24"/>
                <w:lang w:val="en-US"/>
              </w:rPr>
              <w:t>88.69</w:t>
            </w:r>
          </w:p>
        </w:tc>
        <w:tc>
          <w:tcPr>
            <w:tcW w:w="1000" w:type="dxa"/>
            <w:gridSpan w:val="2"/>
            <w:noWrap/>
            <w:vAlign w:val="bottom"/>
          </w:tcPr>
          <w:p w14:paraId="7B4E4F71" w14:textId="77777777" w:rsidR="00963A30" w:rsidRDefault="00985EA0">
            <w:pPr>
              <w:widowControl/>
              <w:autoSpaceDE/>
              <w:autoSpaceDN/>
              <w:jc w:val="right"/>
              <w:rPr>
                <w:color w:val="000000"/>
                <w:sz w:val="24"/>
                <w:szCs w:val="24"/>
                <w:lang w:val="en-US"/>
              </w:rPr>
            </w:pPr>
            <w:r>
              <w:rPr>
                <w:color w:val="000000"/>
                <w:sz w:val="24"/>
                <w:szCs w:val="24"/>
                <w:lang w:val="en-US"/>
              </w:rPr>
              <w:t>88.69</w:t>
            </w:r>
          </w:p>
        </w:tc>
        <w:tc>
          <w:tcPr>
            <w:tcW w:w="1000" w:type="dxa"/>
            <w:noWrap/>
            <w:vAlign w:val="bottom"/>
          </w:tcPr>
          <w:p w14:paraId="064AAE8C" w14:textId="77777777" w:rsidR="00963A30" w:rsidRDefault="00985EA0">
            <w:pPr>
              <w:widowControl/>
              <w:autoSpaceDE/>
              <w:autoSpaceDN/>
              <w:jc w:val="right"/>
              <w:rPr>
                <w:color w:val="000000"/>
                <w:sz w:val="24"/>
                <w:szCs w:val="24"/>
                <w:lang w:val="en-US"/>
              </w:rPr>
            </w:pPr>
            <w:r>
              <w:rPr>
                <w:color w:val="000000"/>
                <w:sz w:val="24"/>
                <w:szCs w:val="24"/>
                <w:lang w:val="en-US"/>
              </w:rPr>
              <w:t>88.69</w:t>
            </w:r>
          </w:p>
        </w:tc>
        <w:tc>
          <w:tcPr>
            <w:tcW w:w="1000" w:type="dxa"/>
            <w:noWrap/>
            <w:vAlign w:val="bottom"/>
          </w:tcPr>
          <w:p w14:paraId="7A16D426" w14:textId="77777777" w:rsidR="00963A30" w:rsidRDefault="00985EA0">
            <w:pPr>
              <w:widowControl/>
              <w:autoSpaceDE/>
              <w:autoSpaceDN/>
              <w:jc w:val="right"/>
              <w:rPr>
                <w:color w:val="000000"/>
                <w:sz w:val="24"/>
                <w:szCs w:val="24"/>
                <w:lang w:val="en-US"/>
              </w:rPr>
            </w:pPr>
            <w:r>
              <w:rPr>
                <w:color w:val="000000"/>
                <w:sz w:val="24"/>
                <w:szCs w:val="24"/>
                <w:lang w:val="en-US"/>
              </w:rPr>
              <w:t>88.69</w:t>
            </w:r>
          </w:p>
        </w:tc>
        <w:tc>
          <w:tcPr>
            <w:tcW w:w="1020" w:type="dxa"/>
            <w:gridSpan w:val="2"/>
            <w:noWrap/>
            <w:vAlign w:val="bottom"/>
          </w:tcPr>
          <w:p w14:paraId="58D5A4D9" w14:textId="77777777" w:rsidR="00963A30" w:rsidRDefault="00985EA0">
            <w:pPr>
              <w:widowControl/>
              <w:autoSpaceDE/>
              <w:autoSpaceDN/>
              <w:jc w:val="right"/>
              <w:rPr>
                <w:color w:val="000000"/>
                <w:sz w:val="24"/>
                <w:szCs w:val="24"/>
                <w:lang w:val="en-US"/>
              </w:rPr>
            </w:pPr>
            <w:r>
              <w:rPr>
                <w:color w:val="000000"/>
                <w:sz w:val="24"/>
                <w:szCs w:val="24"/>
                <w:lang w:val="en-US"/>
              </w:rPr>
              <w:t>88.60</w:t>
            </w:r>
          </w:p>
        </w:tc>
        <w:tc>
          <w:tcPr>
            <w:tcW w:w="296" w:type="dxa"/>
            <w:tcBorders>
              <w:left w:val="nil"/>
            </w:tcBorders>
            <w:noWrap/>
            <w:vAlign w:val="bottom"/>
          </w:tcPr>
          <w:p w14:paraId="1721FA2B" w14:textId="77777777" w:rsidR="00963A30" w:rsidRDefault="00963A30">
            <w:pPr>
              <w:widowControl/>
              <w:autoSpaceDE/>
              <w:autoSpaceDN/>
              <w:jc w:val="right"/>
              <w:rPr>
                <w:rFonts w:ascii="Cambria" w:hAnsi="Cambria" w:cs="Calibri"/>
                <w:color w:val="000000"/>
                <w:sz w:val="20"/>
                <w:szCs w:val="20"/>
                <w:lang w:val="en-US"/>
              </w:rPr>
            </w:pPr>
          </w:p>
        </w:tc>
      </w:tr>
      <w:tr w:rsidR="00963A30" w14:paraId="35A617D4" w14:textId="77777777">
        <w:trPr>
          <w:trHeight w:val="301"/>
        </w:trPr>
        <w:tc>
          <w:tcPr>
            <w:tcW w:w="2017" w:type="dxa"/>
            <w:noWrap/>
            <w:vAlign w:val="bottom"/>
          </w:tcPr>
          <w:p w14:paraId="0D7A6EFE" w14:textId="77777777" w:rsidR="00963A30" w:rsidRDefault="00985EA0">
            <w:pPr>
              <w:widowControl/>
              <w:autoSpaceDE/>
              <w:autoSpaceDN/>
              <w:rPr>
                <w:color w:val="000000"/>
                <w:sz w:val="24"/>
                <w:szCs w:val="24"/>
                <w:lang w:val="en-US"/>
              </w:rPr>
            </w:pPr>
            <w:r>
              <w:rPr>
                <w:color w:val="000000"/>
                <w:sz w:val="24"/>
                <w:szCs w:val="24"/>
                <w:lang w:val="en-US"/>
              </w:rPr>
              <w:t>Crude protein</w:t>
            </w:r>
          </w:p>
        </w:tc>
        <w:tc>
          <w:tcPr>
            <w:tcW w:w="1094" w:type="dxa"/>
            <w:noWrap/>
            <w:vAlign w:val="bottom"/>
          </w:tcPr>
          <w:p w14:paraId="2D00AD3D" w14:textId="77777777" w:rsidR="00963A30" w:rsidRDefault="00985EA0">
            <w:pPr>
              <w:widowControl/>
              <w:autoSpaceDE/>
              <w:autoSpaceDN/>
              <w:jc w:val="right"/>
              <w:rPr>
                <w:color w:val="000000"/>
                <w:sz w:val="24"/>
                <w:szCs w:val="24"/>
                <w:lang w:val="en-US"/>
              </w:rPr>
            </w:pPr>
            <w:r>
              <w:rPr>
                <w:color w:val="000000"/>
                <w:sz w:val="24"/>
                <w:szCs w:val="24"/>
                <w:lang w:val="en-US"/>
              </w:rPr>
              <w:t>10.52</w:t>
            </w:r>
          </w:p>
        </w:tc>
        <w:tc>
          <w:tcPr>
            <w:tcW w:w="833" w:type="dxa"/>
            <w:noWrap/>
            <w:vAlign w:val="bottom"/>
          </w:tcPr>
          <w:p w14:paraId="0E02C206" w14:textId="77777777" w:rsidR="00963A30" w:rsidRDefault="00985EA0">
            <w:pPr>
              <w:widowControl/>
              <w:autoSpaceDE/>
              <w:autoSpaceDN/>
              <w:jc w:val="right"/>
              <w:rPr>
                <w:color w:val="000000"/>
                <w:sz w:val="24"/>
                <w:szCs w:val="24"/>
                <w:lang w:val="en-US"/>
              </w:rPr>
            </w:pPr>
            <w:r>
              <w:rPr>
                <w:color w:val="000000"/>
                <w:sz w:val="24"/>
                <w:szCs w:val="24"/>
                <w:lang w:val="en-US"/>
              </w:rPr>
              <w:t>11.96</w:t>
            </w:r>
          </w:p>
        </w:tc>
        <w:tc>
          <w:tcPr>
            <w:tcW w:w="1022" w:type="dxa"/>
            <w:gridSpan w:val="2"/>
            <w:noWrap/>
            <w:vAlign w:val="bottom"/>
          </w:tcPr>
          <w:p w14:paraId="1ADA10E3" w14:textId="77777777" w:rsidR="00963A30" w:rsidRDefault="00985EA0">
            <w:pPr>
              <w:widowControl/>
              <w:autoSpaceDE/>
              <w:autoSpaceDN/>
              <w:jc w:val="right"/>
              <w:rPr>
                <w:color w:val="000000"/>
                <w:sz w:val="24"/>
                <w:szCs w:val="24"/>
                <w:lang w:val="en-US"/>
              </w:rPr>
            </w:pPr>
            <w:r>
              <w:rPr>
                <w:color w:val="000000"/>
                <w:sz w:val="24"/>
                <w:szCs w:val="24"/>
                <w:lang w:val="en-US"/>
              </w:rPr>
              <w:t>13.40</w:t>
            </w:r>
          </w:p>
        </w:tc>
        <w:tc>
          <w:tcPr>
            <w:tcW w:w="1000" w:type="dxa"/>
            <w:gridSpan w:val="2"/>
            <w:noWrap/>
            <w:vAlign w:val="bottom"/>
          </w:tcPr>
          <w:p w14:paraId="3AC68A7D" w14:textId="77777777" w:rsidR="00963A30" w:rsidRDefault="00985EA0">
            <w:pPr>
              <w:widowControl/>
              <w:autoSpaceDE/>
              <w:autoSpaceDN/>
              <w:jc w:val="right"/>
              <w:rPr>
                <w:color w:val="000000"/>
                <w:sz w:val="24"/>
                <w:szCs w:val="24"/>
                <w:lang w:val="en-US"/>
              </w:rPr>
            </w:pPr>
            <w:r>
              <w:rPr>
                <w:color w:val="000000"/>
                <w:sz w:val="24"/>
                <w:szCs w:val="24"/>
                <w:lang w:val="en-US"/>
              </w:rPr>
              <w:t>10.52</w:t>
            </w:r>
          </w:p>
        </w:tc>
        <w:tc>
          <w:tcPr>
            <w:tcW w:w="1000" w:type="dxa"/>
            <w:noWrap/>
            <w:vAlign w:val="bottom"/>
          </w:tcPr>
          <w:p w14:paraId="6DBBB5D3" w14:textId="77777777" w:rsidR="00963A30" w:rsidRDefault="00985EA0">
            <w:pPr>
              <w:widowControl/>
              <w:autoSpaceDE/>
              <w:autoSpaceDN/>
              <w:jc w:val="right"/>
              <w:rPr>
                <w:color w:val="000000"/>
                <w:sz w:val="24"/>
                <w:szCs w:val="24"/>
                <w:lang w:val="en-US"/>
              </w:rPr>
            </w:pPr>
            <w:r>
              <w:rPr>
                <w:color w:val="000000"/>
                <w:sz w:val="24"/>
                <w:szCs w:val="24"/>
                <w:lang w:val="en-US"/>
              </w:rPr>
              <w:t>10.52</w:t>
            </w:r>
          </w:p>
        </w:tc>
        <w:tc>
          <w:tcPr>
            <w:tcW w:w="1000" w:type="dxa"/>
            <w:noWrap/>
            <w:vAlign w:val="bottom"/>
          </w:tcPr>
          <w:p w14:paraId="553B4661" w14:textId="77777777" w:rsidR="00963A30" w:rsidRDefault="00985EA0">
            <w:pPr>
              <w:widowControl/>
              <w:autoSpaceDE/>
              <w:autoSpaceDN/>
              <w:jc w:val="right"/>
              <w:rPr>
                <w:color w:val="000000"/>
                <w:sz w:val="24"/>
                <w:szCs w:val="24"/>
                <w:lang w:val="en-US"/>
              </w:rPr>
            </w:pPr>
            <w:r>
              <w:rPr>
                <w:color w:val="000000"/>
                <w:sz w:val="24"/>
                <w:szCs w:val="24"/>
                <w:lang w:val="en-US"/>
              </w:rPr>
              <w:t>11.96</w:t>
            </w:r>
          </w:p>
        </w:tc>
        <w:tc>
          <w:tcPr>
            <w:tcW w:w="1020" w:type="dxa"/>
            <w:gridSpan w:val="2"/>
            <w:noWrap/>
            <w:vAlign w:val="bottom"/>
          </w:tcPr>
          <w:p w14:paraId="5E07D246" w14:textId="77777777" w:rsidR="00963A30" w:rsidRDefault="00985EA0">
            <w:pPr>
              <w:widowControl/>
              <w:autoSpaceDE/>
              <w:autoSpaceDN/>
              <w:jc w:val="right"/>
              <w:rPr>
                <w:color w:val="000000"/>
                <w:sz w:val="24"/>
                <w:szCs w:val="24"/>
                <w:lang w:val="en-US"/>
              </w:rPr>
            </w:pPr>
            <w:r>
              <w:rPr>
                <w:color w:val="000000"/>
                <w:sz w:val="24"/>
                <w:szCs w:val="24"/>
                <w:lang w:val="en-US"/>
              </w:rPr>
              <w:t>13.40</w:t>
            </w:r>
          </w:p>
        </w:tc>
        <w:tc>
          <w:tcPr>
            <w:tcW w:w="296" w:type="dxa"/>
            <w:tcBorders>
              <w:left w:val="nil"/>
            </w:tcBorders>
            <w:noWrap/>
            <w:vAlign w:val="bottom"/>
          </w:tcPr>
          <w:p w14:paraId="6D1ABBDE" w14:textId="77777777" w:rsidR="00963A30" w:rsidRDefault="00963A30">
            <w:pPr>
              <w:widowControl/>
              <w:autoSpaceDE/>
              <w:autoSpaceDN/>
              <w:jc w:val="right"/>
              <w:rPr>
                <w:rFonts w:ascii="Cambria" w:hAnsi="Cambria" w:cs="Calibri"/>
                <w:color w:val="000000"/>
                <w:sz w:val="20"/>
                <w:szCs w:val="20"/>
                <w:lang w:val="en-US"/>
              </w:rPr>
            </w:pPr>
          </w:p>
        </w:tc>
      </w:tr>
      <w:bookmarkEnd w:id="2"/>
      <w:tr w:rsidR="00963A30" w14:paraId="75ED971C" w14:textId="77777777">
        <w:trPr>
          <w:trHeight w:val="301"/>
        </w:trPr>
        <w:tc>
          <w:tcPr>
            <w:tcW w:w="2017" w:type="dxa"/>
            <w:noWrap/>
            <w:vAlign w:val="bottom"/>
          </w:tcPr>
          <w:p w14:paraId="3FECF44F" w14:textId="77777777" w:rsidR="00963A30" w:rsidRDefault="00985EA0">
            <w:pPr>
              <w:widowControl/>
              <w:autoSpaceDE/>
              <w:autoSpaceDN/>
              <w:rPr>
                <w:color w:val="000000"/>
                <w:sz w:val="24"/>
                <w:szCs w:val="24"/>
                <w:lang w:val="en-US"/>
              </w:rPr>
            </w:pPr>
            <w:r>
              <w:rPr>
                <w:color w:val="000000"/>
                <w:sz w:val="24"/>
                <w:szCs w:val="24"/>
                <w:lang w:val="en-US"/>
              </w:rPr>
              <w:t>TDN</w:t>
            </w:r>
          </w:p>
        </w:tc>
        <w:tc>
          <w:tcPr>
            <w:tcW w:w="1094" w:type="dxa"/>
            <w:noWrap/>
            <w:vAlign w:val="bottom"/>
          </w:tcPr>
          <w:p w14:paraId="006561CE" w14:textId="77777777" w:rsidR="00963A30" w:rsidRDefault="00985EA0">
            <w:pPr>
              <w:widowControl/>
              <w:autoSpaceDE/>
              <w:autoSpaceDN/>
              <w:jc w:val="right"/>
              <w:rPr>
                <w:color w:val="000000"/>
                <w:sz w:val="24"/>
                <w:szCs w:val="24"/>
                <w:lang w:val="en-US"/>
              </w:rPr>
            </w:pPr>
            <w:r>
              <w:rPr>
                <w:color w:val="000000"/>
                <w:sz w:val="24"/>
                <w:szCs w:val="24"/>
                <w:lang w:val="en-US"/>
              </w:rPr>
              <w:t>65.23</w:t>
            </w:r>
          </w:p>
        </w:tc>
        <w:tc>
          <w:tcPr>
            <w:tcW w:w="833" w:type="dxa"/>
            <w:noWrap/>
            <w:vAlign w:val="bottom"/>
          </w:tcPr>
          <w:p w14:paraId="4C65CCEA" w14:textId="77777777" w:rsidR="00963A30" w:rsidRDefault="00985EA0">
            <w:pPr>
              <w:widowControl/>
              <w:autoSpaceDE/>
              <w:autoSpaceDN/>
              <w:jc w:val="right"/>
              <w:rPr>
                <w:color w:val="000000"/>
                <w:sz w:val="24"/>
                <w:szCs w:val="24"/>
                <w:lang w:val="en-US"/>
              </w:rPr>
            </w:pPr>
            <w:r>
              <w:rPr>
                <w:color w:val="000000"/>
                <w:sz w:val="24"/>
                <w:szCs w:val="24"/>
                <w:lang w:val="en-US"/>
              </w:rPr>
              <w:t>65.23</w:t>
            </w:r>
          </w:p>
        </w:tc>
        <w:tc>
          <w:tcPr>
            <w:tcW w:w="1022" w:type="dxa"/>
            <w:gridSpan w:val="2"/>
            <w:noWrap/>
            <w:vAlign w:val="bottom"/>
          </w:tcPr>
          <w:p w14:paraId="787305DF" w14:textId="77777777" w:rsidR="00963A30" w:rsidRDefault="00985EA0">
            <w:pPr>
              <w:widowControl/>
              <w:autoSpaceDE/>
              <w:autoSpaceDN/>
              <w:jc w:val="right"/>
              <w:rPr>
                <w:color w:val="000000"/>
                <w:sz w:val="24"/>
                <w:szCs w:val="24"/>
                <w:lang w:val="en-US"/>
              </w:rPr>
            </w:pPr>
            <w:r>
              <w:rPr>
                <w:color w:val="000000"/>
                <w:sz w:val="24"/>
                <w:szCs w:val="24"/>
                <w:lang w:val="en-US"/>
              </w:rPr>
              <w:t>65.23</w:t>
            </w:r>
          </w:p>
        </w:tc>
        <w:tc>
          <w:tcPr>
            <w:tcW w:w="1000" w:type="dxa"/>
            <w:gridSpan w:val="2"/>
            <w:noWrap/>
            <w:vAlign w:val="bottom"/>
          </w:tcPr>
          <w:p w14:paraId="6FB53492" w14:textId="77777777" w:rsidR="00963A30" w:rsidRDefault="00985EA0">
            <w:pPr>
              <w:widowControl/>
              <w:autoSpaceDE/>
              <w:autoSpaceDN/>
              <w:jc w:val="right"/>
              <w:rPr>
                <w:color w:val="000000"/>
                <w:sz w:val="24"/>
                <w:szCs w:val="24"/>
                <w:lang w:val="en-US"/>
              </w:rPr>
            </w:pPr>
            <w:r>
              <w:rPr>
                <w:color w:val="000000"/>
                <w:sz w:val="24"/>
                <w:szCs w:val="24"/>
                <w:lang w:val="en-US"/>
              </w:rPr>
              <w:t>65.23</w:t>
            </w:r>
          </w:p>
        </w:tc>
        <w:tc>
          <w:tcPr>
            <w:tcW w:w="1000" w:type="dxa"/>
            <w:noWrap/>
            <w:vAlign w:val="bottom"/>
          </w:tcPr>
          <w:p w14:paraId="15AEA8EC" w14:textId="77777777" w:rsidR="00963A30" w:rsidRDefault="00985EA0">
            <w:pPr>
              <w:widowControl/>
              <w:autoSpaceDE/>
              <w:autoSpaceDN/>
              <w:jc w:val="right"/>
              <w:rPr>
                <w:color w:val="000000"/>
                <w:sz w:val="24"/>
                <w:szCs w:val="24"/>
                <w:lang w:val="en-US"/>
              </w:rPr>
            </w:pPr>
            <w:r>
              <w:rPr>
                <w:color w:val="000000"/>
                <w:sz w:val="24"/>
                <w:szCs w:val="24"/>
                <w:lang w:val="en-US"/>
              </w:rPr>
              <w:t>65.23</w:t>
            </w:r>
          </w:p>
        </w:tc>
        <w:tc>
          <w:tcPr>
            <w:tcW w:w="1000" w:type="dxa"/>
            <w:noWrap/>
            <w:vAlign w:val="bottom"/>
          </w:tcPr>
          <w:p w14:paraId="68931E27" w14:textId="77777777" w:rsidR="00963A30" w:rsidRDefault="00985EA0">
            <w:pPr>
              <w:widowControl/>
              <w:autoSpaceDE/>
              <w:autoSpaceDN/>
              <w:jc w:val="right"/>
              <w:rPr>
                <w:color w:val="000000"/>
                <w:sz w:val="24"/>
                <w:szCs w:val="24"/>
                <w:lang w:val="en-US"/>
              </w:rPr>
            </w:pPr>
            <w:r>
              <w:rPr>
                <w:color w:val="000000"/>
                <w:sz w:val="24"/>
                <w:szCs w:val="24"/>
                <w:lang w:val="en-US"/>
              </w:rPr>
              <w:t>65.23</w:t>
            </w:r>
          </w:p>
        </w:tc>
        <w:tc>
          <w:tcPr>
            <w:tcW w:w="1020" w:type="dxa"/>
            <w:gridSpan w:val="2"/>
            <w:noWrap/>
            <w:vAlign w:val="bottom"/>
          </w:tcPr>
          <w:p w14:paraId="6EF8B5C0" w14:textId="77777777" w:rsidR="00963A30" w:rsidRDefault="00985EA0">
            <w:pPr>
              <w:widowControl/>
              <w:autoSpaceDE/>
              <w:autoSpaceDN/>
              <w:jc w:val="right"/>
              <w:rPr>
                <w:color w:val="000000"/>
                <w:sz w:val="24"/>
                <w:szCs w:val="24"/>
                <w:lang w:val="en-US"/>
              </w:rPr>
            </w:pPr>
            <w:r>
              <w:rPr>
                <w:color w:val="000000"/>
                <w:sz w:val="24"/>
                <w:szCs w:val="24"/>
                <w:lang w:val="en-US"/>
              </w:rPr>
              <w:t>65.23</w:t>
            </w:r>
          </w:p>
        </w:tc>
        <w:tc>
          <w:tcPr>
            <w:tcW w:w="296" w:type="dxa"/>
            <w:tcBorders>
              <w:left w:val="nil"/>
            </w:tcBorders>
            <w:noWrap/>
            <w:vAlign w:val="bottom"/>
          </w:tcPr>
          <w:p w14:paraId="5661830E" w14:textId="77777777" w:rsidR="00963A30" w:rsidRDefault="00963A30">
            <w:pPr>
              <w:widowControl/>
              <w:autoSpaceDE/>
              <w:autoSpaceDN/>
              <w:jc w:val="right"/>
              <w:rPr>
                <w:rFonts w:ascii="Cambria" w:hAnsi="Cambria" w:cs="Calibri"/>
                <w:color w:val="000000"/>
                <w:sz w:val="20"/>
                <w:szCs w:val="20"/>
                <w:lang w:val="en-US"/>
              </w:rPr>
            </w:pPr>
          </w:p>
        </w:tc>
      </w:tr>
      <w:tr w:rsidR="00963A30" w14:paraId="28BEB098" w14:textId="77777777">
        <w:trPr>
          <w:trHeight w:val="301"/>
        </w:trPr>
        <w:tc>
          <w:tcPr>
            <w:tcW w:w="2017" w:type="dxa"/>
            <w:noWrap/>
            <w:vAlign w:val="bottom"/>
          </w:tcPr>
          <w:p w14:paraId="36CB0402" w14:textId="77777777" w:rsidR="00963A30" w:rsidRDefault="00985EA0">
            <w:pPr>
              <w:widowControl/>
              <w:autoSpaceDE/>
              <w:autoSpaceDN/>
              <w:rPr>
                <w:color w:val="000000"/>
                <w:sz w:val="24"/>
                <w:szCs w:val="24"/>
                <w:lang w:val="en-US"/>
              </w:rPr>
            </w:pPr>
            <w:r>
              <w:rPr>
                <w:color w:val="000000"/>
                <w:sz w:val="24"/>
                <w:szCs w:val="24"/>
                <w:lang w:val="en-US"/>
              </w:rPr>
              <w:t>Ash</w:t>
            </w:r>
          </w:p>
        </w:tc>
        <w:tc>
          <w:tcPr>
            <w:tcW w:w="1094" w:type="dxa"/>
            <w:noWrap/>
            <w:vAlign w:val="bottom"/>
          </w:tcPr>
          <w:p w14:paraId="25659DDD" w14:textId="77777777" w:rsidR="00963A30" w:rsidRDefault="00985EA0">
            <w:pPr>
              <w:widowControl/>
              <w:autoSpaceDE/>
              <w:autoSpaceDN/>
              <w:jc w:val="right"/>
              <w:rPr>
                <w:color w:val="000000"/>
                <w:sz w:val="24"/>
                <w:szCs w:val="24"/>
                <w:lang w:val="en-US"/>
              </w:rPr>
            </w:pPr>
            <w:r>
              <w:rPr>
                <w:color w:val="000000"/>
                <w:sz w:val="24"/>
                <w:szCs w:val="24"/>
                <w:lang w:val="en-US"/>
              </w:rPr>
              <w:t>11.31</w:t>
            </w:r>
          </w:p>
        </w:tc>
        <w:tc>
          <w:tcPr>
            <w:tcW w:w="833" w:type="dxa"/>
            <w:noWrap/>
            <w:vAlign w:val="bottom"/>
          </w:tcPr>
          <w:p w14:paraId="4665F8A8" w14:textId="77777777" w:rsidR="00963A30" w:rsidRDefault="00985EA0">
            <w:pPr>
              <w:widowControl/>
              <w:autoSpaceDE/>
              <w:autoSpaceDN/>
              <w:jc w:val="right"/>
              <w:rPr>
                <w:color w:val="000000"/>
                <w:sz w:val="24"/>
                <w:szCs w:val="24"/>
                <w:lang w:val="en-US"/>
              </w:rPr>
            </w:pPr>
            <w:r>
              <w:rPr>
                <w:color w:val="000000"/>
                <w:sz w:val="24"/>
                <w:szCs w:val="24"/>
                <w:lang w:val="en-US"/>
              </w:rPr>
              <w:t>11.31</w:t>
            </w:r>
          </w:p>
        </w:tc>
        <w:tc>
          <w:tcPr>
            <w:tcW w:w="1022" w:type="dxa"/>
            <w:gridSpan w:val="2"/>
            <w:noWrap/>
            <w:vAlign w:val="bottom"/>
          </w:tcPr>
          <w:p w14:paraId="510128E9" w14:textId="77777777" w:rsidR="00963A30" w:rsidRDefault="00985EA0">
            <w:pPr>
              <w:widowControl/>
              <w:autoSpaceDE/>
              <w:autoSpaceDN/>
              <w:jc w:val="right"/>
              <w:rPr>
                <w:color w:val="000000"/>
                <w:sz w:val="24"/>
                <w:szCs w:val="24"/>
                <w:lang w:val="en-US"/>
              </w:rPr>
            </w:pPr>
            <w:r>
              <w:rPr>
                <w:color w:val="000000"/>
                <w:sz w:val="24"/>
                <w:szCs w:val="24"/>
                <w:lang w:val="en-US"/>
              </w:rPr>
              <w:t>11.31</w:t>
            </w:r>
          </w:p>
        </w:tc>
        <w:tc>
          <w:tcPr>
            <w:tcW w:w="1000" w:type="dxa"/>
            <w:gridSpan w:val="2"/>
            <w:noWrap/>
            <w:vAlign w:val="bottom"/>
          </w:tcPr>
          <w:p w14:paraId="348B515B" w14:textId="77777777" w:rsidR="00963A30" w:rsidRDefault="00985EA0">
            <w:pPr>
              <w:widowControl/>
              <w:autoSpaceDE/>
              <w:autoSpaceDN/>
              <w:jc w:val="right"/>
              <w:rPr>
                <w:color w:val="000000"/>
                <w:sz w:val="24"/>
                <w:szCs w:val="24"/>
                <w:lang w:val="en-US"/>
              </w:rPr>
            </w:pPr>
            <w:r>
              <w:rPr>
                <w:color w:val="000000"/>
                <w:sz w:val="24"/>
                <w:szCs w:val="24"/>
                <w:lang w:val="en-US"/>
              </w:rPr>
              <w:t>11.31</w:t>
            </w:r>
          </w:p>
        </w:tc>
        <w:tc>
          <w:tcPr>
            <w:tcW w:w="1000" w:type="dxa"/>
            <w:noWrap/>
            <w:vAlign w:val="bottom"/>
          </w:tcPr>
          <w:p w14:paraId="5FBCDA50" w14:textId="77777777" w:rsidR="00963A30" w:rsidRDefault="00985EA0">
            <w:pPr>
              <w:widowControl/>
              <w:autoSpaceDE/>
              <w:autoSpaceDN/>
              <w:jc w:val="right"/>
              <w:rPr>
                <w:color w:val="000000"/>
                <w:sz w:val="24"/>
                <w:szCs w:val="24"/>
                <w:lang w:val="en-US"/>
              </w:rPr>
            </w:pPr>
            <w:r>
              <w:rPr>
                <w:color w:val="000000"/>
                <w:sz w:val="24"/>
                <w:szCs w:val="24"/>
                <w:lang w:val="en-US"/>
              </w:rPr>
              <w:t>11.31</w:t>
            </w:r>
          </w:p>
        </w:tc>
        <w:tc>
          <w:tcPr>
            <w:tcW w:w="1000" w:type="dxa"/>
            <w:noWrap/>
            <w:vAlign w:val="bottom"/>
          </w:tcPr>
          <w:p w14:paraId="6B100920" w14:textId="77777777" w:rsidR="00963A30" w:rsidRDefault="00985EA0">
            <w:pPr>
              <w:widowControl/>
              <w:autoSpaceDE/>
              <w:autoSpaceDN/>
              <w:jc w:val="right"/>
              <w:rPr>
                <w:color w:val="000000"/>
                <w:sz w:val="24"/>
                <w:szCs w:val="24"/>
                <w:lang w:val="en-US"/>
              </w:rPr>
            </w:pPr>
            <w:r>
              <w:rPr>
                <w:color w:val="000000"/>
                <w:sz w:val="24"/>
                <w:szCs w:val="24"/>
                <w:lang w:val="en-US"/>
              </w:rPr>
              <w:t>11.31</w:t>
            </w:r>
          </w:p>
        </w:tc>
        <w:tc>
          <w:tcPr>
            <w:tcW w:w="1020" w:type="dxa"/>
            <w:gridSpan w:val="2"/>
            <w:noWrap/>
            <w:vAlign w:val="bottom"/>
          </w:tcPr>
          <w:p w14:paraId="613AF733" w14:textId="77777777" w:rsidR="00963A30" w:rsidRDefault="00985EA0">
            <w:pPr>
              <w:widowControl/>
              <w:autoSpaceDE/>
              <w:autoSpaceDN/>
              <w:jc w:val="right"/>
              <w:rPr>
                <w:color w:val="000000"/>
                <w:sz w:val="24"/>
                <w:szCs w:val="24"/>
                <w:lang w:val="en-US"/>
              </w:rPr>
            </w:pPr>
            <w:r>
              <w:rPr>
                <w:color w:val="000000"/>
                <w:sz w:val="24"/>
                <w:szCs w:val="24"/>
                <w:lang w:val="en-US"/>
              </w:rPr>
              <w:t>11.31</w:t>
            </w:r>
          </w:p>
        </w:tc>
        <w:tc>
          <w:tcPr>
            <w:tcW w:w="296" w:type="dxa"/>
            <w:tcBorders>
              <w:left w:val="nil"/>
            </w:tcBorders>
            <w:noWrap/>
            <w:vAlign w:val="bottom"/>
          </w:tcPr>
          <w:p w14:paraId="2E2A52FE" w14:textId="77777777" w:rsidR="00963A30" w:rsidRDefault="00963A30">
            <w:pPr>
              <w:widowControl/>
              <w:autoSpaceDE/>
              <w:autoSpaceDN/>
              <w:jc w:val="right"/>
              <w:rPr>
                <w:rFonts w:ascii="Cambria" w:hAnsi="Cambria" w:cs="Calibri"/>
                <w:color w:val="000000"/>
                <w:sz w:val="20"/>
                <w:szCs w:val="20"/>
                <w:lang w:val="en-US"/>
              </w:rPr>
            </w:pPr>
          </w:p>
        </w:tc>
      </w:tr>
      <w:tr w:rsidR="00963A30" w14:paraId="119D5A72" w14:textId="77777777">
        <w:trPr>
          <w:trHeight w:val="301"/>
        </w:trPr>
        <w:tc>
          <w:tcPr>
            <w:tcW w:w="2017" w:type="dxa"/>
            <w:noWrap/>
            <w:vAlign w:val="bottom"/>
          </w:tcPr>
          <w:p w14:paraId="36897449" w14:textId="77777777" w:rsidR="00963A30" w:rsidRDefault="00985EA0">
            <w:pPr>
              <w:widowControl/>
              <w:autoSpaceDE/>
              <w:autoSpaceDN/>
              <w:rPr>
                <w:color w:val="000000"/>
                <w:sz w:val="24"/>
                <w:szCs w:val="24"/>
                <w:lang w:val="en-US"/>
              </w:rPr>
            </w:pPr>
            <w:r>
              <w:rPr>
                <w:color w:val="000000"/>
                <w:sz w:val="24"/>
                <w:szCs w:val="24"/>
                <w:lang w:val="en-US"/>
              </w:rPr>
              <w:t>Ether extract</w:t>
            </w:r>
          </w:p>
        </w:tc>
        <w:tc>
          <w:tcPr>
            <w:tcW w:w="1094" w:type="dxa"/>
            <w:noWrap/>
            <w:vAlign w:val="bottom"/>
          </w:tcPr>
          <w:p w14:paraId="523EEFC8" w14:textId="77777777" w:rsidR="00963A30" w:rsidRDefault="00985EA0">
            <w:pPr>
              <w:widowControl/>
              <w:autoSpaceDE/>
              <w:autoSpaceDN/>
              <w:jc w:val="right"/>
              <w:rPr>
                <w:color w:val="000000"/>
                <w:sz w:val="24"/>
                <w:szCs w:val="24"/>
                <w:lang w:val="en-US"/>
              </w:rPr>
            </w:pPr>
            <w:r>
              <w:rPr>
                <w:color w:val="000000"/>
                <w:sz w:val="24"/>
                <w:szCs w:val="24"/>
                <w:lang w:val="en-US"/>
              </w:rPr>
              <w:t>1.59</w:t>
            </w:r>
          </w:p>
        </w:tc>
        <w:tc>
          <w:tcPr>
            <w:tcW w:w="833" w:type="dxa"/>
            <w:noWrap/>
            <w:vAlign w:val="bottom"/>
          </w:tcPr>
          <w:p w14:paraId="5381AEA3" w14:textId="77777777" w:rsidR="00963A30" w:rsidRDefault="00985EA0">
            <w:pPr>
              <w:widowControl/>
              <w:autoSpaceDE/>
              <w:autoSpaceDN/>
              <w:jc w:val="right"/>
              <w:rPr>
                <w:color w:val="000000"/>
                <w:sz w:val="24"/>
                <w:szCs w:val="24"/>
                <w:lang w:val="en-US"/>
              </w:rPr>
            </w:pPr>
            <w:r>
              <w:rPr>
                <w:color w:val="000000"/>
                <w:sz w:val="24"/>
                <w:szCs w:val="24"/>
                <w:lang w:val="en-US"/>
              </w:rPr>
              <w:t>1.59</w:t>
            </w:r>
          </w:p>
        </w:tc>
        <w:tc>
          <w:tcPr>
            <w:tcW w:w="1022" w:type="dxa"/>
            <w:gridSpan w:val="2"/>
            <w:noWrap/>
            <w:vAlign w:val="bottom"/>
          </w:tcPr>
          <w:p w14:paraId="31157B08" w14:textId="77777777" w:rsidR="00963A30" w:rsidRDefault="00985EA0">
            <w:pPr>
              <w:widowControl/>
              <w:autoSpaceDE/>
              <w:autoSpaceDN/>
              <w:jc w:val="right"/>
              <w:rPr>
                <w:color w:val="000000"/>
                <w:sz w:val="24"/>
                <w:szCs w:val="24"/>
                <w:lang w:val="en-US"/>
              </w:rPr>
            </w:pPr>
            <w:r>
              <w:rPr>
                <w:color w:val="000000"/>
                <w:sz w:val="24"/>
                <w:szCs w:val="24"/>
                <w:lang w:val="en-US"/>
              </w:rPr>
              <w:t>1.59</w:t>
            </w:r>
          </w:p>
        </w:tc>
        <w:tc>
          <w:tcPr>
            <w:tcW w:w="1000" w:type="dxa"/>
            <w:gridSpan w:val="2"/>
            <w:noWrap/>
            <w:vAlign w:val="bottom"/>
          </w:tcPr>
          <w:p w14:paraId="201DB740" w14:textId="77777777" w:rsidR="00963A30" w:rsidRDefault="00985EA0">
            <w:pPr>
              <w:widowControl/>
              <w:autoSpaceDE/>
              <w:autoSpaceDN/>
              <w:jc w:val="right"/>
              <w:rPr>
                <w:color w:val="000000"/>
                <w:sz w:val="24"/>
                <w:szCs w:val="24"/>
                <w:lang w:val="en-US"/>
              </w:rPr>
            </w:pPr>
            <w:r>
              <w:rPr>
                <w:color w:val="000000"/>
                <w:sz w:val="24"/>
                <w:szCs w:val="24"/>
                <w:lang w:val="en-US"/>
              </w:rPr>
              <w:t>1.59</w:t>
            </w:r>
          </w:p>
        </w:tc>
        <w:tc>
          <w:tcPr>
            <w:tcW w:w="1000" w:type="dxa"/>
            <w:noWrap/>
            <w:vAlign w:val="bottom"/>
          </w:tcPr>
          <w:p w14:paraId="2F0BE7D2" w14:textId="77777777" w:rsidR="00963A30" w:rsidRDefault="00985EA0">
            <w:pPr>
              <w:widowControl/>
              <w:autoSpaceDE/>
              <w:autoSpaceDN/>
              <w:jc w:val="right"/>
              <w:rPr>
                <w:color w:val="000000"/>
                <w:sz w:val="24"/>
                <w:szCs w:val="24"/>
                <w:lang w:val="en-US"/>
              </w:rPr>
            </w:pPr>
            <w:r>
              <w:rPr>
                <w:color w:val="000000"/>
                <w:sz w:val="24"/>
                <w:szCs w:val="24"/>
                <w:lang w:val="en-US"/>
              </w:rPr>
              <w:t>1.59</w:t>
            </w:r>
          </w:p>
        </w:tc>
        <w:tc>
          <w:tcPr>
            <w:tcW w:w="1000" w:type="dxa"/>
            <w:noWrap/>
            <w:vAlign w:val="bottom"/>
          </w:tcPr>
          <w:p w14:paraId="76C92765" w14:textId="77777777" w:rsidR="00963A30" w:rsidRDefault="00985EA0">
            <w:pPr>
              <w:widowControl/>
              <w:autoSpaceDE/>
              <w:autoSpaceDN/>
              <w:jc w:val="right"/>
              <w:rPr>
                <w:color w:val="000000"/>
                <w:sz w:val="24"/>
                <w:szCs w:val="24"/>
                <w:lang w:val="en-US"/>
              </w:rPr>
            </w:pPr>
            <w:r>
              <w:rPr>
                <w:color w:val="000000"/>
                <w:sz w:val="24"/>
                <w:szCs w:val="24"/>
                <w:lang w:val="en-US"/>
              </w:rPr>
              <w:t>1.59</w:t>
            </w:r>
          </w:p>
        </w:tc>
        <w:tc>
          <w:tcPr>
            <w:tcW w:w="1020" w:type="dxa"/>
            <w:gridSpan w:val="2"/>
            <w:noWrap/>
            <w:vAlign w:val="bottom"/>
          </w:tcPr>
          <w:p w14:paraId="1DF9522B" w14:textId="77777777" w:rsidR="00963A30" w:rsidRDefault="00985EA0">
            <w:pPr>
              <w:widowControl/>
              <w:autoSpaceDE/>
              <w:autoSpaceDN/>
              <w:jc w:val="right"/>
              <w:rPr>
                <w:color w:val="000000"/>
                <w:sz w:val="24"/>
                <w:szCs w:val="24"/>
                <w:lang w:val="en-US"/>
              </w:rPr>
            </w:pPr>
            <w:r>
              <w:rPr>
                <w:color w:val="000000"/>
                <w:sz w:val="24"/>
                <w:szCs w:val="24"/>
                <w:lang w:val="en-US"/>
              </w:rPr>
              <w:t>1.59</w:t>
            </w:r>
          </w:p>
        </w:tc>
        <w:tc>
          <w:tcPr>
            <w:tcW w:w="296" w:type="dxa"/>
            <w:tcBorders>
              <w:left w:val="nil"/>
            </w:tcBorders>
            <w:noWrap/>
            <w:vAlign w:val="bottom"/>
          </w:tcPr>
          <w:p w14:paraId="00D1F47F" w14:textId="77777777" w:rsidR="00963A30" w:rsidRDefault="00963A30">
            <w:pPr>
              <w:widowControl/>
              <w:autoSpaceDE/>
              <w:autoSpaceDN/>
              <w:jc w:val="right"/>
              <w:rPr>
                <w:rFonts w:ascii="Cambria" w:hAnsi="Cambria" w:cs="Calibri"/>
                <w:color w:val="000000"/>
                <w:sz w:val="20"/>
                <w:szCs w:val="20"/>
                <w:lang w:val="en-US"/>
              </w:rPr>
            </w:pPr>
          </w:p>
        </w:tc>
      </w:tr>
      <w:tr w:rsidR="00963A30" w14:paraId="1D815F2F" w14:textId="77777777">
        <w:trPr>
          <w:trHeight w:val="301"/>
        </w:trPr>
        <w:tc>
          <w:tcPr>
            <w:tcW w:w="2017" w:type="dxa"/>
            <w:noWrap/>
            <w:vAlign w:val="bottom"/>
          </w:tcPr>
          <w:p w14:paraId="5CA384A1" w14:textId="77777777" w:rsidR="00963A30" w:rsidRDefault="00985EA0">
            <w:pPr>
              <w:widowControl/>
              <w:autoSpaceDE/>
              <w:autoSpaceDN/>
              <w:rPr>
                <w:color w:val="000000"/>
                <w:sz w:val="24"/>
                <w:szCs w:val="24"/>
                <w:lang w:val="en-US"/>
              </w:rPr>
            </w:pPr>
            <w:r>
              <w:rPr>
                <w:color w:val="000000"/>
                <w:sz w:val="24"/>
                <w:szCs w:val="24"/>
                <w:lang w:val="en-US"/>
              </w:rPr>
              <w:t>Crude fiber</w:t>
            </w:r>
          </w:p>
        </w:tc>
        <w:tc>
          <w:tcPr>
            <w:tcW w:w="1094" w:type="dxa"/>
            <w:noWrap/>
            <w:vAlign w:val="bottom"/>
          </w:tcPr>
          <w:p w14:paraId="08240931" w14:textId="77777777" w:rsidR="00963A30" w:rsidRDefault="00985EA0">
            <w:pPr>
              <w:widowControl/>
              <w:autoSpaceDE/>
              <w:autoSpaceDN/>
              <w:jc w:val="right"/>
              <w:rPr>
                <w:color w:val="000000"/>
                <w:sz w:val="24"/>
                <w:szCs w:val="24"/>
                <w:lang w:val="en-US"/>
              </w:rPr>
            </w:pPr>
            <w:r>
              <w:rPr>
                <w:color w:val="000000"/>
                <w:sz w:val="24"/>
                <w:szCs w:val="24"/>
                <w:lang w:val="en-US"/>
              </w:rPr>
              <w:t>19.70</w:t>
            </w:r>
          </w:p>
        </w:tc>
        <w:tc>
          <w:tcPr>
            <w:tcW w:w="833" w:type="dxa"/>
            <w:noWrap/>
            <w:vAlign w:val="bottom"/>
          </w:tcPr>
          <w:p w14:paraId="69815FC9" w14:textId="77777777" w:rsidR="00963A30" w:rsidRDefault="00985EA0">
            <w:pPr>
              <w:widowControl/>
              <w:autoSpaceDE/>
              <w:autoSpaceDN/>
              <w:jc w:val="right"/>
              <w:rPr>
                <w:color w:val="000000"/>
                <w:sz w:val="24"/>
                <w:szCs w:val="24"/>
                <w:lang w:val="en-US"/>
              </w:rPr>
            </w:pPr>
            <w:r>
              <w:rPr>
                <w:color w:val="000000"/>
                <w:sz w:val="24"/>
                <w:szCs w:val="24"/>
                <w:lang w:val="en-US"/>
              </w:rPr>
              <w:t>19.70</w:t>
            </w:r>
          </w:p>
        </w:tc>
        <w:tc>
          <w:tcPr>
            <w:tcW w:w="1022" w:type="dxa"/>
            <w:gridSpan w:val="2"/>
            <w:noWrap/>
            <w:vAlign w:val="bottom"/>
          </w:tcPr>
          <w:p w14:paraId="23448AB2" w14:textId="77777777" w:rsidR="00963A30" w:rsidRDefault="00985EA0">
            <w:pPr>
              <w:widowControl/>
              <w:autoSpaceDE/>
              <w:autoSpaceDN/>
              <w:jc w:val="right"/>
              <w:rPr>
                <w:color w:val="000000"/>
                <w:sz w:val="24"/>
                <w:szCs w:val="24"/>
                <w:lang w:val="en-US"/>
              </w:rPr>
            </w:pPr>
            <w:r>
              <w:rPr>
                <w:color w:val="000000"/>
                <w:sz w:val="24"/>
                <w:szCs w:val="24"/>
                <w:lang w:val="en-US"/>
              </w:rPr>
              <w:t>19.70</w:t>
            </w:r>
          </w:p>
        </w:tc>
        <w:tc>
          <w:tcPr>
            <w:tcW w:w="1000" w:type="dxa"/>
            <w:gridSpan w:val="2"/>
            <w:noWrap/>
            <w:vAlign w:val="bottom"/>
          </w:tcPr>
          <w:p w14:paraId="17899EFD" w14:textId="77777777" w:rsidR="00963A30" w:rsidRDefault="00985EA0">
            <w:pPr>
              <w:widowControl/>
              <w:autoSpaceDE/>
              <w:autoSpaceDN/>
              <w:jc w:val="right"/>
              <w:rPr>
                <w:color w:val="000000"/>
                <w:sz w:val="24"/>
                <w:szCs w:val="24"/>
                <w:lang w:val="en-US"/>
              </w:rPr>
            </w:pPr>
            <w:r>
              <w:rPr>
                <w:color w:val="000000"/>
                <w:sz w:val="24"/>
                <w:szCs w:val="24"/>
                <w:lang w:val="en-US"/>
              </w:rPr>
              <w:t>19.70</w:t>
            </w:r>
          </w:p>
        </w:tc>
        <w:tc>
          <w:tcPr>
            <w:tcW w:w="1000" w:type="dxa"/>
            <w:noWrap/>
            <w:vAlign w:val="bottom"/>
          </w:tcPr>
          <w:p w14:paraId="15A51EF6" w14:textId="77777777" w:rsidR="00963A30" w:rsidRDefault="00985EA0">
            <w:pPr>
              <w:widowControl/>
              <w:autoSpaceDE/>
              <w:autoSpaceDN/>
              <w:jc w:val="right"/>
              <w:rPr>
                <w:color w:val="000000"/>
                <w:sz w:val="24"/>
                <w:szCs w:val="24"/>
                <w:lang w:val="en-US"/>
              </w:rPr>
            </w:pPr>
            <w:r>
              <w:rPr>
                <w:color w:val="000000"/>
                <w:sz w:val="24"/>
                <w:szCs w:val="24"/>
                <w:lang w:val="en-US"/>
              </w:rPr>
              <w:t>19.70</w:t>
            </w:r>
          </w:p>
        </w:tc>
        <w:tc>
          <w:tcPr>
            <w:tcW w:w="1000" w:type="dxa"/>
            <w:noWrap/>
            <w:vAlign w:val="bottom"/>
          </w:tcPr>
          <w:p w14:paraId="7AA18F0B" w14:textId="77777777" w:rsidR="00963A30" w:rsidRDefault="00985EA0">
            <w:pPr>
              <w:widowControl/>
              <w:autoSpaceDE/>
              <w:autoSpaceDN/>
              <w:jc w:val="right"/>
              <w:rPr>
                <w:color w:val="000000"/>
                <w:sz w:val="24"/>
                <w:szCs w:val="24"/>
                <w:lang w:val="en-US"/>
              </w:rPr>
            </w:pPr>
            <w:r>
              <w:rPr>
                <w:color w:val="000000"/>
                <w:sz w:val="24"/>
                <w:szCs w:val="24"/>
                <w:lang w:val="en-US"/>
              </w:rPr>
              <w:t>19.70</w:t>
            </w:r>
          </w:p>
        </w:tc>
        <w:tc>
          <w:tcPr>
            <w:tcW w:w="1020" w:type="dxa"/>
            <w:gridSpan w:val="2"/>
            <w:noWrap/>
            <w:vAlign w:val="bottom"/>
          </w:tcPr>
          <w:p w14:paraId="22F9845F" w14:textId="77777777" w:rsidR="00963A30" w:rsidRDefault="00985EA0">
            <w:pPr>
              <w:widowControl/>
              <w:autoSpaceDE/>
              <w:autoSpaceDN/>
              <w:jc w:val="right"/>
              <w:rPr>
                <w:color w:val="000000"/>
                <w:sz w:val="24"/>
                <w:szCs w:val="24"/>
                <w:lang w:val="en-US"/>
              </w:rPr>
            </w:pPr>
            <w:r>
              <w:rPr>
                <w:color w:val="000000"/>
                <w:sz w:val="24"/>
                <w:szCs w:val="24"/>
                <w:lang w:val="en-US"/>
              </w:rPr>
              <w:t>19.70</w:t>
            </w:r>
          </w:p>
        </w:tc>
        <w:tc>
          <w:tcPr>
            <w:tcW w:w="296" w:type="dxa"/>
            <w:tcBorders>
              <w:left w:val="nil"/>
            </w:tcBorders>
            <w:noWrap/>
            <w:vAlign w:val="bottom"/>
          </w:tcPr>
          <w:p w14:paraId="5957EF3A" w14:textId="77777777" w:rsidR="00963A30" w:rsidRDefault="00963A30">
            <w:pPr>
              <w:widowControl/>
              <w:autoSpaceDE/>
              <w:autoSpaceDN/>
              <w:jc w:val="right"/>
              <w:rPr>
                <w:rFonts w:ascii="Cambria" w:hAnsi="Cambria" w:cs="Calibri"/>
                <w:color w:val="000000"/>
                <w:sz w:val="20"/>
                <w:szCs w:val="20"/>
                <w:lang w:val="en-US"/>
              </w:rPr>
            </w:pPr>
          </w:p>
        </w:tc>
      </w:tr>
      <w:tr w:rsidR="00963A30" w14:paraId="2CFEB39B" w14:textId="77777777">
        <w:trPr>
          <w:trHeight w:val="301"/>
        </w:trPr>
        <w:tc>
          <w:tcPr>
            <w:tcW w:w="2017" w:type="dxa"/>
            <w:noWrap/>
            <w:vAlign w:val="bottom"/>
          </w:tcPr>
          <w:p w14:paraId="072D631F" w14:textId="77777777" w:rsidR="00963A30" w:rsidRDefault="00985EA0">
            <w:pPr>
              <w:widowControl/>
              <w:autoSpaceDE/>
              <w:autoSpaceDN/>
              <w:rPr>
                <w:color w:val="000000"/>
                <w:sz w:val="24"/>
                <w:szCs w:val="24"/>
                <w:lang w:val="en-US"/>
              </w:rPr>
            </w:pPr>
            <w:r>
              <w:rPr>
                <w:color w:val="000000"/>
                <w:sz w:val="24"/>
                <w:szCs w:val="24"/>
                <w:lang w:val="en-US"/>
              </w:rPr>
              <w:t>NFE</w:t>
            </w:r>
          </w:p>
        </w:tc>
        <w:tc>
          <w:tcPr>
            <w:tcW w:w="1094" w:type="dxa"/>
            <w:noWrap/>
            <w:vAlign w:val="bottom"/>
          </w:tcPr>
          <w:p w14:paraId="734055F4" w14:textId="77777777" w:rsidR="00963A30" w:rsidRDefault="00985EA0">
            <w:pPr>
              <w:widowControl/>
              <w:autoSpaceDE/>
              <w:autoSpaceDN/>
              <w:jc w:val="right"/>
              <w:rPr>
                <w:color w:val="000000"/>
                <w:sz w:val="24"/>
                <w:szCs w:val="24"/>
                <w:lang w:val="en-US"/>
              </w:rPr>
            </w:pPr>
            <w:r>
              <w:rPr>
                <w:color w:val="000000"/>
                <w:sz w:val="24"/>
                <w:szCs w:val="24"/>
                <w:lang w:val="en-US"/>
              </w:rPr>
              <w:t>56.88</w:t>
            </w:r>
          </w:p>
        </w:tc>
        <w:tc>
          <w:tcPr>
            <w:tcW w:w="833" w:type="dxa"/>
            <w:noWrap/>
            <w:vAlign w:val="bottom"/>
          </w:tcPr>
          <w:p w14:paraId="062E6C9A" w14:textId="77777777" w:rsidR="00963A30" w:rsidRDefault="00985EA0">
            <w:pPr>
              <w:widowControl/>
              <w:autoSpaceDE/>
              <w:autoSpaceDN/>
              <w:jc w:val="right"/>
              <w:rPr>
                <w:color w:val="000000"/>
                <w:sz w:val="24"/>
                <w:szCs w:val="24"/>
                <w:lang w:val="en-US"/>
              </w:rPr>
            </w:pPr>
            <w:r>
              <w:rPr>
                <w:color w:val="000000"/>
                <w:sz w:val="24"/>
                <w:szCs w:val="24"/>
                <w:lang w:val="en-US"/>
              </w:rPr>
              <w:t>56.88</w:t>
            </w:r>
          </w:p>
        </w:tc>
        <w:tc>
          <w:tcPr>
            <w:tcW w:w="1022" w:type="dxa"/>
            <w:gridSpan w:val="2"/>
            <w:noWrap/>
            <w:vAlign w:val="bottom"/>
          </w:tcPr>
          <w:p w14:paraId="3E090645" w14:textId="77777777" w:rsidR="00963A30" w:rsidRDefault="00985EA0">
            <w:pPr>
              <w:widowControl/>
              <w:autoSpaceDE/>
              <w:autoSpaceDN/>
              <w:jc w:val="right"/>
              <w:rPr>
                <w:color w:val="000000"/>
                <w:sz w:val="24"/>
                <w:szCs w:val="24"/>
                <w:lang w:val="en-US"/>
              </w:rPr>
            </w:pPr>
            <w:r>
              <w:rPr>
                <w:color w:val="000000"/>
                <w:sz w:val="24"/>
                <w:szCs w:val="24"/>
                <w:lang w:val="en-US"/>
              </w:rPr>
              <w:t>56.88</w:t>
            </w:r>
          </w:p>
        </w:tc>
        <w:tc>
          <w:tcPr>
            <w:tcW w:w="1000" w:type="dxa"/>
            <w:gridSpan w:val="2"/>
            <w:noWrap/>
            <w:vAlign w:val="bottom"/>
          </w:tcPr>
          <w:p w14:paraId="7B4252FD" w14:textId="77777777" w:rsidR="00963A30" w:rsidRDefault="00985EA0">
            <w:pPr>
              <w:widowControl/>
              <w:autoSpaceDE/>
              <w:autoSpaceDN/>
              <w:jc w:val="right"/>
              <w:rPr>
                <w:color w:val="000000"/>
                <w:sz w:val="24"/>
                <w:szCs w:val="24"/>
                <w:lang w:val="en-US"/>
              </w:rPr>
            </w:pPr>
            <w:r>
              <w:rPr>
                <w:color w:val="000000"/>
                <w:sz w:val="24"/>
                <w:szCs w:val="24"/>
                <w:lang w:val="en-US"/>
              </w:rPr>
              <w:t>56.88</w:t>
            </w:r>
          </w:p>
        </w:tc>
        <w:tc>
          <w:tcPr>
            <w:tcW w:w="1000" w:type="dxa"/>
            <w:noWrap/>
            <w:vAlign w:val="bottom"/>
          </w:tcPr>
          <w:p w14:paraId="3A76B084" w14:textId="77777777" w:rsidR="00963A30" w:rsidRDefault="00985EA0">
            <w:pPr>
              <w:widowControl/>
              <w:autoSpaceDE/>
              <w:autoSpaceDN/>
              <w:jc w:val="right"/>
              <w:rPr>
                <w:color w:val="000000"/>
                <w:sz w:val="24"/>
                <w:szCs w:val="24"/>
                <w:lang w:val="en-US"/>
              </w:rPr>
            </w:pPr>
            <w:r>
              <w:rPr>
                <w:color w:val="000000"/>
                <w:sz w:val="24"/>
                <w:szCs w:val="24"/>
                <w:lang w:val="en-US"/>
              </w:rPr>
              <w:t>56.88</w:t>
            </w:r>
          </w:p>
        </w:tc>
        <w:tc>
          <w:tcPr>
            <w:tcW w:w="1000" w:type="dxa"/>
            <w:noWrap/>
            <w:vAlign w:val="bottom"/>
          </w:tcPr>
          <w:p w14:paraId="765E947D" w14:textId="77777777" w:rsidR="00963A30" w:rsidRDefault="00985EA0">
            <w:pPr>
              <w:widowControl/>
              <w:autoSpaceDE/>
              <w:autoSpaceDN/>
              <w:jc w:val="right"/>
              <w:rPr>
                <w:color w:val="000000"/>
                <w:sz w:val="24"/>
                <w:szCs w:val="24"/>
                <w:lang w:val="en-US"/>
              </w:rPr>
            </w:pPr>
            <w:r>
              <w:rPr>
                <w:color w:val="000000"/>
                <w:sz w:val="24"/>
                <w:szCs w:val="24"/>
                <w:lang w:val="en-US"/>
              </w:rPr>
              <w:t>56.88</w:t>
            </w:r>
          </w:p>
        </w:tc>
        <w:tc>
          <w:tcPr>
            <w:tcW w:w="1020" w:type="dxa"/>
            <w:gridSpan w:val="2"/>
            <w:noWrap/>
            <w:vAlign w:val="bottom"/>
          </w:tcPr>
          <w:p w14:paraId="257365C4" w14:textId="77777777" w:rsidR="00963A30" w:rsidRDefault="00985EA0">
            <w:pPr>
              <w:widowControl/>
              <w:autoSpaceDE/>
              <w:autoSpaceDN/>
              <w:jc w:val="right"/>
              <w:rPr>
                <w:color w:val="000000"/>
                <w:sz w:val="24"/>
                <w:szCs w:val="24"/>
                <w:lang w:val="en-US"/>
              </w:rPr>
            </w:pPr>
            <w:r>
              <w:rPr>
                <w:color w:val="000000"/>
                <w:sz w:val="24"/>
                <w:szCs w:val="24"/>
                <w:lang w:val="en-US"/>
              </w:rPr>
              <w:t>56.88</w:t>
            </w:r>
          </w:p>
        </w:tc>
        <w:tc>
          <w:tcPr>
            <w:tcW w:w="296" w:type="dxa"/>
            <w:tcBorders>
              <w:left w:val="nil"/>
            </w:tcBorders>
            <w:noWrap/>
            <w:vAlign w:val="bottom"/>
          </w:tcPr>
          <w:p w14:paraId="5713C879" w14:textId="77777777" w:rsidR="00963A30" w:rsidRDefault="00963A30">
            <w:pPr>
              <w:widowControl/>
              <w:autoSpaceDE/>
              <w:autoSpaceDN/>
              <w:jc w:val="right"/>
              <w:rPr>
                <w:rFonts w:ascii="Cambria" w:hAnsi="Cambria" w:cs="Calibri"/>
                <w:color w:val="000000"/>
                <w:sz w:val="20"/>
                <w:szCs w:val="20"/>
                <w:lang w:val="en-US"/>
              </w:rPr>
            </w:pPr>
          </w:p>
        </w:tc>
      </w:tr>
      <w:tr w:rsidR="00963A30" w14:paraId="7BCDFF9D" w14:textId="77777777">
        <w:trPr>
          <w:trHeight w:val="301"/>
        </w:trPr>
        <w:tc>
          <w:tcPr>
            <w:tcW w:w="2017" w:type="dxa"/>
            <w:noWrap/>
            <w:vAlign w:val="bottom"/>
          </w:tcPr>
          <w:p w14:paraId="423D1F7E" w14:textId="77777777" w:rsidR="00963A30" w:rsidRDefault="00985EA0">
            <w:pPr>
              <w:widowControl/>
              <w:autoSpaceDE/>
              <w:autoSpaceDN/>
              <w:rPr>
                <w:color w:val="000000"/>
                <w:sz w:val="24"/>
                <w:szCs w:val="24"/>
                <w:lang w:val="en-US"/>
              </w:rPr>
            </w:pPr>
            <w:r>
              <w:rPr>
                <w:color w:val="000000"/>
                <w:sz w:val="24"/>
                <w:szCs w:val="24"/>
                <w:lang w:val="en-US"/>
              </w:rPr>
              <w:t>Ca</w:t>
            </w:r>
          </w:p>
        </w:tc>
        <w:tc>
          <w:tcPr>
            <w:tcW w:w="1094" w:type="dxa"/>
            <w:noWrap/>
            <w:vAlign w:val="bottom"/>
          </w:tcPr>
          <w:p w14:paraId="3DEE0AFA" w14:textId="77777777" w:rsidR="00963A30" w:rsidRDefault="00985EA0">
            <w:pPr>
              <w:widowControl/>
              <w:autoSpaceDE/>
              <w:autoSpaceDN/>
              <w:jc w:val="right"/>
              <w:rPr>
                <w:color w:val="000000"/>
                <w:sz w:val="24"/>
                <w:szCs w:val="24"/>
                <w:lang w:val="en-US"/>
              </w:rPr>
            </w:pPr>
            <w:r>
              <w:rPr>
                <w:color w:val="000000"/>
                <w:sz w:val="24"/>
                <w:szCs w:val="24"/>
                <w:lang w:val="en-US"/>
              </w:rPr>
              <w:t>0.82</w:t>
            </w:r>
          </w:p>
        </w:tc>
        <w:tc>
          <w:tcPr>
            <w:tcW w:w="833" w:type="dxa"/>
            <w:noWrap/>
            <w:vAlign w:val="bottom"/>
          </w:tcPr>
          <w:p w14:paraId="7027E95E" w14:textId="77777777" w:rsidR="00963A30" w:rsidRDefault="00985EA0">
            <w:pPr>
              <w:widowControl/>
              <w:autoSpaceDE/>
              <w:autoSpaceDN/>
              <w:jc w:val="right"/>
              <w:rPr>
                <w:color w:val="000000"/>
                <w:sz w:val="24"/>
                <w:szCs w:val="24"/>
                <w:lang w:val="en-US"/>
              </w:rPr>
            </w:pPr>
            <w:r>
              <w:rPr>
                <w:color w:val="000000"/>
                <w:sz w:val="24"/>
                <w:szCs w:val="24"/>
                <w:lang w:val="en-US"/>
              </w:rPr>
              <w:t>0.82</w:t>
            </w:r>
          </w:p>
        </w:tc>
        <w:tc>
          <w:tcPr>
            <w:tcW w:w="1022" w:type="dxa"/>
            <w:gridSpan w:val="2"/>
            <w:noWrap/>
            <w:vAlign w:val="bottom"/>
          </w:tcPr>
          <w:p w14:paraId="46309F1A" w14:textId="77777777" w:rsidR="00963A30" w:rsidRDefault="00985EA0">
            <w:pPr>
              <w:widowControl/>
              <w:autoSpaceDE/>
              <w:autoSpaceDN/>
              <w:jc w:val="right"/>
              <w:rPr>
                <w:color w:val="000000"/>
                <w:sz w:val="24"/>
                <w:szCs w:val="24"/>
                <w:lang w:val="en-US"/>
              </w:rPr>
            </w:pPr>
            <w:r>
              <w:rPr>
                <w:color w:val="000000"/>
                <w:sz w:val="24"/>
                <w:szCs w:val="24"/>
                <w:lang w:val="en-US"/>
              </w:rPr>
              <w:t>0.82</w:t>
            </w:r>
          </w:p>
        </w:tc>
        <w:tc>
          <w:tcPr>
            <w:tcW w:w="1000" w:type="dxa"/>
            <w:gridSpan w:val="2"/>
            <w:noWrap/>
            <w:vAlign w:val="bottom"/>
          </w:tcPr>
          <w:p w14:paraId="52548E46" w14:textId="77777777" w:rsidR="00963A30" w:rsidRDefault="00985EA0">
            <w:pPr>
              <w:widowControl/>
              <w:autoSpaceDE/>
              <w:autoSpaceDN/>
              <w:jc w:val="right"/>
              <w:rPr>
                <w:color w:val="000000"/>
                <w:sz w:val="24"/>
                <w:szCs w:val="24"/>
                <w:lang w:val="en-US"/>
              </w:rPr>
            </w:pPr>
            <w:r>
              <w:rPr>
                <w:color w:val="000000"/>
                <w:sz w:val="24"/>
                <w:szCs w:val="24"/>
                <w:lang w:val="en-US"/>
              </w:rPr>
              <w:t>0.82</w:t>
            </w:r>
          </w:p>
        </w:tc>
        <w:tc>
          <w:tcPr>
            <w:tcW w:w="1000" w:type="dxa"/>
            <w:noWrap/>
            <w:vAlign w:val="bottom"/>
          </w:tcPr>
          <w:p w14:paraId="10E2E781" w14:textId="77777777" w:rsidR="00963A30" w:rsidRDefault="00985EA0">
            <w:pPr>
              <w:widowControl/>
              <w:autoSpaceDE/>
              <w:autoSpaceDN/>
              <w:jc w:val="right"/>
              <w:rPr>
                <w:color w:val="000000"/>
                <w:sz w:val="24"/>
                <w:szCs w:val="24"/>
                <w:lang w:val="en-US"/>
              </w:rPr>
            </w:pPr>
            <w:r>
              <w:rPr>
                <w:color w:val="000000"/>
                <w:sz w:val="24"/>
                <w:szCs w:val="24"/>
                <w:lang w:val="en-US"/>
              </w:rPr>
              <w:t>0.82</w:t>
            </w:r>
          </w:p>
        </w:tc>
        <w:tc>
          <w:tcPr>
            <w:tcW w:w="1000" w:type="dxa"/>
            <w:noWrap/>
            <w:vAlign w:val="bottom"/>
          </w:tcPr>
          <w:p w14:paraId="6BD7EBB2" w14:textId="77777777" w:rsidR="00963A30" w:rsidRDefault="00985EA0">
            <w:pPr>
              <w:widowControl/>
              <w:autoSpaceDE/>
              <w:autoSpaceDN/>
              <w:jc w:val="right"/>
              <w:rPr>
                <w:color w:val="000000"/>
                <w:sz w:val="24"/>
                <w:szCs w:val="24"/>
                <w:lang w:val="en-US"/>
              </w:rPr>
            </w:pPr>
            <w:r>
              <w:rPr>
                <w:color w:val="000000"/>
                <w:sz w:val="24"/>
                <w:szCs w:val="24"/>
                <w:lang w:val="en-US"/>
              </w:rPr>
              <w:t>0.82</w:t>
            </w:r>
          </w:p>
        </w:tc>
        <w:tc>
          <w:tcPr>
            <w:tcW w:w="1020" w:type="dxa"/>
            <w:gridSpan w:val="2"/>
            <w:noWrap/>
            <w:vAlign w:val="bottom"/>
          </w:tcPr>
          <w:p w14:paraId="5579EF78" w14:textId="77777777" w:rsidR="00963A30" w:rsidRDefault="00985EA0">
            <w:pPr>
              <w:widowControl/>
              <w:autoSpaceDE/>
              <w:autoSpaceDN/>
              <w:jc w:val="right"/>
              <w:rPr>
                <w:color w:val="000000"/>
                <w:sz w:val="24"/>
                <w:szCs w:val="24"/>
                <w:lang w:val="en-US"/>
              </w:rPr>
            </w:pPr>
            <w:r>
              <w:rPr>
                <w:color w:val="000000"/>
                <w:sz w:val="24"/>
                <w:szCs w:val="24"/>
                <w:lang w:val="en-US"/>
              </w:rPr>
              <w:t>0.82</w:t>
            </w:r>
          </w:p>
        </w:tc>
        <w:tc>
          <w:tcPr>
            <w:tcW w:w="296" w:type="dxa"/>
            <w:tcBorders>
              <w:left w:val="nil"/>
            </w:tcBorders>
            <w:noWrap/>
            <w:vAlign w:val="bottom"/>
          </w:tcPr>
          <w:p w14:paraId="41E4A656" w14:textId="77777777" w:rsidR="00963A30" w:rsidRDefault="00963A30">
            <w:pPr>
              <w:widowControl/>
              <w:autoSpaceDE/>
              <w:autoSpaceDN/>
              <w:jc w:val="right"/>
              <w:rPr>
                <w:rFonts w:ascii="Cambria" w:hAnsi="Cambria" w:cs="Calibri"/>
                <w:color w:val="000000"/>
                <w:sz w:val="20"/>
                <w:szCs w:val="20"/>
                <w:lang w:val="en-US"/>
              </w:rPr>
            </w:pPr>
          </w:p>
        </w:tc>
      </w:tr>
      <w:tr w:rsidR="00963A30" w14:paraId="081407EC" w14:textId="77777777">
        <w:trPr>
          <w:trHeight w:val="301"/>
        </w:trPr>
        <w:tc>
          <w:tcPr>
            <w:tcW w:w="2017" w:type="dxa"/>
            <w:noWrap/>
            <w:vAlign w:val="bottom"/>
          </w:tcPr>
          <w:p w14:paraId="28D42A17" w14:textId="77777777" w:rsidR="00963A30" w:rsidRDefault="00985EA0">
            <w:pPr>
              <w:widowControl/>
              <w:autoSpaceDE/>
              <w:autoSpaceDN/>
              <w:rPr>
                <w:color w:val="000000"/>
                <w:sz w:val="24"/>
                <w:szCs w:val="24"/>
                <w:lang w:val="en-US"/>
              </w:rPr>
            </w:pPr>
            <w:r>
              <w:rPr>
                <w:color w:val="000000"/>
                <w:sz w:val="24"/>
                <w:szCs w:val="24"/>
                <w:lang w:val="en-US"/>
              </w:rPr>
              <w:t>P</w:t>
            </w:r>
          </w:p>
        </w:tc>
        <w:tc>
          <w:tcPr>
            <w:tcW w:w="1094" w:type="dxa"/>
            <w:noWrap/>
            <w:vAlign w:val="bottom"/>
          </w:tcPr>
          <w:p w14:paraId="6E5F782A" w14:textId="77777777" w:rsidR="00963A30" w:rsidRDefault="00985EA0">
            <w:pPr>
              <w:widowControl/>
              <w:autoSpaceDE/>
              <w:autoSpaceDN/>
              <w:jc w:val="right"/>
              <w:rPr>
                <w:color w:val="000000"/>
                <w:sz w:val="24"/>
                <w:szCs w:val="24"/>
                <w:lang w:val="en-US"/>
              </w:rPr>
            </w:pPr>
            <w:r>
              <w:rPr>
                <w:color w:val="000000"/>
                <w:sz w:val="24"/>
                <w:szCs w:val="24"/>
                <w:lang w:val="en-US"/>
              </w:rPr>
              <w:t>0.42</w:t>
            </w:r>
          </w:p>
        </w:tc>
        <w:tc>
          <w:tcPr>
            <w:tcW w:w="833" w:type="dxa"/>
            <w:noWrap/>
            <w:vAlign w:val="bottom"/>
          </w:tcPr>
          <w:p w14:paraId="5F91CBDB" w14:textId="77777777" w:rsidR="00963A30" w:rsidRDefault="00985EA0">
            <w:pPr>
              <w:widowControl/>
              <w:autoSpaceDE/>
              <w:autoSpaceDN/>
              <w:jc w:val="right"/>
              <w:rPr>
                <w:color w:val="000000"/>
                <w:sz w:val="24"/>
                <w:szCs w:val="24"/>
                <w:lang w:val="en-US"/>
              </w:rPr>
            </w:pPr>
            <w:r>
              <w:rPr>
                <w:color w:val="000000"/>
                <w:sz w:val="24"/>
                <w:szCs w:val="24"/>
                <w:lang w:val="en-US"/>
              </w:rPr>
              <w:t>0.42</w:t>
            </w:r>
          </w:p>
        </w:tc>
        <w:tc>
          <w:tcPr>
            <w:tcW w:w="1022" w:type="dxa"/>
            <w:gridSpan w:val="2"/>
            <w:noWrap/>
            <w:vAlign w:val="bottom"/>
          </w:tcPr>
          <w:p w14:paraId="77468046" w14:textId="77777777" w:rsidR="00963A30" w:rsidRDefault="00985EA0">
            <w:pPr>
              <w:widowControl/>
              <w:autoSpaceDE/>
              <w:autoSpaceDN/>
              <w:jc w:val="right"/>
              <w:rPr>
                <w:color w:val="000000"/>
                <w:sz w:val="24"/>
                <w:szCs w:val="24"/>
                <w:lang w:val="en-US"/>
              </w:rPr>
            </w:pPr>
            <w:r>
              <w:rPr>
                <w:color w:val="000000"/>
                <w:sz w:val="24"/>
                <w:szCs w:val="24"/>
                <w:lang w:val="en-US"/>
              </w:rPr>
              <w:t>0.42</w:t>
            </w:r>
          </w:p>
        </w:tc>
        <w:tc>
          <w:tcPr>
            <w:tcW w:w="1000" w:type="dxa"/>
            <w:gridSpan w:val="2"/>
            <w:noWrap/>
            <w:vAlign w:val="bottom"/>
          </w:tcPr>
          <w:p w14:paraId="66B3F6F6" w14:textId="77777777" w:rsidR="00963A30" w:rsidRDefault="00985EA0">
            <w:pPr>
              <w:widowControl/>
              <w:autoSpaceDE/>
              <w:autoSpaceDN/>
              <w:jc w:val="right"/>
              <w:rPr>
                <w:color w:val="000000"/>
                <w:sz w:val="24"/>
                <w:szCs w:val="24"/>
                <w:lang w:val="en-US"/>
              </w:rPr>
            </w:pPr>
            <w:r>
              <w:rPr>
                <w:color w:val="000000"/>
                <w:sz w:val="24"/>
                <w:szCs w:val="24"/>
                <w:lang w:val="en-US"/>
              </w:rPr>
              <w:t>0.42</w:t>
            </w:r>
          </w:p>
        </w:tc>
        <w:tc>
          <w:tcPr>
            <w:tcW w:w="1000" w:type="dxa"/>
            <w:noWrap/>
            <w:vAlign w:val="bottom"/>
          </w:tcPr>
          <w:p w14:paraId="21162D2F" w14:textId="77777777" w:rsidR="00963A30" w:rsidRDefault="00985EA0">
            <w:pPr>
              <w:widowControl/>
              <w:autoSpaceDE/>
              <w:autoSpaceDN/>
              <w:jc w:val="right"/>
              <w:rPr>
                <w:color w:val="000000"/>
                <w:sz w:val="24"/>
                <w:szCs w:val="24"/>
                <w:lang w:val="en-US"/>
              </w:rPr>
            </w:pPr>
            <w:r>
              <w:rPr>
                <w:color w:val="000000"/>
                <w:sz w:val="24"/>
                <w:szCs w:val="24"/>
                <w:lang w:val="en-US"/>
              </w:rPr>
              <w:t>0.42</w:t>
            </w:r>
          </w:p>
        </w:tc>
        <w:tc>
          <w:tcPr>
            <w:tcW w:w="1000" w:type="dxa"/>
            <w:noWrap/>
            <w:vAlign w:val="bottom"/>
          </w:tcPr>
          <w:p w14:paraId="6AD03A8A" w14:textId="77777777" w:rsidR="00963A30" w:rsidRDefault="00985EA0">
            <w:pPr>
              <w:widowControl/>
              <w:autoSpaceDE/>
              <w:autoSpaceDN/>
              <w:jc w:val="right"/>
              <w:rPr>
                <w:color w:val="000000"/>
                <w:sz w:val="24"/>
                <w:szCs w:val="24"/>
                <w:lang w:val="en-US"/>
              </w:rPr>
            </w:pPr>
            <w:r>
              <w:rPr>
                <w:color w:val="000000"/>
                <w:sz w:val="24"/>
                <w:szCs w:val="24"/>
                <w:lang w:val="en-US"/>
              </w:rPr>
              <w:t>0.42</w:t>
            </w:r>
          </w:p>
        </w:tc>
        <w:tc>
          <w:tcPr>
            <w:tcW w:w="1020" w:type="dxa"/>
            <w:gridSpan w:val="2"/>
            <w:noWrap/>
            <w:vAlign w:val="bottom"/>
          </w:tcPr>
          <w:p w14:paraId="5162B180" w14:textId="77777777" w:rsidR="00963A30" w:rsidRDefault="00985EA0">
            <w:pPr>
              <w:widowControl/>
              <w:autoSpaceDE/>
              <w:autoSpaceDN/>
              <w:jc w:val="right"/>
              <w:rPr>
                <w:color w:val="000000"/>
                <w:sz w:val="24"/>
                <w:szCs w:val="24"/>
                <w:lang w:val="en-US"/>
              </w:rPr>
            </w:pPr>
            <w:r>
              <w:rPr>
                <w:color w:val="000000"/>
                <w:sz w:val="24"/>
                <w:szCs w:val="24"/>
                <w:lang w:val="en-US"/>
              </w:rPr>
              <w:t>0.42</w:t>
            </w:r>
          </w:p>
        </w:tc>
        <w:tc>
          <w:tcPr>
            <w:tcW w:w="296" w:type="dxa"/>
            <w:tcBorders>
              <w:left w:val="nil"/>
            </w:tcBorders>
            <w:noWrap/>
            <w:vAlign w:val="bottom"/>
          </w:tcPr>
          <w:p w14:paraId="52404E98" w14:textId="77777777" w:rsidR="00963A30" w:rsidRDefault="00963A30">
            <w:pPr>
              <w:widowControl/>
              <w:autoSpaceDE/>
              <w:autoSpaceDN/>
              <w:jc w:val="right"/>
              <w:rPr>
                <w:rFonts w:ascii="Cambria" w:hAnsi="Cambria" w:cs="Calibri"/>
                <w:color w:val="000000"/>
                <w:sz w:val="20"/>
                <w:szCs w:val="20"/>
                <w:lang w:val="en-US"/>
              </w:rPr>
            </w:pPr>
          </w:p>
        </w:tc>
      </w:tr>
      <w:tr w:rsidR="00963A30" w14:paraId="7974D786" w14:textId="77777777">
        <w:trPr>
          <w:trHeight w:val="301"/>
        </w:trPr>
        <w:tc>
          <w:tcPr>
            <w:tcW w:w="2017" w:type="dxa"/>
            <w:noWrap/>
            <w:vAlign w:val="bottom"/>
          </w:tcPr>
          <w:p w14:paraId="03808F07" w14:textId="77777777" w:rsidR="00963A30" w:rsidRDefault="00985EA0">
            <w:pPr>
              <w:widowControl/>
              <w:autoSpaceDE/>
              <w:autoSpaceDN/>
              <w:rPr>
                <w:color w:val="000000"/>
                <w:sz w:val="24"/>
                <w:szCs w:val="24"/>
                <w:lang w:val="en-US"/>
              </w:rPr>
            </w:pPr>
            <w:r>
              <w:rPr>
                <w:color w:val="000000"/>
                <w:sz w:val="24"/>
                <w:szCs w:val="24"/>
                <w:lang w:val="en-US"/>
              </w:rPr>
              <w:t>NDF</w:t>
            </w:r>
          </w:p>
        </w:tc>
        <w:tc>
          <w:tcPr>
            <w:tcW w:w="1094" w:type="dxa"/>
            <w:noWrap/>
            <w:vAlign w:val="bottom"/>
          </w:tcPr>
          <w:p w14:paraId="75FBAC0C" w14:textId="77777777" w:rsidR="00963A30" w:rsidRDefault="00985EA0">
            <w:pPr>
              <w:widowControl/>
              <w:autoSpaceDE/>
              <w:autoSpaceDN/>
              <w:jc w:val="right"/>
              <w:rPr>
                <w:color w:val="000000"/>
                <w:sz w:val="24"/>
                <w:szCs w:val="24"/>
                <w:lang w:val="en-US"/>
              </w:rPr>
            </w:pPr>
            <w:r>
              <w:rPr>
                <w:color w:val="000000"/>
                <w:sz w:val="24"/>
                <w:szCs w:val="24"/>
                <w:lang w:val="en-US"/>
              </w:rPr>
              <w:t>47.96</w:t>
            </w:r>
          </w:p>
        </w:tc>
        <w:tc>
          <w:tcPr>
            <w:tcW w:w="833" w:type="dxa"/>
            <w:noWrap/>
            <w:vAlign w:val="bottom"/>
          </w:tcPr>
          <w:p w14:paraId="53044484" w14:textId="77777777" w:rsidR="00963A30" w:rsidRDefault="00985EA0">
            <w:pPr>
              <w:widowControl/>
              <w:autoSpaceDE/>
              <w:autoSpaceDN/>
              <w:jc w:val="right"/>
              <w:rPr>
                <w:color w:val="000000"/>
                <w:sz w:val="24"/>
                <w:szCs w:val="24"/>
                <w:lang w:val="en-US"/>
              </w:rPr>
            </w:pPr>
            <w:r>
              <w:rPr>
                <w:color w:val="000000"/>
                <w:sz w:val="24"/>
                <w:szCs w:val="24"/>
                <w:lang w:val="en-US"/>
              </w:rPr>
              <w:t>47.96</w:t>
            </w:r>
          </w:p>
        </w:tc>
        <w:tc>
          <w:tcPr>
            <w:tcW w:w="1022" w:type="dxa"/>
            <w:gridSpan w:val="2"/>
            <w:noWrap/>
            <w:vAlign w:val="bottom"/>
          </w:tcPr>
          <w:p w14:paraId="65C5550A" w14:textId="77777777" w:rsidR="00963A30" w:rsidRDefault="00985EA0">
            <w:pPr>
              <w:widowControl/>
              <w:autoSpaceDE/>
              <w:autoSpaceDN/>
              <w:jc w:val="right"/>
              <w:rPr>
                <w:color w:val="000000"/>
                <w:sz w:val="24"/>
                <w:szCs w:val="24"/>
                <w:lang w:val="en-US"/>
              </w:rPr>
            </w:pPr>
            <w:r>
              <w:rPr>
                <w:color w:val="000000"/>
                <w:sz w:val="24"/>
                <w:szCs w:val="24"/>
                <w:lang w:val="en-US"/>
              </w:rPr>
              <w:t>47.96</w:t>
            </w:r>
          </w:p>
        </w:tc>
        <w:tc>
          <w:tcPr>
            <w:tcW w:w="1000" w:type="dxa"/>
            <w:gridSpan w:val="2"/>
            <w:noWrap/>
            <w:vAlign w:val="bottom"/>
          </w:tcPr>
          <w:p w14:paraId="5E5C5FB6" w14:textId="77777777" w:rsidR="00963A30" w:rsidRDefault="00985EA0">
            <w:pPr>
              <w:widowControl/>
              <w:autoSpaceDE/>
              <w:autoSpaceDN/>
              <w:jc w:val="right"/>
              <w:rPr>
                <w:color w:val="000000"/>
                <w:sz w:val="24"/>
                <w:szCs w:val="24"/>
                <w:lang w:val="en-US"/>
              </w:rPr>
            </w:pPr>
            <w:r>
              <w:rPr>
                <w:color w:val="000000"/>
                <w:sz w:val="24"/>
                <w:szCs w:val="24"/>
                <w:lang w:val="en-US"/>
              </w:rPr>
              <w:t>47.96</w:t>
            </w:r>
          </w:p>
        </w:tc>
        <w:tc>
          <w:tcPr>
            <w:tcW w:w="1000" w:type="dxa"/>
            <w:noWrap/>
            <w:vAlign w:val="bottom"/>
          </w:tcPr>
          <w:p w14:paraId="18D0A55B" w14:textId="77777777" w:rsidR="00963A30" w:rsidRDefault="00985EA0">
            <w:pPr>
              <w:widowControl/>
              <w:autoSpaceDE/>
              <w:autoSpaceDN/>
              <w:jc w:val="right"/>
              <w:rPr>
                <w:color w:val="000000"/>
                <w:sz w:val="24"/>
                <w:szCs w:val="24"/>
                <w:lang w:val="en-US"/>
              </w:rPr>
            </w:pPr>
            <w:r>
              <w:rPr>
                <w:color w:val="000000"/>
                <w:sz w:val="24"/>
                <w:szCs w:val="24"/>
                <w:lang w:val="en-US"/>
              </w:rPr>
              <w:t>47.96</w:t>
            </w:r>
          </w:p>
        </w:tc>
        <w:tc>
          <w:tcPr>
            <w:tcW w:w="1000" w:type="dxa"/>
            <w:noWrap/>
            <w:vAlign w:val="bottom"/>
          </w:tcPr>
          <w:p w14:paraId="17645E8A" w14:textId="77777777" w:rsidR="00963A30" w:rsidRDefault="00985EA0">
            <w:pPr>
              <w:widowControl/>
              <w:autoSpaceDE/>
              <w:autoSpaceDN/>
              <w:jc w:val="right"/>
              <w:rPr>
                <w:color w:val="000000"/>
                <w:sz w:val="24"/>
                <w:szCs w:val="24"/>
                <w:lang w:val="en-US"/>
              </w:rPr>
            </w:pPr>
            <w:r>
              <w:rPr>
                <w:color w:val="000000"/>
                <w:sz w:val="24"/>
                <w:szCs w:val="24"/>
                <w:lang w:val="en-US"/>
              </w:rPr>
              <w:t>47.96</w:t>
            </w:r>
          </w:p>
        </w:tc>
        <w:tc>
          <w:tcPr>
            <w:tcW w:w="1020" w:type="dxa"/>
            <w:gridSpan w:val="2"/>
            <w:noWrap/>
            <w:vAlign w:val="bottom"/>
          </w:tcPr>
          <w:p w14:paraId="008B9CBE" w14:textId="77777777" w:rsidR="00963A30" w:rsidRDefault="00985EA0">
            <w:pPr>
              <w:widowControl/>
              <w:autoSpaceDE/>
              <w:autoSpaceDN/>
              <w:jc w:val="right"/>
              <w:rPr>
                <w:color w:val="000000"/>
                <w:sz w:val="24"/>
                <w:szCs w:val="24"/>
                <w:lang w:val="en-US"/>
              </w:rPr>
            </w:pPr>
            <w:r>
              <w:rPr>
                <w:color w:val="000000"/>
                <w:sz w:val="24"/>
                <w:szCs w:val="24"/>
                <w:lang w:val="en-US"/>
              </w:rPr>
              <w:t>47.96</w:t>
            </w:r>
          </w:p>
        </w:tc>
        <w:tc>
          <w:tcPr>
            <w:tcW w:w="296" w:type="dxa"/>
            <w:tcBorders>
              <w:left w:val="nil"/>
            </w:tcBorders>
            <w:noWrap/>
            <w:vAlign w:val="bottom"/>
          </w:tcPr>
          <w:p w14:paraId="0708D8E1" w14:textId="77777777" w:rsidR="00963A30" w:rsidRDefault="00963A30">
            <w:pPr>
              <w:widowControl/>
              <w:autoSpaceDE/>
              <w:autoSpaceDN/>
              <w:jc w:val="right"/>
              <w:rPr>
                <w:rFonts w:ascii="Cambria" w:hAnsi="Cambria" w:cs="Calibri"/>
                <w:color w:val="000000"/>
                <w:sz w:val="20"/>
                <w:szCs w:val="20"/>
                <w:lang w:val="en-US"/>
              </w:rPr>
            </w:pPr>
          </w:p>
        </w:tc>
      </w:tr>
      <w:tr w:rsidR="00963A30" w14:paraId="0C7F4539" w14:textId="77777777">
        <w:trPr>
          <w:trHeight w:val="301"/>
        </w:trPr>
        <w:tc>
          <w:tcPr>
            <w:tcW w:w="2017" w:type="dxa"/>
            <w:noWrap/>
            <w:vAlign w:val="bottom"/>
          </w:tcPr>
          <w:p w14:paraId="127D2655" w14:textId="77777777" w:rsidR="00963A30" w:rsidRDefault="00985EA0">
            <w:pPr>
              <w:widowControl/>
              <w:autoSpaceDE/>
              <w:autoSpaceDN/>
              <w:rPr>
                <w:color w:val="000000"/>
                <w:sz w:val="24"/>
                <w:szCs w:val="24"/>
                <w:lang w:val="en-US"/>
              </w:rPr>
            </w:pPr>
            <w:r>
              <w:rPr>
                <w:color w:val="000000"/>
                <w:sz w:val="24"/>
                <w:szCs w:val="24"/>
                <w:lang w:val="en-US"/>
              </w:rPr>
              <w:t>ADF</w:t>
            </w:r>
          </w:p>
        </w:tc>
        <w:tc>
          <w:tcPr>
            <w:tcW w:w="1094" w:type="dxa"/>
            <w:noWrap/>
            <w:vAlign w:val="bottom"/>
          </w:tcPr>
          <w:p w14:paraId="6634434C" w14:textId="77777777" w:rsidR="00963A30" w:rsidRDefault="00985EA0">
            <w:pPr>
              <w:widowControl/>
              <w:autoSpaceDE/>
              <w:autoSpaceDN/>
              <w:jc w:val="right"/>
              <w:rPr>
                <w:color w:val="000000"/>
                <w:sz w:val="24"/>
                <w:szCs w:val="24"/>
                <w:lang w:val="en-US"/>
              </w:rPr>
            </w:pPr>
            <w:r>
              <w:rPr>
                <w:color w:val="000000"/>
                <w:sz w:val="24"/>
                <w:szCs w:val="24"/>
                <w:lang w:val="en-US"/>
              </w:rPr>
              <w:t>32.04</w:t>
            </w:r>
          </w:p>
        </w:tc>
        <w:tc>
          <w:tcPr>
            <w:tcW w:w="833" w:type="dxa"/>
            <w:noWrap/>
            <w:vAlign w:val="bottom"/>
          </w:tcPr>
          <w:p w14:paraId="7E06B231" w14:textId="77777777" w:rsidR="00963A30" w:rsidRDefault="00985EA0">
            <w:pPr>
              <w:widowControl/>
              <w:autoSpaceDE/>
              <w:autoSpaceDN/>
              <w:jc w:val="right"/>
              <w:rPr>
                <w:color w:val="000000"/>
                <w:sz w:val="24"/>
                <w:szCs w:val="24"/>
                <w:lang w:val="en-US"/>
              </w:rPr>
            </w:pPr>
            <w:r>
              <w:rPr>
                <w:color w:val="000000"/>
                <w:sz w:val="24"/>
                <w:szCs w:val="24"/>
                <w:lang w:val="en-US"/>
              </w:rPr>
              <w:t>32.04</w:t>
            </w:r>
          </w:p>
        </w:tc>
        <w:tc>
          <w:tcPr>
            <w:tcW w:w="1022" w:type="dxa"/>
            <w:gridSpan w:val="2"/>
            <w:noWrap/>
            <w:vAlign w:val="bottom"/>
          </w:tcPr>
          <w:p w14:paraId="61EEFE1B" w14:textId="77777777" w:rsidR="00963A30" w:rsidRDefault="00985EA0">
            <w:pPr>
              <w:widowControl/>
              <w:autoSpaceDE/>
              <w:autoSpaceDN/>
              <w:jc w:val="right"/>
              <w:rPr>
                <w:color w:val="000000"/>
                <w:sz w:val="24"/>
                <w:szCs w:val="24"/>
                <w:lang w:val="en-US"/>
              </w:rPr>
            </w:pPr>
            <w:r>
              <w:rPr>
                <w:color w:val="000000"/>
                <w:sz w:val="24"/>
                <w:szCs w:val="24"/>
                <w:lang w:val="en-US"/>
              </w:rPr>
              <w:t>32,04</w:t>
            </w:r>
          </w:p>
        </w:tc>
        <w:tc>
          <w:tcPr>
            <w:tcW w:w="1000" w:type="dxa"/>
            <w:gridSpan w:val="2"/>
            <w:noWrap/>
            <w:vAlign w:val="bottom"/>
          </w:tcPr>
          <w:p w14:paraId="289738D6" w14:textId="77777777" w:rsidR="00963A30" w:rsidRDefault="00985EA0">
            <w:pPr>
              <w:widowControl/>
              <w:autoSpaceDE/>
              <w:autoSpaceDN/>
              <w:jc w:val="right"/>
              <w:rPr>
                <w:color w:val="000000"/>
                <w:sz w:val="24"/>
                <w:szCs w:val="24"/>
                <w:lang w:val="en-US"/>
              </w:rPr>
            </w:pPr>
            <w:r>
              <w:rPr>
                <w:color w:val="000000"/>
                <w:sz w:val="24"/>
                <w:szCs w:val="24"/>
                <w:lang w:val="en-US"/>
              </w:rPr>
              <w:t>32.04</w:t>
            </w:r>
          </w:p>
        </w:tc>
        <w:tc>
          <w:tcPr>
            <w:tcW w:w="1000" w:type="dxa"/>
            <w:noWrap/>
            <w:vAlign w:val="bottom"/>
          </w:tcPr>
          <w:p w14:paraId="4C6C3A37" w14:textId="77777777" w:rsidR="00963A30" w:rsidRDefault="00985EA0">
            <w:pPr>
              <w:widowControl/>
              <w:autoSpaceDE/>
              <w:autoSpaceDN/>
              <w:jc w:val="right"/>
              <w:rPr>
                <w:color w:val="000000"/>
                <w:sz w:val="24"/>
                <w:szCs w:val="24"/>
                <w:lang w:val="en-US"/>
              </w:rPr>
            </w:pPr>
            <w:r>
              <w:rPr>
                <w:color w:val="000000"/>
                <w:sz w:val="24"/>
                <w:szCs w:val="24"/>
                <w:lang w:val="en-US"/>
              </w:rPr>
              <w:t>32.04</w:t>
            </w:r>
          </w:p>
        </w:tc>
        <w:tc>
          <w:tcPr>
            <w:tcW w:w="1000" w:type="dxa"/>
            <w:noWrap/>
            <w:vAlign w:val="bottom"/>
          </w:tcPr>
          <w:p w14:paraId="6F022CF7" w14:textId="77777777" w:rsidR="00963A30" w:rsidRDefault="00985EA0">
            <w:pPr>
              <w:widowControl/>
              <w:autoSpaceDE/>
              <w:autoSpaceDN/>
              <w:jc w:val="right"/>
              <w:rPr>
                <w:color w:val="000000"/>
                <w:sz w:val="24"/>
                <w:szCs w:val="24"/>
                <w:lang w:val="en-US"/>
              </w:rPr>
            </w:pPr>
            <w:r>
              <w:rPr>
                <w:color w:val="000000"/>
                <w:sz w:val="24"/>
                <w:szCs w:val="24"/>
                <w:lang w:val="en-US"/>
              </w:rPr>
              <w:t>32.04</w:t>
            </w:r>
          </w:p>
        </w:tc>
        <w:tc>
          <w:tcPr>
            <w:tcW w:w="1020" w:type="dxa"/>
            <w:gridSpan w:val="2"/>
            <w:noWrap/>
            <w:vAlign w:val="bottom"/>
          </w:tcPr>
          <w:p w14:paraId="4183E988" w14:textId="77777777" w:rsidR="00963A30" w:rsidRDefault="00985EA0">
            <w:pPr>
              <w:widowControl/>
              <w:autoSpaceDE/>
              <w:autoSpaceDN/>
              <w:jc w:val="right"/>
              <w:rPr>
                <w:color w:val="000000"/>
                <w:sz w:val="24"/>
                <w:szCs w:val="24"/>
                <w:lang w:val="en-US"/>
              </w:rPr>
            </w:pPr>
            <w:r>
              <w:rPr>
                <w:color w:val="000000"/>
                <w:sz w:val="24"/>
                <w:szCs w:val="24"/>
                <w:lang w:val="en-US"/>
              </w:rPr>
              <w:t>32.04</w:t>
            </w:r>
          </w:p>
        </w:tc>
        <w:tc>
          <w:tcPr>
            <w:tcW w:w="296" w:type="dxa"/>
            <w:tcBorders>
              <w:left w:val="nil"/>
            </w:tcBorders>
            <w:noWrap/>
            <w:vAlign w:val="bottom"/>
          </w:tcPr>
          <w:p w14:paraId="7CA2CC29" w14:textId="77777777" w:rsidR="00963A30" w:rsidRDefault="00963A30">
            <w:pPr>
              <w:widowControl/>
              <w:autoSpaceDE/>
              <w:autoSpaceDN/>
              <w:jc w:val="right"/>
              <w:rPr>
                <w:rFonts w:ascii="Cambria" w:hAnsi="Cambria" w:cs="Calibri"/>
                <w:color w:val="000000"/>
                <w:sz w:val="20"/>
                <w:szCs w:val="20"/>
                <w:lang w:val="en-US"/>
              </w:rPr>
            </w:pPr>
          </w:p>
        </w:tc>
      </w:tr>
      <w:tr w:rsidR="00963A30" w14:paraId="75BB9FA0" w14:textId="77777777">
        <w:trPr>
          <w:trHeight w:val="301"/>
        </w:trPr>
        <w:tc>
          <w:tcPr>
            <w:tcW w:w="2017" w:type="dxa"/>
            <w:noWrap/>
            <w:vAlign w:val="bottom"/>
          </w:tcPr>
          <w:p w14:paraId="098F46CB" w14:textId="77777777" w:rsidR="00963A30" w:rsidRDefault="00985EA0">
            <w:pPr>
              <w:widowControl/>
              <w:autoSpaceDE/>
              <w:autoSpaceDN/>
              <w:rPr>
                <w:color w:val="000000"/>
                <w:sz w:val="24"/>
                <w:szCs w:val="24"/>
                <w:lang w:val="en-US"/>
              </w:rPr>
            </w:pPr>
            <w:r>
              <w:rPr>
                <w:color w:val="000000"/>
                <w:sz w:val="24"/>
                <w:szCs w:val="24"/>
                <w:lang w:val="en-US"/>
              </w:rPr>
              <w:t>Cellulose</w:t>
            </w:r>
          </w:p>
        </w:tc>
        <w:tc>
          <w:tcPr>
            <w:tcW w:w="1094" w:type="dxa"/>
            <w:noWrap/>
            <w:vAlign w:val="bottom"/>
          </w:tcPr>
          <w:p w14:paraId="589B9E3B" w14:textId="77777777" w:rsidR="00963A30" w:rsidRDefault="00985EA0">
            <w:pPr>
              <w:widowControl/>
              <w:autoSpaceDE/>
              <w:autoSpaceDN/>
              <w:jc w:val="right"/>
              <w:rPr>
                <w:color w:val="000000"/>
                <w:sz w:val="24"/>
                <w:szCs w:val="24"/>
                <w:lang w:val="en-US"/>
              </w:rPr>
            </w:pPr>
            <w:r>
              <w:rPr>
                <w:color w:val="000000"/>
                <w:sz w:val="24"/>
                <w:szCs w:val="24"/>
                <w:lang w:val="en-US"/>
              </w:rPr>
              <w:t>20.96</w:t>
            </w:r>
          </w:p>
        </w:tc>
        <w:tc>
          <w:tcPr>
            <w:tcW w:w="833" w:type="dxa"/>
            <w:noWrap/>
            <w:vAlign w:val="bottom"/>
          </w:tcPr>
          <w:p w14:paraId="65121805" w14:textId="77777777" w:rsidR="00963A30" w:rsidRDefault="00985EA0">
            <w:pPr>
              <w:widowControl/>
              <w:autoSpaceDE/>
              <w:autoSpaceDN/>
              <w:jc w:val="right"/>
              <w:rPr>
                <w:color w:val="000000"/>
                <w:sz w:val="24"/>
                <w:szCs w:val="24"/>
                <w:lang w:val="en-US"/>
              </w:rPr>
            </w:pPr>
            <w:r>
              <w:rPr>
                <w:color w:val="000000"/>
                <w:sz w:val="24"/>
                <w:szCs w:val="24"/>
                <w:lang w:val="en-US"/>
              </w:rPr>
              <w:t>20.96</w:t>
            </w:r>
          </w:p>
        </w:tc>
        <w:tc>
          <w:tcPr>
            <w:tcW w:w="1022" w:type="dxa"/>
            <w:gridSpan w:val="2"/>
            <w:noWrap/>
            <w:vAlign w:val="bottom"/>
          </w:tcPr>
          <w:p w14:paraId="023068D0" w14:textId="77777777" w:rsidR="00963A30" w:rsidRDefault="00985EA0">
            <w:pPr>
              <w:widowControl/>
              <w:autoSpaceDE/>
              <w:autoSpaceDN/>
              <w:jc w:val="right"/>
              <w:rPr>
                <w:color w:val="000000"/>
                <w:sz w:val="24"/>
                <w:szCs w:val="24"/>
                <w:lang w:val="en-US"/>
              </w:rPr>
            </w:pPr>
            <w:r>
              <w:rPr>
                <w:color w:val="000000"/>
                <w:sz w:val="24"/>
                <w:szCs w:val="24"/>
                <w:lang w:val="en-US"/>
              </w:rPr>
              <w:t>20.96</w:t>
            </w:r>
          </w:p>
        </w:tc>
        <w:tc>
          <w:tcPr>
            <w:tcW w:w="1000" w:type="dxa"/>
            <w:gridSpan w:val="2"/>
            <w:noWrap/>
            <w:vAlign w:val="bottom"/>
          </w:tcPr>
          <w:p w14:paraId="1631A3BF" w14:textId="77777777" w:rsidR="00963A30" w:rsidRDefault="00985EA0">
            <w:pPr>
              <w:widowControl/>
              <w:autoSpaceDE/>
              <w:autoSpaceDN/>
              <w:jc w:val="right"/>
              <w:rPr>
                <w:color w:val="000000"/>
                <w:sz w:val="24"/>
                <w:szCs w:val="24"/>
                <w:lang w:val="en-US"/>
              </w:rPr>
            </w:pPr>
            <w:r>
              <w:rPr>
                <w:color w:val="000000"/>
                <w:sz w:val="24"/>
                <w:szCs w:val="24"/>
                <w:lang w:val="en-US"/>
              </w:rPr>
              <w:t>20.96</w:t>
            </w:r>
          </w:p>
        </w:tc>
        <w:tc>
          <w:tcPr>
            <w:tcW w:w="1000" w:type="dxa"/>
            <w:noWrap/>
            <w:vAlign w:val="bottom"/>
          </w:tcPr>
          <w:p w14:paraId="09638200" w14:textId="77777777" w:rsidR="00963A30" w:rsidRDefault="00985EA0">
            <w:pPr>
              <w:widowControl/>
              <w:autoSpaceDE/>
              <w:autoSpaceDN/>
              <w:jc w:val="right"/>
              <w:rPr>
                <w:color w:val="000000"/>
                <w:sz w:val="24"/>
                <w:szCs w:val="24"/>
                <w:lang w:val="en-US"/>
              </w:rPr>
            </w:pPr>
            <w:r>
              <w:rPr>
                <w:color w:val="000000"/>
                <w:sz w:val="24"/>
                <w:szCs w:val="24"/>
                <w:lang w:val="en-US"/>
              </w:rPr>
              <w:t>20.96</w:t>
            </w:r>
          </w:p>
        </w:tc>
        <w:tc>
          <w:tcPr>
            <w:tcW w:w="1000" w:type="dxa"/>
            <w:noWrap/>
            <w:vAlign w:val="bottom"/>
          </w:tcPr>
          <w:p w14:paraId="497EF98A" w14:textId="77777777" w:rsidR="00963A30" w:rsidRDefault="00985EA0">
            <w:pPr>
              <w:widowControl/>
              <w:autoSpaceDE/>
              <w:autoSpaceDN/>
              <w:jc w:val="right"/>
              <w:rPr>
                <w:color w:val="000000"/>
                <w:sz w:val="24"/>
                <w:szCs w:val="24"/>
                <w:lang w:val="en-US"/>
              </w:rPr>
            </w:pPr>
            <w:r>
              <w:rPr>
                <w:color w:val="000000"/>
                <w:sz w:val="24"/>
                <w:szCs w:val="24"/>
                <w:lang w:val="en-US"/>
              </w:rPr>
              <w:t>20.96</w:t>
            </w:r>
          </w:p>
        </w:tc>
        <w:tc>
          <w:tcPr>
            <w:tcW w:w="1020" w:type="dxa"/>
            <w:gridSpan w:val="2"/>
            <w:noWrap/>
            <w:vAlign w:val="bottom"/>
          </w:tcPr>
          <w:p w14:paraId="2737FE2C" w14:textId="77777777" w:rsidR="00963A30" w:rsidRDefault="00985EA0">
            <w:pPr>
              <w:widowControl/>
              <w:autoSpaceDE/>
              <w:autoSpaceDN/>
              <w:jc w:val="right"/>
              <w:rPr>
                <w:color w:val="000000"/>
                <w:sz w:val="24"/>
                <w:szCs w:val="24"/>
                <w:lang w:val="en-US"/>
              </w:rPr>
            </w:pPr>
            <w:r>
              <w:rPr>
                <w:color w:val="000000"/>
                <w:sz w:val="24"/>
                <w:szCs w:val="24"/>
                <w:lang w:val="en-US"/>
              </w:rPr>
              <w:t>20.96</w:t>
            </w:r>
          </w:p>
        </w:tc>
        <w:tc>
          <w:tcPr>
            <w:tcW w:w="296" w:type="dxa"/>
            <w:tcBorders>
              <w:left w:val="nil"/>
            </w:tcBorders>
            <w:noWrap/>
            <w:vAlign w:val="bottom"/>
          </w:tcPr>
          <w:p w14:paraId="2A1EAC10" w14:textId="77777777" w:rsidR="00963A30" w:rsidRDefault="00963A30">
            <w:pPr>
              <w:widowControl/>
              <w:autoSpaceDE/>
              <w:autoSpaceDN/>
              <w:jc w:val="right"/>
              <w:rPr>
                <w:rFonts w:ascii="Cambria" w:hAnsi="Cambria" w:cs="Calibri"/>
                <w:color w:val="000000"/>
                <w:sz w:val="20"/>
                <w:szCs w:val="20"/>
                <w:lang w:val="en-US"/>
              </w:rPr>
            </w:pPr>
          </w:p>
        </w:tc>
      </w:tr>
      <w:tr w:rsidR="00963A30" w14:paraId="17936BD6" w14:textId="77777777">
        <w:trPr>
          <w:trHeight w:val="301"/>
        </w:trPr>
        <w:tc>
          <w:tcPr>
            <w:tcW w:w="2017" w:type="dxa"/>
            <w:noWrap/>
            <w:vAlign w:val="bottom"/>
          </w:tcPr>
          <w:p w14:paraId="39E7B7B5" w14:textId="77777777" w:rsidR="00963A30" w:rsidRDefault="00985EA0">
            <w:pPr>
              <w:widowControl/>
              <w:autoSpaceDE/>
              <w:autoSpaceDN/>
              <w:rPr>
                <w:color w:val="000000"/>
                <w:sz w:val="24"/>
                <w:szCs w:val="24"/>
                <w:lang w:val="en-US"/>
              </w:rPr>
            </w:pPr>
            <w:r>
              <w:rPr>
                <w:color w:val="000000"/>
                <w:sz w:val="24"/>
                <w:szCs w:val="24"/>
                <w:lang w:val="en-US"/>
              </w:rPr>
              <w:t>Hemicellulose</w:t>
            </w:r>
          </w:p>
        </w:tc>
        <w:tc>
          <w:tcPr>
            <w:tcW w:w="1094" w:type="dxa"/>
            <w:noWrap/>
            <w:vAlign w:val="bottom"/>
          </w:tcPr>
          <w:p w14:paraId="097F7AE4" w14:textId="77777777" w:rsidR="00963A30" w:rsidRDefault="00985EA0">
            <w:pPr>
              <w:widowControl/>
              <w:autoSpaceDE/>
              <w:autoSpaceDN/>
              <w:jc w:val="right"/>
              <w:rPr>
                <w:color w:val="000000"/>
                <w:sz w:val="24"/>
                <w:szCs w:val="24"/>
                <w:lang w:val="en-US"/>
              </w:rPr>
            </w:pPr>
            <w:r>
              <w:rPr>
                <w:color w:val="000000"/>
                <w:sz w:val="24"/>
                <w:szCs w:val="24"/>
                <w:lang w:val="en-US"/>
              </w:rPr>
              <w:t>15.92</w:t>
            </w:r>
          </w:p>
        </w:tc>
        <w:tc>
          <w:tcPr>
            <w:tcW w:w="833" w:type="dxa"/>
            <w:noWrap/>
            <w:vAlign w:val="bottom"/>
          </w:tcPr>
          <w:p w14:paraId="7A9A3206" w14:textId="77777777" w:rsidR="00963A30" w:rsidRDefault="00985EA0">
            <w:pPr>
              <w:widowControl/>
              <w:autoSpaceDE/>
              <w:autoSpaceDN/>
              <w:jc w:val="right"/>
              <w:rPr>
                <w:color w:val="000000"/>
                <w:sz w:val="24"/>
                <w:szCs w:val="24"/>
                <w:lang w:val="en-US"/>
              </w:rPr>
            </w:pPr>
            <w:r>
              <w:rPr>
                <w:color w:val="000000"/>
                <w:sz w:val="24"/>
                <w:szCs w:val="24"/>
                <w:lang w:val="en-US"/>
              </w:rPr>
              <w:t>15.92</w:t>
            </w:r>
          </w:p>
        </w:tc>
        <w:tc>
          <w:tcPr>
            <w:tcW w:w="1022" w:type="dxa"/>
            <w:gridSpan w:val="2"/>
            <w:noWrap/>
            <w:vAlign w:val="bottom"/>
          </w:tcPr>
          <w:p w14:paraId="087E0F09" w14:textId="77777777" w:rsidR="00963A30" w:rsidRDefault="00985EA0">
            <w:pPr>
              <w:widowControl/>
              <w:autoSpaceDE/>
              <w:autoSpaceDN/>
              <w:jc w:val="right"/>
              <w:rPr>
                <w:color w:val="000000"/>
                <w:sz w:val="24"/>
                <w:szCs w:val="24"/>
                <w:lang w:val="en-US"/>
              </w:rPr>
            </w:pPr>
            <w:r>
              <w:rPr>
                <w:color w:val="000000"/>
                <w:sz w:val="24"/>
                <w:szCs w:val="24"/>
                <w:lang w:val="en-US"/>
              </w:rPr>
              <w:t>15.92</w:t>
            </w:r>
          </w:p>
        </w:tc>
        <w:tc>
          <w:tcPr>
            <w:tcW w:w="1000" w:type="dxa"/>
            <w:gridSpan w:val="2"/>
            <w:noWrap/>
            <w:vAlign w:val="bottom"/>
          </w:tcPr>
          <w:p w14:paraId="671393AD" w14:textId="77777777" w:rsidR="00963A30" w:rsidRDefault="00985EA0">
            <w:pPr>
              <w:widowControl/>
              <w:autoSpaceDE/>
              <w:autoSpaceDN/>
              <w:jc w:val="right"/>
              <w:rPr>
                <w:color w:val="000000"/>
                <w:sz w:val="24"/>
                <w:szCs w:val="24"/>
                <w:lang w:val="en-US"/>
              </w:rPr>
            </w:pPr>
            <w:r>
              <w:rPr>
                <w:color w:val="000000"/>
                <w:sz w:val="24"/>
                <w:szCs w:val="24"/>
                <w:lang w:val="en-US"/>
              </w:rPr>
              <w:t>15.92</w:t>
            </w:r>
          </w:p>
        </w:tc>
        <w:tc>
          <w:tcPr>
            <w:tcW w:w="1000" w:type="dxa"/>
            <w:noWrap/>
            <w:vAlign w:val="bottom"/>
          </w:tcPr>
          <w:p w14:paraId="751531A8" w14:textId="77777777" w:rsidR="00963A30" w:rsidRDefault="00985EA0">
            <w:pPr>
              <w:widowControl/>
              <w:autoSpaceDE/>
              <w:autoSpaceDN/>
              <w:jc w:val="right"/>
              <w:rPr>
                <w:color w:val="000000"/>
                <w:sz w:val="24"/>
                <w:szCs w:val="24"/>
                <w:lang w:val="en-US"/>
              </w:rPr>
            </w:pPr>
            <w:r>
              <w:rPr>
                <w:color w:val="000000"/>
                <w:sz w:val="24"/>
                <w:szCs w:val="24"/>
                <w:lang w:val="en-US"/>
              </w:rPr>
              <w:t>15.92</w:t>
            </w:r>
          </w:p>
        </w:tc>
        <w:tc>
          <w:tcPr>
            <w:tcW w:w="1000" w:type="dxa"/>
            <w:noWrap/>
            <w:vAlign w:val="bottom"/>
          </w:tcPr>
          <w:p w14:paraId="491EE3C1" w14:textId="77777777" w:rsidR="00963A30" w:rsidRDefault="00985EA0">
            <w:pPr>
              <w:widowControl/>
              <w:autoSpaceDE/>
              <w:autoSpaceDN/>
              <w:jc w:val="right"/>
              <w:rPr>
                <w:color w:val="000000"/>
                <w:sz w:val="24"/>
                <w:szCs w:val="24"/>
                <w:lang w:val="en-US"/>
              </w:rPr>
            </w:pPr>
            <w:r>
              <w:rPr>
                <w:color w:val="000000"/>
                <w:sz w:val="24"/>
                <w:szCs w:val="24"/>
                <w:lang w:val="en-US"/>
              </w:rPr>
              <w:t>15.92</w:t>
            </w:r>
          </w:p>
        </w:tc>
        <w:tc>
          <w:tcPr>
            <w:tcW w:w="1020" w:type="dxa"/>
            <w:gridSpan w:val="2"/>
            <w:noWrap/>
            <w:vAlign w:val="bottom"/>
          </w:tcPr>
          <w:p w14:paraId="41144857" w14:textId="77777777" w:rsidR="00963A30" w:rsidRDefault="00985EA0">
            <w:pPr>
              <w:widowControl/>
              <w:autoSpaceDE/>
              <w:autoSpaceDN/>
              <w:jc w:val="right"/>
              <w:rPr>
                <w:color w:val="000000"/>
                <w:sz w:val="24"/>
                <w:szCs w:val="24"/>
                <w:lang w:val="en-US"/>
              </w:rPr>
            </w:pPr>
            <w:r>
              <w:rPr>
                <w:color w:val="000000"/>
                <w:sz w:val="24"/>
                <w:szCs w:val="24"/>
                <w:lang w:val="en-US"/>
              </w:rPr>
              <w:t>15.92</w:t>
            </w:r>
          </w:p>
        </w:tc>
        <w:tc>
          <w:tcPr>
            <w:tcW w:w="296" w:type="dxa"/>
            <w:tcBorders>
              <w:left w:val="nil"/>
            </w:tcBorders>
            <w:noWrap/>
            <w:vAlign w:val="bottom"/>
          </w:tcPr>
          <w:p w14:paraId="42281AA8" w14:textId="77777777" w:rsidR="00963A30" w:rsidRDefault="00963A30">
            <w:pPr>
              <w:widowControl/>
              <w:autoSpaceDE/>
              <w:autoSpaceDN/>
              <w:jc w:val="right"/>
              <w:rPr>
                <w:rFonts w:ascii="Cambria" w:hAnsi="Cambria" w:cs="Calibri"/>
                <w:color w:val="000000"/>
                <w:sz w:val="20"/>
                <w:szCs w:val="20"/>
                <w:lang w:val="en-US"/>
              </w:rPr>
            </w:pPr>
          </w:p>
        </w:tc>
      </w:tr>
      <w:tr w:rsidR="00963A30" w14:paraId="0C5FEC1B" w14:textId="77777777">
        <w:trPr>
          <w:trHeight w:val="301"/>
        </w:trPr>
        <w:tc>
          <w:tcPr>
            <w:tcW w:w="2017" w:type="dxa"/>
            <w:noWrap/>
            <w:vAlign w:val="bottom"/>
          </w:tcPr>
          <w:p w14:paraId="0D9CAB31" w14:textId="77777777" w:rsidR="00963A30" w:rsidRDefault="00985EA0">
            <w:pPr>
              <w:widowControl/>
              <w:autoSpaceDE/>
              <w:autoSpaceDN/>
              <w:rPr>
                <w:color w:val="000000"/>
                <w:sz w:val="24"/>
                <w:szCs w:val="24"/>
                <w:lang w:val="en-US"/>
              </w:rPr>
            </w:pPr>
            <w:r>
              <w:rPr>
                <w:color w:val="000000"/>
                <w:sz w:val="24"/>
                <w:szCs w:val="24"/>
                <w:lang w:val="en-US"/>
              </w:rPr>
              <w:t>Lignin</w:t>
            </w:r>
          </w:p>
        </w:tc>
        <w:tc>
          <w:tcPr>
            <w:tcW w:w="1094" w:type="dxa"/>
            <w:noWrap/>
            <w:vAlign w:val="bottom"/>
          </w:tcPr>
          <w:p w14:paraId="4E601DFD" w14:textId="77777777" w:rsidR="00963A30" w:rsidRDefault="00985EA0">
            <w:pPr>
              <w:widowControl/>
              <w:autoSpaceDE/>
              <w:autoSpaceDN/>
              <w:jc w:val="right"/>
              <w:rPr>
                <w:color w:val="000000"/>
                <w:sz w:val="24"/>
                <w:szCs w:val="24"/>
                <w:lang w:val="en-US"/>
              </w:rPr>
            </w:pPr>
            <w:r>
              <w:rPr>
                <w:color w:val="000000"/>
                <w:sz w:val="24"/>
                <w:szCs w:val="24"/>
                <w:lang w:val="en-US"/>
              </w:rPr>
              <w:t>5.07</w:t>
            </w:r>
          </w:p>
        </w:tc>
        <w:tc>
          <w:tcPr>
            <w:tcW w:w="833" w:type="dxa"/>
            <w:noWrap/>
            <w:vAlign w:val="bottom"/>
          </w:tcPr>
          <w:p w14:paraId="586B4CAC" w14:textId="77777777" w:rsidR="00963A30" w:rsidRDefault="00985EA0">
            <w:pPr>
              <w:widowControl/>
              <w:autoSpaceDE/>
              <w:autoSpaceDN/>
              <w:jc w:val="right"/>
              <w:rPr>
                <w:color w:val="000000"/>
                <w:sz w:val="24"/>
                <w:szCs w:val="24"/>
                <w:lang w:val="en-US"/>
              </w:rPr>
            </w:pPr>
            <w:r>
              <w:rPr>
                <w:color w:val="000000"/>
                <w:sz w:val="24"/>
                <w:szCs w:val="24"/>
                <w:lang w:val="en-US"/>
              </w:rPr>
              <w:t>5.07</w:t>
            </w:r>
          </w:p>
        </w:tc>
        <w:tc>
          <w:tcPr>
            <w:tcW w:w="1022" w:type="dxa"/>
            <w:gridSpan w:val="2"/>
            <w:noWrap/>
            <w:vAlign w:val="bottom"/>
          </w:tcPr>
          <w:p w14:paraId="2769538E" w14:textId="77777777" w:rsidR="00963A30" w:rsidRDefault="00985EA0">
            <w:pPr>
              <w:widowControl/>
              <w:autoSpaceDE/>
              <w:autoSpaceDN/>
              <w:jc w:val="right"/>
              <w:rPr>
                <w:color w:val="000000"/>
                <w:sz w:val="24"/>
                <w:szCs w:val="24"/>
                <w:lang w:val="en-US"/>
              </w:rPr>
            </w:pPr>
            <w:r>
              <w:rPr>
                <w:color w:val="000000"/>
                <w:sz w:val="24"/>
                <w:szCs w:val="24"/>
                <w:lang w:val="en-US"/>
              </w:rPr>
              <w:t>5.07</w:t>
            </w:r>
          </w:p>
        </w:tc>
        <w:tc>
          <w:tcPr>
            <w:tcW w:w="1000" w:type="dxa"/>
            <w:gridSpan w:val="2"/>
            <w:noWrap/>
            <w:vAlign w:val="bottom"/>
          </w:tcPr>
          <w:p w14:paraId="0EB725BD" w14:textId="77777777" w:rsidR="00963A30" w:rsidRDefault="00985EA0">
            <w:pPr>
              <w:widowControl/>
              <w:autoSpaceDE/>
              <w:autoSpaceDN/>
              <w:jc w:val="right"/>
              <w:rPr>
                <w:color w:val="000000"/>
                <w:sz w:val="24"/>
                <w:szCs w:val="24"/>
                <w:lang w:val="en-US"/>
              </w:rPr>
            </w:pPr>
            <w:r>
              <w:rPr>
                <w:color w:val="000000"/>
                <w:sz w:val="24"/>
                <w:szCs w:val="24"/>
                <w:lang w:val="en-US"/>
              </w:rPr>
              <w:t>5.07</w:t>
            </w:r>
          </w:p>
        </w:tc>
        <w:tc>
          <w:tcPr>
            <w:tcW w:w="1000" w:type="dxa"/>
            <w:noWrap/>
            <w:vAlign w:val="bottom"/>
          </w:tcPr>
          <w:p w14:paraId="232F6B26" w14:textId="77777777" w:rsidR="00963A30" w:rsidRDefault="00985EA0">
            <w:pPr>
              <w:widowControl/>
              <w:autoSpaceDE/>
              <w:autoSpaceDN/>
              <w:jc w:val="right"/>
              <w:rPr>
                <w:color w:val="000000"/>
                <w:sz w:val="24"/>
                <w:szCs w:val="24"/>
                <w:lang w:val="en-US"/>
              </w:rPr>
            </w:pPr>
            <w:r>
              <w:rPr>
                <w:color w:val="000000"/>
                <w:sz w:val="24"/>
                <w:szCs w:val="24"/>
                <w:lang w:val="en-US"/>
              </w:rPr>
              <w:t>5.-7</w:t>
            </w:r>
          </w:p>
        </w:tc>
        <w:tc>
          <w:tcPr>
            <w:tcW w:w="1000" w:type="dxa"/>
            <w:noWrap/>
            <w:vAlign w:val="bottom"/>
          </w:tcPr>
          <w:p w14:paraId="6D2E6014" w14:textId="77777777" w:rsidR="00963A30" w:rsidRDefault="00985EA0">
            <w:pPr>
              <w:widowControl/>
              <w:autoSpaceDE/>
              <w:autoSpaceDN/>
              <w:jc w:val="right"/>
              <w:rPr>
                <w:color w:val="000000"/>
                <w:sz w:val="24"/>
                <w:szCs w:val="24"/>
                <w:lang w:val="en-US"/>
              </w:rPr>
            </w:pPr>
            <w:r>
              <w:rPr>
                <w:color w:val="000000"/>
                <w:sz w:val="24"/>
                <w:szCs w:val="24"/>
                <w:lang w:val="en-US"/>
              </w:rPr>
              <w:t>5.07</w:t>
            </w:r>
          </w:p>
        </w:tc>
        <w:tc>
          <w:tcPr>
            <w:tcW w:w="1020" w:type="dxa"/>
            <w:gridSpan w:val="2"/>
            <w:noWrap/>
            <w:vAlign w:val="bottom"/>
          </w:tcPr>
          <w:p w14:paraId="2728BFDA" w14:textId="77777777" w:rsidR="00963A30" w:rsidRDefault="00985EA0">
            <w:pPr>
              <w:widowControl/>
              <w:autoSpaceDE/>
              <w:autoSpaceDN/>
              <w:jc w:val="right"/>
              <w:rPr>
                <w:color w:val="000000"/>
                <w:sz w:val="24"/>
                <w:szCs w:val="24"/>
                <w:lang w:val="en-US"/>
              </w:rPr>
            </w:pPr>
            <w:r>
              <w:rPr>
                <w:color w:val="000000"/>
                <w:sz w:val="24"/>
                <w:szCs w:val="24"/>
                <w:lang w:val="en-US"/>
              </w:rPr>
              <w:t>5.07</w:t>
            </w:r>
          </w:p>
        </w:tc>
        <w:tc>
          <w:tcPr>
            <w:tcW w:w="296" w:type="dxa"/>
            <w:tcBorders>
              <w:left w:val="nil"/>
            </w:tcBorders>
            <w:noWrap/>
            <w:vAlign w:val="bottom"/>
          </w:tcPr>
          <w:p w14:paraId="6154C6EA" w14:textId="77777777" w:rsidR="00963A30" w:rsidRDefault="00963A30">
            <w:pPr>
              <w:widowControl/>
              <w:autoSpaceDE/>
              <w:autoSpaceDN/>
              <w:jc w:val="right"/>
              <w:rPr>
                <w:rFonts w:ascii="Cambria" w:hAnsi="Cambria" w:cs="Calibri"/>
                <w:color w:val="000000"/>
                <w:sz w:val="20"/>
                <w:szCs w:val="20"/>
                <w:lang w:val="en-US"/>
              </w:rPr>
            </w:pPr>
          </w:p>
        </w:tc>
      </w:tr>
      <w:tr w:rsidR="00963A30" w14:paraId="252D916C" w14:textId="77777777">
        <w:trPr>
          <w:trHeight w:val="301"/>
        </w:trPr>
        <w:tc>
          <w:tcPr>
            <w:tcW w:w="2017" w:type="dxa"/>
            <w:noWrap/>
            <w:vAlign w:val="bottom"/>
          </w:tcPr>
          <w:p w14:paraId="56F18D44" w14:textId="77777777" w:rsidR="00963A30" w:rsidRDefault="00985EA0">
            <w:pPr>
              <w:widowControl/>
              <w:autoSpaceDE/>
              <w:autoSpaceDN/>
              <w:rPr>
                <w:color w:val="000000"/>
                <w:sz w:val="24"/>
                <w:szCs w:val="24"/>
                <w:lang w:val="en-US"/>
              </w:rPr>
            </w:pPr>
            <w:r>
              <w:rPr>
                <w:color w:val="000000"/>
                <w:sz w:val="24"/>
                <w:szCs w:val="24"/>
                <w:lang w:val="en-US"/>
              </w:rPr>
              <w:t>Silica</w:t>
            </w:r>
          </w:p>
        </w:tc>
        <w:tc>
          <w:tcPr>
            <w:tcW w:w="1094" w:type="dxa"/>
            <w:noWrap/>
            <w:vAlign w:val="bottom"/>
          </w:tcPr>
          <w:p w14:paraId="0BC55228" w14:textId="77777777" w:rsidR="00963A30" w:rsidRDefault="00985EA0">
            <w:pPr>
              <w:widowControl/>
              <w:autoSpaceDE/>
              <w:autoSpaceDN/>
              <w:jc w:val="right"/>
              <w:rPr>
                <w:color w:val="000000"/>
                <w:sz w:val="24"/>
                <w:szCs w:val="24"/>
                <w:lang w:val="en-US"/>
              </w:rPr>
            </w:pPr>
            <w:r>
              <w:rPr>
                <w:color w:val="000000"/>
                <w:sz w:val="24"/>
                <w:szCs w:val="24"/>
                <w:lang w:val="en-US"/>
              </w:rPr>
              <w:t>2.02</w:t>
            </w:r>
          </w:p>
        </w:tc>
        <w:tc>
          <w:tcPr>
            <w:tcW w:w="833" w:type="dxa"/>
            <w:noWrap/>
            <w:vAlign w:val="bottom"/>
          </w:tcPr>
          <w:p w14:paraId="2BED83F3" w14:textId="77777777" w:rsidR="00963A30" w:rsidRDefault="00985EA0">
            <w:pPr>
              <w:widowControl/>
              <w:autoSpaceDE/>
              <w:autoSpaceDN/>
              <w:jc w:val="right"/>
              <w:rPr>
                <w:color w:val="000000"/>
                <w:sz w:val="24"/>
                <w:szCs w:val="24"/>
                <w:lang w:val="en-US"/>
              </w:rPr>
            </w:pPr>
            <w:r>
              <w:rPr>
                <w:color w:val="000000"/>
                <w:sz w:val="24"/>
                <w:szCs w:val="24"/>
                <w:lang w:val="en-US"/>
              </w:rPr>
              <w:t>2.02</w:t>
            </w:r>
          </w:p>
        </w:tc>
        <w:tc>
          <w:tcPr>
            <w:tcW w:w="1022" w:type="dxa"/>
            <w:gridSpan w:val="2"/>
            <w:noWrap/>
            <w:vAlign w:val="bottom"/>
          </w:tcPr>
          <w:p w14:paraId="51EBDCB0" w14:textId="77777777" w:rsidR="00963A30" w:rsidRDefault="00985EA0">
            <w:pPr>
              <w:widowControl/>
              <w:autoSpaceDE/>
              <w:autoSpaceDN/>
              <w:jc w:val="right"/>
              <w:rPr>
                <w:color w:val="000000"/>
                <w:sz w:val="24"/>
                <w:szCs w:val="24"/>
                <w:lang w:val="en-US"/>
              </w:rPr>
            </w:pPr>
            <w:r>
              <w:rPr>
                <w:color w:val="000000"/>
                <w:sz w:val="24"/>
                <w:szCs w:val="24"/>
                <w:lang w:val="en-US"/>
              </w:rPr>
              <w:t>20.2</w:t>
            </w:r>
          </w:p>
        </w:tc>
        <w:tc>
          <w:tcPr>
            <w:tcW w:w="1000" w:type="dxa"/>
            <w:gridSpan w:val="2"/>
            <w:noWrap/>
            <w:vAlign w:val="bottom"/>
          </w:tcPr>
          <w:p w14:paraId="607E3CDA" w14:textId="77777777" w:rsidR="00963A30" w:rsidRDefault="00985EA0">
            <w:pPr>
              <w:widowControl/>
              <w:autoSpaceDE/>
              <w:autoSpaceDN/>
              <w:jc w:val="right"/>
              <w:rPr>
                <w:color w:val="000000"/>
                <w:sz w:val="24"/>
                <w:szCs w:val="24"/>
                <w:lang w:val="en-US"/>
              </w:rPr>
            </w:pPr>
            <w:r>
              <w:rPr>
                <w:color w:val="000000"/>
                <w:sz w:val="24"/>
                <w:szCs w:val="24"/>
                <w:lang w:val="en-US"/>
              </w:rPr>
              <w:t>2.02</w:t>
            </w:r>
          </w:p>
        </w:tc>
        <w:tc>
          <w:tcPr>
            <w:tcW w:w="1000" w:type="dxa"/>
            <w:noWrap/>
            <w:vAlign w:val="bottom"/>
          </w:tcPr>
          <w:p w14:paraId="65F16D21" w14:textId="77777777" w:rsidR="00963A30" w:rsidRDefault="00985EA0">
            <w:pPr>
              <w:widowControl/>
              <w:autoSpaceDE/>
              <w:autoSpaceDN/>
              <w:jc w:val="right"/>
              <w:rPr>
                <w:color w:val="000000"/>
                <w:sz w:val="24"/>
                <w:szCs w:val="24"/>
                <w:lang w:val="en-US"/>
              </w:rPr>
            </w:pPr>
            <w:r>
              <w:rPr>
                <w:color w:val="000000"/>
                <w:sz w:val="24"/>
                <w:szCs w:val="24"/>
                <w:lang w:val="en-US"/>
              </w:rPr>
              <w:t>2.02</w:t>
            </w:r>
          </w:p>
        </w:tc>
        <w:tc>
          <w:tcPr>
            <w:tcW w:w="1000" w:type="dxa"/>
            <w:noWrap/>
            <w:vAlign w:val="bottom"/>
          </w:tcPr>
          <w:p w14:paraId="79F48771" w14:textId="77777777" w:rsidR="00963A30" w:rsidRDefault="00985EA0">
            <w:pPr>
              <w:widowControl/>
              <w:autoSpaceDE/>
              <w:autoSpaceDN/>
              <w:jc w:val="right"/>
              <w:rPr>
                <w:color w:val="000000"/>
                <w:sz w:val="24"/>
                <w:szCs w:val="24"/>
                <w:lang w:val="en-US"/>
              </w:rPr>
            </w:pPr>
            <w:r>
              <w:rPr>
                <w:color w:val="000000"/>
                <w:sz w:val="24"/>
                <w:szCs w:val="24"/>
                <w:lang w:val="en-US"/>
              </w:rPr>
              <w:t>2.02</w:t>
            </w:r>
          </w:p>
        </w:tc>
        <w:tc>
          <w:tcPr>
            <w:tcW w:w="1020" w:type="dxa"/>
            <w:gridSpan w:val="2"/>
            <w:noWrap/>
            <w:vAlign w:val="bottom"/>
          </w:tcPr>
          <w:p w14:paraId="34FCEEF1" w14:textId="77777777" w:rsidR="00963A30" w:rsidRDefault="00985EA0">
            <w:pPr>
              <w:widowControl/>
              <w:autoSpaceDE/>
              <w:autoSpaceDN/>
              <w:jc w:val="right"/>
              <w:rPr>
                <w:color w:val="000000"/>
                <w:sz w:val="24"/>
                <w:szCs w:val="24"/>
                <w:lang w:val="en-US"/>
              </w:rPr>
            </w:pPr>
            <w:r>
              <w:rPr>
                <w:color w:val="000000"/>
                <w:sz w:val="24"/>
                <w:szCs w:val="24"/>
                <w:lang w:val="en-US"/>
              </w:rPr>
              <w:t>2.02</w:t>
            </w:r>
          </w:p>
        </w:tc>
        <w:tc>
          <w:tcPr>
            <w:tcW w:w="296" w:type="dxa"/>
            <w:tcBorders>
              <w:left w:val="nil"/>
            </w:tcBorders>
            <w:noWrap/>
            <w:vAlign w:val="bottom"/>
          </w:tcPr>
          <w:p w14:paraId="666754D0" w14:textId="77777777" w:rsidR="00963A30" w:rsidRDefault="00963A30">
            <w:pPr>
              <w:widowControl/>
              <w:autoSpaceDE/>
              <w:autoSpaceDN/>
              <w:jc w:val="right"/>
              <w:rPr>
                <w:rFonts w:ascii="Cambria" w:hAnsi="Cambria" w:cs="Calibri"/>
                <w:color w:val="000000"/>
                <w:sz w:val="20"/>
                <w:szCs w:val="20"/>
                <w:lang w:val="en-US"/>
              </w:rPr>
            </w:pPr>
          </w:p>
        </w:tc>
      </w:tr>
      <w:tr w:rsidR="00963A30" w14:paraId="6E5B9EBD" w14:textId="77777777">
        <w:trPr>
          <w:trHeight w:val="301"/>
        </w:trPr>
        <w:tc>
          <w:tcPr>
            <w:tcW w:w="2017" w:type="dxa"/>
            <w:tcBorders>
              <w:bottom w:val="single" w:sz="4" w:space="0" w:color="auto"/>
            </w:tcBorders>
            <w:noWrap/>
            <w:vAlign w:val="bottom"/>
          </w:tcPr>
          <w:p w14:paraId="60309840" w14:textId="77777777" w:rsidR="00963A30" w:rsidRDefault="00985EA0">
            <w:pPr>
              <w:widowControl/>
              <w:autoSpaceDE/>
              <w:autoSpaceDN/>
              <w:rPr>
                <w:color w:val="000000"/>
                <w:sz w:val="24"/>
                <w:szCs w:val="24"/>
                <w:lang w:val="en-US"/>
              </w:rPr>
            </w:pPr>
            <w:r>
              <w:rPr>
                <w:color w:val="000000"/>
                <w:sz w:val="24"/>
                <w:szCs w:val="24"/>
                <w:lang w:val="en-US"/>
              </w:rPr>
              <w:t>N:S ratio</w:t>
            </w:r>
          </w:p>
        </w:tc>
        <w:tc>
          <w:tcPr>
            <w:tcW w:w="1094" w:type="dxa"/>
            <w:tcBorders>
              <w:bottom w:val="single" w:sz="4" w:space="0" w:color="auto"/>
            </w:tcBorders>
            <w:noWrap/>
            <w:vAlign w:val="bottom"/>
          </w:tcPr>
          <w:p w14:paraId="434DBC0C" w14:textId="77777777" w:rsidR="00963A30" w:rsidRDefault="00963A30">
            <w:pPr>
              <w:widowControl/>
              <w:autoSpaceDE/>
              <w:autoSpaceDN/>
              <w:jc w:val="right"/>
              <w:rPr>
                <w:color w:val="000000"/>
                <w:sz w:val="24"/>
                <w:szCs w:val="24"/>
                <w:lang w:val="en-US"/>
              </w:rPr>
            </w:pPr>
          </w:p>
        </w:tc>
        <w:tc>
          <w:tcPr>
            <w:tcW w:w="833" w:type="dxa"/>
            <w:tcBorders>
              <w:bottom w:val="single" w:sz="4" w:space="0" w:color="auto"/>
            </w:tcBorders>
            <w:noWrap/>
            <w:vAlign w:val="bottom"/>
          </w:tcPr>
          <w:p w14:paraId="1833E850" w14:textId="77777777" w:rsidR="00963A30" w:rsidRDefault="00963A30">
            <w:pPr>
              <w:widowControl/>
              <w:autoSpaceDE/>
              <w:autoSpaceDN/>
              <w:jc w:val="right"/>
              <w:rPr>
                <w:color w:val="000000"/>
                <w:sz w:val="24"/>
                <w:szCs w:val="24"/>
                <w:lang w:val="en-US"/>
              </w:rPr>
            </w:pPr>
          </w:p>
        </w:tc>
        <w:tc>
          <w:tcPr>
            <w:tcW w:w="1022" w:type="dxa"/>
            <w:gridSpan w:val="2"/>
            <w:tcBorders>
              <w:bottom w:val="single" w:sz="4" w:space="0" w:color="auto"/>
            </w:tcBorders>
            <w:noWrap/>
            <w:vAlign w:val="bottom"/>
          </w:tcPr>
          <w:p w14:paraId="1A63F146" w14:textId="77777777" w:rsidR="00963A30" w:rsidRDefault="00963A30">
            <w:pPr>
              <w:widowControl/>
              <w:autoSpaceDE/>
              <w:autoSpaceDN/>
              <w:jc w:val="right"/>
              <w:rPr>
                <w:color w:val="000000"/>
                <w:sz w:val="24"/>
                <w:szCs w:val="24"/>
                <w:lang w:val="en-US"/>
              </w:rPr>
            </w:pPr>
          </w:p>
        </w:tc>
        <w:tc>
          <w:tcPr>
            <w:tcW w:w="1000" w:type="dxa"/>
            <w:gridSpan w:val="2"/>
            <w:tcBorders>
              <w:bottom w:val="single" w:sz="4" w:space="0" w:color="auto"/>
            </w:tcBorders>
            <w:noWrap/>
            <w:vAlign w:val="bottom"/>
          </w:tcPr>
          <w:p w14:paraId="072BC45A" w14:textId="77777777" w:rsidR="00963A30" w:rsidRDefault="00985EA0">
            <w:pPr>
              <w:widowControl/>
              <w:autoSpaceDE/>
              <w:autoSpaceDN/>
              <w:jc w:val="right"/>
              <w:rPr>
                <w:color w:val="000000"/>
                <w:sz w:val="24"/>
                <w:szCs w:val="24"/>
                <w:lang w:val="en-US"/>
              </w:rPr>
            </w:pPr>
            <w:r>
              <w:rPr>
                <w:color w:val="000000"/>
                <w:sz w:val="24"/>
                <w:szCs w:val="24"/>
                <w:lang w:val="en-US"/>
              </w:rPr>
              <w:t>16.8:1</w:t>
            </w:r>
          </w:p>
        </w:tc>
        <w:tc>
          <w:tcPr>
            <w:tcW w:w="1000" w:type="dxa"/>
            <w:tcBorders>
              <w:bottom w:val="single" w:sz="4" w:space="0" w:color="auto"/>
            </w:tcBorders>
            <w:noWrap/>
            <w:vAlign w:val="bottom"/>
          </w:tcPr>
          <w:p w14:paraId="351873D5" w14:textId="77777777" w:rsidR="00963A30" w:rsidRDefault="00985EA0">
            <w:pPr>
              <w:widowControl/>
              <w:autoSpaceDE/>
              <w:autoSpaceDN/>
              <w:jc w:val="right"/>
              <w:rPr>
                <w:color w:val="000000"/>
                <w:sz w:val="24"/>
                <w:szCs w:val="24"/>
                <w:lang w:val="en-US"/>
              </w:rPr>
            </w:pPr>
            <w:r>
              <w:rPr>
                <w:color w:val="000000"/>
                <w:sz w:val="24"/>
                <w:szCs w:val="24"/>
                <w:lang w:val="en-US"/>
              </w:rPr>
              <w:t>8.4:1</w:t>
            </w:r>
          </w:p>
        </w:tc>
        <w:tc>
          <w:tcPr>
            <w:tcW w:w="1000" w:type="dxa"/>
            <w:tcBorders>
              <w:bottom w:val="single" w:sz="4" w:space="0" w:color="auto"/>
            </w:tcBorders>
            <w:noWrap/>
            <w:vAlign w:val="bottom"/>
          </w:tcPr>
          <w:p w14:paraId="062082A2" w14:textId="77777777" w:rsidR="00963A30" w:rsidRDefault="00985EA0">
            <w:pPr>
              <w:widowControl/>
              <w:autoSpaceDE/>
              <w:autoSpaceDN/>
              <w:jc w:val="right"/>
              <w:rPr>
                <w:color w:val="000000"/>
                <w:sz w:val="24"/>
                <w:szCs w:val="24"/>
                <w:lang w:val="en-US"/>
              </w:rPr>
            </w:pPr>
            <w:r>
              <w:rPr>
                <w:color w:val="000000"/>
                <w:sz w:val="24"/>
                <w:szCs w:val="24"/>
                <w:lang w:val="en-US"/>
              </w:rPr>
              <w:t>19:1</w:t>
            </w:r>
          </w:p>
        </w:tc>
        <w:tc>
          <w:tcPr>
            <w:tcW w:w="1020" w:type="dxa"/>
            <w:gridSpan w:val="2"/>
            <w:tcBorders>
              <w:bottom w:val="single" w:sz="4" w:space="0" w:color="auto"/>
            </w:tcBorders>
            <w:noWrap/>
            <w:vAlign w:val="bottom"/>
          </w:tcPr>
          <w:p w14:paraId="28402292" w14:textId="77777777" w:rsidR="00963A30" w:rsidRDefault="00985EA0">
            <w:pPr>
              <w:widowControl/>
              <w:autoSpaceDE/>
              <w:autoSpaceDN/>
              <w:jc w:val="right"/>
              <w:rPr>
                <w:color w:val="000000"/>
                <w:sz w:val="24"/>
                <w:szCs w:val="24"/>
                <w:lang w:val="en-US"/>
              </w:rPr>
            </w:pPr>
            <w:r>
              <w:rPr>
                <w:color w:val="000000"/>
                <w:sz w:val="24"/>
                <w:szCs w:val="24"/>
                <w:lang w:val="en-US"/>
              </w:rPr>
              <w:t>10.7:1</w:t>
            </w:r>
          </w:p>
        </w:tc>
        <w:tc>
          <w:tcPr>
            <w:tcW w:w="296" w:type="dxa"/>
            <w:tcBorders>
              <w:left w:val="nil"/>
            </w:tcBorders>
            <w:noWrap/>
            <w:vAlign w:val="bottom"/>
          </w:tcPr>
          <w:p w14:paraId="3F7B0AD7" w14:textId="77777777" w:rsidR="00963A30" w:rsidRDefault="00963A30">
            <w:pPr>
              <w:widowControl/>
              <w:autoSpaceDE/>
              <w:autoSpaceDN/>
              <w:jc w:val="right"/>
              <w:rPr>
                <w:rFonts w:ascii="Cambria" w:hAnsi="Cambria" w:cs="Calibri"/>
                <w:color w:val="000000"/>
                <w:sz w:val="20"/>
                <w:szCs w:val="20"/>
                <w:lang w:val="en-US"/>
              </w:rPr>
            </w:pPr>
          </w:p>
        </w:tc>
      </w:tr>
    </w:tbl>
    <w:p w14:paraId="4BE5A12F" w14:textId="77777777" w:rsidR="00963A30" w:rsidRDefault="00985EA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spacing w:after="240" w:line="360" w:lineRule="auto"/>
        <w:jc w:val="both"/>
        <w:rPr>
          <w:sz w:val="24"/>
          <w:szCs w:val="24"/>
          <w:lang w:eastAsia="en-ID"/>
        </w:rPr>
      </w:pPr>
      <w:r>
        <w:rPr>
          <w:sz w:val="24"/>
          <w:szCs w:val="24"/>
          <w:lang w:eastAsia="en-ID"/>
        </w:rPr>
        <w:t>Note: TDN: Total Digestible Nutrients; NFE: Nitrogen Free Extract; NDF:  neutral detergent fibre; ADF:  acid detergent fibre</w:t>
      </w:r>
    </w:p>
    <w:p w14:paraId="436570E6" w14:textId="77777777" w:rsidR="00963A30" w:rsidRDefault="00985EA0">
      <w:pPr>
        <w:widowControl/>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spacing w:line="360" w:lineRule="auto"/>
        <w:ind w:firstLine="360"/>
        <w:jc w:val="both"/>
        <w:rPr>
          <w:color w:val="EE0000"/>
          <w:sz w:val="24"/>
          <w:szCs w:val="24"/>
          <w:lang w:eastAsia="en-ID"/>
        </w:rPr>
      </w:pPr>
      <w:r>
        <w:rPr>
          <w:sz w:val="24"/>
          <w:szCs w:val="24"/>
          <w:lang w:eastAsia="en-ID"/>
        </w:rPr>
        <w:t>In vitro experiments were conducted using a modified Tilley and Terry (1963) method. 2.5 grams of diet sample in each treatment was put into the fermentation tube. Urea and sulfur were added according to each treatment based on the dry matter of the diet sample. Urea (0.5% and 1.0%) and S (0.1 and 0.2%) was added to the substrate. McDougal's solution and rumen fluid were added at a ratio of 4:1. There were four tubes for each treatment in each group. Anaerobic condition was created by adding CO</w:t>
      </w:r>
      <w:r>
        <w:rPr>
          <w:sz w:val="24"/>
          <w:szCs w:val="24"/>
          <w:vertAlign w:val="subscript"/>
          <w:lang w:eastAsia="en-ID"/>
        </w:rPr>
        <w:t>2</w:t>
      </w:r>
      <w:r>
        <w:rPr>
          <w:sz w:val="24"/>
          <w:szCs w:val="24"/>
          <w:lang w:eastAsia="en-ID"/>
        </w:rPr>
        <w:t xml:space="preserve"> gas for 30-60 seconds in each tube. Then, the tube was closed and sealed with a rubber stopper and fermented for 48 hours using shaker at temperature of 39</w:t>
      </w:r>
      <w:r>
        <w:rPr>
          <w:sz w:val="24"/>
          <w:szCs w:val="24"/>
          <w:vertAlign w:val="superscript"/>
          <w:lang w:eastAsia="en-ID"/>
        </w:rPr>
        <w:t>0</w:t>
      </w:r>
      <w:r>
        <w:rPr>
          <w:sz w:val="24"/>
          <w:szCs w:val="24"/>
          <w:lang w:eastAsia="en-ID"/>
        </w:rPr>
        <w:t xml:space="preserve">C. After 48h, fermentation was stopped and its pH was measured. The supernatant was then separated from the residue by centrifugation. Supernatant were used to measure ammonia concentration, total VFA, individual VFA, protozoa population, microbial biomass, and microbial protein synthesis. The fermentation residue is used to determine nutrients digestion.  </w:t>
      </w:r>
    </w:p>
    <w:p w14:paraId="25A905D1" w14:textId="77777777" w:rsidR="00963A30" w:rsidRDefault="00985EA0">
      <w:pPr>
        <w:spacing w:before="160" w:line="360" w:lineRule="auto"/>
        <w:jc w:val="both"/>
        <w:rPr>
          <w:rFonts w:eastAsia="Aptos"/>
          <w:b/>
          <w:bCs/>
          <w:kern w:val="2"/>
          <w:sz w:val="24"/>
          <w:szCs w:val="24"/>
          <w:lang w:val="en-GB"/>
          <w14:ligatures w14:val="standardContextual"/>
        </w:rPr>
      </w:pPr>
      <w:bookmarkStart w:id="3" w:name="_Hlk197999038"/>
      <w:r>
        <w:rPr>
          <w:rFonts w:eastAsia="Aptos"/>
          <w:b/>
          <w:bCs/>
          <w:kern w:val="2"/>
          <w:sz w:val="24"/>
          <w:szCs w:val="24"/>
          <w:lang w:val="en-GB"/>
          <w14:ligatures w14:val="standardContextual"/>
        </w:rPr>
        <w:t xml:space="preserve">2.2 Determination of </w:t>
      </w:r>
      <w:r>
        <w:rPr>
          <w:rFonts w:eastAsia="Aptos"/>
          <w:b/>
          <w:bCs/>
          <w:color w:val="000000"/>
          <w:kern w:val="2"/>
          <w:sz w:val="24"/>
          <w:szCs w:val="24"/>
          <w:lang w:val="en-GB"/>
          <w14:ligatures w14:val="standardContextual"/>
        </w:rPr>
        <w:t xml:space="preserve">rumen characteristic, </w:t>
      </w:r>
      <w:bookmarkEnd w:id="3"/>
      <w:r>
        <w:rPr>
          <w:rFonts w:eastAsia="Aptos"/>
          <w:b/>
          <w:bCs/>
          <w:kern w:val="2"/>
          <w:sz w:val="24"/>
          <w:szCs w:val="24"/>
          <w:lang w:val="en-GB"/>
          <w14:ligatures w14:val="standardContextual"/>
        </w:rPr>
        <w:t>nutrients digestibility and microbial variable</w:t>
      </w:r>
    </w:p>
    <w:p w14:paraId="6050E9BB" w14:textId="77777777" w:rsidR="00963A30" w:rsidRDefault="00985EA0">
      <w:pPr>
        <w:widowControl/>
        <w:tabs>
          <w:tab w:val="left" w:pos="567"/>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spacing w:line="360" w:lineRule="auto"/>
        <w:ind w:firstLine="360"/>
        <w:jc w:val="both"/>
        <w:rPr>
          <w:sz w:val="24"/>
          <w:szCs w:val="24"/>
          <w:lang w:eastAsia="en-ID"/>
        </w:rPr>
      </w:pPr>
      <w:r>
        <w:rPr>
          <w:color w:val="000000"/>
          <w:sz w:val="24"/>
          <w:szCs w:val="24"/>
          <w:lang w:eastAsia="en-ID"/>
        </w:rPr>
        <w:t>The pH of the rumen fluid was carried out after the fermentation process was stopped at 48 hours of fermentation using a pH meter</w:t>
      </w:r>
      <w:r>
        <w:rPr>
          <w:color w:val="EE0000"/>
          <w:sz w:val="24"/>
          <w:szCs w:val="24"/>
          <w:lang w:eastAsia="en-ID"/>
        </w:rPr>
        <w:t xml:space="preserve">. </w:t>
      </w:r>
      <w:r>
        <w:rPr>
          <w:sz w:val="24"/>
          <w:szCs w:val="24"/>
          <w:lang w:eastAsia="en-ID"/>
        </w:rPr>
        <w:t>Ammonia (NH</w:t>
      </w:r>
      <w:r>
        <w:rPr>
          <w:sz w:val="24"/>
          <w:szCs w:val="24"/>
          <w:vertAlign w:val="subscript"/>
          <w:lang w:eastAsia="en-ID"/>
        </w:rPr>
        <w:t>3</w:t>
      </w:r>
      <w:r>
        <w:rPr>
          <w:sz w:val="24"/>
          <w:szCs w:val="24"/>
          <w:lang w:eastAsia="en-ID"/>
        </w:rPr>
        <w:t xml:space="preserve">) concentration and total VFA was determined according to the General Laboratory Procedure (1966). Conway microdiffusion technique was used to determine ammonia concentration. Total VFA was determined using the </w:t>
      </w:r>
      <w:r>
        <w:rPr>
          <w:sz w:val="24"/>
          <w:szCs w:val="24"/>
          <w:lang w:eastAsia="en-ID"/>
        </w:rPr>
        <w:lastRenderedPageBreak/>
        <w:t>steam distillation method. Partial or individual VFA was determined using a gas chromatograph with Scion 436 GC specifications.</w:t>
      </w:r>
    </w:p>
    <w:p w14:paraId="1B239DBA" w14:textId="77777777" w:rsidR="00963A30" w:rsidRDefault="00985EA0">
      <w:pPr>
        <w:widowControl/>
        <w:tabs>
          <w:tab w:val="left" w:pos="56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spacing w:line="360" w:lineRule="auto"/>
        <w:ind w:firstLine="360"/>
        <w:jc w:val="both"/>
        <w:rPr>
          <w:sz w:val="24"/>
          <w:szCs w:val="24"/>
          <w:lang w:eastAsia="en-ID"/>
        </w:rPr>
      </w:pPr>
      <w:r>
        <w:rPr>
          <w:sz w:val="24"/>
          <w:szCs w:val="24"/>
          <w:lang w:eastAsia="en-ID"/>
        </w:rPr>
        <w:t>Residue samples from the in vitro fermentation process are used to determine nutrients digestibility. The formula for determining nutrient digestibility (%) is to subtract the initial nutrient amount from the post-fermentation amount, divide by the initial sample, and multiply by 100%.</w:t>
      </w:r>
    </w:p>
    <w:p w14:paraId="4066A689" w14:textId="77777777" w:rsidR="00963A30" w:rsidRDefault="00985EA0">
      <w:pPr>
        <w:widowControl/>
        <w:tabs>
          <w:tab w:val="left" w:pos="709"/>
          <w:tab w:val="left" w:pos="851"/>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spacing w:line="360" w:lineRule="auto"/>
        <w:ind w:firstLine="360"/>
        <w:jc w:val="both"/>
        <w:rPr>
          <w:sz w:val="24"/>
          <w:szCs w:val="24"/>
          <w:lang w:eastAsia="en-ID"/>
        </w:rPr>
      </w:pPr>
      <w:r>
        <w:rPr>
          <w:sz w:val="24"/>
          <w:szCs w:val="24"/>
          <w:lang w:eastAsia="en-ID"/>
        </w:rPr>
        <w:t>The Griswold et al. (2003) method was used to determine the amount of microbial biomass. 1.5 mL of supernatant was pipetted into an Eppendorf tube. Then, centrifugation was carried out for 30 minutes at 15,000 rpm at 4°C to obtain a precipitate. The precipitate was weighed to determine the amount of microbial biomass. Determination of the amount of microbial protein was carried out using the Lowry method (1951).</w:t>
      </w:r>
    </w:p>
    <w:p w14:paraId="3D0FB7ED" w14:textId="77777777" w:rsidR="00963A30" w:rsidRDefault="00985EA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spacing w:before="240" w:line="360" w:lineRule="auto"/>
        <w:jc w:val="both"/>
        <w:rPr>
          <w:b/>
          <w:bCs/>
          <w:sz w:val="24"/>
          <w:szCs w:val="24"/>
          <w:lang w:eastAsia="en-ID"/>
        </w:rPr>
      </w:pPr>
      <w:r>
        <w:rPr>
          <w:b/>
          <w:bCs/>
          <w:sz w:val="24"/>
          <w:szCs w:val="24"/>
          <w:lang w:eastAsia="en-ID"/>
        </w:rPr>
        <w:t>2.3 Analysis of</w:t>
      </w:r>
      <w:r>
        <w:rPr>
          <w:b/>
          <w:bCs/>
          <w:color w:val="EE0000"/>
          <w:sz w:val="24"/>
          <w:szCs w:val="24"/>
          <w:lang w:eastAsia="en-ID"/>
        </w:rPr>
        <w:t xml:space="preserve"> </w:t>
      </w:r>
      <w:r>
        <w:rPr>
          <w:b/>
          <w:bCs/>
          <w:sz w:val="24"/>
          <w:szCs w:val="24"/>
          <w:lang w:eastAsia="en-ID"/>
        </w:rPr>
        <w:t>samples and statistical analysis</w:t>
      </w:r>
    </w:p>
    <w:p w14:paraId="1F0FD6FE" w14:textId="77777777" w:rsidR="00963A30" w:rsidRDefault="00985EA0">
      <w:pPr>
        <w:widowControl/>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spacing w:after="240" w:line="360" w:lineRule="auto"/>
        <w:ind w:firstLine="360"/>
        <w:jc w:val="both"/>
        <w:rPr>
          <w:sz w:val="24"/>
          <w:szCs w:val="24"/>
          <w:lang w:eastAsia="en-ID"/>
        </w:rPr>
      </w:pPr>
      <w:r>
        <w:rPr>
          <w:sz w:val="24"/>
          <w:szCs w:val="24"/>
          <w:lang w:eastAsia="en-ID"/>
        </w:rPr>
        <w:t>All residue samples were analyzed for their nutritional content by using proximate analysis (AOAC 2016) and Van Soest analysis (Goering and Van Soest 1970). The same analysis was also carried out on basal rations. The data collected were</w:t>
      </w:r>
      <w:r>
        <w:rPr>
          <w:color w:val="EE0000"/>
          <w:sz w:val="24"/>
          <w:szCs w:val="24"/>
          <w:lang w:eastAsia="en-ID"/>
        </w:rPr>
        <w:t xml:space="preserve"> </w:t>
      </w:r>
      <w:r>
        <w:rPr>
          <w:sz w:val="24"/>
          <w:szCs w:val="24"/>
          <w:lang w:eastAsia="en-ID"/>
        </w:rPr>
        <w:t>processed using analysis of variance. The data was processed according to the specified variables.</w:t>
      </w:r>
    </w:p>
    <w:p w14:paraId="3DB78439" w14:textId="77777777" w:rsidR="00963A30" w:rsidRDefault="00985EA0">
      <w:pPr>
        <w:widowControl/>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spacing w:line="360" w:lineRule="auto"/>
        <w:jc w:val="both"/>
        <w:rPr>
          <w:sz w:val="24"/>
          <w:szCs w:val="24"/>
          <w:lang w:eastAsia="en-ID"/>
        </w:rPr>
      </w:pPr>
      <w:r>
        <w:rPr>
          <w:b/>
          <w:bCs/>
          <w:sz w:val="24"/>
          <w:szCs w:val="24"/>
          <w:lang w:eastAsia="en-ID"/>
        </w:rPr>
        <w:t>3.</w:t>
      </w:r>
      <w:r>
        <w:rPr>
          <w:sz w:val="24"/>
          <w:szCs w:val="24"/>
          <w:lang w:eastAsia="en-ID"/>
        </w:rPr>
        <w:t xml:space="preserve"> </w:t>
      </w:r>
      <w:r>
        <w:rPr>
          <w:b/>
          <w:sz w:val="24"/>
          <w:szCs w:val="24"/>
          <w:lang w:val="en-US" w:eastAsia="id-ID"/>
        </w:rPr>
        <w:t xml:space="preserve">RESULTS </w:t>
      </w:r>
      <w:bookmarkStart w:id="4" w:name="_Hlk185938244"/>
    </w:p>
    <w:p w14:paraId="44585027" w14:textId="77777777" w:rsidR="00963A30" w:rsidRDefault="00985EA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60" w:line="360" w:lineRule="auto"/>
        <w:rPr>
          <w:b/>
          <w:bCs/>
          <w:sz w:val="24"/>
          <w:szCs w:val="24"/>
          <w:lang w:eastAsia="en-ID"/>
        </w:rPr>
      </w:pPr>
      <w:r>
        <w:rPr>
          <w:b/>
          <w:bCs/>
          <w:sz w:val="24"/>
          <w:szCs w:val="24"/>
          <w:lang w:eastAsia="en-ID"/>
        </w:rPr>
        <w:t>3.1 Rumen fermentation characteristic: pH, NH</w:t>
      </w:r>
      <w:r>
        <w:rPr>
          <w:b/>
          <w:bCs/>
          <w:sz w:val="24"/>
          <w:szCs w:val="24"/>
          <w:vertAlign w:val="subscript"/>
          <w:lang w:eastAsia="en-ID"/>
        </w:rPr>
        <w:t>3</w:t>
      </w:r>
      <w:r>
        <w:rPr>
          <w:b/>
          <w:bCs/>
          <w:sz w:val="24"/>
          <w:szCs w:val="24"/>
          <w:lang w:eastAsia="en-ID"/>
        </w:rPr>
        <w:t xml:space="preserve"> and total VFA</w:t>
      </w:r>
    </w:p>
    <w:p w14:paraId="0B07D305" w14:textId="77777777" w:rsidR="00963A30" w:rsidRDefault="00985EA0">
      <w:pPr>
        <w:widowControl/>
        <w:tabs>
          <w:tab w:val="left" w:pos="56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spacing w:after="240" w:line="360" w:lineRule="auto"/>
        <w:ind w:firstLine="360"/>
        <w:jc w:val="both"/>
        <w:rPr>
          <w:sz w:val="24"/>
          <w:szCs w:val="24"/>
          <w:lang w:eastAsia="en-ID"/>
        </w:rPr>
      </w:pPr>
      <w:r>
        <w:rPr>
          <w:sz w:val="24"/>
          <w:szCs w:val="24"/>
          <w:lang w:eastAsia="en-ID"/>
        </w:rPr>
        <w:t xml:space="preserve">Table 3 shows that the pH of rumen fluid was not influenced (P&gt;0.05) by treatments. The pH value ranges between 6.8 - 6.9. However, both </w:t>
      </w:r>
      <w:r>
        <w:rPr>
          <w:rStyle w:val="y2iqfc"/>
          <w:sz w:val="24"/>
          <w:szCs w:val="24"/>
        </w:rPr>
        <w:t>the ammonia concentration and total VFA production showed highly significant difference ​​(P&lt;0.01)</w:t>
      </w:r>
      <w:r>
        <w:rPr>
          <w:sz w:val="24"/>
          <w:szCs w:val="24"/>
          <w:lang w:eastAsia="en-ID"/>
        </w:rPr>
        <w:t xml:space="preserve">. The highest ammonia production (14mM) was achieved </w:t>
      </w:r>
      <w:r>
        <w:rPr>
          <w:color w:val="000000"/>
          <w:sz w:val="24"/>
          <w:szCs w:val="24"/>
          <w:lang w:eastAsia="en-ID"/>
        </w:rPr>
        <w:t>at the level of urea 1%</w:t>
      </w:r>
      <w:r>
        <w:rPr>
          <w:color w:val="EE0000"/>
          <w:sz w:val="24"/>
          <w:szCs w:val="24"/>
          <w:lang w:eastAsia="en-ID"/>
        </w:rPr>
        <w:t xml:space="preserve"> </w:t>
      </w:r>
      <w:r>
        <w:rPr>
          <w:sz w:val="24"/>
          <w:szCs w:val="24"/>
          <w:lang w:eastAsia="en-ID"/>
        </w:rPr>
        <w:t>combined with 0.2 sulfur. (R7); while the lowest (11.75mg/100mL) was found in the control treatment (R1)</w:t>
      </w:r>
      <w:r>
        <w:rPr>
          <w:color w:val="EE0000"/>
          <w:sz w:val="24"/>
          <w:szCs w:val="24"/>
          <w:lang w:eastAsia="en-ID"/>
        </w:rPr>
        <w:t xml:space="preserve">. </w:t>
      </w:r>
      <w:r>
        <w:rPr>
          <w:sz w:val="24"/>
          <w:szCs w:val="24"/>
          <w:lang w:eastAsia="en-ID"/>
        </w:rPr>
        <w:t xml:space="preserve">Fig. 1 shows that increasing levels of urea and sulfur, and their combinations, the amount of ammonia produced was also increased. </w:t>
      </w:r>
      <w:r>
        <w:rPr>
          <w:color w:val="000000"/>
          <w:sz w:val="24"/>
          <w:szCs w:val="24"/>
          <w:lang w:eastAsia="en-ID"/>
        </w:rPr>
        <w:t xml:space="preserve">Total VFA production was significantly influenced (P&lt;0.01) by the treatment. </w:t>
      </w:r>
      <w:r>
        <w:rPr>
          <w:sz w:val="24"/>
          <w:szCs w:val="24"/>
          <w:lang w:eastAsia="en-ID"/>
        </w:rPr>
        <w:t xml:space="preserve">The combination treatment of 1% urea supplementation with 0.2% sulfur (R7) produced the highest VFA (133.13 mM), while the lowest VFA (104.38 mM) was found in the control treatment, without supplementation (R1). Fig. 2 shows that increasing levels of urea and sulfur, and their combinations, increase the amount of total VFA produced. </w:t>
      </w:r>
    </w:p>
    <w:p w14:paraId="46371B0B" w14:textId="77777777" w:rsidR="00963A30" w:rsidRDefault="00985EA0">
      <w:pPr>
        <w:tabs>
          <w:tab w:val="left" w:pos="360"/>
          <w:tab w:val="left" w:pos="1832"/>
          <w:tab w:val="left" w:pos="2748"/>
          <w:tab w:val="left" w:pos="3664"/>
          <w:tab w:val="left" w:pos="4580"/>
          <w:tab w:val="left" w:pos="5245"/>
          <w:tab w:val="left" w:pos="6412"/>
          <w:tab w:val="left" w:pos="7328"/>
          <w:tab w:val="left" w:pos="8244"/>
          <w:tab w:val="left" w:pos="9160"/>
          <w:tab w:val="left" w:pos="10076"/>
          <w:tab w:val="left" w:pos="10992"/>
          <w:tab w:val="left" w:pos="11908"/>
          <w:tab w:val="left" w:pos="12824"/>
          <w:tab w:val="left" w:pos="13740"/>
          <w:tab w:val="left" w:pos="14656"/>
        </w:tabs>
        <w:spacing w:before="160" w:line="360" w:lineRule="auto"/>
        <w:jc w:val="both"/>
        <w:rPr>
          <w:sz w:val="24"/>
          <w:szCs w:val="24"/>
          <w:lang w:eastAsia="en-ID"/>
        </w:rPr>
      </w:pPr>
      <w:r>
        <w:rPr>
          <w:b/>
          <w:bCs/>
          <w:sz w:val="24"/>
          <w:szCs w:val="24"/>
          <w:lang w:eastAsia="en-ID"/>
        </w:rPr>
        <w:t>Table 3:</w:t>
      </w:r>
      <w:r>
        <w:rPr>
          <w:sz w:val="24"/>
          <w:szCs w:val="24"/>
          <w:lang w:eastAsia="en-ID"/>
        </w:rPr>
        <w:t xml:space="preserve"> Average rumen pH, ammonia and VFA production of rumen fluid in ration based on   corn straw and cassava peel supplemented with urea and sulfur</w:t>
      </w:r>
    </w:p>
    <w:tbl>
      <w:tblPr>
        <w:tblStyle w:val="TableGrid5"/>
        <w:tblW w:w="8954" w:type="dxa"/>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45"/>
        <w:gridCol w:w="2097"/>
        <w:gridCol w:w="1442"/>
        <w:gridCol w:w="2270"/>
      </w:tblGrid>
      <w:tr w:rsidR="00963A30" w14:paraId="13A6FD81" w14:textId="77777777">
        <w:trPr>
          <w:trHeight w:val="265"/>
        </w:trPr>
        <w:tc>
          <w:tcPr>
            <w:tcW w:w="3145" w:type="dxa"/>
            <w:tcBorders>
              <w:top w:val="single" w:sz="4" w:space="0" w:color="auto"/>
              <w:left w:val="nil"/>
              <w:bottom w:val="single" w:sz="4" w:space="0" w:color="auto"/>
              <w:right w:val="nil"/>
            </w:tcBorders>
            <w:vAlign w:val="center"/>
            <w:hideMark/>
          </w:tcPr>
          <w:p w14:paraId="4B153FA0" w14:textId="77777777" w:rsidR="00963A30" w:rsidRDefault="00985EA0">
            <w:pPr>
              <w:widowControl/>
              <w:autoSpaceDE/>
              <w:autoSpaceDN/>
              <w:ind w:left="-106"/>
              <w:jc w:val="center"/>
              <w:rPr>
                <w:rFonts w:eastAsia="Calibri"/>
                <w:kern w:val="2"/>
                <w:sz w:val="24"/>
                <w:szCs w:val="24"/>
                <w:lang w:val="fi-FI" w:eastAsia="zh-CN"/>
                <w14:ligatures w14:val="standardContextual"/>
              </w:rPr>
            </w:pPr>
            <w:r>
              <w:rPr>
                <w:rFonts w:eastAsia="Calibri"/>
                <w:kern w:val="2"/>
                <w:sz w:val="24"/>
                <w:szCs w:val="24"/>
                <w:lang w:val="fi-FI" w:eastAsia="zh-CN"/>
                <w14:ligatures w14:val="standardContextual"/>
              </w:rPr>
              <w:lastRenderedPageBreak/>
              <w:t>Treatment</w:t>
            </w:r>
          </w:p>
        </w:tc>
        <w:tc>
          <w:tcPr>
            <w:tcW w:w="2097" w:type="dxa"/>
            <w:tcBorders>
              <w:top w:val="single" w:sz="4" w:space="0" w:color="auto"/>
              <w:left w:val="nil"/>
              <w:bottom w:val="single" w:sz="4" w:space="0" w:color="auto"/>
              <w:right w:val="nil"/>
            </w:tcBorders>
            <w:vAlign w:val="center"/>
            <w:hideMark/>
          </w:tcPr>
          <w:p w14:paraId="0936B3AC" w14:textId="77777777" w:rsidR="00963A30" w:rsidRDefault="00985EA0">
            <w:pPr>
              <w:widowControl/>
              <w:autoSpaceDE/>
              <w:autoSpaceDN/>
              <w:ind w:left="-106"/>
              <w:jc w:val="center"/>
              <w:rPr>
                <w:rFonts w:eastAsia="Calibri"/>
                <w:kern w:val="2"/>
                <w:sz w:val="24"/>
                <w:szCs w:val="24"/>
                <w:lang w:val="fi-FI" w:eastAsia="zh-CN"/>
                <w14:ligatures w14:val="standardContextual"/>
              </w:rPr>
            </w:pPr>
            <w:r>
              <w:rPr>
                <w:rFonts w:eastAsia="Calibri"/>
                <w:kern w:val="2"/>
                <w:sz w:val="24"/>
                <w:szCs w:val="24"/>
                <w:lang w:val="fi-FI" w:eastAsia="zh-CN"/>
                <w14:ligatures w14:val="standardContextual"/>
              </w:rPr>
              <w:t>Rumen pH</w:t>
            </w:r>
          </w:p>
        </w:tc>
        <w:tc>
          <w:tcPr>
            <w:tcW w:w="1442" w:type="dxa"/>
            <w:tcBorders>
              <w:top w:val="single" w:sz="4" w:space="0" w:color="auto"/>
              <w:left w:val="nil"/>
              <w:bottom w:val="single" w:sz="4" w:space="0" w:color="auto"/>
              <w:right w:val="nil"/>
            </w:tcBorders>
            <w:vAlign w:val="center"/>
          </w:tcPr>
          <w:p w14:paraId="12977919" w14:textId="77777777" w:rsidR="00963A30" w:rsidRDefault="00985EA0">
            <w:pPr>
              <w:autoSpaceDE/>
              <w:autoSpaceDN/>
              <w:ind w:left="-106"/>
              <w:jc w:val="center"/>
              <w:rPr>
                <w:rFonts w:eastAsia="Calibri"/>
                <w:kern w:val="2"/>
                <w:sz w:val="24"/>
                <w:szCs w:val="24"/>
                <w:lang w:val="fi-FI" w:eastAsia="zh-CN"/>
                <w14:ligatures w14:val="standardContextual"/>
              </w:rPr>
            </w:pPr>
            <w:r>
              <w:rPr>
                <w:rFonts w:eastAsia="Calibri"/>
                <w:kern w:val="2"/>
                <w:sz w:val="24"/>
                <w:szCs w:val="24"/>
                <w:lang w:val="fi-FI" w:eastAsia="zh-CN"/>
                <w14:ligatures w14:val="standardContextual"/>
              </w:rPr>
              <w:t>Ammonia (</w:t>
            </w:r>
            <w:r>
              <w:rPr>
                <w:sz w:val="24"/>
                <w:szCs w:val="24"/>
                <w:lang w:eastAsia="en-ID"/>
              </w:rPr>
              <w:t>mg/100mL</w:t>
            </w:r>
            <w:r>
              <w:rPr>
                <w:rFonts w:eastAsia="Calibri"/>
                <w:kern w:val="2"/>
                <w:sz w:val="24"/>
                <w:szCs w:val="24"/>
                <w:lang w:val="fi-FI" w:eastAsia="zh-CN"/>
                <w14:ligatures w14:val="standardContextual"/>
              </w:rPr>
              <w:t>)</w:t>
            </w:r>
          </w:p>
        </w:tc>
        <w:tc>
          <w:tcPr>
            <w:tcW w:w="2270" w:type="dxa"/>
            <w:tcBorders>
              <w:top w:val="single" w:sz="4" w:space="0" w:color="auto"/>
              <w:left w:val="nil"/>
              <w:bottom w:val="single" w:sz="4" w:space="0" w:color="auto"/>
              <w:right w:val="nil"/>
            </w:tcBorders>
            <w:vAlign w:val="center"/>
          </w:tcPr>
          <w:p w14:paraId="580D5C9E" w14:textId="77777777" w:rsidR="00963A30" w:rsidRDefault="00985EA0">
            <w:pPr>
              <w:widowControl/>
              <w:autoSpaceDE/>
              <w:autoSpaceDN/>
              <w:ind w:left="-106"/>
              <w:jc w:val="center"/>
              <w:rPr>
                <w:rFonts w:eastAsia="Calibri"/>
                <w:kern w:val="2"/>
                <w:sz w:val="24"/>
                <w:szCs w:val="24"/>
                <w:lang w:val="fi-FI" w:eastAsia="zh-CN"/>
                <w14:ligatures w14:val="standardContextual"/>
              </w:rPr>
            </w:pPr>
            <w:r>
              <w:rPr>
                <w:rFonts w:eastAsia="Calibri"/>
                <w:kern w:val="2"/>
                <w:sz w:val="24"/>
                <w:szCs w:val="24"/>
                <w:lang w:val="fi-FI" w:eastAsia="zh-CN"/>
                <w14:ligatures w14:val="standardContextual"/>
              </w:rPr>
              <w:t>VFA (mM)</w:t>
            </w:r>
          </w:p>
        </w:tc>
      </w:tr>
      <w:tr w:rsidR="00963A30" w14:paraId="38BBBEA9" w14:textId="77777777">
        <w:trPr>
          <w:trHeight w:val="265"/>
        </w:trPr>
        <w:tc>
          <w:tcPr>
            <w:tcW w:w="3145" w:type="dxa"/>
            <w:tcBorders>
              <w:top w:val="single" w:sz="4" w:space="0" w:color="auto"/>
              <w:left w:val="nil"/>
              <w:bottom w:val="nil"/>
              <w:right w:val="nil"/>
            </w:tcBorders>
            <w:hideMark/>
          </w:tcPr>
          <w:p w14:paraId="08580B1E" w14:textId="77777777" w:rsidR="00963A30" w:rsidRDefault="00985EA0">
            <w:pPr>
              <w:widowControl/>
              <w:autoSpaceDE/>
              <w:autoSpaceDN/>
              <w:ind w:left="-106"/>
              <w:rPr>
                <w:rFonts w:eastAsia="Calibri"/>
                <w:kern w:val="2"/>
                <w:sz w:val="24"/>
                <w:szCs w:val="24"/>
                <w:lang w:val="fi-FI" w:eastAsia="zh-CN"/>
                <w14:ligatures w14:val="standardContextual"/>
              </w:rPr>
            </w:pPr>
            <w:r>
              <w:rPr>
                <w:rFonts w:eastAsia="Calibri"/>
                <w:kern w:val="2"/>
                <w:sz w:val="24"/>
                <w:szCs w:val="24"/>
                <w:lang w:val="fi-FI" w:eastAsia="zh-CN"/>
                <w14:ligatures w14:val="standardContextual"/>
              </w:rPr>
              <w:t>R1=Basal ration</w:t>
            </w:r>
          </w:p>
        </w:tc>
        <w:tc>
          <w:tcPr>
            <w:tcW w:w="2097" w:type="dxa"/>
            <w:tcBorders>
              <w:top w:val="single" w:sz="4" w:space="0" w:color="auto"/>
              <w:left w:val="nil"/>
              <w:bottom w:val="nil"/>
              <w:right w:val="nil"/>
            </w:tcBorders>
            <w:vAlign w:val="center"/>
            <w:hideMark/>
          </w:tcPr>
          <w:p w14:paraId="34AF3BCA" w14:textId="77777777" w:rsidR="00963A30" w:rsidRDefault="00985EA0">
            <w:pPr>
              <w:widowControl/>
              <w:autoSpaceDE/>
              <w:autoSpaceDN/>
              <w:ind w:left="-106"/>
              <w:jc w:val="center"/>
              <w:rPr>
                <w:rFonts w:eastAsia="Calibri"/>
                <w:kern w:val="2"/>
                <w:sz w:val="24"/>
                <w:szCs w:val="24"/>
                <w:lang w:val="fi-FI" w:eastAsia="zh-CN"/>
                <w14:ligatures w14:val="standardContextual"/>
              </w:rPr>
            </w:pPr>
            <w:r>
              <w:rPr>
                <w:rFonts w:eastAsia="Calibri"/>
                <w:kern w:val="2"/>
                <w:sz w:val="24"/>
                <w:szCs w:val="24"/>
                <w:lang w:val="fi-FI" w:eastAsia="zh-CN"/>
                <w14:ligatures w14:val="standardContextual"/>
              </w:rPr>
              <w:t>6.99±0.04</w:t>
            </w:r>
          </w:p>
        </w:tc>
        <w:tc>
          <w:tcPr>
            <w:tcW w:w="1442" w:type="dxa"/>
            <w:vAlign w:val="center"/>
          </w:tcPr>
          <w:p w14:paraId="41958F92" w14:textId="77777777" w:rsidR="00963A30" w:rsidRDefault="00985EA0">
            <w:pPr>
              <w:autoSpaceDE/>
              <w:autoSpaceDN/>
              <w:ind w:left="-106"/>
              <w:jc w:val="center"/>
              <w:rPr>
                <w:rFonts w:eastAsia="Calibri"/>
                <w:kern w:val="2"/>
                <w:sz w:val="24"/>
                <w:szCs w:val="24"/>
                <w:lang w:val="fi-FI" w:eastAsia="zh-CN"/>
                <w14:ligatures w14:val="standardContextual"/>
              </w:rPr>
            </w:pPr>
            <w:r>
              <w:rPr>
                <w:rFonts w:eastAsia="Calibri"/>
                <w:kern w:val="2"/>
                <w:sz w:val="24"/>
                <w:szCs w:val="24"/>
                <w:lang w:val="id-ID" w:eastAsia="zh-CN"/>
                <w14:ligatures w14:val="standardContextual"/>
              </w:rPr>
              <w:t>11.75±0.14</w:t>
            </w:r>
            <w:r>
              <w:rPr>
                <w:rFonts w:eastAsia="Calibri"/>
                <w:kern w:val="2"/>
                <w:sz w:val="24"/>
                <w:szCs w:val="24"/>
                <w:vertAlign w:val="superscript"/>
                <w:lang w:val="id-ID" w:eastAsia="zh-CN"/>
                <w14:ligatures w14:val="standardContextual"/>
              </w:rPr>
              <w:t>e</w:t>
            </w:r>
          </w:p>
        </w:tc>
        <w:tc>
          <w:tcPr>
            <w:tcW w:w="2270" w:type="dxa"/>
            <w:tcBorders>
              <w:top w:val="single" w:sz="4" w:space="0" w:color="auto"/>
              <w:left w:val="nil"/>
              <w:bottom w:val="nil"/>
              <w:right w:val="nil"/>
            </w:tcBorders>
            <w:vAlign w:val="center"/>
          </w:tcPr>
          <w:p w14:paraId="21B1B00E" w14:textId="77777777" w:rsidR="00963A30" w:rsidRDefault="00985EA0">
            <w:pPr>
              <w:widowControl/>
              <w:autoSpaceDE/>
              <w:autoSpaceDN/>
              <w:ind w:left="-106"/>
              <w:jc w:val="center"/>
              <w:rPr>
                <w:rFonts w:eastAsia="Calibri"/>
                <w:kern w:val="2"/>
                <w:sz w:val="24"/>
                <w:szCs w:val="24"/>
                <w:lang w:val="fi-FI" w:eastAsia="zh-CN"/>
                <w14:ligatures w14:val="standardContextual"/>
              </w:rPr>
            </w:pPr>
            <w:r>
              <w:rPr>
                <w:rFonts w:eastAsia="Calibri"/>
                <w:kern w:val="2"/>
                <w:sz w:val="24"/>
                <w:szCs w:val="24"/>
                <w:lang w:val="fi-FI" w:eastAsia="zh-CN"/>
                <w14:ligatures w14:val="standardContextual"/>
              </w:rPr>
              <w:t>104.38±2.39</w:t>
            </w:r>
            <w:r>
              <w:rPr>
                <w:rFonts w:eastAsia="Calibri"/>
                <w:kern w:val="2"/>
                <w:sz w:val="24"/>
                <w:szCs w:val="24"/>
                <w:vertAlign w:val="superscript"/>
                <w:lang w:val="fi-FI" w:eastAsia="zh-CN"/>
                <w14:ligatures w14:val="standardContextual"/>
              </w:rPr>
              <w:t>e</w:t>
            </w:r>
          </w:p>
        </w:tc>
      </w:tr>
      <w:tr w:rsidR="00963A30" w14:paraId="66B297B2" w14:textId="77777777">
        <w:trPr>
          <w:trHeight w:val="265"/>
        </w:trPr>
        <w:tc>
          <w:tcPr>
            <w:tcW w:w="3145" w:type="dxa"/>
            <w:tcBorders>
              <w:top w:val="nil"/>
              <w:left w:val="nil"/>
              <w:bottom w:val="nil"/>
              <w:right w:val="nil"/>
            </w:tcBorders>
            <w:hideMark/>
          </w:tcPr>
          <w:p w14:paraId="158E2E5E" w14:textId="77777777" w:rsidR="00963A30" w:rsidRDefault="00985EA0">
            <w:pPr>
              <w:widowControl/>
              <w:autoSpaceDE/>
              <w:autoSpaceDN/>
              <w:ind w:left="-106"/>
              <w:rPr>
                <w:rFonts w:eastAsia="Calibri"/>
                <w:kern w:val="2"/>
                <w:sz w:val="24"/>
                <w:szCs w:val="24"/>
                <w:lang w:val="fi-FI" w:eastAsia="zh-CN"/>
                <w14:ligatures w14:val="standardContextual"/>
              </w:rPr>
            </w:pPr>
            <w:r>
              <w:rPr>
                <w:rFonts w:eastAsia="Calibri"/>
                <w:kern w:val="2"/>
                <w:sz w:val="24"/>
                <w:szCs w:val="24"/>
                <w:lang w:val="fi-FI" w:eastAsia="zh-CN"/>
                <w14:ligatures w14:val="standardContextual"/>
              </w:rPr>
              <w:t>R2=Basal ration+ 0.5% urea</w:t>
            </w:r>
          </w:p>
        </w:tc>
        <w:tc>
          <w:tcPr>
            <w:tcW w:w="2097" w:type="dxa"/>
            <w:tcBorders>
              <w:top w:val="nil"/>
              <w:left w:val="nil"/>
              <w:bottom w:val="nil"/>
              <w:right w:val="nil"/>
            </w:tcBorders>
            <w:vAlign w:val="center"/>
            <w:hideMark/>
          </w:tcPr>
          <w:p w14:paraId="0A957EE1" w14:textId="77777777" w:rsidR="00963A30" w:rsidRDefault="00985EA0">
            <w:pPr>
              <w:widowControl/>
              <w:autoSpaceDE/>
              <w:autoSpaceDN/>
              <w:ind w:left="-106"/>
              <w:jc w:val="center"/>
              <w:rPr>
                <w:rFonts w:eastAsia="Calibri"/>
                <w:kern w:val="2"/>
                <w:sz w:val="24"/>
                <w:szCs w:val="24"/>
                <w:lang w:val="fi-FI" w:eastAsia="zh-CN"/>
                <w14:ligatures w14:val="standardContextual"/>
              </w:rPr>
            </w:pPr>
            <w:r>
              <w:rPr>
                <w:rFonts w:eastAsia="Calibri"/>
                <w:kern w:val="2"/>
                <w:sz w:val="24"/>
                <w:szCs w:val="24"/>
                <w:lang w:val="fi-FI" w:eastAsia="zh-CN"/>
                <w14:ligatures w14:val="standardContextual"/>
              </w:rPr>
              <w:t>6.90±0.03</w:t>
            </w:r>
          </w:p>
        </w:tc>
        <w:tc>
          <w:tcPr>
            <w:tcW w:w="1442" w:type="dxa"/>
            <w:vAlign w:val="center"/>
          </w:tcPr>
          <w:p w14:paraId="24313018" w14:textId="77777777" w:rsidR="00963A30" w:rsidRDefault="00985EA0">
            <w:pPr>
              <w:autoSpaceDE/>
              <w:autoSpaceDN/>
              <w:ind w:left="-106"/>
              <w:jc w:val="center"/>
              <w:rPr>
                <w:rFonts w:eastAsia="Calibri"/>
                <w:kern w:val="2"/>
                <w:sz w:val="24"/>
                <w:szCs w:val="24"/>
                <w:lang w:val="fi-FI" w:eastAsia="zh-CN"/>
                <w14:ligatures w14:val="standardContextual"/>
              </w:rPr>
            </w:pPr>
            <w:r>
              <w:rPr>
                <w:rFonts w:eastAsia="Calibri"/>
                <w:kern w:val="2"/>
                <w:sz w:val="24"/>
                <w:szCs w:val="24"/>
                <w:lang w:val="id-ID" w:eastAsia="zh-CN"/>
                <w14:ligatures w14:val="standardContextual"/>
              </w:rPr>
              <w:t>11.97±0.12</w:t>
            </w:r>
            <w:r>
              <w:rPr>
                <w:rFonts w:eastAsia="Calibri"/>
                <w:kern w:val="2"/>
                <w:sz w:val="24"/>
                <w:szCs w:val="24"/>
                <w:vertAlign w:val="superscript"/>
                <w:lang w:val="id-ID" w:eastAsia="zh-CN"/>
                <w14:ligatures w14:val="standardContextual"/>
              </w:rPr>
              <w:t>e</w:t>
            </w:r>
          </w:p>
        </w:tc>
        <w:tc>
          <w:tcPr>
            <w:tcW w:w="2270" w:type="dxa"/>
            <w:tcBorders>
              <w:top w:val="nil"/>
              <w:left w:val="nil"/>
              <w:bottom w:val="nil"/>
              <w:right w:val="nil"/>
            </w:tcBorders>
            <w:vAlign w:val="center"/>
          </w:tcPr>
          <w:p w14:paraId="0E0EBE98" w14:textId="77777777" w:rsidR="00963A30" w:rsidRDefault="00985EA0">
            <w:pPr>
              <w:widowControl/>
              <w:autoSpaceDE/>
              <w:autoSpaceDN/>
              <w:ind w:left="-106"/>
              <w:jc w:val="center"/>
              <w:rPr>
                <w:rFonts w:eastAsia="Calibri"/>
                <w:kern w:val="2"/>
                <w:sz w:val="24"/>
                <w:szCs w:val="24"/>
                <w:lang w:val="fi-FI" w:eastAsia="zh-CN"/>
                <w14:ligatures w14:val="standardContextual"/>
              </w:rPr>
            </w:pPr>
            <w:r>
              <w:rPr>
                <w:rFonts w:eastAsia="Calibri"/>
                <w:kern w:val="2"/>
                <w:sz w:val="24"/>
                <w:szCs w:val="24"/>
                <w:lang w:val="fi-FI" w:eastAsia="zh-CN"/>
                <w14:ligatures w14:val="standardContextual"/>
              </w:rPr>
              <w:t>107.50±2.04</w:t>
            </w:r>
            <w:r>
              <w:rPr>
                <w:rFonts w:eastAsia="Calibri"/>
                <w:kern w:val="2"/>
                <w:sz w:val="24"/>
                <w:szCs w:val="24"/>
                <w:vertAlign w:val="superscript"/>
                <w:lang w:val="fi-FI" w:eastAsia="zh-CN"/>
                <w14:ligatures w14:val="standardContextual"/>
              </w:rPr>
              <w:t>e</w:t>
            </w:r>
          </w:p>
        </w:tc>
      </w:tr>
      <w:tr w:rsidR="00963A30" w14:paraId="787512EF" w14:textId="77777777">
        <w:trPr>
          <w:trHeight w:val="265"/>
        </w:trPr>
        <w:tc>
          <w:tcPr>
            <w:tcW w:w="3145" w:type="dxa"/>
            <w:tcBorders>
              <w:top w:val="nil"/>
              <w:left w:val="nil"/>
              <w:bottom w:val="nil"/>
              <w:right w:val="nil"/>
            </w:tcBorders>
            <w:hideMark/>
          </w:tcPr>
          <w:p w14:paraId="6C7276A1" w14:textId="77777777" w:rsidR="00963A30" w:rsidRDefault="00985EA0">
            <w:pPr>
              <w:widowControl/>
              <w:autoSpaceDE/>
              <w:autoSpaceDN/>
              <w:ind w:left="-106"/>
              <w:rPr>
                <w:rFonts w:eastAsia="Calibri"/>
                <w:kern w:val="2"/>
                <w:sz w:val="24"/>
                <w:szCs w:val="24"/>
                <w:lang w:val="fi-FI" w:eastAsia="zh-CN"/>
                <w14:ligatures w14:val="standardContextual"/>
              </w:rPr>
            </w:pPr>
            <w:r>
              <w:rPr>
                <w:rFonts w:eastAsia="Calibri"/>
                <w:kern w:val="2"/>
                <w:sz w:val="24"/>
                <w:szCs w:val="24"/>
                <w:lang w:val="fi-FI" w:eastAsia="zh-CN"/>
                <w14:ligatures w14:val="standardContextual"/>
              </w:rPr>
              <w:t>R3=Basal ration + 1% urea</w:t>
            </w:r>
          </w:p>
          <w:p w14:paraId="7E3DFF10" w14:textId="77777777" w:rsidR="00963A30" w:rsidRDefault="00963A30">
            <w:pPr>
              <w:widowControl/>
              <w:autoSpaceDE/>
              <w:autoSpaceDN/>
              <w:ind w:left="-106"/>
              <w:rPr>
                <w:rFonts w:eastAsia="Calibri"/>
                <w:kern w:val="2"/>
                <w:sz w:val="24"/>
                <w:szCs w:val="24"/>
                <w:lang w:val="fi-FI" w:eastAsia="zh-CN"/>
                <w14:ligatures w14:val="standardContextual"/>
              </w:rPr>
            </w:pPr>
          </w:p>
        </w:tc>
        <w:tc>
          <w:tcPr>
            <w:tcW w:w="2097" w:type="dxa"/>
            <w:tcBorders>
              <w:top w:val="nil"/>
              <w:left w:val="nil"/>
              <w:bottom w:val="nil"/>
              <w:right w:val="nil"/>
            </w:tcBorders>
            <w:vAlign w:val="center"/>
            <w:hideMark/>
          </w:tcPr>
          <w:p w14:paraId="2B6EFD54" w14:textId="77777777" w:rsidR="00963A30" w:rsidRDefault="00985EA0">
            <w:pPr>
              <w:widowControl/>
              <w:autoSpaceDE/>
              <w:autoSpaceDN/>
              <w:ind w:left="-106"/>
              <w:jc w:val="center"/>
              <w:rPr>
                <w:rFonts w:eastAsia="Calibri"/>
                <w:kern w:val="2"/>
                <w:sz w:val="24"/>
                <w:szCs w:val="24"/>
                <w:lang w:val="fi-FI" w:eastAsia="zh-CN"/>
                <w14:ligatures w14:val="standardContextual"/>
              </w:rPr>
            </w:pPr>
            <w:r>
              <w:rPr>
                <w:rFonts w:eastAsia="Calibri"/>
                <w:kern w:val="2"/>
                <w:sz w:val="24"/>
                <w:szCs w:val="24"/>
                <w:lang w:val="fi-FI" w:eastAsia="zh-CN"/>
                <w14:ligatures w14:val="standardContextual"/>
              </w:rPr>
              <w:t>6.88±0.04</w:t>
            </w:r>
          </w:p>
        </w:tc>
        <w:tc>
          <w:tcPr>
            <w:tcW w:w="1442" w:type="dxa"/>
            <w:vAlign w:val="center"/>
          </w:tcPr>
          <w:p w14:paraId="5BF94460" w14:textId="77777777" w:rsidR="00963A30" w:rsidRDefault="00985EA0">
            <w:pPr>
              <w:autoSpaceDE/>
              <w:autoSpaceDN/>
              <w:ind w:left="-106"/>
              <w:jc w:val="center"/>
              <w:rPr>
                <w:rFonts w:eastAsia="Calibri"/>
                <w:kern w:val="2"/>
                <w:sz w:val="24"/>
                <w:szCs w:val="24"/>
                <w:lang w:val="fi-FI" w:eastAsia="zh-CN"/>
                <w14:ligatures w14:val="standardContextual"/>
              </w:rPr>
            </w:pPr>
            <w:r>
              <w:rPr>
                <w:rFonts w:eastAsia="Calibri"/>
                <w:kern w:val="2"/>
                <w:sz w:val="24"/>
                <w:szCs w:val="24"/>
                <w:lang w:val="id-ID" w:eastAsia="zh-CN"/>
                <w14:ligatures w14:val="standardContextual"/>
              </w:rPr>
              <w:t>13.09±0.16</w:t>
            </w:r>
            <w:r>
              <w:rPr>
                <w:rFonts w:eastAsia="Calibri"/>
                <w:kern w:val="2"/>
                <w:sz w:val="24"/>
                <w:szCs w:val="24"/>
                <w:vertAlign w:val="superscript"/>
                <w:lang w:val="id-ID" w:eastAsia="zh-CN"/>
                <w14:ligatures w14:val="standardContextual"/>
              </w:rPr>
              <w:t>c</w:t>
            </w:r>
          </w:p>
        </w:tc>
        <w:tc>
          <w:tcPr>
            <w:tcW w:w="2270" w:type="dxa"/>
            <w:tcBorders>
              <w:top w:val="nil"/>
              <w:left w:val="nil"/>
              <w:bottom w:val="nil"/>
              <w:right w:val="nil"/>
            </w:tcBorders>
            <w:vAlign w:val="center"/>
          </w:tcPr>
          <w:p w14:paraId="04C0EDF2" w14:textId="77777777" w:rsidR="00963A30" w:rsidRDefault="00985EA0">
            <w:pPr>
              <w:widowControl/>
              <w:autoSpaceDE/>
              <w:autoSpaceDN/>
              <w:ind w:left="-106"/>
              <w:jc w:val="center"/>
              <w:rPr>
                <w:rFonts w:eastAsia="Calibri"/>
                <w:kern w:val="2"/>
                <w:sz w:val="24"/>
                <w:szCs w:val="24"/>
                <w:lang w:val="fi-FI" w:eastAsia="zh-CN"/>
                <w14:ligatures w14:val="standardContextual"/>
              </w:rPr>
            </w:pPr>
            <w:r>
              <w:rPr>
                <w:rFonts w:eastAsia="Calibri"/>
                <w:kern w:val="2"/>
                <w:sz w:val="24"/>
                <w:szCs w:val="24"/>
                <w:lang w:val="fi-FI" w:eastAsia="zh-CN"/>
                <w14:ligatures w14:val="standardContextual"/>
              </w:rPr>
              <w:t>120.00±2.04</w:t>
            </w:r>
            <w:r>
              <w:rPr>
                <w:rFonts w:eastAsia="Calibri"/>
                <w:kern w:val="2"/>
                <w:sz w:val="24"/>
                <w:szCs w:val="24"/>
                <w:vertAlign w:val="superscript"/>
                <w:lang w:val="fi-FI" w:eastAsia="zh-CN"/>
                <w14:ligatures w14:val="standardContextual"/>
              </w:rPr>
              <w:t>d</w:t>
            </w:r>
          </w:p>
        </w:tc>
      </w:tr>
      <w:tr w:rsidR="00963A30" w14:paraId="7F527466" w14:textId="77777777">
        <w:trPr>
          <w:trHeight w:val="265"/>
        </w:trPr>
        <w:tc>
          <w:tcPr>
            <w:tcW w:w="3145" w:type="dxa"/>
            <w:tcBorders>
              <w:top w:val="nil"/>
              <w:left w:val="nil"/>
              <w:bottom w:val="nil"/>
              <w:right w:val="nil"/>
            </w:tcBorders>
          </w:tcPr>
          <w:p w14:paraId="3E64599A" w14:textId="77777777" w:rsidR="00963A30" w:rsidRDefault="00985EA0">
            <w:pPr>
              <w:widowControl/>
              <w:autoSpaceDE/>
              <w:autoSpaceDN/>
              <w:ind w:left="-106"/>
              <w:rPr>
                <w:rFonts w:eastAsia="Calibri"/>
                <w:kern w:val="2"/>
                <w:sz w:val="24"/>
                <w:szCs w:val="24"/>
                <w:lang w:val="fi-FI" w:eastAsia="zh-CN"/>
                <w14:ligatures w14:val="standardContextual"/>
              </w:rPr>
            </w:pPr>
            <w:r>
              <w:rPr>
                <w:rFonts w:eastAsia="Calibri"/>
                <w:kern w:val="2"/>
                <w:sz w:val="24"/>
                <w:szCs w:val="24"/>
                <w:lang w:val="fi-FI" w:eastAsia="zh-CN"/>
                <w14:ligatures w14:val="standardContextual"/>
              </w:rPr>
              <w:t>R4=Basal ration+ 0.1% sulfur</w:t>
            </w:r>
          </w:p>
        </w:tc>
        <w:tc>
          <w:tcPr>
            <w:tcW w:w="2097" w:type="dxa"/>
            <w:tcBorders>
              <w:top w:val="nil"/>
              <w:left w:val="nil"/>
              <w:bottom w:val="nil"/>
              <w:right w:val="nil"/>
            </w:tcBorders>
            <w:vAlign w:val="center"/>
          </w:tcPr>
          <w:p w14:paraId="2ACE4FAC" w14:textId="77777777" w:rsidR="00963A30" w:rsidRDefault="00985EA0">
            <w:pPr>
              <w:widowControl/>
              <w:autoSpaceDE/>
              <w:autoSpaceDN/>
              <w:ind w:left="-106"/>
              <w:jc w:val="center"/>
              <w:rPr>
                <w:rFonts w:eastAsia="Calibri"/>
                <w:kern w:val="2"/>
                <w:sz w:val="24"/>
                <w:szCs w:val="24"/>
                <w:lang w:val="fi-FI" w:eastAsia="zh-CN"/>
                <w14:ligatures w14:val="standardContextual"/>
              </w:rPr>
            </w:pPr>
            <w:r>
              <w:rPr>
                <w:rFonts w:eastAsia="Calibri"/>
                <w:kern w:val="2"/>
                <w:sz w:val="24"/>
                <w:szCs w:val="24"/>
                <w:lang w:val="fi-FI" w:eastAsia="zh-CN"/>
                <w14:ligatures w14:val="standardContextual"/>
              </w:rPr>
              <w:t>6.83±0.07</w:t>
            </w:r>
          </w:p>
        </w:tc>
        <w:tc>
          <w:tcPr>
            <w:tcW w:w="1442" w:type="dxa"/>
            <w:vAlign w:val="center"/>
          </w:tcPr>
          <w:p w14:paraId="47D35472" w14:textId="77777777" w:rsidR="00963A30" w:rsidRDefault="00985EA0">
            <w:pPr>
              <w:autoSpaceDE/>
              <w:autoSpaceDN/>
              <w:ind w:left="-106"/>
              <w:jc w:val="center"/>
              <w:rPr>
                <w:rFonts w:eastAsia="Calibri"/>
                <w:kern w:val="2"/>
                <w:sz w:val="24"/>
                <w:szCs w:val="24"/>
                <w:lang w:val="fi-FI" w:eastAsia="zh-CN"/>
                <w14:ligatures w14:val="standardContextual"/>
              </w:rPr>
            </w:pPr>
            <w:r>
              <w:rPr>
                <w:rFonts w:eastAsia="Calibri"/>
                <w:kern w:val="2"/>
                <w:sz w:val="24"/>
                <w:szCs w:val="24"/>
                <w:lang w:val="id-ID" w:eastAsia="zh-CN"/>
                <w14:ligatures w14:val="standardContextual"/>
              </w:rPr>
              <w:t>12.41±0.16</w:t>
            </w:r>
            <w:r>
              <w:rPr>
                <w:rFonts w:eastAsia="Calibri"/>
                <w:kern w:val="2"/>
                <w:sz w:val="24"/>
                <w:szCs w:val="24"/>
                <w:vertAlign w:val="superscript"/>
                <w:lang w:val="id-ID" w:eastAsia="zh-CN"/>
                <w14:ligatures w14:val="standardContextual"/>
              </w:rPr>
              <w:t>d</w:t>
            </w:r>
          </w:p>
        </w:tc>
        <w:tc>
          <w:tcPr>
            <w:tcW w:w="2270" w:type="dxa"/>
            <w:tcBorders>
              <w:top w:val="nil"/>
              <w:left w:val="nil"/>
              <w:bottom w:val="nil"/>
              <w:right w:val="nil"/>
            </w:tcBorders>
            <w:vAlign w:val="center"/>
          </w:tcPr>
          <w:p w14:paraId="115B86E3" w14:textId="77777777" w:rsidR="00963A30" w:rsidRDefault="00985EA0">
            <w:pPr>
              <w:widowControl/>
              <w:autoSpaceDE/>
              <w:autoSpaceDN/>
              <w:ind w:left="-106"/>
              <w:jc w:val="center"/>
              <w:rPr>
                <w:rFonts w:eastAsia="Calibri"/>
                <w:kern w:val="2"/>
                <w:sz w:val="24"/>
                <w:szCs w:val="24"/>
                <w:lang w:val="fi-FI" w:eastAsia="zh-CN"/>
                <w14:ligatures w14:val="standardContextual"/>
              </w:rPr>
            </w:pPr>
            <w:r>
              <w:rPr>
                <w:rFonts w:eastAsia="Calibri"/>
                <w:kern w:val="2"/>
                <w:sz w:val="24"/>
                <w:szCs w:val="24"/>
                <w:lang w:val="fi-FI" w:eastAsia="zh-CN"/>
                <w14:ligatures w14:val="standardContextual"/>
              </w:rPr>
              <w:t>115.00±2.04</w:t>
            </w:r>
            <w:r>
              <w:rPr>
                <w:rFonts w:eastAsia="Calibri"/>
                <w:kern w:val="2"/>
                <w:sz w:val="24"/>
                <w:szCs w:val="24"/>
                <w:vertAlign w:val="superscript"/>
                <w:lang w:val="fi-FI" w:eastAsia="zh-CN"/>
                <w14:ligatures w14:val="standardContextual"/>
              </w:rPr>
              <w:t>c</w:t>
            </w:r>
          </w:p>
        </w:tc>
      </w:tr>
      <w:tr w:rsidR="00963A30" w14:paraId="52B41244" w14:textId="77777777">
        <w:trPr>
          <w:trHeight w:val="265"/>
        </w:trPr>
        <w:tc>
          <w:tcPr>
            <w:tcW w:w="3145" w:type="dxa"/>
            <w:tcBorders>
              <w:top w:val="nil"/>
              <w:left w:val="nil"/>
              <w:bottom w:val="nil"/>
              <w:right w:val="nil"/>
            </w:tcBorders>
          </w:tcPr>
          <w:p w14:paraId="19486744" w14:textId="77777777" w:rsidR="00963A30" w:rsidRDefault="00985EA0">
            <w:pPr>
              <w:widowControl/>
              <w:autoSpaceDE/>
              <w:autoSpaceDN/>
              <w:ind w:left="-106"/>
              <w:rPr>
                <w:rFonts w:eastAsia="Calibri"/>
                <w:kern w:val="2"/>
                <w:sz w:val="24"/>
                <w:szCs w:val="24"/>
                <w:lang w:val="fi-FI" w:eastAsia="zh-CN"/>
                <w14:ligatures w14:val="standardContextual"/>
              </w:rPr>
            </w:pPr>
            <w:r>
              <w:rPr>
                <w:rFonts w:eastAsia="Calibri"/>
                <w:kern w:val="2"/>
                <w:sz w:val="24"/>
                <w:szCs w:val="24"/>
                <w:lang w:val="fi-FI" w:eastAsia="zh-CN"/>
                <w14:ligatures w14:val="standardContextual"/>
              </w:rPr>
              <w:t>R5=Basal ration+ 0.2% sulfur</w:t>
            </w:r>
          </w:p>
        </w:tc>
        <w:tc>
          <w:tcPr>
            <w:tcW w:w="2097" w:type="dxa"/>
            <w:tcBorders>
              <w:top w:val="nil"/>
              <w:left w:val="nil"/>
              <w:bottom w:val="nil"/>
              <w:right w:val="nil"/>
            </w:tcBorders>
            <w:vAlign w:val="center"/>
          </w:tcPr>
          <w:p w14:paraId="09AE5913" w14:textId="77777777" w:rsidR="00963A30" w:rsidRDefault="00985EA0">
            <w:pPr>
              <w:widowControl/>
              <w:autoSpaceDE/>
              <w:autoSpaceDN/>
              <w:ind w:left="-106"/>
              <w:jc w:val="center"/>
              <w:rPr>
                <w:rFonts w:eastAsia="Calibri"/>
                <w:kern w:val="2"/>
                <w:sz w:val="24"/>
                <w:szCs w:val="24"/>
                <w:lang w:val="fi-FI" w:eastAsia="zh-CN"/>
                <w14:ligatures w14:val="standardContextual"/>
              </w:rPr>
            </w:pPr>
            <w:r>
              <w:rPr>
                <w:rFonts w:eastAsia="Calibri"/>
                <w:kern w:val="2"/>
                <w:sz w:val="24"/>
                <w:szCs w:val="24"/>
                <w:lang w:val="fi-FI" w:eastAsia="zh-CN"/>
                <w14:ligatures w14:val="standardContextual"/>
              </w:rPr>
              <w:t>6.79±0.16</w:t>
            </w:r>
          </w:p>
        </w:tc>
        <w:tc>
          <w:tcPr>
            <w:tcW w:w="1442" w:type="dxa"/>
            <w:vAlign w:val="center"/>
          </w:tcPr>
          <w:p w14:paraId="009BD851" w14:textId="77777777" w:rsidR="00963A30" w:rsidRDefault="00985EA0">
            <w:pPr>
              <w:autoSpaceDE/>
              <w:autoSpaceDN/>
              <w:ind w:left="-106"/>
              <w:jc w:val="center"/>
              <w:rPr>
                <w:rFonts w:eastAsia="Calibri"/>
                <w:kern w:val="2"/>
                <w:sz w:val="24"/>
                <w:szCs w:val="24"/>
                <w:vertAlign w:val="superscript"/>
                <w:lang w:val="fi-FI" w:eastAsia="zh-CN"/>
                <w14:ligatures w14:val="standardContextual"/>
              </w:rPr>
            </w:pPr>
            <w:r>
              <w:rPr>
                <w:rFonts w:eastAsia="Calibri"/>
                <w:kern w:val="2"/>
                <w:sz w:val="24"/>
                <w:szCs w:val="24"/>
                <w:lang w:val="id-ID" w:eastAsia="zh-CN"/>
                <w14:ligatures w14:val="standardContextual"/>
              </w:rPr>
              <w:t>13.19±0.26</w:t>
            </w:r>
            <w:r>
              <w:rPr>
                <w:rFonts w:eastAsia="Calibri"/>
                <w:kern w:val="2"/>
                <w:sz w:val="24"/>
                <w:szCs w:val="24"/>
                <w:vertAlign w:val="superscript"/>
                <w:lang w:val="id-ID" w:eastAsia="zh-CN"/>
                <w14:ligatures w14:val="standardContextual"/>
              </w:rPr>
              <w:t>bc</w:t>
            </w:r>
          </w:p>
        </w:tc>
        <w:tc>
          <w:tcPr>
            <w:tcW w:w="2270" w:type="dxa"/>
            <w:tcBorders>
              <w:top w:val="nil"/>
              <w:left w:val="nil"/>
              <w:bottom w:val="nil"/>
              <w:right w:val="nil"/>
            </w:tcBorders>
            <w:vAlign w:val="center"/>
          </w:tcPr>
          <w:p w14:paraId="75C6478E" w14:textId="77777777" w:rsidR="00963A30" w:rsidRDefault="00985EA0">
            <w:pPr>
              <w:widowControl/>
              <w:autoSpaceDE/>
              <w:autoSpaceDN/>
              <w:ind w:left="-106"/>
              <w:jc w:val="center"/>
              <w:rPr>
                <w:rFonts w:eastAsia="Calibri"/>
                <w:kern w:val="2"/>
                <w:sz w:val="24"/>
                <w:szCs w:val="24"/>
                <w:lang w:val="fi-FI" w:eastAsia="zh-CN"/>
                <w14:ligatures w14:val="standardContextual"/>
              </w:rPr>
            </w:pPr>
            <w:r>
              <w:rPr>
                <w:rFonts w:eastAsia="Calibri"/>
                <w:kern w:val="2"/>
                <w:sz w:val="24"/>
                <w:szCs w:val="24"/>
                <w:lang w:val="fi-FI" w:eastAsia="zh-CN"/>
                <w14:ligatures w14:val="standardContextual"/>
              </w:rPr>
              <w:t>125.00±3.54</w:t>
            </w:r>
            <w:r>
              <w:rPr>
                <w:rFonts w:eastAsia="Calibri"/>
                <w:kern w:val="2"/>
                <w:sz w:val="24"/>
                <w:szCs w:val="24"/>
                <w:vertAlign w:val="superscript"/>
                <w:lang w:val="fi-FI" w:eastAsia="zh-CN"/>
                <w14:ligatures w14:val="standardContextual"/>
              </w:rPr>
              <w:t>b</w:t>
            </w:r>
          </w:p>
        </w:tc>
      </w:tr>
      <w:tr w:rsidR="00963A30" w14:paraId="3D1F6C7E" w14:textId="77777777">
        <w:trPr>
          <w:trHeight w:val="265"/>
        </w:trPr>
        <w:tc>
          <w:tcPr>
            <w:tcW w:w="3145" w:type="dxa"/>
            <w:tcBorders>
              <w:top w:val="nil"/>
              <w:left w:val="nil"/>
              <w:bottom w:val="nil"/>
              <w:right w:val="nil"/>
            </w:tcBorders>
          </w:tcPr>
          <w:p w14:paraId="612D8D7F" w14:textId="77777777" w:rsidR="00963A30" w:rsidRDefault="00985EA0">
            <w:pPr>
              <w:widowControl/>
              <w:autoSpaceDE/>
              <w:autoSpaceDN/>
              <w:ind w:left="-106"/>
              <w:rPr>
                <w:rFonts w:eastAsia="Calibri"/>
                <w:kern w:val="2"/>
                <w:sz w:val="24"/>
                <w:szCs w:val="24"/>
                <w:lang w:val="en-ID" w:eastAsia="zh-CN"/>
                <w14:ligatures w14:val="standardContextual"/>
              </w:rPr>
            </w:pPr>
            <w:r>
              <w:rPr>
                <w:rFonts w:eastAsia="Calibri"/>
                <w:kern w:val="2"/>
                <w:sz w:val="24"/>
                <w:szCs w:val="24"/>
                <w:lang w:val="en-ID" w:eastAsia="zh-CN"/>
                <w14:ligatures w14:val="standardContextual"/>
              </w:rPr>
              <w:t>R6=Basal ration+0.5% urea+0.1% sulfur</w:t>
            </w:r>
          </w:p>
        </w:tc>
        <w:tc>
          <w:tcPr>
            <w:tcW w:w="2097" w:type="dxa"/>
            <w:tcBorders>
              <w:top w:val="nil"/>
              <w:left w:val="nil"/>
              <w:bottom w:val="nil"/>
              <w:right w:val="nil"/>
            </w:tcBorders>
            <w:vAlign w:val="center"/>
          </w:tcPr>
          <w:p w14:paraId="2B9A3653" w14:textId="77777777" w:rsidR="00963A30" w:rsidRDefault="00985EA0">
            <w:pPr>
              <w:widowControl/>
              <w:autoSpaceDE/>
              <w:autoSpaceDN/>
              <w:ind w:left="-106"/>
              <w:jc w:val="center"/>
              <w:rPr>
                <w:rFonts w:eastAsia="Calibri"/>
                <w:kern w:val="2"/>
                <w:sz w:val="24"/>
                <w:szCs w:val="24"/>
                <w:lang w:val="fi-FI" w:eastAsia="zh-CN"/>
                <w14:ligatures w14:val="standardContextual"/>
              </w:rPr>
            </w:pPr>
            <w:r>
              <w:rPr>
                <w:rFonts w:eastAsia="Calibri"/>
                <w:kern w:val="2"/>
                <w:sz w:val="24"/>
                <w:szCs w:val="24"/>
                <w:lang w:val="fi-FI" w:eastAsia="zh-CN"/>
                <w14:ligatures w14:val="standardContextual"/>
              </w:rPr>
              <w:t>6.87±0.09</w:t>
            </w:r>
          </w:p>
        </w:tc>
        <w:tc>
          <w:tcPr>
            <w:tcW w:w="1442" w:type="dxa"/>
            <w:vAlign w:val="center"/>
          </w:tcPr>
          <w:p w14:paraId="5622EB4A" w14:textId="77777777" w:rsidR="00963A30" w:rsidRDefault="00985EA0">
            <w:pPr>
              <w:autoSpaceDE/>
              <w:autoSpaceDN/>
              <w:ind w:left="-106"/>
              <w:jc w:val="center"/>
              <w:rPr>
                <w:rFonts w:eastAsia="Calibri"/>
                <w:kern w:val="2"/>
                <w:sz w:val="24"/>
                <w:szCs w:val="24"/>
                <w:lang w:val="fi-FI" w:eastAsia="zh-CN"/>
                <w14:ligatures w14:val="standardContextual"/>
              </w:rPr>
            </w:pPr>
            <w:r>
              <w:rPr>
                <w:rFonts w:eastAsia="Calibri"/>
                <w:kern w:val="2"/>
                <w:sz w:val="24"/>
                <w:szCs w:val="24"/>
                <w:lang w:val="id-ID" w:eastAsia="zh-CN"/>
                <w14:ligatures w14:val="standardContextual"/>
              </w:rPr>
              <w:t>13.41±0.26</w:t>
            </w:r>
            <w:r>
              <w:rPr>
                <w:rFonts w:eastAsia="Calibri"/>
                <w:kern w:val="2"/>
                <w:sz w:val="24"/>
                <w:szCs w:val="24"/>
                <w:vertAlign w:val="superscript"/>
                <w:lang w:val="id-ID" w:eastAsia="zh-CN"/>
                <w14:ligatures w14:val="standardContextual"/>
              </w:rPr>
              <w:t>b</w:t>
            </w:r>
          </w:p>
        </w:tc>
        <w:tc>
          <w:tcPr>
            <w:tcW w:w="2270" w:type="dxa"/>
            <w:tcBorders>
              <w:top w:val="nil"/>
              <w:left w:val="nil"/>
              <w:bottom w:val="nil"/>
              <w:right w:val="nil"/>
            </w:tcBorders>
            <w:vAlign w:val="center"/>
          </w:tcPr>
          <w:p w14:paraId="14A94742" w14:textId="77777777" w:rsidR="00963A30" w:rsidRDefault="00985EA0">
            <w:pPr>
              <w:widowControl/>
              <w:autoSpaceDE/>
              <w:autoSpaceDN/>
              <w:ind w:left="-106"/>
              <w:jc w:val="center"/>
              <w:rPr>
                <w:rFonts w:eastAsia="Calibri"/>
                <w:kern w:val="2"/>
                <w:sz w:val="24"/>
                <w:szCs w:val="24"/>
                <w:lang w:val="fi-FI" w:eastAsia="zh-CN"/>
                <w14:ligatures w14:val="standardContextual"/>
              </w:rPr>
            </w:pPr>
            <w:r>
              <w:rPr>
                <w:rFonts w:eastAsia="Calibri"/>
                <w:kern w:val="2"/>
                <w:sz w:val="24"/>
                <w:szCs w:val="24"/>
                <w:lang w:val="fi-FI" w:eastAsia="zh-CN"/>
                <w14:ligatures w14:val="standardContextual"/>
              </w:rPr>
              <w:t>127.50±2.04</w:t>
            </w:r>
            <w:r>
              <w:rPr>
                <w:rFonts w:eastAsia="Calibri"/>
                <w:kern w:val="2"/>
                <w:sz w:val="24"/>
                <w:szCs w:val="24"/>
                <w:vertAlign w:val="superscript"/>
                <w:lang w:val="fi-FI" w:eastAsia="zh-CN"/>
                <w14:ligatures w14:val="standardContextual"/>
              </w:rPr>
              <w:t>b</w:t>
            </w:r>
          </w:p>
        </w:tc>
      </w:tr>
      <w:tr w:rsidR="00963A30" w14:paraId="325F999F" w14:textId="77777777">
        <w:trPr>
          <w:trHeight w:val="318"/>
        </w:trPr>
        <w:tc>
          <w:tcPr>
            <w:tcW w:w="3145" w:type="dxa"/>
            <w:tcBorders>
              <w:top w:val="nil"/>
              <w:left w:val="nil"/>
              <w:bottom w:val="single" w:sz="4" w:space="0" w:color="auto"/>
              <w:right w:val="nil"/>
            </w:tcBorders>
            <w:hideMark/>
          </w:tcPr>
          <w:p w14:paraId="7991FC7B" w14:textId="77777777" w:rsidR="00963A30" w:rsidRDefault="00985EA0">
            <w:pPr>
              <w:widowControl/>
              <w:autoSpaceDE/>
              <w:autoSpaceDN/>
              <w:ind w:left="-106"/>
              <w:rPr>
                <w:rFonts w:eastAsia="Calibri"/>
                <w:kern w:val="2"/>
                <w:sz w:val="24"/>
                <w:szCs w:val="24"/>
                <w:lang w:val="en-ID" w:eastAsia="zh-CN"/>
                <w14:ligatures w14:val="standardContextual"/>
              </w:rPr>
            </w:pPr>
            <w:r>
              <w:rPr>
                <w:rFonts w:eastAsia="Calibri"/>
                <w:kern w:val="2"/>
                <w:sz w:val="24"/>
                <w:szCs w:val="24"/>
                <w:lang w:val="en-ID" w:eastAsia="zh-CN"/>
                <w14:ligatures w14:val="standardContextual"/>
              </w:rPr>
              <w:t>R7=Basal ration+ 1% urea +0.2% sulfur</w:t>
            </w:r>
          </w:p>
        </w:tc>
        <w:tc>
          <w:tcPr>
            <w:tcW w:w="2097" w:type="dxa"/>
            <w:tcBorders>
              <w:top w:val="nil"/>
              <w:left w:val="nil"/>
              <w:bottom w:val="single" w:sz="4" w:space="0" w:color="auto"/>
              <w:right w:val="nil"/>
            </w:tcBorders>
            <w:vAlign w:val="center"/>
            <w:hideMark/>
          </w:tcPr>
          <w:p w14:paraId="708FEB4C" w14:textId="77777777" w:rsidR="00963A30" w:rsidRDefault="00985EA0">
            <w:pPr>
              <w:widowControl/>
              <w:autoSpaceDE/>
              <w:autoSpaceDN/>
              <w:ind w:left="-106"/>
              <w:jc w:val="center"/>
              <w:rPr>
                <w:rFonts w:eastAsia="Calibri"/>
                <w:kern w:val="2"/>
                <w:sz w:val="24"/>
                <w:szCs w:val="24"/>
                <w:lang w:val="fi-FI" w:eastAsia="zh-CN"/>
                <w14:ligatures w14:val="standardContextual"/>
              </w:rPr>
            </w:pPr>
            <w:r>
              <w:rPr>
                <w:rFonts w:eastAsia="Calibri"/>
                <w:kern w:val="2"/>
                <w:sz w:val="24"/>
                <w:szCs w:val="24"/>
                <w:lang w:val="fi-FI" w:eastAsia="zh-CN"/>
                <w14:ligatures w14:val="standardContextual"/>
              </w:rPr>
              <w:t>6.85±0.10</w:t>
            </w:r>
          </w:p>
        </w:tc>
        <w:tc>
          <w:tcPr>
            <w:tcW w:w="1442" w:type="dxa"/>
            <w:vAlign w:val="center"/>
          </w:tcPr>
          <w:p w14:paraId="5C42C31C" w14:textId="77777777" w:rsidR="00963A30" w:rsidRDefault="00985EA0">
            <w:pPr>
              <w:autoSpaceDE/>
              <w:autoSpaceDN/>
              <w:ind w:left="-106"/>
              <w:jc w:val="center"/>
              <w:rPr>
                <w:rFonts w:eastAsia="Calibri"/>
                <w:kern w:val="2"/>
                <w:sz w:val="24"/>
                <w:szCs w:val="24"/>
                <w:lang w:val="fi-FI" w:eastAsia="zh-CN"/>
                <w14:ligatures w14:val="standardContextual"/>
              </w:rPr>
            </w:pPr>
            <w:r>
              <w:rPr>
                <w:rFonts w:eastAsia="Calibri"/>
                <w:kern w:val="2"/>
                <w:sz w:val="24"/>
                <w:szCs w:val="24"/>
                <w:lang w:val="id-ID" w:eastAsia="zh-CN"/>
                <w14:ligatures w14:val="standardContextual"/>
              </w:rPr>
              <w:t>14.06±0.16</w:t>
            </w:r>
            <w:r>
              <w:rPr>
                <w:rFonts w:eastAsia="Calibri"/>
                <w:kern w:val="2"/>
                <w:sz w:val="24"/>
                <w:szCs w:val="24"/>
                <w:vertAlign w:val="superscript"/>
                <w:lang w:val="id-ID" w:eastAsia="zh-CN"/>
                <w14:ligatures w14:val="standardContextual"/>
              </w:rPr>
              <w:t>a</w:t>
            </w:r>
          </w:p>
        </w:tc>
        <w:tc>
          <w:tcPr>
            <w:tcW w:w="2270" w:type="dxa"/>
            <w:tcBorders>
              <w:top w:val="nil"/>
              <w:left w:val="nil"/>
              <w:bottom w:val="single" w:sz="4" w:space="0" w:color="auto"/>
              <w:right w:val="nil"/>
            </w:tcBorders>
            <w:vAlign w:val="center"/>
          </w:tcPr>
          <w:p w14:paraId="0843F6CC" w14:textId="77777777" w:rsidR="00963A30" w:rsidRDefault="00985EA0">
            <w:pPr>
              <w:widowControl/>
              <w:autoSpaceDE/>
              <w:autoSpaceDN/>
              <w:ind w:left="-106"/>
              <w:jc w:val="center"/>
              <w:rPr>
                <w:rFonts w:eastAsia="Calibri"/>
                <w:kern w:val="2"/>
                <w:sz w:val="24"/>
                <w:szCs w:val="24"/>
                <w:lang w:val="fi-FI" w:eastAsia="zh-CN"/>
                <w14:ligatures w14:val="standardContextual"/>
              </w:rPr>
            </w:pPr>
            <w:r>
              <w:rPr>
                <w:rFonts w:eastAsia="Calibri"/>
                <w:kern w:val="2"/>
                <w:sz w:val="24"/>
                <w:szCs w:val="24"/>
                <w:lang w:val="fi-FI" w:eastAsia="zh-CN"/>
                <w14:ligatures w14:val="standardContextual"/>
              </w:rPr>
              <w:t>133.13±2.39</w:t>
            </w:r>
            <w:r>
              <w:rPr>
                <w:rFonts w:eastAsia="Calibri"/>
                <w:kern w:val="2"/>
                <w:sz w:val="24"/>
                <w:szCs w:val="24"/>
                <w:vertAlign w:val="superscript"/>
                <w:lang w:val="fi-FI" w:eastAsia="zh-CN"/>
                <w14:ligatures w14:val="standardContextual"/>
              </w:rPr>
              <w:t>a</w:t>
            </w:r>
          </w:p>
        </w:tc>
      </w:tr>
      <w:tr w:rsidR="00963A30" w14:paraId="64DBCC50" w14:textId="77777777">
        <w:trPr>
          <w:trHeight w:val="304"/>
        </w:trPr>
        <w:tc>
          <w:tcPr>
            <w:tcW w:w="3145" w:type="dxa"/>
            <w:tcBorders>
              <w:top w:val="single" w:sz="4" w:space="0" w:color="auto"/>
              <w:left w:val="nil"/>
              <w:bottom w:val="single" w:sz="4" w:space="0" w:color="auto"/>
              <w:right w:val="nil"/>
            </w:tcBorders>
            <w:hideMark/>
          </w:tcPr>
          <w:p w14:paraId="1895345E" w14:textId="77777777" w:rsidR="00963A30" w:rsidRDefault="00985EA0">
            <w:pPr>
              <w:widowControl/>
              <w:autoSpaceDE/>
              <w:autoSpaceDN/>
              <w:ind w:left="-106"/>
              <w:rPr>
                <w:rFonts w:eastAsia="Calibri"/>
                <w:kern w:val="2"/>
                <w:sz w:val="24"/>
                <w:szCs w:val="24"/>
                <w:lang w:val="fi-FI" w:eastAsia="zh-CN"/>
                <w14:ligatures w14:val="standardContextual"/>
              </w:rPr>
            </w:pPr>
            <w:r>
              <w:rPr>
                <w:rFonts w:eastAsia="Calibri"/>
                <w:kern w:val="2"/>
                <w:sz w:val="24"/>
                <w:szCs w:val="24"/>
                <w:lang w:val="fi-FI" w:eastAsia="zh-CN"/>
                <w14:ligatures w14:val="standardContextual"/>
              </w:rPr>
              <w:t xml:space="preserve">SE </w:t>
            </w:r>
          </w:p>
        </w:tc>
        <w:tc>
          <w:tcPr>
            <w:tcW w:w="2097" w:type="dxa"/>
            <w:tcBorders>
              <w:top w:val="single" w:sz="4" w:space="0" w:color="auto"/>
              <w:left w:val="nil"/>
              <w:bottom w:val="single" w:sz="4" w:space="0" w:color="auto"/>
              <w:right w:val="nil"/>
            </w:tcBorders>
            <w:vAlign w:val="center"/>
            <w:hideMark/>
          </w:tcPr>
          <w:p w14:paraId="2F06B831" w14:textId="77777777" w:rsidR="00963A30" w:rsidRDefault="00985EA0">
            <w:pPr>
              <w:widowControl/>
              <w:autoSpaceDE/>
              <w:autoSpaceDN/>
              <w:ind w:left="-106"/>
              <w:jc w:val="center"/>
              <w:rPr>
                <w:rFonts w:eastAsia="Calibri"/>
                <w:kern w:val="2"/>
                <w:sz w:val="24"/>
                <w:szCs w:val="24"/>
                <w:lang w:val="fi-FI" w:eastAsia="zh-CN"/>
                <w14:ligatures w14:val="standardContextual"/>
              </w:rPr>
            </w:pPr>
            <w:r>
              <w:rPr>
                <w:rFonts w:eastAsia="Calibri"/>
                <w:kern w:val="2"/>
                <w:sz w:val="24"/>
                <w:szCs w:val="24"/>
                <w:lang w:val="fi-FI" w:eastAsia="zh-CN"/>
                <w14:ligatures w14:val="standardContextual"/>
              </w:rPr>
              <w:t>0.03582</w:t>
            </w:r>
          </w:p>
        </w:tc>
        <w:tc>
          <w:tcPr>
            <w:tcW w:w="1442" w:type="dxa"/>
            <w:tcBorders>
              <w:top w:val="single" w:sz="4" w:space="0" w:color="auto"/>
              <w:left w:val="nil"/>
              <w:bottom w:val="single" w:sz="4" w:space="0" w:color="auto"/>
              <w:right w:val="nil"/>
            </w:tcBorders>
            <w:vAlign w:val="center"/>
          </w:tcPr>
          <w:p w14:paraId="2FD4F290" w14:textId="77777777" w:rsidR="00963A30" w:rsidRDefault="00985EA0">
            <w:pPr>
              <w:autoSpaceDE/>
              <w:autoSpaceDN/>
              <w:ind w:left="-106"/>
              <w:jc w:val="center"/>
              <w:rPr>
                <w:rFonts w:eastAsia="Calibri"/>
                <w:kern w:val="2"/>
                <w:sz w:val="24"/>
                <w:szCs w:val="24"/>
                <w:lang w:val="fi-FI" w:eastAsia="zh-CN"/>
                <w14:ligatures w14:val="standardContextual"/>
              </w:rPr>
            </w:pPr>
            <w:r>
              <w:rPr>
                <w:rFonts w:eastAsia="Calibri"/>
                <w:kern w:val="2"/>
                <w:sz w:val="24"/>
                <w:szCs w:val="24"/>
                <w:lang w:val="fi-FI" w:eastAsia="zh-CN"/>
                <w14:ligatures w14:val="standardContextual"/>
              </w:rPr>
              <w:t>0.0882</w:t>
            </w:r>
          </w:p>
        </w:tc>
        <w:tc>
          <w:tcPr>
            <w:tcW w:w="2270" w:type="dxa"/>
            <w:tcBorders>
              <w:top w:val="single" w:sz="4" w:space="0" w:color="auto"/>
              <w:left w:val="nil"/>
              <w:bottom w:val="single" w:sz="4" w:space="0" w:color="auto"/>
              <w:right w:val="nil"/>
            </w:tcBorders>
            <w:vAlign w:val="center"/>
          </w:tcPr>
          <w:p w14:paraId="176A5216" w14:textId="77777777" w:rsidR="00963A30" w:rsidRDefault="00985EA0">
            <w:pPr>
              <w:widowControl/>
              <w:autoSpaceDE/>
              <w:autoSpaceDN/>
              <w:ind w:left="-106"/>
              <w:jc w:val="center"/>
              <w:rPr>
                <w:rFonts w:eastAsia="Calibri"/>
                <w:kern w:val="2"/>
                <w:sz w:val="24"/>
                <w:szCs w:val="24"/>
                <w:lang w:val="fi-FI" w:eastAsia="zh-CN"/>
                <w14:ligatures w14:val="standardContextual"/>
              </w:rPr>
            </w:pPr>
            <w:r>
              <w:rPr>
                <w:rFonts w:eastAsia="Calibri"/>
                <w:kern w:val="2"/>
                <w:sz w:val="24"/>
                <w:szCs w:val="24"/>
                <w:lang w:val="fi-FI" w:eastAsia="zh-CN"/>
                <w14:ligatures w14:val="standardContextual"/>
              </w:rPr>
              <w:t>1.2721</w:t>
            </w:r>
          </w:p>
        </w:tc>
      </w:tr>
    </w:tbl>
    <w:p w14:paraId="5F3A0D5A" w14:textId="77777777" w:rsidR="00963A30" w:rsidRDefault="00985EA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spacing w:line="360" w:lineRule="auto"/>
        <w:jc w:val="both"/>
        <w:rPr>
          <w:sz w:val="24"/>
          <w:szCs w:val="24"/>
          <w:lang w:eastAsia="en-ID"/>
        </w:rPr>
      </w:pPr>
      <w:r>
        <w:rPr>
          <w:sz w:val="24"/>
          <w:szCs w:val="24"/>
          <w:lang w:eastAsia="en-ID"/>
        </w:rPr>
        <w:t>Note: Different superscripts in the same column indicate highly significant differences (P&lt;0.01). SE (standar error).</w:t>
      </w:r>
    </w:p>
    <w:p w14:paraId="511F0BF0" w14:textId="77777777" w:rsidR="00963A30" w:rsidRDefault="00985EA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60" w:line="360" w:lineRule="auto"/>
        <w:rPr>
          <w:b/>
          <w:bCs/>
          <w:sz w:val="24"/>
          <w:szCs w:val="24"/>
          <w:lang w:eastAsia="en-ID"/>
        </w:rPr>
      </w:pPr>
      <w:r>
        <w:rPr>
          <w:noProof/>
          <w14:ligatures w14:val="standardContextual"/>
        </w:rPr>
        <w:drawing>
          <wp:inline distT="0" distB="0" distL="114300" distR="114300" wp14:anchorId="5F872CA3" wp14:editId="5FC848F9">
            <wp:extent cx="5688330" cy="2425566"/>
            <wp:effectExtent l="0" t="0" r="0" b="0"/>
            <wp:docPr id="1027" name="Image1"/>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p w14:paraId="2F19D2A6" w14:textId="77777777" w:rsidR="00963A30" w:rsidRDefault="00985EA0">
      <w:pPr>
        <w:tabs>
          <w:tab w:val="left" w:pos="56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both"/>
        <w:rPr>
          <w:sz w:val="24"/>
          <w:szCs w:val="24"/>
          <w:lang w:eastAsia="en-ID"/>
        </w:rPr>
      </w:pPr>
      <w:r>
        <w:rPr>
          <w:b/>
          <w:bCs/>
          <w:sz w:val="24"/>
          <w:szCs w:val="24"/>
          <w:lang w:eastAsia="en-ID"/>
        </w:rPr>
        <w:t>Fig. 1:</w:t>
      </w:r>
      <w:r>
        <w:rPr>
          <w:sz w:val="24"/>
          <w:szCs w:val="24"/>
          <w:lang w:eastAsia="en-ID"/>
        </w:rPr>
        <w:t xml:space="preserve"> Amount of ammonia produced from rations containing corn straw and cassava peel supplemented with urea and sulfur.</w:t>
      </w:r>
    </w:p>
    <w:p w14:paraId="0CB309B1" w14:textId="77777777" w:rsidR="00963A30" w:rsidRDefault="00963A30">
      <w:pPr>
        <w:tabs>
          <w:tab w:val="left" w:pos="56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709" w:hanging="709"/>
        <w:rPr>
          <w:sz w:val="24"/>
          <w:szCs w:val="24"/>
          <w:lang w:eastAsia="en-ID"/>
        </w:rPr>
      </w:pPr>
    </w:p>
    <w:p w14:paraId="4B87878B" w14:textId="77777777" w:rsidR="00963A30" w:rsidRDefault="00963A3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60"/>
        <w:rPr>
          <w:b/>
          <w:bCs/>
          <w:sz w:val="24"/>
          <w:szCs w:val="24"/>
          <w:lang w:eastAsia="en-ID"/>
        </w:rPr>
      </w:pPr>
    </w:p>
    <w:p w14:paraId="2967BAD6" w14:textId="77777777" w:rsidR="00963A30" w:rsidRDefault="00985EA0">
      <w:pPr>
        <w:pStyle w:val="HTMLPreformatted"/>
        <w:spacing w:line="360" w:lineRule="auto"/>
        <w:rPr>
          <w:rFonts w:ascii="Times New Roman" w:hAnsi="Times New Roman"/>
          <w:sz w:val="24"/>
          <w:szCs w:val="24"/>
          <w:lang w:eastAsia="en-ID"/>
        </w:rPr>
      </w:pPr>
      <w:r>
        <w:rPr>
          <w:noProof/>
          <w14:ligatures w14:val="standardContextual"/>
        </w:rPr>
        <w:drawing>
          <wp:inline distT="0" distB="0" distL="114300" distR="114300" wp14:anchorId="21A4578B" wp14:editId="38BF363B">
            <wp:extent cx="5688330" cy="2204186"/>
            <wp:effectExtent l="0" t="0" r="0" b="0"/>
            <wp:docPr id="1029" name="Image1"/>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14:paraId="0B776755" w14:textId="77777777" w:rsidR="00963A30" w:rsidRDefault="00985EA0">
      <w:pPr>
        <w:tabs>
          <w:tab w:val="left" w:pos="56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40" w:line="360" w:lineRule="auto"/>
        <w:jc w:val="both"/>
        <w:rPr>
          <w:sz w:val="24"/>
          <w:szCs w:val="24"/>
          <w:lang w:eastAsia="en-ID"/>
        </w:rPr>
      </w:pPr>
      <w:bookmarkStart w:id="5" w:name="_Hlk212062870"/>
      <w:r>
        <w:rPr>
          <w:b/>
          <w:sz w:val="24"/>
          <w:szCs w:val="24"/>
          <w:lang w:eastAsia="en-ID"/>
        </w:rPr>
        <w:t>Fig. 2:</w:t>
      </w:r>
      <w:r>
        <w:rPr>
          <w:sz w:val="24"/>
          <w:szCs w:val="24"/>
          <w:lang w:eastAsia="en-ID"/>
        </w:rPr>
        <w:t xml:space="preserve"> Total VFA produced from rations containing corn straw and cassava peel supplemented </w:t>
      </w:r>
      <w:r>
        <w:rPr>
          <w:sz w:val="24"/>
          <w:szCs w:val="24"/>
          <w:lang w:eastAsia="en-ID"/>
        </w:rPr>
        <w:lastRenderedPageBreak/>
        <w:t>with urea and sulfur.</w:t>
      </w:r>
      <w:bookmarkEnd w:id="5"/>
    </w:p>
    <w:p w14:paraId="7EC3D535" w14:textId="77777777" w:rsidR="00963A30" w:rsidRDefault="00985EA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spacing w:line="360" w:lineRule="auto"/>
        <w:jc w:val="both"/>
        <w:rPr>
          <w:b/>
          <w:bCs/>
          <w:sz w:val="24"/>
          <w:szCs w:val="24"/>
          <w:lang w:eastAsia="en-ID"/>
        </w:rPr>
      </w:pPr>
      <w:r>
        <w:rPr>
          <w:b/>
          <w:bCs/>
          <w:sz w:val="24"/>
          <w:szCs w:val="24"/>
          <w:lang w:eastAsia="en-ID"/>
        </w:rPr>
        <w:t>3.2 Macro nutrients digestibility and carbohydrate fraction</w:t>
      </w:r>
    </w:p>
    <w:p w14:paraId="39D74E56" w14:textId="77777777" w:rsidR="00963A30" w:rsidRDefault="00985EA0">
      <w:pPr>
        <w:widowControl/>
        <w:tabs>
          <w:tab w:val="left" w:pos="56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spacing w:line="360" w:lineRule="auto"/>
        <w:ind w:firstLine="360"/>
        <w:jc w:val="both"/>
        <w:rPr>
          <w:sz w:val="24"/>
          <w:szCs w:val="24"/>
          <w:lang w:eastAsia="en-ID"/>
        </w:rPr>
      </w:pPr>
      <w:r>
        <w:rPr>
          <w:sz w:val="24"/>
          <w:szCs w:val="24"/>
          <w:lang w:eastAsia="en-ID"/>
        </w:rPr>
        <w:t xml:space="preserve">The digestibility of nutrients in Table 4 was influenced by treatment (P&lt;0.01). The highest digestibility value of organic matter (Fig. 3) was obtained in the combination treatment of 1% urea supplementation with 0.2% sulfur (R7), as well as in the digestibility of crude protein (Fig.4), crude fiber (Fig. 5), ether extract and NFE. Table 5 provides information about the digestibility values ​​of the fiber fraction. The digestion of fiber fractions was affected by </w:t>
      </w:r>
      <w:r>
        <w:rPr>
          <w:color w:val="000000"/>
          <w:sz w:val="24"/>
          <w:szCs w:val="24"/>
          <w:lang w:eastAsia="en-ID"/>
        </w:rPr>
        <w:t>treatments</w:t>
      </w:r>
      <w:r>
        <w:rPr>
          <w:color w:val="EE0000"/>
          <w:sz w:val="24"/>
          <w:szCs w:val="24"/>
          <w:lang w:eastAsia="en-ID"/>
        </w:rPr>
        <w:t xml:space="preserve"> </w:t>
      </w:r>
      <w:r>
        <w:rPr>
          <w:sz w:val="24"/>
          <w:szCs w:val="24"/>
          <w:lang w:eastAsia="en-ID"/>
        </w:rPr>
        <w:t xml:space="preserve">(P&lt;0.01). Addition of 0.5% urea (R2) resulted in the highest fiber fraction digestibility, including NDF, ADF, cellulose, and hemicellulose. The highest cellulose and hemicellulose digestibility values ​​were 60.10% and 71.31%, respectively. </w:t>
      </w:r>
    </w:p>
    <w:p w14:paraId="13E50B4B" w14:textId="77777777" w:rsidR="00963A30" w:rsidRDefault="00985EA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60" w:line="360" w:lineRule="auto"/>
        <w:jc w:val="both"/>
        <w:rPr>
          <w:sz w:val="24"/>
          <w:szCs w:val="24"/>
          <w:lang w:eastAsia="en-ID"/>
        </w:rPr>
      </w:pPr>
      <w:r>
        <w:rPr>
          <w:b/>
          <w:bCs/>
          <w:sz w:val="24"/>
          <w:szCs w:val="24"/>
          <w:lang w:eastAsia="en-ID"/>
        </w:rPr>
        <w:t>Table 4:</w:t>
      </w:r>
      <w:r>
        <w:rPr>
          <w:sz w:val="24"/>
          <w:szCs w:val="24"/>
          <w:lang w:eastAsia="en-ID"/>
        </w:rPr>
        <w:t xml:space="preserve"> Average in vitro nutrients digestibility of ration based on   corn straw and cassava peel supplemented with urea and sulfur</w:t>
      </w:r>
    </w:p>
    <w:tbl>
      <w:tblPr>
        <w:tblStyle w:val="TableGrid4"/>
        <w:tblW w:w="8968" w:type="dxa"/>
        <w:tblBorders>
          <w:left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168"/>
        <w:gridCol w:w="1539"/>
        <w:gridCol w:w="1607"/>
        <w:gridCol w:w="1631"/>
        <w:gridCol w:w="1416"/>
        <w:gridCol w:w="1607"/>
      </w:tblGrid>
      <w:tr w:rsidR="00963A30" w14:paraId="622DE53B" w14:textId="77777777">
        <w:trPr>
          <w:trHeight w:val="299"/>
        </w:trPr>
        <w:tc>
          <w:tcPr>
            <w:tcW w:w="1168" w:type="dxa"/>
            <w:vMerge w:val="restart"/>
            <w:tcBorders>
              <w:top w:val="single" w:sz="4" w:space="0" w:color="auto"/>
              <w:left w:val="nil"/>
              <w:right w:val="nil"/>
            </w:tcBorders>
            <w:vAlign w:val="center"/>
          </w:tcPr>
          <w:p w14:paraId="54EEEBC0" w14:textId="77777777" w:rsidR="00963A30" w:rsidRDefault="00985EA0">
            <w:pPr>
              <w:ind w:left="-106"/>
              <w:jc w:val="center"/>
              <w:rPr>
                <w:rFonts w:eastAsia="Calibri"/>
                <w:kern w:val="2"/>
                <w:sz w:val="24"/>
                <w:szCs w:val="24"/>
                <w:lang w:val="fi-FI" w:eastAsia="zh-CN"/>
                <w14:ligatures w14:val="standardContextual"/>
              </w:rPr>
            </w:pPr>
            <w:r>
              <w:rPr>
                <w:rFonts w:eastAsia="Calibri"/>
                <w:kern w:val="2"/>
                <w:sz w:val="24"/>
                <w:szCs w:val="24"/>
                <w:lang w:val="fi-FI" w:eastAsia="zh-CN"/>
                <w14:ligatures w14:val="standardContextual"/>
              </w:rPr>
              <w:t>Treatment</w:t>
            </w:r>
          </w:p>
        </w:tc>
        <w:tc>
          <w:tcPr>
            <w:tcW w:w="1539" w:type="dxa"/>
            <w:tcBorders>
              <w:top w:val="single" w:sz="4" w:space="0" w:color="auto"/>
              <w:left w:val="nil"/>
              <w:bottom w:val="single" w:sz="4" w:space="0" w:color="auto"/>
              <w:right w:val="nil"/>
            </w:tcBorders>
            <w:vAlign w:val="center"/>
          </w:tcPr>
          <w:p w14:paraId="6CD704BB" w14:textId="77777777" w:rsidR="00963A30" w:rsidRDefault="00963A30">
            <w:pPr>
              <w:widowControl/>
              <w:autoSpaceDE/>
              <w:autoSpaceDN/>
              <w:rPr>
                <w:rFonts w:eastAsia="Calibri"/>
                <w:kern w:val="2"/>
                <w:sz w:val="24"/>
                <w:szCs w:val="24"/>
                <w:lang w:val="fi-FI" w:eastAsia="zh-CN"/>
                <w14:ligatures w14:val="standardContextual"/>
              </w:rPr>
            </w:pPr>
          </w:p>
        </w:tc>
        <w:tc>
          <w:tcPr>
            <w:tcW w:w="1607" w:type="dxa"/>
            <w:tcBorders>
              <w:top w:val="single" w:sz="4" w:space="0" w:color="auto"/>
              <w:left w:val="nil"/>
              <w:bottom w:val="single" w:sz="4" w:space="0" w:color="auto"/>
              <w:right w:val="nil"/>
            </w:tcBorders>
            <w:vAlign w:val="center"/>
          </w:tcPr>
          <w:p w14:paraId="0FDD6DED" w14:textId="77777777" w:rsidR="00963A30" w:rsidRDefault="00963A30">
            <w:pPr>
              <w:autoSpaceDE/>
              <w:autoSpaceDN/>
              <w:rPr>
                <w:rFonts w:eastAsia="Calibri"/>
                <w:kern w:val="2"/>
                <w:sz w:val="24"/>
                <w:szCs w:val="24"/>
                <w:lang w:val="fi-FI" w:eastAsia="zh-CN"/>
                <w14:ligatures w14:val="standardContextual"/>
              </w:rPr>
            </w:pPr>
          </w:p>
        </w:tc>
        <w:tc>
          <w:tcPr>
            <w:tcW w:w="3047" w:type="dxa"/>
            <w:gridSpan w:val="2"/>
            <w:tcBorders>
              <w:top w:val="single" w:sz="4" w:space="0" w:color="auto"/>
              <w:bottom w:val="single" w:sz="4" w:space="0" w:color="auto"/>
            </w:tcBorders>
            <w:vAlign w:val="center"/>
          </w:tcPr>
          <w:p w14:paraId="3CCED778" w14:textId="77777777" w:rsidR="00963A30" w:rsidRDefault="00985EA0">
            <w:pPr>
              <w:widowControl/>
              <w:autoSpaceDE/>
              <w:autoSpaceDN/>
              <w:rPr>
                <w:rFonts w:eastAsia="Calibri"/>
                <w:kern w:val="2"/>
                <w:sz w:val="24"/>
                <w:szCs w:val="24"/>
                <w:lang w:val="fi-FI" w:eastAsia="zh-CN"/>
                <w14:ligatures w14:val="standardContextual"/>
              </w:rPr>
            </w:pPr>
            <w:r>
              <w:rPr>
                <w:rFonts w:eastAsia="Calibri"/>
                <w:kern w:val="2"/>
                <w:sz w:val="24"/>
                <w:szCs w:val="24"/>
                <w:lang w:val="fi-FI" w:eastAsia="zh-CN"/>
                <w14:ligatures w14:val="standardContextual"/>
              </w:rPr>
              <w:t>In vitro digestibility (%)</w:t>
            </w:r>
          </w:p>
        </w:tc>
        <w:tc>
          <w:tcPr>
            <w:tcW w:w="1607" w:type="dxa"/>
            <w:tcBorders>
              <w:bottom w:val="single" w:sz="4" w:space="0" w:color="auto"/>
            </w:tcBorders>
            <w:vAlign w:val="center"/>
          </w:tcPr>
          <w:p w14:paraId="662CDD2D" w14:textId="77777777" w:rsidR="00963A30" w:rsidRDefault="00963A30">
            <w:pPr>
              <w:widowControl/>
              <w:autoSpaceDE/>
              <w:autoSpaceDN/>
              <w:jc w:val="center"/>
              <w:rPr>
                <w:rFonts w:eastAsia="Calibri"/>
                <w:kern w:val="2"/>
                <w:sz w:val="24"/>
                <w:szCs w:val="24"/>
                <w:lang w:val="fi-FI" w:eastAsia="zh-CN"/>
                <w14:ligatures w14:val="standardContextual"/>
              </w:rPr>
            </w:pPr>
          </w:p>
        </w:tc>
      </w:tr>
      <w:tr w:rsidR="00963A30" w14:paraId="4CB6FE9F" w14:textId="77777777">
        <w:trPr>
          <w:trHeight w:val="299"/>
        </w:trPr>
        <w:tc>
          <w:tcPr>
            <w:tcW w:w="1168" w:type="dxa"/>
            <w:vMerge/>
            <w:tcBorders>
              <w:left w:val="nil"/>
              <w:bottom w:val="single" w:sz="4" w:space="0" w:color="auto"/>
              <w:right w:val="nil"/>
            </w:tcBorders>
            <w:hideMark/>
          </w:tcPr>
          <w:p w14:paraId="15BFF921" w14:textId="77777777" w:rsidR="00963A30" w:rsidRDefault="00963A30">
            <w:pPr>
              <w:widowControl/>
              <w:autoSpaceDE/>
              <w:autoSpaceDN/>
              <w:rPr>
                <w:rFonts w:eastAsia="Calibri"/>
                <w:kern w:val="2"/>
                <w:sz w:val="24"/>
                <w:szCs w:val="24"/>
                <w:lang w:val="fi-FI" w:eastAsia="zh-CN"/>
                <w14:ligatures w14:val="standardContextual"/>
              </w:rPr>
            </w:pPr>
          </w:p>
        </w:tc>
        <w:tc>
          <w:tcPr>
            <w:tcW w:w="1539" w:type="dxa"/>
            <w:tcBorders>
              <w:top w:val="single" w:sz="4" w:space="0" w:color="auto"/>
              <w:left w:val="nil"/>
              <w:bottom w:val="single" w:sz="4" w:space="0" w:color="auto"/>
              <w:right w:val="nil"/>
            </w:tcBorders>
            <w:vAlign w:val="center"/>
            <w:hideMark/>
          </w:tcPr>
          <w:p w14:paraId="00C521A9" w14:textId="77777777" w:rsidR="00963A30" w:rsidRDefault="00985EA0">
            <w:pPr>
              <w:widowControl/>
              <w:autoSpaceDE/>
              <w:autoSpaceDN/>
              <w:ind w:left="-193" w:right="-108"/>
              <w:jc w:val="center"/>
              <w:rPr>
                <w:rFonts w:eastAsia="Calibri"/>
                <w:kern w:val="2"/>
                <w:sz w:val="24"/>
                <w:szCs w:val="24"/>
                <w:lang w:val="fi-FI" w:eastAsia="zh-CN"/>
                <w14:ligatures w14:val="standardContextual"/>
              </w:rPr>
            </w:pPr>
            <w:r>
              <w:rPr>
                <w:rFonts w:eastAsia="Calibri"/>
                <w:kern w:val="2"/>
                <w:sz w:val="24"/>
                <w:szCs w:val="24"/>
                <w:lang w:val="fi-FI" w:eastAsia="zh-CN"/>
                <w14:ligatures w14:val="standardContextual"/>
              </w:rPr>
              <w:t>Organic Matter</w:t>
            </w:r>
          </w:p>
        </w:tc>
        <w:tc>
          <w:tcPr>
            <w:tcW w:w="1607" w:type="dxa"/>
            <w:tcBorders>
              <w:top w:val="single" w:sz="4" w:space="0" w:color="auto"/>
              <w:bottom w:val="single" w:sz="4" w:space="0" w:color="auto"/>
            </w:tcBorders>
            <w:vAlign w:val="center"/>
          </w:tcPr>
          <w:p w14:paraId="25A90C7D" w14:textId="77777777" w:rsidR="00963A30" w:rsidRDefault="00985EA0">
            <w:pPr>
              <w:autoSpaceDE/>
              <w:autoSpaceDN/>
              <w:jc w:val="center"/>
              <w:rPr>
                <w:rFonts w:eastAsia="Calibri"/>
                <w:kern w:val="2"/>
                <w:sz w:val="24"/>
                <w:szCs w:val="24"/>
                <w:lang w:val="fi-FI" w:eastAsia="zh-CN"/>
                <w14:ligatures w14:val="standardContextual"/>
              </w:rPr>
            </w:pPr>
            <w:r>
              <w:rPr>
                <w:rFonts w:eastAsia="Calibri"/>
                <w:kern w:val="2"/>
                <w:sz w:val="24"/>
                <w:szCs w:val="24"/>
                <w:lang w:val="fi-FI" w:eastAsia="zh-CN"/>
                <w14:ligatures w14:val="standardContextual"/>
              </w:rPr>
              <w:t>Crude Protein</w:t>
            </w:r>
          </w:p>
        </w:tc>
        <w:tc>
          <w:tcPr>
            <w:tcW w:w="1631" w:type="dxa"/>
            <w:tcBorders>
              <w:top w:val="single" w:sz="4" w:space="0" w:color="auto"/>
              <w:bottom w:val="single" w:sz="4" w:space="0" w:color="auto"/>
            </w:tcBorders>
            <w:vAlign w:val="center"/>
          </w:tcPr>
          <w:p w14:paraId="6150E4CF" w14:textId="77777777" w:rsidR="00963A30" w:rsidRDefault="00985EA0">
            <w:pPr>
              <w:widowControl/>
              <w:autoSpaceDE/>
              <w:autoSpaceDN/>
              <w:jc w:val="center"/>
              <w:rPr>
                <w:rFonts w:eastAsia="Calibri"/>
                <w:kern w:val="2"/>
                <w:sz w:val="24"/>
                <w:szCs w:val="24"/>
                <w:lang w:val="fi-FI" w:eastAsia="zh-CN"/>
                <w14:ligatures w14:val="standardContextual"/>
              </w:rPr>
            </w:pPr>
            <w:r>
              <w:rPr>
                <w:rFonts w:eastAsia="Calibri"/>
                <w:kern w:val="2"/>
                <w:sz w:val="24"/>
                <w:szCs w:val="24"/>
                <w:lang w:val="fi-FI" w:eastAsia="zh-CN"/>
                <w14:ligatures w14:val="standardContextual"/>
              </w:rPr>
              <w:t>Crude Fiber</w:t>
            </w:r>
          </w:p>
        </w:tc>
        <w:tc>
          <w:tcPr>
            <w:tcW w:w="1415" w:type="dxa"/>
            <w:tcBorders>
              <w:bottom w:val="single" w:sz="4" w:space="0" w:color="auto"/>
            </w:tcBorders>
            <w:vAlign w:val="center"/>
          </w:tcPr>
          <w:p w14:paraId="7766D6E3" w14:textId="77777777" w:rsidR="00963A30" w:rsidRDefault="00985EA0">
            <w:pPr>
              <w:widowControl/>
              <w:autoSpaceDE/>
              <w:autoSpaceDN/>
              <w:jc w:val="center"/>
              <w:rPr>
                <w:rFonts w:eastAsia="Calibri"/>
                <w:kern w:val="2"/>
                <w:sz w:val="24"/>
                <w:szCs w:val="24"/>
                <w:lang w:val="fi-FI" w:eastAsia="zh-CN"/>
                <w14:ligatures w14:val="standardContextual"/>
              </w:rPr>
            </w:pPr>
            <w:r>
              <w:rPr>
                <w:rFonts w:eastAsia="Calibri"/>
                <w:kern w:val="2"/>
                <w:sz w:val="24"/>
                <w:szCs w:val="24"/>
                <w:lang w:val="fi-FI" w:eastAsia="zh-CN"/>
                <w14:ligatures w14:val="standardContextual"/>
              </w:rPr>
              <w:t>Ether Extract</w:t>
            </w:r>
          </w:p>
        </w:tc>
        <w:tc>
          <w:tcPr>
            <w:tcW w:w="1607" w:type="dxa"/>
            <w:tcBorders>
              <w:bottom w:val="single" w:sz="4" w:space="0" w:color="auto"/>
            </w:tcBorders>
            <w:vAlign w:val="center"/>
          </w:tcPr>
          <w:p w14:paraId="3F4ECA63" w14:textId="77777777" w:rsidR="00963A30" w:rsidRDefault="00985EA0">
            <w:pPr>
              <w:widowControl/>
              <w:autoSpaceDE/>
              <w:autoSpaceDN/>
              <w:jc w:val="center"/>
              <w:rPr>
                <w:rFonts w:eastAsia="Calibri"/>
                <w:kern w:val="2"/>
                <w:sz w:val="24"/>
                <w:szCs w:val="24"/>
                <w:lang w:val="fi-FI" w:eastAsia="zh-CN"/>
                <w14:ligatures w14:val="standardContextual"/>
              </w:rPr>
            </w:pPr>
            <w:r>
              <w:rPr>
                <w:rFonts w:eastAsia="Calibri"/>
                <w:kern w:val="2"/>
                <w:sz w:val="24"/>
                <w:szCs w:val="24"/>
                <w:lang w:val="fi-FI" w:eastAsia="zh-CN"/>
                <w14:ligatures w14:val="standardContextual"/>
              </w:rPr>
              <w:t>NFE</w:t>
            </w:r>
          </w:p>
        </w:tc>
      </w:tr>
      <w:tr w:rsidR="00963A30" w14:paraId="78C648FD" w14:textId="77777777">
        <w:trPr>
          <w:trHeight w:val="299"/>
        </w:trPr>
        <w:tc>
          <w:tcPr>
            <w:tcW w:w="1168" w:type="dxa"/>
            <w:tcBorders>
              <w:top w:val="single" w:sz="4" w:space="0" w:color="auto"/>
              <w:left w:val="nil"/>
              <w:bottom w:val="nil"/>
              <w:right w:val="nil"/>
            </w:tcBorders>
            <w:vAlign w:val="center"/>
            <w:hideMark/>
          </w:tcPr>
          <w:p w14:paraId="2352FE9E" w14:textId="77777777" w:rsidR="00963A30" w:rsidRDefault="00985EA0">
            <w:pPr>
              <w:widowControl/>
              <w:autoSpaceDE/>
              <w:autoSpaceDN/>
              <w:jc w:val="center"/>
              <w:rPr>
                <w:rFonts w:eastAsia="Calibri"/>
                <w:kern w:val="2"/>
                <w:sz w:val="24"/>
                <w:szCs w:val="24"/>
                <w:lang w:val="fi-FI" w:eastAsia="zh-CN"/>
                <w14:ligatures w14:val="standardContextual"/>
              </w:rPr>
            </w:pPr>
            <w:r>
              <w:rPr>
                <w:rFonts w:eastAsia="Calibri"/>
                <w:kern w:val="2"/>
                <w:sz w:val="24"/>
                <w:szCs w:val="24"/>
                <w:lang w:val="fi-FI" w:eastAsia="zh-CN"/>
                <w14:ligatures w14:val="standardContextual"/>
              </w:rPr>
              <w:t>R1</w:t>
            </w:r>
          </w:p>
        </w:tc>
        <w:tc>
          <w:tcPr>
            <w:tcW w:w="1539" w:type="dxa"/>
            <w:tcBorders>
              <w:top w:val="single" w:sz="4" w:space="0" w:color="auto"/>
              <w:left w:val="nil"/>
              <w:bottom w:val="nil"/>
              <w:right w:val="nil"/>
            </w:tcBorders>
            <w:vAlign w:val="bottom"/>
            <w:hideMark/>
          </w:tcPr>
          <w:p w14:paraId="41FEB99B" w14:textId="77777777" w:rsidR="00963A30" w:rsidRDefault="00985EA0">
            <w:pPr>
              <w:widowControl/>
              <w:autoSpaceDE/>
              <w:autoSpaceDN/>
              <w:jc w:val="left"/>
              <w:rPr>
                <w:rFonts w:eastAsia="Calibri"/>
                <w:kern w:val="2"/>
                <w:sz w:val="24"/>
                <w:szCs w:val="24"/>
                <w:lang w:val="fi-FI" w:eastAsia="zh-CN"/>
                <w14:ligatures w14:val="standardContextual"/>
              </w:rPr>
            </w:pPr>
            <w:r>
              <w:rPr>
                <w:color w:val="000000"/>
                <w:sz w:val="24"/>
                <w:szCs w:val="24"/>
              </w:rPr>
              <w:t>64.90±2.17</w:t>
            </w:r>
            <w:r>
              <w:rPr>
                <w:color w:val="000000"/>
                <w:sz w:val="24"/>
                <w:szCs w:val="24"/>
                <w:vertAlign w:val="superscript"/>
              </w:rPr>
              <w:t>d</w:t>
            </w:r>
          </w:p>
        </w:tc>
        <w:tc>
          <w:tcPr>
            <w:tcW w:w="1607" w:type="dxa"/>
            <w:tcBorders>
              <w:top w:val="nil"/>
              <w:left w:val="nil"/>
              <w:bottom w:val="nil"/>
              <w:right w:val="nil"/>
            </w:tcBorders>
            <w:vAlign w:val="bottom"/>
          </w:tcPr>
          <w:p w14:paraId="642350B7" w14:textId="77777777" w:rsidR="00963A30" w:rsidRDefault="00985EA0">
            <w:pPr>
              <w:autoSpaceDE/>
              <w:autoSpaceDN/>
              <w:jc w:val="left"/>
              <w:rPr>
                <w:rFonts w:eastAsia="Calibri"/>
                <w:kern w:val="2"/>
                <w:sz w:val="24"/>
                <w:szCs w:val="24"/>
                <w:lang w:val="fi-FI" w:eastAsia="zh-CN"/>
                <w14:ligatures w14:val="standardContextual"/>
              </w:rPr>
            </w:pPr>
            <w:r>
              <w:rPr>
                <w:color w:val="000000"/>
                <w:sz w:val="24"/>
                <w:szCs w:val="24"/>
              </w:rPr>
              <w:t>63.59±2.64</w:t>
            </w:r>
            <w:r>
              <w:rPr>
                <w:color w:val="000000"/>
                <w:sz w:val="24"/>
                <w:szCs w:val="24"/>
                <w:vertAlign w:val="superscript"/>
              </w:rPr>
              <w:t>d</w:t>
            </w:r>
          </w:p>
        </w:tc>
        <w:tc>
          <w:tcPr>
            <w:tcW w:w="1631" w:type="dxa"/>
            <w:tcBorders>
              <w:top w:val="single" w:sz="4" w:space="0" w:color="auto"/>
              <w:left w:val="nil"/>
              <w:bottom w:val="nil"/>
              <w:right w:val="nil"/>
            </w:tcBorders>
            <w:vAlign w:val="bottom"/>
          </w:tcPr>
          <w:p w14:paraId="39DC5B6A" w14:textId="77777777" w:rsidR="00963A30" w:rsidRDefault="00985EA0">
            <w:pPr>
              <w:widowControl/>
              <w:autoSpaceDE/>
              <w:autoSpaceDN/>
              <w:jc w:val="left"/>
              <w:rPr>
                <w:color w:val="000000"/>
                <w:sz w:val="24"/>
                <w:szCs w:val="24"/>
              </w:rPr>
            </w:pPr>
            <w:r>
              <w:rPr>
                <w:color w:val="000000"/>
                <w:sz w:val="24"/>
                <w:szCs w:val="24"/>
              </w:rPr>
              <w:t>57.66±1.52</w:t>
            </w:r>
            <w:r>
              <w:rPr>
                <w:color w:val="000000"/>
                <w:sz w:val="24"/>
                <w:szCs w:val="24"/>
                <w:vertAlign w:val="superscript"/>
              </w:rPr>
              <w:t>e</w:t>
            </w:r>
          </w:p>
        </w:tc>
        <w:tc>
          <w:tcPr>
            <w:tcW w:w="1415" w:type="dxa"/>
            <w:tcBorders>
              <w:top w:val="single" w:sz="4" w:space="0" w:color="auto"/>
              <w:bottom w:val="nil"/>
            </w:tcBorders>
            <w:vAlign w:val="bottom"/>
          </w:tcPr>
          <w:p w14:paraId="55ABD0AA" w14:textId="77777777" w:rsidR="00963A30" w:rsidRDefault="00985EA0">
            <w:pPr>
              <w:widowControl/>
              <w:autoSpaceDE/>
              <w:autoSpaceDN/>
              <w:jc w:val="left"/>
              <w:rPr>
                <w:color w:val="000000"/>
                <w:sz w:val="24"/>
                <w:szCs w:val="24"/>
              </w:rPr>
            </w:pPr>
            <w:r>
              <w:rPr>
                <w:color w:val="000000"/>
                <w:sz w:val="24"/>
                <w:szCs w:val="24"/>
              </w:rPr>
              <w:t>60.86±3.06</w:t>
            </w:r>
            <w:r>
              <w:rPr>
                <w:color w:val="000000"/>
                <w:sz w:val="24"/>
                <w:szCs w:val="24"/>
                <w:vertAlign w:val="superscript"/>
              </w:rPr>
              <w:t>c</w:t>
            </w:r>
          </w:p>
        </w:tc>
        <w:tc>
          <w:tcPr>
            <w:tcW w:w="1607" w:type="dxa"/>
            <w:tcBorders>
              <w:top w:val="single" w:sz="4" w:space="0" w:color="auto"/>
              <w:bottom w:val="nil"/>
            </w:tcBorders>
            <w:vAlign w:val="bottom"/>
          </w:tcPr>
          <w:p w14:paraId="3B70FDD3" w14:textId="77777777" w:rsidR="00963A30" w:rsidRDefault="00985EA0">
            <w:pPr>
              <w:widowControl/>
              <w:autoSpaceDE/>
              <w:autoSpaceDN/>
              <w:jc w:val="left"/>
              <w:rPr>
                <w:color w:val="000000"/>
                <w:sz w:val="24"/>
                <w:szCs w:val="24"/>
              </w:rPr>
            </w:pPr>
            <w:r>
              <w:rPr>
                <w:color w:val="000000"/>
                <w:sz w:val="24"/>
                <w:szCs w:val="24"/>
              </w:rPr>
              <w:t>61.94±2.01</w:t>
            </w:r>
            <w:r>
              <w:rPr>
                <w:color w:val="000000"/>
                <w:sz w:val="24"/>
                <w:szCs w:val="24"/>
                <w:vertAlign w:val="superscript"/>
              </w:rPr>
              <w:t>c</w:t>
            </w:r>
          </w:p>
        </w:tc>
      </w:tr>
      <w:tr w:rsidR="00963A30" w14:paraId="55451033" w14:textId="77777777">
        <w:trPr>
          <w:trHeight w:val="299"/>
        </w:trPr>
        <w:tc>
          <w:tcPr>
            <w:tcW w:w="1168" w:type="dxa"/>
            <w:tcBorders>
              <w:top w:val="nil"/>
              <w:left w:val="nil"/>
              <w:bottom w:val="nil"/>
              <w:right w:val="nil"/>
            </w:tcBorders>
            <w:vAlign w:val="center"/>
            <w:hideMark/>
          </w:tcPr>
          <w:p w14:paraId="69EAFABC" w14:textId="77777777" w:rsidR="00963A30" w:rsidRDefault="00985EA0">
            <w:pPr>
              <w:widowControl/>
              <w:autoSpaceDE/>
              <w:autoSpaceDN/>
              <w:jc w:val="center"/>
              <w:rPr>
                <w:rFonts w:eastAsia="Calibri"/>
                <w:kern w:val="2"/>
                <w:sz w:val="24"/>
                <w:szCs w:val="24"/>
                <w:lang w:val="fi-FI" w:eastAsia="zh-CN"/>
                <w14:ligatures w14:val="standardContextual"/>
              </w:rPr>
            </w:pPr>
            <w:r>
              <w:rPr>
                <w:rFonts w:eastAsia="Calibri"/>
                <w:kern w:val="2"/>
                <w:sz w:val="24"/>
                <w:szCs w:val="24"/>
                <w:lang w:val="fi-FI" w:eastAsia="zh-CN"/>
                <w14:ligatures w14:val="standardContextual"/>
              </w:rPr>
              <w:t>R2</w:t>
            </w:r>
          </w:p>
        </w:tc>
        <w:tc>
          <w:tcPr>
            <w:tcW w:w="1539" w:type="dxa"/>
            <w:tcBorders>
              <w:top w:val="nil"/>
              <w:left w:val="nil"/>
              <w:bottom w:val="nil"/>
              <w:right w:val="nil"/>
            </w:tcBorders>
            <w:vAlign w:val="bottom"/>
            <w:hideMark/>
          </w:tcPr>
          <w:p w14:paraId="76A1DCA1" w14:textId="77777777" w:rsidR="00963A30" w:rsidRDefault="00985EA0">
            <w:pPr>
              <w:widowControl/>
              <w:autoSpaceDE/>
              <w:autoSpaceDN/>
              <w:jc w:val="left"/>
              <w:rPr>
                <w:rFonts w:eastAsia="Calibri"/>
                <w:kern w:val="2"/>
                <w:sz w:val="24"/>
                <w:szCs w:val="24"/>
                <w:lang w:val="fi-FI" w:eastAsia="zh-CN"/>
                <w14:ligatures w14:val="standardContextual"/>
              </w:rPr>
            </w:pPr>
            <w:r>
              <w:rPr>
                <w:color w:val="000000"/>
                <w:sz w:val="24"/>
                <w:szCs w:val="24"/>
              </w:rPr>
              <w:t>65.87±2.50</w:t>
            </w:r>
            <w:r>
              <w:rPr>
                <w:color w:val="000000"/>
                <w:sz w:val="24"/>
                <w:szCs w:val="24"/>
                <w:vertAlign w:val="superscript"/>
              </w:rPr>
              <w:t>cd</w:t>
            </w:r>
          </w:p>
        </w:tc>
        <w:tc>
          <w:tcPr>
            <w:tcW w:w="1607" w:type="dxa"/>
            <w:tcBorders>
              <w:top w:val="nil"/>
              <w:left w:val="nil"/>
              <w:bottom w:val="nil"/>
              <w:right w:val="nil"/>
            </w:tcBorders>
            <w:vAlign w:val="bottom"/>
          </w:tcPr>
          <w:p w14:paraId="3A9A00A1" w14:textId="77777777" w:rsidR="00963A30" w:rsidRDefault="00985EA0">
            <w:pPr>
              <w:autoSpaceDE/>
              <w:autoSpaceDN/>
              <w:jc w:val="left"/>
              <w:rPr>
                <w:rFonts w:eastAsia="Calibri"/>
                <w:kern w:val="2"/>
                <w:sz w:val="24"/>
                <w:szCs w:val="24"/>
                <w:lang w:val="fi-FI" w:eastAsia="zh-CN"/>
                <w14:ligatures w14:val="standardContextual"/>
              </w:rPr>
            </w:pPr>
            <w:r>
              <w:rPr>
                <w:color w:val="000000"/>
                <w:sz w:val="24"/>
                <w:szCs w:val="24"/>
              </w:rPr>
              <w:t>68.18±1.03</w:t>
            </w:r>
            <w:r>
              <w:rPr>
                <w:color w:val="000000"/>
                <w:sz w:val="24"/>
                <w:szCs w:val="24"/>
                <w:vertAlign w:val="superscript"/>
              </w:rPr>
              <w:t>c</w:t>
            </w:r>
          </w:p>
        </w:tc>
        <w:tc>
          <w:tcPr>
            <w:tcW w:w="1631" w:type="dxa"/>
            <w:tcBorders>
              <w:top w:val="nil"/>
              <w:left w:val="nil"/>
              <w:bottom w:val="nil"/>
              <w:right w:val="nil"/>
            </w:tcBorders>
            <w:vAlign w:val="bottom"/>
          </w:tcPr>
          <w:p w14:paraId="4116E8F2" w14:textId="77777777" w:rsidR="00963A30" w:rsidRDefault="00985EA0">
            <w:pPr>
              <w:widowControl/>
              <w:autoSpaceDE/>
              <w:autoSpaceDN/>
              <w:jc w:val="left"/>
              <w:rPr>
                <w:color w:val="000000"/>
                <w:sz w:val="24"/>
                <w:szCs w:val="24"/>
              </w:rPr>
            </w:pPr>
            <w:r>
              <w:rPr>
                <w:color w:val="000000"/>
                <w:sz w:val="24"/>
                <w:szCs w:val="24"/>
              </w:rPr>
              <w:t>59.38±1.56</w:t>
            </w:r>
            <w:r>
              <w:rPr>
                <w:color w:val="000000"/>
                <w:sz w:val="24"/>
                <w:szCs w:val="24"/>
                <w:vertAlign w:val="superscript"/>
              </w:rPr>
              <w:t>d</w:t>
            </w:r>
          </w:p>
        </w:tc>
        <w:tc>
          <w:tcPr>
            <w:tcW w:w="1415" w:type="dxa"/>
            <w:tcBorders>
              <w:top w:val="nil"/>
            </w:tcBorders>
            <w:vAlign w:val="bottom"/>
          </w:tcPr>
          <w:p w14:paraId="26F35831" w14:textId="77777777" w:rsidR="00963A30" w:rsidRDefault="00985EA0">
            <w:pPr>
              <w:widowControl/>
              <w:autoSpaceDE/>
              <w:autoSpaceDN/>
              <w:jc w:val="left"/>
              <w:rPr>
                <w:color w:val="000000"/>
                <w:sz w:val="24"/>
                <w:szCs w:val="24"/>
              </w:rPr>
            </w:pPr>
            <w:r>
              <w:rPr>
                <w:color w:val="000000"/>
                <w:sz w:val="24"/>
                <w:szCs w:val="24"/>
              </w:rPr>
              <w:t>62.17±3.0b</w:t>
            </w:r>
            <w:r>
              <w:rPr>
                <w:color w:val="000000"/>
                <w:sz w:val="24"/>
                <w:szCs w:val="24"/>
                <w:vertAlign w:val="superscript"/>
              </w:rPr>
              <w:t>c</w:t>
            </w:r>
          </w:p>
        </w:tc>
        <w:tc>
          <w:tcPr>
            <w:tcW w:w="1607" w:type="dxa"/>
            <w:tcBorders>
              <w:top w:val="nil"/>
            </w:tcBorders>
            <w:vAlign w:val="bottom"/>
          </w:tcPr>
          <w:p w14:paraId="608B2631" w14:textId="77777777" w:rsidR="00963A30" w:rsidRDefault="00985EA0">
            <w:pPr>
              <w:widowControl/>
              <w:autoSpaceDE/>
              <w:autoSpaceDN/>
              <w:jc w:val="left"/>
              <w:rPr>
                <w:color w:val="000000"/>
                <w:sz w:val="24"/>
                <w:szCs w:val="24"/>
              </w:rPr>
            </w:pPr>
            <w:r>
              <w:rPr>
                <w:color w:val="000000"/>
                <w:sz w:val="24"/>
                <w:szCs w:val="24"/>
              </w:rPr>
              <w:t>62.89±1.37</w:t>
            </w:r>
            <w:r>
              <w:rPr>
                <w:color w:val="000000"/>
                <w:sz w:val="24"/>
                <w:szCs w:val="24"/>
                <w:vertAlign w:val="superscript"/>
              </w:rPr>
              <w:t>bc</w:t>
            </w:r>
          </w:p>
        </w:tc>
      </w:tr>
      <w:tr w:rsidR="00963A30" w14:paraId="060509DE" w14:textId="77777777">
        <w:trPr>
          <w:trHeight w:val="299"/>
        </w:trPr>
        <w:tc>
          <w:tcPr>
            <w:tcW w:w="1168" w:type="dxa"/>
            <w:tcBorders>
              <w:top w:val="nil"/>
              <w:left w:val="nil"/>
              <w:bottom w:val="nil"/>
              <w:right w:val="nil"/>
            </w:tcBorders>
            <w:vAlign w:val="center"/>
            <w:hideMark/>
          </w:tcPr>
          <w:p w14:paraId="558B4BAB" w14:textId="77777777" w:rsidR="00963A30" w:rsidRDefault="00985EA0">
            <w:pPr>
              <w:widowControl/>
              <w:autoSpaceDE/>
              <w:autoSpaceDN/>
              <w:jc w:val="center"/>
              <w:rPr>
                <w:rFonts w:eastAsia="Calibri"/>
                <w:kern w:val="2"/>
                <w:sz w:val="24"/>
                <w:szCs w:val="24"/>
                <w:lang w:val="fi-FI" w:eastAsia="zh-CN"/>
                <w14:ligatures w14:val="standardContextual"/>
              </w:rPr>
            </w:pPr>
            <w:r>
              <w:rPr>
                <w:rFonts w:eastAsia="Calibri"/>
                <w:kern w:val="2"/>
                <w:sz w:val="24"/>
                <w:szCs w:val="24"/>
                <w:lang w:val="fi-FI" w:eastAsia="zh-CN"/>
                <w14:ligatures w14:val="standardContextual"/>
              </w:rPr>
              <w:t>R3</w:t>
            </w:r>
          </w:p>
        </w:tc>
        <w:tc>
          <w:tcPr>
            <w:tcW w:w="1539" w:type="dxa"/>
            <w:tcBorders>
              <w:top w:val="nil"/>
              <w:left w:val="nil"/>
              <w:bottom w:val="nil"/>
              <w:right w:val="nil"/>
            </w:tcBorders>
            <w:vAlign w:val="bottom"/>
            <w:hideMark/>
          </w:tcPr>
          <w:p w14:paraId="5BE2C27A" w14:textId="77777777" w:rsidR="00963A30" w:rsidRDefault="00985EA0">
            <w:pPr>
              <w:widowControl/>
              <w:autoSpaceDE/>
              <w:autoSpaceDN/>
              <w:jc w:val="left"/>
              <w:rPr>
                <w:rFonts w:eastAsia="Calibri"/>
                <w:kern w:val="2"/>
                <w:sz w:val="24"/>
                <w:szCs w:val="24"/>
                <w:lang w:val="fi-FI" w:eastAsia="zh-CN"/>
                <w14:ligatures w14:val="standardContextual"/>
              </w:rPr>
            </w:pPr>
            <w:r>
              <w:rPr>
                <w:color w:val="000000"/>
                <w:sz w:val="24"/>
                <w:szCs w:val="24"/>
              </w:rPr>
              <w:t>68.29±3.83</w:t>
            </w:r>
            <w:r>
              <w:rPr>
                <w:color w:val="000000"/>
                <w:sz w:val="24"/>
                <w:szCs w:val="24"/>
                <w:vertAlign w:val="superscript"/>
              </w:rPr>
              <w:t>bc</w:t>
            </w:r>
          </w:p>
        </w:tc>
        <w:tc>
          <w:tcPr>
            <w:tcW w:w="1607" w:type="dxa"/>
            <w:tcBorders>
              <w:top w:val="nil"/>
              <w:left w:val="nil"/>
              <w:bottom w:val="nil"/>
              <w:right w:val="nil"/>
            </w:tcBorders>
            <w:vAlign w:val="bottom"/>
          </w:tcPr>
          <w:p w14:paraId="254B969E" w14:textId="77777777" w:rsidR="00963A30" w:rsidRDefault="00985EA0">
            <w:pPr>
              <w:autoSpaceDE/>
              <w:autoSpaceDN/>
              <w:jc w:val="left"/>
              <w:rPr>
                <w:rFonts w:eastAsia="Calibri"/>
                <w:kern w:val="2"/>
                <w:sz w:val="24"/>
                <w:szCs w:val="24"/>
                <w:lang w:val="fi-FI" w:eastAsia="zh-CN"/>
                <w14:ligatures w14:val="standardContextual"/>
              </w:rPr>
            </w:pPr>
            <w:r>
              <w:rPr>
                <w:color w:val="000000"/>
                <w:sz w:val="24"/>
                <w:szCs w:val="24"/>
              </w:rPr>
              <w:t>72.03±1.58</w:t>
            </w:r>
            <w:r>
              <w:rPr>
                <w:color w:val="000000"/>
                <w:sz w:val="24"/>
                <w:szCs w:val="24"/>
                <w:vertAlign w:val="superscript"/>
              </w:rPr>
              <w:t>ab</w:t>
            </w:r>
          </w:p>
        </w:tc>
        <w:tc>
          <w:tcPr>
            <w:tcW w:w="1631" w:type="dxa"/>
            <w:tcBorders>
              <w:top w:val="nil"/>
              <w:left w:val="nil"/>
              <w:bottom w:val="nil"/>
              <w:right w:val="nil"/>
            </w:tcBorders>
            <w:vAlign w:val="bottom"/>
          </w:tcPr>
          <w:p w14:paraId="5FDDEC23" w14:textId="77777777" w:rsidR="00963A30" w:rsidRDefault="00985EA0">
            <w:pPr>
              <w:widowControl/>
              <w:autoSpaceDE/>
              <w:autoSpaceDN/>
              <w:jc w:val="left"/>
              <w:rPr>
                <w:color w:val="000000"/>
                <w:sz w:val="24"/>
                <w:szCs w:val="24"/>
              </w:rPr>
            </w:pPr>
            <w:r>
              <w:rPr>
                <w:color w:val="000000"/>
                <w:sz w:val="24"/>
                <w:szCs w:val="24"/>
              </w:rPr>
              <w:t>60.36±2.05</w:t>
            </w:r>
            <w:r>
              <w:rPr>
                <w:color w:val="000000"/>
                <w:sz w:val="24"/>
                <w:szCs w:val="24"/>
                <w:vertAlign w:val="superscript"/>
              </w:rPr>
              <w:t>cd</w:t>
            </w:r>
          </w:p>
        </w:tc>
        <w:tc>
          <w:tcPr>
            <w:tcW w:w="1415" w:type="dxa"/>
            <w:vAlign w:val="bottom"/>
          </w:tcPr>
          <w:p w14:paraId="5FB8D228" w14:textId="77777777" w:rsidR="00963A30" w:rsidRDefault="00985EA0">
            <w:pPr>
              <w:widowControl/>
              <w:autoSpaceDE/>
              <w:autoSpaceDN/>
              <w:jc w:val="left"/>
              <w:rPr>
                <w:color w:val="000000"/>
                <w:sz w:val="24"/>
                <w:szCs w:val="24"/>
              </w:rPr>
            </w:pPr>
            <w:r>
              <w:rPr>
                <w:color w:val="000000"/>
                <w:sz w:val="24"/>
                <w:szCs w:val="24"/>
              </w:rPr>
              <w:t>62.88±4.29</w:t>
            </w:r>
            <w:r>
              <w:rPr>
                <w:color w:val="000000"/>
                <w:sz w:val="24"/>
                <w:szCs w:val="24"/>
                <w:vertAlign w:val="superscript"/>
              </w:rPr>
              <w:t>b</w:t>
            </w:r>
          </w:p>
        </w:tc>
        <w:tc>
          <w:tcPr>
            <w:tcW w:w="1607" w:type="dxa"/>
            <w:vAlign w:val="bottom"/>
          </w:tcPr>
          <w:p w14:paraId="50632165" w14:textId="77777777" w:rsidR="00963A30" w:rsidRDefault="00985EA0">
            <w:pPr>
              <w:widowControl/>
              <w:autoSpaceDE/>
              <w:autoSpaceDN/>
              <w:jc w:val="left"/>
              <w:rPr>
                <w:color w:val="000000"/>
                <w:sz w:val="24"/>
                <w:szCs w:val="24"/>
              </w:rPr>
            </w:pPr>
            <w:r>
              <w:rPr>
                <w:color w:val="000000"/>
                <w:sz w:val="24"/>
                <w:szCs w:val="24"/>
              </w:rPr>
              <w:t>65.34±2.56</w:t>
            </w:r>
            <w:r>
              <w:rPr>
                <w:color w:val="000000"/>
                <w:sz w:val="24"/>
                <w:szCs w:val="24"/>
                <w:vertAlign w:val="superscript"/>
              </w:rPr>
              <w:t>b</w:t>
            </w:r>
          </w:p>
        </w:tc>
      </w:tr>
      <w:tr w:rsidR="00963A30" w14:paraId="5F4B7F34" w14:textId="77777777">
        <w:trPr>
          <w:trHeight w:val="299"/>
        </w:trPr>
        <w:tc>
          <w:tcPr>
            <w:tcW w:w="1168" w:type="dxa"/>
            <w:tcBorders>
              <w:top w:val="nil"/>
              <w:left w:val="nil"/>
              <w:bottom w:val="nil"/>
              <w:right w:val="nil"/>
            </w:tcBorders>
            <w:vAlign w:val="center"/>
          </w:tcPr>
          <w:p w14:paraId="0A584BE3" w14:textId="77777777" w:rsidR="00963A30" w:rsidRDefault="00985EA0">
            <w:pPr>
              <w:widowControl/>
              <w:autoSpaceDE/>
              <w:autoSpaceDN/>
              <w:jc w:val="center"/>
              <w:rPr>
                <w:rFonts w:eastAsia="Calibri"/>
                <w:kern w:val="2"/>
                <w:sz w:val="24"/>
                <w:szCs w:val="24"/>
                <w:lang w:val="fi-FI" w:eastAsia="zh-CN"/>
                <w14:ligatures w14:val="standardContextual"/>
              </w:rPr>
            </w:pPr>
            <w:r>
              <w:rPr>
                <w:rFonts w:eastAsia="Calibri"/>
                <w:kern w:val="2"/>
                <w:sz w:val="24"/>
                <w:szCs w:val="24"/>
                <w:lang w:val="fi-FI" w:eastAsia="zh-CN"/>
                <w14:ligatures w14:val="standardContextual"/>
              </w:rPr>
              <w:t>R4</w:t>
            </w:r>
          </w:p>
        </w:tc>
        <w:tc>
          <w:tcPr>
            <w:tcW w:w="1539" w:type="dxa"/>
            <w:tcBorders>
              <w:top w:val="nil"/>
              <w:left w:val="nil"/>
              <w:bottom w:val="nil"/>
              <w:right w:val="nil"/>
            </w:tcBorders>
            <w:vAlign w:val="bottom"/>
          </w:tcPr>
          <w:p w14:paraId="78640CD1" w14:textId="77777777" w:rsidR="00963A30" w:rsidRDefault="00985EA0">
            <w:pPr>
              <w:widowControl/>
              <w:autoSpaceDE/>
              <w:autoSpaceDN/>
              <w:jc w:val="left"/>
              <w:rPr>
                <w:rFonts w:eastAsia="Calibri"/>
                <w:kern w:val="2"/>
                <w:sz w:val="24"/>
                <w:szCs w:val="24"/>
                <w:lang w:val="fi-FI" w:eastAsia="zh-CN"/>
                <w14:ligatures w14:val="standardContextual"/>
              </w:rPr>
            </w:pPr>
            <w:r>
              <w:rPr>
                <w:color w:val="000000"/>
                <w:sz w:val="24"/>
                <w:szCs w:val="24"/>
              </w:rPr>
              <w:t>68.31±4.39</w:t>
            </w:r>
            <w:r>
              <w:rPr>
                <w:color w:val="000000"/>
                <w:sz w:val="24"/>
                <w:szCs w:val="24"/>
                <w:vertAlign w:val="superscript"/>
              </w:rPr>
              <w:t>bc</w:t>
            </w:r>
          </w:p>
        </w:tc>
        <w:tc>
          <w:tcPr>
            <w:tcW w:w="1607" w:type="dxa"/>
            <w:tcBorders>
              <w:top w:val="nil"/>
              <w:left w:val="nil"/>
              <w:bottom w:val="nil"/>
              <w:right w:val="nil"/>
            </w:tcBorders>
            <w:vAlign w:val="bottom"/>
          </w:tcPr>
          <w:p w14:paraId="314CA776" w14:textId="77777777" w:rsidR="00963A30" w:rsidRDefault="00985EA0">
            <w:pPr>
              <w:autoSpaceDE/>
              <w:autoSpaceDN/>
              <w:jc w:val="left"/>
              <w:rPr>
                <w:rFonts w:eastAsia="Calibri"/>
                <w:kern w:val="2"/>
                <w:sz w:val="24"/>
                <w:szCs w:val="24"/>
                <w:lang w:val="fi-FI" w:eastAsia="zh-CN"/>
                <w14:ligatures w14:val="standardContextual"/>
              </w:rPr>
            </w:pPr>
            <w:r>
              <w:rPr>
                <w:color w:val="000000"/>
                <w:sz w:val="24"/>
                <w:szCs w:val="24"/>
              </w:rPr>
              <w:t>64.25±3.43</w:t>
            </w:r>
            <w:r>
              <w:rPr>
                <w:color w:val="000000"/>
                <w:sz w:val="24"/>
                <w:szCs w:val="24"/>
                <w:vertAlign w:val="superscript"/>
              </w:rPr>
              <w:t>d</w:t>
            </w:r>
          </w:p>
        </w:tc>
        <w:tc>
          <w:tcPr>
            <w:tcW w:w="1631" w:type="dxa"/>
            <w:tcBorders>
              <w:top w:val="nil"/>
              <w:left w:val="nil"/>
              <w:bottom w:val="nil"/>
              <w:right w:val="nil"/>
            </w:tcBorders>
            <w:vAlign w:val="bottom"/>
          </w:tcPr>
          <w:p w14:paraId="64C12551" w14:textId="77777777" w:rsidR="00963A30" w:rsidRDefault="00985EA0">
            <w:pPr>
              <w:widowControl/>
              <w:autoSpaceDE/>
              <w:autoSpaceDN/>
              <w:jc w:val="left"/>
              <w:rPr>
                <w:color w:val="000000"/>
                <w:sz w:val="24"/>
                <w:szCs w:val="24"/>
              </w:rPr>
            </w:pPr>
            <w:r>
              <w:rPr>
                <w:color w:val="000000"/>
                <w:sz w:val="24"/>
                <w:szCs w:val="24"/>
              </w:rPr>
              <w:t>60.74±1.99</w:t>
            </w:r>
            <w:r>
              <w:rPr>
                <w:color w:val="000000"/>
                <w:sz w:val="24"/>
                <w:szCs w:val="24"/>
                <w:vertAlign w:val="superscript"/>
              </w:rPr>
              <w:t>cd</w:t>
            </w:r>
          </w:p>
        </w:tc>
        <w:tc>
          <w:tcPr>
            <w:tcW w:w="1415" w:type="dxa"/>
            <w:tcBorders>
              <w:bottom w:val="nil"/>
            </w:tcBorders>
            <w:vAlign w:val="bottom"/>
          </w:tcPr>
          <w:p w14:paraId="60C19141" w14:textId="77777777" w:rsidR="00963A30" w:rsidRDefault="00985EA0">
            <w:pPr>
              <w:widowControl/>
              <w:autoSpaceDE/>
              <w:autoSpaceDN/>
              <w:jc w:val="left"/>
              <w:rPr>
                <w:color w:val="000000"/>
                <w:sz w:val="24"/>
                <w:szCs w:val="24"/>
              </w:rPr>
            </w:pPr>
            <w:r>
              <w:rPr>
                <w:color w:val="000000"/>
                <w:sz w:val="24"/>
                <w:szCs w:val="24"/>
              </w:rPr>
              <w:t>63.30±4.06</w:t>
            </w:r>
            <w:r>
              <w:rPr>
                <w:color w:val="000000"/>
                <w:sz w:val="24"/>
                <w:szCs w:val="24"/>
                <w:vertAlign w:val="superscript"/>
              </w:rPr>
              <w:t>b</w:t>
            </w:r>
          </w:p>
        </w:tc>
        <w:tc>
          <w:tcPr>
            <w:tcW w:w="1607" w:type="dxa"/>
            <w:tcBorders>
              <w:bottom w:val="nil"/>
            </w:tcBorders>
            <w:vAlign w:val="bottom"/>
          </w:tcPr>
          <w:p w14:paraId="7CEE5BFA" w14:textId="77777777" w:rsidR="00963A30" w:rsidRDefault="00985EA0">
            <w:pPr>
              <w:widowControl/>
              <w:autoSpaceDE/>
              <w:autoSpaceDN/>
              <w:jc w:val="left"/>
              <w:rPr>
                <w:color w:val="000000"/>
                <w:sz w:val="24"/>
                <w:szCs w:val="24"/>
              </w:rPr>
            </w:pPr>
            <w:r>
              <w:rPr>
                <w:color w:val="000000"/>
                <w:sz w:val="24"/>
                <w:szCs w:val="24"/>
              </w:rPr>
              <w:t>65.38±5.14</w:t>
            </w:r>
            <w:r>
              <w:rPr>
                <w:color w:val="000000"/>
                <w:sz w:val="24"/>
                <w:szCs w:val="24"/>
                <w:vertAlign w:val="superscript"/>
              </w:rPr>
              <w:t>b</w:t>
            </w:r>
          </w:p>
        </w:tc>
      </w:tr>
      <w:tr w:rsidR="00963A30" w14:paraId="512D3CA2" w14:textId="77777777">
        <w:trPr>
          <w:trHeight w:val="299"/>
        </w:trPr>
        <w:tc>
          <w:tcPr>
            <w:tcW w:w="1168" w:type="dxa"/>
            <w:tcBorders>
              <w:top w:val="nil"/>
              <w:left w:val="nil"/>
              <w:bottom w:val="nil"/>
              <w:right w:val="nil"/>
            </w:tcBorders>
            <w:vAlign w:val="center"/>
          </w:tcPr>
          <w:p w14:paraId="6E5BD19E" w14:textId="77777777" w:rsidR="00963A30" w:rsidRDefault="00985EA0">
            <w:pPr>
              <w:widowControl/>
              <w:autoSpaceDE/>
              <w:autoSpaceDN/>
              <w:jc w:val="center"/>
              <w:rPr>
                <w:rFonts w:eastAsia="Calibri"/>
                <w:kern w:val="2"/>
                <w:sz w:val="24"/>
                <w:szCs w:val="24"/>
                <w:lang w:val="fi-FI" w:eastAsia="zh-CN"/>
                <w14:ligatures w14:val="standardContextual"/>
              </w:rPr>
            </w:pPr>
            <w:r>
              <w:rPr>
                <w:rFonts w:eastAsia="Calibri"/>
                <w:kern w:val="2"/>
                <w:sz w:val="24"/>
                <w:szCs w:val="24"/>
                <w:lang w:val="fi-FI" w:eastAsia="zh-CN"/>
                <w14:ligatures w14:val="standardContextual"/>
              </w:rPr>
              <w:t>R5</w:t>
            </w:r>
          </w:p>
        </w:tc>
        <w:tc>
          <w:tcPr>
            <w:tcW w:w="1539" w:type="dxa"/>
            <w:tcBorders>
              <w:top w:val="nil"/>
              <w:left w:val="nil"/>
              <w:bottom w:val="nil"/>
              <w:right w:val="nil"/>
            </w:tcBorders>
            <w:vAlign w:val="bottom"/>
          </w:tcPr>
          <w:p w14:paraId="53859189" w14:textId="77777777" w:rsidR="00963A30" w:rsidRDefault="00985EA0">
            <w:pPr>
              <w:widowControl/>
              <w:autoSpaceDE/>
              <w:autoSpaceDN/>
              <w:jc w:val="left"/>
              <w:rPr>
                <w:rFonts w:eastAsia="Calibri"/>
                <w:kern w:val="2"/>
                <w:sz w:val="24"/>
                <w:szCs w:val="24"/>
                <w:lang w:val="fi-FI" w:eastAsia="zh-CN"/>
                <w14:ligatures w14:val="standardContextual"/>
              </w:rPr>
            </w:pPr>
            <w:r>
              <w:rPr>
                <w:color w:val="000000"/>
                <w:sz w:val="24"/>
                <w:szCs w:val="24"/>
              </w:rPr>
              <w:t>68.66±3.67</w:t>
            </w:r>
            <w:r>
              <w:rPr>
                <w:color w:val="000000"/>
                <w:sz w:val="24"/>
                <w:szCs w:val="24"/>
                <w:vertAlign w:val="superscript"/>
              </w:rPr>
              <w:t>b</w:t>
            </w:r>
          </w:p>
        </w:tc>
        <w:tc>
          <w:tcPr>
            <w:tcW w:w="1607" w:type="dxa"/>
            <w:tcBorders>
              <w:top w:val="nil"/>
              <w:left w:val="nil"/>
              <w:bottom w:val="nil"/>
              <w:right w:val="nil"/>
            </w:tcBorders>
            <w:vAlign w:val="bottom"/>
          </w:tcPr>
          <w:p w14:paraId="462D076A" w14:textId="77777777" w:rsidR="00963A30" w:rsidRDefault="00985EA0">
            <w:pPr>
              <w:autoSpaceDE/>
              <w:autoSpaceDN/>
              <w:jc w:val="left"/>
              <w:rPr>
                <w:rFonts w:eastAsia="Calibri"/>
                <w:kern w:val="2"/>
                <w:sz w:val="24"/>
                <w:szCs w:val="24"/>
                <w:vertAlign w:val="superscript"/>
                <w:lang w:val="fi-FI" w:eastAsia="zh-CN"/>
                <w14:ligatures w14:val="standardContextual"/>
              </w:rPr>
            </w:pPr>
            <w:r>
              <w:rPr>
                <w:color w:val="000000"/>
                <w:sz w:val="24"/>
                <w:szCs w:val="24"/>
              </w:rPr>
              <w:t>64.46±1.32</w:t>
            </w:r>
            <w:r>
              <w:rPr>
                <w:color w:val="000000"/>
                <w:sz w:val="24"/>
                <w:szCs w:val="24"/>
                <w:vertAlign w:val="superscript"/>
              </w:rPr>
              <w:t>d</w:t>
            </w:r>
          </w:p>
        </w:tc>
        <w:tc>
          <w:tcPr>
            <w:tcW w:w="1631" w:type="dxa"/>
            <w:tcBorders>
              <w:top w:val="nil"/>
              <w:left w:val="nil"/>
              <w:bottom w:val="nil"/>
              <w:right w:val="nil"/>
            </w:tcBorders>
            <w:vAlign w:val="bottom"/>
          </w:tcPr>
          <w:p w14:paraId="488254C2" w14:textId="77777777" w:rsidR="00963A30" w:rsidRDefault="00985EA0">
            <w:pPr>
              <w:widowControl/>
              <w:autoSpaceDE/>
              <w:autoSpaceDN/>
              <w:jc w:val="left"/>
              <w:rPr>
                <w:color w:val="000000"/>
                <w:sz w:val="24"/>
                <w:szCs w:val="24"/>
              </w:rPr>
            </w:pPr>
            <w:r>
              <w:rPr>
                <w:color w:val="000000"/>
                <w:sz w:val="24"/>
                <w:szCs w:val="24"/>
              </w:rPr>
              <w:t>61.14±2.14</w:t>
            </w:r>
            <w:r>
              <w:rPr>
                <w:color w:val="000000"/>
                <w:sz w:val="24"/>
                <w:szCs w:val="24"/>
                <w:vertAlign w:val="superscript"/>
              </w:rPr>
              <w:t>bc</w:t>
            </w:r>
          </w:p>
        </w:tc>
        <w:tc>
          <w:tcPr>
            <w:tcW w:w="1415" w:type="dxa"/>
            <w:tcBorders>
              <w:top w:val="nil"/>
              <w:bottom w:val="nil"/>
            </w:tcBorders>
            <w:vAlign w:val="bottom"/>
          </w:tcPr>
          <w:p w14:paraId="4AFA7BDB" w14:textId="77777777" w:rsidR="00963A30" w:rsidRDefault="00985EA0">
            <w:pPr>
              <w:widowControl/>
              <w:autoSpaceDE/>
              <w:autoSpaceDN/>
              <w:jc w:val="left"/>
              <w:rPr>
                <w:color w:val="000000"/>
                <w:sz w:val="24"/>
                <w:szCs w:val="24"/>
              </w:rPr>
            </w:pPr>
            <w:r>
              <w:rPr>
                <w:color w:val="000000"/>
                <w:sz w:val="24"/>
                <w:szCs w:val="24"/>
              </w:rPr>
              <w:t>63.75±2.87</w:t>
            </w:r>
            <w:r>
              <w:rPr>
                <w:color w:val="000000"/>
                <w:sz w:val="24"/>
                <w:szCs w:val="24"/>
                <w:vertAlign w:val="superscript"/>
              </w:rPr>
              <w:t>b</w:t>
            </w:r>
          </w:p>
        </w:tc>
        <w:tc>
          <w:tcPr>
            <w:tcW w:w="1607" w:type="dxa"/>
            <w:tcBorders>
              <w:top w:val="nil"/>
              <w:bottom w:val="nil"/>
            </w:tcBorders>
            <w:vAlign w:val="bottom"/>
          </w:tcPr>
          <w:p w14:paraId="066E512F" w14:textId="77777777" w:rsidR="00963A30" w:rsidRDefault="00985EA0">
            <w:pPr>
              <w:widowControl/>
              <w:autoSpaceDE/>
              <w:autoSpaceDN/>
              <w:jc w:val="left"/>
              <w:rPr>
                <w:color w:val="000000"/>
                <w:sz w:val="24"/>
                <w:szCs w:val="24"/>
              </w:rPr>
            </w:pPr>
            <w:r>
              <w:rPr>
                <w:color w:val="000000"/>
                <w:sz w:val="24"/>
                <w:szCs w:val="24"/>
              </w:rPr>
              <w:t>65.52±2.56</w:t>
            </w:r>
            <w:r>
              <w:rPr>
                <w:color w:val="000000"/>
                <w:sz w:val="24"/>
                <w:szCs w:val="24"/>
                <w:vertAlign w:val="superscript"/>
              </w:rPr>
              <w:t>b</w:t>
            </w:r>
          </w:p>
        </w:tc>
      </w:tr>
      <w:tr w:rsidR="00963A30" w14:paraId="288B4571" w14:textId="77777777">
        <w:trPr>
          <w:trHeight w:val="299"/>
        </w:trPr>
        <w:tc>
          <w:tcPr>
            <w:tcW w:w="1168" w:type="dxa"/>
            <w:tcBorders>
              <w:top w:val="nil"/>
              <w:left w:val="nil"/>
              <w:bottom w:val="nil"/>
              <w:right w:val="nil"/>
            </w:tcBorders>
            <w:vAlign w:val="center"/>
          </w:tcPr>
          <w:p w14:paraId="4F7BF468" w14:textId="77777777" w:rsidR="00963A30" w:rsidRDefault="00985EA0">
            <w:pPr>
              <w:widowControl/>
              <w:autoSpaceDE/>
              <w:autoSpaceDN/>
              <w:jc w:val="center"/>
              <w:rPr>
                <w:rFonts w:eastAsia="Calibri"/>
                <w:kern w:val="2"/>
                <w:sz w:val="24"/>
                <w:szCs w:val="24"/>
                <w:lang w:val="fi-FI" w:eastAsia="zh-CN"/>
                <w14:ligatures w14:val="standardContextual"/>
              </w:rPr>
            </w:pPr>
            <w:r>
              <w:rPr>
                <w:rFonts w:eastAsia="Calibri"/>
                <w:kern w:val="2"/>
                <w:sz w:val="24"/>
                <w:szCs w:val="24"/>
                <w:lang w:val="fi-FI" w:eastAsia="zh-CN"/>
                <w14:ligatures w14:val="standardContextual"/>
              </w:rPr>
              <w:t>R6</w:t>
            </w:r>
          </w:p>
        </w:tc>
        <w:tc>
          <w:tcPr>
            <w:tcW w:w="1539" w:type="dxa"/>
            <w:tcBorders>
              <w:top w:val="nil"/>
              <w:left w:val="nil"/>
              <w:bottom w:val="nil"/>
              <w:right w:val="nil"/>
            </w:tcBorders>
            <w:vAlign w:val="bottom"/>
          </w:tcPr>
          <w:p w14:paraId="615C26A6" w14:textId="77777777" w:rsidR="00963A30" w:rsidRDefault="00985EA0">
            <w:pPr>
              <w:widowControl/>
              <w:autoSpaceDE/>
              <w:autoSpaceDN/>
              <w:jc w:val="left"/>
              <w:rPr>
                <w:rFonts w:eastAsia="Calibri"/>
                <w:kern w:val="2"/>
                <w:sz w:val="24"/>
                <w:szCs w:val="24"/>
                <w:lang w:val="fi-FI" w:eastAsia="zh-CN"/>
                <w14:ligatures w14:val="standardContextual"/>
              </w:rPr>
            </w:pPr>
            <w:r>
              <w:rPr>
                <w:color w:val="000000"/>
                <w:sz w:val="24"/>
                <w:szCs w:val="24"/>
              </w:rPr>
              <w:t>69.48±4.42</w:t>
            </w:r>
            <w:r>
              <w:rPr>
                <w:color w:val="000000"/>
                <w:sz w:val="24"/>
                <w:szCs w:val="24"/>
                <w:vertAlign w:val="superscript"/>
              </w:rPr>
              <w:t>b</w:t>
            </w:r>
          </w:p>
        </w:tc>
        <w:tc>
          <w:tcPr>
            <w:tcW w:w="1607" w:type="dxa"/>
            <w:tcBorders>
              <w:top w:val="nil"/>
              <w:left w:val="nil"/>
              <w:bottom w:val="nil"/>
              <w:right w:val="nil"/>
            </w:tcBorders>
            <w:vAlign w:val="bottom"/>
          </w:tcPr>
          <w:p w14:paraId="2743AB96" w14:textId="77777777" w:rsidR="00963A30" w:rsidRDefault="00985EA0">
            <w:pPr>
              <w:autoSpaceDE/>
              <w:autoSpaceDN/>
              <w:jc w:val="left"/>
              <w:rPr>
                <w:rFonts w:eastAsia="Calibri"/>
                <w:kern w:val="2"/>
                <w:sz w:val="24"/>
                <w:szCs w:val="24"/>
                <w:lang w:val="fi-FI" w:eastAsia="zh-CN"/>
                <w14:ligatures w14:val="standardContextual"/>
              </w:rPr>
            </w:pPr>
            <w:r>
              <w:rPr>
                <w:color w:val="000000"/>
                <w:sz w:val="24"/>
                <w:szCs w:val="24"/>
              </w:rPr>
              <w:t>69.74±1.32</w:t>
            </w:r>
            <w:r>
              <w:rPr>
                <w:color w:val="000000"/>
                <w:sz w:val="24"/>
                <w:szCs w:val="24"/>
                <w:vertAlign w:val="superscript"/>
              </w:rPr>
              <w:t>bc</w:t>
            </w:r>
          </w:p>
        </w:tc>
        <w:tc>
          <w:tcPr>
            <w:tcW w:w="1631" w:type="dxa"/>
            <w:tcBorders>
              <w:top w:val="nil"/>
              <w:left w:val="nil"/>
              <w:bottom w:val="nil"/>
              <w:right w:val="nil"/>
            </w:tcBorders>
            <w:vAlign w:val="bottom"/>
          </w:tcPr>
          <w:p w14:paraId="6A1A67F1" w14:textId="77777777" w:rsidR="00963A30" w:rsidRDefault="00985EA0">
            <w:pPr>
              <w:widowControl/>
              <w:autoSpaceDE/>
              <w:autoSpaceDN/>
              <w:jc w:val="left"/>
              <w:rPr>
                <w:color w:val="000000"/>
                <w:sz w:val="24"/>
                <w:szCs w:val="24"/>
              </w:rPr>
            </w:pPr>
            <w:r>
              <w:rPr>
                <w:color w:val="000000"/>
                <w:sz w:val="24"/>
                <w:szCs w:val="24"/>
              </w:rPr>
              <w:t>62,44±1.73</w:t>
            </w:r>
            <w:r>
              <w:rPr>
                <w:color w:val="000000"/>
                <w:sz w:val="24"/>
                <w:szCs w:val="24"/>
                <w:vertAlign w:val="superscript"/>
              </w:rPr>
              <w:t>ab</w:t>
            </w:r>
          </w:p>
        </w:tc>
        <w:tc>
          <w:tcPr>
            <w:tcW w:w="1415" w:type="dxa"/>
            <w:tcBorders>
              <w:top w:val="nil"/>
              <w:bottom w:val="nil"/>
            </w:tcBorders>
            <w:vAlign w:val="bottom"/>
          </w:tcPr>
          <w:p w14:paraId="12126936" w14:textId="77777777" w:rsidR="00963A30" w:rsidRDefault="00985EA0">
            <w:pPr>
              <w:widowControl/>
              <w:autoSpaceDE/>
              <w:autoSpaceDN/>
              <w:jc w:val="left"/>
              <w:rPr>
                <w:color w:val="000000"/>
                <w:sz w:val="24"/>
                <w:szCs w:val="24"/>
              </w:rPr>
            </w:pPr>
            <w:r>
              <w:rPr>
                <w:color w:val="000000"/>
                <w:sz w:val="24"/>
                <w:szCs w:val="24"/>
              </w:rPr>
              <w:t>65.75±2.43</w:t>
            </w:r>
            <w:r>
              <w:rPr>
                <w:color w:val="000000"/>
                <w:sz w:val="24"/>
                <w:szCs w:val="24"/>
                <w:vertAlign w:val="superscript"/>
              </w:rPr>
              <w:t>a</w:t>
            </w:r>
          </w:p>
        </w:tc>
        <w:tc>
          <w:tcPr>
            <w:tcW w:w="1607" w:type="dxa"/>
            <w:tcBorders>
              <w:top w:val="nil"/>
              <w:bottom w:val="nil"/>
            </w:tcBorders>
            <w:vAlign w:val="bottom"/>
          </w:tcPr>
          <w:p w14:paraId="675AFC3B" w14:textId="77777777" w:rsidR="00963A30" w:rsidRDefault="00985EA0">
            <w:pPr>
              <w:widowControl/>
              <w:autoSpaceDE/>
              <w:autoSpaceDN/>
              <w:jc w:val="left"/>
              <w:rPr>
                <w:color w:val="000000"/>
                <w:sz w:val="24"/>
                <w:szCs w:val="24"/>
              </w:rPr>
            </w:pPr>
            <w:r>
              <w:rPr>
                <w:color w:val="000000"/>
                <w:sz w:val="24"/>
                <w:szCs w:val="24"/>
              </w:rPr>
              <w:t>66.32±4.01</w:t>
            </w:r>
            <w:r>
              <w:rPr>
                <w:color w:val="000000"/>
                <w:sz w:val="24"/>
                <w:szCs w:val="24"/>
                <w:vertAlign w:val="superscript"/>
              </w:rPr>
              <w:t>a</w:t>
            </w:r>
          </w:p>
        </w:tc>
      </w:tr>
      <w:tr w:rsidR="00963A30" w14:paraId="67ED785F" w14:textId="77777777">
        <w:trPr>
          <w:trHeight w:val="357"/>
        </w:trPr>
        <w:tc>
          <w:tcPr>
            <w:tcW w:w="1168" w:type="dxa"/>
            <w:tcBorders>
              <w:top w:val="nil"/>
              <w:left w:val="nil"/>
              <w:bottom w:val="single" w:sz="4" w:space="0" w:color="auto"/>
              <w:right w:val="nil"/>
            </w:tcBorders>
            <w:vAlign w:val="center"/>
            <w:hideMark/>
          </w:tcPr>
          <w:p w14:paraId="01F3CA02" w14:textId="77777777" w:rsidR="00963A30" w:rsidRDefault="00985EA0">
            <w:pPr>
              <w:widowControl/>
              <w:autoSpaceDE/>
              <w:autoSpaceDN/>
              <w:jc w:val="center"/>
              <w:rPr>
                <w:rFonts w:eastAsia="Calibri"/>
                <w:kern w:val="2"/>
                <w:sz w:val="24"/>
                <w:szCs w:val="24"/>
                <w:lang w:val="fi-FI" w:eastAsia="zh-CN"/>
                <w14:ligatures w14:val="standardContextual"/>
              </w:rPr>
            </w:pPr>
            <w:r>
              <w:rPr>
                <w:rFonts w:eastAsia="Calibri"/>
                <w:kern w:val="2"/>
                <w:sz w:val="24"/>
                <w:szCs w:val="24"/>
                <w:lang w:val="fi-FI" w:eastAsia="zh-CN"/>
                <w14:ligatures w14:val="standardContextual"/>
              </w:rPr>
              <w:t>R7</w:t>
            </w:r>
          </w:p>
        </w:tc>
        <w:tc>
          <w:tcPr>
            <w:tcW w:w="1539" w:type="dxa"/>
            <w:tcBorders>
              <w:top w:val="nil"/>
              <w:left w:val="nil"/>
              <w:bottom w:val="single" w:sz="4" w:space="0" w:color="auto"/>
              <w:right w:val="nil"/>
            </w:tcBorders>
            <w:vAlign w:val="bottom"/>
            <w:hideMark/>
          </w:tcPr>
          <w:p w14:paraId="00996CEC" w14:textId="77777777" w:rsidR="00963A30" w:rsidRDefault="00985EA0">
            <w:pPr>
              <w:widowControl/>
              <w:autoSpaceDE/>
              <w:autoSpaceDN/>
              <w:jc w:val="left"/>
              <w:rPr>
                <w:rFonts w:eastAsia="Calibri"/>
                <w:kern w:val="2"/>
                <w:sz w:val="24"/>
                <w:szCs w:val="24"/>
                <w:lang w:val="fi-FI" w:eastAsia="zh-CN"/>
                <w14:ligatures w14:val="standardContextual"/>
              </w:rPr>
            </w:pPr>
            <w:r>
              <w:rPr>
                <w:color w:val="000000"/>
                <w:sz w:val="24"/>
                <w:szCs w:val="24"/>
              </w:rPr>
              <w:t>71.50±2.59</w:t>
            </w:r>
            <w:r>
              <w:rPr>
                <w:color w:val="000000"/>
                <w:sz w:val="24"/>
                <w:szCs w:val="24"/>
                <w:vertAlign w:val="superscript"/>
              </w:rPr>
              <w:t>a</w:t>
            </w:r>
          </w:p>
        </w:tc>
        <w:tc>
          <w:tcPr>
            <w:tcW w:w="1607" w:type="dxa"/>
            <w:tcBorders>
              <w:top w:val="nil"/>
              <w:left w:val="nil"/>
              <w:bottom w:val="nil"/>
              <w:right w:val="nil"/>
            </w:tcBorders>
            <w:vAlign w:val="bottom"/>
          </w:tcPr>
          <w:p w14:paraId="18F44413" w14:textId="77777777" w:rsidR="00963A30" w:rsidRDefault="00985EA0">
            <w:pPr>
              <w:autoSpaceDE/>
              <w:autoSpaceDN/>
              <w:jc w:val="left"/>
              <w:rPr>
                <w:rFonts w:eastAsia="Calibri"/>
                <w:kern w:val="2"/>
                <w:sz w:val="24"/>
                <w:szCs w:val="24"/>
                <w:lang w:val="fi-FI" w:eastAsia="zh-CN"/>
                <w14:ligatures w14:val="standardContextual"/>
              </w:rPr>
            </w:pPr>
            <w:r>
              <w:rPr>
                <w:color w:val="000000"/>
                <w:sz w:val="24"/>
                <w:szCs w:val="24"/>
              </w:rPr>
              <w:t>74.02±0.23</w:t>
            </w:r>
            <w:r>
              <w:rPr>
                <w:color w:val="000000"/>
                <w:sz w:val="24"/>
                <w:szCs w:val="24"/>
                <w:vertAlign w:val="superscript"/>
              </w:rPr>
              <w:t>a</w:t>
            </w:r>
          </w:p>
        </w:tc>
        <w:tc>
          <w:tcPr>
            <w:tcW w:w="1631" w:type="dxa"/>
            <w:tcBorders>
              <w:top w:val="nil"/>
              <w:left w:val="nil"/>
              <w:bottom w:val="single" w:sz="4" w:space="0" w:color="auto"/>
              <w:right w:val="nil"/>
            </w:tcBorders>
            <w:vAlign w:val="bottom"/>
          </w:tcPr>
          <w:p w14:paraId="6DE44910" w14:textId="77777777" w:rsidR="00963A30" w:rsidRDefault="00985EA0">
            <w:pPr>
              <w:widowControl/>
              <w:autoSpaceDE/>
              <w:autoSpaceDN/>
              <w:jc w:val="left"/>
              <w:rPr>
                <w:color w:val="000000"/>
                <w:sz w:val="24"/>
                <w:szCs w:val="24"/>
              </w:rPr>
            </w:pPr>
            <w:r>
              <w:rPr>
                <w:color w:val="000000"/>
                <w:sz w:val="24"/>
                <w:szCs w:val="24"/>
              </w:rPr>
              <w:t>63,08±0.40</w:t>
            </w:r>
            <w:r>
              <w:rPr>
                <w:color w:val="000000"/>
                <w:sz w:val="24"/>
                <w:szCs w:val="24"/>
                <w:vertAlign w:val="superscript"/>
              </w:rPr>
              <w:t>a</w:t>
            </w:r>
          </w:p>
        </w:tc>
        <w:tc>
          <w:tcPr>
            <w:tcW w:w="1415" w:type="dxa"/>
            <w:tcBorders>
              <w:top w:val="nil"/>
              <w:bottom w:val="single" w:sz="4" w:space="0" w:color="auto"/>
            </w:tcBorders>
            <w:vAlign w:val="bottom"/>
          </w:tcPr>
          <w:p w14:paraId="69D3D26B" w14:textId="77777777" w:rsidR="00963A30" w:rsidRDefault="00985EA0">
            <w:pPr>
              <w:widowControl/>
              <w:autoSpaceDE/>
              <w:autoSpaceDN/>
              <w:jc w:val="left"/>
              <w:rPr>
                <w:color w:val="000000"/>
                <w:sz w:val="24"/>
                <w:szCs w:val="24"/>
              </w:rPr>
            </w:pPr>
            <w:r>
              <w:rPr>
                <w:color w:val="000000"/>
                <w:sz w:val="24"/>
                <w:szCs w:val="24"/>
              </w:rPr>
              <w:t>66.78±1.97</w:t>
            </w:r>
            <w:r>
              <w:rPr>
                <w:color w:val="000000"/>
                <w:sz w:val="24"/>
                <w:szCs w:val="24"/>
                <w:vertAlign w:val="superscript"/>
              </w:rPr>
              <w:t>a</w:t>
            </w:r>
          </w:p>
        </w:tc>
        <w:tc>
          <w:tcPr>
            <w:tcW w:w="1607" w:type="dxa"/>
            <w:tcBorders>
              <w:top w:val="nil"/>
              <w:bottom w:val="single" w:sz="4" w:space="0" w:color="auto"/>
            </w:tcBorders>
            <w:vAlign w:val="bottom"/>
          </w:tcPr>
          <w:p w14:paraId="7E3C3C97" w14:textId="77777777" w:rsidR="00963A30" w:rsidRDefault="00985EA0">
            <w:pPr>
              <w:widowControl/>
              <w:autoSpaceDE/>
              <w:autoSpaceDN/>
              <w:jc w:val="left"/>
              <w:rPr>
                <w:color w:val="000000"/>
                <w:sz w:val="24"/>
                <w:szCs w:val="24"/>
              </w:rPr>
            </w:pPr>
            <w:r>
              <w:rPr>
                <w:color w:val="000000"/>
                <w:sz w:val="24"/>
                <w:szCs w:val="24"/>
              </w:rPr>
              <w:t>68.76±1.12</w:t>
            </w:r>
            <w:r>
              <w:rPr>
                <w:color w:val="000000"/>
                <w:sz w:val="24"/>
                <w:szCs w:val="24"/>
                <w:vertAlign w:val="superscript"/>
              </w:rPr>
              <w:t>a</w:t>
            </w:r>
          </w:p>
        </w:tc>
      </w:tr>
      <w:tr w:rsidR="00963A30" w14:paraId="53469C0A" w14:textId="77777777">
        <w:trPr>
          <w:trHeight w:val="142"/>
        </w:trPr>
        <w:tc>
          <w:tcPr>
            <w:tcW w:w="1168" w:type="dxa"/>
            <w:tcBorders>
              <w:top w:val="single" w:sz="4" w:space="0" w:color="auto"/>
              <w:left w:val="nil"/>
              <w:bottom w:val="single" w:sz="4" w:space="0" w:color="auto"/>
              <w:right w:val="nil"/>
            </w:tcBorders>
            <w:vAlign w:val="center"/>
            <w:hideMark/>
          </w:tcPr>
          <w:p w14:paraId="1C2FB6BF" w14:textId="77777777" w:rsidR="00963A30" w:rsidRDefault="00985EA0">
            <w:pPr>
              <w:widowControl/>
              <w:autoSpaceDE/>
              <w:autoSpaceDN/>
              <w:jc w:val="center"/>
              <w:rPr>
                <w:rFonts w:eastAsia="Calibri"/>
                <w:kern w:val="2"/>
                <w:sz w:val="24"/>
                <w:szCs w:val="24"/>
                <w:lang w:val="fi-FI" w:eastAsia="zh-CN"/>
                <w14:ligatures w14:val="standardContextual"/>
              </w:rPr>
            </w:pPr>
            <w:r>
              <w:rPr>
                <w:rFonts w:eastAsia="Calibri"/>
                <w:kern w:val="2"/>
                <w:sz w:val="24"/>
                <w:szCs w:val="24"/>
                <w:lang w:val="fi-FI" w:eastAsia="zh-CN"/>
                <w14:ligatures w14:val="standardContextual"/>
              </w:rPr>
              <w:t>SE</w:t>
            </w:r>
          </w:p>
        </w:tc>
        <w:tc>
          <w:tcPr>
            <w:tcW w:w="1539" w:type="dxa"/>
            <w:tcBorders>
              <w:top w:val="single" w:sz="4" w:space="0" w:color="auto"/>
              <w:left w:val="nil"/>
              <w:bottom w:val="single" w:sz="4" w:space="0" w:color="auto"/>
              <w:right w:val="nil"/>
            </w:tcBorders>
            <w:vAlign w:val="center"/>
            <w:hideMark/>
          </w:tcPr>
          <w:p w14:paraId="6D8275E1" w14:textId="77777777" w:rsidR="00963A30" w:rsidRDefault="00985EA0">
            <w:pPr>
              <w:autoSpaceDE/>
              <w:autoSpaceDN/>
              <w:jc w:val="center"/>
              <w:rPr>
                <w:rFonts w:eastAsia="Calibri"/>
                <w:kern w:val="2"/>
                <w:sz w:val="24"/>
                <w:szCs w:val="24"/>
                <w:lang w:eastAsia="zh-CN"/>
                <w14:ligatures w14:val="standardContextual"/>
              </w:rPr>
            </w:pPr>
            <w:r>
              <w:rPr>
                <w:rFonts w:eastAsia="Calibri"/>
                <w:kern w:val="2"/>
                <w:sz w:val="24"/>
                <w:szCs w:val="24"/>
                <w:lang w:val="fi-FI" w:eastAsia="zh-CN"/>
                <w14:ligatures w14:val="standardContextual"/>
              </w:rPr>
              <w:t>0.8248</w:t>
            </w:r>
          </w:p>
        </w:tc>
        <w:tc>
          <w:tcPr>
            <w:tcW w:w="1607" w:type="dxa"/>
            <w:tcBorders>
              <w:top w:val="single" w:sz="4" w:space="0" w:color="auto"/>
              <w:bottom w:val="single" w:sz="4" w:space="0" w:color="auto"/>
            </w:tcBorders>
            <w:vAlign w:val="center"/>
          </w:tcPr>
          <w:p w14:paraId="40F1374B" w14:textId="77777777" w:rsidR="00963A30" w:rsidRDefault="00985EA0">
            <w:pPr>
              <w:autoSpaceDE/>
              <w:autoSpaceDN/>
              <w:jc w:val="center"/>
              <w:rPr>
                <w:rFonts w:eastAsia="Calibri"/>
                <w:kern w:val="2"/>
                <w:sz w:val="24"/>
                <w:szCs w:val="24"/>
                <w:lang w:val="fi-FI" w:eastAsia="zh-CN"/>
                <w14:ligatures w14:val="standardContextual"/>
              </w:rPr>
            </w:pPr>
            <w:r>
              <w:rPr>
                <w:rFonts w:eastAsia="Calibri"/>
                <w:kern w:val="2"/>
                <w:sz w:val="24"/>
                <w:szCs w:val="24"/>
                <w:lang w:val="fi-FI" w:eastAsia="zh-CN"/>
                <w14:ligatures w14:val="standardContextual"/>
              </w:rPr>
              <w:t>0.9866</w:t>
            </w:r>
          </w:p>
        </w:tc>
        <w:tc>
          <w:tcPr>
            <w:tcW w:w="1631" w:type="dxa"/>
            <w:tcBorders>
              <w:top w:val="single" w:sz="4" w:space="0" w:color="auto"/>
              <w:bottom w:val="single" w:sz="4" w:space="0" w:color="auto"/>
            </w:tcBorders>
          </w:tcPr>
          <w:p w14:paraId="00E30A26" w14:textId="77777777" w:rsidR="00963A30" w:rsidRDefault="00985EA0">
            <w:pPr>
              <w:widowControl/>
              <w:autoSpaceDE/>
              <w:autoSpaceDN/>
              <w:jc w:val="center"/>
              <w:rPr>
                <w:rFonts w:eastAsia="Calibri"/>
                <w:kern w:val="2"/>
                <w:sz w:val="24"/>
                <w:szCs w:val="24"/>
                <w:lang w:val="fi-FI" w:eastAsia="zh-CN"/>
                <w14:ligatures w14:val="standardContextual"/>
              </w:rPr>
            </w:pPr>
            <w:r>
              <w:rPr>
                <w:rFonts w:eastAsia="Calibri"/>
                <w:kern w:val="2"/>
                <w:sz w:val="24"/>
                <w:szCs w:val="24"/>
                <w:lang w:val="fi-FI" w:eastAsia="zh-CN"/>
                <w14:ligatures w14:val="standardContextual"/>
              </w:rPr>
              <w:t>0.5092</w:t>
            </w:r>
          </w:p>
        </w:tc>
        <w:tc>
          <w:tcPr>
            <w:tcW w:w="1415" w:type="dxa"/>
            <w:tcBorders>
              <w:top w:val="single" w:sz="4" w:space="0" w:color="auto"/>
              <w:bottom w:val="single" w:sz="4" w:space="0" w:color="auto"/>
            </w:tcBorders>
          </w:tcPr>
          <w:p w14:paraId="2108F560" w14:textId="77777777" w:rsidR="00963A30" w:rsidRDefault="00985EA0">
            <w:pPr>
              <w:widowControl/>
              <w:autoSpaceDE/>
              <w:autoSpaceDN/>
              <w:jc w:val="center"/>
              <w:rPr>
                <w:rFonts w:eastAsia="Calibri"/>
                <w:kern w:val="2"/>
                <w:sz w:val="24"/>
                <w:szCs w:val="24"/>
                <w:lang w:val="fi-FI" w:eastAsia="zh-CN"/>
                <w14:ligatures w14:val="standardContextual"/>
              </w:rPr>
            </w:pPr>
            <w:r>
              <w:rPr>
                <w:rFonts w:eastAsia="Calibri"/>
                <w:kern w:val="2"/>
                <w:sz w:val="24"/>
                <w:szCs w:val="24"/>
                <w:lang w:val="fi-FI" w:eastAsia="zh-CN"/>
                <w14:ligatures w14:val="standardContextual"/>
              </w:rPr>
              <w:t>0.5092</w:t>
            </w:r>
          </w:p>
        </w:tc>
        <w:tc>
          <w:tcPr>
            <w:tcW w:w="1607" w:type="dxa"/>
            <w:tcBorders>
              <w:top w:val="single" w:sz="4" w:space="0" w:color="auto"/>
            </w:tcBorders>
            <w:vAlign w:val="center"/>
          </w:tcPr>
          <w:p w14:paraId="6FBA25BC" w14:textId="77777777" w:rsidR="00963A30" w:rsidRDefault="00985EA0">
            <w:pPr>
              <w:widowControl/>
              <w:autoSpaceDE/>
              <w:autoSpaceDN/>
              <w:jc w:val="center"/>
              <w:rPr>
                <w:rFonts w:eastAsia="Calibri"/>
                <w:kern w:val="2"/>
                <w:sz w:val="24"/>
                <w:szCs w:val="24"/>
                <w:lang w:val="fi-FI" w:eastAsia="zh-CN"/>
                <w14:ligatures w14:val="standardContextual"/>
              </w:rPr>
            </w:pPr>
            <w:r>
              <w:rPr>
                <w:rFonts w:eastAsia="Calibri"/>
                <w:kern w:val="2"/>
                <w:sz w:val="24"/>
                <w:szCs w:val="24"/>
                <w:lang w:val="fi-FI" w:eastAsia="zh-CN"/>
                <w14:ligatures w14:val="standardContextual"/>
              </w:rPr>
              <w:t>0.6193</w:t>
            </w:r>
          </w:p>
        </w:tc>
      </w:tr>
    </w:tbl>
    <w:p w14:paraId="56DCFBBB" w14:textId="77777777" w:rsidR="00963A30" w:rsidRDefault="00985EA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spacing w:line="360" w:lineRule="auto"/>
        <w:jc w:val="both"/>
        <w:rPr>
          <w:sz w:val="24"/>
          <w:szCs w:val="24"/>
          <w:lang w:eastAsia="en-ID"/>
        </w:rPr>
      </w:pPr>
      <w:r>
        <w:rPr>
          <w:sz w:val="24"/>
          <w:szCs w:val="24"/>
          <w:lang w:eastAsia="en-ID"/>
        </w:rPr>
        <w:t>Note: Different superscripts in the same column indicate highly significant differences (P&lt;0.01).</w:t>
      </w:r>
    </w:p>
    <w:p w14:paraId="76B21570" w14:textId="77777777" w:rsidR="00963A30" w:rsidRDefault="00985EA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60" w:line="360" w:lineRule="auto"/>
        <w:jc w:val="both"/>
        <w:rPr>
          <w:sz w:val="24"/>
          <w:szCs w:val="24"/>
          <w:lang w:eastAsia="en-ID"/>
        </w:rPr>
      </w:pPr>
      <w:r>
        <w:rPr>
          <w:b/>
          <w:bCs/>
          <w:sz w:val="24"/>
          <w:szCs w:val="24"/>
          <w:lang w:eastAsia="en-ID"/>
        </w:rPr>
        <w:t xml:space="preserve">Table 5: </w:t>
      </w:r>
      <w:r>
        <w:rPr>
          <w:sz w:val="24"/>
          <w:szCs w:val="24"/>
          <w:lang w:eastAsia="en-ID"/>
        </w:rPr>
        <w:t>Average in vitro fiber fraction digestibility of ration based on   corn straw and cassava peel supplemented with urea and sulfur</w:t>
      </w:r>
      <w:r>
        <w:rPr>
          <w:rFonts w:eastAsia="Calibri"/>
          <w:sz w:val="24"/>
          <w:szCs w:val="24"/>
        </w:rPr>
        <w:t xml:space="preserve"> </w:t>
      </w:r>
    </w:p>
    <w:tbl>
      <w:tblPr>
        <w:tblStyle w:val="TableGrid6"/>
        <w:tblW w:w="8938" w:type="dxa"/>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344"/>
        <w:gridCol w:w="1798"/>
        <w:gridCol w:w="1800"/>
        <w:gridCol w:w="1859"/>
        <w:gridCol w:w="2137"/>
      </w:tblGrid>
      <w:tr w:rsidR="00963A30" w14:paraId="5DEEF762" w14:textId="77777777">
        <w:trPr>
          <w:trHeight w:val="266"/>
        </w:trPr>
        <w:tc>
          <w:tcPr>
            <w:tcW w:w="1344" w:type="dxa"/>
            <w:vMerge w:val="restart"/>
            <w:tcBorders>
              <w:top w:val="single" w:sz="4" w:space="0" w:color="auto"/>
              <w:left w:val="nil"/>
              <w:right w:val="nil"/>
            </w:tcBorders>
            <w:vAlign w:val="center"/>
          </w:tcPr>
          <w:p w14:paraId="28ED6818" w14:textId="77777777" w:rsidR="00963A30" w:rsidRDefault="00985EA0">
            <w:pPr>
              <w:jc w:val="center"/>
              <w:rPr>
                <w:rFonts w:eastAsia="Calibri"/>
                <w:kern w:val="2"/>
                <w:sz w:val="24"/>
                <w:szCs w:val="24"/>
                <w:lang w:val="fi-FI" w:eastAsia="zh-CN"/>
                <w14:ligatures w14:val="standardContextual"/>
              </w:rPr>
            </w:pPr>
            <w:r>
              <w:rPr>
                <w:rFonts w:eastAsia="Calibri"/>
                <w:kern w:val="2"/>
                <w:sz w:val="24"/>
                <w:szCs w:val="24"/>
                <w:lang w:val="fi-FI" w:eastAsia="zh-CN"/>
                <w14:ligatures w14:val="standardContextual"/>
              </w:rPr>
              <w:t>Treatment</w:t>
            </w:r>
          </w:p>
        </w:tc>
        <w:tc>
          <w:tcPr>
            <w:tcW w:w="7594" w:type="dxa"/>
            <w:gridSpan w:val="4"/>
            <w:tcBorders>
              <w:top w:val="single" w:sz="4" w:space="0" w:color="auto"/>
              <w:left w:val="nil"/>
              <w:bottom w:val="single" w:sz="4" w:space="0" w:color="auto"/>
              <w:right w:val="nil"/>
            </w:tcBorders>
            <w:vAlign w:val="center"/>
          </w:tcPr>
          <w:p w14:paraId="36BF24AE" w14:textId="77777777" w:rsidR="00963A30" w:rsidRDefault="00985EA0">
            <w:pPr>
              <w:autoSpaceDE/>
              <w:autoSpaceDN/>
              <w:jc w:val="center"/>
              <w:rPr>
                <w:rFonts w:eastAsia="Calibri"/>
                <w:kern w:val="2"/>
                <w:sz w:val="24"/>
                <w:szCs w:val="24"/>
                <w:lang w:val="fi-FI" w:eastAsia="zh-CN"/>
                <w14:ligatures w14:val="standardContextual"/>
              </w:rPr>
            </w:pPr>
            <w:r>
              <w:rPr>
                <w:rFonts w:eastAsia="Calibri"/>
                <w:kern w:val="2"/>
                <w:sz w:val="24"/>
                <w:szCs w:val="24"/>
                <w:lang w:val="fi-FI" w:eastAsia="zh-CN"/>
                <w14:ligatures w14:val="standardContextual"/>
              </w:rPr>
              <w:t>Fiber Fraction Digestibility (%)</w:t>
            </w:r>
          </w:p>
        </w:tc>
      </w:tr>
      <w:tr w:rsidR="00963A30" w14:paraId="6EC356E3" w14:textId="77777777">
        <w:trPr>
          <w:trHeight w:val="266"/>
        </w:trPr>
        <w:tc>
          <w:tcPr>
            <w:tcW w:w="1344" w:type="dxa"/>
            <w:vMerge/>
            <w:tcBorders>
              <w:left w:val="nil"/>
              <w:bottom w:val="single" w:sz="4" w:space="0" w:color="auto"/>
              <w:right w:val="nil"/>
            </w:tcBorders>
            <w:vAlign w:val="center"/>
            <w:hideMark/>
          </w:tcPr>
          <w:p w14:paraId="33955214" w14:textId="77777777" w:rsidR="00963A30" w:rsidRDefault="00963A30">
            <w:pPr>
              <w:widowControl/>
              <w:autoSpaceDE/>
              <w:autoSpaceDN/>
              <w:jc w:val="center"/>
              <w:rPr>
                <w:rFonts w:eastAsia="Calibri"/>
                <w:kern w:val="2"/>
                <w:sz w:val="24"/>
                <w:szCs w:val="24"/>
                <w:lang w:val="fi-FI" w:eastAsia="zh-CN"/>
                <w14:ligatures w14:val="standardContextual"/>
              </w:rPr>
            </w:pPr>
          </w:p>
        </w:tc>
        <w:tc>
          <w:tcPr>
            <w:tcW w:w="1798" w:type="dxa"/>
            <w:tcBorders>
              <w:top w:val="single" w:sz="4" w:space="0" w:color="auto"/>
              <w:left w:val="nil"/>
              <w:bottom w:val="single" w:sz="4" w:space="0" w:color="auto"/>
              <w:right w:val="nil"/>
            </w:tcBorders>
            <w:vAlign w:val="center"/>
            <w:hideMark/>
          </w:tcPr>
          <w:p w14:paraId="027A9D30" w14:textId="77777777" w:rsidR="00963A30" w:rsidRDefault="00985EA0">
            <w:pPr>
              <w:widowControl/>
              <w:autoSpaceDE/>
              <w:autoSpaceDN/>
              <w:jc w:val="center"/>
              <w:rPr>
                <w:rFonts w:eastAsia="Calibri"/>
                <w:kern w:val="2"/>
                <w:sz w:val="24"/>
                <w:szCs w:val="24"/>
                <w:lang w:val="fi-FI" w:eastAsia="zh-CN"/>
                <w14:ligatures w14:val="standardContextual"/>
              </w:rPr>
            </w:pPr>
            <w:r>
              <w:rPr>
                <w:rFonts w:eastAsia="Calibri"/>
                <w:kern w:val="2"/>
                <w:sz w:val="24"/>
                <w:szCs w:val="24"/>
                <w:lang w:val="fi-FI" w:eastAsia="zh-CN"/>
                <w14:ligatures w14:val="standardContextual"/>
              </w:rPr>
              <w:t>NDF (%)</w:t>
            </w:r>
          </w:p>
        </w:tc>
        <w:tc>
          <w:tcPr>
            <w:tcW w:w="1800" w:type="dxa"/>
            <w:tcBorders>
              <w:top w:val="single" w:sz="4" w:space="0" w:color="auto"/>
              <w:left w:val="nil"/>
              <w:bottom w:val="single" w:sz="4" w:space="0" w:color="auto"/>
              <w:right w:val="nil"/>
            </w:tcBorders>
            <w:vAlign w:val="center"/>
          </w:tcPr>
          <w:p w14:paraId="34ECFEB3" w14:textId="77777777" w:rsidR="00963A30" w:rsidRDefault="00985EA0">
            <w:pPr>
              <w:autoSpaceDE/>
              <w:autoSpaceDN/>
              <w:jc w:val="center"/>
              <w:rPr>
                <w:rFonts w:eastAsia="Calibri"/>
                <w:kern w:val="2"/>
                <w:sz w:val="24"/>
                <w:szCs w:val="24"/>
                <w:lang w:val="fi-FI" w:eastAsia="zh-CN"/>
                <w14:ligatures w14:val="standardContextual"/>
              </w:rPr>
            </w:pPr>
            <w:r>
              <w:rPr>
                <w:rFonts w:eastAsia="Calibri"/>
                <w:kern w:val="2"/>
                <w:sz w:val="24"/>
                <w:szCs w:val="24"/>
                <w:lang w:val="fi-FI" w:eastAsia="zh-CN"/>
                <w14:ligatures w14:val="standardContextual"/>
              </w:rPr>
              <w:t>ADF (%)</w:t>
            </w:r>
          </w:p>
        </w:tc>
        <w:tc>
          <w:tcPr>
            <w:tcW w:w="1859" w:type="dxa"/>
            <w:tcBorders>
              <w:top w:val="single" w:sz="4" w:space="0" w:color="auto"/>
              <w:left w:val="nil"/>
              <w:bottom w:val="single" w:sz="4" w:space="0" w:color="auto"/>
              <w:right w:val="nil"/>
            </w:tcBorders>
            <w:vAlign w:val="center"/>
          </w:tcPr>
          <w:p w14:paraId="02F3DEB8" w14:textId="77777777" w:rsidR="00963A30" w:rsidRDefault="00985EA0">
            <w:pPr>
              <w:widowControl/>
              <w:autoSpaceDE/>
              <w:autoSpaceDN/>
              <w:jc w:val="center"/>
              <w:rPr>
                <w:rFonts w:eastAsia="Calibri"/>
                <w:kern w:val="2"/>
                <w:sz w:val="24"/>
                <w:szCs w:val="24"/>
                <w:lang w:val="fi-FI" w:eastAsia="zh-CN"/>
                <w14:ligatures w14:val="standardContextual"/>
              </w:rPr>
            </w:pPr>
            <w:r>
              <w:rPr>
                <w:rFonts w:eastAsia="Calibri"/>
                <w:kern w:val="2"/>
                <w:sz w:val="24"/>
                <w:szCs w:val="24"/>
                <w:lang w:val="fi-FI" w:eastAsia="zh-CN"/>
                <w14:ligatures w14:val="standardContextual"/>
              </w:rPr>
              <w:t>Selulosa (%)</w:t>
            </w:r>
          </w:p>
        </w:tc>
        <w:tc>
          <w:tcPr>
            <w:tcW w:w="2137" w:type="dxa"/>
            <w:tcBorders>
              <w:top w:val="single" w:sz="4" w:space="0" w:color="auto"/>
              <w:left w:val="nil"/>
              <w:bottom w:val="single" w:sz="4" w:space="0" w:color="auto"/>
              <w:right w:val="nil"/>
            </w:tcBorders>
            <w:vAlign w:val="center"/>
          </w:tcPr>
          <w:p w14:paraId="60B3DA1C" w14:textId="77777777" w:rsidR="00963A30" w:rsidRDefault="00985EA0">
            <w:pPr>
              <w:autoSpaceDE/>
              <w:autoSpaceDN/>
              <w:jc w:val="center"/>
              <w:rPr>
                <w:rFonts w:eastAsia="Calibri"/>
                <w:kern w:val="2"/>
                <w:sz w:val="24"/>
                <w:szCs w:val="24"/>
                <w:lang w:val="fi-FI" w:eastAsia="zh-CN"/>
                <w14:ligatures w14:val="standardContextual"/>
              </w:rPr>
            </w:pPr>
            <w:r>
              <w:rPr>
                <w:rFonts w:eastAsia="Calibri"/>
                <w:kern w:val="2"/>
                <w:sz w:val="24"/>
                <w:szCs w:val="24"/>
                <w:lang w:val="fi-FI" w:eastAsia="zh-CN"/>
                <w14:ligatures w14:val="standardContextual"/>
              </w:rPr>
              <w:t>Hemiselulosa (%)</w:t>
            </w:r>
          </w:p>
        </w:tc>
      </w:tr>
      <w:tr w:rsidR="00963A30" w14:paraId="3301CD77" w14:textId="77777777">
        <w:trPr>
          <w:trHeight w:val="266"/>
        </w:trPr>
        <w:tc>
          <w:tcPr>
            <w:tcW w:w="1344" w:type="dxa"/>
            <w:tcBorders>
              <w:top w:val="single" w:sz="4" w:space="0" w:color="auto"/>
              <w:left w:val="nil"/>
              <w:bottom w:val="nil"/>
              <w:right w:val="nil"/>
            </w:tcBorders>
            <w:vAlign w:val="center"/>
            <w:hideMark/>
          </w:tcPr>
          <w:p w14:paraId="56E936D4" w14:textId="77777777" w:rsidR="00963A30" w:rsidRDefault="00985EA0">
            <w:pPr>
              <w:widowControl/>
              <w:autoSpaceDE/>
              <w:autoSpaceDN/>
              <w:jc w:val="center"/>
              <w:rPr>
                <w:rFonts w:eastAsia="Calibri"/>
                <w:kern w:val="2"/>
                <w:sz w:val="24"/>
                <w:szCs w:val="24"/>
                <w:lang w:val="fi-FI" w:eastAsia="zh-CN"/>
                <w14:ligatures w14:val="standardContextual"/>
              </w:rPr>
            </w:pPr>
            <w:r>
              <w:rPr>
                <w:rFonts w:eastAsia="Calibri"/>
                <w:kern w:val="2"/>
                <w:sz w:val="24"/>
                <w:szCs w:val="24"/>
                <w:lang w:val="fi-FI" w:eastAsia="zh-CN"/>
                <w14:ligatures w14:val="standardContextual"/>
              </w:rPr>
              <w:t>R1</w:t>
            </w:r>
          </w:p>
        </w:tc>
        <w:tc>
          <w:tcPr>
            <w:tcW w:w="1798" w:type="dxa"/>
            <w:tcBorders>
              <w:top w:val="single" w:sz="4" w:space="0" w:color="auto"/>
              <w:left w:val="nil"/>
              <w:bottom w:val="nil"/>
              <w:right w:val="nil"/>
            </w:tcBorders>
            <w:vAlign w:val="center"/>
            <w:hideMark/>
          </w:tcPr>
          <w:p w14:paraId="4BE9404D" w14:textId="77777777" w:rsidR="00963A30" w:rsidRDefault="00985EA0">
            <w:pPr>
              <w:widowControl/>
              <w:autoSpaceDE/>
              <w:autoSpaceDN/>
              <w:jc w:val="center"/>
              <w:rPr>
                <w:rFonts w:eastAsia="Calibri"/>
                <w:kern w:val="2"/>
                <w:sz w:val="24"/>
                <w:szCs w:val="24"/>
                <w:lang w:val="fi-FI" w:eastAsia="zh-CN"/>
                <w14:ligatures w14:val="standardContextual"/>
              </w:rPr>
            </w:pPr>
            <w:r>
              <w:rPr>
                <w:rFonts w:eastAsia="Calibri"/>
                <w:color w:val="000000"/>
                <w:sz w:val="24"/>
                <w:szCs w:val="24"/>
              </w:rPr>
              <w:t>50.27±1.37</w:t>
            </w:r>
            <w:r>
              <w:rPr>
                <w:rFonts w:eastAsia="Calibri"/>
                <w:color w:val="000000"/>
                <w:sz w:val="24"/>
                <w:szCs w:val="24"/>
                <w:vertAlign w:val="superscript"/>
              </w:rPr>
              <w:t>e</w:t>
            </w:r>
          </w:p>
        </w:tc>
        <w:tc>
          <w:tcPr>
            <w:tcW w:w="1800" w:type="dxa"/>
            <w:vAlign w:val="center"/>
          </w:tcPr>
          <w:p w14:paraId="4E54A948" w14:textId="77777777" w:rsidR="00963A30" w:rsidRDefault="00985EA0">
            <w:pPr>
              <w:autoSpaceDE/>
              <w:autoSpaceDN/>
              <w:jc w:val="center"/>
              <w:rPr>
                <w:rFonts w:eastAsia="Calibri"/>
                <w:kern w:val="2"/>
                <w:sz w:val="24"/>
                <w:szCs w:val="24"/>
                <w:lang w:val="fi-FI" w:eastAsia="zh-CN"/>
                <w14:ligatures w14:val="standardContextual"/>
              </w:rPr>
            </w:pPr>
            <w:r>
              <w:rPr>
                <w:rFonts w:eastAsia="Calibri"/>
                <w:color w:val="000000"/>
                <w:sz w:val="24"/>
                <w:szCs w:val="24"/>
              </w:rPr>
              <w:t>42.45±0.56</w:t>
            </w:r>
            <w:r>
              <w:rPr>
                <w:rFonts w:eastAsia="Calibri"/>
                <w:color w:val="000000"/>
                <w:sz w:val="24"/>
                <w:szCs w:val="24"/>
                <w:vertAlign w:val="superscript"/>
              </w:rPr>
              <w:t>f</w:t>
            </w:r>
          </w:p>
        </w:tc>
        <w:tc>
          <w:tcPr>
            <w:tcW w:w="1859" w:type="dxa"/>
            <w:tcBorders>
              <w:top w:val="single" w:sz="4" w:space="0" w:color="auto"/>
              <w:left w:val="nil"/>
              <w:bottom w:val="nil"/>
              <w:right w:val="nil"/>
            </w:tcBorders>
            <w:vAlign w:val="center"/>
          </w:tcPr>
          <w:p w14:paraId="20EF0ACC" w14:textId="77777777" w:rsidR="00963A30" w:rsidRDefault="00985EA0">
            <w:pPr>
              <w:widowControl/>
              <w:autoSpaceDE/>
              <w:autoSpaceDN/>
              <w:jc w:val="center"/>
              <w:rPr>
                <w:rFonts w:eastAsia="Calibri"/>
                <w:kern w:val="2"/>
                <w:sz w:val="24"/>
                <w:szCs w:val="24"/>
                <w:lang w:val="fi-FI" w:eastAsia="zh-CN"/>
                <w14:ligatures w14:val="standardContextual"/>
              </w:rPr>
            </w:pPr>
            <w:r>
              <w:rPr>
                <w:rFonts w:eastAsia="Calibri"/>
                <w:color w:val="000000"/>
                <w:sz w:val="24"/>
                <w:szCs w:val="24"/>
              </w:rPr>
              <w:t>52.72±0.50</w:t>
            </w:r>
            <w:r>
              <w:rPr>
                <w:rFonts w:eastAsia="Calibri"/>
                <w:color w:val="000000"/>
                <w:sz w:val="24"/>
                <w:szCs w:val="24"/>
                <w:vertAlign w:val="superscript"/>
              </w:rPr>
              <w:t>g</w:t>
            </w:r>
          </w:p>
        </w:tc>
        <w:tc>
          <w:tcPr>
            <w:tcW w:w="2137" w:type="dxa"/>
            <w:tcBorders>
              <w:top w:val="single" w:sz="4" w:space="0" w:color="auto"/>
              <w:left w:val="nil"/>
              <w:bottom w:val="nil"/>
              <w:right w:val="nil"/>
            </w:tcBorders>
            <w:vAlign w:val="center"/>
          </w:tcPr>
          <w:p w14:paraId="0D7DED35" w14:textId="77777777" w:rsidR="00963A30" w:rsidRDefault="00985EA0">
            <w:pPr>
              <w:autoSpaceDE/>
              <w:autoSpaceDN/>
              <w:jc w:val="center"/>
              <w:rPr>
                <w:rFonts w:eastAsia="Calibri"/>
                <w:color w:val="000000"/>
                <w:sz w:val="24"/>
                <w:szCs w:val="24"/>
              </w:rPr>
            </w:pPr>
            <w:r>
              <w:rPr>
                <w:rFonts w:eastAsia="Calibri"/>
                <w:color w:val="000000"/>
                <w:sz w:val="24"/>
                <w:szCs w:val="24"/>
              </w:rPr>
              <w:t>64.87±4.21</w:t>
            </w:r>
            <w:r>
              <w:rPr>
                <w:rFonts w:eastAsia="Calibri"/>
                <w:color w:val="000000"/>
                <w:sz w:val="24"/>
                <w:szCs w:val="24"/>
                <w:vertAlign w:val="superscript"/>
              </w:rPr>
              <w:t>c</w:t>
            </w:r>
          </w:p>
        </w:tc>
      </w:tr>
      <w:tr w:rsidR="00963A30" w14:paraId="1E531FF2" w14:textId="77777777">
        <w:trPr>
          <w:trHeight w:val="266"/>
        </w:trPr>
        <w:tc>
          <w:tcPr>
            <w:tcW w:w="1344" w:type="dxa"/>
            <w:tcBorders>
              <w:top w:val="nil"/>
              <w:left w:val="nil"/>
              <w:bottom w:val="nil"/>
              <w:right w:val="nil"/>
            </w:tcBorders>
            <w:vAlign w:val="center"/>
            <w:hideMark/>
          </w:tcPr>
          <w:p w14:paraId="67342572" w14:textId="77777777" w:rsidR="00963A30" w:rsidRDefault="00985EA0">
            <w:pPr>
              <w:widowControl/>
              <w:autoSpaceDE/>
              <w:autoSpaceDN/>
              <w:jc w:val="center"/>
              <w:rPr>
                <w:rFonts w:eastAsia="Calibri"/>
                <w:kern w:val="2"/>
                <w:sz w:val="24"/>
                <w:szCs w:val="24"/>
                <w:lang w:val="fi-FI" w:eastAsia="zh-CN"/>
                <w14:ligatures w14:val="standardContextual"/>
              </w:rPr>
            </w:pPr>
            <w:r>
              <w:rPr>
                <w:rFonts w:eastAsia="Calibri"/>
                <w:kern w:val="2"/>
                <w:sz w:val="24"/>
                <w:szCs w:val="24"/>
                <w:lang w:val="fi-FI" w:eastAsia="zh-CN"/>
                <w14:ligatures w14:val="standardContextual"/>
              </w:rPr>
              <w:t>R2</w:t>
            </w:r>
          </w:p>
        </w:tc>
        <w:tc>
          <w:tcPr>
            <w:tcW w:w="1798" w:type="dxa"/>
            <w:tcBorders>
              <w:top w:val="nil"/>
              <w:left w:val="nil"/>
              <w:bottom w:val="nil"/>
              <w:right w:val="nil"/>
            </w:tcBorders>
            <w:vAlign w:val="center"/>
            <w:hideMark/>
          </w:tcPr>
          <w:p w14:paraId="568D70BC" w14:textId="77777777" w:rsidR="00963A30" w:rsidRDefault="00985EA0">
            <w:pPr>
              <w:widowControl/>
              <w:autoSpaceDE/>
              <w:autoSpaceDN/>
              <w:jc w:val="center"/>
              <w:rPr>
                <w:rFonts w:eastAsia="Calibri"/>
                <w:kern w:val="2"/>
                <w:sz w:val="24"/>
                <w:szCs w:val="24"/>
                <w:lang w:val="fi-FI" w:eastAsia="zh-CN"/>
                <w14:ligatures w14:val="standardContextual"/>
              </w:rPr>
            </w:pPr>
            <w:r>
              <w:rPr>
                <w:rFonts w:eastAsia="Calibri"/>
                <w:color w:val="000000"/>
                <w:sz w:val="24"/>
                <w:szCs w:val="24"/>
              </w:rPr>
              <w:t>58.05±0.43</w:t>
            </w:r>
            <w:r>
              <w:rPr>
                <w:rFonts w:eastAsia="Calibri"/>
                <w:color w:val="000000"/>
                <w:sz w:val="24"/>
                <w:szCs w:val="24"/>
                <w:vertAlign w:val="superscript"/>
              </w:rPr>
              <w:t>a</w:t>
            </w:r>
          </w:p>
        </w:tc>
        <w:tc>
          <w:tcPr>
            <w:tcW w:w="1800" w:type="dxa"/>
            <w:vAlign w:val="center"/>
          </w:tcPr>
          <w:p w14:paraId="0B2AD2D6" w14:textId="77777777" w:rsidR="00963A30" w:rsidRDefault="00985EA0">
            <w:pPr>
              <w:autoSpaceDE/>
              <w:autoSpaceDN/>
              <w:jc w:val="center"/>
              <w:rPr>
                <w:rFonts w:eastAsia="Calibri"/>
                <w:kern w:val="2"/>
                <w:sz w:val="24"/>
                <w:szCs w:val="24"/>
                <w:lang w:val="fi-FI" w:eastAsia="zh-CN"/>
                <w14:ligatures w14:val="standardContextual"/>
              </w:rPr>
            </w:pPr>
            <w:r>
              <w:rPr>
                <w:rFonts w:eastAsia="Calibri"/>
                <w:color w:val="000000"/>
                <w:sz w:val="24"/>
                <w:szCs w:val="24"/>
              </w:rPr>
              <w:t>50.94±0.18</w:t>
            </w:r>
            <w:r>
              <w:rPr>
                <w:rFonts w:eastAsia="Calibri"/>
                <w:color w:val="000000"/>
                <w:sz w:val="24"/>
                <w:szCs w:val="24"/>
                <w:vertAlign w:val="superscript"/>
              </w:rPr>
              <w:t>a</w:t>
            </w:r>
          </w:p>
        </w:tc>
        <w:tc>
          <w:tcPr>
            <w:tcW w:w="1859" w:type="dxa"/>
            <w:tcBorders>
              <w:top w:val="nil"/>
              <w:left w:val="nil"/>
              <w:bottom w:val="nil"/>
              <w:right w:val="nil"/>
            </w:tcBorders>
            <w:vAlign w:val="center"/>
          </w:tcPr>
          <w:p w14:paraId="04E71CDC" w14:textId="77777777" w:rsidR="00963A30" w:rsidRDefault="00985EA0">
            <w:pPr>
              <w:widowControl/>
              <w:autoSpaceDE/>
              <w:autoSpaceDN/>
              <w:jc w:val="center"/>
              <w:rPr>
                <w:rFonts w:eastAsia="Calibri"/>
                <w:kern w:val="2"/>
                <w:sz w:val="24"/>
                <w:szCs w:val="24"/>
                <w:lang w:val="fi-FI" w:eastAsia="zh-CN"/>
                <w14:ligatures w14:val="standardContextual"/>
              </w:rPr>
            </w:pPr>
            <w:r>
              <w:rPr>
                <w:rFonts w:eastAsia="Calibri"/>
                <w:color w:val="000000"/>
                <w:sz w:val="24"/>
                <w:szCs w:val="24"/>
              </w:rPr>
              <w:t>60.10±0.49</w:t>
            </w:r>
            <w:r>
              <w:rPr>
                <w:rFonts w:eastAsia="Calibri"/>
                <w:color w:val="000000"/>
                <w:sz w:val="24"/>
                <w:szCs w:val="24"/>
                <w:vertAlign w:val="superscript"/>
              </w:rPr>
              <w:t>a</w:t>
            </w:r>
          </w:p>
        </w:tc>
        <w:tc>
          <w:tcPr>
            <w:tcW w:w="2137" w:type="dxa"/>
            <w:tcBorders>
              <w:top w:val="nil"/>
              <w:left w:val="nil"/>
              <w:bottom w:val="nil"/>
              <w:right w:val="nil"/>
            </w:tcBorders>
            <w:vAlign w:val="center"/>
          </w:tcPr>
          <w:p w14:paraId="314AD17B" w14:textId="77777777" w:rsidR="00963A30" w:rsidRDefault="00985EA0">
            <w:pPr>
              <w:autoSpaceDE/>
              <w:autoSpaceDN/>
              <w:jc w:val="center"/>
              <w:rPr>
                <w:rFonts w:eastAsia="Calibri"/>
                <w:color w:val="000000"/>
                <w:sz w:val="24"/>
                <w:szCs w:val="24"/>
              </w:rPr>
            </w:pPr>
            <w:r>
              <w:rPr>
                <w:rFonts w:eastAsia="Calibri"/>
                <w:color w:val="000000"/>
                <w:sz w:val="24"/>
                <w:szCs w:val="24"/>
              </w:rPr>
              <w:t>71.31±1.45</w:t>
            </w:r>
            <w:r>
              <w:rPr>
                <w:rFonts w:eastAsia="Calibri"/>
                <w:color w:val="000000"/>
                <w:sz w:val="24"/>
                <w:szCs w:val="24"/>
                <w:vertAlign w:val="superscript"/>
              </w:rPr>
              <w:t>a</w:t>
            </w:r>
          </w:p>
        </w:tc>
      </w:tr>
      <w:tr w:rsidR="00963A30" w14:paraId="60024620" w14:textId="77777777">
        <w:trPr>
          <w:trHeight w:val="266"/>
        </w:trPr>
        <w:tc>
          <w:tcPr>
            <w:tcW w:w="1344" w:type="dxa"/>
            <w:tcBorders>
              <w:top w:val="nil"/>
              <w:left w:val="nil"/>
              <w:bottom w:val="nil"/>
              <w:right w:val="nil"/>
            </w:tcBorders>
            <w:vAlign w:val="center"/>
            <w:hideMark/>
          </w:tcPr>
          <w:p w14:paraId="75FD4C98" w14:textId="77777777" w:rsidR="00963A30" w:rsidRDefault="00985EA0">
            <w:pPr>
              <w:widowControl/>
              <w:autoSpaceDE/>
              <w:autoSpaceDN/>
              <w:jc w:val="center"/>
              <w:rPr>
                <w:rFonts w:eastAsia="Calibri"/>
                <w:kern w:val="2"/>
                <w:sz w:val="24"/>
                <w:szCs w:val="24"/>
                <w:lang w:val="fi-FI" w:eastAsia="zh-CN"/>
                <w14:ligatures w14:val="standardContextual"/>
              </w:rPr>
            </w:pPr>
            <w:r>
              <w:rPr>
                <w:rFonts w:eastAsia="Calibri"/>
                <w:kern w:val="2"/>
                <w:sz w:val="24"/>
                <w:szCs w:val="24"/>
                <w:lang w:val="fi-FI" w:eastAsia="zh-CN"/>
                <w14:ligatures w14:val="standardContextual"/>
              </w:rPr>
              <w:t>R3</w:t>
            </w:r>
          </w:p>
        </w:tc>
        <w:tc>
          <w:tcPr>
            <w:tcW w:w="1798" w:type="dxa"/>
            <w:tcBorders>
              <w:top w:val="nil"/>
              <w:left w:val="nil"/>
              <w:bottom w:val="nil"/>
              <w:right w:val="nil"/>
            </w:tcBorders>
            <w:vAlign w:val="center"/>
            <w:hideMark/>
          </w:tcPr>
          <w:p w14:paraId="11706094" w14:textId="77777777" w:rsidR="00963A30" w:rsidRDefault="00985EA0">
            <w:pPr>
              <w:widowControl/>
              <w:autoSpaceDE/>
              <w:autoSpaceDN/>
              <w:jc w:val="center"/>
              <w:rPr>
                <w:rFonts w:eastAsia="Calibri"/>
                <w:kern w:val="2"/>
                <w:sz w:val="24"/>
                <w:szCs w:val="24"/>
                <w:lang w:val="fi-FI" w:eastAsia="zh-CN"/>
                <w14:ligatures w14:val="standardContextual"/>
              </w:rPr>
            </w:pPr>
            <w:r>
              <w:rPr>
                <w:rFonts w:eastAsia="Calibri"/>
                <w:color w:val="000000"/>
                <w:sz w:val="24"/>
                <w:szCs w:val="24"/>
              </w:rPr>
              <w:t>55.43±0.40</w:t>
            </w:r>
            <w:r>
              <w:rPr>
                <w:rFonts w:eastAsia="Calibri"/>
                <w:color w:val="000000"/>
                <w:sz w:val="24"/>
                <w:szCs w:val="24"/>
                <w:vertAlign w:val="superscript"/>
              </w:rPr>
              <w:t>b</w:t>
            </w:r>
          </w:p>
        </w:tc>
        <w:tc>
          <w:tcPr>
            <w:tcW w:w="1800" w:type="dxa"/>
            <w:vAlign w:val="center"/>
          </w:tcPr>
          <w:p w14:paraId="1F35BCE6" w14:textId="77777777" w:rsidR="00963A30" w:rsidRDefault="00985EA0">
            <w:pPr>
              <w:autoSpaceDE/>
              <w:autoSpaceDN/>
              <w:jc w:val="center"/>
              <w:rPr>
                <w:rFonts w:eastAsia="Calibri"/>
                <w:kern w:val="2"/>
                <w:sz w:val="24"/>
                <w:szCs w:val="24"/>
                <w:lang w:val="fi-FI" w:eastAsia="zh-CN"/>
                <w14:ligatures w14:val="standardContextual"/>
              </w:rPr>
            </w:pPr>
            <w:r>
              <w:rPr>
                <w:rFonts w:eastAsia="Calibri"/>
                <w:color w:val="000000"/>
                <w:sz w:val="24"/>
                <w:szCs w:val="24"/>
              </w:rPr>
              <w:t>47.84±1.07</w:t>
            </w:r>
            <w:r>
              <w:rPr>
                <w:rFonts w:eastAsia="Calibri"/>
                <w:color w:val="000000"/>
                <w:sz w:val="24"/>
                <w:szCs w:val="24"/>
                <w:vertAlign w:val="superscript"/>
              </w:rPr>
              <w:t>c</w:t>
            </w:r>
          </w:p>
        </w:tc>
        <w:tc>
          <w:tcPr>
            <w:tcW w:w="1859" w:type="dxa"/>
            <w:tcBorders>
              <w:top w:val="nil"/>
              <w:left w:val="nil"/>
              <w:bottom w:val="nil"/>
              <w:right w:val="nil"/>
            </w:tcBorders>
            <w:vAlign w:val="center"/>
          </w:tcPr>
          <w:p w14:paraId="6B9C80B2" w14:textId="77777777" w:rsidR="00963A30" w:rsidRDefault="00985EA0">
            <w:pPr>
              <w:widowControl/>
              <w:autoSpaceDE/>
              <w:autoSpaceDN/>
              <w:jc w:val="center"/>
              <w:rPr>
                <w:rFonts w:eastAsia="Calibri"/>
                <w:kern w:val="2"/>
                <w:sz w:val="24"/>
                <w:szCs w:val="24"/>
                <w:lang w:val="fi-FI" w:eastAsia="zh-CN"/>
                <w14:ligatures w14:val="standardContextual"/>
              </w:rPr>
            </w:pPr>
            <w:r>
              <w:rPr>
                <w:rFonts w:eastAsia="Calibri"/>
                <w:color w:val="000000"/>
                <w:sz w:val="24"/>
                <w:szCs w:val="24"/>
              </w:rPr>
              <w:t>57.39±0.25</w:t>
            </w:r>
            <w:r>
              <w:rPr>
                <w:rFonts w:eastAsia="Calibri"/>
                <w:color w:val="000000"/>
                <w:sz w:val="24"/>
                <w:szCs w:val="24"/>
                <w:vertAlign w:val="superscript"/>
              </w:rPr>
              <w:t>c</w:t>
            </w:r>
          </w:p>
        </w:tc>
        <w:tc>
          <w:tcPr>
            <w:tcW w:w="2137" w:type="dxa"/>
            <w:tcBorders>
              <w:top w:val="nil"/>
              <w:left w:val="nil"/>
              <w:bottom w:val="nil"/>
              <w:right w:val="nil"/>
            </w:tcBorders>
            <w:vAlign w:val="center"/>
          </w:tcPr>
          <w:p w14:paraId="6E020EE4" w14:textId="77777777" w:rsidR="00963A30" w:rsidRDefault="00985EA0">
            <w:pPr>
              <w:autoSpaceDE/>
              <w:autoSpaceDN/>
              <w:jc w:val="center"/>
              <w:rPr>
                <w:rFonts w:eastAsia="Calibri"/>
                <w:color w:val="000000"/>
                <w:sz w:val="24"/>
                <w:szCs w:val="24"/>
              </w:rPr>
            </w:pPr>
            <w:r>
              <w:rPr>
                <w:rFonts w:eastAsia="Calibri"/>
                <w:color w:val="000000"/>
                <w:sz w:val="24"/>
                <w:szCs w:val="24"/>
              </w:rPr>
              <w:t>69.58±1.89</w:t>
            </w:r>
            <w:r>
              <w:rPr>
                <w:rFonts w:eastAsia="Calibri"/>
                <w:color w:val="000000"/>
                <w:sz w:val="24"/>
                <w:szCs w:val="24"/>
                <w:vertAlign w:val="superscript"/>
              </w:rPr>
              <w:t>ab</w:t>
            </w:r>
          </w:p>
        </w:tc>
      </w:tr>
      <w:tr w:rsidR="00963A30" w14:paraId="03F32F71" w14:textId="77777777">
        <w:trPr>
          <w:trHeight w:val="266"/>
        </w:trPr>
        <w:tc>
          <w:tcPr>
            <w:tcW w:w="1344" w:type="dxa"/>
            <w:tcBorders>
              <w:top w:val="nil"/>
              <w:left w:val="nil"/>
              <w:bottom w:val="nil"/>
              <w:right w:val="nil"/>
            </w:tcBorders>
            <w:vAlign w:val="center"/>
          </w:tcPr>
          <w:p w14:paraId="524918DC" w14:textId="77777777" w:rsidR="00963A30" w:rsidRDefault="00985EA0">
            <w:pPr>
              <w:widowControl/>
              <w:autoSpaceDE/>
              <w:autoSpaceDN/>
              <w:jc w:val="center"/>
              <w:rPr>
                <w:rFonts w:eastAsia="Calibri"/>
                <w:kern w:val="2"/>
                <w:sz w:val="24"/>
                <w:szCs w:val="24"/>
                <w:lang w:val="fi-FI" w:eastAsia="zh-CN"/>
                <w14:ligatures w14:val="standardContextual"/>
              </w:rPr>
            </w:pPr>
            <w:r>
              <w:rPr>
                <w:rFonts w:eastAsia="Calibri"/>
                <w:kern w:val="2"/>
                <w:sz w:val="24"/>
                <w:szCs w:val="24"/>
                <w:lang w:val="fi-FI" w:eastAsia="zh-CN"/>
                <w14:ligatures w14:val="standardContextual"/>
              </w:rPr>
              <w:t>R4</w:t>
            </w:r>
          </w:p>
        </w:tc>
        <w:tc>
          <w:tcPr>
            <w:tcW w:w="1798" w:type="dxa"/>
            <w:tcBorders>
              <w:top w:val="nil"/>
              <w:left w:val="nil"/>
              <w:bottom w:val="nil"/>
              <w:right w:val="nil"/>
            </w:tcBorders>
            <w:vAlign w:val="center"/>
          </w:tcPr>
          <w:p w14:paraId="594B8497" w14:textId="77777777" w:rsidR="00963A30" w:rsidRDefault="00985EA0">
            <w:pPr>
              <w:widowControl/>
              <w:autoSpaceDE/>
              <w:autoSpaceDN/>
              <w:jc w:val="center"/>
              <w:rPr>
                <w:rFonts w:eastAsia="Calibri"/>
                <w:kern w:val="2"/>
                <w:sz w:val="24"/>
                <w:szCs w:val="24"/>
                <w:lang w:val="fi-FI" w:eastAsia="zh-CN"/>
                <w14:ligatures w14:val="standardContextual"/>
              </w:rPr>
            </w:pPr>
            <w:r>
              <w:rPr>
                <w:rFonts w:eastAsia="Calibri"/>
                <w:color w:val="000000"/>
                <w:sz w:val="24"/>
                <w:szCs w:val="24"/>
              </w:rPr>
              <w:t>56.07±0.64</w:t>
            </w:r>
            <w:r>
              <w:rPr>
                <w:rFonts w:eastAsia="Calibri"/>
                <w:color w:val="000000"/>
                <w:sz w:val="24"/>
                <w:szCs w:val="24"/>
                <w:vertAlign w:val="superscript"/>
              </w:rPr>
              <w:t>b</w:t>
            </w:r>
          </w:p>
        </w:tc>
        <w:tc>
          <w:tcPr>
            <w:tcW w:w="1800" w:type="dxa"/>
            <w:vAlign w:val="center"/>
          </w:tcPr>
          <w:p w14:paraId="412A786F" w14:textId="77777777" w:rsidR="00963A30" w:rsidRDefault="00985EA0">
            <w:pPr>
              <w:autoSpaceDE/>
              <w:autoSpaceDN/>
              <w:jc w:val="center"/>
              <w:rPr>
                <w:rFonts w:eastAsia="Calibri"/>
                <w:kern w:val="2"/>
                <w:sz w:val="24"/>
                <w:szCs w:val="24"/>
                <w:lang w:val="fi-FI" w:eastAsia="zh-CN"/>
                <w14:ligatures w14:val="standardContextual"/>
              </w:rPr>
            </w:pPr>
            <w:r>
              <w:rPr>
                <w:rFonts w:eastAsia="Calibri"/>
                <w:color w:val="000000"/>
                <w:sz w:val="24"/>
                <w:szCs w:val="24"/>
              </w:rPr>
              <w:t>49.28±1.21</w:t>
            </w:r>
            <w:r>
              <w:rPr>
                <w:rFonts w:eastAsia="Calibri"/>
                <w:color w:val="000000"/>
                <w:sz w:val="24"/>
                <w:szCs w:val="24"/>
                <w:vertAlign w:val="superscript"/>
              </w:rPr>
              <w:t>b</w:t>
            </w:r>
          </w:p>
        </w:tc>
        <w:tc>
          <w:tcPr>
            <w:tcW w:w="1859" w:type="dxa"/>
            <w:tcBorders>
              <w:top w:val="nil"/>
              <w:left w:val="nil"/>
              <w:bottom w:val="nil"/>
              <w:right w:val="nil"/>
            </w:tcBorders>
            <w:vAlign w:val="center"/>
          </w:tcPr>
          <w:p w14:paraId="155B2387" w14:textId="77777777" w:rsidR="00963A30" w:rsidRDefault="00985EA0">
            <w:pPr>
              <w:widowControl/>
              <w:autoSpaceDE/>
              <w:autoSpaceDN/>
              <w:jc w:val="center"/>
              <w:rPr>
                <w:rFonts w:eastAsia="Calibri"/>
                <w:kern w:val="2"/>
                <w:sz w:val="24"/>
                <w:szCs w:val="24"/>
                <w:lang w:val="fi-FI" w:eastAsia="zh-CN"/>
                <w14:ligatures w14:val="standardContextual"/>
              </w:rPr>
            </w:pPr>
            <w:r>
              <w:rPr>
                <w:rFonts w:eastAsia="Calibri"/>
                <w:color w:val="000000"/>
                <w:sz w:val="24"/>
                <w:szCs w:val="24"/>
              </w:rPr>
              <w:t>58.28±0.79</w:t>
            </w:r>
            <w:r>
              <w:rPr>
                <w:rFonts w:eastAsia="Calibri"/>
                <w:color w:val="000000"/>
                <w:sz w:val="24"/>
                <w:szCs w:val="24"/>
                <w:vertAlign w:val="superscript"/>
              </w:rPr>
              <w:t>b</w:t>
            </w:r>
          </w:p>
        </w:tc>
        <w:tc>
          <w:tcPr>
            <w:tcW w:w="2137" w:type="dxa"/>
            <w:tcBorders>
              <w:top w:val="nil"/>
              <w:left w:val="nil"/>
              <w:bottom w:val="nil"/>
              <w:right w:val="nil"/>
            </w:tcBorders>
            <w:vAlign w:val="center"/>
          </w:tcPr>
          <w:p w14:paraId="646EA66A" w14:textId="77777777" w:rsidR="00963A30" w:rsidRDefault="00985EA0">
            <w:pPr>
              <w:autoSpaceDE/>
              <w:autoSpaceDN/>
              <w:jc w:val="center"/>
              <w:rPr>
                <w:rFonts w:eastAsia="Calibri"/>
                <w:color w:val="000000"/>
                <w:sz w:val="24"/>
                <w:szCs w:val="24"/>
              </w:rPr>
            </w:pPr>
            <w:r>
              <w:rPr>
                <w:rFonts w:eastAsia="Calibri"/>
                <w:color w:val="000000"/>
                <w:sz w:val="24"/>
                <w:szCs w:val="24"/>
              </w:rPr>
              <w:t>68.75±2.92</w:t>
            </w:r>
            <w:r>
              <w:rPr>
                <w:rFonts w:eastAsia="Calibri"/>
                <w:color w:val="000000"/>
                <w:sz w:val="24"/>
                <w:szCs w:val="24"/>
                <w:vertAlign w:val="superscript"/>
              </w:rPr>
              <w:t>abc</w:t>
            </w:r>
          </w:p>
        </w:tc>
      </w:tr>
      <w:tr w:rsidR="00963A30" w14:paraId="5053E764" w14:textId="77777777">
        <w:trPr>
          <w:trHeight w:val="266"/>
        </w:trPr>
        <w:tc>
          <w:tcPr>
            <w:tcW w:w="1344" w:type="dxa"/>
            <w:tcBorders>
              <w:top w:val="nil"/>
              <w:left w:val="nil"/>
              <w:bottom w:val="nil"/>
              <w:right w:val="nil"/>
            </w:tcBorders>
            <w:vAlign w:val="center"/>
          </w:tcPr>
          <w:p w14:paraId="236FA9FD" w14:textId="77777777" w:rsidR="00963A30" w:rsidRDefault="00985EA0">
            <w:pPr>
              <w:widowControl/>
              <w:autoSpaceDE/>
              <w:autoSpaceDN/>
              <w:jc w:val="center"/>
              <w:rPr>
                <w:rFonts w:eastAsia="Calibri"/>
                <w:kern w:val="2"/>
                <w:sz w:val="24"/>
                <w:szCs w:val="24"/>
                <w:lang w:val="fi-FI" w:eastAsia="zh-CN"/>
                <w14:ligatures w14:val="standardContextual"/>
              </w:rPr>
            </w:pPr>
            <w:r>
              <w:rPr>
                <w:rFonts w:eastAsia="Calibri"/>
                <w:kern w:val="2"/>
                <w:sz w:val="24"/>
                <w:szCs w:val="24"/>
                <w:lang w:val="fi-FI" w:eastAsia="zh-CN"/>
                <w14:ligatures w14:val="standardContextual"/>
              </w:rPr>
              <w:t>R5</w:t>
            </w:r>
          </w:p>
        </w:tc>
        <w:tc>
          <w:tcPr>
            <w:tcW w:w="1798" w:type="dxa"/>
            <w:tcBorders>
              <w:top w:val="nil"/>
              <w:left w:val="nil"/>
              <w:bottom w:val="nil"/>
              <w:right w:val="nil"/>
            </w:tcBorders>
            <w:vAlign w:val="center"/>
          </w:tcPr>
          <w:p w14:paraId="0DD921A2" w14:textId="77777777" w:rsidR="00963A30" w:rsidRDefault="00985EA0">
            <w:pPr>
              <w:widowControl/>
              <w:autoSpaceDE/>
              <w:autoSpaceDN/>
              <w:jc w:val="center"/>
              <w:rPr>
                <w:rFonts w:eastAsia="Calibri"/>
                <w:kern w:val="2"/>
                <w:sz w:val="24"/>
                <w:szCs w:val="24"/>
                <w:lang w:val="fi-FI" w:eastAsia="zh-CN"/>
                <w14:ligatures w14:val="standardContextual"/>
              </w:rPr>
            </w:pPr>
            <w:r>
              <w:rPr>
                <w:rFonts w:eastAsia="Calibri"/>
                <w:color w:val="000000"/>
                <w:sz w:val="24"/>
                <w:szCs w:val="24"/>
              </w:rPr>
              <w:t>53.05±0.22</w:t>
            </w:r>
            <w:r>
              <w:rPr>
                <w:rFonts w:eastAsia="Calibri"/>
                <w:color w:val="000000"/>
                <w:sz w:val="24"/>
                <w:szCs w:val="24"/>
                <w:vertAlign w:val="superscript"/>
              </w:rPr>
              <w:t>d</w:t>
            </w:r>
          </w:p>
        </w:tc>
        <w:tc>
          <w:tcPr>
            <w:tcW w:w="1800" w:type="dxa"/>
            <w:vAlign w:val="center"/>
          </w:tcPr>
          <w:p w14:paraId="5DEC0BB5" w14:textId="77777777" w:rsidR="00963A30" w:rsidRDefault="00985EA0">
            <w:pPr>
              <w:autoSpaceDE/>
              <w:autoSpaceDN/>
              <w:jc w:val="center"/>
              <w:rPr>
                <w:rFonts w:eastAsia="Calibri"/>
                <w:kern w:val="2"/>
                <w:sz w:val="24"/>
                <w:szCs w:val="24"/>
                <w:vertAlign w:val="superscript"/>
                <w:lang w:val="fi-FI" w:eastAsia="zh-CN"/>
                <w14:ligatures w14:val="standardContextual"/>
              </w:rPr>
            </w:pPr>
            <w:r>
              <w:rPr>
                <w:rFonts w:eastAsia="Calibri"/>
                <w:color w:val="000000"/>
                <w:sz w:val="24"/>
                <w:szCs w:val="24"/>
              </w:rPr>
              <w:t>45.98±0.60</w:t>
            </w:r>
            <w:r>
              <w:rPr>
                <w:rFonts w:eastAsia="Calibri"/>
                <w:color w:val="000000"/>
                <w:sz w:val="24"/>
                <w:szCs w:val="24"/>
                <w:vertAlign w:val="superscript"/>
              </w:rPr>
              <w:t>d</w:t>
            </w:r>
          </w:p>
        </w:tc>
        <w:tc>
          <w:tcPr>
            <w:tcW w:w="1859" w:type="dxa"/>
            <w:tcBorders>
              <w:top w:val="nil"/>
              <w:left w:val="nil"/>
              <w:bottom w:val="nil"/>
              <w:right w:val="nil"/>
            </w:tcBorders>
            <w:vAlign w:val="center"/>
          </w:tcPr>
          <w:p w14:paraId="438A0003" w14:textId="77777777" w:rsidR="00963A30" w:rsidRDefault="00985EA0">
            <w:pPr>
              <w:widowControl/>
              <w:autoSpaceDE/>
              <w:autoSpaceDN/>
              <w:jc w:val="center"/>
              <w:rPr>
                <w:rFonts w:eastAsia="Calibri"/>
                <w:kern w:val="2"/>
                <w:sz w:val="24"/>
                <w:szCs w:val="24"/>
                <w:lang w:val="fi-FI" w:eastAsia="zh-CN"/>
                <w14:ligatures w14:val="standardContextual"/>
              </w:rPr>
            </w:pPr>
            <w:r>
              <w:rPr>
                <w:rFonts w:eastAsia="Calibri"/>
                <w:color w:val="000000"/>
                <w:sz w:val="24"/>
                <w:szCs w:val="24"/>
              </w:rPr>
              <w:t>55.35±0.43</w:t>
            </w:r>
            <w:r>
              <w:rPr>
                <w:rFonts w:eastAsia="Calibri"/>
                <w:color w:val="000000"/>
                <w:sz w:val="24"/>
                <w:szCs w:val="24"/>
                <w:vertAlign w:val="superscript"/>
              </w:rPr>
              <w:t>e</w:t>
            </w:r>
          </w:p>
        </w:tc>
        <w:tc>
          <w:tcPr>
            <w:tcW w:w="2137" w:type="dxa"/>
            <w:tcBorders>
              <w:top w:val="nil"/>
              <w:left w:val="nil"/>
              <w:bottom w:val="nil"/>
              <w:right w:val="nil"/>
            </w:tcBorders>
            <w:vAlign w:val="center"/>
          </w:tcPr>
          <w:p w14:paraId="202F4417" w14:textId="77777777" w:rsidR="00963A30" w:rsidRDefault="00985EA0">
            <w:pPr>
              <w:autoSpaceDE/>
              <w:autoSpaceDN/>
              <w:jc w:val="center"/>
              <w:rPr>
                <w:rFonts w:eastAsia="Calibri"/>
                <w:color w:val="000000"/>
                <w:sz w:val="24"/>
                <w:szCs w:val="24"/>
              </w:rPr>
            </w:pPr>
            <w:r>
              <w:rPr>
                <w:rFonts w:eastAsia="Calibri"/>
                <w:color w:val="000000"/>
                <w:sz w:val="24"/>
                <w:szCs w:val="24"/>
              </w:rPr>
              <w:t>66.24±1.38</w:t>
            </w:r>
            <w:r>
              <w:rPr>
                <w:rFonts w:eastAsia="Calibri"/>
                <w:color w:val="000000"/>
                <w:sz w:val="24"/>
                <w:szCs w:val="24"/>
                <w:vertAlign w:val="superscript"/>
              </w:rPr>
              <w:t>bc</w:t>
            </w:r>
          </w:p>
        </w:tc>
      </w:tr>
      <w:tr w:rsidR="00963A30" w14:paraId="009BA3E6" w14:textId="77777777">
        <w:trPr>
          <w:trHeight w:val="266"/>
        </w:trPr>
        <w:tc>
          <w:tcPr>
            <w:tcW w:w="1344" w:type="dxa"/>
            <w:tcBorders>
              <w:top w:val="nil"/>
              <w:left w:val="nil"/>
              <w:bottom w:val="nil"/>
              <w:right w:val="nil"/>
            </w:tcBorders>
            <w:vAlign w:val="center"/>
          </w:tcPr>
          <w:p w14:paraId="3DE0DAA5" w14:textId="77777777" w:rsidR="00963A30" w:rsidRDefault="00985EA0">
            <w:pPr>
              <w:widowControl/>
              <w:autoSpaceDE/>
              <w:autoSpaceDN/>
              <w:jc w:val="center"/>
              <w:rPr>
                <w:rFonts w:eastAsia="Calibri"/>
                <w:kern w:val="2"/>
                <w:sz w:val="24"/>
                <w:szCs w:val="24"/>
                <w:lang w:val="fi-FI" w:eastAsia="zh-CN"/>
                <w14:ligatures w14:val="standardContextual"/>
              </w:rPr>
            </w:pPr>
            <w:r>
              <w:rPr>
                <w:rFonts w:eastAsia="Calibri"/>
                <w:kern w:val="2"/>
                <w:sz w:val="24"/>
                <w:szCs w:val="24"/>
                <w:lang w:val="fi-FI" w:eastAsia="zh-CN"/>
                <w14:ligatures w14:val="standardContextual"/>
              </w:rPr>
              <w:t>R6</w:t>
            </w:r>
          </w:p>
        </w:tc>
        <w:tc>
          <w:tcPr>
            <w:tcW w:w="1798" w:type="dxa"/>
            <w:tcBorders>
              <w:top w:val="nil"/>
              <w:left w:val="nil"/>
              <w:bottom w:val="nil"/>
              <w:right w:val="nil"/>
            </w:tcBorders>
            <w:vAlign w:val="center"/>
          </w:tcPr>
          <w:p w14:paraId="7630B452" w14:textId="77777777" w:rsidR="00963A30" w:rsidRDefault="00985EA0">
            <w:pPr>
              <w:widowControl/>
              <w:autoSpaceDE/>
              <w:autoSpaceDN/>
              <w:jc w:val="center"/>
              <w:rPr>
                <w:rFonts w:eastAsia="Calibri"/>
                <w:kern w:val="2"/>
                <w:sz w:val="24"/>
                <w:szCs w:val="24"/>
                <w:lang w:val="fi-FI" w:eastAsia="zh-CN"/>
                <w14:ligatures w14:val="standardContextual"/>
              </w:rPr>
            </w:pPr>
            <w:r>
              <w:rPr>
                <w:rFonts w:eastAsia="Calibri"/>
                <w:color w:val="000000"/>
                <w:sz w:val="24"/>
                <w:szCs w:val="24"/>
              </w:rPr>
              <w:t>54.13±0.22</w:t>
            </w:r>
            <w:r>
              <w:rPr>
                <w:rFonts w:eastAsia="Calibri"/>
                <w:color w:val="000000"/>
                <w:sz w:val="24"/>
                <w:szCs w:val="24"/>
                <w:vertAlign w:val="superscript"/>
              </w:rPr>
              <w:t>c</w:t>
            </w:r>
          </w:p>
        </w:tc>
        <w:tc>
          <w:tcPr>
            <w:tcW w:w="1800" w:type="dxa"/>
            <w:vAlign w:val="center"/>
          </w:tcPr>
          <w:p w14:paraId="45829976" w14:textId="77777777" w:rsidR="00963A30" w:rsidRDefault="00985EA0">
            <w:pPr>
              <w:autoSpaceDE/>
              <w:autoSpaceDN/>
              <w:jc w:val="center"/>
              <w:rPr>
                <w:rFonts w:eastAsia="Calibri"/>
                <w:kern w:val="2"/>
                <w:sz w:val="24"/>
                <w:szCs w:val="24"/>
                <w:lang w:val="fi-FI" w:eastAsia="zh-CN"/>
                <w14:ligatures w14:val="standardContextual"/>
              </w:rPr>
            </w:pPr>
            <w:r>
              <w:rPr>
                <w:rFonts w:eastAsia="Calibri"/>
                <w:color w:val="000000"/>
                <w:sz w:val="24"/>
                <w:szCs w:val="24"/>
              </w:rPr>
              <w:t>46.89±0.53</w:t>
            </w:r>
            <w:r>
              <w:rPr>
                <w:rFonts w:eastAsia="Calibri"/>
                <w:color w:val="000000"/>
                <w:sz w:val="24"/>
                <w:szCs w:val="24"/>
                <w:vertAlign w:val="superscript"/>
              </w:rPr>
              <w:t>cd</w:t>
            </w:r>
          </w:p>
        </w:tc>
        <w:tc>
          <w:tcPr>
            <w:tcW w:w="1859" w:type="dxa"/>
            <w:tcBorders>
              <w:top w:val="nil"/>
              <w:left w:val="nil"/>
              <w:bottom w:val="nil"/>
              <w:right w:val="nil"/>
            </w:tcBorders>
            <w:vAlign w:val="center"/>
          </w:tcPr>
          <w:p w14:paraId="3E461E75" w14:textId="77777777" w:rsidR="00963A30" w:rsidRDefault="00985EA0">
            <w:pPr>
              <w:widowControl/>
              <w:autoSpaceDE/>
              <w:autoSpaceDN/>
              <w:jc w:val="center"/>
              <w:rPr>
                <w:rFonts w:eastAsia="Calibri"/>
                <w:kern w:val="2"/>
                <w:sz w:val="24"/>
                <w:szCs w:val="24"/>
                <w:lang w:val="fi-FI" w:eastAsia="zh-CN"/>
                <w14:ligatures w14:val="standardContextual"/>
              </w:rPr>
            </w:pPr>
            <w:r>
              <w:rPr>
                <w:rFonts w:eastAsia="Calibri"/>
                <w:color w:val="000000"/>
                <w:sz w:val="24"/>
                <w:szCs w:val="24"/>
              </w:rPr>
              <w:t>56.26±0.79</w:t>
            </w:r>
            <w:r>
              <w:rPr>
                <w:rFonts w:eastAsia="Calibri"/>
                <w:color w:val="000000"/>
                <w:sz w:val="24"/>
                <w:szCs w:val="24"/>
                <w:vertAlign w:val="superscript"/>
              </w:rPr>
              <w:t>d</w:t>
            </w:r>
          </w:p>
        </w:tc>
        <w:tc>
          <w:tcPr>
            <w:tcW w:w="2137" w:type="dxa"/>
            <w:tcBorders>
              <w:top w:val="nil"/>
              <w:left w:val="nil"/>
              <w:bottom w:val="nil"/>
              <w:right w:val="nil"/>
            </w:tcBorders>
            <w:vAlign w:val="center"/>
          </w:tcPr>
          <w:p w14:paraId="230B3922" w14:textId="77777777" w:rsidR="00963A30" w:rsidRDefault="00985EA0">
            <w:pPr>
              <w:autoSpaceDE/>
              <w:autoSpaceDN/>
              <w:jc w:val="center"/>
              <w:rPr>
                <w:rFonts w:eastAsia="Calibri"/>
                <w:color w:val="000000"/>
                <w:sz w:val="24"/>
                <w:szCs w:val="24"/>
              </w:rPr>
            </w:pPr>
            <w:r>
              <w:rPr>
                <w:rFonts w:eastAsia="Calibri"/>
                <w:color w:val="000000"/>
                <w:sz w:val="24"/>
                <w:szCs w:val="24"/>
              </w:rPr>
              <w:t>67.65±1.48</w:t>
            </w:r>
            <w:r>
              <w:rPr>
                <w:rFonts w:eastAsia="Calibri"/>
                <w:color w:val="000000"/>
                <w:sz w:val="24"/>
                <w:szCs w:val="24"/>
                <w:vertAlign w:val="superscript"/>
              </w:rPr>
              <w:t>abc</w:t>
            </w:r>
          </w:p>
        </w:tc>
      </w:tr>
      <w:tr w:rsidR="00963A30" w14:paraId="613FFE6C" w14:textId="77777777">
        <w:trPr>
          <w:trHeight w:val="266"/>
        </w:trPr>
        <w:tc>
          <w:tcPr>
            <w:tcW w:w="1344" w:type="dxa"/>
            <w:tcBorders>
              <w:top w:val="nil"/>
              <w:left w:val="nil"/>
              <w:bottom w:val="single" w:sz="4" w:space="0" w:color="auto"/>
              <w:right w:val="nil"/>
            </w:tcBorders>
            <w:vAlign w:val="center"/>
            <w:hideMark/>
          </w:tcPr>
          <w:p w14:paraId="6DEB5A29" w14:textId="77777777" w:rsidR="00963A30" w:rsidRDefault="00985EA0">
            <w:pPr>
              <w:widowControl/>
              <w:autoSpaceDE/>
              <w:autoSpaceDN/>
              <w:jc w:val="center"/>
              <w:rPr>
                <w:rFonts w:eastAsia="Calibri"/>
                <w:kern w:val="2"/>
                <w:sz w:val="24"/>
                <w:szCs w:val="24"/>
                <w:lang w:val="fi-FI" w:eastAsia="zh-CN"/>
                <w14:ligatures w14:val="standardContextual"/>
              </w:rPr>
            </w:pPr>
            <w:r>
              <w:rPr>
                <w:rFonts w:eastAsia="Calibri"/>
                <w:kern w:val="2"/>
                <w:sz w:val="24"/>
                <w:szCs w:val="24"/>
                <w:lang w:val="fi-FI" w:eastAsia="zh-CN"/>
                <w14:ligatures w14:val="standardContextual"/>
              </w:rPr>
              <w:t>R7</w:t>
            </w:r>
          </w:p>
        </w:tc>
        <w:tc>
          <w:tcPr>
            <w:tcW w:w="1798" w:type="dxa"/>
            <w:tcBorders>
              <w:top w:val="nil"/>
              <w:left w:val="nil"/>
              <w:bottom w:val="single" w:sz="4" w:space="0" w:color="auto"/>
              <w:right w:val="nil"/>
            </w:tcBorders>
            <w:vAlign w:val="center"/>
            <w:hideMark/>
          </w:tcPr>
          <w:p w14:paraId="78EECC28" w14:textId="77777777" w:rsidR="00963A30" w:rsidRDefault="00985EA0">
            <w:pPr>
              <w:widowControl/>
              <w:autoSpaceDE/>
              <w:autoSpaceDN/>
              <w:jc w:val="center"/>
              <w:rPr>
                <w:rFonts w:eastAsia="Calibri"/>
                <w:kern w:val="2"/>
                <w:sz w:val="24"/>
                <w:szCs w:val="24"/>
                <w:lang w:val="fi-FI" w:eastAsia="zh-CN"/>
                <w14:ligatures w14:val="standardContextual"/>
              </w:rPr>
            </w:pPr>
            <w:r>
              <w:rPr>
                <w:rFonts w:eastAsia="Calibri"/>
                <w:color w:val="000000"/>
                <w:sz w:val="24"/>
                <w:szCs w:val="24"/>
              </w:rPr>
              <w:t>52.11±0.51</w:t>
            </w:r>
            <w:r>
              <w:rPr>
                <w:rFonts w:eastAsia="Calibri"/>
                <w:color w:val="000000"/>
                <w:sz w:val="24"/>
                <w:szCs w:val="24"/>
                <w:vertAlign w:val="superscript"/>
              </w:rPr>
              <w:t>d</w:t>
            </w:r>
          </w:p>
        </w:tc>
        <w:tc>
          <w:tcPr>
            <w:tcW w:w="1800" w:type="dxa"/>
            <w:vAlign w:val="center"/>
          </w:tcPr>
          <w:p w14:paraId="7C1B0A3F" w14:textId="77777777" w:rsidR="00963A30" w:rsidRDefault="00985EA0">
            <w:pPr>
              <w:autoSpaceDE/>
              <w:autoSpaceDN/>
              <w:jc w:val="center"/>
              <w:rPr>
                <w:rFonts w:eastAsia="Calibri"/>
                <w:kern w:val="2"/>
                <w:sz w:val="24"/>
                <w:szCs w:val="24"/>
                <w:lang w:val="fi-FI" w:eastAsia="zh-CN"/>
                <w14:ligatures w14:val="standardContextual"/>
              </w:rPr>
            </w:pPr>
            <w:r>
              <w:rPr>
                <w:rFonts w:eastAsia="Calibri"/>
                <w:color w:val="000000"/>
                <w:sz w:val="24"/>
                <w:szCs w:val="24"/>
              </w:rPr>
              <w:t>44.88±0.17</w:t>
            </w:r>
            <w:r>
              <w:rPr>
                <w:rFonts w:eastAsia="Calibri"/>
                <w:color w:val="000000"/>
                <w:sz w:val="24"/>
                <w:szCs w:val="24"/>
                <w:vertAlign w:val="superscript"/>
              </w:rPr>
              <w:t>e</w:t>
            </w:r>
          </w:p>
        </w:tc>
        <w:tc>
          <w:tcPr>
            <w:tcW w:w="1859" w:type="dxa"/>
            <w:tcBorders>
              <w:top w:val="nil"/>
              <w:left w:val="nil"/>
              <w:bottom w:val="single" w:sz="4" w:space="0" w:color="auto"/>
              <w:right w:val="nil"/>
            </w:tcBorders>
            <w:vAlign w:val="center"/>
          </w:tcPr>
          <w:p w14:paraId="34650C7F" w14:textId="77777777" w:rsidR="00963A30" w:rsidRDefault="00985EA0">
            <w:pPr>
              <w:widowControl/>
              <w:autoSpaceDE/>
              <w:autoSpaceDN/>
              <w:jc w:val="center"/>
              <w:rPr>
                <w:rFonts w:eastAsia="Calibri"/>
                <w:kern w:val="2"/>
                <w:sz w:val="24"/>
                <w:szCs w:val="24"/>
                <w:lang w:val="fi-FI" w:eastAsia="zh-CN"/>
                <w14:ligatures w14:val="standardContextual"/>
              </w:rPr>
            </w:pPr>
            <w:r>
              <w:rPr>
                <w:rFonts w:eastAsia="Calibri"/>
                <w:color w:val="000000"/>
                <w:sz w:val="24"/>
                <w:szCs w:val="24"/>
              </w:rPr>
              <w:t>54.26±0.31</w:t>
            </w:r>
            <w:r>
              <w:rPr>
                <w:rFonts w:eastAsia="Calibri"/>
                <w:color w:val="000000"/>
                <w:sz w:val="24"/>
                <w:szCs w:val="24"/>
                <w:vertAlign w:val="superscript"/>
              </w:rPr>
              <w:t>f</w:t>
            </w:r>
          </w:p>
        </w:tc>
        <w:tc>
          <w:tcPr>
            <w:tcW w:w="2137" w:type="dxa"/>
            <w:tcBorders>
              <w:top w:val="nil"/>
              <w:left w:val="nil"/>
              <w:bottom w:val="single" w:sz="4" w:space="0" w:color="auto"/>
              <w:right w:val="nil"/>
            </w:tcBorders>
            <w:vAlign w:val="center"/>
          </w:tcPr>
          <w:p w14:paraId="239D367C" w14:textId="77777777" w:rsidR="00963A30" w:rsidRDefault="00985EA0">
            <w:pPr>
              <w:autoSpaceDE/>
              <w:autoSpaceDN/>
              <w:jc w:val="center"/>
              <w:rPr>
                <w:rFonts w:eastAsia="Calibri"/>
                <w:color w:val="000000"/>
                <w:sz w:val="24"/>
                <w:szCs w:val="24"/>
              </w:rPr>
            </w:pPr>
            <w:r>
              <w:rPr>
                <w:rFonts w:eastAsia="Calibri"/>
                <w:color w:val="000000"/>
                <w:sz w:val="24"/>
                <w:szCs w:val="24"/>
              </w:rPr>
              <w:t>65.60±1.56</w:t>
            </w:r>
            <w:r>
              <w:rPr>
                <w:rFonts w:eastAsia="Calibri"/>
                <w:color w:val="000000"/>
                <w:sz w:val="24"/>
                <w:szCs w:val="24"/>
                <w:vertAlign w:val="superscript"/>
              </w:rPr>
              <w:t>bc</w:t>
            </w:r>
          </w:p>
        </w:tc>
      </w:tr>
      <w:tr w:rsidR="00963A30" w14:paraId="00D6DC9C" w14:textId="77777777">
        <w:trPr>
          <w:trHeight w:val="306"/>
        </w:trPr>
        <w:tc>
          <w:tcPr>
            <w:tcW w:w="1344" w:type="dxa"/>
            <w:tcBorders>
              <w:top w:val="single" w:sz="4" w:space="0" w:color="auto"/>
              <w:left w:val="nil"/>
              <w:bottom w:val="single" w:sz="4" w:space="0" w:color="auto"/>
              <w:right w:val="nil"/>
            </w:tcBorders>
            <w:vAlign w:val="center"/>
            <w:hideMark/>
          </w:tcPr>
          <w:p w14:paraId="6F106B18" w14:textId="77777777" w:rsidR="00963A30" w:rsidRDefault="00985EA0">
            <w:pPr>
              <w:widowControl/>
              <w:autoSpaceDE/>
              <w:autoSpaceDN/>
              <w:jc w:val="center"/>
              <w:rPr>
                <w:rFonts w:eastAsia="Calibri"/>
                <w:kern w:val="2"/>
                <w:sz w:val="24"/>
                <w:szCs w:val="24"/>
                <w:lang w:val="fi-FI" w:eastAsia="zh-CN"/>
                <w14:ligatures w14:val="standardContextual"/>
              </w:rPr>
            </w:pPr>
            <w:r>
              <w:rPr>
                <w:rFonts w:eastAsia="Calibri"/>
                <w:kern w:val="2"/>
                <w:sz w:val="24"/>
                <w:szCs w:val="24"/>
                <w:lang w:val="fi-FI" w:eastAsia="zh-CN"/>
                <w14:ligatures w14:val="standardContextual"/>
              </w:rPr>
              <w:t>SE</w:t>
            </w:r>
          </w:p>
        </w:tc>
        <w:tc>
          <w:tcPr>
            <w:tcW w:w="1798" w:type="dxa"/>
            <w:tcBorders>
              <w:top w:val="single" w:sz="4" w:space="0" w:color="auto"/>
              <w:left w:val="nil"/>
              <w:bottom w:val="single" w:sz="4" w:space="0" w:color="auto"/>
              <w:right w:val="nil"/>
            </w:tcBorders>
            <w:vAlign w:val="center"/>
            <w:hideMark/>
          </w:tcPr>
          <w:p w14:paraId="63E96D34" w14:textId="77777777" w:rsidR="00963A30" w:rsidRDefault="00985EA0">
            <w:pPr>
              <w:autoSpaceDE/>
              <w:autoSpaceDN/>
              <w:jc w:val="center"/>
              <w:rPr>
                <w:rFonts w:eastAsia="Calibri"/>
                <w:kern w:val="2"/>
                <w:sz w:val="24"/>
                <w:szCs w:val="24"/>
                <w:lang w:eastAsia="zh-CN"/>
                <w14:ligatures w14:val="standardContextual"/>
              </w:rPr>
            </w:pPr>
            <w:r>
              <w:rPr>
                <w:rFonts w:eastAsia="Calibri"/>
                <w:kern w:val="2"/>
                <w:sz w:val="24"/>
                <w:szCs w:val="24"/>
                <w:lang w:eastAsia="zh-CN"/>
                <w14:ligatures w14:val="standardContextual"/>
              </w:rPr>
              <w:t>0.352</w:t>
            </w:r>
          </w:p>
        </w:tc>
        <w:tc>
          <w:tcPr>
            <w:tcW w:w="1800" w:type="dxa"/>
            <w:tcBorders>
              <w:top w:val="single" w:sz="4" w:space="0" w:color="auto"/>
              <w:left w:val="nil"/>
              <w:bottom w:val="single" w:sz="4" w:space="0" w:color="auto"/>
              <w:right w:val="nil"/>
            </w:tcBorders>
            <w:vAlign w:val="center"/>
          </w:tcPr>
          <w:p w14:paraId="0D0F5CE7" w14:textId="77777777" w:rsidR="00963A30" w:rsidRDefault="00985EA0">
            <w:pPr>
              <w:autoSpaceDE/>
              <w:autoSpaceDN/>
              <w:jc w:val="center"/>
              <w:rPr>
                <w:rFonts w:eastAsia="Calibri"/>
                <w:kern w:val="2"/>
                <w:sz w:val="24"/>
                <w:szCs w:val="24"/>
                <w:lang w:val="fi-FI" w:eastAsia="zh-CN"/>
                <w14:ligatures w14:val="standardContextual"/>
              </w:rPr>
            </w:pPr>
            <w:r>
              <w:rPr>
                <w:rFonts w:eastAsia="Calibri"/>
                <w:kern w:val="2"/>
                <w:sz w:val="24"/>
                <w:szCs w:val="24"/>
                <w:lang w:val="fi-FI" w:eastAsia="zh-CN"/>
                <w14:ligatures w14:val="standardContextual"/>
              </w:rPr>
              <w:t>0.341</w:t>
            </w:r>
          </w:p>
        </w:tc>
        <w:tc>
          <w:tcPr>
            <w:tcW w:w="1859" w:type="dxa"/>
            <w:tcBorders>
              <w:top w:val="single" w:sz="4" w:space="0" w:color="auto"/>
              <w:left w:val="nil"/>
              <w:bottom w:val="single" w:sz="4" w:space="0" w:color="auto"/>
              <w:right w:val="nil"/>
            </w:tcBorders>
            <w:vAlign w:val="center"/>
          </w:tcPr>
          <w:p w14:paraId="216BCACF" w14:textId="77777777" w:rsidR="00963A30" w:rsidRDefault="00985EA0">
            <w:pPr>
              <w:widowControl/>
              <w:autoSpaceDE/>
              <w:autoSpaceDN/>
              <w:jc w:val="center"/>
              <w:rPr>
                <w:rFonts w:eastAsia="Calibri"/>
                <w:kern w:val="2"/>
                <w:sz w:val="24"/>
                <w:szCs w:val="24"/>
                <w:lang w:val="fi-FI" w:eastAsia="zh-CN"/>
                <w14:ligatures w14:val="standardContextual"/>
              </w:rPr>
            </w:pPr>
            <w:r>
              <w:rPr>
                <w:rFonts w:eastAsia="Calibri"/>
                <w:kern w:val="2"/>
                <w:sz w:val="24"/>
                <w:szCs w:val="24"/>
                <w:lang w:val="fi-FI" w:eastAsia="zh-CN"/>
                <w14:ligatures w14:val="standardContextual"/>
              </w:rPr>
              <w:t>0.253</w:t>
            </w:r>
          </w:p>
        </w:tc>
        <w:tc>
          <w:tcPr>
            <w:tcW w:w="2137" w:type="dxa"/>
            <w:tcBorders>
              <w:top w:val="single" w:sz="4" w:space="0" w:color="auto"/>
              <w:left w:val="nil"/>
              <w:bottom w:val="single" w:sz="4" w:space="0" w:color="auto"/>
              <w:right w:val="nil"/>
            </w:tcBorders>
            <w:vAlign w:val="center"/>
          </w:tcPr>
          <w:p w14:paraId="3F502637" w14:textId="77777777" w:rsidR="00963A30" w:rsidRDefault="00985EA0">
            <w:pPr>
              <w:autoSpaceDE/>
              <w:autoSpaceDN/>
              <w:jc w:val="center"/>
              <w:rPr>
                <w:rFonts w:eastAsia="Calibri"/>
                <w:color w:val="000000"/>
                <w:sz w:val="24"/>
                <w:szCs w:val="24"/>
              </w:rPr>
            </w:pPr>
            <w:r>
              <w:rPr>
                <w:rFonts w:eastAsia="Calibri"/>
                <w:color w:val="000000"/>
                <w:sz w:val="24"/>
                <w:szCs w:val="24"/>
              </w:rPr>
              <w:t>1.239</w:t>
            </w:r>
          </w:p>
        </w:tc>
      </w:tr>
    </w:tbl>
    <w:p w14:paraId="4DD9EADE" w14:textId="77777777" w:rsidR="00963A30" w:rsidRDefault="00985EA0">
      <w:pPr>
        <w:tabs>
          <w:tab w:val="left" w:pos="56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both"/>
        <w:rPr>
          <w:sz w:val="24"/>
          <w:szCs w:val="24"/>
          <w:lang w:eastAsia="en-ID"/>
        </w:rPr>
      </w:pPr>
      <w:r>
        <w:rPr>
          <w:sz w:val="24"/>
          <w:szCs w:val="24"/>
          <w:lang w:eastAsia="en-ID"/>
        </w:rPr>
        <w:t xml:space="preserve">Note: Different superscripts in the same column indicate highly significant differences </w:t>
      </w:r>
      <w:r>
        <w:rPr>
          <w:sz w:val="24"/>
          <w:szCs w:val="24"/>
          <w:lang w:eastAsia="en-ID"/>
        </w:rPr>
        <w:lastRenderedPageBreak/>
        <w:t>(P&lt;0.01)</w:t>
      </w:r>
    </w:p>
    <w:p w14:paraId="3C142835" w14:textId="77777777" w:rsidR="00963A30" w:rsidRDefault="00985EA0">
      <w:pPr>
        <w:pStyle w:val="HTMLPreformatted"/>
        <w:spacing w:line="360" w:lineRule="auto"/>
        <w:rPr>
          <w:rFonts w:ascii="Times New Roman" w:hAnsi="Times New Roman"/>
          <w:sz w:val="24"/>
          <w:szCs w:val="24"/>
          <w:lang w:eastAsia="en-ID"/>
        </w:rPr>
      </w:pPr>
      <w:r>
        <w:rPr>
          <w:noProof/>
          <w14:ligatures w14:val="standardContextual"/>
        </w:rPr>
        <w:drawing>
          <wp:inline distT="0" distB="0" distL="114300" distR="114300" wp14:anchorId="1A903AE5" wp14:editId="2A302548">
            <wp:extent cx="5659120" cy="2348565"/>
            <wp:effectExtent l="0" t="0" r="0" b="0"/>
            <wp:docPr id="1031" name="Image1"/>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p>
    <w:p w14:paraId="6C574B39" w14:textId="77777777" w:rsidR="00963A30" w:rsidRDefault="00985EA0">
      <w:pPr>
        <w:tabs>
          <w:tab w:val="left" w:pos="56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4"/>
          <w:szCs w:val="24"/>
          <w:lang w:eastAsia="en-ID"/>
        </w:rPr>
      </w:pPr>
      <w:r>
        <w:rPr>
          <w:b/>
          <w:bCs/>
          <w:sz w:val="24"/>
          <w:szCs w:val="24"/>
          <w:lang w:eastAsia="en-ID"/>
        </w:rPr>
        <w:t>Fig. 3:</w:t>
      </w:r>
      <w:r>
        <w:rPr>
          <w:sz w:val="24"/>
          <w:szCs w:val="24"/>
          <w:lang w:eastAsia="en-ID"/>
        </w:rPr>
        <w:t xml:space="preserve"> Digestibility of organic matter from rations containing corn straw and cassava peel supplemented with urea and sulfur.</w:t>
      </w:r>
    </w:p>
    <w:p w14:paraId="6BEDBEF8" w14:textId="77777777" w:rsidR="00963A30" w:rsidRDefault="00963A30">
      <w:pPr>
        <w:pStyle w:val="HTMLPreformatted"/>
        <w:spacing w:line="360" w:lineRule="auto"/>
        <w:ind w:firstLine="567"/>
        <w:rPr>
          <w:rFonts w:ascii="Times New Roman" w:hAnsi="Times New Roman"/>
          <w:sz w:val="24"/>
          <w:szCs w:val="24"/>
          <w:lang w:eastAsia="en-ID"/>
        </w:rPr>
      </w:pPr>
    </w:p>
    <w:p w14:paraId="1AC41447" w14:textId="77777777" w:rsidR="00963A30" w:rsidRDefault="00985EA0">
      <w:pPr>
        <w:pStyle w:val="HTMLPreformatted"/>
        <w:spacing w:line="360" w:lineRule="auto"/>
        <w:rPr>
          <w:rFonts w:ascii="Times New Roman" w:hAnsi="Times New Roman"/>
          <w:sz w:val="24"/>
          <w:szCs w:val="24"/>
          <w:lang w:eastAsia="en-ID"/>
        </w:rPr>
      </w:pPr>
      <w:r>
        <w:rPr>
          <w:noProof/>
          <w14:ligatures w14:val="standardContextual"/>
        </w:rPr>
        <w:drawing>
          <wp:inline distT="0" distB="0" distL="114300" distR="114300" wp14:anchorId="1412F694" wp14:editId="368A40D1">
            <wp:extent cx="5630545" cy="2396691"/>
            <wp:effectExtent l="0" t="0" r="0" b="0"/>
            <wp:docPr id="1033" name="Image1"/>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p>
    <w:p w14:paraId="6F4A95B9" w14:textId="77777777" w:rsidR="00963A30" w:rsidRDefault="00985EA0">
      <w:pPr>
        <w:tabs>
          <w:tab w:val="left" w:pos="56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both"/>
        <w:rPr>
          <w:sz w:val="24"/>
          <w:szCs w:val="24"/>
          <w:lang w:eastAsia="en-ID"/>
        </w:rPr>
      </w:pPr>
      <w:bookmarkStart w:id="6" w:name="_Hlk212065679"/>
      <w:r>
        <w:rPr>
          <w:b/>
          <w:bCs/>
          <w:sz w:val="24"/>
          <w:szCs w:val="24"/>
          <w:lang w:eastAsia="en-ID"/>
        </w:rPr>
        <w:t>Fig. 4:</w:t>
      </w:r>
      <w:r>
        <w:rPr>
          <w:sz w:val="24"/>
          <w:szCs w:val="24"/>
          <w:lang w:eastAsia="en-ID"/>
        </w:rPr>
        <w:t xml:space="preserve"> Crude protein digestibility of rations containing corn straw and cassava peel supplemented with urea and sulfur.</w:t>
      </w:r>
      <w:bookmarkEnd w:id="6"/>
    </w:p>
    <w:p w14:paraId="1B5EC150" w14:textId="77777777" w:rsidR="00963A30" w:rsidRDefault="00985EA0">
      <w:pPr>
        <w:tabs>
          <w:tab w:val="left" w:pos="56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both"/>
        <w:rPr>
          <w:sz w:val="24"/>
          <w:szCs w:val="24"/>
          <w:lang w:eastAsia="en-ID"/>
        </w:rPr>
      </w:pPr>
      <w:r>
        <w:rPr>
          <w:noProof/>
          <w14:ligatures w14:val="standardContextual"/>
        </w:rPr>
        <w:drawing>
          <wp:inline distT="0" distB="0" distL="114300" distR="114300" wp14:anchorId="70E55C7A" wp14:editId="2A19AA42">
            <wp:extent cx="5697855" cy="2531444"/>
            <wp:effectExtent l="0" t="0" r="0" b="0"/>
            <wp:docPr id="1035" name="Image1"/>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inline>
        </w:drawing>
      </w:r>
    </w:p>
    <w:p w14:paraId="1D2ACB25" w14:textId="77777777" w:rsidR="00963A30" w:rsidRDefault="00985EA0">
      <w:pPr>
        <w:tabs>
          <w:tab w:val="left" w:pos="56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both"/>
        <w:rPr>
          <w:sz w:val="24"/>
          <w:szCs w:val="24"/>
          <w:lang w:eastAsia="en-ID"/>
        </w:rPr>
      </w:pPr>
      <w:r>
        <w:rPr>
          <w:b/>
          <w:bCs/>
          <w:sz w:val="24"/>
          <w:szCs w:val="24"/>
          <w:lang w:eastAsia="en-ID"/>
        </w:rPr>
        <w:lastRenderedPageBreak/>
        <w:t>Fig. 5:</w:t>
      </w:r>
      <w:r>
        <w:rPr>
          <w:sz w:val="24"/>
          <w:szCs w:val="24"/>
          <w:lang w:eastAsia="en-ID"/>
        </w:rPr>
        <w:t xml:space="preserve"> Crude fiber digestibility of rations containing corn straw and cassava peel supplemented with urea and sulfur.</w:t>
      </w:r>
    </w:p>
    <w:p w14:paraId="0DBFFCF2" w14:textId="77777777" w:rsidR="00963A30" w:rsidRDefault="00985EA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60" w:line="360" w:lineRule="auto"/>
        <w:rPr>
          <w:b/>
          <w:bCs/>
          <w:sz w:val="24"/>
          <w:szCs w:val="24"/>
          <w:lang w:eastAsia="en-ID"/>
        </w:rPr>
      </w:pPr>
      <w:r>
        <w:rPr>
          <w:b/>
          <w:bCs/>
          <w:sz w:val="24"/>
          <w:szCs w:val="24"/>
          <w:lang w:eastAsia="en-ID"/>
        </w:rPr>
        <w:t xml:space="preserve">3.3 Fermentation profile: volatile fatty acids (VFA) profile </w:t>
      </w:r>
    </w:p>
    <w:p w14:paraId="195793BA" w14:textId="77777777" w:rsidR="00963A30" w:rsidRDefault="00985EA0">
      <w:pPr>
        <w:widowControl/>
        <w:tabs>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spacing w:line="360" w:lineRule="auto"/>
        <w:ind w:firstLine="360"/>
        <w:jc w:val="both"/>
        <w:rPr>
          <w:sz w:val="24"/>
          <w:szCs w:val="24"/>
          <w:lang w:eastAsia="en-ID"/>
        </w:rPr>
      </w:pPr>
      <w:r>
        <w:rPr>
          <w:sz w:val="24"/>
          <w:szCs w:val="24"/>
          <w:lang w:eastAsia="en-ID"/>
        </w:rPr>
        <w:t>The production of individual VFA</w:t>
      </w:r>
      <w:r>
        <w:rPr>
          <w:color w:val="EE0000"/>
          <w:sz w:val="24"/>
          <w:szCs w:val="24"/>
          <w:lang w:eastAsia="en-ID"/>
        </w:rPr>
        <w:t xml:space="preserve"> </w:t>
      </w:r>
      <w:r>
        <w:rPr>
          <w:sz w:val="24"/>
          <w:szCs w:val="24"/>
          <w:lang w:eastAsia="en-ID"/>
        </w:rPr>
        <w:t>shown in Table 6. Treatments had significantly different effect (P&lt;0.01) on acetic acid (Fig. 6). However, there was no significant difference (P&gt;0.05) on another component of VFA. The A/P ratio was also not significant different (P&gt;0.05).</w:t>
      </w:r>
    </w:p>
    <w:p w14:paraId="4FCB08CE" w14:textId="77777777" w:rsidR="00963A30" w:rsidRDefault="00985EA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60" w:line="360" w:lineRule="auto"/>
        <w:jc w:val="both"/>
        <w:rPr>
          <w:sz w:val="24"/>
          <w:szCs w:val="24"/>
          <w:lang w:eastAsia="en-ID"/>
        </w:rPr>
      </w:pPr>
      <w:r>
        <w:rPr>
          <w:b/>
          <w:bCs/>
          <w:sz w:val="24"/>
          <w:szCs w:val="24"/>
          <w:lang w:eastAsia="en-ID"/>
        </w:rPr>
        <w:t>Table 6:</w:t>
      </w:r>
      <w:r>
        <w:rPr>
          <w:sz w:val="24"/>
          <w:szCs w:val="24"/>
          <w:lang w:eastAsia="en-ID"/>
        </w:rPr>
        <w:t xml:space="preserve">  Average individual VFA production of rations based on corn straw and cassava peel supplemented with urea and sulfur</w:t>
      </w:r>
    </w:p>
    <w:tbl>
      <w:tblPr>
        <w:tblStyle w:val="TableGrid4"/>
        <w:tblW w:w="902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255"/>
        <w:gridCol w:w="900"/>
        <w:gridCol w:w="990"/>
        <w:gridCol w:w="990"/>
        <w:gridCol w:w="1170"/>
        <w:gridCol w:w="1260"/>
        <w:gridCol w:w="990"/>
        <w:gridCol w:w="1468"/>
      </w:tblGrid>
      <w:tr w:rsidR="00963A30" w14:paraId="2A1B35C8" w14:textId="77777777">
        <w:trPr>
          <w:trHeight w:val="223"/>
        </w:trPr>
        <w:tc>
          <w:tcPr>
            <w:tcW w:w="1255" w:type="dxa"/>
            <w:vMerge w:val="restart"/>
            <w:tcBorders>
              <w:top w:val="single" w:sz="4" w:space="0" w:color="auto"/>
              <w:bottom w:val="single" w:sz="4" w:space="0" w:color="auto"/>
            </w:tcBorders>
            <w:vAlign w:val="center"/>
          </w:tcPr>
          <w:p w14:paraId="3B1DB68E" w14:textId="77777777" w:rsidR="00963A30" w:rsidRDefault="00985EA0">
            <w:pPr>
              <w:jc w:val="center"/>
              <w:rPr>
                <w:rFonts w:eastAsia="Calibri"/>
                <w:kern w:val="2"/>
                <w:sz w:val="24"/>
                <w:szCs w:val="24"/>
                <w:lang w:val="fi-FI" w:eastAsia="zh-CN"/>
                <w14:ligatures w14:val="standardContextual"/>
              </w:rPr>
            </w:pPr>
            <w:r>
              <w:rPr>
                <w:rFonts w:eastAsia="Calibri"/>
                <w:kern w:val="2"/>
                <w:sz w:val="24"/>
                <w:szCs w:val="24"/>
                <w:lang w:val="fi-FI" w:eastAsia="zh-CN"/>
                <w14:ligatures w14:val="standardContextual"/>
              </w:rPr>
              <w:t>Treatment</w:t>
            </w:r>
          </w:p>
        </w:tc>
        <w:tc>
          <w:tcPr>
            <w:tcW w:w="7768" w:type="dxa"/>
            <w:gridSpan w:val="7"/>
            <w:tcBorders>
              <w:top w:val="single" w:sz="4" w:space="0" w:color="auto"/>
              <w:bottom w:val="single" w:sz="4" w:space="0" w:color="auto"/>
            </w:tcBorders>
            <w:vAlign w:val="center"/>
          </w:tcPr>
          <w:p w14:paraId="7DF138C1" w14:textId="77777777" w:rsidR="00963A30" w:rsidRDefault="00985EA0">
            <w:pPr>
              <w:widowControl/>
              <w:autoSpaceDE/>
              <w:autoSpaceDN/>
              <w:jc w:val="center"/>
              <w:rPr>
                <w:rFonts w:eastAsia="Calibri"/>
                <w:kern w:val="2"/>
                <w:sz w:val="24"/>
                <w:szCs w:val="24"/>
                <w:lang w:val="fi-FI" w:eastAsia="zh-CN"/>
                <w14:ligatures w14:val="standardContextual"/>
              </w:rPr>
            </w:pPr>
            <w:r>
              <w:rPr>
                <w:rFonts w:eastAsia="Calibri"/>
                <w:kern w:val="2"/>
                <w:sz w:val="24"/>
                <w:szCs w:val="24"/>
                <w:lang w:val="fi-FI" w:eastAsia="zh-CN"/>
                <w14:ligatures w14:val="standardContextual"/>
              </w:rPr>
              <w:t>Individual VF</w:t>
            </w:r>
          </w:p>
        </w:tc>
      </w:tr>
      <w:tr w:rsidR="00963A30" w14:paraId="0888E5D6" w14:textId="77777777">
        <w:trPr>
          <w:trHeight w:val="319"/>
        </w:trPr>
        <w:tc>
          <w:tcPr>
            <w:tcW w:w="1255" w:type="dxa"/>
            <w:vMerge/>
            <w:tcBorders>
              <w:top w:val="single" w:sz="4" w:space="0" w:color="auto"/>
              <w:bottom w:val="single" w:sz="4" w:space="0" w:color="auto"/>
            </w:tcBorders>
            <w:vAlign w:val="center"/>
            <w:hideMark/>
          </w:tcPr>
          <w:p w14:paraId="70EB0242" w14:textId="77777777" w:rsidR="00963A30" w:rsidRDefault="00963A30">
            <w:pPr>
              <w:widowControl/>
              <w:autoSpaceDE/>
              <w:autoSpaceDN/>
              <w:jc w:val="center"/>
              <w:rPr>
                <w:rFonts w:eastAsia="Calibri"/>
                <w:kern w:val="2"/>
                <w:sz w:val="24"/>
                <w:szCs w:val="24"/>
                <w:lang w:val="fi-FI" w:eastAsia="zh-CN"/>
                <w14:ligatures w14:val="standardContextual"/>
              </w:rPr>
            </w:pPr>
          </w:p>
        </w:tc>
        <w:tc>
          <w:tcPr>
            <w:tcW w:w="900" w:type="dxa"/>
            <w:tcBorders>
              <w:top w:val="single" w:sz="4" w:space="0" w:color="auto"/>
              <w:bottom w:val="single" w:sz="4" w:space="0" w:color="auto"/>
            </w:tcBorders>
            <w:vAlign w:val="center"/>
            <w:hideMark/>
          </w:tcPr>
          <w:p w14:paraId="02C29E8F" w14:textId="77777777" w:rsidR="00963A30" w:rsidRDefault="00985EA0">
            <w:pPr>
              <w:widowControl/>
              <w:autoSpaceDE/>
              <w:autoSpaceDN/>
              <w:ind w:left="-29"/>
              <w:jc w:val="center"/>
              <w:rPr>
                <w:rFonts w:eastAsia="Calibri"/>
                <w:kern w:val="2"/>
                <w:sz w:val="24"/>
                <w:szCs w:val="24"/>
                <w:lang w:val="fi-FI" w:eastAsia="zh-CN"/>
                <w14:ligatures w14:val="standardContextual"/>
              </w:rPr>
            </w:pPr>
            <w:r>
              <w:rPr>
                <w:rFonts w:eastAsia="Calibri"/>
                <w:kern w:val="2"/>
                <w:sz w:val="24"/>
                <w:szCs w:val="24"/>
                <w:lang w:val="fi-FI" w:eastAsia="zh-CN"/>
                <w14:ligatures w14:val="standardContextual"/>
              </w:rPr>
              <w:t>C2 (%)</w:t>
            </w:r>
          </w:p>
        </w:tc>
        <w:tc>
          <w:tcPr>
            <w:tcW w:w="990" w:type="dxa"/>
            <w:tcBorders>
              <w:top w:val="single" w:sz="4" w:space="0" w:color="auto"/>
              <w:bottom w:val="single" w:sz="4" w:space="0" w:color="auto"/>
            </w:tcBorders>
            <w:vAlign w:val="center"/>
          </w:tcPr>
          <w:p w14:paraId="7F497BBC" w14:textId="77777777" w:rsidR="00963A30" w:rsidRDefault="00985EA0">
            <w:pPr>
              <w:autoSpaceDE/>
              <w:autoSpaceDN/>
              <w:jc w:val="center"/>
              <w:rPr>
                <w:rFonts w:eastAsia="Calibri"/>
                <w:kern w:val="2"/>
                <w:sz w:val="24"/>
                <w:szCs w:val="24"/>
                <w:lang w:val="fi-FI" w:eastAsia="zh-CN"/>
                <w14:ligatures w14:val="standardContextual"/>
              </w:rPr>
            </w:pPr>
            <w:r>
              <w:rPr>
                <w:rFonts w:eastAsia="Calibri"/>
                <w:kern w:val="2"/>
                <w:sz w:val="24"/>
                <w:szCs w:val="24"/>
                <w:lang w:val="fi-FI" w:eastAsia="zh-CN"/>
                <w14:ligatures w14:val="standardContextual"/>
              </w:rPr>
              <w:t>C3 (%)</w:t>
            </w:r>
          </w:p>
        </w:tc>
        <w:tc>
          <w:tcPr>
            <w:tcW w:w="990" w:type="dxa"/>
            <w:tcBorders>
              <w:top w:val="single" w:sz="4" w:space="0" w:color="auto"/>
              <w:bottom w:val="single" w:sz="4" w:space="0" w:color="auto"/>
            </w:tcBorders>
            <w:vAlign w:val="center"/>
          </w:tcPr>
          <w:p w14:paraId="411CC672" w14:textId="77777777" w:rsidR="00963A30" w:rsidRDefault="00985EA0">
            <w:pPr>
              <w:widowControl/>
              <w:autoSpaceDE/>
              <w:autoSpaceDN/>
              <w:ind w:right="-108"/>
              <w:jc w:val="center"/>
              <w:rPr>
                <w:rFonts w:eastAsia="Calibri"/>
                <w:kern w:val="2"/>
                <w:sz w:val="24"/>
                <w:szCs w:val="24"/>
                <w:lang w:val="fi-FI" w:eastAsia="zh-CN"/>
                <w14:ligatures w14:val="standardContextual"/>
              </w:rPr>
            </w:pPr>
            <w:r>
              <w:rPr>
                <w:rFonts w:eastAsia="Calibri"/>
                <w:kern w:val="2"/>
                <w:sz w:val="24"/>
                <w:szCs w:val="24"/>
                <w:lang w:val="fi-FI" w:eastAsia="zh-CN"/>
                <w14:ligatures w14:val="standardContextual"/>
              </w:rPr>
              <w:t>nC4 (%)</w:t>
            </w:r>
          </w:p>
        </w:tc>
        <w:tc>
          <w:tcPr>
            <w:tcW w:w="1170" w:type="dxa"/>
            <w:tcBorders>
              <w:top w:val="single" w:sz="4" w:space="0" w:color="auto"/>
              <w:bottom w:val="single" w:sz="4" w:space="0" w:color="auto"/>
            </w:tcBorders>
            <w:vAlign w:val="center"/>
          </w:tcPr>
          <w:p w14:paraId="07F5EA98" w14:textId="77777777" w:rsidR="00963A30" w:rsidRDefault="00985EA0">
            <w:pPr>
              <w:widowControl/>
              <w:autoSpaceDE/>
              <w:autoSpaceDN/>
              <w:jc w:val="center"/>
              <w:rPr>
                <w:rFonts w:eastAsia="Calibri"/>
                <w:kern w:val="2"/>
                <w:sz w:val="24"/>
                <w:szCs w:val="24"/>
                <w:lang w:val="fi-FI" w:eastAsia="zh-CN"/>
                <w14:ligatures w14:val="standardContextual"/>
              </w:rPr>
            </w:pPr>
            <w:r>
              <w:rPr>
                <w:rFonts w:eastAsia="Calibri"/>
                <w:kern w:val="2"/>
                <w:sz w:val="24"/>
                <w:szCs w:val="24"/>
                <w:lang w:val="fi-FI" w:eastAsia="zh-CN"/>
                <w14:ligatures w14:val="standardContextual"/>
              </w:rPr>
              <w:t>nC5 (%)</w:t>
            </w:r>
          </w:p>
        </w:tc>
        <w:tc>
          <w:tcPr>
            <w:tcW w:w="1260" w:type="dxa"/>
            <w:tcBorders>
              <w:top w:val="single" w:sz="4" w:space="0" w:color="auto"/>
              <w:bottom w:val="single" w:sz="4" w:space="0" w:color="auto"/>
            </w:tcBorders>
            <w:vAlign w:val="center"/>
          </w:tcPr>
          <w:p w14:paraId="00358145" w14:textId="77777777" w:rsidR="00963A30" w:rsidRDefault="00985EA0">
            <w:pPr>
              <w:widowControl/>
              <w:autoSpaceDE/>
              <w:autoSpaceDN/>
              <w:jc w:val="center"/>
              <w:rPr>
                <w:rFonts w:eastAsia="Calibri"/>
                <w:kern w:val="2"/>
                <w:sz w:val="24"/>
                <w:szCs w:val="24"/>
                <w:lang w:val="fi-FI" w:eastAsia="zh-CN"/>
                <w14:ligatures w14:val="standardContextual"/>
              </w:rPr>
            </w:pPr>
            <w:r>
              <w:rPr>
                <w:rFonts w:eastAsia="Calibri"/>
                <w:kern w:val="2"/>
                <w:sz w:val="24"/>
                <w:szCs w:val="24"/>
                <w:lang w:val="fi-FI" w:eastAsia="zh-CN"/>
                <w14:ligatures w14:val="standardContextual"/>
              </w:rPr>
              <w:t>iC4 (%)</w:t>
            </w:r>
          </w:p>
        </w:tc>
        <w:tc>
          <w:tcPr>
            <w:tcW w:w="990" w:type="dxa"/>
            <w:tcBorders>
              <w:top w:val="single" w:sz="4" w:space="0" w:color="auto"/>
              <w:bottom w:val="single" w:sz="4" w:space="0" w:color="auto"/>
            </w:tcBorders>
            <w:vAlign w:val="center"/>
          </w:tcPr>
          <w:p w14:paraId="1FACE273" w14:textId="77777777" w:rsidR="00963A30" w:rsidRDefault="00985EA0">
            <w:pPr>
              <w:widowControl/>
              <w:autoSpaceDE/>
              <w:autoSpaceDN/>
              <w:jc w:val="center"/>
              <w:rPr>
                <w:rFonts w:eastAsia="Calibri"/>
                <w:kern w:val="2"/>
                <w:sz w:val="24"/>
                <w:szCs w:val="24"/>
                <w:lang w:val="fi-FI" w:eastAsia="zh-CN"/>
                <w14:ligatures w14:val="standardContextual"/>
              </w:rPr>
            </w:pPr>
            <w:r>
              <w:rPr>
                <w:rFonts w:eastAsia="Calibri"/>
                <w:kern w:val="2"/>
                <w:sz w:val="24"/>
                <w:szCs w:val="24"/>
                <w:lang w:val="fi-FI" w:eastAsia="zh-CN"/>
                <w14:ligatures w14:val="standardContextual"/>
              </w:rPr>
              <w:t>iC5 (%)</w:t>
            </w:r>
          </w:p>
        </w:tc>
        <w:tc>
          <w:tcPr>
            <w:tcW w:w="1468" w:type="dxa"/>
            <w:tcBorders>
              <w:top w:val="single" w:sz="4" w:space="0" w:color="auto"/>
              <w:bottom w:val="single" w:sz="4" w:space="0" w:color="auto"/>
            </w:tcBorders>
            <w:vAlign w:val="center"/>
          </w:tcPr>
          <w:p w14:paraId="467819F7" w14:textId="77777777" w:rsidR="00963A30" w:rsidRDefault="00985EA0">
            <w:pPr>
              <w:widowControl/>
              <w:autoSpaceDE/>
              <w:autoSpaceDN/>
              <w:jc w:val="center"/>
              <w:rPr>
                <w:rFonts w:eastAsia="Calibri"/>
                <w:kern w:val="2"/>
                <w:sz w:val="24"/>
                <w:szCs w:val="24"/>
                <w:lang w:val="fi-FI" w:eastAsia="zh-CN"/>
                <w14:ligatures w14:val="standardContextual"/>
              </w:rPr>
            </w:pPr>
            <w:r>
              <w:rPr>
                <w:rFonts w:eastAsia="Calibri"/>
                <w:kern w:val="2"/>
                <w:sz w:val="24"/>
                <w:szCs w:val="24"/>
                <w:lang w:val="fi-FI" w:eastAsia="zh-CN"/>
                <w14:ligatures w14:val="standardContextual"/>
              </w:rPr>
              <w:t>Ratio C2/C3</w:t>
            </w:r>
          </w:p>
        </w:tc>
      </w:tr>
      <w:tr w:rsidR="00963A30" w14:paraId="34D3AD25" w14:textId="77777777">
        <w:trPr>
          <w:trHeight w:val="223"/>
        </w:trPr>
        <w:tc>
          <w:tcPr>
            <w:tcW w:w="1255" w:type="dxa"/>
            <w:tcBorders>
              <w:top w:val="single" w:sz="4" w:space="0" w:color="auto"/>
            </w:tcBorders>
            <w:vAlign w:val="center"/>
            <w:hideMark/>
          </w:tcPr>
          <w:p w14:paraId="06E5F2B3" w14:textId="77777777" w:rsidR="00963A30" w:rsidRDefault="00985EA0">
            <w:pPr>
              <w:widowControl/>
              <w:autoSpaceDE/>
              <w:autoSpaceDN/>
              <w:jc w:val="center"/>
              <w:rPr>
                <w:rFonts w:eastAsia="Calibri"/>
                <w:kern w:val="2"/>
                <w:sz w:val="24"/>
                <w:szCs w:val="24"/>
                <w:lang w:val="fi-FI" w:eastAsia="zh-CN"/>
                <w14:ligatures w14:val="standardContextual"/>
              </w:rPr>
            </w:pPr>
            <w:r>
              <w:rPr>
                <w:rFonts w:eastAsia="Calibri"/>
                <w:kern w:val="2"/>
                <w:sz w:val="24"/>
                <w:szCs w:val="24"/>
                <w:lang w:val="fi-FI" w:eastAsia="zh-CN"/>
                <w14:ligatures w14:val="standardContextual"/>
              </w:rPr>
              <w:t>R1</w:t>
            </w:r>
          </w:p>
        </w:tc>
        <w:tc>
          <w:tcPr>
            <w:tcW w:w="900" w:type="dxa"/>
            <w:tcBorders>
              <w:top w:val="single" w:sz="4" w:space="0" w:color="auto"/>
            </w:tcBorders>
            <w:vAlign w:val="center"/>
            <w:hideMark/>
          </w:tcPr>
          <w:p w14:paraId="3E9C7A18" w14:textId="77777777" w:rsidR="00963A30" w:rsidRDefault="00985EA0">
            <w:pPr>
              <w:widowControl/>
              <w:autoSpaceDE/>
              <w:autoSpaceDN/>
              <w:ind w:right="-32"/>
              <w:jc w:val="center"/>
              <w:rPr>
                <w:rFonts w:eastAsia="Calibri"/>
                <w:kern w:val="2"/>
                <w:sz w:val="24"/>
                <w:szCs w:val="24"/>
                <w:lang w:val="fi-FI" w:eastAsia="zh-CN"/>
                <w14:ligatures w14:val="standardContextual"/>
              </w:rPr>
            </w:pPr>
            <w:r>
              <w:rPr>
                <w:color w:val="000000"/>
                <w:sz w:val="24"/>
                <w:szCs w:val="24"/>
              </w:rPr>
              <w:t>60.08</w:t>
            </w:r>
            <w:r>
              <w:rPr>
                <w:color w:val="000000"/>
                <w:sz w:val="24"/>
                <w:szCs w:val="24"/>
                <w:vertAlign w:val="superscript"/>
              </w:rPr>
              <w:t>d</w:t>
            </w:r>
          </w:p>
        </w:tc>
        <w:tc>
          <w:tcPr>
            <w:tcW w:w="990" w:type="dxa"/>
            <w:tcBorders>
              <w:top w:val="single" w:sz="4" w:space="0" w:color="auto"/>
            </w:tcBorders>
            <w:vAlign w:val="center"/>
          </w:tcPr>
          <w:p w14:paraId="1404C5FC" w14:textId="77777777" w:rsidR="00963A30" w:rsidRDefault="00985EA0">
            <w:pPr>
              <w:autoSpaceDE/>
              <w:autoSpaceDN/>
              <w:jc w:val="center"/>
              <w:rPr>
                <w:color w:val="000000"/>
                <w:sz w:val="24"/>
                <w:szCs w:val="24"/>
              </w:rPr>
            </w:pPr>
            <w:r>
              <w:rPr>
                <w:color w:val="000000"/>
                <w:sz w:val="24"/>
                <w:szCs w:val="24"/>
              </w:rPr>
              <w:t>24.45</w:t>
            </w:r>
          </w:p>
        </w:tc>
        <w:tc>
          <w:tcPr>
            <w:tcW w:w="990" w:type="dxa"/>
            <w:tcBorders>
              <w:top w:val="single" w:sz="4" w:space="0" w:color="auto"/>
            </w:tcBorders>
            <w:vAlign w:val="center"/>
          </w:tcPr>
          <w:p w14:paraId="162C112B" w14:textId="77777777" w:rsidR="00963A30" w:rsidRDefault="00985EA0">
            <w:pPr>
              <w:widowControl/>
              <w:autoSpaceDE/>
              <w:autoSpaceDN/>
              <w:jc w:val="center"/>
              <w:rPr>
                <w:color w:val="000000"/>
                <w:sz w:val="24"/>
                <w:szCs w:val="24"/>
              </w:rPr>
            </w:pPr>
            <w:r>
              <w:rPr>
                <w:color w:val="000000"/>
                <w:sz w:val="24"/>
                <w:szCs w:val="24"/>
              </w:rPr>
              <w:t>8.72</w:t>
            </w:r>
          </w:p>
        </w:tc>
        <w:tc>
          <w:tcPr>
            <w:tcW w:w="1170" w:type="dxa"/>
            <w:tcBorders>
              <w:top w:val="single" w:sz="4" w:space="0" w:color="auto"/>
            </w:tcBorders>
            <w:vAlign w:val="center"/>
          </w:tcPr>
          <w:p w14:paraId="339B5013" w14:textId="77777777" w:rsidR="00963A30" w:rsidRDefault="00985EA0">
            <w:pPr>
              <w:widowControl/>
              <w:autoSpaceDE/>
              <w:autoSpaceDN/>
              <w:jc w:val="center"/>
              <w:rPr>
                <w:color w:val="000000"/>
                <w:sz w:val="24"/>
                <w:szCs w:val="24"/>
              </w:rPr>
            </w:pPr>
            <w:r>
              <w:rPr>
                <w:color w:val="000000"/>
                <w:sz w:val="24"/>
                <w:szCs w:val="24"/>
              </w:rPr>
              <w:t>1.41</w:t>
            </w:r>
          </w:p>
        </w:tc>
        <w:tc>
          <w:tcPr>
            <w:tcW w:w="1260" w:type="dxa"/>
            <w:tcBorders>
              <w:top w:val="single" w:sz="4" w:space="0" w:color="auto"/>
            </w:tcBorders>
            <w:vAlign w:val="center"/>
          </w:tcPr>
          <w:p w14:paraId="685BBE3E" w14:textId="77777777" w:rsidR="00963A30" w:rsidRDefault="00985EA0">
            <w:pPr>
              <w:widowControl/>
              <w:autoSpaceDE/>
              <w:autoSpaceDN/>
              <w:jc w:val="center"/>
              <w:rPr>
                <w:color w:val="000000"/>
                <w:sz w:val="24"/>
                <w:szCs w:val="24"/>
              </w:rPr>
            </w:pPr>
            <w:r>
              <w:rPr>
                <w:color w:val="000000"/>
                <w:sz w:val="24"/>
                <w:szCs w:val="24"/>
              </w:rPr>
              <w:t>2.57</w:t>
            </w:r>
          </w:p>
        </w:tc>
        <w:tc>
          <w:tcPr>
            <w:tcW w:w="990" w:type="dxa"/>
            <w:tcBorders>
              <w:top w:val="single" w:sz="4" w:space="0" w:color="auto"/>
            </w:tcBorders>
            <w:vAlign w:val="center"/>
          </w:tcPr>
          <w:p w14:paraId="229E4C75" w14:textId="77777777" w:rsidR="00963A30" w:rsidRDefault="00985EA0">
            <w:pPr>
              <w:widowControl/>
              <w:autoSpaceDE/>
              <w:autoSpaceDN/>
              <w:jc w:val="center"/>
              <w:rPr>
                <w:color w:val="000000"/>
                <w:sz w:val="24"/>
                <w:szCs w:val="24"/>
              </w:rPr>
            </w:pPr>
            <w:r>
              <w:rPr>
                <w:color w:val="000000"/>
                <w:sz w:val="24"/>
                <w:szCs w:val="24"/>
              </w:rPr>
              <w:t>2.78</w:t>
            </w:r>
          </w:p>
        </w:tc>
        <w:tc>
          <w:tcPr>
            <w:tcW w:w="1468" w:type="dxa"/>
            <w:tcBorders>
              <w:top w:val="single" w:sz="4" w:space="0" w:color="auto"/>
            </w:tcBorders>
            <w:vAlign w:val="center"/>
          </w:tcPr>
          <w:p w14:paraId="2DE7E89D" w14:textId="77777777" w:rsidR="00963A30" w:rsidRDefault="00985EA0">
            <w:pPr>
              <w:widowControl/>
              <w:autoSpaceDE/>
              <w:autoSpaceDN/>
              <w:jc w:val="center"/>
              <w:rPr>
                <w:color w:val="000000"/>
                <w:sz w:val="24"/>
                <w:szCs w:val="24"/>
              </w:rPr>
            </w:pPr>
            <w:r>
              <w:rPr>
                <w:color w:val="000000"/>
                <w:sz w:val="24"/>
                <w:szCs w:val="24"/>
              </w:rPr>
              <w:t>3.20</w:t>
            </w:r>
          </w:p>
        </w:tc>
      </w:tr>
      <w:tr w:rsidR="00963A30" w14:paraId="17FA365C" w14:textId="77777777">
        <w:trPr>
          <w:trHeight w:val="223"/>
        </w:trPr>
        <w:tc>
          <w:tcPr>
            <w:tcW w:w="1255" w:type="dxa"/>
            <w:vAlign w:val="center"/>
            <w:hideMark/>
          </w:tcPr>
          <w:p w14:paraId="37A643AD" w14:textId="77777777" w:rsidR="00963A30" w:rsidRDefault="00985EA0">
            <w:pPr>
              <w:widowControl/>
              <w:autoSpaceDE/>
              <w:autoSpaceDN/>
              <w:jc w:val="center"/>
              <w:rPr>
                <w:rFonts w:eastAsia="Calibri"/>
                <w:kern w:val="2"/>
                <w:sz w:val="24"/>
                <w:szCs w:val="24"/>
                <w:lang w:val="fi-FI" w:eastAsia="zh-CN"/>
                <w14:ligatures w14:val="standardContextual"/>
              </w:rPr>
            </w:pPr>
            <w:r>
              <w:rPr>
                <w:rFonts w:eastAsia="Calibri"/>
                <w:kern w:val="2"/>
                <w:sz w:val="24"/>
                <w:szCs w:val="24"/>
                <w:lang w:val="fi-FI" w:eastAsia="zh-CN"/>
                <w14:ligatures w14:val="standardContextual"/>
              </w:rPr>
              <w:t>R2</w:t>
            </w:r>
          </w:p>
        </w:tc>
        <w:tc>
          <w:tcPr>
            <w:tcW w:w="900" w:type="dxa"/>
            <w:vAlign w:val="center"/>
            <w:hideMark/>
          </w:tcPr>
          <w:p w14:paraId="007F1885" w14:textId="77777777" w:rsidR="00963A30" w:rsidRDefault="00985EA0">
            <w:pPr>
              <w:widowControl/>
              <w:autoSpaceDE/>
              <w:autoSpaceDN/>
              <w:jc w:val="center"/>
              <w:rPr>
                <w:rFonts w:eastAsia="Calibri"/>
                <w:kern w:val="2"/>
                <w:sz w:val="24"/>
                <w:szCs w:val="24"/>
                <w:lang w:val="fi-FI" w:eastAsia="zh-CN"/>
                <w14:ligatures w14:val="standardContextual"/>
              </w:rPr>
            </w:pPr>
            <w:r>
              <w:rPr>
                <w:color w:val="000000"/>
                <w:sz w:val="24"/>
                <w:szCs w:val="24"/>
              </w:rPr>
              <w:t>68.28</w:t>
            </w:r>
            <w:r>
              <w:rPr>
                <w:color w:val="000000"/>
                <w:sz w:val="24"/>
                <w:szCs w:val="24"/>
                <w:vertAlign w:val="superscript"/>
              </w:rPr>
              <w:t>b</w:t>
            </w:r>
          </w:p>
        </w:tc>
        <w:tc>
          <w:tcPr>
            <w:tcW w:w="990" w:type="dxa"/>
            <w:vAlign w:val="center"/>
          </w:tcPr>
          <w:p w14:paraId="26DC6389" w14:textId="77777777" w:rsidR="00963A30" w:rsidRDefault="00985EA0">
            <w:pPr>
              <w:autoSpaceDE/>
              <w:autoSpaceDN/>
              <w:jc w:val="center"/>
              <w:rPr>
                <w:rFonts w:eastAsia="Calibri"/>
                <w:kern w:val="2"/>
                <w:sz w:val="24"/>
                <w:szCs w:val="24"/>
                <w:lang w:val="fi-FI" w:eastAsia="zh-CN"/>
                <w14:ligatures w14:val="standardContextual"/>
              </w:rPr>
            </w:pPr>
            <w:r>
              <w:rPr>
                <w:color w:val="000000"/>
                <w:sz w:val="24"/>
                <w:szCs w:val="24"/>
              </w:rPr>
              <w:t>20.06</w:t>
            </w:r>
          </w:p>
        </w:tc>
        <w:tc>
          <w:tcPr>
            <w:tcW w:w="990" w:type="dxa"/>
            <w:vAlign w:val="center"/>
          </w:tcPr>
          <w:p w14:paraId="6FE3419B" w14:textId="77777777" w:rsidR="00963A30" w:rsidRDefault="00985EA0">
            <w:pPr>
              <w:widowControl/>
              <w:autoSpaceDE/>
              <w:autoSpaceDN/>
              <w:jc w:val="center"/>
              <w:rPr>
                <w:color w:val="000000"/>
                <w:sz w:val="24"/>
                <w:szCs w:val="24"/>
              </w:rPr>
            </w:pPr>
            <w:r>
              <w:rPr>
                <w:color w:val="000000"/>
                <w:sz w:val="24"/>
                <w:szCs w:val="24"/>
              </w:rPr>
              <w:t>7.43</w:t>
            </w:r>
          </w:p>
        </w:tc>
        <w:tc>
          <w:tcPr>
            <w:tcW w:w="1170" w:type="dxa"/>
            <w:vAlign w:val="center"/>
          </w:tcPr>
          <w:p w14:paraId="7C58BD8B" w14:textId="77777777" w:rsidR="00963A30" w:rsidRDefault="00985EA0">
            <w:pPr>
              <w:widowControl/>
              <w:autoSpaceDE/>
              <w:autoSpaceDN/>
              <w:jc w:val="center"/>
              <w:rPr>
                <w:color w:val="000000"/>
                <w:sz w:val="24"/>
                <w:szCs w:val="24"/>
              </w:rPr>
            </w:pPr>
            <w:r>
              <w:rPr>
                <w:color w:val="000000"/>
                <w:sz w:val="24"/>
                <w:szCs w:val="24"/>
              </w:rPr>
              <w:t>1.13</w:t>
            </w:r>
          </w:p>
        </w:tc>
        <w:tc>
          <w:tcPr>
            <w:tcW w:w="1260" w:type="dxa"/>
            <w:vAlign w:val="center"/>
          </w:tcPr>
          <w:p w14:paraId="736C8B2F" w14:textId="77777777" w:rsidR="00963A30" w:rsidRDefault="00985EA0">
            <w:pPr>
              <w:widowControl/>
              <w:autoSpaceDE/>
              <w:autoSpaceDN/>
              <w:jc w:val="center"/>
              <w:rPr>
                <w:color w:val="000000"/>
                <w:sz w:val="24"/>
                <w:szCs w:val="24"/>
              </w:rPr>
            </w:pPr>
            <w:r>
              <w:rPr>
                <w:color w:val="000000"/>
                <w:sz w:val="24"/>
                <w:szCs w:val="24"/>
              </w:rPr>
              <w:t>1.29</w:t>
            </w:r>
          </w:p>
        </w:tc>
        <w:tc>
          <w:tcPr>
            <w:tcW w:w="990" w:type="dxa"/>
            <w:vAlign w:val="center"/>
          </w:tcPr>
          <w:p w14:paraId="2624767F" w14:textId="77777777" w:rsidR="00963A30" w:rsidRDefault="00985EA0">
            <w:pPr>
              <w:widowControl/>
              <w:autoSpaceDE/>
              <w:autoSpaceDN/>
              <w:jc w:val="center"/>
              <w:rPr>
                <w:color w:val="000000"/>
                <w:sz w:val="24"/>
                <w:szCs w:val="24"/>
              </w:rPr>
            </w:pPr>
            <w:r>
              <w:rPr>
                <w:color w:val="000000"/>
                <w:sz w:val="24"/>
                <w:szCs w:val="24"/>
              </w:rPr>
              <w:t>1.82</w:t>
            </w:r>
          </w:p>
        </w:tc>
        <w:tc>
          <w:tcPr>
            <w:tcW w:w="1468" w:type="dxa"/>
            <w:vAlign w:val="center"/>
          </w:tcPr>
          <w:p w14:paraId="5FE2B9AE" w14:textId="77777777" w:rsidR="00963A30" w:rsidRDefault="00985EA0">
            <w:pPr>
              <w:widowControl/>
              <w:autoSpaceDE/>
              <w:autoSpaceDN/>
              <w:jc w:val="center"/>
              <w:rPr>
                <w:color w:val="000000"/>
                <w:sz w:val="24"/>
                <w:szCs w:val="24"/>
              </w:rPr>
            </w:pPr>
            <w:r>
              <w:rPr>
                <w:color w:val="000000"/>
                <w:sz w:val="24"/>
                <w:szCs w:val="24"/>
              </w:rPr>
              <w:t>3.67</w:t>
            </w:r>
          </w:p>
        </w:tc>
      </w:tr>
      <w:tr w:rsidR="00963A30" w14:paraId="427521DC" w14:textId="77777777">
        <w:trPr>
          <w:trHeight w:val="223"/>
        </w:trPr>
        <w:tc>
          <w:tcPr>
            <w:tcW w:w="1255" w:type="dxa"/>
            <w:vAlign w:val="center"/>
            <w:hideMark/>
          </w:tcPr>
          <w:p w14:paraId="75041B58" w14:textId="77777777" w:rsidR="00963A30" w:rsidRDefault="00985EA0">
            <w:pPr>
              <w:widowControl/>
              <w:autoSpaceDE/>
              <w:autoSpaceDN/>
              <w:jc w:val="center"/>
              <w:rPr>
                <w:rFonts w:eastAsia="Calibri"/>
                <w:kern w:val="2"/>
                <w:sz w:val="24"/>
                <w:szCs w:val="24"/>
                <w:lang w:val="fi-FI" w:eastAsia="zh-CN"/>
                <w14:ligatures w14:val="standardContextual"/>
              </w:rPr>
            </w:pPr>
            <w:r>
              <w:rPr>
                <w:rFonts w:eastAsia="Calibri"/>
                <w:kern w:val="2"/>
                <w:sz w:val="24"/>
                <w:szCs w:val="24"/>
                <w:lang w:val="fi-FI" w:eastAsia="zh-CN"/>
                <w14:ligatures w14:val="standardContextual"/>
              </w:rPr>
              <w:t>R3</w:t>
            </w:r>
          </w:p>
        </w:tc>
        <w:tc>
          <w:tcPr>
            <w:tcW w:w="900" w:type="dxa"/>
            <w:vAlign w:val="center"/>
            <w:hideMark/>
          </w:tcPr>
          <w:p w14:paraId="3999FA74" w14:textId="77777777" w:rsidR="00963A30" w:rsidRDefault="00985EA0">
            <w:pPr>
              <w:widowControl/>
              <w:autoSpaceDE/>
              <w:autoSpaceDN/>
              <w:jc w:val="center"/>
              <w:rPr>
                <w:rFonts w:eastAsia="Calibri"/>
                <w:kern w:val="2"/>
                <w:sz w:val="24"/>
                <w:szCs w:val="24"/>
                <w:lang w:val="fi-FI" w:eastAsia="zh-CN"/>
                <w14:ligatures w14:val="standardContextual"/>
              </w:rPr>
            </w:pPr>
            <w:r>
              <w:rPr>
                <w:color w:val="000000"/>
                <w:sz w:val="24"/>
                <w:szCs w:val="24"/>
              </w:rPr>
              <w:t>69.27</w:t>
            </w:r>
            <w:r>
              <w:rPr>
                <w:color w:val="000000"/>
                <w:sz w:val="24"/>
                <w:szCs w:val="24"/>
                <w:vertAlign w:val="superscript"/>
              </w:rPr>
              <w:t>b</w:t>
            </w:r>
          </w:p>
        </w:tc>
        <w:tc>
          <w:tcPr>
            <w:tcW w:w="990" w:type="dxa"/>
            <w:vAlign w:val="center"/>
          </w:tcPr>
          <w:p w14:paraId="6329F4CD" w14:textId="77777777" w:rsidR="00963A30" w:rsidRDefault="00985EA0">
            <w:pPr>
              <w:autoSpaceDE/>
              <w:autoSpaceDN/>
              <w:jc w:val="center"/>
              <w:rPr>
                <w:rFonts w:eastAsia="Calibri"/>
                <w:kern w:val="2"/>
                <w:sz w:val="24"/>
                <w:szCs w:val="24"/>
                <w:lang w:val="fi-FI" w:eastAsia="zh-CN"/>
                <w14:ligatures w14:val="standardContextual"/>
              </w:rPr>
            </w:pPr>
            <w:r>
              <w:rPr>
                <w:color w:val="000000"/>
                <w:sz w:val="24"/>
                <w:szCs w:val="24"/>
              </w:rPr>
              <w:t>19.52</w:t>
            </w:r>
          </w:p>
        </w:tc>
        <w:tc>
          <w:tcPr>
            <w:tcW w:w="990" w:type="dxa"/>
            <w:vAlign w:val="center"/>
          </w:tcPr>
          <w:p w14:paraId="5BA1534F" w14:textId="77777777" w:rsidR="00963A30" w:rsidRDefault="00985EA0">
            <w:pPr>
              <w:widowControl/>
              <w:autoSpaceDE/>
              <w:autoSpaceDN/>
              <w:jc w:val="center"/>
              <w:rPr>
                <w:color w:val="000000"/>
                <w:sz w:val="24"/>
                <w:szCs w:val="24"/>
              </w:rPr>
            </w:pPr>
            <w:r>
              <w:rPr>
                <w:color w:val="000000"/>
                <w:sz w:val="24"/>
                <w:szCs w:val="24"/>
              </w:rPr>
              <w:t>6.67</w:t>
            </w:r>
          </w:p>
        </w:tc>
        <w:tc>
          <w:tcPr>
            <w:tcW w:w="1170" w:type="dxa"/>
            <w:vAlign w:val="center"/>
          </w:tcPr>
          <w:p w14:paraId="5705DAAF" w14:textId="77777777" w:rsidR="00963A30" w:rsidRDefault="00985EA0">
            <w:pPr>
              <w:widowControl/>
              <w:autoSpaceDE/>
              <w:autoSpaceDN/>
              <w:jc w:val="center"/>
              <w:rPr>
                <w:color w:val="000000"/>
                <w:sz w:val="24"/>
                <w:szCs w:val="24"/>
              </w:rPr>
            </w:pPr>
            <w:r>
              <w:rPr>
                <w:color w:val="000000"/>
                <w:sz w:val="24"/>
                <w:szCs w:val="24"/>
              </w:rPr>
              <w:t>1.03</w:t>
            </w:r>
          </w:p>
        </w:tc>
        <w:tc>
          <w:tcPr>
            <w:tcW w:w="1260" w:type="dxa"/>
            <w:vAlign w:val="center"/>
          </w:tcPr>
          <w:p w14:paraId="16A35560" w14:textId="77777777" w:rsidR="00963A30" w:rsidRDefault="00985EA0">
            <w:pPr>
              <w:widowControl/>
              <w:autoSpaceDE/>
              <w:autoSpaceDN/>
              <w:jc w:val="center"/>
              <w:rPr>
                <w:color w:val="000000"/>
                <w:sz w:val="24"/>
                <w:szCs w:val="24"/>
              </w:rPr>
            </w:pPr>
            <w:r>
              <w:rPr>
                <w:color w:val="000000"/>
                <w:sz w:val="24"/>
                <w:szCs w:val="24"/>
              </w:rPr>
              <w:t>1.67</w:t>
            </w:r>
          </w:p>
        </w:tc>
        <w:tc>
          <w:tcPr>
            <w:tcW w:w="990" w:type="dxa"/>
            <w:vAlign w:val="center"/>
          </w:tcPr>
          <w:p w14:paraId="130F09A3" w14:textId="77777777" w:rsidR="00963A30" w:rsidRDefault="00985EA0">
            <w:pPr>
              <w:widowControl/>
              <w:autoSpaceDE/>
              <w:autoSpaceDN/>
              <w:jc w:val="center"/>
              <w:rPr>
                <w:color w:val="000000"/>
                <w:sz w:val="24"/>
                <w:szCs w:val="24"/>
              </w:rPr>
            </w:pPr>
            <w:r>
              <w:rPr>
                <w:color w:val="000000"/>
                <w:sz w:val="24"/>
                <w:szCs w:val="24"/>
              </w:rPr>
              <w:t>1.84</w:t>
            </w:r>
          </w:p>
        </w:tc>
        <w:tc>
          <w:tcPr>
            <w:tcW w:w="1468" w:type="dxa"/>
            <w:vAlign w:val="center"/>
          </w:tcPr>
          <w:p w14:paraId="42F169D0" w14:textId="77777777" w:rsidR="00963A30" w:rsidRDefault="00985EA0">
            <w:pPr>
              <w:widowControl/>
              <w:autoSpaceDE/>
              <w:autoSpaceDN/>
              <w:jc w:val="center"/>
              <w:rPr>
                <w:color w:val="000000"/>
                <w:sz w:val="24"/>
                <w:szCs w:val="24"/>
              </w:rPr>
            </w:pPr>
            <w:r>
              <w:rPr>
                <w:color w:val="000000"/>
                <w:sz w:val="24"/>
                <w:szCs w:val="24"/>
              </w:rPr>
              <w:t>3.82</w:t>
            </w:r>
          </w:p>
        </w:tc>
      </w:tr>
      <w:tr w:rsidR="00963A30" w14:paraId="4FEDFA24" w14:textId="77777777">
        <w:trPr>
          <w:trHeight w:val="223"/>
        </w:trPr>
        <w:tc>
          <w:tcPr>
            <w:tcW w:w="1255" w:type="dxa"/>
            <w:vAlign w:val="center"/>
          </w:tcPr>
          <w:p w14:paraId="22A0D1D6" w14:textId="77777777" w:rsidR="00963A30" w:rsidRDefault="00985EA0">
            <w:pPr>
              <w:widowControl/>
              <w:autoSpaceDE/>
              <w:autoSpaceDN/>
              <w:jc w:val="center"/>
              <w:rPr>
                <w:rFonts w:eastAsia="Calibri"/>
                <w:kern w:val="2"/>
                <w:sz w:val="24"/>
                <w:szCs w:val="24"/>
                <w:lang w:val="fi-FI" w:eastAsia="zh-CN"/>
                <w14:ligatures w14:val="standardContextual"/>
              </w:rPr>
            </w:pPr>
            <w:r>
              <w:rPr>
                <w:rFonts w:eastAsia="Calibri"/>
                <w:kern w:val="2"/>
                <w:sz w:val="24"/>
                <w:szCs w:val="24"/>
                <w:lang w:val="fi-FI" w:eastAsia="zh-CN"/>
                <w14:ligatures w14:val="standardContextual"/>
              </w:rPr>
              <w:t>R4</w:t>
            </w:r>
          </w:p>
        </w:tc>
        <w:tc>
          <w:tcPr>
            <w:tcW w:w="900" w:type="dxa"/>
            <w:vAlign w:val="center"/>
          </w:tcPr>
          <w:p w14:paraId="0E9EBB36" w14:textId="77777777" w:rsidR="00963A30" w:rsidRDefault="00985EA0">
            <w:pPr>
              <w:widowControl/>
              <w:autoSpaceDE/>
              <w:autoSpaceDN/>
              <w:jc w:val="center"/>
              <w:rPr>
                <w:rFonts w:eastAsia="Calibri"/>
                <w:kern w:val="2"/>
                <w:sz w:val="24"/>
                <w:szCs w:val="24"/>
                <w:lang w:val="fi-FI" w:eastAsia="zh-CN"/>
                <w14:ligatures w14:val="standardContextual"/>
              </w:rPr>
            </w:pPr>
            <w:r>
              <w:rPr>
                <w:color w:val="000000"/>
                <w:sz w:val="24"/>
                <w:szCs w:val="24"/>
              </w:rPr>
              <w:t>71.20</w:t>
            </w:r>
            <w:r>
              <w:rPr>
                <w:color w:val="000000"/>
                <w:sz w:val="24"/>
                <w:szCs w:val="24"/>
                <w:vertAlign w:val="superscript"/>
              </w:rPr>
              <w:t>a</w:t>
            </w:r>
          </w:p>
        </w:tc>
        <w:tc>
          <w:tcPr>
            <w:tcW w:w="990" w:type="dxa"/>
            <w:vAlign w:val="center"/>
          </w:tcPr>
          <w:p w14:paraId="7A80D07E" w14:textId="77777777" w:rsidR="00963A30" w:rsidRDefault="00985EA0">
            <w:pPr>
              <w:autoSpaceDE/>
              <w:autoSpaceDN/>
              <w:jc w:val="center"/>
              <w:rPr>
                <w:rFonts w:eastAsia="Calibri"/>
                <w:kern w:val="2"/>
                <w:sz w:val="24"/>
                <w:szCs w:val="24"/>
                <w:lang w:val="fi-FI" w:eastAsia="zh-CN"/>
                <w14:ligatures w14:val="standardContextual"/>
              </w:rPr>
            </w:pPr>
            <w:r>
              <w:rPr>
                <w:color w:val="000000"/>
                <w:sz w:val="24"/>
                <w:szCs w:val="24"/>
              </w:rPr>
              <w:t>18.45</w:t>
            </w:r>
          </w:p>
        </w:tc>
        <w:tc>
          <w:tcPr>
            <w:tcW w:w="990" w:type="dxa"/>
            <w:vAlign w:val="center"/>
          </w:tcPr>
          <w:p w14:paraId="3ACB75B9" w14:textId="77777777" w:rsidR="00963A30" w:rsidRDefault="00985EA0">
            <w:pPr>
              <w:widowControl/>
              <w:autoSpaceDE/>
              <w:autoSpaceDN/>
              <w:jc w:val="center"/>
              <w:rPr>
                <w:color w:val="000000"/>
                <w:sz w:val="24"/>
                <w:szCs w:val="24"/>
              </w:rPr>
            </w:pPr>
            <w:r>
              <w:rPr>
                <w:color w:val="000000"/>
                <w:sz w:val="24"/>
                <w:szCs w:val="24"/>
              </w:rPr>
              <w:t>6.50</w:t>
            </w:r>
          </w:p>
        </w:tc>
        <w:tc>
          <w:tcPr>
            <w:tcW w:w="1170" w:type="dxa"/>
            <w:vAlign w:val="center"/>
          </w:tcPr>
          <w:p w14:paraId="2A700F1A" w14:textId="77777777" w:rsidR="00963A30" w:rsidRDefault="00985EA0">
            <w:pPr>
              <w:widowControl/>
              <w:autoSpaceDE/>
              <w:autoSpaceDN/>
              <w:jc w:val="center"/>
              <w:rPr>
                <w:color w:val="000000"/>
                <w:sz w:val="24"/>
                <w:szCs w:val="24"/>
              </w:rPr>
            </w:pPr>
            <w:r>
              <w:rPr>
                <w:color w:val="000000"/>
                <w:sz w:val="24"/>
                <w:szCs w:val="24"/>
              </w:rPr>
              <w:t>0.91</w:t>
            </w:r>
          </w:p>
        </w:tc>
        <w:tc>
          <w:tcPr>
            <w:tcW w:w="1260" w:type="dxa"/>
            <w:vAlign w:val="center"/>
          </w:tcPr>
          <w:p w14:paraId="28002A92" w14:textId="77777777" w:rsidR="00963A30" w:rsidRDefault="00985EA0">
            <w:pPr>
              <w:widowControl/>
              <w:autoSpaceDE/>
              <w:autoSpaceDN/>
              <w:jc w:val="center"/>
              <w:rPr>
                <w:color w:val="000000"/>
                <w:sz w:val="24"/>
                <w:szCs w:val="24"/>
              </w:rPr>
            </w:pPr>
            <w:r>
              <w:rPr>
                <w:color w:val="000000"/>
                <w:sz w:val="24"/>
                <w:szCs w:val="24"/>
              </w:rPr>
              <w:t>1.30</w:t>
            </w:r>
          </w:p>
        </w:tc>
        <w:tc>
          <w:tcPr>
            <w:tcW w:w="990" w:type="dxa"/>
            <w:vAlign w:val="center"/>
          </w:tcPr>
          <w:p w14:paraId="296DD983" w14:textId="77777777" w:rsidR="00963A30" w:rsidRDefault="00985EA0">
            <w:pPr>
              <w:widowControl/>
              <w:autoSpaceDE/>
              <w:autoSpaceDN/>
              <w:jc w:val="center"/>
              <w:rPr>
                <w:color w:val="000000"/>
                <w:sz w:val="24"/>
                <w:szCs w:val="24"/>
              </w:rPr>
            </w:pPr>
            <w:r>
              <w:rPr>
                <w:color w:val="000000"/>
                <w:sz w:val="24"/>
                <w:szCs w:val="24"/>
              </w:rPr>
              <w:t>1.63</w:t>
            </w:r>
          </w:p>
        </w:tc>
        <w:tc>
          <w:tcPr>
            <w:tcW w:w="1468" w:type="dxa"/>
            <w:vAlign w:val="center"/>
          </w:tcPr>
          <w:p w14:paraId="763E5273" w14:textId="77777777" w:rsidR="00963A30" w:rsidRDefault="00985EA0">
            <w:pPr>
              <w:widowControl/>
              <w:autoSpaceDE/>
              <w:autoSpaceDN/>
              <w:jc w:val="center"/>
              <w:rPr>
                <w:color w:val="000000"/>
                <w:sz w:val="24"/>
                <w:szCs w:val="24"/>
              </w:rPr>
            </w:pPr>
            <w:r>
              <w:rPr>
                <w:color w:val="000000"/>
                <w:sz w:val="24"/>
                <w:szCs w:val="24"/>
              </w:rPr>
              <w:t>4.61</w:t>
            </w:r>
          </w:p>
        </w:tc>
      </w:tr>
      <w:tr w:rsidR="00963A30" w14:paraId="2DE3A9A8" w14:textId="77777777">
        <w:trPr>
          <w:trHeight w:val="223"/>
        </w:trPr>
        <w:tc>
          <w:tcPr>
            <w:tcW w:w="1255" w:type="dxa"/>
            <w:vAlign w:val="center"/>
          </w:tcPr>
          <w:p w14:paraId="77A2145C" w14:textId="77777777" w:rsidR="00963A30" w:rsidRDefault="00985EA0">
            <w:pPr>
              <w:widowControl/>
              <w:autoSpaceDE/>
              <w:autoSpaceDN/>
              <w:jc w:val="center"/>
              <w:rPr>
                <w:rFonts w:eastAsia="Calibri"/>
                <w:kern w:val="2"/>
                <w:sz w:val="24"/>
                <w:szCs w:val="24"/>
                <w:lang w:val="fi-FI" w:eastAsia="zh-CN"/>
                <w14:ligatures w14:val="standardContextual"/>
              </w:rPr>
            </w:pPr>
            <w:r>
              <w:rPr>
                <w:rFonts w:eastAsia="Calibri"/>
                <w:kern w:val="2"/>
                <w:sz w:val="24"/>
                <w:szCs w:val="24"/>
                <w:lang w:val="fi-FI" w:eastAsia="zh-CN"/>
                <w14:ligatures w14:val="standardContextual"/>
              </w:rPr>
              <w:t>R5</w:t>
            </w:r>
          </w:p>
        </w:tc>
        <w:tc>
          <w:tcPr>
            <w:tcW w:w="900" w:type="dxa"/>
            <w:vAlign w:val="center"/>
          </w:tcPr>
          <w:p w14:paraId="1FF41319" w14:textId="77777777" w:rsidR="00963A30" w:rsidRDefault="00985EA0">
            <w:pPr>
              <w:widowControl/>
              <w:autoSpaceDE/>
              <w:autoSpaceDN/>
              <w:jc w:val="center"/>
              <w:rPr>
                <w:rFonts w:eastAsia="Calibri"/>
                <w:kern w:val="2"/>
                <w:sz w:val="24"/>
                <w:szCs w:val="24"/>
                <w:lang w:val="fi-FI" w:eastAsia="zh-CN"/>
                <w14:ligatures w14:val="standardContextual"/>
              </w:rPr>
            </w:pPr>
            <w:r>
              <w:rPr>
                <w:color w:val="000000"/>
                <w:sz w:val="24"/>
                <w:szCs w:val="24"/>
              </w:rPr>
              <w:t>70.69</w:t>
            </w:r>
            <w:r>
              <w:rPr>
                <w:color w:val="000000"/>
                <w:sz w:val="24"/>
                <w:szCs w:val="24"/>
                <w:vertAlign w:val="superscript"/>
              </w:rPr>
              <w:t>a</w:t>
            </w:r>
          </w:p>
        </w:tc>
        <w:tc>
          <w:tcPr>
            <w:tcW w:w="990" w:type="dxa"/>
            <w:vAlign w:val="center"/>
          </w:tcPr>
          <w:p w14:paraId="718D5B5A" w14:textId="77777777" w:rsidR="00963A30" w:rsidRDefault="00985EA0">
            <w:pPr>
              <w:autoSpaceDE/>
              <w:autoSpaceDN/>
              <w:jc w:val="center"/>
              <w:rPr>
                <w:rFonts w:eastAsia="Calibri"/>
                <w:kern w:val="2"/>
                <w:sz w:val="24"/>
                <w:szCs w:val="24"/>
                <w:vertAlign w:val="superscript"/>
                <w:lang w:val="fi-FI" w:eastAsia="zh-CN"/>
                <w14:ligatures w14:val="standardContextual"/>
              </w:rPr>
            </w:pPr>
            <w:r>
              <w:rPr>
                <w:color w:val="000000"/>
                <w:sz w:val="24"/>
                <w:szCs w:val="24"/>
              </w:rPr>
              <w:t>18.48</w:t>
            </w:r>
          </w:p>
        </w:tc>
        <w:tc>
          <w:tcPr>
            <w:tcW w:w="990" w:type="dxa"/>
            <w:vAlign w:val="center"/>
          </w:tcPr>
          <w:p w14:paraId="56F69184" w14:textId="77777777" w:rsidR="00963A30" w:rsidRDefault="00985EA0">
            <w:pPr>
              <w:widowControl/>
              <w:autoSpaceDE/>
              <w:autoSpaceDN/>
              <w:jc w:val="center"/>
              <w:rPr>
                <w:color w:val="000000"/>
                <w:sz w:val="24"/>
                <w:szCs w:val="24"/>
              </w:rPr>
            </w:pPr>
            <w:r>
              <w:rPr>
                <w:color w:val="000000"/>
                <w:sz w:val="24"/>
                <w:szCs w:val="24"/>
              </w:rPr>
              <w:t>6.52</w:t>
            </w:r>
          </w:p>
        </w:tc>
        <w:tc>
          <w:tcPr>
            <w:tcW w:w="1170" w:type="dxa"/>
            <w:vAlign w:val="center"/>
          </w:tcPr>
          <w:p w14:paraId="4C395EAD" w14:textId="77777777" w:rsidR="00963A30" w:rsidRDefault="00985EA0">
            <w:pPr>
              <w:widowControl/>
              <w:autoSpaceDE/>
              <w:autoSpaceDN/>
              <w:jc w:val="center"/>
              <w:rPr>
                <w:color w:val="000000"/>
                <w:sz w:val="24"/>
                <w:szCs w:val="24"/>
              </w:rPr>
            </w:pPr>
            <w:r>
              <w:rPr>
                <w:color w:val="000000"/>
                <w:sz w:val="24"/>
                <w:szCs w:val="24"/>
              </w:rPr>
              <w:t>0.99</w:t>
            </w:r>
          </w:p>
        </w:tc>
        <w:tc>
          <w:tcPr>
            <w:tcW w:w="1260" w:type="dxa"/>
            <w:vAlign w:val="center"/>
          </w:tcPr>
          <w:p w14:paraId="4FF1F800" w14:textId="77777777" w:rsidR="00963A30" w:rsidRDefault="00985EA0">
            <w:pPr>
              <w:widowControl/>
              <w:autoSpaceDE/>
              <w:autoSpaceDN/>
              <w:jc w:val="center"/>
              <w:rPr>
                <w:color w:val="000000"/>
                <w:sz w:val="24"/>
                <w:szCs w:val="24"/>
              </w:rPr>
            </w:pPr>
            <w:r>
              <w:rPr>
                <w:color w:val="000000"/>
                <w:sz w:val="24"/>
                <w:szCs w:val="24"/>
              </w:rPr>
              <w:t>1.46</w:t>
            </w:r>
          </w:p>
        </w:tc>
        <w:tc>
          <w:tcPr>
            <w:tcW w:w="990" w:type="dxa"/>
            <w:vAlign w:val="center"/>
          </w:tcPr>
          <w:p w14:paraId="10C3FA16" w14:textId="77777777" w:rsidR="00963A30" w:rsidRDefault="00985EA0">
            <w:pPr>
              <w:widowControl/>
              <w:autoSpaceDE/>
              <w:autoSpaceDN/>
              <w:jc w:val="center"/>
              <w:rPr>
                <w:color w:val="000000"/>
                <w:sz w:val="24"/>
                <w:szCs w:val="24"/>
              </w:rPr>
            </w:pPr>
            <w:r>
              <w:rPr>
                <w:color w:val="000000"/>
                <w:sz w:val="24"/>
                <w:szCs w:val="24"/>
              </w:rPr>
              <w:t>1.85</w:t>
            </w:r>
          </w:p>
        </w:tc>
        <w:tc>
          <w:tcPr>
            <w:tcW w:w="1468" w:type="dxa"/>
            <w:vAlign w:val="center"/>
          </w:tcPr>
          <w:p w14:paraId="495DC88D" w14:textId="77777777" w:rsidR="00963A30" w:rsidRDefault="00985EA0">
            <w:pPr>
              <w:widowControl/>
              <w:autoSpaceDE/>
              <w:autoSpaceDN/>
              <w:jc w:val="center"/>
              <w:rPr>
                <w:color w:val="000000"/>
                <w:sz w:val="24"/>
                <w:szCs w:val="24"/>
              </w:rPr>
            </w:pPr>
            <w:r>
              <w:rPr>
                <w:color w:val="000000"/>
                <w:sz w:val="24"/>
                <w:szCs w:val="24"/>
              </w:rPr>
              <w:t>4.25</w:t>
            </w:r>
          </w:p>
        </w:tc>
      </w:tr>
      <w:tr w:rsidR="00963A30" w14:paraId="7054BD52" w14:textId="77777777">
        <w:trPr>
          <w:trHeight w:val="223"/>
        </w:trPr>
        <w:tc>
          <w:tcPr>
            <w:tcW w:w="1255" w:type="dxa"/>
            <w:vAlign w:val="center"/>
          </w:tcPr>
          <w:p w14:paraId="11F0631B" w14:textId="77777777" w:rsidR="00963A30" w:rsidRDefault="00985EA0">
            <w:pPr>
              <w:widowControl/>
              <w:autoSpaceDE/>
              <w:autoSpaceDN/>
              <w:jc w:val="center"/>
              <w:rPr>
                <w:rFonts w:eastAsia="Calibri"/>
                <w:kern w:val="2"/>
                <w:sz w:val="24"/>
                <w:szCs w:val="24"/>
                <w:lang w:val="fi-FI" w:eastAsia="zh-CN"/>
                <w14:ligatures w14:val="standardContextual"/>
              </w:rPr>
            </w:pPr>
            <w:r>
              <w:rPr>
                <w:rFonts w:eastAsia="Calibri"/>
                <w:kern w:val="2"/>
                <w:sz w:val="24"/>
                <w:szCs w:val="24"/>
                <w:lang w:val="fi-FI" w:eastAsia="zh-CN"/>
                <w14:ligatures w14:val="standardContextual"/>
              </w:rPr>
              <w:t>R6</w:t>
            </w:r>
          </w:p>
        </w:tc>
        <w:tc>
          <w:tcPr>
            <w:tcW w:w="900" w:type="dxa"/>
            <w:vAlign w:val="center"/>
          </w:tcPr>
          <w:p w14:paraId="4E16CAD0" w14:textId="77777777" w:rsidR="00963A30" w:rsidRDefault="00985EA0">
            <w:pPr>
              <w:widowControl/>
              <w:autoSpaceDE/>
              <w:autoSpaceDN/>
              <w:jc w:val="center"/>
              <w:rPr>
                <w:rFonts w:eastAsia="Calibri"/>
                <w:kern w:val="2"/>
                <w:sz w:val="24"/>
                <w:szCs w:val="24"/>
                <w:lang w:val="fi-FI" w:eastAsia="zh-CN"/>
                <w14:ligatures w14:val="standardContextual"/>
              </w:rPr>
            </w:pPr>
            <w:r>
              <w:rPr>
                <w:color w:val="000000"/>
                <w:sz w:val="24"/>
                <w:szCs w:val="24"/>
              </w:rPr>
              <w:t>66.49</w:t>
            </w:r>
            <w:r>
              <w:rPr>
                <w:color w:val="000000"/>
                <w:sz w:val="24"/>
                <w:szCs w:val="24"/>
                <w:vertAlign w:val="superscript"/>
              </w:rPr>
              <w:t>c</w:t>
            </w:r>
          </w:p>
        </w:tc>
        <w:tc>
          <w:tcPr>
            <w:tcW w:w="990" w:type="dxa"/>
            <w:vAlign w:val="center"/>
          </w:tcPr>
          <w:p w14:paraId="5B6F7CC1" w14:textId="77777777" w:rsidR="00963A30" w:rsidRDefault="00985EA0">
            <w:pPr>
              <w:autoSpaceDE/>
              <w:autoSpaceDN/>
              <w:jc w:val="center"/>
              <w:rPr>
                <w:rFonts w:eastAsia="Calibri"/>
                <w:kern w:val="2"/>
                <w:sz w:val="24"/>
                <w:szCs w:val="24"/>
                <w:lang w:val="fi-FI" w:eastAsia="zh-CN"/>
                <w14:ligatures w14:val="standardContextual"/>
              </w:rPr>
            </w:pPr>
            <w:r>
              <w:rPr>
                <w:color w:val="000000"/>
                <w:sz w:val="24"/>
                <w:szCs w:val="24"/>
              </w:rPr>
              <w:t>20.45</w:t>
            </w:r>
          </w:p>
        </w:tc>
        <w:tc>
          <w:tcPr>
            <w:tcW w:w="990" w:type="dxa"/>
            <w:vAlign w:val="center"/>
          </w:tcPr>
          <w:p w14:paraId="5F11E73B" w14:textId="77777777" w:rsidR="00963A30" w:rsidRDefault="00985EA0">
            <w:pPr>
              <w:widowControl/>
              <w:autoSpaceDE/>
              <w:autoSpaceDN/>
              <w:jc w:val="center"/>
              <w:rPr>
                <w:color w:val="000000"/>
                <w:sz w:val="24"/>
                <w:szCs w:val="24"/>
              </w:rPr>
            </w:pPr>
            <w:r>
              <w:rPr>
                <w:color w:val="000000"/>
                <w:sz w:val="24"/>
                <w:szCs w:val="24"/>
              </w:rPr>
              <w:t>7.81</w:t>
            </w:r>
          </w:p>
        </w:tc>
        <w:tc>
          <w:tcPr>
            <w:tcW w:w="1170" w:type="dxa"/>
            <w:vAlign w:val="center"/>
          </w:tcPr>
          <w:p w14:paraId="4CE0AA95" w14:textId="77777777" w:rsidR="00963A30" w:rsidRDefault="00985EA0">
            <w:pPr>
              <w:widowControl/>
              <w:autoSpaceDE/>
              <w:autoSpaceDN/>
              <w:jc w:val="center"/>
              <w:rPr>
                <w:color w:val="000000"/>
                <w:sz w:val="24"/>
                <w:szCs w:val="24"/>
              </w:rPr>
            </w:pPr>
            <w:r>
              <w:rPr>
                <w:color w:val="000000"/>
                <w:sz w:val="24"/>
                <w:szCs w:val="24"/>
              </w:rPr>
              <w:t>1.11</w:t>
            </w:r>
          </w:p>
        </w:tc>
        <w:tc>
          <w:tcPr>
            <w:tcW w:w="1260" w:type="dxa"/>
            <w:vAlign w:val="center"/>
          </w:tcPr>
          <w:p w14:paraId="61FD0266" w14:textId="77777777" w:rsidR="00963A30" w:rsidRDefault="00985EA0">
            <w:pPr>
              <w:widowControl/>
              <w:autoSpaceDE/>
              <w:autoSpaceDN/>
              <w:jc w:val="center"/>
              <w:rPr>
                <w:color w:val="000000"/>
                <w:sz w:val="24"/>
                <w:szCs w:val="24"/>
              </w:rPr>
            </w:pPr>
            <w:r>
              <w:rPr>
                <w:color w:val="000000"/>
                <w:sz w:val="24"/>
                <w:szCs w:val="24"/>
              </w:rPr>
              <w:t>1.96</w:t>
            </w:r>
          </w:p>
        </w:tc>
        <w:tc>
          <w:tcPr>
            <w:tcW w:w="990" w:type="dxa"/>
            <w:vAlign w:val="center"/>
          </w:tcPr>
          <w:p w14:paraId="4251EEF4" w14:textId="77777777" w:rsidR="00963A30" w:rsidRDefault="00985EA0">
            <w:pPr>
              <w:widowControl/>
              <w:autoSpaceDE/>
              <w:autoSpaceDN/>
              <w:jc w:val="center"/>
              <w:rPr>
                <w:color w:val="000000"/>
                <w:sz w:val="24"/>
                <w:szCs w:val="24"/>
              </w:rPr>
            </w:pPr>
            <w:r>
              <w:rPr>
                <w:color w:val="000000"/>
                <w:sz w:val="24"/>
                <w:szCs w:val="24"/>
              </w:rPr>
              <w:t>2.17</w:t>
            </w:r>
          </w:p>
        </w:tc>
        <w:tc>
          <w:tcPr>
            <w:tcW w:w="1468" w:type="dxa"/>
            <w:vAlign w:val="center"/>
          </w:tcPr>
          <w:p w14:paraId="5C48CFB2" w14:textId="77777777" w:rsidR="00963A30" w:rsidRDefault="00985EA0">
            <w:pPr>
              <w:widowControl/>
              <w:autoSpaceDE/>
              <w:autoSpaceDN/>
              <w:jc w:val="center"/>
              <w:rPr>
                <w:color w:val="000000"/>
                <w:sz w:val="24"/>
                <w:szCs w:val="24"/>
              </w:rPr>
            </w:pPr>
            <w:r>
              <w:rPr>
                <w:color w:val="000000"/>
                <w:sz w:val="24"/>
                <w:szCs w:val="24"/>
              </w:rPr>
              <w:t>4.08</w:t>
            </w:r>
          </w:p>
        </w:tc>
      </w:tr>
      <w:tr w:rsidR="00963A30" w14:paraId="5B40ECE5" w14:textId="77777777">
        <w:trPr>
          <w:trHeight w:val="268"/>
        </w:trPr>
        <w:tc>
          <w:tcPr>
            <w:tcW w:w="1255" w:type="dxa"/>
            <w:tcBorders>
              <w:bottom w:val="single" w:sz="4" w:space="0" w:color="auto"/>
            </w:tcBorders>
            <w:vAlign w:val="center"/>
            <w:hideMark/>
          </w:tcPr>
          <w:p w14:paraId="7DEFF4F0" w14:textId="77777777" w:rsidR="00963A30" w:rsidRDefault="00985EA0">
            <w:pPr>
              <w:widowControl/>
              <w:autoSpaceDE/>
              <w:autoSpaceDN/>
              <w:jc w:val="center"/>
              <w:rPr>
                <w:rFonts w:eastAsia="Calibri"/>
                <w:kern w:val="2"/>
                <w:sz w:val="24"/>
                <w:szCs w:val="24"/>
                <w:lang w:val="fi-FI" w:eastAsia="zh-CN"/>
                <w14:ligatures w14:val="standardContextual"/>
              </w:rPr>
            </w:pPr>
            <w:r>
              <w:rPr>
                <w:rFonts w:eastAsia="Calibri"/>
                <w:kern w:val="2"/>
                <w:sz w:val="24"/>
                <w:szCs w:val="24"/>
                <w:lang w:val="fi-FI" w:eastAsia="zh-CN"/>
                <w14:ligatures w14:val="standardContextual"/>
              </w:rPr>
              <w:t>R7</w:t>
            </w:r>
          </w:p>
        </w:tc>
        <w:tc>
          <w:tcPr>
            <w:tcW w:w="900" w:type="dxa"/>
            <w:tcBorders>
              <w:bottom w:val="single" w:sz="4" w:space="0" w:color="auto"/>
            </w:tcBorders>
            <w:vAlign w:val="center"/>
            <w:hideMark/>
          </w:tcPr>
          <w:p w14:paraId="799488A8" w14:textId="77777777" w:rsidR="00963A30" w:rsidRDefault="00985EA0">
            <w:pPr>
              <w:widowControl/>
              <w:autoSpaceDE/>
              <w:autoSpaceDN/>
              <w:jc w:val="center"/>
              <w:rPr>
                <w:rFonts w:eastAsia="Calibri"/>
                <w:kern w:val="2"/>
                <w:sz w:val="24"/>
                <w:szCs w:val="24"/>
                <w:lang w:val="fi-FI" w:eastAsia="zh-CN"/>
                <w14:ligatures w14:val="standardContextual"/>
              </w:rPr>
            </w:pPr>
            <w:r>
              <w:rPr>
                <w:color w:val="000000"/>
                <w:sz w:val="24"/>
                <w:szCs w:val="24"/>
              </w:rPr>
              <w:t>66.78</w:t>
            </w:r>
            <w:r>
              <w:rPr>
                <w:color w:val="000000"/>
                <w:sz w:val="24"/>
                <w:szCs w:val="24"/>
                <w:vertAlign w:val="superscript"/>
              </w:rPr>
              <w:t>c</w:t>
            </w:r>
          </w:p>
        </w:tc>
        <w:tc>
          <w:tcPr>
            <w:tcW w:w="990" w:type="dxa"/>
            <w:tcBorders>
              <w:bottom w:val="single" w:sz="4" w:space="0" w:color="auto"/>
            </w:tcBorders>
            <w:vAlign w:val="center"/>
          </w:tcPr>
          <w:p w14:paraId="524B7D68" w14:textId="77777777" w:rsidR="00963A30" w:rsidRDefault="00985EA0">
            <w:pPr>
              <w:autoSpaceDE/>
              <w:autoSpaceDN/>
              <w:jc w:val="center"/>
              <w:rPr>
                <w:rFonts w:eastAsia="Calibri"/>
                <w:kern w:val="2"/>
                <w:sz w:val="24"/>
                <w:szCs w:val="24"/>
                <w:lang w:val="fi-FI" w:eastAsia="zh-CN"/>
                <w14:ligatures w14:val="standardContextual"/>
              </w:rPr>
            </w:pPr>
            <w:r>
              <w:rPr>
                <w:color w:val="000000"/>
                <w:sz w:val="24"/>
                <w:szCs w:val="24"/>
              </w:rPr>
              <w:t>20.28</w:t>
            </w:r>
          </w:p>
        </w:tc>
        <w:tc>
          <w:tcPr>
            <w:tcW w:w="990" w:type="dxa"/>
            <w:tcBorders>
              <w:bottom w:val="single" w:sz="4" w:space="0" w:color="auto"/>
            </w:tcBorders>
            <w:vAlign w:val="center"/>
          </w:tcPr>
          <w:p w14:paraId="3516D9AC" w14:textId="77777777" w:rsidR="00963A30" w:rsidRDefault="00985EA0">
            <w:pPr>
              <w:widowControl/>
              <w:autoSpaceDE/>
              <w:autoSpaceDN/>
              <w:jc w:val="center"/>
              <w:rPr>
                <w:color w:val="000000"/>
                <w:sz w:val="24"/>
                <w:szCs w:val="24"/>
              </w:rPr>
            </w:pPr>
            <w:r>
              <w:rPr>
                <w:color w:val="000000"/>
                <w:sz w:val="24"/>
                <w:szCs w:val="24"/>
              </w:rPr>
              <w:t>7.68</w:t>
            </w:r>
          </w:p>
        </w:tc>
        <w:tc>
          <w:tcPr>
            <w:tcW w:w="1170" w:type="dxa"/>
            <w:tcBorders>
              <w:bottom w:val="single" w:sz="4" w:space="0" w:color="auto"/>
            </w:tcBorders>
            <w:vAlign w:val="center"/>
          </w:tcPr>
          <w:p w14:paraId="48A95B9F" w14:textId="77777777" w:rsidR="00963A30" w:rsidRDefault="00985EA0">
            <w:pPr>
              <w:widowControl/>
              <w:autoSpaceDE/>
              <w:autoSpaceDN/>
              <w:jc w:val="center"/>
              <w:rPr>
                <w:color w:val="000000"/>
                <w:sz w:val="24"/>
                <w:szCs w:val="24"/>
              </w:rPr>
            </w:pPr>
            <w:r>
              <w:rPr>
                <w:color w:val="000000"/>
                <w:sz w:val="24"/>
                <w:szCs w:val="24"/>
              </w:rPr>
              <w:t>1.10</w:t>
            </w:r>
          </w:p>
        </w:tc>
        <w:tc>
          <w:tcPr>
            <w:tcW w:w="1260" w:type="dxa"/>
            <w:tcBorders>
              <w:bottom w:val="single" w:sz="4" w:space="0" w:color="auto"/>
            </w:tcBorders>
            <w:vAlign w:val="center"/>
          </w:tcPr>
          <w:p w14:paraId="242CCF2F" w14:textId="77777777" w:rsidR="00963A30" w:rsidRDefault="00985EA0">
            <w:pPr>
              <w:widowControl/>
              <w:autoSpaceDE/>
              <w:autoSpaceDN/>
              <w:jc w:val="center"/>
              <w:rPr>
                <w:color w:val="000000"/>
                <w:sz w:val="24"/>
                <w:szCs w:val="24"/>
              </w:rPr>
            </w:pPr>
            <w:r>
              <w:rPr>
                <w:color w:val="000000"/>
                <w:sz w:val="24"/>
                <w:szCs w:val="24"/>
              </w:rPr>
              <w:t>2.00</w:t>
            </w:r>
          </w:p>
        </w:tc>
        <w:tc>
          <w:tcPr>
            <w:tcW w:w="990" w:type="dxa"/>
            <w:tcBorders>
              <w:bottom w:val="single" w:sz="4" w:space="0" w:color="auto"/>
            </w:tcBorders>
            <w:vAlign w:val="center"/>
          </w:tcPr>
          <w:p w14:paraId="6615118B" w14:textId="77777777" w:rsidR="00963A30" w:rsidRDefault="00985EA0">
            <w:pPr>
              <w:widowControl/>
              <w:autoSpaceDE/>
              <w:autoSpaceDN/>
              <w:jc w:val="center"/>
              <w:rPr>
                <w:color w:val="000000"/>
                <w:sz w:val="24"/>
                <w:szCs w:val="24"/>
              </w:rPr>
            </w:pPr>
            <w:r>
              <w:rPr>
                <w:color w:val="000000"/>
                <w:sz w:val="24"/>
                <w:szCs w:val="24"/>
              </w:rPr>
              <w:t>2.14</w:t>
            </w:r>
          </w:p>
        </w:tc>
        <w:tc>
          <w:tcPr>
            <w:tcW w:w="1468" w:type="dxa"/>
            <w:tcBorders>
              <w:bottom w:val="single" w:sz="4" w:space="0" w:color="auto"/>
            </w:tcBorders>
            <w:vAlign w:val="center"/>
          </w:tcPr>
          <w:p w14:paraId="514EE8AC" w14:textId="77777777" w:rsidR="00963A30" w:rsidRDefault="00985EA0">
            <w:pPr>
              <w:widowControl/>
              <w:autoSpaceDE/>
              <w:autoSpaceDN/>
              <w:jc w:val="center"/>
              <w:rPr>
                <w:color w:val="000000"/>
                <w:sz w:val="24"/>
                <w:szCs w:val="24"/>
              </w:rPr>
            </w:pPr>
            <w:r>
              <w:rPr>
                <w:color w:val="000000"/>
                <w:sz w:val="24"/>
                <w:szCs w:val="24"/>
              </w:rPr>
              <w:t>3.43</w:t>
            </w:r>
          </w:p>
        </w:tc>
      </w:tr>
      <w:tr w:rsidR="00963A30" w14:paraId="06F4A614" w14:textId="77777777">
        <w:trPr>
          <w:trHeight w:val="106"/>
        </w:trPr>
        <w:tc>
          <w:tcPr>
            <w:tcW w:w="1255" w:type="dxa"/>
            <w:tcBorders>
              <w:top w:val="single" w:sz="4" w:space="0" w:color="auto"/>
              <w:bottom w:val="single" w:sz="4" w:space="0" w:color="auto"/>
            </w:tcBorders>
            <w:vAlign w:val="center"/>
            <w:hideMark/>
          </w:tcPr>
          <w:p w14:paraId="64CCE1EF" w14:textId="77777777" w:rsidR="00963A30" w:rsidRDefault="00985EA0">
            <w:pPr>
              <w:widowControl/>
              <w:autoSpaceDE/>
              <w:autoSpaceDN/>
              <w:jc w:val="center"/>
              <w:rPr>
                <w:rFonts w:eastAsia="Calibri"/>
                <w:kern w:val="2"/>
                <w:sz w:val="24"/>
                <w:szCs w:val="24"/>
                <w:lang w:val="fi-FI" w:eastAsia="zh-CN"/>
                <w14:ligatures w14:val="standardContextual"/>
              </w:rPr>
            </w:pPr>
            <w:r>
              <w:rPr>
                <w:rFonts w:eastAsia="Calibri"/>
                <w:kern w:val="2"/>
                <w:sz w:val="24"/>
                <w:szCs w:val="24"/>
                <w:lang w:val="fi-FI" w:eastAsia="zh-CN"/>
                <w14:ligatures w14:val="standardContextual"/>
              </w:rPr>
              <w:t>SE</w:t>
            </w:r>
          </w:p>
        </w:tc>
        <w:tc>
          <w:tcPr>
            <w:tcW w:w="900" w:type="dxa"/>
            <w:tcBorders>
              <w:top w:val="single" w:sz="4" w:space="0" w:color="auto"/>
              <w:bottom w:val="single" w:sz="4" w:space="0" w:color="auto"/>
            </w:tcBorders>
            <w:vAlign w:val="center"/>
            <w:hideMark/>
          </w:tcPr>
          <w:p w14:paraId="23047860" w14:textId="77777777" w:rsidR="00963A30" w:rsidRDefault="00985EA0">
            <w:pPr>
              <w:autoSpaceDE/>
              <w:autoSpaceDN/>
              <w:jc w:val="center"/>
              <w:rPr>
                <w:rFonts w:eastAsia="Calibri"/>
                <w:kern w:val="2"/>
                <w:sz w:val="24"/>
                <w:szCs w:val="24"/>
                <w:lang w:eastAsia="zh-CN"/>
                <w14:ligatures w14:val="standardContextual"/>
              </w:rPr>
            </w:pPr>
            <w:r>
              <w:rPr>
                <w:rFonts w:eastAsia="Calibri"/>
                <w:kern w:val="2"/>
                <w:sz w:val="24"/>
                <w:szCs w:val="24"/>
                <w:lang w:val="fi-FI" w:eastAsia="zh-CN"/>
                <w14:ligatures w14:val="standardContextual"/>
              </w:rPr>
              <w:t>4.32</w:t>
            </w:r>
          </w:p>
        </w:tc>
        <w:tc>
          <w:tcPr>
            <w:tcW w:w="990" w:type="dxa"/>
            <w:tcBorders>
              <w:top w:val="single" w:sz="4" w:space="0" w:color="auto"/>
              <w:bottom w:val="single" w:sz="4" w:space="0" w:color="auto"/>
            </w:tcBorders>
            <w:vAlign w:val="center"/>
          </w:tcPr>
          <w:p w14:paraId="7D8AB996" w14:textId="77777777" w:rsidR="00963A30" w:rsidRDefault="00985EA0">
            <w:pPr>
              <w:autoSpaceDE/>
              <w:autoSpaceDN/>
              <w:jc w:val="center"/>
              <w:rPr>
                <w:rFonts w:eastAsia="Calibri"/>
                <w:kern w:val="2"/>
                <w:sz w:val="24"/>
                <w:szCs w:val="24"/>
                <w:lang w:val="fi-FI" w:eastAsia="zh-CN"/>
                <w14:ligatures w14:val="standardContextual"/>
              </w:rPr>
            </w:pPr>
            <w:r>
              <w:rPr>
                <w:rFonts w:eastAsia="Calibri"/>
                <w:kern w:val="2"/>
                <w:sz w:val="24"/>
                <w:szCs w:val="24"/>
                <w:lang w:val="fi-FI" w:eastAsia="zh-CN"/>
                <w14:ligatures w14:val="standardContextual"/>
              </w:rPr>
              <w:t>2.88</w:t>
            </w:r>
          </w:p>
        </w:tc>
        <w:tc>
          <w:tcPr>
            <w:tcW w:w="990" w:type="dxa"/>
            <w:tcBorders>
              <w:top w:val="single" w:sz="4" w:space="0" w:color="auto"/>
              <w:bottom w:val="single" w:sz="4" w:space="0" w:color="auto"/>
            </w:tcBorders>
            <w:vAlign w:val="center"/>
          </w:tcPr>
          <w:p w14:paraId="4DFEB0F8" w14:textId="77777777" w:rsidR="00963A30" w:rsidRDefault="00985EA0">
            <w:pPr>
              <w:widowControl/>
              <w:autoSpaceDE/>
              <w:autoSpaceDN/>
              <w:jc w:val="center"/>
              <w:rPr>
                <w:rFonts w:eastAsia="Calibri"/>
                <w:kern w:val="2"/>
                <w:sz w:val="24"/>
                <w:szCs w:val="24"/>
                <w:lang w:val="fi-FI" w:eastAsia="zh-CN"/>
                <w14:ligatures w14:val="standardContextual"/>
              </w:rPr>
            </w:pPr>
            <w:r>
              <w:rPr>
                <w:rFonts w:eastAsia="Calibri"/>
                <w:kern w:val="2"/>
                <w:sz w:val="24"/>
                <w:szCs w:val="24"/>
                <w:lang w:val="fi-FI" w:eastAsia="zh-CN"/>
                <w14:ligatures w14:val="standardContextual"/>
              </w:rPr>
              <w:t>1.03</w:t>
            </w:r>
          </w:p>
        </w:tc>
        <w:tc>
          <w:tcPr>
            <w:tcW w:w="1170" w:type="dxa"/>
            <w:tcBorders>
              <w:top w:val="single" w:sz="4" w:space="0" w:color="auto"/>
              <w:bottom w:val="single" w:sz="4" w:space="0" w:color="auto"/>
            </w:tcBorders>
            <w:vAlign w:val="center"/>
          </w:tcPr>
          <w:p w14:paraId="3ED7EF23" w14:textId="77777777" w:rsidR="00963A30" w:rsidRDefault="00985EA0">
            <w:pPr>
              <w:widowControl/>
              <w:autoSpaceDE/>
              <w:autoSpaceDN/>
              <w:jc w:val="center"/>
              <w:rPr>
                <w:rFonts w:eastAsia="Calibri"/>
                <w:kern w:val="2"/>
                <w:sz w:val="24"/>
                <w:szCs w:val="24"/>
                <w:lang w:val="fi-FI" w:eastAsia="zh-CN"/>
                <w14:ligatures w14:val="standardContextual"/>
              </w:rPr>
            </w:pPr>
            <w:r>
              <w:rPr>
                <w:rFonts w:eastAsia="Calibri"/>
                <w:kern w:val="2"/>
                <w:sz w:val="24"/>
                <w:szCs w:val="24"/>
                <w:lang w:val="fi-FI" w:eastAsia="zh-CN"/>
                <w14:ligatures w14:val="standardContextual"/>
              </w:rPr>
              <w:t>0.16</w:t>
            </w:r>
          </w:p>
        </w:tc>
        <w:tc>
          <w:tcPr>
            <w:tcW w:w="1260" w:type="dxa"/>
            <w:tcBorders>
              <w:top w:val="single" w:sz="4" w:space="0" w:color="auto"/>
              <w:bottom w:val="single" w:sz="4" w:space="0" w:color="auto"/>
            </w:tcBorders>
            <w:vAlign w:val="center"/>
          </w:tcPr>
          <w:p w14:paraId="7CFDF1C5" w14:textId="77777777" w:rsidR="00963A30" w:rsidRDefault="00985EA0">
            <w:pPr>
              <w:widowControl/>
              <w:autoSpaceDE/>
              <w:autoSpaceDN/>
              <w:jc w:val="center"/>
              <w:rPr>
                <w:rFonts w:eastAsia="Calibri"/>
                <w:kern w:val="2"/>
                <w:sz w:val="24"/>
                <w:szCs w:val="24"/>
                <w:lang w:val="fi-FI" w:eastAsia="zh-CN"/>
                <w14:ligatures w14:val="standardContextual"/>
              </w:rPr>
            </w:pPr>
            <w:r>
              <w:rPr>
                <w:rFonts w:eastAsia="Calibri"/>
                <w:kern w:val="2"/>
                <w:sz w:val="24"/>
                <w:szCs w:val="24"/>
                <w:lang w:val="fi-FI" w:eastAsia="zh-CN"/>
                <w14:ligatures w14:val="standardContextual"/>
              </w:rPr>
              <w:t>0.29</w:t>
            </w:r>
          </w:p>
        </w:tc>
        <w:tc>
          <w:tcPr>
            <w:tcW w:w="990" w:type="dxa"/>
            <w:tcBorders>
              <w:top w:val="single" w:sz="4" w:space="0" w:color="auto"/>
              <w:bottom w:val="single" w:sz="4" w:space="0" w:color="auto"/>
            </w:tcBorders>
            <w:vAlign w:val="center"/>
          </w:tcPr>
          <w:p w14:paraId="35310D86" w14:textId="77777777" w:rsidR="00963A30" w:rsidRDefault="00985EA0">
            <w:pPr>
              <w:widowControl/>
              <w:tabs>
                <w:tab w:val="left" w:pos="316"/>
              </w:tabs>
              <w:autoSpaceDE/>
              <w:autoSpaceDN/>
              <w:jc w:val="center"/>
              <w:rPr>
                <w:rFonts w:eastAsia="Calibri"/>
                <w:kern w:val="2"/>
                <w:sz w:val="24"/>
                <w:szCs w:val="24"/>
                <w:lang w:val="fi-FI" w:eastAsia="zh-CN"/>
                <w14:ligatures w14:val="standardContextual"/>
              </w:rPr>
            </w:pPr>
            <w:r>
              <w:rPr>
                <w:rFonts w:eastAsia="Calibri"/>
                <w:kern w:val="2"/>
                <w:sz w:val="24"/>
                <w:szCs w:val="24"/>
                <w:lang w:val="fi-FI" w:eastAsia="zh-CN"/>
                <w14:ligatures w14:val="standardContextual"/>
              </w:rPr>
              <w:t>0.7</w:t>
            </w:r>
          </w:p>
        </w:tc>
        <w:tc>
          <w:tcPr>
            <w:tcW w:w="1468" w:type="dxa"/>
            <w:tcBorders>
              <w:top w:val="single" w:sz="4" w:space="0" w:color="auto"/>
              <w:bottom w:val="single" w:sz="4" w:space="0" w:color="auto"/>
            </w:tcBorders>
            <w:vAlign w:val="center"/>
          </w:tcPr>
          <w:p w14:paraId="35E0AA5E" w14:textId="77777777" w:rsidR="00963A30" w:rsidRDefault="00985EA0">
            <w:pPr>
              <w:widowControl/>
              <w:autoSpaceDE/>
              <w:autoSpaceDN/>
              <w:jc w:val="center"/>
              <w:rPr>
                <w:rFonts w:eastAsia="Calibri"/>
                <w:kern w:val="2"/>
                <w:sz w:val="24"/>
                <w:szCs w:val="24"/>
                <w:lang w:val="fi-FI" w:eastAsia="zh-CN"/>
                <w14:ligatures w14:val="standardContextual"/>
              </w:rPr>
            </w:pPr>
            <w:r>
              <w:rPr>
                <w:rFonts w:eastAsia="Calibri"/>
                <w:kern w:val="2"/>
                <w:sz w:val="24"/>
                <w:szCs w:val="24"/>
                <w:lang w:val="fi-FI" w:eastAsia="zh-CN"/>
                <w14:ligatures w14:val="standardContextual"/>
              </w:rPr>
              <w:t>0.76</w:t>
            </w:r>
          </w:p>
        </w:tc>
      </w:tr>
    </w:tbl>
    <w:p w14:paraId="7293FD24" w14:textId="77777777" w:rsidR="00963A30" w:rsidRDefault="00985EA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spacing w:line="360" w:lineRule="auto"/>
        <w:jc w:val="both"/>
        <w:rPr>
          <w:sz w:val="24"/>
          <w:szCs w:val="24"/>
          <w:lang w:eastAsia="en-ID"/>
        </w:rPr>
      </w:pPr>
      <w:r>
        <w:rPr>
          <w:sz w:val="24"/>
          <w:szCs w:val="24"/>
          <w:lang w:eastAsia="en-ID"/>
        </w:rPr>
        <w:t>Note: Different superscripts in the same column indicate significant differences (P&lt;0.05). SE (standar error).</w:t>
      </w:r>
    </w:p>
    <w:p w14:paraId="326350E7" w14:textId="77777777" w:rsidR="00963A30" w:rsidRDefault="00985EA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spacing w:line="360" w:lineRule="auto"/>
        <w:jc w:val="both"/>
        <w:rPr>
          <w:sz w:val="24"/>
          <w:szCs w:val="24"/>
          <w:lang w:eastAsia="en-ID"/>
        </w:rPr>
      </w:pPr>
      <w:r>
        <w:rPr>
          <w:noProof/>
          <w14:ligatures w14:val="standardContextual"/>
        </w:rPr>
        <w:drawing>
          <wp:inline distT="0" distB="0" distL="114300" distR="114300" wp14:anchorId="35A57C38" wp14:editId="289B4CCF">
            <wp:extent cx="5688330" cy="2281188"/>
            <wp:effectExtent l="0" t="0" r="0" b="0"/>
            <wp:docPr id="1037" name="Image1"/>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inline>
        </w:drawing>
      </w:r>
    </w:p>
    <w:p w14:paraId="27238D74" w14:textId="77777777" w:rsidR="00963A30" w:rsidRDefault="00985EA0">
      <w:pPr>
        <w:tabs>
          <w:tab w:val="left" w:pos="56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both"/>
        <w:rPr>
          <w:sz w:val="24"/>
          <w:szCs w:val="24"/>
          <w:lang w:eastAsia="en-ID"/>
        </w:rPr>
      </w:pPr>
      <w:r>
        <w:rPr>
          <w:b/>
          <w:bCs/>
          <w:sz w:val="24"/>
          <w:szCs w:val="24"/>
          <w:lang w:eastAsia="en-ID"/>
        </w:rPr>
        <w:t>Fig. 6:</w:t>
      </w:r>
      <w:r>
        <w:rPr>
          <w:sz w:val="24"/>
          <w:szCs w:val="24"/>
          <w:lang w:eastAsia="en-ID"/>
        </w:rPr>
        <w:t xml:space="preserve"> Acetic acid of rations containing corn straw and cassava peel supplemented with urea and sulfur.</w:t>
      </w:r>
    </w:p>
    <w:p w14:paraId="19F66553" w14:textId="77777777" w:rsidR="00963A30" w:rsidRDefault="00985EA0">
      <w:pPr>
        <w:tabs>
          <w:tab w:val="left" w:pos="56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60" w:line="360" w:lineRule="auto"/>
        <w:jc w:val="both"/>
        <w:rPr>
          <w:b/>
          <w:bCs/>
          <w:sz w:val="24"/>
          <w:szCs w:val="24"/>
          <w:lang w:eastAsia="en-ID"/>
        </w:rPr>
      </w:pPr>
      <w:r>
        <w:rPr>
          <w:b/>
          <w:bCs/>
          <w:sz w:val="24"/>
          <w:szCs w:val="24"/>
          <w:lang w:eastAsia="en-ID"/>
        </w:rPr>
        <w:t>3.4 Rumen microbial dynamics: protozoa population dynamics and microbial protein synthesis</w:t>
      </w:r>
    </w:p>
    <w:p w14:paraId="1C99CDE3" w14:textId="77777777" w:rsidR="00963A30" w:rsidRDefault="00985EA0">
      <w:pPr>
        <w:widowControl/>
        <w:tabs>
          <w:tab w:val="left" w:pos="567"/>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spacing w:line="360" w:lineRule="auto"/>
        <w:ind w:firstLine="360"/>
        <w:jc w:val="both"/>
        <w:rPr>
          <w:sz w:val="24"/>
          <w:szCs w:val="24"/>
          <w:lang w:eastAsia="en-ID"/>
        </w:rPr>
      </w:pPr>
      <w:bookmarkStart w:id="7" w:name="_Hlk211567489"/>
      <w:r>
        <w:rPr>
          <w:sz w:val="24"/>
          <w:szCs w:val="24"/>
          <w:lang w:eastAsia="en-ID"/>
        </w:rPr>
        <w:t xml:space="preserve">Supplementation of urea (0.5 and 1.0%), sulfur (0.1 and 0.2%) or a combination of urea and sulfur showed that there were no significant differences (P&gt;0.05) in the amount of rumen microbial biomass and microbial protein synthesis (Table 7). </w:t>
      </w:r>
      <w:bookmarkEnd w:id="7"/>
      <w:r>
        <w:rPr>
          <w:sz w:val="24"/>
          <w:szCs w:val="24"/>
          <w:lang w:eastAsia="en-ID"/>
        </w:rPr>
        <w:t xml:space="preserve">However, the protozoa population </w:t>
      </w:r>
      <w:r>
        <w:rPr>
          <w:sz w:val="24"/>
          <w:szCs w:val="24"/>
          <w:lang w:eastAsia="en-ID"/>
        </w:rPr>
        <w:lastRenderedPageBreak/>
        <w:t>was significantly affected (P&lt;0.01) by treatments. The highest protozoa population was found at</w:t>
      </w:r>
      <w:r>
        <w:rPr>
          <w:color w:val="EE0000"/>
          <w:sz w:val="24"/>
          <w:szCs w:val="24"/>
          <w:lang w:eastAsia="en-ID"/>
        </w:rPr>
        <w:t xml:space="preserve"> </w:t>
      </w:r>
      <w:r>
        <w:rPr>
          <w:sz w:val="24"/>
          <w:szCs w:val="24"/>
          <w:lang w:eastAsia="en-ID"/>
        </w:rPr>
        <w:t>combination of 1% urea and 0.2% sulfur (R7). This result was not significantly different (P&gt;0.05) from the urea-only (R2 and R3) or sulfur-only (R4 and R5) supplementation treatments, or the combination of 0.5% urea and 0.1% sulfur (R6).</w:t>
      </w:r>
    </w:p>
    <w:p w14:paraId="537C41CC" w14:textId="77777777" w:rsidR="00963A30" w:rsidRDefault="00985EA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spacing w:line="360" w:lineRule="auto"/>
        <w:jc w:val="both"/>
        <w:rPr>
          <w:sz w:val="24"/>
          <w:szCs w:val="24"/>
          <w:lang w:eastAsia="en-ID"/>
        </w:rPr>
      </w:pPr>
      <w:r>
        <w:rPr>
          <w:b/>
          <w:bCs/>
          <w:sz w:val="24"/>
          <w:szCs w:val="24"/>
          <w:lang w:eastAsia="en-ID"/>
        </w:rPr>
        <w:t>Table 7:</w:t>
      </w:r>
      <w:r>
        <w:rPr>
          <w:sz w:val="24"/>
          <w:szCs w:val="24"/>
          <w:lang w:eastAsia="en-ID"/>
        </w:rPr>
        <w:t xml:space="preserve">  Average protozoa population, microbial biomass and microbial protein synthesis of rations containing corn straw and cassava peel supplemented with urea and sulfur.</w:t>
      </w:r>
    </w:p>
    <w:tbl>
      <w:tblPr>
        <w:tblStyle w:val="TableGrid7"/>
        <w:tblW w:w="8924" w:type="dxa"/>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271"/>
        <w:gridCol w:w="2551"/>
        <w:gridCol w:w="2551"/>
        <w:gridCol w:w="2551"/>
      </w:tblGrid>
      <w:tr w:rsidR="00963A30" w14:paraId="10818C07" w14:textId="77777777">
        <w:trPr>
          <w:trHeight w:val="278"/>
        </w:trPr>
        <w:tc>
          <w:tcPr>
            <w:tcW w:w="1271" w:type="dxa"/>
            <w:tcBorders>
              <w:top w:val="single" w:sz="4" w:space="0" w:color="auto"/>
              <w:left w:val="nil"/>
              <w:bottom w:val="single" w:sz="4" w:space="0" w:color="auto"/>
              <w:right w:val="nil"/>
            </w:tcBorders>
            <w:vAlign w:val="center"/>
            <w:hideMark/>
          </w:tcPr>
          <w:p w14:paraId="60F5221F" w14:textId="77777777" w:rsidR="00963A30" w:rsidRDefault="00985EA0">
            <w:pPr>
              <w:widowControl/>
              <w:autoSpaceDE/>
              <w:autoSpaceDN/>
              <w:spacing w:after="120"/>
              <w:jc w:val="center"/>
              <w:rPr>
                <w:rFonts w:eastAsia="Calibri"/>
                <w:kern w:val="2"/>
                <w:sz w:val="24"/>
                <w:szCs w:val="24"/>
                <w:lang w:val="fi-FI" w:eastAsia="zh-CN"/>
                <w14:ligatures w14:val="standardContextual"/>
              </w:rPr>
            </w:pPr>
            <w:r>
              <w:rPr>
                <w:rFonts w:eastAsia="Calibri"/>
                <w:kern w:val="2"/>
                <w:sz w:val="24"/>
                <w:szCs w:val="24"/>
                <w:lang w:val="fi-FI" w:eastAsia="zh-CN"/>
                <w14:ligatures w14:val="standardContextual"/>
              </w:rPr>
              <w:t>Treatment</w:t>
            </w:r>
          </w:p>
        </w:tc>
        <w:tc>
          <w:tcPr>
            <w:tcW w:w="2551" w:type="dxa"/>
            <w:tcBorders>
              <w:top w:val="single" w:sz="4" w:space="0" w:color="auto"/>
              <w:left w:val="nil"/>
              <w:bottom w:val="single" w:sz="4" w:space="0" w:color="auto"/>
              <w:right w:val="nil"/>
            </w:tcBorders>
            <w:vAlign w:val="center"/>
            <w:hideMark/>
          </w:tcPr>
          <w:p w14:paraId="372AF87F" w14:textId="77777777" w:rsidR="00963A30" w:rsidRDefault="00985EA0">
            <w:pPr>
              <w:widowControl/>
              <w:autoSpaceDE/>
              <w:autoSpaceDN/>
              <w:spacing w:after="120"/>
              <w:jc w:val="center"/>
              <w:rPr>
                <w:rFonts w:eastAsia="Calibri"/>
                <w:kern w:val="2"/>
                <w:sz w:val="24"/>
                <w:szCs w:val="24"/>
                <w:lang w:val="fi-FI" w:eastAsia="zh-CN"/>
                <w14:ligatures w14:val="standardContextual"/>
              </w:rPr>
            </w:pPr>
            <w:r>
              <w:rPr>
                <w:rFonts w:eastAsia="Calibri"/>
                <w:kern w:val="2"/>
                <w:sz w:val="24"/>
                <w:szCs w:val="24"/>
                <w:lang w:val="fi-FI" w:eastAsia="zh-CN"/>
                <w14:ligatures w14:val="standardContextual"/>
              </w:rPr>
              <w:t>Protozoa Population</w:t>
            </w:r>
          </w:p>
          <w:p w14:paraId="068BF5EF" w14:textId="77777777" w:rsidR="00963A30" w:rsidRDefault="00985EA0">
            <w:pPr>
              <w:widowControl/>
              <w:autoSpaceDE/>
              <w:autoSpaceDN/>
              <w:spacing w:after="120"/>
              <w:jc w:val="center"/>
              <w:rPr>
                <w:rFonts w:eastAsia="Calibri"/>
                <w:kern w:val="2"/>
                <w:sz w:val="24"/>
                <w:szCs w:val="24"/>
                <w:lang w:val="fi-FI" w:eastAsia="zh-CN"/>
                <w14:ligatures w14:val="standardContextual"/>
              </w:rPr>
            </w:pPr>
            <w:r>
              <w:rPr>
                <w:rFonts w:eastAsia="Calibri"/>
                <w:kern w:val="2"/>
                <w:sz w:val="24"/>
                <w:szCs w:val="24"/>
                <w:lang w:val="fi-FI" w:eastAsia="zh-CN"/>
                <w14:ligatures w14:val="standardContextual"/>
              </w:rPr>
              <w:t>(cell/mL)</w:t>
            </w:r>
          </w:p>
        </w:tc>
        <w:tc>
          <w:tcPr>
            <w:tcW w:w="2551" w:type="dxa"/>
            <w:tcBorders>
              <w:top w:val="single" w:sz="4" w:space="0" w:color="auto"/>
              <w:left w:val="nil"/>
              <w:bottom w:val="single" w:sz="4" w:space="0" w:color="auto"/>
              <w:right w:val="nil"/>
            </w:tcBorders>
            <w:vAlign w:val="center"/>
          </w:tcPr>
          <w:p w14:paraId="4266847A" w14:textId="77777777" w:rsidR="00963A30" w:rsidRDefault="00985EA0">
            <w:pPr>
              <w:autoSpaceDE/>
              <w:autoSpaceDN/>
              <w:jc w:val="center"/>
              <w:rPr>
                <w:rFonts w:eastAsia="Calibri"/>
                <w:kern w:val="2"/>
                <w:sz w:val="24"/>
                <w:szCs w:val="24"/>
                <w:lang w:val="fi-FI" w:eastAsia="zh-CN"/>
                <w14:ligatures w14:val="standardContextual"/>
              </w:rPr>
            </w:pPr>
            <w:r>
              <w:rPr>
                <w:rFonts w:eastAsia="Calibri"/>
                <w:kern w:val="2"/>
                <w:sz w:val="24"/>
                <w:szCs w:val="24"/>
                <w:lang w:val="fi-FI" w:eastAsia="zh-CN"/>
                <w14:ligatures w14:val="standardContextual"/>
              </w:rPr>
              <w:t>Microbial Biomass</w:t>
            </w:r>
          </w:p>
          <w:p w14:paraId="71F50E10" w14:textId="77777777" w:rsidR="00963A30" w:rsidRDefault="00985EA0">
            <w:pPr>
              <w:autoSpaceDE/>
              <w:autoSpaceDN/>
              <w:jc w:val="center"/>
              <w:rPr>
                <w:rFonts w:eastAsia="Calibri"/>
                <w:kern w:val="2"/>
                <w:sz w:val="24"/>
                <w:szCs w:val="24"/>
                <w:lang w:val="fi-FI" w:eastAsia="zh-CN"/>
                <w14:ligatures w14:val="standardContextual"/>
              </w:rPr>
            </w:pPr>
            <w:r>
              <w:rPr>
                <w:rFonts w:eastAsia="Calibri"/>
                <w:kern w:val="2"/>
                <w:sz w:val="24"/>
                <w:szCs w:val="24"/>
                <w:lang w:val="fi-FI" w:eastAsia="zh-CN"/>
                <w14:ligatures w14:val="standardContextual"/>
              </w:rPr>
              <w:t>(mg/100mL)</w:t>
            </w:r>
          </w:p>
        </w:tc>
        <w:tc>
          <w:tcPr>
            <w:tcW w:w="2551" w:type="dxa"/>
            <w:tcBorders>
              <w:top w:val="single" w:sz="4" w:space="0" w:color="auto"/>
              <w:left w:val="nil"/>
              <w:bottom w:val="single" w:sz="4" w:space="0" w:color="auto"/>
              <w:right w:val="nil"/>
            </w:tcBorders>
            <w:vAlign w:val="center"/>
          </w:tcPr>
          <w:p w14:paraId="61298288" w14:textId="77777777" w:rsidR="00963A30" w:rsidRDefault="00985EA0">
            <w:pPr>
              <w:widowControl/>
              <w:autoSpaceDE/>
              <w:autoSpaceDN/>
              <w:spacing w:after="120"/>
              <w:jc w:val="center"/>
              <w:rPr>
                <w:rFonts w:eastAsia="Calibri"/>
                <w:kern w:val="2"/>
                <w:sz w:val="24"/>
                <w:szCs w:val="24"/>
                <w:lang w:val="fi-FI" w:eastAsia="zh-CN"/>
                <w14:ligatures w14:val="standardContextual"/>
              </w:rPr>
            </w:pPr>
            <w:r>
              <w:rPr>
                <w:rFonts w:eastAsia="Calibri"/>
                <w:kern w:val="2"/>
                <w:sz w:val="24"/>
                <w:szCs w:val="24"/>
                <w:lang w:val="fi-FI" w:eastAsia="zh-CN"/>
                <w14:ligatures w14:val="standardContextual"/>
              </w:rPr>
              <w:t>Mikrobial Protein Synthesis (mg/100mL)</w:t>
            </w:r>
          </w:p>
        </w:tc>
      </w:tr>
      <w:tr w:rsidR="00963A30" w14:paraId="609137E3" w14:textId="77777777">
        <w:trPr>
          <w:trHeight w:val="278"/>
        </w:trPr>
        <w:tc>
          <w:tcPr>
            <w:tcW w:w="1271" w:type="dxa"/>
            <w:tcBorders>
              <w:top w:val="single" w:sz="4" w:space="0" w:color="auto"/>
              <w:left w:val="nil"/>
              <w:bottom w:val="nil"/>
              <w:right w:val="nil"/>
            </w:tcBorders>
            <w:vAlign w:val="center"/>
            <w:hideMark/>
          </w:tcPr>
          <w:p w14:paraId="54E59C3E" w14:textId="77777777" w:rsidR="00963A30" w:rsidRDefault="00985EA0">
            <w:pPr>
              <w:widowControl/>
              <w:autoSpaceDE/>
              <w:autoSpaceDN/>
              <w:spacing w:after="120"/>
              <w:jc w:val="center"/>
              <w:rPr>
                <w:rFonts w:eastAsia="Calibri"/>
                <w:kern w:val="2"/>
                <w:sz w:val="24"/>
                <w:szCs w:val="24"/>
                <w:lang w:val="fi-FI" w:eastAsia="zh-CN"/>
                <w14:ligatures w14:val="standardContextual"/>
              </w:rPr>
            </w:pPr>
            <w:r>
              <w:rPr>
                <w:rFonts w:eastAsia="Calibri"/>
                <w:kern w:val="2"/>
                <w:sz w:val="24"/>
                <w:szCs w:val="24"/>
                <w:lang w:val="fi-FI" w:eastAsia="zh-CN"/>
                <w14:ligatures w14:val="standardContextual"/>
              </w:rPr>
              <w:t>R1</w:t>
            </w:r>
          </w:p>
        </w:tc>
        <w:tc>
          <w:tcPr>
            <w:tcW w:w="2551" w:type="dxa"/>
            <w:tcBorders>
              <w:top w:val="single" w:sz="4" w:space="0" w:color="auto"/>
              <w:left w:val="nil"/>
              <w:bottom w:val="nil"/>
              <w:right w:val="nil"/>
            </w:tcBorders>
            <w:vAlign w:val="center"/>
            <w:hideMark/>
          </w:tcPr>
          <w:p w14:paraId="07A7DD1B" w14:textId="77777777" w:rsidR="00963A30" w:rsidRDefault="00985EA0">
            <w:pPr>
              <w:widowControl/>
              <w:autoSpaceDE/>
              <w:autoSpaceDN/>
              <w:spacing w:after="120"/>
              <w:jc w:val="center"/>
              <w:rPr>
                <w:rFonts w:eastAsia="Calibri"/>
                <w:kern w:val="2"/>
                <w:sz w:val="24"/>
                <w:szCs w:val="24"/>
                <w:lang w:val="fi-FI" w:eastAsia="zh-CN"/>
                <w14:ligatures w14:val="standardContextual"/>
              </w:rPr>
            </w:pPr>
            <w:r>
              <w:rPr>
                <w:rFonts w:eastAsia="Calibri"/>
                <w:kern w:val="2"/>
                <w:sz w:val="24"/>
                <w:szCs w:val="24"/>
                <w:lang w:val="fi-FI" w:eastAsia="zh-CN"/>
                <w14:ligatures w14:val="standardContextual"/>
              </w:rPr>
              <w:t>7.55 x 10</w:t>
            </w:r>
            <w:r>
              <w:rPr>
                <w:rFonts w:eastAsia="Calibri"/>
                <w:kern w:val="2"/>
                <w:sz w:val="24"/>
                <w:szCs w:val="24"/>
                <w:vertAlign w:val="superscript"/>
                <w:lang w:val="fi-FI" w:eastAsia="zh-CN"/>
                <w14:ligatures w14:val="standardContextual"/>
              </w:rPr>
              <w:t>5b</w:t>
            </w:r>
          </w:p>
        </w:tc>
        <w:tc>
          <w:tcPr>
            <w:tcW w:w="2551" w:type="dxa"/>
            <w:tcBorders>
              <w:top w:val="nil"/>
              <w:left w:val="nil"/>
              <w:bottom w:val="nil"/>
              <w:right w:val="nil"/>
            </w:tcBorders>
            <w:vAlign w:val="center"/>
          </w:tcPr>
          <w:p w14:paraId="4DD9FB79" w14:textId="77777777" w:rsidR="00963A30" w:rsidRDefault="00985EA0">
            <w:pPr>
              <w:autoSpaceDE/>
              <w:autoSpaceDN/>
              <w:jc w:val="center"/>
              <w:rPr>
                <w:rFonts w:eastAsia="Calibri"/>
                <w:kern w:val="2"/>
                <w:sz w:val="24"/>
                <w:szCs w:val="24"/>
                <w:lang w:val="fi-FI" w:eastAsia="zh-CN"/>
                <w14:ligatures w14:val="standardContextual"/>
              </w:rPr>
            </w:pPr>
            <w:r>
              <w:rPr>
                <w:rFonts w:eastAsia="Calibri"/>
                <w:color w:val="000000"/>
                <w:sz w:val="24"/>
                <w:szCs w:val="24"/>
              </w:rPr>
              <w:t>270.00</w:t>
            </w:r>
          </w:p>
        </w:tc>
        <w:tc>
          <w:tcPr>
            <w:tcW w:w="2551" w:type="dxa"/>
            <w:tcBorders>
              <w:top w:val="single" w:sz="4" w:space="0" w:color="auto"/>
              <w:left w:val="nil"/>
              <w:bottom w:val="nil"/>
              <w:right w:val="nil"/>
            </w:tcBorders>
            <w:vAlign w:val="center"/>
          </w:tcPr>
          <w:p w14:paraId="3E91204E" w14:textId="77777777" w:rsidR="00963A30" w:rsidRDefault="00985EA0">
            <w:pPr>
              <w:widowControl/>
              <w:autoSpaceDE/>
              <w:autoSpaceDN/>
              <w:spacing w:after="120"/>
              <w:jc w:val="center"/>
              <w:rPr>
                <w:rFonts w:eastAsia="Calibri"/>
                <w:kern w:val="2"/>
                <w:sz w:val="24"/>
                <w:szCs w:val="24"/>
                <w:lang w:val="fi-FI" w:eastAsia="zh-CN"/>
                <w14:ligatures w14:val="standardContextual"/>
              </w:rPr>
            </w:pPr>
            <w:r>
              <w:rPr>
                <w:rFonts w:eastAsia="Calibri"/>
                <w:kern w:val="2"/>
                <w:sz w:val="24"/>
                <w:szCs w:val="24"/>
                <w:lang w:val="fi-FI" w:eastAsia="zh-CN"/>
                <w14:ligatures w14:val="standardContextual"/>
              </w:rPr>
              <w:t>77.77</w:t>
            </w:r>
          </w:p>
        </w:tc>
      </w:tr>
      <w:tr w:rsidR="00963A30" w14:paraId="3768EC02" w14:textId="77777777">
        <w:trPr>
          <w:trHeight w:val="278"/>
        </w:trPr>
        <w:tc>
          <w:tcPr>
            <w:tcW w:w="1271" w:type="dxa"/>
            <w:tcBorders>
              <w:top w:val="nil"/>
              <w:left w:val="nil"/>
              <w:bottom w:val="nil"/>
              <w:right w:val="nil"/>
            </w:tcBorders>
            <w:vAlign w:val="center"/>
            <w:hideMark/>
          </w:tcPr>
          <w:p w14:paraId="3E19DA5A" w14:textId="77777777" w:rsidR="00963A30" w:rsidRDefault="00985EA0">
            <w:pPr>
              <w:widowControl/>
              <w:autoSpaceDE/>
              <w:autoSpaceDN/>
              <w:spacing w:after="120"/>
              <w:jc w:val="center"/>
              <w:rPr>
                <w:rFonts w:eastAsia="Calibri"/>
                <w:kern w:val="2"/>
                <w:sz w:val="24"/>
                <w:szCs w:val="24"/>
                <w:lang w:val="fi-FI" w:eastAsia="zh-CN"/>
                <w14:ligatures w14:val="standardContextual"/>
              </w:rPr>
            </w:pPr>
            <w:r>
              <w:rPr>
                <w:rFonts w:eastAsia="Calibri"/>
                <w:kern w:val="2"/>
                <w:sz w:val="24"/>
                <w:szCs w:val="24"/>
                <w:lang w:val="fi-FI" w:eastAsia="zh-CN"/>
                <w14:ligatures w14:val="standardContextual"/>
              </w:rPr>
              <w:t>R2</w:t>
            </w:r>
          </w:p>
        </w:tc>
        <w:tc>
          <w:tcPr>
            <w:tcW w:w="2551" w:type="dxa"/>
            <w:tcBorders>
              <w:top w:val="nil"/>
              <w:left w:val="nil"/>
              <w:bottom w:val="nil"/>
              <w:right w:val="nil"/>
            </w:tcBorders>
            <w:vAlign w:val="center"/>
            <w:hideMark/>
          </w:tcPr>
          <w:p w14:paraId="00DA9534" w14:textId="77777777" w:rsidR="00963A30" w:rsidRDefault="00985EA0">
            <w:pPr>
              <w:widowControl/>
              <w:autoSpaceDE/>
              <w:autoSpaceDN/>
              <w:spacing w:after="120"/>
              <w:jc w:val="center"/>
              <w:rPr>
                <w:rFonts w:eastAsia="Calibri"/>
                <w:kern w:val="2"/>
                <w:sz w:val="24"/>
                <w:szCs w:val="24"/>
                <w:lang w:val="fi-FI" w:eastAsia="zh-CN"/>
                <w14:ligatures w14:val="standardContextual"/>
              </w:rPr>
            </w:pPr>
            <w:r>
              <w:rPr>
                <w:rFonts w:eastAsia="Calibri"/>
                <w:kern w:val="2"/>
                <w:sz w:val="24"/>
                <w:szCs w:val="24"/>
                <w:lang w:val="fi-FI" w:eastAsia="zh-CN"/>
                <w14:ligatures w14:val="standardContextual"/>
              </w:rPr>
              <w:t>11.17 x 10</w:t>
            </w:r>
            <w:r>
              <w:rPr>
                <w:rFonts w:eastAsia="Calibri"/>
                <w:kern w:val="2"/>
                <w:sz w:val="24"/>
                <w:szCs w:val="24"/>
                <w:vertAlign w:val="superscript"/>
                <w:lang w:val="fi-FI" w:eastAsia="zh-CN"/>
                <w14:ligatures w14:val="standardContextual"/>
              </w:rPr>
              <w:t>5a</w:t>
            </w:r>
          </w:p>
        </w:tc>
        <w:tc>
          <w:tcPr>
            <w:tcW w:w="2551" w:type="dxa"/>
            <w:tcBorders>
              <w:top w:val="nil"/>
              <w:left w:val="nil"/>
              <w:bottom w:val="nil"/>
              <w:right w:val="nil"/>
            </w:tcBorders>
            <w:vAlign w:val="center"/>
          </w:tcPr>
          <w:p w14:paraId="5C9A8B95" w14:textId="77777777" w:rsidR="00963A30" w:rsidRDefault="00985EA0">
            <w:pPr>
              <w:autoSpaceDE/>
              <w:autoSpaceDN/>
              <w:jc w:val="center"/>
              <w:rPr>
                <w:rFonts w:eastAsia="Calibri"/>
                <w:kern w:val="2"/>
                <w:sz w:val="24"/>
                <w:szCs w:val="24"/>
                <w:lang w:val="fi-FI" w:eastAsia="zh-CN"/>
                <w14:ligatures w14:val="standardContextual"/>
              </w:rPr>
            </w:pPr>
            <w:r>
              <w:rPr>
                <w:rFonts w:eastAsia="Calibri"/>
                <w:color w:val="000000"/>
                <w:sz w:val="24"/>
                <w:szCs w:val="24"/>
              </w:rPr>
              <w:t>231.70</w:t>
            </w:r>
          </w:p>
        </w:tc>
        <w:tc>
          <w:tcPr>
            <w:tcW w:w="2551" w:type="dxa"/>
            <w:tcBorders>
              <w:top w:val="nil"/>
              <w:left w:val="nil"/>
              <w:bottom w:val="nil"/>
              <w:right w:val="nil"/>
            </w:tcBorders>
            <w:vAlign w:val="center"/>
          </w:tcPr>
          <w:p w14:paraId="2FE9CCF7" w14:textId="77777777" w:rsidR="00963A30" w:rsidRDefault="00985EA0">
            <w:pPr>
              <w:widowControl/>
              <w:autoSpaceDE/>
              <w:autoSpaceDN/>
              <w:spacing w:after="120"/>
              <w:jc w:val="center"/>
              <w:rPr>
                <w:rFonts w:eastAsia="Calibri"/>
                <w:kern w:val="2"/>
                <w:sz w:val="24"/>
                <w:szCs w:val="24"/>
                <w:lang w:val="fi-FI" w:eastAsia="zh-CN"/>
                <w14:ligatures w14:val="standardContextual"/>
              </w:rPr>
            </w:pPr>
            <w:r>
              <w:rPr>
                <w:rFonts w:eastAsia="Calibri"/>
                <w:kern w:val="2"/>
                <w:sz w:val="24"/>
                <w:szCs w:val="24"/>
                <w:lang w:val="fi-FI" w:eastAsia="zh-CN"/>
                <w14:ligatures w14:val="standardContextual"/>
              </w:rPr>
              <w:t>57.40</w:t>
            </w:r>
          </w:p>
        </w:tc>
      </w:tr>
      <w:tr w:rsidR="00963A30" w14:paraId="43C3CAF9" w14:textId="77777777">
        <w:trPr>
          <w:trHeight w:val="278"/>
        </w:trPr>
        <w:tc>
          <w:tcPr>
            <w:tcW w:w="1271" w:type="dxa"/>
            <w:tcBorders>
              <w:top w:val="nil"/>
              <w:left w:val="nil"/>
              <w:bottom w:val="nil"/>
              <w:right w:val="nil"/>
            </w:tcBorders>
            <w:vAlign w:val="center"/>
            <w:hideMark/>
          </w:tcPr>
          <w:p w14:paraId="4F32DF1E" w14:textId="77777777" w:rsidR="00963A30" w:rsidRDefault="00985EA0">
            <w:pPr>
              <w:widowControl/>
              <w:autoSpaceDE/>
              <w:autoSpaceDN/>
              <w:spacing w:after="120"/>
              <w:jc w:val="center"/>
              <w:rPr>
                <w:rFonts w:eastAsia="Calibri"/>
                <w:kern w:val="2"/>
                <w:sz w:val="24"/>
                <w:szCs w:val="24"/>
                <w:lang w:val="fi-FI" w:eastAsia="zh-CN"/>
                <w14:ligatures w14:val="standardContextual"/>
              </w:rPr>
            </w:pPr>
            <w:r>
              <w:rPr>
                <w:rFonts w:eastAsia="Calibri"/>
                <w:kern w:val="2"/>
                <w:sz w:val="24"/>
                <w:szCs w:val="24"/>
                <w:lang w:val="fi-FI" w:eastAsia="zh-CN"/>
                <w14:ligatures w14:val="standardContextual"/>
              </w:rPr>
              <w:t>R3</w:t>
            </w:r>
          </w:p>
        </w:tc>
        <w:tc>
          <w:tcPr>
            <w:tcW w:w="2551" w:type="dxa"/>
            <w:tcBorders>
              <w:top w:val="nil"/>
              <w:left w:val="nil"/>
              <w:bottom w:val="nil"/>
              <w:right w:val="nil"/>
            </w:tcBorders>
            <w:vAlign w:val="center"/>
            <w:hideMark/>
          </w:tcPr>
          <w:p w14:paraId="6DA66C4B" w14:textId="77777777" w:rsidR="00963A30" w:rsidRDefault="00985EA0">
            <w:pPr>
              <w:widowControl/>
              <w:autoSpaceDE/>
              <w:autoSpaceDN/>
              <w:spacing w:after="120"/>
              <w:jc w:val="center"/>
              <w:rPr>
                <w:rFonts w:eastAsia="Calibri"/>
                <w:kern w:val="2"/>
                <w:sz w:val="24"/>
                <w:szCs w:val="24"/>
                <w:lang w:val="fi-FI" w:eastAsia="zh-CN"/>
                <w14:ligatures w14:val="standardContextual"/>
              </w:rPr>
            </w:pPr>
            <w:r>
              <w:rPr>
                <w:rFonts w:eastAsia="Calibri"/>
                <w:kern w:val="2"/>
                <w:sz w:val="24"/>
                <w:szCs w:val="24"/>
                <w:lang w:val="fi-FI" w:eastAsia="zh-CN"/>
                <w14:ligatures w14:val="standardContextual"/>
              </w:rPr>
              <w:t>13.84 x 10</w:t>
            </w:r>
            <w:r>
              <w:rPr>
                <w:rFonts w:eastAsia="Calibri"/>
                <w:kern w:val="2"/>
                <w:sz w:val="24"/>
                <w:szCs w:val="24"/>
                <w:vertAlign w:val="superscript"/>
                <w:lang w:val="fi-FI" w:eastAsia="zh-CN"/>
                <w14:ligatures w14:val="standardContextual"/>
              </w:rPr>
              <w:t>5a</w:t>
            </w:r>
          </w:p>
        </w:tc>
        <w:tc>
          <w:tcPr>
            <w:tcW w:w="2551" w:type="dxa"/>
            <w:tcBorders>
              <w:top w:val="nil"/>
              <w:left w:val="nil"/>
              <w:bottom w:val="nil"/>
              <w:right w:val="nil"/>
            </w:tcBorders>
            <w:vAlign w:val="center"/>
          </w:tcPr>
          <w:p w14:paraId="249576C1" w14:textId="77777777" w:rsidR="00963A30" w:rsidRDefault="00985EA0">
            <w:pPr>
              <w:autoSpaceDE/>
              <w:autoSpaceDN/>
              <w:jc w:val="center"/>
              <w:rPr>
                <w:rFonts w:eastAsia="Calibri"/>
                <w:kern w:val="2"/>
                <w:sz w:val="24"/>
                <w:szCs w:val="24"/>
                <w:lang w:val="fi-FI" w:eastAsia="zh-CN"/>
                <w14:ligatures w14:val="standardContextual"/>
              </w:rPr>
            </w:pPr>
            <w:r>
              <w:rPr>
                <w:rFonts w:eastAsia="Calibri"/>
                <w:color w:val="000000"/>
                <w:sz w:val="24"/>
                <w:szCs w:val="24"/>
              </w:rPr>
              <w:t>265.00</w:t>
            </w:r>
          </w:p>
        </w:tc>
        <w:tc>
          <w:tcPr>
            <w:tcW w:w="2551" w:type="dxa"/>
            <w:tcBorders>
              <w:top w:val="nil"/>
              <w:left w:val="nil"/>
              <w:bottom w:val="nil"/>
              <w:right w:val="nil"/>
            </w:tcBorders>
            <w:vAlign w:val="center"/>
          </w:tcPr>
          <w:p w14:paraId="14F9872F" w14:textId="77777777" w:rsidR="00963A30" w:rsidRDefault="00985EA0">
            <w:pPr>
              <w:widowControl/>
              <w:autoSpaceDE/>
              <w:autoSpaceDN/>
              <w:spacing w:after="120"/>
              <w:jc w:val="center"/>
              <w:rPr>
                <w:rFonts w:eastAsia="Calibri"/>
                <w:kern w:val="2"/>
                <w:sz w:val="24"/>
                <w:szCs w:val="24"/>
                <w:lang w:val="fi-FI" w:eastAsia="zh-CN"/>
                <w14:ligatures w14:val="standardContextual"/>
              </w:rPr>
            </w:pPr>
            <w:r>
              <w:rPr>
                <w:rFonts w:eastAsia="Calibri"/>
                <w:kern w:val="2"/>
                <w:sz w:val="24"/>
                <w:szCs w:val="24"/>
                <w:lang w:val="fi-FI" w:eastAsia="zh-CN"/>
                <w14:ligatures w14:val="standardContextual"/>
              </w:rPr>
              <w:t>72.37</w:t>
            </w:r>
          </w:p>
        </w:tc>
      </w:tr>
      <w:tr w:rsidR="00963A30" w14:paraId="0C0E0FC4" w14:textId="77777777">
        <w:trPr>
          <w:trHeight w:val="278"/>
        </w:trPr>
        <w:tc>
          <w:tcPr>
            <w:tcW w:w="1271" w:type="dxa"/>
            <w:tcBorders>
              <w:top w:val="nil"/>
              <w:left w:val="nil"/>
              <w:bottom w:val="nil"/>
              <w:right w:val="nil"/>
            </w:tcBorders>
            <w:vAlign w:val="center"/>
          </w:tcPr>
          <w:p w14:paraId="494E9570" w14:textId="77777777" w:rsidR="00963A30" w:rsidRDefault="00985EA0">
            <w:pPr>
              <w:widowControl/>
              <w:autoSpaceDE/>
              <w:autoSpaceDN/>
              <w:spacing w:after="120"/>
              <w:jc w:val="center"/>
              <w:rPr>
                <w:rFonts w:eastAsia="Calibri"/>
                <w:kern w:val="2"/>
                <w:sz w:val="24"/>
                <w:szCs w:val="24"/>
                <w:lang w:val="fi-FI" w:eastAsia="zh-CN"/>
                <w14:ligatures w14:val="standardContextual"/>
              </w:rPr>
            </w:pPr>
            <w:r>
              <w:rPr>
                <w:rFonts w:eastAsia="Calibri"/>
                <w:kern w:val="2"/>
                <w:sz w:val="24"/>
                <w:szCs w:val="24"/>
                <w:lang w:val="fi-FI" w:eastAsia="zh-CN"/>
                <w14:ligatures w14:val="standardContextual"/>
              </w:rPr>
              <w:t>R4</w:t>
            </w:r>
          </w:p>
        </w:tc>
        <w:tc>
          <w:tcPr>
            <w:tcW w:w="2551" w:type="dxa"/>
            <w:tcBorders>
              <w:top w:val="nil"/>
              <w:left w:val="nil"/>
              <w:bottom w:val="nil"/>
              <w:right w:val="nil"/>
            </w:tcBorders>
            <w:vAlign w:val="center"/>
          </w:tcPr>
          <w:p w14:paraId="66C7C180" w14:textId="77777777" w:rsidR="00963A30" w:rsidRDefault="00985EA0">
            <w:pPr>
              <w:widowControl/>
              <w:autoSpaceDE/>
              <w:autoSpaceDN/>
              <w:spacing w:after="120"/>
              <w:jc w:val="center"/>
              <w:rPr>
                <w:rFonts w:eastAsia="Calibri"/>
                <w:kern w:val="2"/>
                <w:sz w:val="24"/>
                <w:szCs w:val="24"/>
                <w:lang w:val="fi-FI" w:eastAsia="zh-CN"/>
                <w14:ligatures w14:val="standardContextual"/>
              </w:rPr>
            </w:pPr>
            <w:r>
              <w:rPr>
                <w:rFonts w:eastAsia="Calibri"/>
                <w:kern w:val="2"/>
                <w:sz w:val="24"/>
                <w:szCs w:val="24"/>
                <w:lang w:val="fi-FI" w:eastAsia="zh-CN"/>
                <w14:ligatures w14:val="standardContextual"/>
              </w:rPr>
              <w:t>13.57 x 10</w:t>
            </w:r>
            <w:r>
              <w:rPr>
                <w:rFonts w:eastAsia="Calibri"/>
                <w:kern w:val="2"/>
                <w:sz w:val="24"/>
                <w:szCs w:val="24"/>
                <w:vertAlign w:val="superscript"/>
                <w:lang w:val="fi-FI" w:eastAsia="zh-CN"/>
                <w14:ligatures w14:val="standardContextual"/>
              </w:rPr>
              <w:t>5a</w:t>
            </w:r>
          </w:p>
        </w:tc>
        <w:tc>
          <w:tcPr>
            <w:tcW w:w="2551" w:type="dxa"/>
            <w:tcBorders>
              <w:top w:val="nil"/>
              <w:left w:val="nil"/>
              <w:bottom w:val="nil"/>
              <w:right w:val="nil"/>
            </w:tcBorders>
            <w:vAlign w:val="center"/>
          </w:tcPr>
          <w:p w14:paraId="18574736" w14:textId="77777777" w:rsidR="00963A30" w:rsidRDefault="00985EA0">
            <w:pPr>
              <w:autoSpaceDE/>
              <w:autoSpaceDN/>
              <w:jc w:val="center"/>
              <w:rPr>
                <w:rFonts w:eastAsia="Calibri"/>
                <w:kern w:val="2"/>
                <w:sz w:val="24"/>
                <w:szCs w:val="24"/>
                <w:lang w:val="fi-FI" w:eastAsia="zh-CN"/>
                <w14:ligatures w14:val="standardContextual"/>
              </w:rPr>
            </w:pPr>
            <w:r>
              <w:rPr>
                <w:rFonts w:eastAsia="Calibri"/>
                <w:color w:val="000000"/>
                <w:sz w:val="24"/>
                <w:szCs w:val="24"/>
              </w:rPr>
              <w:t>261.70</w:t>
            </w:r>
          </w:p>
        </w:tc>
        <w:tc>
          <w:tcPr>
            <w:tcW w:w="2551" w:type="dxa"/>
            <w:tcBorders>
              <w:top w:val="nil"/>
              <w:left w:val="nil"/>
              <w:bottom w:val="nil"/>
              <w:right w:val="nil"/>
            </w:tcBorders>
            <w:vAlign w:val="center"/>
          </w:tcPr>
          <w:p w14:paraId="675391D2" w14:textId="77777777" w:rsidR="00963A30" w:rsidRDefault="00985EA0">
            <w:pPr>
              <w:widowControl/>
              <w:autoSpaceDE/>
              <w:autoSpaceDN/>
              <w:spacing w:after="120"/>
              <w:jc w:val="center"/>
              <w:rPr>
                <w:rFonts w:eastAsia="Calibri"/>
                <w:kern w:val="2"/>
                <w:sz w:val="24"/>
                <w:szCs w:val="24"/>
                <w:lang w:val="fi-FI" w:eastAsia="zh-CN"/>
                <w14:ligatures w14:val="standardContextual"/>
              </w:rPr>
            </w:pPr>
            <w:r>
              <w:rPr>
                <w:rFonts w:eastAsia="Calibri"/>
                <w:kern w:val="2"/>
                <w:sz w:val="24"/>
                <w:szCs w:val="24"/>
                <w:lang w:val="fi-FI" w:eastAsia="zh-CN"/>
                <w14:ligatures w14:val="standardContextual"/>
              </w:rPr>
              <w:t>70.34</w:t>
            </w:r>
          </w:p>
        </w:tc>
      </w:tr>
      <w:tr w:rsidR="00963A30" w14:paraId="5FC967C9" w14:textId="77777777">
        <w:trPr>
          <w:trHeight w:val="278"/>
        </w:trPr>
        <w:tc>
          <w:tcPr>
            <w:tcW w:w="1271" w:type="dxa"/>
            <w:tcBorders>
              <w:top w:val="nil"/>
              <w:left w:val="nil"/>
              <w:bottom w:val="nil"/>
              <w:right w:val="nil"/>
            </w:tcBorders>
            <w:vAlign w:val="center"/>
          </w:tcPr>
          <w:p w14:paraId="127F89F4" w14:textId="77777777" w:rsidR="00963A30" w:rsidRDefault="00985EA0">
            <w:pPr>
              <w:widowControl/>
              <w:autoSpaceDE/>
              <w:autoSpaceDN/>
              <w:spacing w:after="120"/>
              <w:jc w:val="center"/>
              <w:rPr>
                <w:rFonts w:eastAsia="Calibri"/>
                <w:kern w:val="2"/>
                <w:sz w:val="24"/>
                <w:szCs w:val="24"/>
                <w:lang w:val="fi-FI" w:eastAsia="zh-CN"/>
                <w14:ligatures w14:val="standardContextual"/>
              </w:rPr>
            </w:pPr>
            <w:r>
              <w:rPr>
                <w:rFonts w:eastAsia="Calibri"/>
                <w:kern w:val="2"/>
                <w:sz w:val="24"/>
                <w:szCs w:val="24"/>
                <w:lang w:val="fi-FI" w:eastAsia="zh-CN"/>
                <w14:ligatures w14:val="standardContextual"/>
              </w:rPr>
              <w:t>R5</w:t>
            </w:r>
          </w:p>
        </w:tc>
        <w:tc>
          <w:tcPr>
            <w:tcW w:w="2551" w:type="dxa"/>
            <w:tcBorders>
              <w:top w:val="nil"/>
              <w:left w:val="nil"/>
              <w:bottom w:val="nil"/>
              <w:right w:val="nil"/>
            </w:tcBorders>
            <w:vAlign w:val="center"/>
          </w:tcPr>
          <w:p w14:paraId="41DC0E83" w14:textId="77777777" w:rsidR="00963A30" w:rsidRDefault="00985EA0">
            <w:pPr>
              <w:widowControl/>
              <w:autoSpaceDE/>
              <w:autoSpaceDN/>
              <w:spacing w:after="120"/>
              <w:jc w:val="center"/>
              <w:rPr>
                <w:rFonts w:eastAsia="Calibri"/>
                <w:kern w:val="2"/>
                <w:sz w:val="24"/>
                <w:szCs w:val="24"/>
                <w:lang w:val="fi-FI" w:eastAsia="zh-CN"/>
                <w14:ligatures w14:val="standardContextual"/>
              </w:rPr>
            </w:pPr>
            <w:r>
              <w:rPr>
                <w:rFonts w:eastAsia="Calibri"/>
                <w:kern w:val="2"/>
                <w:sz w:val="24"/>
                <w:szCs w:val="24"/>
                <w:lang w:val="fi-FI" w:eastAsia="zh-CN"/>
                <w14:ligatures w14:val="standardContextual"/>
              </w:rPr>
              <w:t>13.77 x 10</w:t>
            </w:r>
            <w:r>
              <w:rPr>
                <w:rFonts w:eastAsia="Calibri"/>
                <w:kern w:val="2"/>
                <w:sz w:val="24"/>
                <w:szCs w:val="24"/>
                <w:vertAlign w:val="superscript"/>
                <w:lang w:val="fi-FI" w:eastAsia="zh-CN"/>
                <w14:ligatures w14:val="standardContextual"/>
              </w:rPr>
              <w:t>5a</w:t>
            </w:r>
          </w:p>
        </w:tc>
        <w:tc>
          <w:tcPr>
            <w:tcW w:w="2551" w:type="dxa"/>
            <w:tcBorders>
              <w:top w:val="nil"/>
              <w:left w:val="nil"/>
              <w:bottom w:val="nil"/>
              <w:right w:val="nil"/>
            </w:tcBorders>
            <w:vAlign w:val="center"/>
          </w:tcPr>
          <w:p w14:paraId="32258C43" w14:textId="77777777" w:rsidR="00963A30" w:rsidRDefault="00985EA0">
            <w:pPr>
              <w:autoSpaceDE/>
              <w:autoSpaceDN/>
              <w:jc w:val="center"/>
              <w:rPr>
                <w:rFonts w:eastAsia="Calibri"/>
                <w:kern w:val="2"/>
                <w:sz w:val="24"/>
                <w:szCs w:val="24"/>
                <w:vertAlign w:val="superscript"/>
                <w:lang w:val="fi-FI" w:eastAsia="zh-CN"/>
                <w14:ligatures w14:val="standardContextual"/>
              </w:rPr>
            </w:pPr>
            <w:r>
              <w:rPr>
                <w:rFonts w:eastAsia="Calibri"/>
                <w:color w:val="000000"/>
                <w:sz w:val="24"/>
                <w:szCs w:val="24"/>
              </w:rPr>
              <w:t>228.30</w:t>
            </w:r>
          </w:p>
        </w:tc>
        <w:tc>
          <w:tcPr>
            <w:tcW w:w="2551" w:type="dxa"/>
            <w:tcBorders>
              <w:top w:val="nil"/>
              <w:left w:val="nil"/>
              <w:bottom w:val="nil"/>
              <w:right w:val="nil"/>
            </w:tcBorders>
            <w:vAlign w:val="center"/>
          </w:tcPr>
          <w:p w14:paraId="6582A38E" w14:textId="77777777" w:rsidR="00963A30" w:rsidRDefault="00985EA0">
            <w:pPr>
              <w:widowControl/>
              <w:autoSpaceDE/>
              <w:autoSpaceDN/>
              <w:spacing w:after="120"/>
              <w:jc w:val="center"/>
              <w:rPr>
                <w:rFonts w:eastAsia="Calibri"/>
                <w:kern w:val="2"/>
                <w:sz w:val="24"/>
                <w:szCs w:val="24"/>
                <w:lang w:val="fi-FI" w:eastAsia="zh-CN"/>
                <w14:ligatures w14:val="standardContextual"/>
              </w:rPr>
            </w:pPr>
            <w:r>
              <w:rPr>
                <w:rFonts w:eastAsia="Calibri"/>
                <w:kern w:val="2"/>
                <w:sz w:val="24"/>
                <w:szCs w:val="24"/>
                <w:lang w:val="fi-FI" w:eastAsia="zh-CN"/>
                <w14:ligatures w14:val="standardContextual"/>
              </w:rPr>
              <w:t>55.38</w:t>
            </w:r>
          </w:p>
        </w:tc>
      </w:tr>
      <w:tr w:rsidR="00963A30" w14:paraId="28AC71BD" w14:textId="77777777">
        <w:trPr>
          <w:trHeight w:val="278"/>
        </w:trPr>
        <w:tc>
          <w:tcPr>
            <w:tcW w:w="1271" w:type="dxa"/>
            <w:tcBorders>
              <w:top w:val="nil"/>
              <w:left w:val="nil"/>
              <w:bottom w:val="nil"/>
              <w:right w:val="nil"/>
            </w:tcBorders>
            <w:vAlign w:val="center"/>
          </w:tcPr>
          <w:p w14:paraId="4C9F64C2" w14:textId="77777777" w:rsidR="00963A30" w:rsidRDefault="00985EA0">
            <w:pPr>
              <w:widowControl/>
              <w:autoSpaceDE/>
              <w:autoSpaceDN/>
              <w:spacing w:after="120"/>
              <w:jc w:val="center"/>
              <w:rPr>
                <w:rFonts w:eastAsia="Calibri"/>
                <w:kern w:val="2"/>
                <w:sz w:val="24"/>
                <w:szCs w:val="24"/>
                <w:lang w:val="fi-FI" w:eastAsia="zh-CN"/>
                <w14:ligatures w14:val="standardContextual"/>
              </w:rPr>
            </w:pPr>
            <w:r>
              <w:rPr>
                <w:rFonts w:eastAsia="Calibri"/>
                <w:kern w:val="2"/>
                <w:sz w:val="24"/>
                <w:szCs w:val="24"/>
                <w:lang w:val="fi-FI" w:eastAsia="zh-CN"/>
                <w14:ligatures w14:val="standardContextual"/>
              </w:rPr>
              <w:t>R6</w:t>
            </w:r>
          </w:p>
        </w:tc>
        <w:tc>
          <w:tcPr>
            <w:tcW w:w="2551" w:type="dxa"/>
            <w:tcBorders>
              <w:top w:val="nil"/>
              <w:left w:val="nil"/>
              <w:bottom w:val="nil"/>
              <w:right w:val="nil"/>
            </w:tcBorders>
            <w:vAlign w:val="center"/>
          </w:tcPr>
          <w:p w14:paraId="19E93F0B" w14:textId="77777777" w:rsidR="00963A30" w:rsidRDefault="00985EA0">
            <w:pPr>
              <w:widowControl/>
              <w:autoSpaceDE/>
              <w:autoSpaceDN/>
              <w:spacing w:after="120"/>
              <w:jc w:val="center"/>
              <w:rPr>
                <w:rFonts w:eastAsia="Calibri"/>
                <w:kern w:val="2"/>
                <w:sz w:val="24"/>
                <w:szCs w:val="24"/>
                <w:lang w:val="fi-FI" w:eastAsia="zh-CN"/>
                <w14:ligatures w14:val="standardContextual"/>
              </w:rPr>
            </w:pPr>
            <w:r>
              <w:rPr>
                <w:rFonts w:eastAsia="Calibri"/>
                <w:kern w:val="2"/>
                <w:sz w:val="24"/>
                <w:szCs w:val="24"/>
                <w:lang w:val="fi-FI" w:eastAsia="zh-CN"/>
                <w14:ligatures w14:val="standardContextual"/>
              </w:rPr>
              <w:t>12.92 x 10</w:t>
            </w:r>
            <w:r>
              <w:rPr>
                <w:rFonts w:eastAsia="Calibri"/>
                <w:kern w:val="2"/>
                <w:sz w:val="24"/>
                <w:szCs w:val="24"/>
                <w:vertAlign w:val="superscript"/>
                <w:lang w:val="fi-FI" w:eastAsia="zh-CN"/>
                <w14:ligatures w14:val="standardContextual"/>
              </w:rPr>
              <w:t>5a</w:t>
            </w:r>
          </w:p>
        </w:tc>
        <w:tc>
          <w:tcPr>
            <w:tcW w:w="2551" w:type="dxa"/>
            <w:tcBorders>
              <w:top w:val="nil"/>
              <w:left w:val="nil"/>
              <w:bottom w:val="nil"/>
              <w:right w:val="nil"/>
            </w:tcBorders>
            <w:vAlign w:val="center"/>
          </w:tcPr>
          <w:p w14:paraId="2424574C" w14:textId="77777777" w:rsidR="00963A30" w:rsidRDefault="00985EA0">
            <w:pPr>
              <w:autoSpaceDE/>
              <w:autoSpaceDN/>
              <w:jc w:val="center"/>
              <w:rPr>
                <w:rFonts w:eastAsia="Calibri"/>
                <w:kern w:val="2"/>
                <w:sz w:val="24"/>
                <w:szCs w:val="24"/>
                <w:lang w:val="fi-FI" w:eastAsia="zh-CN"/>
                <w14:ligatures w14:val="standardContextual"/>
              </w:rPr>
            </w:pPr>
            <w:r>
              <w:rPr>
                <w:rFonts w:eastAsia="Calibri"/>
                <w:color w:val="000000"/>
                <w:sz w:val="24"/>
                <w:szCs w:val="24"/>
              </w:rPr>
              <w:t>275.00</w:t>
            </w:r>
          </w:p>
        </w:tc>
        <w:tc>
          <w:tcPr>
            <w:tcW w:w="2551" w:type="dxa"/>
            <w:tcBorders>
              <w:top w:val="nil"/>
              <w:left w:val="nil"/>
              <w:bottom w:val="nil"/>
              <w:right w:val="nil"/>
            </w:tcBorders>
            <w:vAlign w:val="center"/>
          </w:tcPr>
          <w:p w14:paraId="2135D155" w14:textId="77777777" w:rsidR="00963A30" w:rsidRDefault="00985EA0">
            <w:pPr>
              <w:widowControl/>
              <w:autoSpaceDE/>
              <w:autoSpaceDN/>
              <w:spacing w:after="120"/>
              <w:jc w:val="center"/>
              <w:rPr>
                <w:rFonts w:eastAsia="Calibri"/>
                <w:kern w:val="2"/>
                <w:sz w:val="24"/>
                <w:szCs w:val="24"/>
                <w:lang w:val="fi-FI" w:eastAsia="zh-CN"/>
                <w14:ligatures w14:val="standardContextual"/>
              </w:rPr>
            </w:pPr>
            <w:r>
              <w:rPr>
                <w:rFonts w:eastAsia="Calibri"/>
                <w:kern w:val="2"/>
                <w:sz w:val="24"/>
                <w:szCs w:val="24"/>
                <w:lang w:val="fi-FI" w:eastAsia="zh-CN"/>
                <w14:ligatures w14:val="standardContextual"/>
              </w:rPr>
              <w:t>73.63</w:t>
            </w:r>
          </w:p>
        </w:tc>
      </w:tr>
      <w:tr w:rsidR="00963A30" w14:paraId="0344B6B3" w14:textId="77777777">
        <w:trPr>
          <w:trHeight w:val="333"/>
        </w:trPr>
        <w:tc>
          <w:tcPr>
            <w:tcW w:w="1271" w:type="dxa"/>
            <w:tcBorders>
              <w:top w:val="nil"/>
              <w:left w:val="nil"/>
              <w:bottom w:val="single" w:sz="4" w:space="0" w:color="auto"/>
              <w:right w:val="nil"/>
            </w:tcBorders>
            <w:vAlign w:val="center"/>
            <w:hideMark/>
          </w:tcPr>
          <w:p w14:paraId="7A941A8D" w14:textId="77777777" w:rsidR="00963A30" w:rsidRDefault="00985EA0">
            <w:pPr>
              <w:widowControl/>
              <w:autoSpaceDE/>
              <w:autoSpaceDN/>
              <w:spacing w:after="120"/>
              <w:jc w:val="center"/>
              <w:rPr>
                <w:rFonts w:eastAsia="Calibri"/>
                <w:kern w:val="2"/>
                <w:sz w:val="24"/>
                <w:szCs w:val="24"/>
                <w:lang w:val="fi-FI" w:eastAsia="zh-CN"/>
                <w14:ligatures w14:val="standardContextual"/>
              </w:rPr>
            </w:pPr>
            <w:r>
              <w:rPr>
                <w:rFonts w:eastAsia="Calibri"/>
                <w:kern w:val="2"/>
                <w:sz w:val="24"/>
                <w:szCs w:val="24"/>
                <w:lang w:val="fi-FI" w:eastAsia="zh-CN"/>
                <w14:ligatures w14:val="standardContextual"/>
              </w:rPr>
              <w:t>R7</w:t>
            </w:r>
          </w:p>
        </w:tc>
        <w:tc>
          <w:tcPr>
            <w:tcW w:w="2551" w:type="dxa"/>
            <w:tcBorders>
              <w:top w:val="nil"/>
              <w:left w:val="nil"/>
              <w:bottom w:val="single" w:sz="4" w:space="0" w:color="auto"/>
              <w:right w:val="nil"/>
            </w:tcBorders>
            <w:vAlign w:val="center"/>
            <w:hideMark/>
          </w:tcPr>
          <w:p w14:paraId="1ECB8A96" w14:textId="77777777" w:rsidR="00963A30" w:rsidRDefault="00985EA0">
            <w:pPr>
              <w:widowControl/>
              <w:autoSpaceDE/>
              <w:autoSpaceDN/>
              <w:spacing w:after="120"/>
              <w:jc w:val="center"/>
              <w:rPr>
                <w:rFonts w:eastAsia="Calibri"/>
                <w:kern w:val="2"/>
                <w:sz w:val="24"/>
                <w:szCs w:val="24"/>
                <w:lang w:val="fi-FI" w:eastAsia="zh-CN"/>
                <w14:ligatures w14:val="standardContextual"/>
              </w:rPr>
            </w:pPr>
            <w:r>
              <w:rPr>
                <w:rFonts w:eastAsia="Calibri"/>
                <w:kern w:val="2"/>
                <w:sz w:val="24"/>
                <w:szCs w:val="24"/>
                <w:lang w:val="fi-FI" w:eastAsia="zh-CN"/>
                <w14:ligatures w14:val="standardContextual"/>
              </w:rPr>
              <w:t>13.58 x 10</w:t>
            </w:r>
            <w:r>
              <w:rPr>
                <w:rFonts w:eastAsia="Calibri"/>
                <w:kern w:val="2"/>
                <w:sz w:val="24"/>
                <w:szCs w:val="24"/>
                <w:vertAlign w:val="superscript"/>
                <w:lang w:val="fi-FI" w:eastAsia="zh-CN"/>
                <w14:ligatures w14:val="standardContextual"/>
              </w:rPr>
              <w:t>5a</w:t>
            </w:r>
          </w:p>
        </w:tc>
        <w:tc>
          <w:tcPr>
            <w:tcW w:w="2551" w:type="dxa"/>
            <w:tcBorders>
              <w:top w:val="nil"/>
              <w:left w:val="nil"/>
              <w:bottom w:val="nil"/>
              <w:right w:val="nil"/>
            </w:tcBorders>
            <w:vAlign w:val="center"/>
          </w:tcPr>
          <w:p w14:paraId="01905D9C" w14:textId="77777777" w:rsidR="00963A30" w:rsidRDefault="00985EA0">
            <w:pPr>
              <w:autoSpaceDE/>
              <w:autoSpaceDN/>
              <w:jc w:val="center"/>
              <w:rPr>
                <w:rFonts w:eastAsia="Calibri"/>
                <w:kern w:val="2"/>
                <w:sz w:val="24"/>
                <w:szCs w:val="24"/>
                <w:lang w:val="fi-FI" w:eastAsia="zh-CN"/>
                <w14:ligatures w14:val="standardContextual"/>
              </w:rPr>
            </w:pPr>
            <w:r>
              <w:rPr>
                <w:rFonts w:eastAsia="Calibri"/>
                <w:color w:val="000000"/>
                <w:sz w:val="24"/>
                <w:szCs w:val="24"/>
              </w:rPr>
              <w:t>263.33</w:t>
            </w:r>
          </w:p>
        </w:tc>
        <w:tc>
          <w:tcPr>
            <w:tcW w:w="2551" w:type="dxa"/>
            <w:tcBorders>
              <w:top w:val="nil"/>
              <w:left w:val="nil"/>
              <w:bottom w:val="single" w:sz="4" w:space="0" w:color="auto"/>
              <w:right w:val="nil"/>
            </w:tcBorders>
            <w:vAlign w:val="center"/>
          </w:tcPr>
          <w:p w14:paraId="1A63D73B" w14:textId="77777777" w:rsidR="00963A30" w:rsidRDefault="00985EA0">
            <w:pPr>
              <w:widowControl/>
              <w:autoSpaceDE/>
              <w:autoSpaceDN/>
              <w:spacing w:after="120"/>
              <w:jc w:val="center"/>
              <w:rPr>
                <w:rFonts w:eastAsia="Calibri"/>
                <w:kern w:val="2"/>
                <w:sz w:val="24"/>
                <w:szCs w:val="24"/>
                <w:lang w:val="fi-FI" w:eastAsia="zh-CN"/>
                <w14:ligatures w14:val="standardContextual"/>
              </w:rPr>
            </w:pPr>
            <w:r>
              <w:rPr>
                <w:rFonts w:eastAsia="Calibri"/>
                <w:kern w:val="2"/>
                <w:sz w:val="24"/>
                <w:szCs w:val="24"/>
                <w:lang w:val="fi-FI" w:eastAsia="zh-CN"/>
                <w14:ligatures w14:val="standardContextual"/>
              </w:rPr>
              <w:t>63.87</w:t>
            </w:r>
          </w:p>
        </w:tc>
      </w:tr>
      <w:tr w:rsidR="00963A30" w14:paraId="039E8947" w14:textId="77777777">
        <w:trPr>
          <w:trHeight w:val="319"/>
        </w:trPr>
        <w:tc>
          <w:tcPr>
            <w:tcW w:w="1271" w:type="dxa"/>
            <w:tcBorders>
              <w:top w:val="single" w:sz="4" w:space="0" w:color="auto"/>
              <w:left w:val="nil"/>
              <w:bottom w:val="single" w:sz="4" w:space="0" w:color="auto"/>
              <w:right w:val="nil"/>
            </w:tcBorders>
            <w:vAlign w:val="center"/>
            <w:hideMark/>
          </w:tcPr>
          <w:p w14:paraId="7E219BD8" w14:textId="77777777" w:rsidR="00963A30" w:rsidRDefault="00985EA0">
            <w:pPr>
              <w:widowControl/>
              <w:autoSpaceDE/>
              <w:autoSpaceDN/>
              <w:spacing w:after="120"/>
              <w:jc w:val="center"/>
              <w:rPr>
                <w:rFonts w:eastAsia="Calibri"/>
                <w:kern w:val="2"/>
                <w:sz w:val="24"/>
                <w:szCs w:val="24"/>
                <w:lang w:val="fi-FI" w:eastAsia="zh-CN"/>
                <w14:ligatures w14:val="standardContextual"/>
              </w:rPr>
            </w:pPr>
            <w:r>
              <w:rPr>
                <w:rFonts w:eastAsia="Calibri"/>
                <w:kern w:val="2"/>
                <w:sz w:val="24"/>
                <w:szCs w:val="24"/>
                <w:lang w:val="fi-FI" w:eastAsia="zh-CN"/>
                <w14:ligatures w14:val="standardContextual"/>
              </w:rPr>
              <w:t>SE</w:t>
            </w:r>
          </w:p>
        </w:tc>
        <w:tc>
          <w:tcPr>
            <w:tcW w:w="2551" w:type="dxa"/>
            <w:tcBorders>
              <w:top w:val="single" w:sz="4" w:space="0" w:color="auto"/>
              <w:left w:val="nil"/>
              <w:bottom w:val="single" w:sz="4" w:space="0" w:color="auto"/>
              <w:right w:val="nil"/>
            </w:tcBorders>
            <w:vAlign w:val="center"/>
            <w:hideMark/>
          </w:tcPr>
          <w:p w14:paraId="6A64B979" w14:textId="77777777" w:rsidR="00963A30" w:rsidRDefault="00985EA0">
            <w:pPr>
              <w:widowControl/>
              <w:autoSpaceDE/>
              <w:autoSpaceDN/>
              <w:spacing w:after="120"/>
              <w:jc w:val="center"/>
              <w:rPr>
                <w:rFonts w:eastAsia="Calibri"/>
                <w:kern w:val="2"/>
                <w:sz w:val="24"/>
                <w:szCs w:val="24"/>
                <w:lang w:val="fi-FI" w:eastAsia="zh-CN"/>
                <w14:ligatures w14:val="standardContextual"/>
              </w:rPr>
            </w:pPr>
            <w:r>
              <w:rPr>
                <w:rFonts w:eastAsia="Calibri"/>
                <w:kern w:val="2"/>
                <w:sz w:val="24"/>
                <w:szCs w:val="24"/>
                <w:lang w:val="fi-FI" w:eastAsia="zh-CN"/>
                <w14:ligatures w14:val="standardContextual"/>
              </w:rPr>
              <w:t>0.96</w:t>
            </w:r>
          </w:p>
        </w:tc>
        <w:tc>
          <w:tcPr>
            <w:tcW w:w="2551" w:type="dxa"/>
            <w:tcBorders>
              <w:top w:val="single" w:sz="4" w:space="0" w:color="auto"/>
              <w:left w:val="nil"/>
              <w:bottom w:val="single" w:sz="4" w:space="0" w:color="auto"/>
              <w:right w:val="nil"/>
            </w:tcBorders>
            <w:vAlign w:val="center"/>
          </w:tcPr>
          <w:p w14:paraId="352C43D4" w14:textId="77777777" w:rsidR="00963A30" w:rsidRDefault="00985EA0">
            <w:pPr>
              <w:autoSpaceDE/>
              <w:autoSpaceDN/>
              <w:jc w:val="center"/>
              <w:rPr>
                <w:rFonts w:eastAsia="Calibri"/>
                <w:kern w:val="2"/>
                <w:sz w:val="24"/>
                <w:szCs w:val="24"/>
                <w:lang w:val="fi-FI" w:eastAsia="zh-CN"/>
                <w14:ligatures w14:val="standardContextual"/>
              </w:rPr>
            </w:pPr>
            <w:r>
              <w:rPr>
                <w:rFonts w:eastAsia="Calibri"/>
                <w:kern w:val="2"/>
                <w:sz w:val="24"/>
                <w:szCs w:val="24"/>
                <w:lang w:val="fi-FI" w:eastAsia="zh-CN"/>
                <w14:ligatures w14:val="standardContextual"/>
              </w:rPr>
              <w:t>16.81</w:t>
            </w:r>
          </w:p>
        </w:tc>
        <w:tc>
          <w:tcPr>
            <w:tcW w:w="2551" w:type="dxa"/>
            <w:tcBorders>
              <w:top w:val="single" w:sz="4" w:space="0" w:color="auto"/>
              <w:left w:val="nil"/>
              <w:bottom w:val="single" w:sz="4" w:space="0" w:color="auto"/>
              <w:right w:val="nil"/>
            </w:tcBorders>
            <w:vAlign w:val="center"/>
          </w:tcPr>
          <w:p w14:paraId="7E32F2EE" w14:textId="77777777" w:rsidR="00963A30" w:rsidRDefault="00985EA0">
            <w:pPr>
              <w:widowControl/>
              <w:autoSpaceDE/>
              <w:autoSpaceDN/>
              <w:spacing w:after="120"/>
              <w:jc w:val="center"/>
              <w:rPr>
                <w:rFonts w:eastAsia="Calibri"/>
                <w:kern w:val="2"/>
                <w:sz w:val="24"/>
                <w:szCs w:val="24"/>
                <w:lang w:val="fi-FI" w:eastAsia="zh-CN"/>
                <w14:ligatures w14:val="standardContextual"/>
              </w:rPr>
            </w:pPr>
            <w:r>
              <w:rPr>
                <w:rFonts w:eastAsia="Calibri"/>
                <w:kern w:val="2"/>
                <w:sz w:val="24"/>
                <w:szCs w:val="24"/>
                <w:lang w:val="fi-FI" w:eastAsia="zh-CN"/>
                <w14:ligatures w14:val="standardContextual"/>
              </w:rPr>
              <w:t>5.78</w:t>
            </w:r>
          </w:p>
        </w:tc>
      </w:tr>
    </w:tbl>
    <w:p w14:paraId="74052329" w14:textId="77777777" w:rsidR="00963A30" w:rsidRDefault="00985EA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spacing w:line="360" w:lineRule="auto"/>
        <w:jc w:val="both"/>
        <w:rPr>
          <w:sz w:val="24"/>
          <w:szCs w:val="24"/>
          <w:lang w:eastAsia="en-ID"/>
        </w:rPr>
      </w:pPr>
      <w:r>
        <w:rPr>
          <w:sz w:val="24"/>
          <w:szCs w:val="24"/>
          <w:lang w:eastAsia="en-ID"/>
        </w:rPr>
        <w:t>Note: Different superscripts in the same column indicate highly significant differences (P&lt;0.01). SE (standar error)</w:t>
      </w:r>
    </w:p>
    <w:p w14:paraId="0422C8D8" w14:textId="77777777" w:rsidR="00963A30" w:rsidRDefault="00985EA0">
      <w:pPr>
        <w:pStyle w:val="ListParagraph"/>
        <w:widowControl/>
        <w:numPr>
          <w:ilvl w:val="0"/>
          <w:numId w:val="14"/>
        </w:numPr>
        <w:tabs>
          <w:tab w:val="left" w:pos="1134"/>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spacing w:before="240" w:line="360" w:lineRule="auto"/>
        <w:ind w:left="360"/>
        <w:rPr>
          <w:b/>
          <w:sz w:val="24"/>
          <w:szCs w:val="24"/>
          <w:lang w:val="en-US" w:eastAsia="id-ID"/>
        </w:rPr>
      </w:pPr>
      <w:r>
        <w:rPr>
          <w:b/>
          <w:sz w:val="24"/>
          <w:szCs w:val="24"/>
          <w:lang w:val="en-US" w:eastAsia="id-ID"/>
        </w:rPr>
        <w:t>DISCUSSION</w:t>
      </w:r>
    </w:p>
    <w:p w14:paraId="457FBE24" w14:textId="77777777" w:rsidR="00963A30" w:rsidRDefault="00985EA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60" w:after="240" w:line="276" w:lineRule="auto"/>
        <w:rPr>
          <w:b/>
          <w:bCs/>
          <w:sz w:val="24"/>
          <w:szCs w:val="24"/>
          <w:lang w:eastAsia="en-ID"/>
        </w:rPr>
      </w:pPr>
      <w:r>
        <w:rPr>
          <w:b/>
          <w:bCs/>
          <w:sz w:val="24"/>
          <w:szCs w:val="24"/>
          <w:lang w:eastAsia="en-ID"/>
        </w:rPr>
        <w:t>4.1 Ruminal physicochemical environment: pH and ammonia (NH</w:t>
      </w:r>
      <w:r>
        <w:rPr>
          <w:b/>
          <w:bCs/>
          <w:sz w:val="24"/>
          <w:szCs w:val="24"/>
          <w:vertAlign w:val="subscript"/>
          <w:lang w:eastAsia="en-ID"/>
        </w:rPr>
        <w:t>3</w:t>
      </w:r>
      <w:r>
        <w:rPr>
          <w:b/>
          <w:bCs/>
          <w:sz w:val="24"/>
          <w:szCs w:val="24"/>
          <w:lang w:eastAsia="en-ID"/>
        </w:rPr>
        <w:t>)</w:t>
      </w:r>
    </w:p>
    <w:p w14:paraId="50AE4358" w14:textId="1BB44CB4" w:rsidR="00963A30" w:rsidRDefault="00985EA0">
      <w:pPr>
        <w:widowControl/>
        <w:tabs>
          <w:tab w:val="left" w:pos="56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spacing w:line="360" w:lineRule="auto"/>
        <w:ind w:firstLine="360"/>
        <w:jc w:val="both"/>
        <w:rPr>
          <w:sz w:val="24"/>
          <w:szCs w:val="24"/>
          <w:lang w:eastAsia="en-ID"/>
        </w:rPr>
      </w:pPr>
      <w:bookmarkStart w:id="8" w:name="_Hlk217218584"/>
      <w:r>
        <w:rPr>
          <w:sz w:val="24"/>
          <w:szCs w:val="24"/>
          <w:lang w:eastAsia="en-ID"/>
        </w:rPr>
        <w:t>Although urea and Sulfur supplementation significantly increased fermentation activity (as seen from high VFA and ammonia), rumen fluid pH remained stable and showed no statistically significant difference between treatments (R1 to R7) after 48 hours of fermentation. The rumen fermentation process produces volatile fatty acids (VFAs), which can lower rumen pH. Meanwhile, the ammonia produced from urea can neutralize these acids/VFAs, thus tending to maintain a more stable of the degree of acidity rumen</w:t>
      </w:r>
      <w:bookmarkEnd w:id="8"/>
      <w:r>
        <w:rPr>
          <w:sz w:val="24"/>
          <w:szCs w:val="24"/>
          <w:lang w:eastAsia="en-ID"/>
        </w:rPr>
        <w:t xml:space="preserve">. Changes in rumen pH will affect fermentation patterns </w:t>
      </w:r>
      <w:r w:rsidR="002B1B9D">
        <w:rPr>
          <w:sz w:val="24"/>
          <w:szCs w:val="24"/>
          <w:lang w:eastAsia="en-ID"/>
        </w:rPr>
        <w:t>(Pazla et al. 2024</w:t>
      </w:r>
      <w:r w:rsidR="000D5ACC" w:rsidRPr="000D5ACC">
        <w:rPr>
          <w:sz w:val="24"/>
          <w:szCs w:val="24"/>
          <w:lang w:eastAsia="en-ID"/>
        </w:rPr>
        <w:t>; Ananta et al. 2025</w:t>
      </w:r>
      <w:r w:rsidR="002B1B9D">
        <w:rPr>
          <w:sz w:val="24"/>
          <w:szCs w:val="24"/>
          <w:lang w:eastAsia="en-ID"/>
        </w:rPr>
        <w:t xml:space="preserve">) </w:t>
      </w:r>
      <w:r>
        <w:rPr>
          <w:sz w:val="24"/>
          <w:szCs w:val="24"/>
          <w:lang w:eastAsia="en-ID"/>
        </w:rPr>
        <w:t xml:space="preserve">and rumen microbial composition </w:t>
      </w:r>
      <w:r>
        <w:rPr>
          <w:sz w:val="24"/>
          <w:szCs w:val="24"/>
          <w:lang w:val="id-ID" w:eastAsia="en-ID"/>
        </w:rPr>
        <w:t>(Bach et al. 2023).</w:t>
      </w:r>
    </w:p>
    <w:p w14:paraId="485A5FC2" w14:textId="77777777" w:rsidR="00963A30" w:rsidRDefault="00985EA0">
      <w:pPr>
        <w:tabs>
          <w:tab w:val="left" w:pos="56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firstLine="360"/>
        <w:jc w:val="both"/>
        <w:rPr>
          <w:sz w:val="24"/>
          <w:szCs w:val="24"/>
          <w:lang w:eastAsia="en-ID"/>
        </w:rPr>
      </w:pPr>
      <w:r>
        <w:rPr>
          <w:sz w:val="24"/>
          <w:szCs w:val="24"/>
          <w:lang w:eastAsia="en-ID"/>
        </w:rPr>
        <w:t xml:space="preserve">The maintenance of a stable ruminal environment is a fundamental prerequisite for optimizing the utilization of fibrous agricultural residues. In the present study, ruminal pH remained tightly regulated within the physiological range of 6.8 to 6.9 across all treatments. This specific range represents the optimum zone for cellulolytic enzyme activity and the attachment of major fiber-digesting bacteria to plant cell wall, both of which are highly </w:t>
      </w:r>
      <w:r>
        <w:rPr>
          <w:sz w:val="24"/>
          <w:szCs w:val="24"/>
          <w:lang w:eastAsia="en-ID"/>
        </w:rPr>
        <w:lastRenderedPageBreak/>
        <w:t>sensitive to even minor acidic shifts below 6.2 (Van Soest 1994).</w:t>
      </w:r>
    </w:p>
    <w:p w14:paraId="4E1878AE" w14:textId="71681B52" w:rsidR="00963A30" w:rsidRDefault="00985EA0">
      <w:pPr>
        <w:tabs>
          <w:tab w:val="left" w:pos="56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firstLine="360"/>
        <w:jc w:val="both"/>
        <w:rPr>
          <w:sz w:val="24"/>
          <w:szCs w:val="24"/>
        </w:rPr>
      </w:pPr>
      <w:r>
        <w:rPr>
          <w:sz w:val="24"/>
          <w:szCs w:val="24"/>
          <w:lang w:eastAsia="en-ID"/>
        </w:rPr>
        <w:t>Optimization of the fermentation process starts with the availability of essential nutrients for rumen microorganisms</w:t>
      </w:r>
      <w:r w:rsidR="002B1B9D">
        <w:rPr>
          <w:sz w:val="24"/>
          <w:szCs w:val="24"/>
          <w:lang w:eastAsia="en-ID"/>
        </w:rPr>
        <w:t xml:space="preserve"> (Pazla et al. 2025)</w:t>
      </w:r>
      <w:r>
        <w:rPr>
          <w:sz w:val="24"/>
          <w:szCs w:val="24"/>
          <w:lang w:eastAsia="en-ID"/>
        </w:rPr>
        <w:t xml:space="preserve">. The rumen fermentation process involves microbes living in the rumen. Therefore, the availability of nutrients for these microbes is essential to optimize this fermentation process. In the present study ammonia concentration increased significantly from R1 (11.75mg/100mL) to R7 (14.06mg/100mL). Urea plays a role in providing ammonia through a hydrolysis process (Getahun et al. 2019) which occurs with the presence of the urease enzyme produced by rumen bacteria (Hailemariam et al. 2021) Ammonia is needed for the microbial growth </w:t>
      </w:r>
      <w:r w:rsidR="00B21352">
        <w:rPr>
          <w:sz w:val="24"/>
          <w:szCs w:val="24"/>
          <w:lang w:eastAsia="en-ID"/>
        </w:rPr>
        <w:t>t</w:t>
      </w:r>
      <w:r>
        <w:rPr>
          <w:sz w:val="24"/>
          <w:szCs w:val="24"/>
          <w:lang w:eastAsia="en-ID"/>
        </w:rPr>
        <w:t xml:space="preserve">he ammonia produced in this study was 11.75 - 14.06mg/100mL. This level stands comfortably above the minimum threshold required for microbial survival and fits perfectly within the optimal range needed to maximize structural carbohydrate digestion and microbial protein synthesis when low-quality roughages are fed (Satter and Slyter 1974). The minimum concentration of ammonia is 50-60 mg/L (Satter and Slyter 1974; Mehrez et al. 1977). The use of urea in this study was a maximum of 1% because it is in accordance with the </w:t>
      </w:r>
      <w:r>
        <w:rPr>
          <w:rFonts w:eastAsia="Calibri"/>
          <w:sz w:val="24"/>
          <w:szCs w:val="24"/>
          <w:lang w:val="en-US"/>
        </w:rPr>
        <w:t>European Food Safety Authority (</w:t>
      </w:r>
      <w:r>
        <w:rPr>
          <w:rFonts w:eastAsia="Calibri"/>
          <w:bCs/>
          <w:sz w:val="24"/>
          <w:szCs w:val="24"/>
          <w:lang w:val="en-US"/>
        </w:rPr>
        <w:t>2012)</w:t>
      </w:r>
      <w:r>
        <w:rPr>
          <w:sz w:val="24"/>
          <w:szCs w:val="24"/>
          <w:lang w:eastAsia="en-ID"/>
        </w:rPr>
        <w:t xml:space="preserve"> that the safe use of urea for ruminant livestock is no more than 1.5%.  </w:t>
      </w:r>
      <w:r>
        <w:rPr>
          <w:sz w:val="24"/>
          <w:szCs w:val="24"/>
        </w:rPr>
        <w:t>Ruminal fluid ammonia concentration was increased by feeding urea and decreased by feeding additional starch (Cameron et al</w:t>
      </w:r>
      <w:r>
        <w:rPr>
          <w:sz w:val="24"/>
          <w:szCs w:val="24"/>
          <w:lang w:val="en-US"/>
        </w:rPr>
        <w:t>.</w:t>
      </w:r>
      <w:r>
        <w:rPr>
          <w:sz w:val="24"/>
          <w:szCs w:val="24"/>
        </w:rPr>
        <w:t xml:space="preserve"> 1991). </w:t>
      </w:r>
    </w:p>
    <w:p w14:paraId="1BDA97EF" w14:textId="77777777" w:rsidR="00963A30" w:rsidRDefault="00985EA0">
      <w:pPr>
        <w:tabs>
          <w:tab w:val="left" w:pos="56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firstLine="360"/>
        <w:jc w:val="both"/>
        <w:rPr>
          <w:sz w:val="24"/>
          <w:szCs w:val="24"/>
          <w:lang w:eastAsia="en-ID"/>
        </w:rPr>
      </w:pPr>
      <w:r>
        <w:rPr>
          <w:sz w:val="24"/>
          <w:szCs w:val="24"/>
        </w:rPr>
        <w:t xml:space="preserve">In the present study, </w:t>
      </w:r>
      <w:r>
        <w:rPr>
          <w:sz w:val="24"/>
          <w:szCs w:val="24"/>
          <w:lang w:eastAsia="en-ID"/>
        </w:rPr>
        <w:t>the increase in NH</w:t>
      </w:r>
      <w:r>
        <w:rPr>
          <w:sz w:val="24"/>
          <w:szCs w:val="24"/>
          <w:vertAlign w:val="subscript"/>
          <w:lang w:eastAsia="en-ID"/>
        </w:rPr>
        <w:t>3</w:t>
      </w:r>
      <w:r>
        <w:rPr>
          <w:sz w:val="24"/>
          <w:szCs w:val="24"/>
          <w:lang w:eastAsia="en-ID"/>
        </w:rPr>
        <w:t xml:space="preserve"> in the combination treatments (R6 and R7) was the result of synergy between N availability and S metabolic efficiency, which collectively maximized microbial activity in breaking down protein and urea in the rumen. R6 and R7 provide optimal conditions where urea (a nitrogen provider) and sulfur (an efficiency enhancer) work together. This results in the breakdown of dietary protein and added urea at a faster rate than with urea alone (R2 and R3) or sulfur alone (R4 and R5). Consequently, the S-driven rate of urea deamination and hydrolysis leads to a greater release of NH</w:t>
      </w:r>
      <w:r>
        <w:rPr>
          <w:sz w:val="24"/>
          <w:szCs w:val="24"/>
          <w:vertAlign w:val="subscript"/>
          <w:lang w:eastAsia="en-ID"/>
        </w:rPr>
        <w:t>3</w:t>
      </w:r>
      <w:r>
        <w:rPr>
          <w:sz w:val="24"/>
          <w:szCs w:val="24"/>
          <w:lang w:eastAsia="en-ID"/>
        </w:rPr>
        <w:t>, resulting in higher levels of NH</w:t>
      </w:r>
      <w:r>
        <w:rPr>
          <w:sz w:val="24"/>
          <w:szCs w:val="24"/>
          <w:vertAlign w:val="subscript"/>
          <w:lang w:eastAsia="en-ID"/>
        </w:rPr>
        <w:t>3</w:t>
      </w:r>
      <w:r>
        <w:rPr>
          <w:sz w:val="24"/>
          <w:szCs w:val="24"/>
          <w:lang w:eastAsia="en-ID"/>
        </w:rPr>
        <w:t xml:space="preserve"> accumulation in the rumen fluid of R6 and R7 compared to the single treatment (Fig.1).</w:t>
      </w:r>
    </w:p>
    <w:p w14:paraId="2C0374CE" w14:textId="77777777" w:rsidR="00963A30" w:rsidRDefault="00985EA0">
      <w:pPr>
        <w:pStyle w:val="HTMLPreformatted"/>
        <w:tabs>
          <w:tab w:val="left" w:pos="567"/>
        </w:tabs>
        <w:spacing w:line="360" w:lineRule="auto"/>
        <w:ind w:firstLine="360"/>
        <w:jc w:val="both"/>
        <w:rPr>
          <w:rFonts w:ascii="Times New Roman" w:hAnsi="Times New Roman"/>
          <w:sz w:val="24"/>
          <w:szCs w:val="24"/>
          <w:lang w:eastAsia="en-ID"/>
        </w:rPr>
      </w:pPr>
      <w:r>
        <w:rPr>
          <w:rFonts w:ascii="Times New Roman" w:hAnsi="Times New Roman"/>
          <w:sz w:val="24"/>
          <w:szCs w:val="24"/>
          <w:lang w:eastAsia="en-ID"/>
        </w:rPr>
        <w:t>Increasing urea supplementation from 0.5% to 1% in a ration containing corn straw and cassava peels increased ammonia concentration in the rumen. Increasing the urea dose clearly increases ammonia concentration.</w:t>
      </w:r>
      <w:r>
        <w:rPr>
          <w:rFonts w:ascii="Times New Roman" w:hAnsi="Times New Roman"/>
          <w:color w:val="EE0000"/>
          <w:sz w:val="24"/>
          <w:szCs w:val="24"/>
          <w:lang w:eastAsia="en-ID"/>
        </w:rPr>
        <w:t xml:space="preserve"> </w:t>
      </w:r>
      <w:r>
        <w:rPr>
          <w:rFonts w:ascii="Times New Roman" w:hAnsi="Times New Roman"/>
          <w:sz w:val="24"/>
          <w:szCs w:val="24"/>
          <w:lang w:eastAsia="en-ID"/>
        </w:rPr>
        <w:t>This is in line with the research of Sumadong et al (2022) that increasing urea from 10 to 20g/kg DM in concentrate increases ammonia concentration and protein digestibility. The addition of sulfur from 10g/kg DM to 20g/kg DM in concentrate can reduce the toxic properties of HCN.</w:t>
      </w:r>
    </w:p>
    <w:p w14:paraId="1BA4D988" w14:textId="77777777" w:rsidR="00963A30" w:rsidRDefault="00985EA0">
      <w:pPr>
        <w:widowControl/>
        <w:tabs>
          <w:tab w:val="left" w:pos="56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spacing w:line="360" w:lineRule="auto"/>
        <w:ind w:firstLine="360"/>
        <w:jc w:val="both"/>
        <w:rPr>
          <w:rStyle w:val="t"/>
          <w:rFonts w:eastAsia="SimSun"/>
          <w:sz w:val="24"/>
          <w:szCs w:val="24"/>
        </w:rPr>
      </w:pPr>
      <w:r>
        <w:rPr>
          <w:sz w:val="24"/>
          <w:szCs w:val="24"/>
          <w:lang w:eastAsia="en-ID"/>
        </w:rPr>
        <w:t>The combination of 1% urea and 0.2% sulfur produced the highest ammonia concentration. This is because 100% of the urea is hydrolyzed into ammonia by the urease enzyme activity produced by rumen microbes (Getahun et al. 2019)</w:t>
      </w:r>
      <w:bookmarkStart w:id="9" w:name="_Hlk212373374"/>
      <w:r>
        <w:rPr>
          <w:sz w:val="24"/>
          <w:szCs w:val="24"/>
          <w:lang w:eastAsia="en-ID"/>
        </w:rPr>
        <w:t xml:space="preserve">. Ammonia concentration increased with </w:t>
      </w:r>
      <w:r>
        <w:rPr>
          <w:sz w:val="24"/>
          <w:szCs w:val="24"/>
          <w:lang w:eastAsia="en-ID"/>
        </w:rPr>
        <w:lastRenderedPageBreak/>
        <w:t xml:space="preserve">increasing urea supplementation. The combination of urea and sulfur improved the synthesis of sulfur-containing amino acids. couple with the availability of energy derived from easily fermentable carbohydrates (cassava peel), which produce VFA. Sulfur increases the efficiency of microbial proteolytic enzymes. According to Wang et al (2021) that </w:t>
      </w:r>
      <w:r>
        <w:rPr>
          <w:rStyle w:val="t"/>
          <w:rFonts w:eastAsia="SimSun"/>
          <w:sz w:val="24"/>
          <w:szCs w:val="24"/>
        </w:rPr>
        <w:t>increasing crude protein raised proteolytic bacteria abundance (</w:t>
      </w:r>
      <w:r>
        <w:rPr>
          <w:rStyle w:val="t"/>
          <w:rFonts w:eastAsia="SimSun"/>
          <w:i/>
          <w:iCs/>
          <w:sz w:val="24"/>
          <w:szCs w:val="24"/>
        </w:rPr>
        <w:t>Butyrivibrio fibrisolvens</w:t>
      </w:r>
      <w:r>
        <w:rPr>
          <w:rStyle w:val="t"/>
          <w:rFonts w:eastAsia="SimSun"/>
          <w:sz w:val="24"/>
          <w:szCs w:val="24"/>
        </w:rPr>
        <w:t xml:space="preserve"> and </w:t>
      </w:r>
      <w:r>
        <w:rPr>
          <w:rStyle w:val="t"/>
          <w:rFonts w:eastAsia="SimSun"/>
          <w:i/>
          <w:iCs/>
          <w:sz w:val="24"/>
          <w:szCs w:val="24"/>
        </w:rPr>
        <w:t>Prevotella ruminicola</w:t>
      </w:r>
      <w:r>
        <w:rPr>
          <w:rStyle w:val="t"/>
          <w:rFonts w:eastAsia="SimSun"/>
          <w:sz w:val="24"/>
          <w:szCs w:val="24"/>
        </w:rPr>
        <w:t>) in crossbred beef steers fed total mixed ration.</w:t>
      </w:r>
    </w:p>
    <w:p w14:paraId="1E39EFF4" w14:textId="77777777" w:rsidR="00963A30" w:rsidRDefault="00985EA0">
      <w:pPr>
        <w:widowControl/>
        <w:tabs>
          <w:tab w:val="left" w:pos="56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spacing w:line="360" w:lineRule="auto"/>
        <w:ind w:firstLine="360"/>
        <w:jc w:val="both"/>
        <w:rPr>
          <w:color w:val="EE0000"/>
          <w:sz w:val="24"/>
          <w:szCs w:val="24"/>
          <w:lang w:eastAsia="en-ID"/>
        </w:rPr>
      </w:pPr>
      <w:r>
        <w:rPr>
          <w:rStyle w:val="t"/>
          <w:rFonts w:eastAsia="SimSun"/>
          <w:sz w:val="24"/>
          <w:szCs w:val="24"/>
        </w:rPr>
        <w:t>Concurently, the ruminal ammonia (NH</w:t>
      </w:r>
      <w:r>
        <w:rPr>
          <w:rStyle w:val="t"/>
          <w:rFonts w:eastAsia="SimSun"/>
          <w:sz w:val="24"/>
          <w:szCs w:val="24"/>
          <w:vertAlign w:val="subscript"/>
        </w:rPr>
        <w:t>3</w:t>
      </w:r>
      <w:r>
        <w:rPr>
          <w:rStyle w:val="t"/>
          <w:rFonts w:eastAsia="SimSun"/>
          <w:sz w:val="24"/>
          <w:szCs w:val="24"/>
        </w:rPr>
        <w:t>) concentration range from 12-14mg/mL.</w:t>
      </w:r>
      <w:r>
        <w:rPr>
          <w:sz w:val="24"/>
          <w:szCs w:val="24"/>
          <w:lang w:eastAsia="en-ID"/>
        </w:rPr>
        <w:t xml:space="preserve">  While the classic benchmark established by Satter and Slyter (1974) indicates that 5mg/100mL ammonia is the minimum concentration required to support general microbial survival, subsequent studies focusing in low-quality tropical crop residues suggest that higher concentrations between 10 and 20mg/100mL are functionally necessary to maximize the degradation rate of structural carbohydrates (Preston and Leng 1987; Leng 1990). Therefore, 12-14mg/100mL achieved via urea and sulfur supplementation provided a highly sufficient nitrogen substrate directly fueling the proliferation of the microflora population without exceeding toxic thresholds.</w:t>
      </w:r>
    </w:p>
    <w:p w14:paraId="2FB72A4D" w14:textId="77777777" w:rsidR="00963A30" w:rsidRDefault="00985EA0">
      <w:pPr>
        <w:widowControl/>
        <w:tabs>
          <w:tab w:val="left" w:pos="56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spacing w:before="240" w:line="360" w:lineRule="auto"/>
        <w:rPr>
          <w:b/>
          <w:bCs/>
          <w:sz w:val="24"/>
          <w:szCs w:val="24"/>
          <w:lang w:eastAsia="en-ID"/>
        </w:rPr>
      </w:pPr>
      <w:r>
        <w:rPr>
          <w:b/>
          <w:bCs/>
          <w:sz w:val="24"/>
          <w:szCs w:val="24"/>
          <w:lang w:eastAsia="en-ID"/>
        </w:rPr>
        <w:t xml:space="preserve">4.2 VFA total production </w:t>
      </w:r>
    </w:p>
    <w:p w14:paraId="20DE8A77" w14:textId="77777777" w:rsidR="00963A30" w:rsidRDefault="00985EA0">
      <w:pPr>
        <w:widowControl/>
        <w:tabs>
          <w:tab w:val="left" w:pos="567"/>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spacing w:line="360" w:lineRule="auto"/>
        <w:ind w:firstLine="360"/>
        <w:jc w:val="both"/>
        <w:rPr>
          <w:sz w:val="24"/>
          <w:szCs w:val="24"/>
          <w:lang w:eastAsia="en-ID"/>
        </w:rPr>
      </w:pPr>
      <w:r>
        <w:rPr>
          <w:sz w:val="24"/>
          <w:szCs w:val="24"/>
          <w:lang w:eastAsia="en-ID"/>
        </w:rPr>
        <w:t xml:space="preserve">Volatile Fatty Acids (VFAs) are the end product of nutrient fermentation in the rumen, primarily carbohydrates, followed by protein and fat. VFAs consist of volatile short-chain fatty acids: acetic acid, propionic acid, butyric acid. In addition, the following are also produced, iso butyric acid and isovaleric acid (Dijkstra et al. 2005). The role of VFA is as the main energy source for ruminants. </w:t>
      </w:r>
    </w:p>
    <w:p w14:paraId="1472BD71" w14:textId="29BBBAFD" w:rsidR="00963A30" w:rsidRDefault="00985EA0">
      <w:pPr>
        <w:widowControl/>
        <w:tabs>
          <w:tab w:val="left" w:pos="567"/>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spacing w:line="360" w:lineRule="auto"/>
        <w:ind w:firstLine="360"/>
        <w:jc w:val="both"/>
        <w:rPr>
          <w:sz w:val="24"/>
          <w:szCs w:val="24"/>
          <w:lang w:eastAsia="en-ID"/>
        </w:rPr>
      </w:pPr>
      <w:r>
        <w:rPr>
          <w:sz w:val="24"/>
          <w:szCs w:val="24"/>
          <w:lang w:eastAsia="en-ID"/>
        </w:rPr>
        <w:t>In the present study, the availability of energy for microbes derived from the digestion of corn straw and cassava peel increased in the combination treatment with increasing additions of urea and sulfur. This was evidenced by the increase in VFA production in the ration from 104.38mM (R1) to 133.13mM (R7). The total VFA production in rumen fluid generally ranges from 80 - 160mM (McDonald et al. 2011). The highest VFA production in the R7 treatment (133mM) was in line with the high NH</w:t>
      </w:r>
      <w:r>
        <w:rPr>
          <w:sz w:val="24"/>
          <w:szCs w:val="24"/>
          <w:vertAlign w:val="subscript"/>
          <w:lang w:eastAsia="en-ID"/>
        </w:rPr>
        <w:t>3</w:t>
      </w:r>
      <w:r>
        <w:rPr>
          <w:sz w:val="24"/>
          <w:szCs w:val="24"/>
          <w:lang w:eastAsia="en-ID"/>
        </w:rPr>
        <w:t xml:space="preserve"> concentration (14mM) in the same treatment. This indicates that overall fermentation activity was at its peak. The addition of sulfur also changes VFA production. Total VFA production also increased significantly from R4 to R5 (115mM to 125.00mM).</w:t>
      </w:r>
      <w:bookmarkEnd w:id="9"/>
      <w:r>
        <w:rPr>
          <w:sz w:val="24"/>
          <w:szCs w:val="24"/>
          <w:lang w:eastAsia="en-ID"/>
        </w:rPr>
        <w:t xml:space="preserve"> Total VFA at R5 showed an increase in the overall carbohydrate and protein fermentation rate. Urea and sulfur supplementation in ration which contain corn straw and cassava peel was increased total VFA production (as seen in Table 3 and Fig. 2), we can say that the supplementation successfully modulated the rumen fermentation process. The </w:t>
      </w:r>
      <w:r>
        <w:rPr>
          <w:sz w:val="24"/>
          <w:szCs w:val="24"/>
          <w:lang w:eastAsia="en-ID"/>
        </w:rPr>
        <w:lastRenderedPageBreak/>
        <w:t>successful stabilization of these physicochemical parameters facilitated a highly efficient fermentation process. This efficiency is directly evidenced by the substantial surge in total VFA concentrations, which advanced from 104 mM in the control group to a peak of 133mM under the supplemented treatments of 1% urea and 0.2%S. Because total VFA represents the primary energy source for ruminants, this pronounced increase demonstrates that the supplementation strategies effectively enhanced the overall fermentability and energy availability of the basal ration</w:t>
      </w:r>
      <w:r w:rsidR="00B21352">
        <w:rPr>
          <w:sz w:val="24"/>
          <w:szCs w:val="24"/>
          <w:lang w:eastAsia="en-ID"/>
        </w:rPr>
        <w:t xml:space="preserve"> (Pazla et al. 2023)</w:t>
      </w:r>
      <w:r>
        <w:rPr>
          <w:sz w:val="24"/>
          <w:szCs w:val="24"/>
          <w:lang w:eastAsia="en-ID"/>
        </w:rPr>
        <w:t>.</w:t>
      </w:r>
    </w:p>
    <w:p w14:paraId="10DA5319" w14:textId="77777777" w:rsidR="00963A30" w:rsidRDefault="00985EA0">
      <w:pPr>
        <w:widowControl/>
        <w:autoSpaceDE/>
        <w:autoSpaceDN/>
        <w:spacing w:after="100" w:afterAutospacing="1" w:line="360" w:lineRule="auto"/>
        <w:ind w:firstLine="360"/>
        <w:jc w:val="both"/>
        <w:rPr>
          <w:sz w:val="24"/>
          <w:szCs w:val="24"/>
          <w:lang w:eastAsia="en-ID"/>
        </w:rPr>
      </w:pPr>
      <w:r>
        <w:rPr>
          <w:sz w:val="24"/>
          <w:szCs w:val="24"/>
          <w:lang w:eastAsia="en-ID"/>
        </w:rPr>
        <w:t>Ammonia concentration, ranging from 12 to 14mg/100mL, was well within the optimal threshold required to maximize microbial protein synthesis and structural carbohydrate digestion (Satter and Slyter 1974). The adequate availability of nitrogen from urea, paired with sulphur, effectively stimulated the proliferation of fibre-digesting microbes. This synchronization is further evidenced by the increase in total VFA production, demonstrating that the synchronized supply of N and S enhanced the overall fermentability of the low-quality agricultural waste without compromising the ecosystem of the rumen.</w:t>
      </w:r>
    </w:p>
    <w:p w14:paraId="22B29EA8" w14:textId="77777777" w:rsidR="00963A30" w:rsidRDefault="00985EA0">
      <w:pPr>
        <w:widowControl/>
        <w:autoSpaceDE/>
        <w:autoSpaceDN/>
        <w:spacing w:line="360" w:lineRule="auto"/>
        <w:jc w:val="both"/>
        <w:rPr>
          <w:sz w:val="24"/>
          <w:szCs w:val="24"/>
          <w:lang w:eastAsia="en-ID"/>
        </w:rPr>
      </w:pPr>
      <w:r>
        <w:rPr>
          <w:b/>
          <w:bCs/>
          <w:sz w:val="24"/>
          <w:szCs w:val="24"/>
          <w:lang w:eastAsia="en-ID"/>
        </w:rPr>
        <w:t>4.3 Macro nutrients digestibility and carbohydrate fraction</w:t>
      </w:r>
    </w:p>
    <w:p w14:paraId="397D4BD4" w14:textId="0DD765B3" w:rsidR="00963A30" w:rsidRDefault="00985EA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spacing w:line="360" w:lineRule="auto"/>
        <w:ind w:firstLine="360"/>
        <w:jc w:val="both"/>
        <w:rPr>
          <w:sz w:val="24"/>
          <w:szCs w:val="24"/>
          <w:lang w:eastAsia="en-ID"/>
        </w:rPr>
      </w:pPr>
      <w:r>
        <w:rPr>
          <w:sz w:val="24"/>
          <w:szCs w:val="24"/>
          <w:lang w:eastAsia="en-ID"/>
        </w:rPr>
        <w:t>Organic matter digestibility is the digestibility of all food substances consisting of crude protein, ether extract, crude fiber, and nitrogen free extract digestibility. Corn straw and cassava peel-based rations supplemented with urea and sulfur have protein contents ranging from 10.52 to 13.40%, and the same TDN content (65.23%). Differences in protein content of rations with the same TDN show varying organic matter digestibility, especially in the combination of urea and sulfur; where the organic matter digestibility values ​​increase. This increase is in line with the findings of Agustin et al. (2025) that increasing urea (1%) and sulfur (0.2%) supplementation increased digestibility of dry matter. This is likely due to the availability of nitrogen sources and sufficient energy or the balance between protein and energy (Putri et al. 2025) and is also influenced by the N:S ratio. Based on the N:S ratio, for cattle the N:S ratio ranges between 10:1 and 14:1 (Ruminant Nitrogen Usage 1985; NRC 2000; European Food Safety Authority 2012).  Urea and Sulfur supplementation (R2-R7) highly significant different increased all nutrient digestibility value compared to the basal ration (R1).</w:t>
      </w:r>
    </w:p>
    <w:p w14:paraId="16D2D1B8" w14:textId="77777777" w:rsidR="00963A30" w:rsidRDefault="00985EA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spacing w:line="360" w:lineRule="auto"/>
        <w:ind w:firstLine="360"/>
        <w:jc w:val="both"/>
        <w:rPr>
          <w:sz w:val="24"/>
          <w:szCs w:val="24"/>
          <w:lang w:eastAsia="en-ID"/>
        </w:rPr>
      </w:pPr>
      <w:r>
        <w:rPr>
          <w:sz w:val="24"/>
          <w:szCs w:val="24"/>
          <w:lang w:eastAsia="en-ID"/>
        </w:rPr>
        <w:t xml:space="preserve">The increase in digestibility of crude fiber (Table 4) and fiber fractions (Table 5) in this ration is likely due to optimal activity of cellulolytic bacteria, which is driven by the following factors: 1) Availability of fiber substrate (corn straw). A ration containing 30% corn straw provides a substrate rich in fiber (cellulose and hemicellulose). The availability of this fiber is a prerequisite for the growth of cellulolytic bacteria. 2) Urea and sulfur supplementation.  The </w:t>
      </w:r>
      <w:r>
        <w:rPr>
          <w:sz w:val="24"/>
          <w:szCs w:val="24"/>
          <w:lang w:eastAsia="en-ID"/>
        </w:rPr>
        <w:lastRenderedPageBreak/>
        <w:t>increase in fiber digestibility occurs because: (a) Urea provides the nitrogen source essential for cellulolytic bacteria to grow and carry out fiber degradation activities. (b) Sulfur provides sulfur-containing amino acids required by bacteria for protein synthesis. (c) When cellulolytic bacteria receive sufficient nutrients (especially nitrogen and sulfur), their activity and population increase, which directly increases crude fiber digestibility. This is in line with Cherdthong et al. (2018) that urea supplementation and high levels of easily fermentable carbohydrates will increase rumen fermentation efficiency.</w:t>
      </w:r>
    </w:p>
    <w:p w14:paraId="30C4412F" w14:textId="77777777" w:rsidR="00963A30" w:rsidRDefault="00985EA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spacing w:line="360" w:lineRule="auto"/>
        <w:ind w:firstLine="360"/>
        <w:jc w:val="both"/>
        <w:rPr>
          <w:sz w:val="24"/>
          <w:szCs w:val="24"/>
          <w:lang w:eastAsia="en-ID"/>
        </w:rPr>
      </w:pPr>
      <w:r>
        <w:rPr>
          <w:sz w:val="24"/>
          <w:szCs w:val="24"/>
          <w:lang w:eastAsia="en-ID"/>
        </w:rPr>
        <w:t xml:space="preserve">In the present study, N and S supplementation successfully optimized bacterial growth (which plays a role in fiber digestibility), while cassava peel successfully optimized protozoa growth (which plays a role in digesting starch/sugar), so that both populations can coexist without inhibiting each other's main function of the rumen (predation/competition). In general, the results showed that Urea and Sulfur supplementation (R2-R7) significantly (very significant) increased all nutrient digestibility values ​​(in vitro) compared to the basal ration (R1). Increased fermentation activity driven by N and S (as evidenced by high concentrations of VFA) is directly correlated with increased digestibility. </w:t>
      </w:r>
    </w:p>
    <w:p w14:paraId="74056A88" w14:textId="77777777" w:rsidR="00963A30" w:rsidRDefault="00985EA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spacing w:line="360" w:lineRule="auto"/>
        <w:ind w:firstLine="360"/>
        <w:jc w:val="both"/>
        <w:rPr>
          <w:sz w:val="24"/>
          <w:szCs w:val="24"/>
          <w:lang w:eastAsia="en-ID"/>
        </w:rPr>
      </w:pPr>
      <w:r>
        <w:rPr>
          <w:sz w:val="24"/>
          <w:szCs w:val="24"/>
          <w:lang w:eastAsia="en-ID"/>
        </w:rPr>
        <w:t>Crude protein digestibility also reached its highest value at R7 (74.02%). Although microbial protein synthesis was not significantly different, the high crude protein digestibility indicates that the addition of N and S has increased the supply of digestible protein. Organic matter digestibility (OMD) and nitrogen free extract (NFE) digestibility peaked at R7 (71.50% and 68.76%) respectively. The increase in OMD indicates an overall increase in efficiency, while the increase in NFE digestibility is driven by the activity of amylolytic bacteria on starch from cassava peel.</w:t>
      </w:r>
    </w:p>
    <w:p w14:paraId="0ED4E808" w14:textId="77777777" w:rsidR="00963A30" w:rsidRDefault="00985EA0">
      <w:pPr>
        <w:widowControl/>
        <w:autoSpaceDE/>
        <w:autoSpaceDN/>
        <w:spacing w:line="360" w:lineRule="auto"/>
        <w:ind w:firstLine="360"/>
        <w:jc w:val="both"/>
        <w:rPr>
          <w:sz w:val="24"/>
          <w:szCs w:val="24"/>
          <w:lang w:eastAsia="en-ID"/>
        </w:rPr>
      </w:pPr>
      <w:r>
        <w:rPr>
          <w:sz w:val="24"/>
          <w:szCs w:val="24"/>
          <w:lang w:eastAsia="en-ID"/>
        </w:rPr>
        <w:t>The digestibility of NFE reached its peak under the combined supplementation of both urea and sulphur. In this study, the basal ration contained corn straw paired with cassava peel as the primary energy source. Cassava peel is highly rich in readily fermentable carbohydrates (starch). The maximum NFE digestibility under the combined treatment underscores the critical importance of N and S synchronization in the rumen. When urea and sulphur are supplied together, they fulfil the ideal N:S ratio required for optimal microbial protein synthesis, thereby simultaneously stimulating both cellulolytic and amylolytic matrixes.</w:t>
      </w:r>
    </w:p>
    <w:p w14:paraId="18D641DE" w14:textId="77777777" w:rsidR="00963A30" w:rsidRDefault="00985EA0">
      <w:pPr>
        <w:pStyle w:val="HTMLPreformatted"/>
        <w:spacing w:line="360" w:lineRule="auto"/>
        <w:ind w:firstLine="360"/>
        <w:jc w:val="both"/>
        <w:rPr>
          <w:rFonts w:ascii="Times New Roman" w:hAnsi="Times New Roman"/>
          <w:sz w:val="24"/>
          <w:szCs w:val="24"/>
          <w:lang w:eastAsia="en-ID"/>
        </w:rPr>
      </w:pPr>
      <w:r>
        <w:rPr>
          <w:rFonts w:ascii="Times New Roman" w:hAnsi="Times New Roman"/>
          <w:sz w:val="24"/>
          <w:szCs w:val="24"/>
          <w:lang w:eastAsia="en-ID"/>
        </w:rPr>
        <w:t xml:space="preserve">Contrarily, the digestibility of structural carbohydrates, including neutral detergent fibre (NDF), acid detergent fibre (ADF), and cellulose, peaked exclusively under the 0.5% urea supplementation treatment. This variation indicates a metabolic shift within the rumen ecosystem. When urea and sulphur are combined in the presence of highly soluble energy like cassava peel, the microbial population preferentially channels its metabolic activity toward </w:t>
      </w:r>
      <w:r>
        <w:rPr>
          <w:rFonts w:ascii="Times New Roman" w:hAnsi="Times New Roman"/>
          <w:sz w:val="24"/>
          <w:szCs w:val="24"/>
          <w:lang w:eastAsia="en-ID"/>
        </w:rPr>
        <w:lastRenderedPageBreak/>
        <w:t>carbohydrate fractions that are easier to ferment, such as NFE. Cellulolytic bacteria lose the competition for space or there is a shift in microbial dynamics. Conversely, the standalone 0.5% urea supplementation provided an optimal ammonia concentration that perfectly matched the endogenous sulphur content of the basal feed, thereby precisely accelerating the fibrolytic pathways without triggering substrate competition or microbial dilution effects.</w:t>
      </w:r>
    </w:p>
    <w:p w14:paraId="6EA995A5" w14:textId="77777777" w:rsidR="00963A30" w:rsidRDefault="00985EA0">
      <w:pPr>
        <w:widowControl/>
        <w:tabs>
          <w:tab w:val="left" w:pos="56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spacing w:line="360" w:lineRule="auto"/>
        <w:ind w:firstLine="360"/>
        <w:jc w:val="both"/>
        <w:rPr>
          <w:sz w:val="24"/>
          <w:szCs w:val="24"/>
          <w:lang w:eastAsia="en-ID"/>
        </w:rPr>
      </w:pPr>
      <w:r>
        <w:rPr>
          <w:sz w:val="24"/>
          <w:szCs w:val="24"/>
          <w:lang w:eastAsia="en-ID"/>
        </w:rPr>
        <w:t>This indicates that the 0.5% dose is optimal in providing the nitrogen needed by fiber-degrading bacteria (cellulolytic bacteria) to maximize their activity. The addition of 1% urea (R3) actually results in lower digestibility than R2. Increasing urea levels above the optimal microbial requirements can cause:</w:t>
      </w:r>
      <w:r>
        <w:rPr>
          <w:sz w:val="20"/>
          <w:szCs w:val="20"/>
          <w:lang w:eastAsia="en-ID"/>
        </w:rPr>
        <w:t xml:space="preserve"> </w:t>
      </w:r>
      <w:r>
        <w:rPr>
          <w:sz w:val="24"/>
          <w:szCs w:val="24"/>
          <w:lang w:eastAsia="en-ID"/>
        </w:rPr>
        <w:t>excess urea is broken down too quickly into ammonia (NH</w:t>
      </w:r>
      <w:r>
        <w:rPr>
          <w:sz w:val="24"/>
          <w:szCs w:val="24"/>
          <w:vertAlign w:val="subscript"/>
          <w:lang w:eastAsia="en-ID"/>
        </w:rPr>
        <w:t>3</w:t>
      </w:r>
      <w:r>
        <w:rPr>
          <w:sz w:val="24"/>
          <w:szCs w:val="24"/>
          <w:lang w:eastAsia="en-ID"/>
        </w:rPr>
        <w:t xml:space="preserve">) in the rumen. A dose of 1% urea exceeds the microbial requirement for optimal protein synthesis under these ration conditions, so it does not increase, and even tends to decrease the digestibility of the fiber fraction compared to a dose of 0.5%. If the ammonia produced exceeds the microbial capacity to utilize it (for example, due to a lack of energy sources), ammonia will accumulate. In this study, the energy content of the ration was the same for all treatments. namely 65% ​​TDN, but the protein content was different, ranging from 10.52-13.40% (Table 2).  </w:t>
      </w:r>
    </w:p>
    <w:p w14:paraId="7ADEDD63" w14:textId="77777777" w:rsidR="00963A30" w:rsidRDefault="00985EA0">
      <w:pPr>
        <w:pStyle w:val="HTMLPreformatted"/>
        <w:spacing w:line="360" w:lineRule="auto"/>
        <w:ind w:firstLine="360"/>
        <w:jc w:val="both"/>
        <w:rPr>
          <w:rFonts w:ascii="Times New Roman" w:hAnsi="Times New Roman"/>
          <w:sz w:val="24"/>
          <w:szCs w:val="24"/>
          <w:lang w:eastAsia="en-ID"/>
        </w:rPr>
      </w:pPr>
      <w:r>
        <w:rPr>
          <w:rFonts w:ascii="Times New Roman" w:hAnsi="Times New Roman"/>
          <w:sz w:val="24"/>
          <w:szCs w:val="24"/>
          <w:lang w:eastAsia="en-ID"/>
        </w:rPr>
        <w:t>Supplementation of 0.1% S (R4) showed higher digestibility of fiber fraction than 0.2% S (R5). This difference in sulfur causes a change in the N:S ratio (Table 2), resulting in different digestibility of fiber fractions. Based on the N:S ratio, the N:S ratio for cattle ranges between 10:1 and 14:1 (NRC 2000). The addition of 0.2% S (R5) may result in an unbalanced N:S ratio, 8.4:1, which may inhibit or be ineffective in stimulating microbial growth compared to a dose of 0.1% S. Excessive sulfur may also disrupt normal metabolic processes in the rumen (NRC 2000), although the primary mechanism is more related to an imbalance in optimal nutrition. When urea and sulfur are combined with cassava peel, rumen microbes tend to take a shortcut by degrading starch/NFE first, as it is more energetically fermentable. Cellulolytic bacteria lose out on competition for space, or a shift in microbial dynamics occurs.</w:t>
      </w:r>
    </w:p>
    <w:p w14:paraId="52E0284F" w14:textId="3B73773D" w:rsidR="00963A30" w:rsidRDefault="00985EA0">
      <w:pPr>
        <w:pStyle w:val="HTMLPreformatted"/>
        <w:spacing w:line="360" w:lineRule="auto"/>
        <w:ind w:firstLine="360"/>
        <w:jc w:val="both"/>
        <w:rPr>
          <w:rFonts w:ascii="Times New Roman" w:hAnsi="Times New Roman"/>
          <w:sz w:val="24"/>
          <w:szCs w:val="24"/>
          <w:lang w:eastAsia="en-ID"/>
        </w:rPr>
      </w:pPr>
      <w:r>
        <w:rPr>
          <w:rFonts w:ascii="Times New Roman" w:hAnsi="Times New Roman"/>
          <w:sz w:val="24"/>
          <w:szCs w:val="24"/>
          <w:lang w:eastAsia="en-ID"/>
        </w:rPr>
        <w:t>The holistic efficiency of this synchronized elemental intervention is definitively underscored by dry matter digestibility, organic matter, crude fibre, crude protein, and nitrogen free extract digestibility profile, they reached their absolute peaks under the combined urea and sulphur supplementation</w:t>
      </w:r>
      <w:r w:rsidR="002A1684">
        <w:rPr>
          <w:rFonts w:ascii="Times New Roman" w:hAnsi="Times New Roman"/>
          <w:sz w:val="24"/>
          <w:szCs w:val="24"/>
          <w:lang w:eastAsia="en-ID"/>
        </w:rPr>
        <w:t xml:space="preserve"> </w:t>
      </w:r>
      <w:r w:rsidR="002A1684" w:rsidRPr="002A1684">
        <w:rPr>
          <w:rFonts w:ascii="Times New Roman" w:hAnsi="Times New Roman"/>
          <w:sz w:val="24"/>
          <w:szCs w:val="24"/>
          <w:lang w:eastAsia="en-ID"/>
        </w:rPr>
        <w:t>(Agustin et al. 2025)</w:t>
      </w:r>
      <w:r w:rsidRPr="002A1684">
        <w:rPr>
          <w:rFonts w:ascii="Times New Roman" w:hAnsi="Times New Roman"/>
          <w:sz w:val="24"/>
          <w:szCs w:val="24"/>
          <w:lang w:eastAsia="en-ID"/>
        </w:rPr>
        <w:t>.</w:t>
      </w:r>
      <w:r>
        <w:rPr>
          <w:rFonts w:ascii="Times New Roman" w:hAnsi="Times New Roman"/>
          <w:sz w:val="24"/>
          <w:szCs w:val="24"/>
          <w:lang w:eastAsia="en-ID"/>
        </w:rPr>
        <w:t xml:space="preserve"> In ruminant physiology, dry matter and organic matter digestibility serve as the macro-indicators of overall ruminal degradability, integrating the complex enzymatic breakdown of individual nutrient fractions into a singular measure of digestive efficiency. The maximum nutrients digestibility observed under the combined treatment demonstrate that the synchronization of non-protein nitrogen and sulphur effectively </w:t>
      </w:r>
      <w:r>
        <w:rPr>
          <w:rFonts w:ascii="Times New Roman" w:hAnsi="Times New Roman"/>
          <w:sz w:val="24"/>
          <w:szCs w:val="24"/>
          <w:lang w:eastAsia="en-ID"/>
        </w:rPr>
        <w:lastRenderedPageBreak/>
        <w:t>dissolved the metabolic bottlenecks that typically restrict the utilization of lignocellulosic crop residues.</w:t>
      </w:r>
    </w:p>
    <w:p w14:paraId="7C773696" w14:textId="77777777" w:rsidR="00963A30" w:rsidRDefault="00985EA0">
      <w:pPr>
        <w:pStyle w:val="HTMLPreformatted"/>
        <w:spacing w:line="360" w:lineRule="auto"/>
        <w:ind w:firstLine="360"/>
        <w:jc w:val="both"/>
        <w:rPr>
          <w:rFonts w:ascii="Times New Roman" w:hAnsi="Times New Roman"/>
          <w:sz w:val="24"/>
          <w:szCs w:val="24"/>
          <w:lang w:eastAsia="en-ID"/>
        </w:rPr>
      </w:pPr>
      <w:r>
        <w:rPr>
          <w:rFonts w:ascii="Times New Roman" w:hAnsi="Times New Roman"/>
          <w:sz w:val="24"/>
          <w:szCs w:val="24"/>
          <w:lang w:eastAsia="en-ID"/>
        </w:rPr>
        <w:t xml:space="preserve">The basal diet utilized corn straw paired with cassava peel, with the latter serving as a major source of readily available energy through its starch content. When nitrogen and sulphur are highly synchronized, amylolytic microbial population increase exponentially to satisfy their precise stoichiometric N:S requirements (NASEM 2016). The elemental balance eliminates metabolic bottlenecks, causing an aggressive fermentation of non-structural carbohydrate. Conversely, the digestibility of structural carbohydrates, specially NDF, ADF and cellulose, peaked exclusively under the 0.5% standalone urea treatment. This divergence reflects a classic substrate-preference phenomenon that has been widely validated by recent rumen microbiomics (Gharechahi et al. 2023; Lu et al. 2025). </w:t>
      </w:r>
    </w:p>
    <w:p w14:paraId="04761B2C" w14:textId="77777777" w:rsidR="00963A30" w:rsidRDefault="00985EA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spacing w:before="240" w:line="360" w:lineRule="auto"/>
        <w:jc w:val="both"/>
        <w:rPr>
          <w:lang w:eastAsia="en-ID"/>
        </w:rPr>
      </w:pPr>
      <w:r>
        <w:rPr>
          <w:b/>
          <w:bCs/>
          <w:sz w:val="24"/>
          <w:szCs w:val="24"/>
          <w:lang w:eastAsia="en-ID"/>
        </w:rPr>
        <w:t>4.4 Effects</w:t>
      </w:r>
      <w:r>
        <w:rPr>
          <w:sz w:val="24"/>
          <w:szCs w:val="24"/>
          <w:lang w:eastAsia="en-ID"/>
        </w:rPr>
        <w:t xml:space="preserve"> </w:t>
      </w:r>
      <w:r>
        <w:rPr>
          <w:b/>
          <w:bCs/>
          <w:sz w:val="24"/>
          <w:szCs w:val="24"/>
          <w:lang w:eastAsia="en-ID"/>
        </w:rPr>
        <w:t>of urea and sulfur supplementation on VFA profile</w:t>
      </w:r>
    </w:p>
    <w:p w14:paraId="41FD1211" w14:textId="77777777" w:rsidR="00963A30" w:rsidRDefault="00985EA0">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firstLine="360"/>
        <w:jc w:val="both"/>
        <w:rPr>
          <w:sz w:val="24"/>
          <w:szCs w:val="24"/>
          <w:lang w:eastAsia="en-ID"/>
        </w:rPr>
      </w:pPr>
      <w:r>
        <w:rPr>
          <w:sz w:val="24"/>
          <w:szCs w:val="24"/>
          <w:lang w:eastAsia="en-ID"/>
        </w:rPr>
        <w:t>The concentration of individual VFA, acetate in the supplementation treatments (R2-R7) was generally much higher than the basal ration (R1). The increase in acetate concentration and high ratio reflects the dominance of fiber fermentation derived from corn straw. Acetate, the main product of fiber fermentation, increased dramatically (R2: 68.28% vs. R1:60.08%). The addition of sulfur resulted in higher production of acetic acid at R4 and R5, namely 70.69% and 71.20% respectively. This indicates increased cellulolytic bacterial activity due to optimal availability of nitrogen (from urea) and sulfur, allowing the bacteria to better break down corn straw.  These results are supported by the statement by McDonald et al. (2011) that acetate is indicators of the fermentation activity of cell wall components (NDF/ADF) by rumen microbes, which in this study come from corn straw. Cellulolytic bacteria in the rumen require nitrogen (usually in the form of ammonia/from non-protein nitrogen such as urea) as the main source for microbial protein synthesis. Balanced N and S supplementation optimizes the growth of cellulolytic bacteria. When these bacteria thrive, corn straw fiber degradation increases, which is automatically reflected in a high acetate to propionate ratio (above 3:1). Van Soest (1994) stated that there is a relationship between structural carbohydrates (fiber) and the VFA profile, where high fiber feed always produces a high acetate ratio.</w:t>
      </w:r>
    </w:p>
    <w:p w14:paraId="24AB0107" w14:textId="77777777" w:rsidR="00963A30" w:rsidRDefault="00985EA0">
      <w:pPr>
        <w:widowControl/>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spacing w:line="360" w:lineRule="auto"/>
        <w:ind w:firstLine="360"/>
        <w:jc w:val="both"/>
        <w:rPr>
          <w:sz w:val="24"/>
          <w:szCs w:val="24"/>
          <w:lang w:eastAsia="en-ID"/>
        </w:rPr>
      </w:pPr>
      <w:r>
        <w:rPr>
          <w:sz w:val="24"/>
          <w:szCs w:val="24"/>
          <w:lang w:eastAsia="en-ID"/>
        </w:rPr>
        <w:t xml:space="preserve">Propionate, a fermentation product of non-fiber carbohydrates (starch), was not significant different (P&gt;0.05) (18.48-24.45%). The insignificant difference in propionic acid production is likely because the rumen is already quite efficient at producing propionic acid with the base ration with cassava peel which contain non fiber carbohydrate). The addition of urea and sulfur, </w:t>
      </w:r>
      <w:r>
        <w:rPr>
          <w:sz w:val="24"/>
          <w:szCs w:val="24"/>
          <w:lang w:eastAsia="en-ID"/>
        </w:rPr>
        <w:lastRenderedPageBreak/>
        <w:t xml:space="preserve">intended to increase rumen microbial activity, did not have a significant additional impact because conditions were already ideal. </w:t>
      </w:r>
    </w:p>
    <w:p w14:paraId="4F531DC4" w14:textId="77777777" w:rsidR="00963A30" w:rsidRDefault="00985EA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spacing w:line="360" w:lineRule="auto"/>
        <w:ind w:firstLine="360"/>
        <w:jc w:val="both"/>
        <w:rPr>
          <w:sz w:val="24"/>
          <w:szCs w:val="24"/>
          <w:lang w:eastAsia="en-ID"/>
        </w:rPr>
      </w:pPr>
      <w:r>
        <w:rPr>
          <w:sz w:val="24"/>
          <w:szCs w:val="24"/>
          <w:lang w:eastAsia="en-ID"/>
        </w:rPr>
        <w:t xml:space="preserve">The acetate/propionate ratio in the basal ration (R1) was 3.2:1. In supplementation treatments, this ratio generally was not significantly different (ranging from 3.43:1 to 4.61:1).  In this study, the observed A:P ratio  4.6:1 (1% urea and 0.2% </w:t>
      </w:r>
      <w:r>
        <w:rPr>
          <w:sz w:val="24"/>
          <w:szCs w:val="24"/>
          <w:lang w:val="en-US" w:eastAsia="en-ID"/>
        </w:rPr>
        <w:t>s</w:t>
      </w:r>
      <w:r>
        <w:rPr>
          <w:sz w:val="24"/>
          <w:szCs w:val="24"/>
          <w:lang w:eastAsia="en-ID"/>
        </w:rPr>
        <w:t xml:space="preserve">ulfur or at N:S ratio 10.7:1) reflects a typical fermentation pattern dominated by acetate production, consistent with the utilization of a high-fiber corn straw diet. According to  McDonald et al. (2011), high-roughage diets inherently stimulate acetate-producing cellulolytic microbes. This biologicah mechanism is strongly supported by the rumen pH and ammonia concentration achieved in this treatment. The rumen pH 6.8 to 6.9, providing an optimal physiological environment for cellulolytic enzymes and microbial activity, which are known to be sensitive to acidic condition (Hungate 1966; Van Soest 1994). </w:t>
      </w:r>
    </w:p>
    <w:p w14:paraId="42A9D932" w14:textId="77777777" w:rsidR="00963A30" w:rsidRDefault="00985EA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spacing w:line="360" w:lineRule="auto"/>
        <w:ind w:firstLine="360"/>
        <w:jc w:val="both"/>
        <w:rPr>
          <w:sz w:val="24"/>
          <w:szCs w:val="24"/>
          <w:lang w:eastAsia="en-ID"/>
        </w:rPr>
      </w:pPr>
      <w:r>
        <w:rPr>
          <w:sz w:val="24"/>
          <w:szCs w:val="24"/>
          <w:lang w:eastAsia="en-ID"/>
        </w:rPr>
        <w:t xml:space="preserve">Likewise, the production of butyric acid, branched chain fatty acids and the acetate: propionate ratio, the results were also not significantly different with the addition of urea and sulfur to the basal ration. Iso butyrate (iC4) and Iso valerate (iC5) (Table 7) are branched-chain fatty acids (BCFA) produced from amino acid degradation and serve as essential growth factors for cellulolytic bacteria. The results show that there was an increase in the digestibility of crude fiber. These results align with the statement by Stewart et al. (1983) that the primary cellulolytic bacteria in the rumen (such as </w:t>
      </w:r>
      <w:r>
        <w:rPr>
          <w:i/>
          <w:iCs/>
          <w:sz w:val="24"/>
          <w:szCs w:val="24"/>
          <w:lang w:eastAsia="en-ID"/>
        </w:rPr>
        <w:t>Ruminococcus albus</w:t>
      </w:r>
      <w:r>
        <w:rPr>
          <w:sz w:val="24"/>
          <w:szCs w:val="24"/>
          <w:lang w:eastAsia="en-ID"/>
        </w:rPr>
        <w:t xml:space="preserve"> and </w:t>
      </w:r>
      <w:r>
        <w:rPr>
          <w:i/>
          <w:iCs/>
          <w:sz w:val="24"/>
          <w:szCs w:val="24"/>
          <w:lang w:eastAsia="en-ID"/>
        </w:rPr>
        <w:t>Fibrobacter succinogenes</w:t>
      </w:r>
      <w:r>
        <w:rPr>
          <w:sz w:val="24"/>
          <w:szCs w:val="24"/>
          <w:lang w:eastAsia="en-ID"/>
        </w:rPr>
        <w:t xml:space="preserve">) require branched-chain fatty acids as essential growth factors for cell division and cell wall development. As the population of these fiber-degrading bacteria increases, the digestibility of crude fiber in the feed also increases. According to Roman-Gracia et al. (2021) that BCVFA supply increases fiber degradability (NDF) by up to 6–7% by stimulating the growth of cellulolytic bacteria. </w:t>
      </w:r>
    </w:p>
    <w:p w14:paraId="08FE29B6" w14:textId="77777777" w:rsidR="00963A30" w:rsidRDefault="00985EA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spacing w:line="360" w:lineRule="auto"/>
        <w:ind w:firstLine="360"/>
        <w:jc w:val="both"/>
        <w:rPr>
          <w:sz w:val="24"/>
          <w:szCs w:val="24"/>
          <w:lang w:eastAsia="en-ID"/>
        </w:rPr>
      </w:pPr>
      <w:r>
        <w:rPr>
          <w:sz w:val="24"/>
          <w:szCs w:val="24"/>
          <w:lang w:eastAsia="en-ID"/>
        </w:rPr>
        <w:t>Cassava peel plays a crucial role as a synchronization partner for urea. Unlike corn straw, whose fiber is difficult to break down, cassava peel contains high levels of starch or non-fiber carbohydrates (NFC) that are easily fermented (Agustin et al. 2024). These readily available carbohydrates are immediately converted into ATP required by rumen microbes for their activity.</w:t>
      </w:r>
    </w:p>
    <w:p w14:paraId="1992D6BA" w14:textId="77777777" w:rsidR="00963A30" w:rsidRDefault="00985EA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spacing w:before="240" w:line="360" w:lineRule="auto"/>
        <w:jc w:val="both"/>
        <w:rPr>
          <w:sz w:val="24"/>
          <w:szCs w:val="24"/>
          <w:lang w:eastAsia="en-ID"/>
        </w:rPr>
      </w:pPr>
      <w:r>
        <w:rPr>
          <w:b/>
          <w:bCs/>
          <w:sz w:val="24"/>
          <w:szCs w:val="24"/>
          <w:lang w:eastAsia="en-ID"/>
        </w:rPr>
        <w:t>4.5 Effects</w:t>
      </w:r>
      <w:r>
        <w:rPr>
          <w:sz w:val="24"/>
          <w:szCs w:val="24"/>
          <w:lang w:eastAsia="en-ID"/>
        </w:rPr>
        <w:t xml:space="preserve"> </w:t>
      </w:r>
      <w:r>
        <w:rPr>
          <w:b/>
          <w:bCs/>
          <w:sz w:val="24"/>
          <w:szCs w:val="24"/>
          <w:lang w:eastAsia="en-ID"/>
        </w:rPr>
        <w:t xml:space="preserve">of urea and sulfur supplementation on protozoa population dynamics and microbial protein synthesis </w:t>
      </w:r>
    </w:p>
    <w:p w14:paraId="31446C79" w14:textId="77777777" w:rsidR="00963A30" w:rsidRDefault="00985EA0">
      <w:pPr>
        <w:widowControl/>
        <w:tabs>
          <w:tab w:val="left" w:pos="42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spacing w:line="360" w:lineRule="auto"/>
        <w:ind w:firstLine="360"/>
        <w:jc w:val="both"/>
        <w:rPr>
          <w:sz w:val="24"/>
          <w:szCs w:val="24"/>
          <w:lang w:eastAsia="en-ID"/>
        </w:rPr>
      </w:pPr>
      <w:r>
        <w:rPr>
          <w:sz w:val="24"/>
          <w:szCs w:val="24"/>
          <w:lang w:eastAsia="en-ID"/>
        </w:rPr>
        <w:t xml:space="preserve">Supplementation of urea (as a source of Non-Protein Nitrogen or NPN) and sulfur (S) in fiber-based and low-protein rations such as corn straw and cassava peel aim to provide essential </w:t>
      </w:r>
      <w:r>
        <w:rPr>
          <w:sz w:val="24"/>
          <w:szCs w:val="24"/>
          <w:lang w:eastAsia="en-ID"/>
        </w:rPr>
        <w:lastRenderedPageBreak/>
        <w:t>nutrients needed by rumen microorganisms to work more optimally. The population of rumen protozoa in treatments supplemented with urea, sulfur, or their combination (R2 to R7) increased significantly (P&lt;0.01) compared to the basal ration (R1; 7.55x10</w:t>
      </w:r>
      <w:r>
        <w:rPr>
          <w:sz w:val="24"/>
          <w:szCs w:val="24"/>
          <w:vertAlign w:val="superscript"/>
          <w:lang w:eastAsia="en-ID"/>
        </w:rPr>
        <w:t>5</w:t>
      </w:r>
      <w:r>
        <w:rPr>
          <w:sz w:val="24"/>
          <w:szCs w:val="24"/>
          <w:lang w:eastAsia="en-ID"/>
        </w:rPr>
        <w:t xml:space="preserve"> cells/mL). The average protozoan population in the R2-R7 supplementation treatment was in the range of 11.17 x10</w:t>
      </w:r>
      <w:r>
        <w:rPr>
          <w:sz w:val="24"/>
          <w:szCs w:val="24"/>
          <w:vertAlign w:val="superscript"/>
          <w:lang w:eastAsia="en-ID"/>
        </w:rPr>
        <w:t>5</w:t>
      </w:r>
      <w:r>
        <w:rPr>
          <w:sz w:val="24"/>
          <w:szCs w:val="24"/>
          <w:lang w:eastAsia="en-ID"/>
        </w:rPr>
        <w:t xml:space="preserve"> to 13.84 x10</w:t>
      </w:r>
      <w:r>
        <w:rPr>
          <w:sz w:val="24"/>
          <w:szCs w:val="24"/>
          <w:vertAlign w:val="superscript"/>
          <w:lang w:eastAsia="en-ID"/>
        </w:rPr>
        <w:t>5</w:t>
      </w:r>
      <w:r>
        <w:rPr>
          <w:sz w:val="24"/>
          <w:szCs w:val="24"/>
          <w:lang w:eastAsia="en-ID"/>
        </w:rPr>
        <w:t xml:space="preserve"> cells/mL. The population of protozoa increased significantly under all supplementation treatments (urea, sulfur, and their combination) compared to the control group. The abundance of starch from the cassava peel, combined with the removal of N and S deficiencies through supplementation, created highly favourable conditions for protozoan proliferation. This increase may indicate that N and S supplementation provides better conditions, although protozoa themselves do not directly require as much urea and sulfur as bacteria. The increase in protozoa population is very likely related to the availability of easily digestible energy sources (fermentable carbohydrates) from cassava peel, which serve as the primary substrate for </w:t>
      </w:r>
      <w:r>
        <w:rPr>
          <w:i/>
          <w:iCs/>
          <w:sz w:val="24"/>
          <w:szCs w:val="24"/>
          <w:lang w:eastAsia="en-ID"/>
        </w:rPr>
        <w:t>Holotrichs</w:t>
      </w:r>
      <w:r>
        <w:rPr>
          <w:sz w:val="24"/>
          <w:szCs w:val="24"/>
          <w:lang w:eastAsia="en-ID"/>
        </w:rPr>
        <w:t xml:space="preserve">-type protozoa. This high protozoan population is possible because they can grow optimally without having to significantly prey on bacteria, due to the availability of sufficient energy. This result is in line with the statement of Dehority and Denyo (2003) that the substrate for protozoa growth is mainly easily fermented carbohydrates. Protozoa of the isotricha and </w:t>
      </w:r>
      <w:r>
        <w:rPr>
          <w:i/>
          <w:iCs/>
          <w:sz w:val="24"/>
          <w:szCs w:val="24"/>
          <w:lang w:eastAsia="en-ID"/>
        </w:rPr>
        <w:t>dasytricha</w:t>
      </w:r>
      <w:r>
        <w:rPr>
          <w:sz w:val="24"/>
          <w:szCs w:val="24"/>
          <w:lang w:eastAsia="en-ID"/>
        </w:rPr>
        <w:t xml:space="preserve"> types, their main energy source is starch and sugar. This is supported by the presence of a nitrogen source derived from urea supplementation.</w:t>
      </w:r>
    </w:p>
    <w:p w14:paraId="29021BB3" w14:textId="77777777" w:rsidR="00963A30" w:rsidRDefault="00985EA0">
      <w:pPr>
        <w:spacing w:line="360" w:lineRule="auto"/>
        <w:ind w:firstLine="360"/>
        <w:jc w:val="both"/>
        <w:rPr>
          <w:sz w:val="24"/>
          <w:szCs w:val="24"/>
          <w:lang w:eastAsia="en-ID"/>
        </w:rPr>
      </w:pPr>
      <w:r>
        <w:rPr>
          <w:sz w:val="24"/>
          <w:szCs w:val="24"/>
          <w:lang w:eastAsia="en-ID"/>
        </w:rPr>
        <w:t>Interestingly, microbial biomass and microbial protein synthesis showed non-significant differences across all treatments. This paradox can be attributed to the predatory behaviour of protozoa toward bacteria within the rumen ecosystem. The surging protozoan population likely accelerated the predation and turnover rates of the bacterial community. Consequently, while the actual metabolic activity and nutrient degradability expanded—as evidenced by the elevated total VFA from 104 to 133mM—the net measurable microbial biomass remained statistically stable due to this internal biological buffering mechanism.</w:t>
      </w:r>
      <w:r>
        <w:rPr>
          <w:rStyle w:val="Heading1Char"/>
          <w:rFonts w:ascii="Times New Roman" w:hAnsi="Times New Roman" w:cs="Times New Roman"/>
          <w:sz w:val="24"/>
          <w:szCs w:val="24"/>
        </w:rPr>
        <w:t xml:space="preserve"> </w:t>
      </w:r>
      <w:r>
        <w:rPr>
          <w:rStyle w:val="y2iqfc"/>
          <w:sz w:val="24"/>
          <w:szCs w:val="24"/>
        </w:rPr>
        <w:t xml:space="preserve">Cassava peel again plays an important role as a trigger for protozoa growth due to its starchy properties. </w:t>
      </w:r>
      <w:r>
        <w:rPr>
          <w:sz w:val="24"/>
          <w:szCs w:val="24"/>
          <w:lang w:eastAsia="en-ID"/>
        </w:rPr>
        <w:t xml:space="preserve">This comprehensive microbial balance was securely anchored by the ideal rumen pH (6.8–6.9) and optimal ammonia levels (12–14mg/100 mL), which maintained an excellent physiological environment for diverse microflora activity (Satter and Slyter 1974; Van Soest 1994). Despite the massive expansion of total VFA (up to 133mM) and enhanced nutrient digestibility, net microbial biomass and microbial protein synthesis values differed non-significantly across all treatments. This apparent paradox can be scientifically explained by the ecological phenomenon of protozoan predation, often referred to as the rumen microbial turnover effect. Protozoa are avid predators of bacteria, capable of consuming millions of bacterial cells per </w:t>
      </w:r>
      <w:r>
        <w:rPr>
          <w:sz w:val="24"/>
          <w:szCs w:val="24"/>
          <w:lang w:eastAsia="en-ID"/>
        </w:rPr>
        <w:lastRenderedPageBreak/>
        <w:t>hour to satisfy their own protein requirements.</w:t>
      </w:r>
    </w:p>
    <w:p w14:paraId="50ED6F47" w14:textId="77777777" w:rsidR="00963A30" w:rsidRDefault="00985EA0">
      <w:pPr>
        <w:spacing w:line="360" w:lineRule="auto"/>
        <w:ind w:firstLine="360"/>
        <w:jc w:val="both"/>
        <w:rPr>
          <w:sz w:val="24"/>
          <w:szCs w:val="24"/>
          <w:lang w:eastAsia="en-ID"/>
        </w:rPr>
      </w:pPr>
      <w:r>
        <w:rPr>
          <w:sz w:val="24"/>
          <w:szCs w:val="24"/>
          <w:lang w:eastAsia="en-ID"/>
        </w:rPr>
        <w:t xml:space="preserve">Therefore, while the combined urea and sulphur treatment successfully stimulated a higher </w:t>
      </w:r>
      <w:r>
        <w:rPr>
          <w:i/>
          <w:iCs/>
          <w:sz w:val="24"/>
          <w:szCs w:val="24"/>
          <w:lang w:eastAsia="en-ID"/>
        </w:rPr>
        <w:t>rate</w:t>
      </w:r>
      <w:r>
        <w:rPr>
          <w:sz w:val="24"/>
          <w:szCs w:val="24"/>
          <w:lang w:eastAsia="en-ID"/>
        </w:rPr>
        <w:t xml:space="preserve"> of bacterial growth and activity (as validated by peak NFE and protein digestibility), the net measurable bacterial biomass was continuously grazed down by the surging protozoan population. This internal biological buffering mechanism creates a high-turnover cycle where bacterial protein is recycled within the rumen rather than flowing post-ruminal, thus explaining why net microbial protein synthesis remained statistically unaltered despite highly advanced volatile fatty acid production.</w:t>
      </w:r>
    </w:p>
    <w:p w14:paraId="3FD2DB0C" w14:textId="77777777" w:rsidR="00963A30" w:rsidRDefault="00963A3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spacing w:line="360" w:lineRule="auto"/>
        <w:jc w:val="both"/>
        <w:rPr>
          <w:sz w:val="24"/>
          <w:szCs w:val="24"/>
          <w:lang w:eastAsia="en-ID"/>
        </w:rPr>
      </w:pPr>
    </w:p>
    <w:p w14:paraId="172A368D" w14:textId="77777777" w:rsidR="00963A30" w:rsidRDefault="00985EA0">
      <w:pPr>
        <w:widowControl/>
        <w:tabs>
          <w:tab w:val="left" w:pos="1134"/>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spacing w:line="360" w:lineRule="auto"/>
        <w:jc w:val="both"/>
        <w:rPr>
          <w:sz w:val="24"/>
          <w:szCs w:val="24"/>
        </w:rPr>
      </w:pPr>
      <w:r>
        <w:rPr>
          <w:b/>
          <w:sz w:val="24"/>
          <w:szCs w:val="24"/>
          <w:lang w:val="en-US" w:eastAsia="id-ID"/>
        </w:rPr>
        <w:t xml:space="preserve">Conclusion: </w:t>
      </w:r>
      <w:r>
        <w:rPr>
          <w:sz w:val="24"/>
          <w:szCs w:val="24"/>
          <w:lang w:eastAsia="en-ID"/>
        </w:rPr>
        <w:t xml:space="preserve">In conclusion, the synchronized supply of urea and sulfur successfully optimizes the rumen ecosystem in high fiber-starch ration, with basal diet of 30% corn straw and 30% cassava peel. </w:t>
      </w:r>
      <w:r>
        <w:rPr>
          <w:sz w:val="24"/>
          <w:szCs w:val="24"/>
        </w:rPr>
        <w:t>The optimum supplementation of urea and sulfur  was acchieved at 1% urea and 0.2% Sulfur , which was establishedt hrough the ratio N:S of  10.7:1. At that specific formulation, pH (6.8</w:t>
      </w:r>
      <w:r>
        <w:rPr>
          <w:sz w:val="24"/>
          <w:szCs w:val="24"/>
          <w:lang w:val="en-US"/>
        </w:rPr>
        <w:t xml:space="preserve">5) </w:t>
      </w:r>
      <w:r>
        <w:rPr>
          <w:sz w:val="24"/>
          <w:szCs w:val="24"/>
        </w:rPr>
        <w:t>and ammonia production (14mg/100m</w:t>
      </w:r>
      <w:r>
        <w:rPr>
          <w:sz w:val="24"/>
          <w:szCs w:val="24"/>
          <w:lang w:val="en-US"/>
        </w:rPr>
        <w:t>L</w:t>
      </w:r>
      <w:r>
        <w:rPr>
          <w:sz w:val="24"/>
          <w:szCs w:val="24"/>
        </w:rPr>
        <w:t>) were maintained within ideal physiological environment, driving organic matter and NFE digestibility to absolute peaks, 71.50% and 68.76% respectively, and expanding total volatile fatty acids (VFA) production to 133mM.</w:t>
      </w:r>
      <w:r>
        <w:rPr>
          <w:sz w:val="24"/>
          <w:szCs w:val="24"/>
          <w:lang w:val="en-US"/>
        </w:rPr>
        <w:t xml:space="preserve"> </w:t>
      </w:r>
      <w:r>
        <w:rPr>
          <w:sz w:val="24"/>
          <w:szCs w:val="24"/>
          <w:lang w:eastAsia="en-ID"/>
        </w:rPr>
        <w:t>The rumen microflora displayed clear metabolic specialization: standalone 0.5% urea maximized structural fibre degradation (NDF, ADF, and cellulose), while combined urea-sulfur supplementation maximized the utilization of soluble fractions (NFE, protein, and fat).</w:t>
      </w:r>
      <w:r>
        <w:rPr>
          <w:sz w:val="24"/>
          <w:szCs w:val="24"/>
          <w:lang w:val="en-US"/>
        </w:rPr>
        <w:t xml:space="preserve"> </w:t>
      </w:r>
      <w:r>
        <w:rPr>
          <w:sz w:val="24"/>
          <w:szCs w:val="24"/>
          <w:lang w:eastAsia="en-ID"/>
        </w:rPr>
        <w:t>Furthermore, the significant expansion of the protozoan population clarifies the biological mechanism behind the stable net microbial protein synthesis and elevated methane production, highlighting a symbiotic, high-turnover predation ecosystem. Overall, combining urea and sulfur represents a highly viable and efficient strategy to unlock the energetic and nutritional value of agricultural by-products in sustainable livestock production.</w:t>
      </w:r>
    </w:p>
    <w:p w14:paraId="497B74DF" w14:textId="77777777" w:rsidR="00963A30" w:rsidRDefault="00963A30">
      <w:pPr>
        <w:widowControl/>
        <w:tabs>
          <w:tab w:val="left" w:pos="1134"/>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spacing w:line="360" w:lineRule="auto"/>
        <w:rPr>
          <w:b/>
          <w:lang w:eastAsia="id-ID"/>
        </w:rPr>
      </w:pPr>
    </w:p>
    <w:p w14:paraId="203F6AF3" w14:textId="77777777" w:rsidR="00963A30" w:rsidRDefault="00985EA0">
      <w:pPr>
        <w:widowControl/>
        <w:adjustRightInd w:val="0"/>
        <w:spacing w:after="240" w:line="360" w:lineRule="auto"/>
        <w:jc w:val="both"/>
        <w:rPr>
          <w:sz w:val="24"/>
          <w:szCs w:val="24"/>
          <w:lang w:eastAsia="en-ID"/>
        </w:rPr>
      </w:pPr>
      <w:r>
        <w:rPr>
          <w:rFonts w:eastAsia="Calibri"/>
          <w:b/>
          <w:bCs/>
          <w:color w:val="000000"/>
          <w:sz w:val="24"/>
          <w:szCs w:val="24"/>
          <w14:ligatures w14:val="standardContextual"/>
        </w:rPr>
        <w:t xml:space="preserve">Author’s contribution: </w:t>
      </w:r>
      <w:r>
        <w:rPr>
          <w:rFonts w:eastAsia="Calibri"/>
          <w:color w:val="000000"/>
          <w:sz w:val="24"/>
          <w:szCs w:val="24"/>
          <w14:ligatures w14:val="standardContextual"/>
        </w:rPr>
        <w:t xml:space="preserve">FA: designed the concept, searched for funding, conducted data analysis, interpreted data and write article to be published. EE: supervised the field and laboratory work. </w:t>
      </w:r>
      <w:r>
        <w:rPr>
          <w:sz w:val="24"/>
          <w:szCs w:val="24"/>
          <w:lang w:eastAsia="en-ID"/>
        </w:rPr>
        <w:t>RP: supervised the research in the laboratory and wrote the article. GPK, MFF, and DW: conducted the research in the laboratory and tabulated the data.</w:t>
      </w:r>
    </w:p>
    <w:p w14:paraId="3BF6C13F" w14:textId="77777777" w:rsidR="00963A30" w:rsidRDefault="00985EA0">
      <w:pPr>
        <w:widowControl/>
        <w:autoSpaceDE/>
        <w:autoSpaceDN/>
        <w:spacing w:after="240" w:line="360" w:lineRule="auto"/>
        <w:jc w:val="both"/>
        <w:rPr>
          <w:sz w:val="24"/>
          <w:szCs w:val="24"/>
          <w:lang w:eastAsia="en-ID"/>
        </w:rPr>
      </w:pPr>
      <w:bookmarkStart w:id="10" w:name="_Hlk185927750"/>
      <w:r>
        <w:rPr>
          <w:rFonts w:eastAsia="Aptos"/>
          <w:b/>
          <w:bCs/>
          <w:kern w:val="2"/>
          <w:sz w:val="24"/>
          <w:szCs w:val="24"/>
          <w:lang w:val="en-GB"/>
          <w14:ligatures w14:val="standardContextual"/>
        </w:rPr>
        <w:t>Ethical approval</w:t>
      </w:r>
      <w:bookmarkEnd w:id="10"/>
      <w:r>
        <w:rPr>
          <w:rFonts w:eastAsia="Aptos"/>
          <w:b/>
          <w:bCs/>
          <w:kern w:val="2"/>
          <w:sz w:val="24"/>
          <w:szCs w:val="24"/>
          <w:lang w:val="en-GB"/>
          <w14:ligatures w14:val="standardContextual"/>
        </w:rPr>
        <w:t xml:space="preserve">: </w:t>
      </w:r>
      <w:r>
        <w:rPr>
          <w:sz w:val="24"/>
          <w:szCs w:val="24"/>
          <w:lang w:eastAsia="en-ID"/>
        </w:rPr>
        <w:t>Live animals were not used in this study, so it did not require ethical approval.</w:t>
      </w:r>
    </w:p>
    <w:p w14:paraId="046066FB" w14:textId="77777777" w:rsidR="00963A30" w:rsidRDefault="00985EA0">
      <w:pPr>
        <w:widowControl/>
        <w:adjustRightInd w:val="0"/>
        <w:spacing w:after="240" w:line="360" w:lineRule="auto"/>
        <w:jc w:val="both"/>
        <w:rPr>
          <w:rFonts w:eastAsia="Calibri"/>
          <w:color w:val="000000"/>
          <w:sz w:val="24"/>
          <w:szCs w:val="24"/>
          <w14:ligatures w14:val="standardContextual"/>
        </w:rPr>
      </w:pPr>
      <w:r>
        <w:rPr>
          <w:rFonts w:eastAsia="Calibri"/>
          <w:b/>
          <w:bCs/>
          <w:color w:val="000000"/>
          <w:sz w:val="24"/>
          <w:szCs w:val="24"/>
          <w14:ligatures w14:val="standardContextual"/>
        </w:rPr>
        <w:lastRenderedPageBreak/>
        <w:t xml:space="preserve">Funding: </w:t>
      </w:r>
      <w:r>
        <w:rPr>
          <w:rFonts w:eastAsia="Calibri"/>
          <w:color w:val="000000"/>
          <w:sz w:val="24"/>
          <w:szCs w:val="24"/>
          <w14:ligatures w14:val="standardContextual"/>
        </w:rPr>
        <w:t xml:space="preserve">The study was funded by </w:t>
      </w:r>
      <w:r>
        <w:rPr>
          <w:sz w:val="24"/>
          <w:szCs w:val="24"/>
          <w:lang w:eastAsia="en-ID"/>
        </w:rPr>
        <w:t>the Directorate of Research Technology and Community Service, Ministry of Education, Science and Technology of Indonesia, which has provided funding to carry out this research; based on Decree Number: 0459/ES/PG.02.00/2024 and Contract Agreement Number: 041/ES/PG.02.00.PL/2024.</w:t>
      </w:r>
    </w:p>
    <w:p w14:paraId="015B5D8A" w14:textId="77777777" w:rsidR="00963A30" w:rsidRDefault="00985EA0">
      <w:pPr>
        <w:widowControl/>
        <w:adjustRightInd w:val="0"/>
        <w:spacing w:line="360" w:lineRule="auto"/>
        <w:jc w:val="both"/>
        <w:rPr>
          <w:sz w:val="24"/>
          <w:szCs w:val="24"/>
          <w:lang w:eastAsia="en-ID"/>
        </w:rPr>
      </w:pPr>
      <w:r>
        <w:rPr>
          <w:rFonts w:eastAsia="Calibri"/>
          <w:b/>
          <w:bCs/>
          <w:color w:val="000000"/>
          <w:sz w:val="24"/>
          <w:szCs w:val="24"/>
          <w14:ligatures w14:val="standardContextual"/>
        </w:rPr>
        <w:t xml:space="preserve">Acknowledgements: </w:t>
      </w:r>
      <w:r>
        <w:rPr>
          <w:sz w:val="24"/>
          <w:szCs w:val="24"/>
          <w:lang w:eastAsia="en-ID"/>
        </w:rPr>
        <w:t>We would like to express our gratitude to the Directorate of Research Technology and Community Service, Ministry of Education, Science and Technology of Indonesia. Thanks also to the Andalas University Research Institute, the Dean and the head of the ruminant nutrition laboratory of the Faculty of Animal Science, Andalas University for the laboratory facilities provided.</w:t>
      </w:r>
    </w:p>
    <w:p w14:paraId="29202D02" w14:textId="77777777" w:rsidR="00963A30" w:rsidRDefault="00985EA0">
      <w:pPr>
        <w:widowControl/>
        <w:adjustRightInd w:val="0"/>
        <w:spacing w:before="240" w:line="360" w:lineRule="auto"/>
        <w:jc w:val="both"/>
        <w:rPr>
          <w:rFonts w:eastAsia="Calibri"/>
          <w:b/>
          <w:bCs/>
          <w:color w:val="000000"/>
          <w:sz w:val="24"/>
          <w:szCs w:val="24"/>
          <w14:ligatures w14:val="standardContextual"/>
        </w:rPr>
      </w:pPr>
      <w:r>
        <w:rPr>
          <w:b/>
          <w:bCs/>
          <w:sz w:val="24"/>
          <w:szCs w:val="24"/>
          <w:lang w:eastAsia="en-ID"/>
        </w:rPr>
        <w:t>Data availability:</w:t>
      </w:r>
      <w:r>
        <w:rPr>
          <w:sz w:val="24"/>
          <w:szCs w:val="24"/>
          <w:lang w:eastAsia="en-ID"/>
        </w:rPr>
        <w:t xml:space="preserve"> All the data are available in the article.</w:t>
      </w:r>
    </w:p>
    <w:p w14:paraId="526B7035" w14:textId="77777777" w:rsidR="00963A30" w:rsidRDefault="00985EA0">
      <w:pPr>
        <w:widowControl/>
        <w:autoSpaceDE/>
        <w:autoSpaceDN/>
        <w:spacing w:before="360" w:after="120" w:line="360" w:lineRule="auto"/>
        <w:rPr>
          <w:rFonts w:eastAsia="Aptos"/>
          <w:kern w:val="2"/>
          <w:sz w:val="24"/>
          <w:szCs w:val="24"/>
          <w:lang w:val="en-GB"/>
          <w14:ligatures w14:val="standardContextual"/>
        </w:rPr>
      </w:pPr>
      <w:r>
        <w:rPr>
          <w:rFonts w:eastAsia="Aptos"/>
          <w:b/>
          <w:bCs/>
          <w:kern w:val="2"/>
          <w:sz w:val="24"/>
          <w:szCs w:val="24"/>
          <w:lang w:val="en-GB"/>
          <w14:ligatures w14:val="standardContextual"/>
        </w:rPr>
        <w:t xml:space="preserve">Conflict of interest: </w:t>
      </w:r>
      <w:r>
        <w:rPr>
          <w:rFonts w:eastAsia="Aptos"/>
          <w:kern w:val="2"/>
          <w:sz w:val="24"/>
          <w:szCs w:val="24"/>
          <w:lang w:val="en-GB"/>
          <w14:ligatures w14:val="standardContextual"/>
        </w:rPr>
        <w:t>The authors declare that they have no conflict of interest.</w:t>
      </w:r>
    </w:p>
    <w:p w14:paraId="7EBC755B" w14:textId="77777777" w:rsidR="00963A30" w:rsidRDefault="00985EA0">
      <w:pPr>
        <w:widowControl/>
        <w:autoSpaceDE/>
        <w:autoSpaceDN/>
        <w:spacing w:before="360" w:after="120" w:line="360" w:lineRule="auto"/>
        <w:jc w:val="both"/>
        <w:rPr>
          <w:rFonts w:eastAsia="Aptos"/>
          <w:kern w:val="2"/>
          <w:sz w:val="24"/>
          <w:szCs w:val="24"/>
          <w:lang w:val="en-GB"/>
          <w14:ligatures w14:val="standardContextual"/>
        </w:rPr>
      </w:pPr>
      <w:r>
        <w:rPr>
          <w:rFonts w:eastAsia="Aptos"/>
          <w:b/>
          <w:bCs/>
          <w:kern w:val="2"/>
          <w:sz w:val="24"/>
          <w:szCs w:val="24"/>
          <w:lang w:val="en-GB"/>
          <w14:ligatures w14:val="standardContextual"/>
        </w:rPr>
        <w:t>Generative AI statement:</w:t>
      </w:r>
      <w:r>
        <w:rPr>
          <w:rFonts w:eastAsia="Aptos"/>
          <w:kern w:val="2"/>
          <w:sz w:val="24"/>
          <w:szCs w:val="24"/>
          <w:lang w:val="en-GB"/>
          <w14:ligatures w14:val="standardContextual"/>
        </w:rPr>
        <w:t xml:space="preserve"> The authors used AI to structure sentences and correct grammar, specifically Grammarly. The authors are responsible for its use.</w:t>
      </w:r>
    </w:p>
    <w:p w14:paraId="1EEF3353" w14:textId="77777777" w:rsidR="00963A30" w:rsidRDefault="00963A30">
      <w:pPr>
        <w:widowControl/>
        <w:tabs>
          <w:tab w:val="left" w:pos="567"/>
        </w:tabs>
        <w:autoSpaceDE/>
        <w:autoSpaceDN/>
        <w:ind w:left="567" w:hanging="567"/>
        <w:jc w:val="both"/>
        <w:rPr>
          <w:rFonts w:eastAsia="Calibri"/>
          <w:sz w:val="24"/>
          <w:szCs w:val="24"/>
          <w:lang w:val="en-US"/>
        </w:rPr>
      </w:pPr>
    </w:p>
    <w:p w14:paraId="5990B604" w14:textId="77777777" w:rsidR="00963A30" w:rsidRDefault="00985EA0">
      <w:pPr>
        <w:widowControl/>
        <w:autoSpaceDE/>
        <w:autoSpaceDN/>
        <w:spacing w:before="360" w:after="120" w:line="360" w:lineRule="auto"/>
        <w:jc w:val="both"/>
        <w:rPr>
          <w:rFonts w:eastAsia="Aptos"/>
          <w:b/>
          <w:bCs/>
          <w:kern w:val="2"/>
          <w:sz w:val="24"/>
          <w:szCs w:val="24"/>
          <w:lang w:val="en-GB"/>
          <w14:ligatures w14:val="standardContextual"/>
        </w:rPr>
      </w:pPr>
      <w:r>
        <w:rPr>
          <w:rFonts w:eastAsia="Aptos"/>
          <w:b/>
          <w:bCs/>
          <w:kern w:val="2"/>
          <w:sz w:val="24"/>
          <w:szCs w:val="24"/>
          <w:lang w:val="en-GB"/>
          <w14:ligatures w14:val="standardContextual"/>
        </w:rPr>
        <w:t>REFERENCES</w:t>
      </w:r>
    </w:p>
    <w:p w14:paraId="1FA3A081" w14:textId="77777777" w:rsidR="00963A30" w:rsidRDefault="00963A30"/>
    <w:p w14:paraId="635141AA" w14:textId="77777777" w:rsidR="00963A30" w:rsidRDefault="00985EA0">
      <w:pPr>
        <w:widowControl/>
        <w:tabs>
          <w:tab w:val="left" w:pos="7635"/>
        </w:tabs>
        <w:autoSpaceDE/>
        <w:autoSpaceDN/>
        <w:spacing w:line="360" w:lineRule="auto"/>
        <w:ind w:left="630" w:hanging="630"/>
        <w:jc w:val="both"/>
        <w:rPr>
          <w:rFonts w:eastAsia="Calibri"/>
          <w:kern w:val="2"/>
          <w:sz w:val="24"/>
          <w:szCs w:val="24"/>
          <w14:ligatures w14:val="standardContextual"/>
        </w:rPr>
      </w:pPr>
      <w:r>
        <w:rPr>
          <w:rFonts w:eastAsia="Calibri"/>
          <w:kern w:val="2"/>
          <w:sz w:val="24"/>
          <w:szCs w:val="24"/>
          <w14:ligatures w14:val="standardContextual"/>
        </w:rPr>
        <w:t>Agustin F, Elihasridas, Suyitman, Bakhri A, and Pangeston P.  2025. Total gas production, methane gas and in vitro dry matter digestibility of diet containing corn straw and cassava peel supplementation with urea and sulfur. IOP</w:t>
      </w:r>
      <w:r>
        <w:rPr>
          <w:rFonts w:eastAsia="Calibri"/>
          <w:spacing w:val="1"/>
          <w:kern w:val="2"/>
          <w:sz w:val="24"/>
          <w:szCs w:val="24"/>
          <w14:ligatures w14:val="standardContextual"/>
        </w:rPr>
        <w:t xml:space="preserve"> </w:t>
      </w:r>
      <w:r>
        <w:rPr>
          <w:rFonts w:eastAsia="Calibri"/>
          <w:kern w:val="2"/>
          <w:sz w:val="24"/>
          <w:szCs w:val="24"/>
          <w14:ligatures w14:val="standardContextual"/>
        </w:rPr>
        <w:t xml:space="preserve">Conference Series: Earth and Environmental Science 1520: 012031. </w:t>
      </w:r>
      <w:hyperlink r:id="rId17" w:history="1">
        <w:r>
          <w:rPr>
            <w:rStyle w:val="Hyperlink"/>
            <w:rFonts w:eastAsia="Calibri"/>
            <w:kern w:val="2"/>
            <w:sz w:val="24"/>
            <w:szCs w:val="24"/>
            <w14:ligatures w14:val="standardContextual"/>
          </w:rPr>
          <w:t>https://doi.org/10.1088/1755-1315/1502/1/012031</w:t>
        </w:r>
      </w:hyperlink>
      <w:r>
        <w:rPr>
          <w:rFonts w:eastAsia="Calibri"/>
          <w:kern w:val="2"/>
          <w:sz w:val="24"/>
          <w:szCs w:val="24"/>
          <w14:ligatures w14:val="standardContextual"/>
        </w:rPr>
        <w:t xml:space="preserve"> </w:t>
      </w:r>
    </w:p>
    <w:p w14:paraId="3F50F791" w14:textId="77777777" w:rsidR="00963A30" w:rsidRDefault="00985EA0">
      <w:pPr>
        <w:widowControl/>
        <w:autoSpaceDE/>
        <w:autoSpaceDN/>
        <w:spacing w:line="360" w:lineRule="auto"/>
        <w:ind w:left="630" w:hanging="630"/>
        <w:jc w:val="both"/>
        <w:rPr>
          <w:rFonts w:eastAsia="SimSun"/>
          <w:sz w:val="24"/>
          <w:szCs w:val="24"/>
          <w:lang w:val="en-US"/>
        </w:rPr>
      </w:pPr>
      <w:r>
        <w:rPr>
          <w:rFonts w:eastAsia="SimSun"/>
          <w:sz w:val="24"/>
          <w:szCs w:val="24"/>
          <w:lang w:val="en-US"/>
        </w:rPr>
        <w:t xml:space="preserve">Agustin F, Erpomen and Ningrat RWS, 2020. The use of cassava peel as a source of energy for substituting rice bran in ration containing </w:t>
      </w:r>
      <w:r>
        <w:rPr>
          <w:rFonts w:eastAsia="SimSun"/>
          <w:i/>
          <w:iCs/>
          <w:sz w:val="24"/>
          <w:szCs w:val="24"/>
          <w:lang w:val="en-US"/>
        </w:rPr>
        <w:t>Gliricidia maculata</w:t>
      </w:r>
      <w:r>
        <w:rPr>
          <w:rFonts w:eastAsia="SimSun"/>
          <w:sz w:val="24"/>
          <w:szCs w:val="24"/>
          <w:lang w:val="en-US"/>
        </w:rPr>
        <w:t xml:space="preserve"> leaves in dairy cows. IOP Conference Series: Earth and Environmental Science 478: 012077. </w:t>
      </w:r>
      <w:hyperlink r:id="rId18" w:history="1">
        <w:r>
          <w:rPr>
            <w:rStyle w:val="Hyperlink"/>
            <w:rFonts w:eastAsia="SimSun"/>
            <w:sz w:val="24"/>
            <w:szCs w:val="24"/>
            <w:lang w:val="en-US"/>
          </w:rPr>
          <w:t>https://doi.org/10.1088/1755-1315/478/1/012077</w:t>
        </w:r>
      </w:hyperlink>
    </w:p>
    <w:p w14:paraId="2036433B" w14:textId="77777777" w:rsidR="00963A30" w:rsidRDefault="00985EA0">
      <w:pPr>
        <w:widowControl/>
        <w:autoSpaceDE/>
        <w:autoSpaceDN/>
        <w:spacing w:line="360" w:lineRule="auto"/>
        <w:ind w:left="630" w:hanging="630"/>
        <w:jc w:val="both"/>
        <w:rPr>
          <w:rFonts w:eastAsia="Calibri"/>
          <w:kern w:val="2"/>
          <w:sz w:val="24"/>
          <w:szCs w:val="24"/>
          <w14:ligatures w14:val="standardContextual"/>
        </w:rPr>
      </w:pPr>
      <w:r>
        <w:rPr>
          <w:rFonts w:eastAsia="Calibri"/>
          <w:kern w:val="2"/>
          <w:sz w:val="24"/>
          <w:szCs w:val="24"/>
          <w14:ligatures w14:val="standardContextual"/>
        </w:rPr>
        <w:t xml:space="preserve">Agustin F, Erpomen, Suryadi H and Jamarun N. 2021. The Use of Calcium Hydroxide with Different Soaking Time on Cassava Peel for Reducing HCN, and Its Effect on Rumen Fermentation. Advances in Biological Sciences Research, volume 20 Proceedings of the International Conference on Improving Tropical Animal Production for Food Security (ITAPS 2021).  </w:t>
      </w:r>
      <w:hyperlink r:id="rId19" w:history="1">
        <w:r>
          <w:rPr>
            <w:rFonts w:eastAsia="Calibri"/>
            <w:color w:val="0000FF"/>
            <w:kern w:val="2"/>
            <w:sz w:val="24"/>
            <w:szCs w:val="24"/>
            <w:u w:val="single"/>
            <w14:ligatures w14:val="standardContextual"/>
          </w:rPr>
          <w:t>https://doi.org/10.2991/absr.k.220309.054</w:t>
        </w:r>
      </w:hyperlink>
    </w:p>
    <w:p w14:paraId="5CBDE1D5" w14:textId="77777777" w:rsidR="00963A30" w:rsidRDefault="00985EA0">
      <w:pPr>
        <w:widowControl/>
        <w:tabs>
          <w:tab w:val="left" w:pos="7635"/>
        </w:tabs>
        <w:autoSpaceDE/>
        <w:autoSpaceDN/>
        <w:spacing w:line="360" w:lineRule="auto"/>
        <w:ind w:left="630" w:hanging="630"/>
        <w:jc w:val="both"/>
        <w:rPr>
          <w:sz w:val="24"/>
          <w:szCs w:val="24"/>
        </w:rPr>
      </w:pPr>
      <w:r>
        <w:rPr>
          <w:rFonts w:eastAsia="Calibri"/>
          <w:kern w:val="2"/>
          <w:sz w:val="24"/>
          <w:szCs w:val="24"/>
          <w14:ligatures w14:val="standardContextual"/>
        </w:rPr>
        <w:lastRenderedPageBreak/>
        <w:t xml:space="preserve">Agustin F, Jamarun N, Pazla R and Suryadi H. 2024.  Exploring The Impact of Processed Cassava Peel on Microbial Dynamics and InVitro Nutrient Digestibility in Ruminant Diets. International Journal of Veterinary Science, 13: 463-470. </w:t>
      </w:r>
      <w:hyperlink r:id="rId20" w:history="1">
        <w:r>
          <w:rPr>
            <w:rFonts w:eastAsia="Calibri"/>
            <w:color w:val="0000FF"/>
            <w:kern w:val="2"/>
            <w:sz w:val="24"/>
            <w:szCs w:val="24"/>
            <w:u w:val="single"/>
            <w14:ligatures w14:val="standardContextual"/>
          </w:rPr>
          <w:t>https://doi.org/10.47278/journal.ijvs/2023.119</w:t>
        </w:r>
      </w:hyperlink>
    </w:p>
    <w:p w14:paraId="7B8D9971" w14:textId="77777777" w:rsidR="00963A30" w:rsidRDefault="00985EA0">
      <w:pPr>
        <w:widowControl/>
        <w:autoSpaceDE/>
        <w:autoSpaceDN/>
        <w:spacing w:line="360" w:lineRule="auto"/>
        <w:ind w:left="630" w:hanging="630"/>
        <w:jc w:val="both"/>
        <w:rPr>
          <w:rFonts w:eastAsia="SimSun"/>
          <w:sz w:val="24"/>
          <w:szCs w:val="24"/>
          <w:lang w:val="en-US"/>
        </w:rPr>
      </w:pPr>
      <w:r>
        <w:rPr>
          <w:rFonts w:eastAsia="SimSun"/>
          <w:sz w:val="24"/>
          <w:szCs w:val="24"/>
          <w:lang w:val="en-US"/>
        </w:rPr>
        <w:t xml:space="preserve">Agustin F, Ningrat R, Zain M, Jamarun N, Devin R and Rima T, 2018. Rumen fermentability and in vitro digestibility of corn straw and </w:t>
      </w:r>
      <w:r>
        <w:rPr>
          <w:rFonts w:eastAsia="SimSun"/>
          <w:i/>
          <w:iCs/>
          <w:sz w:val="24"/>
          <w:szCs w:val="24"/>
          <w:lang w:val="en-US"/>
        </w:rPr>
        <w:t>Gliricidia maculata</w:t>
      </w:r>
      <w:r>
        <w:rPr>
          <w:rFonts w:eastAsia="SimSun"/>
          <w:sz w:val="24"/>
          <w:szCs w:val="24"/>
          <w:lang w:val="en-US"/>
        </w:rPr>
        <w:t xml:space="preserve"> in the ruminant diet. International Conference on Innovation in Research: Book of Abstract. Bali, Indonesia, 28–29 August 2018.</w:t>
      </w:r>
    </w:p>
    <w:p w14:paraId="024487EE" w14:textId="77777777" w:rsidR="00963A30" w:rsidRDefault="00985EA0">
      <w:pPr>
        <w:widowControl/>
        <w:autoSpaceDE/>
        <w:autoSpaceDN/>
        <w:spacing w:line="360" w:lineRule="auto"/>
        <w:ind w:left="630" w:hanging="630"/>
        <w:jc w:val="both"/>
        <w:rPr>
          <w:rFonts w:eastAsia="SimSun"/>
          <w:sz w:val="24"/>
          <w:szCs w:val="24"/>
          <w:lang w:val="en-US"/>
        </w:rPr>
      </w:pPr>
      <w:r>
        <w:rPr>
          <w:rFonts w:eastAsia="SimSun"/>
          <w:sz w:val="24"/>
          <w:szCs w:val="24"/>
          <w:lang w:val="en-US"/>
        </w:rPr>
        <w:t>Agustin F, Rusmana and Nurafriani, 2017. Digestibility of sweet corn straw fiber fraction as an alternative feed to replace grass in ruminant rations in vitro. Proceedings of the National Seminar on Livestock Industry. IPB, Bogor, Indonesia, 29–30 November 2017.</w:t>
      </w:r>
    </w:p>
    <w:p w14:paraId="0D1BF340" w14:textId="6B39FCE1" w:rsidR="000D5ACC" w:rsidRDefault="000D5ACC">
      <w:pPr>
        <w:widowControl/>
        <w:autoSpaceDE/>
        <w:autoSpaceDN/>
        <w:spacing w:line="360" w:lineRule="auto"/>
        <w:ind w:left="630" w:hanging="630"/>
        <w:jc w:val="both"/>
        <w:rPr>
          <w:rFonts w:eastAsia="Calibri"/>
          <w:kern w:val="2"/>
          <w:sz w:val="24"/>
          <w:szCs w:val="24"/>
          <w14:ligatures w14:val="standardContextual"/>
        </w:rPr>
      </w:pPr>
      <w:r>
        <w:rPr>
          <w:rFonts w:eastAsia="Calibri"/>
          <w:kern w:val="2"/>
          <w:sz w:val="24"/>
          <w:szCs w:val="24"/>
          <w14:ligatures w14:val="standardContextual"/>
        </w:rPr>
        <w:t xml:space="preserve">Ananta S, Rahma N, Meidita F, Pratama YE, 2025. Silage formulation based on </w:t>
      </w:r>
      <w:r w:rsidRPr="000D5ACC">
        <w:rPr>
          <w:rFonts w:eastAsia="Calibri"/>
          <w:i/>
          <w:iCs/>
          <w:kern w:val="2"/>
          <w:sz w:val="24"/>
          <w:szCs w:val="24"/>
          <w14:ligatures w14:val="standardContextual"/>
        </w:rPr>
        <w:t>Tithonia diversifolia</w:t>
      </w:r>
      <w:r>
        <w:rPr>
          <w:rFonts w:eastAsia="Calibri"/>
          <w:kern w:val="2"/>
          <w:sz w:val="24"/>
          <w:szCs w:val="24"/>
          <w14:ligatures w14:val="standardContextual"/>
        </w:rPr>
        <w:t xml:space="preserve"> and </w:t>
      </w:r>
      <w:r w:rsidRPr="000D5ACC">
        <w:rPr>
          <w:rFonts w:eastAsia="Calibri"/>
          <w:i/>
          <w:iCs/>
          <w:kern w:val="2"/>
          <w:sz w:val="24"/>
          <w:szCs w:val="24"/>
          <w14:ligatures w14:val="standardContextual"/>
        </w:rPr>
        <w:t>Panicum maximum</w:t>
      </w:r>
      <w:r>
        <w:rPr>
          <w:rFonts w:eastAsia="Calibri"/>
          <w:kern w:val="2"/>
          <w:sz w:val="24"/>
          <w:szCs w:val="24"/>
          <w14:ligatures w14:val="standardContextual"/>
        </w:rPr>
        <w:t xml:space="preserve">: In vitro fermentation evaluation for tropical feeding systems. Andalasian Livestock, 2(2): 144-151. </w:t>
      </w:r>
      <w:hyperlink r:id="rId21" w:history="1">
        <w:r w:rsidRPr="007D4B60">
          <w:rPr>
            <w:rStyle w:val="Hyperlink"/>
            <w:rFonts w:eastAsia="Calibri"/>
            <w:kern w:val="2"/>
            <w:sz w:val="24"/>
            <w:szCs w:val="24"/>
            <w14:ligatures w14:val="standardContextual"/>
          </w:rPr>
          <w:t>https://doi.org/10.25077/alive.v2.n2.p144-151.2025</w:t>
        </w:r>
      </w:hyperlink>
      <w:r>
        <w:rPr>
          <w:rFonts w:eastAsia="Calibri"/>
          <w:kern w:val="2"/>
          <w:sz w:val="24"/>
          <w:szCs w:val="24"/>
          <w14:ligatures w14:val="standardContextual"/>
        </w:rPr>
        <w:t xml:space="preserve"> </w:t>
      </w:r>
    </w:p>
    <w:p w14:paraId="1A1F5CF3" w14:textId="21AD36CC" w:rsidR="00963A30" w:rsidRDefault="00985EA0">
      <w:pPr>
        <w:widowControl/>
        <w:autoSpaceDE/>
        <w:autoSpaceDN/>
        <w:spacing w:line="360" w:lineRule="auto"/>
        <w:ind w:left="630" w:hanging="630"/>
        <w:jc w:val="both"/>
        <w:rPr>
          <w:rFonts w:eastAsia="Calibri"/>
          <w:kern w:val="2"/>
          <w:sz w:val="24"/>
          <w:szCs w:val="24"/>
          <w14:ligatures w14:val="standardContextual"/>
        </w:rPr>
      </w:pPr>
      <w:r>
        <w:rPr>
          <w:rFonts w:eastAsia="Calibri"/>
          <w:kern w:val="2"/>
          <w:sz w:val="24"/>
          <w:szCs w:val="24"/>
          <w14:ligatures w14:val="standardContextual"/>
        </w:rPr>
        <w:t xml:space="preserve">AOAC. 2016. Association of Official Analytical Chemist. Appendix F: Guidelines for Biometrik) Penerjemah B. Sumantri. </w:t>
      </w:r>
      <w:r>
        <w:rPr>
          <w:rFonts w:eastAsia="Calibri"/>
          <w:kern w:val="2"/>
          <w:sz w:val="24"/>
          <w:szCs w:val="24"/>
          <w:lang w:val="fi-FI"/>
          <w14:ligatures w14:val="standardContextual"/>
        </w:rPr>
        <w:t>Gramedia Pustaka Utama, Jakarta.</w:t>
      </w:r>
    </w:p>
    <w:p w14:paraId="403DA58E" w14:textId="77777777" w:rsidR="00963A30" w:rsidRDefault="00985EA0">
      <w:pPr>
        <w:widowControl/>
        <w:autoSpaceDE/>
        <w:autoSpaceDN/>
        <w:spacing w:line="360" w:lineRule="auto"/>
        <w:ind w:left="630" w:hanging="630"/>
        <w:jc w:val="both"/>
        <w:rPr>
          <w:kern w:val="36"/>
          <w:sz w:val="24"/>
          <w:szCs w:val="24"/>
          <w:lang w:eastAsia="en-ID"/>
        </w:rPr>
      </w:pPr>
      <w:r>
        <w:rPr>
          <w:sz w:val="24"/>
          <w:szCs w:val="24"/>
        </w:rPr>
        <w:t>Bach A, Baudon M, Elcoso G, Viejo J and Courillon A. 2023</w:t>
      </w:r>
      <w:r>
        <w:rPr>
          <w:kern w:val="36"/>
          <w:sz w:val="24"/>
          <w:szCs w:val="24"/>
          <w:lang w:val="fi-FI" w:eastAsia="en-ID"/>
        </w:rPr>
        <w:t xml:space="preserve">. </w:t>
      </w:r>
      <w:r>
        <w:rPr>
          <w:kern w:val="36"/>
          <w:sz w:val="24"/>
          <w:szCs w:val="24"/>
          <w:lang w:eastAsia="en-ID"/>
        </w:rPr>
        <w:t xml:space="preserve">2023. Effects on rumen pH and feed intake of a dietary concentrate challenge in cows fed rations containing pH modulators with different neutralizing capacity.  Journal of Dairy Science. </w:t>
      </w:r>
      <w:r>
        <w:rPr>
          <w:sz w:val="24"/>
          <w:szCs w:val="24"/>
          <w:lang w:eastAsia="en-ID"/>
        </w:rPr>
        <w:t xml:space="preserve">106: 4580-4598. </w:t>
      </w:r>
      <w:hyperlink r:id="rId22" w:history="1">
        <w:r>
          <w:rPr>
            <w:rStyle w:val="Hyperlink"/>
            <w:sz w:val="24"/>
            <w:szCs w:val="24"/>
            <w:lang w:eastAsia="en-ID"/>
          </w:rPr>
          <w:t>https://doi.org/10.3168/jds.2022-22734</w:t>
        </w:r>
      </w:hyperlink>
      <w:r>
        <w:rPr>
          <w:sz w:val="24"/>
          <w:szCs w:val="24"/>
          <w:lang w:eastAsia="en-ID"/>
        </w:rPr>
        <w:t xml:space="preserve"> </w:t>
      </w:r>
    </w:p>
    <w:p w14:paraId="180509D0" w14:textId="77777777" w:rsidR="00963A30" w:rsidRDefault="00985EA0">
      <w:pPr>
        <w:widowControl/>
        <w:autoSpaceDE/>
        <w:autoSpaceDN/>
        <w:spacing w:line="360" w:lineRule="auto"/>
        <w:ind w:left="630" w:hanging="630"/>
        <w:jc w:val="both"/>
        <w:rPr>
          <w:sz w:val="24"/>
          <w:szCs w:val="24"/>
          <w:lang w:val="en-US" w:eastAsia="en-ID"/>
        </w:rPr>
      </w:pPr>
      <w:r>
        <w:rPr>
          <w:sz w:val="24"/>
          <w:szCs w:val="24"/>
          <w:lang w:eastAsia="en-ID"/>
        </w:rPr>
        <w:t xml:space="preserve">Bryant, M. P.  1970. Introduction to the Ecology of the Intestinal Flora. The American Journal of Clinical Nutrition. 23: 1430–1436. </w:t>
      </w:r>
      <w:hyperlink r:id="rId23" w:history="1">
        <w:r>
          <w:rPr>
            <w:rStyle w:val="Hyperlink"/>
            <w:sz w:val="24"/>
            <w:szCs w:val="24"/>
          </w:rPr>
          <w:t>https://doi.org/10.1093/ajcn/23.11.1430</w:t>
        </w:r>
      </w:hyperlink>
      <w:r>
        <w:rPr>
          <w:sz w:val="24"/>
          <w:szCs w:val="24"/>
          <w:lang w:val="en-US"/>
        </w:rPr>
        <w:t xml:space="preserve"> </w:t>
      </w:r>
    </w:p>
    <w:p w14:paraId="14562025" w14:textId="77777777" w:rsidR="00963A30" w:rsidRDefault="00985EA0">
      <w:pPr>
        <w:tabs>
          <w:tab w:val="left" w:pos="56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left="630" w:hanging="630"/>
        <w:jc w:val="both"/>
        <w:rPr>
          <w:sz w:val="24"/>
          <w:szCs w:val="24"/>
          <w:lang w:val="en-US"/>
        </w:rPr>
      </w:pPr>
      <w:r>
        <w:rPr>
          <w:sz w:val="24"/>
          <w:szCs w:val="24"/>
        </w:rPr>
        <w:t xml:space="preserve">Cameron MR, Klusmeyer TH, Lynch GL, Clark JH, Nelson DR.  1991. Effects of urea and starch on rumen fermentation, nutrient passage to the duodenum, and performance of cows. </w:t>
      </w:r>
      <w:r>
        <w:rPr>
          <w:kern w:val="36"/>
          <w:sz w:val="24"/>
          <w:szCs w:val="24"/>
          <w:lang w:eastAsia="en-ID"/>
        </w:rPr>
        <w:t>Journal of Dairy Science</w:t>
      </w:r>
      <w:r>
        <w:rPr>
          <w:sz w:val="24"/>
          <w:szCs w:val="24"/>
        </w:rPr>
        <w:t>.</w:t>
      </w:r>
      <w:r>
        <w:rPr>
          <w:sz w:val="24"/>
          <w:szCs w:val="24"/>
          <w:lang w:val="en-US"/>
        </w:rPr>
        <w:t xml:space="preserve"> </w:t>
      </w:r>
      <w:r>
        <w:rPr>
          <w:sz w:val="24"/>
          <w:szCs w:val="24"/>
        </w:rPr>
        <w:t>74:</w:t>
      </w:r>
      <w:r>
        <w:rPr>
          <w:sz w:val="24"/>
          <w:szCs w:val="24"/>
          <w:lang w:val="en-US"/>
        </w:rPr>
        <w:t xml:space="preserve"> </w:t>
      </w:r>
      <w:r>
        <w:rPr>
          <w:sz w:val="24"/>
          <w:szCs w:val="24"/>
        </w:rPr>
        <w:t xml:space="preserve">1321-36 </w:t>
      </w:r>
      <w:hyperlink r:id="rId24" w:history="1">
        <w:r>
          <w:rPr>
            <w:rStyle w:val="Hyperlink"/>
            <w:sz w:val="24"/>
            <w:szCs w:val="24"/>
          </w:rPr>
          <w:t>https://doi.org/10.3168/jds.s0022-0302(91)78288-x</w:t>
        </w:r>
      </w:hyperlink>
      <w:r>
        <w:rPr>
          <w:sz w:val="24"/>
          <w:szCs w:val="24"/>
          <w:lang w:val="en-US"/>
        </w:rPr>
        <w:t xml:space="preserve"> </w:t>
      </w:r>
      <w:r>
        <w:rPr>
          <w:sz w:val="24"/>
          <w:szCs w:val="24"/>
        </w:rPr>
        <w:t xml:space="preserve"> </w:t>
      </w:r>
      <w:r>
        <w:rPr>
          <w:sz w:val="24"/>
          <w:szCs w:val="24"/>
          <w:lang w:val="en-US"/>
        </w:rPr>
        <w:t xml:space="preserve"> </w:t>
      </w:r>
    </w:p>
    <w:p w14:paraId="471BEC08" w14:textId="77777777" w:rsidR="00963A30" w:rsidRDefault="00985EA0">
      <w:pPr>
        <w:tabs>
          <w:tab w:val="left" w:pos="56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left="630" w:hanging="630"/>
        <w:jc w:val="both"/>
        <w:rPr>
          <w:sz w:val="24"/>
          <w:szCs w:val="24"/>
          <w:lang w:val="en-US" w:eastAsia="en-ID"/>
        </w:rPr>
      </w:pPr>
      <w:r>
        <w:rPr>
          <w:color w:val="212121"/>
          <w:sz w:val="24"/>
          <w:szCs w:val="24"/>
          <w:shd w:val="clear" w:color="auto" w:fill="FFFFFF"/>
        </w:rPr>
        <w:t>Cherdthong A, Khonkhaeng B, Seankamsorn A, Supapong C, Wanapat M, Gunun N, Gunun P, Chanjula P, Polyorach S</w:t>
      </w:r>
      <w:r>
        <w:rPr>
          <w:color w:val="212121"/>
          <w:sz w:val="24"/>
          <w:szCs w:val="24"/>
          <w:shd w:val="clear" w:color="auto" w:fill="FFFFFF"/>
          <w:lang w:val="en-US"/>
        </w:rPr>
        <w:t>.</w:t>
      </w:r>
      <w:r>
        <w:rPr>
          <w:sz w:val="24"/>
          <w:szCs w:val="24"/>
        </w:rPr>
        <w:t xml:space="preserve"> 2018.  </w:t>
      </w:r>
      <w:r>
        <w:rPr>
          <w:sz w:val="24"/>
          <w:szCs w:val="24"/>
          <w:lang w:val="en-US"/>
        </w:rPr>
        <w:t xml:space="preserve">Effects of feeding fresh cassava root with high-sulfur feed block on feed utilization, rumen fermentation, and blood metabolites in Thai native cattle. Tropical Animal Health and Production. 50 :1365–1371. </w:t>
      </w:r>
      <w:hyperlink r:id="rId25" w:history="1">
        <w:r>
          <w:rPr>
            <w:rStyle w:val="Hyperlink"/>
            <w:sz w:val="24"/>
            <w:szCs w:val="24"/>
          </w:rPr>
          <w:t>https://doi.org/10.1007/s11250-018-1569-8</w:t>
        </w:r>
      </w:hyperlink>
      <w:r>
        <w:rPr>
          <w:sz w:val="24"/>
          <w:szCs w:val="24"/>
          <w:lang w:val="en-US"/>
        </w:rPr>
        <w:t xml:space="preserve"> </w:t>
      </w:r>
    </w:p>
    <w:p w14:paraId="153AB86A" w14:textId="77777777" w:rsidR="00963A30" w:rsidRDefault="00985EA0">
      <w:pPr>
        <w:widowControl/>
        <w:autoSpaceDE/>
        <w:autoSpaceDN/>
        <w:spacing w:line="360" w:lineRule="auto"/>
        <w:ind w:left="630" w:hanging="630"/>
        <w:jc w:val="both"/>
        <w:rPr>
          <w:sz w:val="24"/>
          <w:szCs w:val="24"/>
          <w:lang w:val="en-US" w:eastAsia="en-ID"/>
        </w:rPr>
      </w:pPr>
      <w:r>
        <w:rPr>
          <w:sz w:val="24"/>
          <w:szCs w:val="24"/>
        </w:rPr>
        <w:lastRenderedPageBreak/>
        <w:t xml:space="preserve">Dehority BA, Odenyo AA. </w:t>
      </w:r>
      <w:r>
        <w:rPr>
          <w:sz w:val="24"/>
          <w:szCs w:val="24"/>
          <w:lang w:val="en-US"/>
        </w:rPr>
        <w:t xml:space="preserve">2003. </w:t>
      </w:r>
      <w:r>
        <w:rPr>
          <w:sz w:val="24"/>
          <w:szCs w:val="24"/>
        </w:rPr>
        <w:t xml:space="preserve">Influence of diet on the rumen protozoal fauna of indigenous African wild ruminants. </w:t>
      </w:r>
      <w:r>
        <w:rPr>
          <w:color w:val="212121"/>
          <w:sz w:val="24"/>
          <w:szCs w:val="24"/>
          <w:shd w:val="clear" w:color="auto" w:fill="FFFFFF"/>
        </w:rPr>
        <w:t>The Journal of Eukaryotic Microbiology</w:t>
      </w:r>
      <w:r>
        <w:rPr>
          <w:sz w:val="24"/>
          <w:szCs w:val="24"/>
          <w:lang w:val="en-US"/>
        </w:rPr>
        <w:t xml:space="preserve">. </w:t>
      </w:r>
      <w:r>
        <w:rPr>
          <w:sz w:val="24"/>
          <w:szCs w:val="24"/>
        </w:rPr>
        <w:t>50:</w:t>
      </w:r>
      <w:r>
        <w:rPr>
          <w:sz w:val="24"/>
          <w:szCs w:val="24"/>
          <w:lang w:val="en-US"/>
        </w:rPr>
        <w:t xml:space="preserve"> </w:t>
      </w:r>
      <w:r>
        <w:rPr>
          <w:sz w:val="24"/>
          <w:szCs w:val="24"/>
        </w:rPr>
        <w:t>220-</w:t>
      </w:r>
      <w:r>
        <w:rPr>
          <w:sz w:val="24"/>
          <w:szCs w:val="24"/>
          <w:lang w:val="en-US"/>
        </w:rPr>
        <w:t>22</w:t>
      </w:r>
      <w:r>
        <w:rPr>
          <w:sz w:val="24"/>
          <w:szCs w:val="24"/>
        </w:rPr>
        <w:t xml:space="preserve">3. </w:t>
      </w:r>
      <w:hyperlink r:id="rId26" w:history="1">
        <w:r>
          <w:rPr>
            <w:rStyle w:val="Hyperlink"/>
            <w:sz w:val="24"/>
            <w:szCs w:val="24"/>
          </w:rPr>
          <w:t>https://doi.org/10.1111/j.1550-7408.2003.tb00121.x</w:t>
        </w:r>
      </w:hyperlink>
      <w:r>
        <w:rPr>
          <w:sz w:val="24"/>
          <w:szCs w:val="24"/>
          <w:lang w:val="en-US"/>
        </w:rPr>
        <w:t xml:space="preserve"> </w:t>
      </w:r>
    </w:p>
    <w:p w14:paraId="08C17541" w14:textId="77777777" w:rsidR="00963A30" w:rsidRDefault="00985EA0">
      <w:pPr>
        <w:widowControl/>
        <w:autoSpaceDE/>
        <w:autoSpaceDN/>
        <w:spacing w:line="360" w:lineRule="auto"/>
        <w:ind w:left="630" w:hanging="630"/>
        <w:jc w:val="both"/>
        <w:rPr>
          <w:sz w:val="24"/>
          <w:szCs w:val="24"/>
          <w:lang w:val="en-US"/>
        </w:rPr>
      </w:pPr>
      <w:r>
        <w:rPr>
          <w:sz w:val="24"/>
          <w:szCs w:val="24"/>
        </w:rPr>
        <w:t>Dijkstra J, Forbe</w:t>
      </w:r>
      <w:r>
        <w:rPr>
          <w:sz w:val="24"/>
          <w:szCs w:val="24"/>
          <w:lang w:val="en-US"/>
        </w:rPr>
        <w:t xml:space="preserve"> JM,</w:t>
      </w:r>
      <w:r>
        <w:rPr>
          <w:sz w:val="24"/>
          <w:szCs w:val="24"/>
        </w:rPr>
        <w:t xml:space="preserve"> France</w:t>
      </w:r>
      <w:r>
        <w:rPr>
          <w:sz w:val="24"/>
          <w:szCs w:val="24"/>
          <w:lang w:val="en-US"/>
        </w:rPr>
        <w:t xml:space="preserve"> J</w:t>
      </w:r>
      <w:r>
        <w:rPr>
          <w:sz w:val="24"/>
          <w:szCs w:val="24"/>
        </w:rPr>
        <w:t xml:space="preserve">. 2005. Quantitative Aspects of Ruminant Digestion and Metabolism. </w:t>
      </w:r>
      <w:r>
        <w:rPr>
          <w:kern w:val="36"/>
          <w:sz w:val="24"/>
          <w:szCs w:val="24"/>
          <w:lang w:eastAsia="en-ID"/>
        </w:rPr>
        <w:t>2</w:t>
      </w:r>
      <w:r>
        <w:rPr>
          <w:kern w:val="36"/>
          <w:sz w:val="24"/>
          <w:szCs w:val="24"/>
          <w:vertAlign w:val="superscript"/>
          <w:lang w:eastAsia="en-ID"/>
        </w:rPr>
        <w:t>nd</w:t>
      </w:r>
      <w:r>
        <w:rPr>
          <w:sz w:val="24"/>
          <w:szCs w:val="24"/>
        </w:rPr>
        <w:t xml:space="preserve"> Edition. CAB International, Wallingford, UK. </w:t>
      </w:r>
      <w:hyperlink r:id="rId27" w:history="1">
        <w:r>
          <w:rPr>
            <w:rStyle w:val="Hyperlink"/>
            <w:sz w:val="24"/>
            <w:szCs w:val="24"/>
          </w:rPr>
          <w:t>https://doi.org/10.1079/9780851998145.0000</w:t>
        </w:r>
      </w:hyperlink>
      <w:r>
        <w:rPr>
          <w:sz w:val="24"/>
          <w:szCs w:val="24"/>
          <w:lang w:val="en-US"/>
        </w:rPr>
        <w:t xml:space="preserve"> </w:t>
      </w:r>
    </w:p>
    <w:p w14:paraId="00BC01AE" w14:textId="77777777" w:rsidR="00963A30" w:rsidRDefault="00985EA0">
      <w:pPr>
        <w:widowControl/>
        <w:adjustRightInd w:val="0"/>
        <w:spacing w:line="360" w:lineRule="auto"/>
        <w:ind w:left="630" w:hanging="630"/>
        <w:jc w:val="both"/>
        <w:rPr>
          <w:rFonts w:eastAsia="Calibri"/>
          <w:color w:val="000000"/>
          <w:sz w:val="24"/>
          <w:szCs w:val="24"/>
          <w:lang w:val="fi-FI"/>
          <w14:ligatures w14:val="standardContextual"/>
        </w:rPr>
      </w:pPr>
      <w:r>
        <w:rPr>
          <w:rFonts w:eastAsia="Calibri"/>
          <w:color w:val="000000"/>
          <w:sz w:val="24"/>
          <w:szCs w:val="24"/>
          <w14:ligatures w14:val="standardContextual"/>
        </w:rPr>
        <w:t xml:space="preserve">Europen Food Safety Authority (EFSA). 2012. Scientific Opinion on the safety and efficacy of Urea for ruminants1EFSA Panel on Additives and Products or Substances used in Animal Feed. </w:t>
      </w:r>
      <w:r>
        <w:rPr>
          <w:rFonts w:eastAsia="Calibri"/>
          <w:color w:val="000000"/>
          <w:sz w:val="24"/>
          <w:szCs w:val="24"/>
          <w:lang w:val="fi-FI"/>
          <w14:ligatures w14:val="standardContextual"/>
        </w:rPr>
        <w:t xml:space="preserve">EFSA Journal. 10: 2624. </w:t>
      </w:r>
    </w:p>
    <w:p w14:paraId="47991321" w14:textId="77777777" w:rsidR="00963A30" w:rsidRDefault="00985EA0">
      <w:pPr>
        <w:widowControl/>
        <w:autoSpaceDE/>
        <w:autoSpaceDN/>
        <w:spacing w:line="360" w:lineRule="auto"/>
        <w:ind w:left="630" w:hanging="630"/>
        <w:jc w:val="both"/>
        <w:rPr>
          <w:sz w:val="24"/>
          <w:szCs w:val="24"/>
          <w:lang w:eastAsia="en-ID"/>
        </w:rPr>
      </w:pPr>
      <w:r>
        <w:rPr>
          <w:color w:val="212121"/>
          <w:sz w:val="24"/>
          <w:szCs w:val="24"/>
          <w:shd w:val="clear" w:color="auto" w:fill="FFFFFF"/>
        </w:rPr>
        <w:t>Fan C, Li H, Li S, Zhong G, Jia W, Zhuo Z, Xue Y, Koontz AF, Cheng J</w:t>
      </w:r>
      <w:r>
        <w:rPr>
          <w:sz w:val="24"/>
          <w:szCs w:val="24"/>
          <w:lang w:eastAsia="en-ID"/>
        </w:rPr>
        <w:t xml:space="preserve">. 2024. Effect of Different Slow-Release Urea on the Production Performance, Rumen Fermentation, and Blood Parameter of Angus Heifer. Animals. 14: 2296. </w:t>
      </w:r>
      <w:hyperlink r:id="rId28" w:tgtFrame="_blank" w:history="1">
        <w:r>
          <w:rPr>
            <w:color w:val="0000FF"/>
            <w:sz w:val="24"/>
            <w:szCs w:val="24"/>
            <w:u w:val="single"/>
            <w:lang w:eastAsia="en-ID"/>
          </w:rPr>
          <w:t>https://doi.org/10.3390/ani14162296</w:t>
        </w:r>
      </w:hyperlink>
      <w:r>
        <w:rPr>
          <w:sz w:val="24"/>
          <w:szCs w:val="24"/>
          <w:lang w:eastAsia="en-ID"/>
        </w:rPr>
        <w:t xml:space="preserve"> </w:t>
      </w:r>
    </w:p>
    <w:p w14:paraId="567FA531" w14:textId="77777777" w:rsidR="00963A30" w:rsidRDefault="00985EA0">
      <w:pPr>
        <w:widowControl/>
        <w:autoSpaceDE/>
        <w:autoSpaceDN/>
        <w:spacing w:line="360" w:lineRule="auto"/>
        <w:ind w:left="630" w:hanging="630"/>
        <w:jc w:val="both"/>
        <w:rPr>
          <w:sz w:val="24"/>
          <w:szCs w:val="24"/>
          <w:lang w:eastAsia="en-ID"/>
        </w:rPr>
      </w:pPr>
      <w:r>
        <w:rPr>
          <w:rFonts w:eastAsia="Calibri"/>
          <w:color w:val="000000"/>
          <w:sz w:val="24"/>
          <w:szCs w:val="24"/>
        </w:rPr>
        <w:t>General Laboratory Procedures. 1966. Department of  Dairy Science. University of Wisconsin, Madison.</w:t>
      </w:r>
    </w:p>
    <w:p w14:paraId="79F123B0" w14:textId="77777777" w:rsidR="00963A30" w:rsidRDefault="00985EA0">
      <w:pPr>
        <w:widowControl/>
        <w:autoSpaceDE/>
        <w:autoSpaceDN/>
        <w:spacing w:line="360" w:lineRule="auto"/>
        <w:ind w:left="630" w:hanging="630"/>
        <w:jc w:val="both"/>
        <w:rPr>
          <w:sz w:val="24"/>
          <w:szCs w:val="24"/>
          <w:lang w:eastAsia="en-ID"/>
        </w:rPr>
      </w:pPr>
      <w:r>
        <w:rPr>
          <w:sz w:val="24"/>
          <w:szCs w:val="24"/>
          <w:lang w:eastAsia="en-ID"/>
        </w:rPr>
        <w:t xml:space="preserve">Getahun D, Alemneh T, Akeberegn D, Getabalew M, Zewdie D. 2019 Urea metabolism and recycling in ruminants Biomedical Journal of Scientific &amp; Technical Research. 20: 14790-14796 </w:t>
      </w:r>
      <w:hyperlink r:id="rId29" w:history="1">
        <w:r>
          <w:rPr>
            <w:rStyle w:val="Hyperlink"/>
            <w:sz w:val="24"/>
            <w:szCs w:val="24"/>
            <w:lang w:eastAsia="en-ID"/>
          </w:rPr>
          <w:t>https://doi.org/10.26717/BJSTR.2019.20.003401</w:t>
        </w:r>
      </w:hyperlink>
      <w:r>
        <w:rPr>
          <w:sz w:val="24"/>
          <w:szCs w:val="24"/>
          <w:lang w:eastAsia="en-ID"/>
        </w:rPr>
        <w:t xml:space="preserve"> </w:t>
      </w:r>
    </w:p>
    <w:p w14:paraId="32F2FD71" w14:textId="77777777" w:rsidR="00963A30" w:rsidRDefault="00985EA0">
      <w:pPr>
        <w:widowControl/>
        <w:autoSpaceDE/>
        <w:autoSpaceDN/>
        <w:spacing w:line="360" w:lineRule="auto"/>
        <w:ind w:left="630" w:hanging="630"/>
        <w:jc w:val="both"/>
        <w:rPr>
          <w:sz w:val="24"/>
          <w:szCs w:val="24"/>
          <w:lang w:val="en-US" w:eastAsia="en-ID"/>
        </w:rPr>
      </w:pPr>
      <w:r>
        <w:rPr>
          <w:sz w:val="24"/>
          <w:szCs w:val="24"/>
          <w:lang w:val="en-US" w:eastAsia="en-ID"/>
        </w:rPr>
        <w:t xml:space="preserve">Gharechahi J, Vahidi M.F, Sharifi G, Shohreh Ariaeenejad S, Ding X-Z, Jian-Lin Han J.L and Ghasem Hosseini Salekdeh G.H. 2023. Lignocellulose degradation by rumen bacterial communities: New insights from metagenome analyses. Environmentas Research 229. 115925. </w:t>
      </w:r>
      <w:hyperlink r:id="rId30" w:history="1">
        <w:r>
          <w:rPr>
            <w:rStyle w:val="Hyperlink"/>
            <w:sz w:val="24"/>
            <w:szCs w:val="24"/>
            <w:lang w:val="en-US" w:eastAsia="en-ID"/>
          </w:rPr>
          <w:t>https://doi.org/10.1016/j.envres.2023.115925</w:t>
        </w:r>
      </w:hyperlink>
    </w:p>
    <w:p w14:paraId="2EF19E1C" w14:textId="77777777" w:rsidR="00963A30" w:rsidRDefault="00985EA0">
      <w:pPr>
        <w:widowControl/>
        <w:autoSpaceDE/>
        <w:autoSpaceDN/>
        <w:spacing w:line="360" w:lineRule="auto"/>
        <w:ind w:left="630" w:hanging="630"/>
        <w:jc w:val="both"/>
        <w:rPr>
          <w:rFonts w:eastAsia="DengXian"/>
          <w:kern w:val="2"/>
          <w:sz w:val="24"/>
          <w:szCs w:val="24"/>
          <w:lang w:val="en-US" w:eastAsia="zh-CN"/>
        </w:rPr>
      </w:pPr>
      <w:r>
        <w:rPr>
          <w:rFonts w:eastAsia="DengXian"/>
          <w:kern w:val="2"/>
          <w:sz w:val="24"/>
          <w:szCs w:val="24"/>
          <w:lang w:val="zh-CN" w:eastAsia="zh-CN"/>
        </w:rPr>
        <w:t>Goering</w:t>
      </w:r>
      <w:r>
        <w:rPr>
          <w:rFonts w:eastAsia="DengXian"/>
          <w:kern w:val="2"/>
          <w:sz w:val="24"/>
          <w:szCs w:val="24"/>
          <w:lang w:val="en-US" w:eastAsia="zh-CN"/>
        </w:rPr>
        <w:t xml:space="preserve"> </w:t>
      </w:r>
      <w:r>
        <w:rPr>
          <w:rFonts w:eastAsia="DengXian"/>
          <w:kern w:val="2"/>
          <w:sz w:val="24"/>
          <w:szCs w:val="24"/>
          <w:lang w:val="zh-CN" w:eastAsia="zh-CN"/>
        </w:rPr>
        <w:t>HK</w:t>
      </w:r>
      <w:r>
        <w:rPr>
          <w:rFonts w:eastAsia="DengXian"/>
          <w:kern w:val="2"/>
          <w:sz w:val="24"/>
          <w:szCs w:val="24"/>
          <w:lang w:val="en-US" w:eastAsia="zh-CN"/>
        </w:rPr>
        <w:t xml:space="preserve"> and </w:t>
      </w:r>
      <w:r>
        <w:rPr>
          <w:rFonts w:eastAsia="DengXian"/>
          <w:kern w:val="2"/>
          <w:sz w:val="24"/>
          <w:szCs w:val="24"/>
          <w:lang w:val="zh-CN" w:eastAsia="zh-CN"/>
        </w:rPr>
        <w:t>Van Soest PJ</w:t>
      </w:r>
      <w:r>
        <w:rPr>
          <w:rFonts w:eastAsia="DengXian"/>
          <w:kern w:val="2"/>
          <w:sz w:val="24"/>
          <w:szCs w:val="24"/>
          <w:lang w:val="en-US" w:eastAsia="zh-CN"/>
        </w:rPr>
        <w:t>,</w:t>
      </w:r>
      <w:r>
        <w:rPr>
          <w:rFonts w:eastAsia="DengXian"/>
          <w:kern w:val="2"/>
          <w:sz w:val="24"/>
          <w:szCs w:val="24"/>
          <w:lang w:val="zh-CN" w:eastAsia="zh-CN"/>
        </w:rPr>
        <w:t xml:space="preserve"> 1970</w:t>
      </w:r>
      <w:r>
        <w:rPr>
          <w:rFonts w:eastAsia="DengXian"/>
          <w:kern w:val="2"/>
          <w:sz w:val="24"/>
          <w:szCs w:val="24"/>
          <w:lang w:val="en-US" w:eastAsia="zh-CN"/>
        </w:rPr>
        <w:t>.</w:t>
      </w:r>
      <w:r>
        <w:rPr>
          <w:rFonts w:eastAsia="DengXian"/>
          <w:kern w:val="2"/>
          <w:sz w:val="24"/>
          <w:szCs w:val="24"/>
          <w:lang w:val="zh-CN" w:eastAsia="zh-CN"/>
        </w:rPr>
        <w:t xml:space="preserve"> Forage Fiber Analyses. (Apparatus, Reagents,</w:t>
      </w:r>
      <w:r>
        <w:rPr>
          <w:rFonts w:eastAsia="DengXian"/>
          <w:kern w:val="2"/>
          <w:sz w:val="24"/>
          <w:szCs w:val="24"/>
          <w:lang w:val="en-US" w:eastAsia="zh-CN"/>
        </w:rPr>
        <w:t xml:space="preserve"> </w:t>
      </w:r>
      <w:r>
        <w:rPr>
          <w:rFonts w:eastAsia="DengXian"/>
          <w:kern w:val="2"/>
          <w:sz w:val="24"/>
          <w:szCs w:val="24"/>
          <w:lang w:val="zh-CN" w:eastAsia="zh-CN"/>
        </w:rPr>
        <w:t>Procedures, and Some Applications), Agric, Handbook No. 379. United States</w:t>
      </w:r>
      <w:r>
        <w:rPr>
          <w:rFonts w:eastAsia="DengXian"/>
          <w:kern w:val="2"/>
          <w:sz w:val="24"/>
          <w:szCs w:val="24"/>
          <w:lang w:val="en-US" w:eastAsia="zh-CN"/>
        </w:rPr>
        <w:t xml:space="preserve"> </w:t>
      </w:r>
      <w:r>
        <w:rPr>
          <w:rFonts w:eastAsia="DengXian"/>
          <w:kern w:val="2"/>
          <w:sz w:val="24"/>
          <w:szCs w:val="24"/>
          <w:lang w:val="zh-CN" w:eastAsia="zh-CN"/>
        </w:rPr>
        <w:t>Department of Agriculture, Washington, DC, p1–20</w:t>
      </w:r>
      <w:r>
        <w:rPr>
          <w:rFonts w:eastAsia="DengXian"/>
          <w:kern w:val="2"/>
          <w:sz w:val="24"/>
          <w:szCs w:val="24"/>
          <w:lang w:val="en-US" w:eastAsia="zh-CN"/>
        </w:rPr>
        <w:t>.</w:t>
      </w:r>
    </w:p>
    <w:p w14:paraId="064B6BA5" w14:textId="77777777" w:rsidR="00963A30" w:rsidRDefault="00985EA0">
      <w:pPr>
        <w:pStyle w:val="pdq2pgselectionanchorcontainer"/>
        <w:spacing w:before="0" w:beforeAutospacing="0" w:after="0" w:afterAutospacing="0" w:line="360" w:lineRule="auto"/>
        <w:ind w:left="630" w:hanging="630"/>
        <w:jc w:val="both"/>
      </w:pPr>
      <w:r>
        <w:t xml:space="preserve">Griswold KE, Apgar GA, Bouton J and Firkins JL. 2003. Effects of urea infusion and ruminal degradable protein concentration on microbial growth, digestibility and fermentation in continuous culture. Journal of Animal Science 81: 329–336. </w:t>
      </w:r>
      <w:hyperlink r:id="rId31" w:tgtFrame="_new" w:history="1">
        <w:r>
          <w:rPr>
            <w:rStyle w:val="Hyperlink"/>
            <w:rFonts w:eastAsia="SimSun"/>
          </w:rPr>
          <w:t>https://doi.org/10.2527/2003.811329x</w:t>
        </w:r>
      </w:hyperlink>
    </w:p>
    <w:p w14:paraId="166D59C2" w14:textId="77777777" w:rsidR="00963A30" w:rsidRDefault="00985EA0">
      <w:pPr>
        <w:pStyle w:val="NormalWeb"/>
        <w:spacing w:before="0" w:beforeAutospacing="0" w:after="0" w:afterAutospacing="0" w:line="360" w:lineRule="auto"/>
        <w:ind w:left="630" w:hanging="630"/>
        <w:jc w:val="both"/>
      </w:pPr>
      <w:r>
        <w:t xml:space="preserve">Hailemariam S, Zhao S, He Y and Wang J. 2021. Urea transport and hydrolysis in the rumen: A review. Animal Nutrition 7(4): 989–996. </w:t>
      </w:r>
      <w:hyperlink r:id="rId32" w:tgtFrame="_new" w:history="1">
        <w:r>
          <w:rPr>
            <w:rStyle w:val="Hyperlink"/>
            <w:rFonts w:eastAsia="SimSun"/>
          </w:rPr>
          <w:t>https://doi.org/10.1016/j.aninu.2021.07.002</w:t>
        </w:r>
      </w:hyperlink>
    </w:p>
    <w:p w14:paraId="7C191F85" w14:textId="77777777" w:rsidR="00963A30" w:rsidRDefault="00985EA0">
      <w:pPr>
        <w:pStyle w:val="NormalWeb"/>
        <w:spacing w:before="0" w:beforeAutospacing="0" w:after="0" w:afterAutospacing="0" w:line="360" w:lineRule="auto"/>
        <w:ind w:left="630" w:hanging="630"/>
        <w:jc w:val="both"/>
      </w:pPr>
      <w:r>
        <w:t>Hungate RE. 1966. The Rumen and Its Microbes. Academic Press, New York, USA.</w:t>
      </w:r>
    </w:p>
    <w:p w14:paraId="6ADB2C6C" w14:textId="77777777" w:rsidR="00963A30" w:rsidRDefault="00985EA0">
      <w:pPr>
        <w:pStyle w:val="NormalWeb"/>
        <w:spacing w:before="0" w:beforeAutospacing="0" w:after="0" w:afterAutospacing="0" w:line="360" w:lineRule="auto"/>
        <w:ind w:left="630" w:hanging="630"/>
        <w:jc w:val="both"/>
      </w:pPr>
      <w:r>
        <w:t xml:space="preserve">Huntington GB, Harmon DL, Kristensen NB, Hanson KC and Spears JW. 2006. Effects of a slow-release urea product on nitrogen metabolism and ruminal fermentation in steers fed </w:t>
      </w:r>
      <w:r>
        <w:lastRenderedPageBreak/>
        <w:t xml:space="preserve">a corn silage-based diet. Journal of Animal Science 84(4): 887–896. </w:t>
      </w:r>
      <w:hyperlink r:id="rId33" w:tgtFrame="_new" w:history="1">
        <w:r>
          <w:rPr>
            <w:rStyle w:val="Hyperlink"/>
            <w:rFonts w:eastAsia="SimSun"/>
          </w:rPr>
          <w:t>https://doi.org/10.2527/2006.844887x</w:t>
        </w:r>
      </w:hyperlink>
    </w:p>
    <w:p w14:paraId="754415DB" w14:textId="77777777" w:rsidR="00963A30" w:rsidRDefault="00985EA0">
      <w:pPr>
        <w:pStyle w:val="NormalWeb"/>
        <w:spacing w:before="0" w:beforeAutospacing="0" w:after="0" w:afterAutospacing="0" w:line="360" w:lineRule="auto"/>
        <w:ind w:left="630" w:hanging="630"/>
        <w:jc w:val="both"/>
      </w:pPr>
      <w:r>
        <w:t xml:space="preserve">Kandylis K. 1984. Toxicology of sulfur in ruminants: A review. Journal of Dairy Science 67(10): 2179–2187. </w:t>
      </w:r>
      <w:hyperlink r:id="rId34" w:tgtFrame="_new" w:history="1">
        <w:r>
          <w:rPr>
            <w:rStyle w:val="Hyperlink"/>
            <w:rFonts w:eastAsia="SimSun"/>
          </w:rPr>
          <w:t>https://doi.org/10.3168/jds.S0022-0302(84)81561-2</w:t>
        </w:r>
      </w:hyperlink>
    </w:p>
    <w:p w14:paraId="50075EAE" w14:textId="77777777" w:rsidR="00963A30" w:rsidRDefault="00985EA0">
      <w:pPr>
        <w:pStyle w:val="NormalWeb"/>
        <w:spacing w:before="0" w:beforeAutospacing="0" w:after="0" w:afterAutospacing="0" w:line="360" w:lineRule="auto"/>
        <w:ind w:left="630" w:hanging="630"/>
        <w:jc w:val="both"/>
      </w:pPr>
      <w:r>
        <w:t xml:space="preserve">Leng RA. 1990. Factors affecting utilization of poor quality forages by ruminants particularly under tropical conditions. Nutrition Research Reviews 3: 277–303. </w:t>
      </w:r>
      <w:hyperlink r:id="rId35" w:tgtFrame="_new" w:history="1">
        <w:r>
          <w:rPr>
            <w:rStyle w:val="Hyperlink"/>
            <w:rFonts w:eastAsia="SimSun"/>
          </w:rPr>
          <w:t>https://doi.org/10.1079/NRR19900016</w:t>
        </w:r>
      </w:hyperlink>
    </w:p>
    <w:p w14:paraId="45C8173F" w14:textId="77777777" w:rsidR="00963A30" w:rsidRDefault="00985EA0">
      <w:pPr>
        <w:pStyle w:val="NormalWeb"/>
        <w:spacing w:before="0" w:beforeAutospacing="0" w:after="0" w:afterAutospacing="0" w:line="360" w:lineRule="auto"/>
        <w:ind w:left="630" w:hanging="630"/>
        <w:jc w:val="both"/>
      </w:pPr>
      <w:r>
        <w:t>Lowry OH, Rosebrough NJ, Farr AL and Randall RJ. 1951. Protein measurement with the Folin reagent. Journal of Biological Chemistry 193: 265–275.</w:t>
      </w:r>
    </w:p>
    <w:p w14:paraId="2830A427" w14:textId="77777777" w:rsidR="00963A30" w:rsidRDefault="00985EA0">
      <w:pPr>
        <w:pStyle w:val="NormalWeb"/>
        <w:spacing w:before="0" w:beforeAutospacing="0" w:after="0" w:afterAutospacing="0" w:line="360" w:lineRule="auto"/>
        <w:ind w:left="630" w:hanging="630"/>
        <w:jc w:val="both"/>
      </w:pPr>
      <w:r>
        <w:t xml:space="preserve">Lu H, Wang H, Li B, Lv Z, Li S, Xia Y and Wang L. 2025. Effects of soybean meal replacement on growth performance, rumen fermentation, rumen microorganisms, and metabolites in Dumont lambs. Animals 15: 3096. </w:t>
      </w:r>
      <w:hyperlink r:id="rId36" w:tgtFrame="_new" w:history="1">
        <w:r>
          <w:rPr>
            <w:rStyle w:val="Hyperlink"/>
            <w:rFonts w:eastAsia="SimSun"/>
          </w:rPr>
          <w:t>https://doi.org/10.3390/ani1521309</w:t>
        </w:r>
      </w:hyperlink>
    </w:p>
    <w:p w14:paraId="6D1644F5" w14:textId="77777777" w:rsidR="00963A30" w:rsidRDefault="00985EA0">
      <w:pPr>
        <w:pStyle w:val="NormalWeb"/>
        <w:spacing w:before="0" w:beforeAutospacing="0" w:after="0" w:afterAutospacing="0" w:line="360" w:lineRule="auto"/>
        <w:ind w:left="630" w:hanging="630"/>
        <w:jc w:val="both"/>
      </w:pPr>
      <w:r>
        <w:t>McDonald P, Edwards RA, Greenhalgh JFD, Morgan CA, Sinclair LA and Wilkinson RG. 2011. Animal Nutrition. 7th Ed. Pearson Education, Harlow, UK.</w:t>
      </w:r>
    </w:p>
    <w:p w14:paraId="0A604E36" w14:textId="77777777" w:rsidR="00963A30" w:rsidRDefault="00985EA0">
      <w:pPr>
        <w:pStyle w:val="NormalWeb"/>
        <w:spacing w:before="0" w:beforeAutospacing="0" w:after="0" w:afterAutospacing="0" w:line="360" w:lineRule="auto"/>
        <w:ind w:left="630" w:hanging="630"/>
        <w:jc w:val="both"/>
      </w:pPr>
      <w:r>
        <w:t xml:space="preserve">Mehrez AZ and Ørskov ER. 1977. A study of the artificial fibre bag technique for determining the digestibility of feeds in the rumen. Journal of Agricultural Science 88: 645–650. </w:t>
      </w:r>
      <w:hyperlink r:id="rId37" w:tgtFrame="_new" w:history="1">
        <w:r>
          <w:rPr>
            <w:rStyle w:val="Hyperlink"/>
            <w:rFonts w:eastAsia="SimSun"/>
          </w:rPr>
          <w:t>https://doi.org/10.1017/S0021859600037321</w:t>
        </w:r>
      </w:hyperlink>
    </w:p>
    <w:p w14:paraId="2BA533FA" w14:textId="77777777" w:rsidR="00963A30" w:rsidRDefault="00985EA0">
      <w:pPr>
        <w:pStyle w:val="NormalWeb"/>
        <w:spacing w:before="0" w:beforeAutospacing="0" w:after="0" w:afterAutospacing="0" w:line="360" w:lineRule="auto"/>
        <w:ind w:left="630" w:hanging="630"/>
        <w:jc w:val="both"/>
      </w:pPr>
      <w:r>
        <w:t xml:space="preserve">National Academies of Sciences, Engineering, and Medicine (NASEM). 2016. Nutrient Requirements of Beef Cattle. 8th Rev. Ed. National Academies Press, Washington, DC, USA. </w:t>
      </w:r>
      <w:hyperlink r:id="rId38" w:tgtFrame="_new" w:history="1">
        <w:r>
          <w:rPr>
            <w:rStyle w:val="Hyperlink"/>
            <w:rFonts w:eastAsia="SimSun"/>
          </w:rPr>
          <w:t>https://doi.org/10.17226/19014</w:t>
        </w:r>
      </w:hyperlink>
    </w:p>
    <w:p w14:paraId="7BC7C6CC" w14:textId="77777777" w:rsidR="00963A30" w:rsidRDefault="00985EA0">
      <w:pPr>
        <w:pStyle w:val="NormalWeb"/>
        <w:spacing w:before="0" w:beforeAutospacing="0" w:after="0" w:afterAutospacing="0" w:line="360" w:lineRule="auto"/>
        <w:ind w:left="630" w:hanging="630"/>
        <w:jc w:val="both"/>
      </w:pPr>
      <w:r>
        <w:t xml:space="preserve">National Research Council (NRC). 2000. Nutrient Requirements of Beef Cattle. 7th Rev. Ed. National Academies Press, Washington, DC, USA. </w:t>
      </w:r>
      <w:hyperlink r:id="rId39" w:tgtFrame="_new" w:history="1">
        <w:r>
          <w:rPr>
            <w:rStyle w:val="Hyperlink"/>
            <w:rFonts w:eastAsia="SimSun"/>
          </w:rPr>
          <w:t>https://doi.org/10.17226/9791</w:t>
        </w:r>
      </w:hyperlink>
    </w:p>
    <w:p w14:paraId="3A227D2A" w14:textId="77777777" w:rsidR="00963A30" w:rsidRDefault="00985EA0">
      <w:pPr>
        <w:pStyle w:val="NormalWeb"/>
        <w:spacing w:before="0" w:beforeAutospacing="0" w:after="0" w:afterAutospacing="0" w:line="360" w:lineRule="auto"/>
        <w:ind w:left="630" w:hanging="630"/>
        <w:jc w:val="both"/>
      </w:pPr>
      <w:r>
        <w:t xml:space="preserve">Nocek JE and Russell JB. 1988. Protein and carbohydrate asynchrony in ruminants: A review. Journal of Dairy Science 71(8): 2070–2107. </w:t>
      </w:r>
      <w:hyperlink r:id="rId40" w:tgtFrame="_new" w:history="1">
        <w:r>
          <w:rPr>
            <w:rStyle w:val="Hyperlink"/>
            <w:rFonts w:eastAsia="SimSun"/>
          </w:rPr>
          <w:t>https://doi.org/10.3168/jds.S0022-0302(88)79782-9</w:t>
        </w:r>
      </w:hyperlink>
    </w:p>
    <w:p w14:paraId="5828943D" w14:textId="77777777" w:rsidR="00963A30" w:rsidRDefault="00985EA0">
      <w:pPr>
        <w:pStyle w:val="NormalWeb"/>
        <w:spacing w:before="0" w:beforeAutospacing="0" w:after="0" w:afterAutospacing="0" w:line="360" w:lineRule="auto"/>
        <w:ind w:left="630" w:hanging="630"/>
        <w:jc w:val="both"/>
      </w:pPr>
      <w:r>
        <w:t xml:space="preserve">Ørskov ER and McDonald I. 1979. The estimation of protein degradability in the rumen from incubation measurements weighted according to rate of passage. Journal of Agricultural Science 92(2): 499–503. </w:t>
      </w:r>
      <w:hyperlink r:id="rId41" w:tgtFrame="_new" w:history="1">
        <w:r>
          <w:rPr>
            <w:rStyle w:val="Hyperlink"/>
            <w:rFonts w:eastAsia="SimSun"/>
          </w:rPr>
          <w:t>https://doi.org/10.1017/S002185960005437X</w:t>
        </w:r>
      </w:hyperlink>
    </w:p>
    <w:p w14:paraId="61CA9CB9" w14:textId="62C969D5" w:rsidR="00B21352" w:rsidRDefault="00B21352">
      <w:pPr>
        <w:pStyle w:val="NormalWeb"/>
        <w:spacing w:before="0" w:beforeAutospacing="0" w:after="0" w:afterAutospacing="0" w:line="360" w:lineRule="auto"/>
        <w:ind w:left="630" w:hanging="630"/>
        <w:jc w:val="both"/>
      </w:pPr>
      <w:r w:rsidRPr="00B21352">
        <w:t>Pazla R, Jamarun N, Arief, Elihasridas, Yanti G</w:t>
      </w:r>
      <w:r>
        <w:t>,</w:t>
      </w:r>
      <w:r w:rsidRPr="00B21352">
        <w:t xml:space="preserve"> Putri EM</w:t>
      </w:r>
      <w:r>
        <w:t>.</w:t>
      </w:r>
      <w:r w:rsidRPr="00B21352">
        <w:t xml:space="preserve"> 2023. In vitro evaluation of feed quality of Fermented Tithonia diversifolia with Lactobacillus bulgaricus and Persea americana Miller leaves as forages for goat. Tropical Animal Science Journal 46(1): 43–54. </w:t>
      </w:r>
      <w:hyperlink r:id="rId42" w:history="1">
        <w:r w:rsidRPr="007D4B60">
          <w:rPr>
            <w:rStyle w:val="Hyperlink"/>
          </w:rPr>
          <w:t>https://doi.org/10.5398/tasj.2023.46.1.43</w:t>
        </w:r>
      </w:hyperlink>
    </w:p>
    <w:p w14:paraId="0C764A68" w14:textId="0D827B8E" w:rsidR="002B1B9D" w:rsidRDefault="002B1B9D">
      <w:pPr>
        <w:pStyle w:val="NormalWeb"/>
        <w:spacing w:before="0" w:beforeAutospacing="0" w:after="0" w:afterAutospacing="0" w:line="360" w:lineRule="auto"/>
        <w:ind w:left="630" w:hanging="630"/>
        <w:jc w:val="both"/>
      </w:pPr>
      <w:r w:rsidRPr="002B1B9D">
        <w:t>Pazla R, Jamarun N, Agustin F, Arief A, Elihasridas E, Ramaiyulis R, Yanti G, Ardani LR, Sucitra LS, Ikhlas Z</w:t>
      </w:r>
      <w:r>
        <w:t>.</w:t>
      </w:r>
      <w:r w:rsidRPr="002B1B9D">
        <w:t xml:space="preserve"> 2024. Nutrition profile and rumen fermentation of Tithonia </w:t>
      </w:r>
      <w:r w:rsidRPr="002B1B9D">
        <w:lastRenderedPageBreak/>
        <w:t xml:space="preserve">diversifolia fermented with Lactobacillus bulgaricus at different times and doses. Journal of Advanced Veterinary </w:t>
      </w:r>
      <w:r>
        <w:t>a</w:t>
      </w:r>
      <w:r w:rsidRPr="002B1B9D">
        <w:t>nd Animal Research 11(1)</w:t>
      </w:r>
      <w:r>
        <w:t>:</w:t>
      </w:r>
      <w:r w:rsidRPr="002B1B9D">
        <w:t xml:space="preserve"> 146–152. </w:t>
      </w:r>
      <w:hyperlink r:id="rId43" w:history="1">
        <w:r w:rsidRPr="007D4B60">
          <w:rPr>
            <w:rStyle w:val="Hyperlink"/>
          </w:rPr>
          <w:t>https://doi.org/10.5455/javar.2024.k759</w:t>
        </w:r>
      </w:hyperlink>
      <w:r>
        <w:t xml:space="preserve"> </w:t>
      </w:r>
    </w:p>
    <w:p w14:paraId="691CF698" w14:textId="367257C4" w:rsidR="002B1B9D" w:rsidRDefault="002B1B9D">
      <w:pPr>
        <w:pStyle w:val="NormalWeb"/>
        <w:spacing w:before="0" w:beforeAutospacing="0" w:after="0" w:afterAutospacing="0" w:line="360" w:lineRule="auto"/>
        <w:ind w:left="630" w:hanging="630"/>
        <w:jc w:val="both"/>
      </w:pPr>
      <w:r w:rsidRPr="002B1B9D">
        <w:t xml:space="preserve">Pazla R, Antonius, Jamarun N, Elihasridas, Ikhlas Z, Fitri Y, Rohaeni ES, Usman U, Rostiana O, Waryat W, Setyadjit S, Lintang M, Yani A, Joseph GH, Marlina L, Ardinal, 2025. Encapsulated gambir catechin–palm fatty acid distillate as an antibacterial and antioxidant feed additive and its effects on rumen fermentation products. Results in Engineering 27:105914. </w:t>
      </w:r>
      <w:hyperlink r:id="rId44" w:history="1">
        <w:r w:rsidRPr="007D4B60">
          <w:rPr>
            <w:rStyle w:val="Hyperlink"/>
          </w:rPr>
          <w:t>https://doi.org/10.1016/j.rineng.2025.105914</w:t>
        </w:r>
      </w:hyperlink>
      <w:r>
        <w:t xml:space="preserve"> </w:t>
      </w:r>
      <w:r w:rsidRPr="002B1B9D">
        <w:t xml:space="preserve"> </w:t>
      </w:r>
    </w:p>
    <w:p w14:paraId="4FC6D9B0" w14:textId="0452CA99" w:rsidR="00985EA0" w:rsidRDefault="00985EA0">
      <w:pPr>
        <w:pStyle w:val="NormalWeb"/>
        <w:spacing w:before="0" w:beforeAutospacing="0" w:after="0" w:afterAutospacing="0" w:line="360" w:lineRule="auto"/>
        <w:ind w:left="630" w:hanging="630"/>
        <w:jc w:val="both"/>
      </w:pPr>
      <w:r>
        <w:t xml:space="preserve">Putri EM, Negara W, Gopar RA, Parastiwi HA, Purba RD, Negoro PS, Khan FA, Atmoko BA, Zain M, Candra RH, Amanah U, 2025. Comparative analysis of leguminous substitutes versus conventional concentrates on nutrient digestibility and rumen fermentation in livestock. Andalasian Livestock. 2(2): 126-134. </w:t>
      </w:r>
      <w:hyperlink r:id="rId45" w:history="1">
        <w:r w:rsidRPr="007D4B60">
          <w:rPr>
            <w:rStyle w:val="Hyperlink"/>
          </w:rPr>
          <w:t>https://doi.org/10.25077/alive.v2.n2.p126-134.2025</w:t>
        </w:r>
      </w:hyperlink>
      <w:r>
        <w:t xml:space="preserve"> </w:t>
      </w:r>
    </w:p>
    <w:p w14:paraId="27CBDC27" w14:textId="49013E7B" w:rsidR="00963A30" w:rsidRDefault="00985EA0">
      <w:pPr>
        <w:pStyle w:val="NormalWeb"/>
        <w:spacing w:before="0" w:beforeAutospacing="0" w:after="0" w:afterAutospacing="0" w:line="360" w:lineRule="auto"/>
        <w:ind w:left="630" w:hanging="630"/>
        <w:jc w:val="both"/>
      </w:pPr>
      <w:r>
        <w:t>Preston TR and Leng RA. 1987. Matching Ruminant Production Systems with Available Resources in the Tropics and Subtropics. Penambul Books, Armidale, NSW, Australia.</w:t>
      </w:r>
    </w:p>
    <w:p w14:paraId="52C97E89" w14:textId="77777777" w:rsidR="00963A30" w:rsidRDefault="00985EA0">
      <w:pPr>
        <w:pStyle w:val="NormalWeb"/>
        <w:spacing w:before="0" w:beforeAutospacing="0" w:after="0" w:afterAutospacing="0" w:line="360" w:lineRule="auto"/>
        <w:ind w:left="630" w:hanging="630"/>
        <w:jc w:val="both"/>
      </w:pPr>
      <w:r>
        <w:t xml:space="preserve">Promkot C and Wanapat M. 2003. Ruminal degradation of dry matter and crude protein of tropical protein sources in dairy steers. Asian-Australasian Journal of Animal Sciences 16(10): 1420–1424. </w:t>
      </w:r>
      <w:hyperlink r:id="rId46" w:tgtFrame="_new" w:history="1">
        <w:r>
          <w:rPr>
            <w:rStyle w:val="Hyperlink"/>
            <w:rFonts w:eastAsia="SimSun"/>
          </w:rPr>
          <w:t>https://doi.org/10.5713/ajas.2003.1420</w:t>
        </w:r>
      </w:hyperlink>
    </w:p>
    <w:p w14:paraId="17083AB8" w14:textId="674CF970" w:rsidR="00963A30" w:rsidRDefault="00985EA0">
      <w:pPr>
        <w:pStyle w:val="NormalWeb"/>
        <w:spacing w:before="0" w:beforeAutospacing="0" w:after="0" w:afterAutospacing="0" w:line="360" w:lineRule="auto"/>
        <w:ind w:left="630" w:hanging="630"/>
        <w:jc w:val="both"/>
      </w:pPr>
      <w:r>
        <w:t xml:space="preserve">PutriRoman-Garcia Y, Mitchell KE, Denton BL, Lee C, Socha MT, Wenner BA and Firkins JL. 2021. Conditions stimulating neutral detergent fiber degradation by dosing branched-chain volatile fatty acids. II: Relation with solid passage rate and pH on neutral detergent fiber degradation and microbial function in continuous culture. Journal of Dairy Science 104: 9853–9867. </w:t>
      </w:r>
      <w:hyperlink r:id="rId47" w:tgtFrame="_new" w:history="1">
        <w:r>
          <w:rPr>
            <w:rStyle w:val="Hyperlink"/>
            <w:rFonts w:eastAsia="SimSun"/>
          </w:rPr>
          <w:t>https://doi.org/10.3168/jds.2021-20335</w:t>
        </w:r>
      </w:hyperlink>
    </w:p>
    <w:p w14:paraId="31C15C5E" w14:textId="77777777" w:rsidR="00963A30" w:rsidRDefault="00985EA0">
      <w:pPr>
        <w:pStyle w:val="NormalWeb"/>
        <w:spacing w:before="0" w:beforeAutospacing="0" w:after="0" w:afterAutospacing="0" w:line="360" w:lineRule="auto"/>
        <w:ind w:left="630" w:hanging="630"/>
        <w:jc w:val="both"/>
      </w:pPr>
      <w:r>
        <w:t>National Research Council. 1985. Ruminant Nitrogen Usage. National Academy Press, Washington, DC, USA.</w:t>
      </w:r>
    </w:p>
    <w:p w14:paraId="62014C7A" w14:textId="77777777" w:rsidR="00963A30" w:rsidRDefault="00985EA0">
      <w:pPr>
        <w:pStyle w:val="NormalWeb"/>
        <w:spacing w:before="0" w:beforeAutospacing="0" w:after="0" w:afterAutospacing="0" w:line="360" w:lineRule="auto"/>
        <w:ind w:left="630" w:hanging="630"/>
        <w:jc w:val="both"/>
      </w:pPr>
      <w:r>
        <w:t xml:space="preserve">Satter LD and Slyter LL. 1974. Effect of ammonia concentration on rumen microbial protein production in vitro. British Journal of Nutrition 32(2): 199–208. </w:t>
      </w:r>
      <w:hyperlink r:id="rId48" w:tgtFrame="_new" w:history="1">
        <w:r>
          <w:rPr>
            <w:rStyle w:val="Hyperlink"/>
            <w:rFonts w:eastAsia="SimSun"/>
          </w:rPr>
          <w:t>https://doi.org/10.1017/S000711457400023X</w:t>
        </w:r>
      </w:hyperlink>
    </w:p>
    <w:p w14:paraId="66DFC55A" w14:textId="77777777" w:rsidR="00963A30" w:rsidRDefault="00985EA0">
      <w:pPr>
        <w:pStyle w:val="NormalWeb"/>
        <w:spacing w:before="0" w:beforeAutospacing="0" w:after="0" w:afterAutospacing="0" w:line="360" w:lineRule="auto"/>
        <w:ind w:left="630" w:hanging="630"/>
        <w:jc w:val="both"/>
      </w:pPr>
      <w:r>
        <w:t xml:space="preserve">Spears JW. 2003. Trace mineral bioavailability in ruminants. Journal of Nutrition 133(5): 1506S–1509S. </w:t>
      </w:r>
      <w:hyperlink r:id="rId49" w:tgtFrame="_new" w:history="1">
        <w:r>
          <w:rPr>
            <w:rStyle w:val="Hyperlink"/>
            <w:rFonts w:eastAsia="SimSun"/>
          </w:rPr>
          <w:t>https://doi.org/10.1093/jn/133.5.1506S</w:t>
        </w:r>
      </w:hyperlink>
    </w:p>
    <w:p w14:paraId="31A2F027" w14:textId="77777777" w:rsidR="00963A30" w:rsidRDefault="00985EA0">
      <w:pPr>
        <w:pStyle w:val="NormalWeb"/>
        <w:spacing w:before="0" w:beforeAutospacing="0" w:after="0" w:afterAutospacing="0" w:line="360" w:lineRule="auto"/>
        <w:ind w:left="630" w:hanging="630"/>
        <w:jc w:val="both"/>
      </w:pPr>
      <w:r>
        <w:t xml:space="preserve">Stewart CS, Paniagua C, Dinsdale D, Cheng KJ and Garrow S. 1981. Selective isolation and characteristics of Bacteroides succinogenes from the rumen of a cow. Applied and Environmental Microbiology 41(2): 504–510. </w:t>
      </w:r>
      <w:hyperlink r:id="rId50" w:tgtFrame="_new" w:history="1">
        <w:r>
          <w:rPr>
            <w:rStyle w:val="Hyperlink"/>
            <w:rFonts w:eastAsia="SimSun"/>
          </w:rPr>
          <w:t>https://doi.org/10.1128/AEM.41.2.504-510.1981</w:t>
        </w:r>
      </w:hyperlink>
    </w:p>
    <w:p w14:paraId="52E3D591" w14:textId="77777777" w:rsidR="00963A30" w:rsidRDefault="00985EA0">
      <w:pPr>
        <w:pStyle w:val="NormalWeb"/>
        <w:spacing w:before="0" w:beforeAutospacing="0" w:after="0" w:afterAutospacing="0" w:line="360" w:lineRule="auto"/>
        <w:ind w:left="630" w:hanging="630"/>
        <w:jc w:val="both"/>
      </w:pPr>
      <w:r>
        <w:lastRenderedPageBreak/>
        <w:t xml:space="preserve">Sumadong P, So S and Cherdthong A. 2022. The benefits of adding sulfur and urea to a concentrate mixture on the utilization of feed, rumen fermentation, and milk production in dairy cows supplemented with fresh cassava root. Veterinary Medicine International 2022: 9752400. </w:t>
      </w:r>
      <w:hyperlink r:id="rId51" w:tgtFrame="_new" w:history="1">
        <w:r>
          <w:rPr>
            <w:rStyle w:val="Hyperlink"/>
            <w:rFonts w:eastAsia="SimSun"/>
          </w:rPr>
          <w:t>https://doi.org/10.1155/2022/9752400</w:t>
        </w:r>
      </w:hyperlink>
    </w:p>
    <w:p w14:paraId="09850DDF" w14:textId="77777777" w:rsidR="00963A30" w:rsidRDefault="00985EA0">
      <w:pPr>
        <w:pStyle w:val="NormalWeb"/>
        <w:spacing w:before="0" w:beforeAutospacing="0" w:after="0" w:afterAutospacing="0" w:line="360" w:lineRule="auto"/>
        <w:ind w:left="630" w:hanging="630"/>
        <w:jc w:val="both"/>
      </w:pPr>
      <w:r>
        <w:t xml:space="preserve">Supapong C and Cherdthong A. 2020. Effect of sulfur and urea fortification of fresh cassava root in fermented total mixed ration on the improvement of milk quality of tropical lactating cows. Veterinary Sciences 7(3): 98. </w:t>
      </w:r>
      <w:hyperlink r:id="rId52" w:tgtFrame="_new" w:history="1">
        <w:r>
          <w:rPr>
            <w:rStyle w:val="Hyperlink"/>
            <w:rFonts w:eastAsia="SimSun"/>
          </w:rPr>
          <w:t>https://doi.org/10.3390/vetsci7030098</w:t>
        </w:r>
      </w:hyperlink>
    </w:p>
    <w:p w14:paraId="5071D098" w14:textId="77777777" w:rsidR="00963A30" w:rsidRDefault="00985EA0">
      <w:pPr>
        <w:pStyle w:val="NormalWeb"/>
        <w:spacing w:before="0" w:beforeAutospacing="0" w:after="0" w:afterAutospacing="0" w:line="360" w:lineRule="auto"/>
        <w:ind w:left="630" w:hanging="630"/>
        <w:jc w:val="both"/>
      </w:pPr>
      <w:r>
        <w:t xml:space="preserve">Tilley JMA and Terry RA. 1963. A two-stage technique for the in vitro digestion of forage crops. Grass and Forage Science 18(2): 104–111. </w:t>
      </w:r>
      <w:hyperlink r:id="rId53" w:tgtFrame="_new" w:history="1">
        <w:r>
          <w:rPr>
            <w:rStyle w:val="Hyperlink"/>
            <w:rFonts w:eastAsia="SimSun"/>
          </w:rPr>
          <w:t>https://doi.org/10.1111/j.1365-2494.1963.tb00335.x</w:t>
        </w:r>
      </w:hyperlink>
    </w:p>
    <w:p w14:paraId="395C33FB" w14:textId="77777777" w:rsidR="00963A30" w:rsidRDefault="00985EA0">
      <w:pPr>
        <w:pStyle w:val="NormalWeb"/>
        <w:spacing w:before="0" w:beforeAutospacing="0" w:after="0" w:afterAutospacing="0" w:line="360" w:lineRule="auto"/>
        <w:ind w:left="630" w:hanging="630"/>
        <w:jc w:val="both"/>
      </w:pPr>
      <w:r>
        <w:t>Van Soest PJ. 1994. Nutritional Ecology of the Ruminant. 2nd Ed. Cornell University Press, Ithaca, NY, USA.</w:t>
      </w:r>
    </w:p>
    <w:p w14:paraId="2142F914" w14:textId="77777777" w:rsidR="00963A30" w:rsidRDefault="00985EA0">
      <w:pPr>
        <w:pStyle w:val="NormalWeb"/>
        <w:spacing w:before="0" w:beforeAutospacing="0" w:after="0" w:afterAutospacing="0" w:line="360" w:lineRule="auto"/>
        <w:ind w:left="630" w:hanging="630"/>
        <w:jc w:val="both"/>
      </w:pPr>
      <w:r>
        <w:t xml:space="preserve">Wang Z, Yang DS, Li XY, Yu YN, Yong LY, Zhang PH, He JH, Shen WJ, Wan FC, Fen BL, Tan ZL and Tang SX. 2021. Modulation of rumen fermentation and microbial community through increasing dietary cation–anion difference in Chinese Holstein dairy cows under heat stress conditions. Journal of Applied Microbiology 130: 722–735. </w:t>
      </w:r>
      <w:hyperlink r:id="rId54" w:tgtFrame="_new" w:history="1">
        <w:r>
          <w:rPr>
            <w:rStyle w:val="Hyperlink"/>
            <w:rFonts w:eastAsia="SimSun"/>
          </w:rPr>
          <w:t>https://doi.org/10.1111/jam.14812</w:t>
        </w:r>
      </w:hyperlink>
    </w:p>
    <w:p w14:paraId="215A4664" w14:textId="77777777" w:rsidR="00963A30" w:rsidRDefault="00985EA0">
      <w:pPr>
        <w:pStyle w:val="HTMLPreformatted"/>
        <w:spacing w:line="360" w:lineRule="auto"/>
        <w:ind w:firstLine="567"/>
        <w:rPr>
          <w:rFonts w:ascii="Times New Roman" w:hAnsi="Times New Roman"/>
          <w:sz w:val="24"/>
          <w:szCs w:val="24"/>
          <w:lang w:eastAsia="en-ID"/>
        </w:rPr>
      </w:pPr>
      <w:r>
        <w:rPr>
          <w:rFonts w:ascii="Times New Roman" w:hAnsi="Times New Roman"/>
          <w:sz w:val="24"/>
          <w:szCs w:val="24"/>
          <w:lang w:eastAsia="en-ID"/>
        </w:rPr>
        <w:t xml:space="preserve"> </w:t>
      </w:r>
    </w:p>
    <w:p w14:paraId="1F4B20CE" w14:textId="77777777" w:rsidR="00963A30" w:rsidRDefault="00963A30">
      <w:pPr>
        <w:pStyle w:val="HTMLPreformatted"/>
        <w:spacing w:line="360" w:lineRule="auto"/>
        <w:ind w:firstLine="567"/>
        <w:rPr>
          <w:rFonts w:ascii="Times New Roman" w:hAnsi="Times New Roman"/>
          <w:sz w:val="24"/>
          <w:szCs w:val="24"/>
          <w:lang w:eastAsia="en-ID"/>
        </w:rPr>
      </w:pPr>
    </w:p>
    <w:p w14:paraId="20363456" w14:textId="77777777" w:rsidR="00963A30" w:rsidRDefault="00963A30">
      <w:pPr>
        <w:tabs>
          <w:tab w:val="left" w:pos="56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60" w:line="360" w:lineRule="auto"/>
        <w:jc w:val="both"/>
        <w:rPr>
          <w:sz w:val="24"/>
          <w:szCs w:val="24"/>
          <w:lang w:eastAsia="en-ID"/>
        </w:rPr>
      </w:pPr>
    </w:p>
    <w:p w14:paraId="5A82953E" w14:textId="77777777" w:rsidR="00963A30" w:rsidRDefault="00963A30">
      <w:pPr>
        <w:pStyle w:val="HTMLPreformatted"/>
        <w:spacing w:line="360" w:lineRule="auto"/>
        <w:ind w:firstLine="567"/>
        <w:rPr>
          <w:rFonts w:ascii="Times New Roman" w:hAnsi="Times New Roman"/>
          <w:sz w:val="24"/>
          <w:szCs w:val="24"/>
          <w:lang w:eastAsia="en-ID"/>
        </w:rPr>
      </w:pPr>
    </w:p>
    <w:bookmarkEnd w:id="4"/>
    <w:p w14:paraId="5EA448BC" w14:textId="77777777" w:rsidR="00963A30" w:rsidRDefault="00963A3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spacing w:line="276" w:lineRule="auto"/>
        <w:jc w:val="both"/>
        <w:rPr>
          <w:sz w:val="24"/>
          <w:szCs w:val="24"/>
          <w:lang w:eastAsia="en-ID"/>
        </w:rPr>
      </w:pPr>
    </w:p>
    <w:sectPr w:rsidR="00963A30">
      <w:pgSz w:w="11906" w:h="16838"/>
      <w:pgMar w:top="1440" w:right="1440" w:bottom="1440" w:left="1440" w:header="708" w:footer="708" w:gutter="0"/>
      <w:lnNumType w:countBy="1" w:restart="continuous"/>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000247B" w:usb2="00000009" w:usb3="00000000" w:csb0="000001FF" w:csb1="00000000"/>
  </w:font>
  <w:font w:name="Consolas">
    <w:altName w:val="Consolas"/>
    <w:panose1 w:val="020B0609020204030204"/>
    <w:charset w:val="00"/>
    <w:family w:val="modern"/>
    <w:pitch w:val="fixed"/>
    <w:sig w:usb0="E00006FF" w:usb1="0000FCFF" w:usb2="00000001" w:usb3="00000000" w:csb0="0000019F" w:csb1="00000000"/>
  </w:font>
  <w:font w:name="Batang">
    <w:altName w:val="바탕"/>
    <w:panose1 w:val="02030600000101010101"/>
    <w:charset w:val="81"/>
    <w:family w:val="roman"/>
    <w:pitch w:val="variable"/>
    <w:sig w:usb0="B00002AF" w:usb1="69D77CFB" w:usb2="00000030" w:usb3="00000000" w:csb0="0008009F" w:csb1="00000000"/>
  </w:font>
  <w:font w:name="Arial">
    <w:panose1 w:val="020B0604020202020204"/>
    <w:charset w:val="00"/>
    <w:family w:val="swiss"/>
    <w:pitch w:val="variable"/>
    <w:sig w:usb0="E0002EFF" w:usb1="C000785B" w:usb2="00000009" w:usb3="00000000" w:csb0="000001FF" w:csb1="00000000"/>
  </w:font>
  <w:font w:name="Aptos">
    <w:altName w:val="Aptos"/>
    <w:charset w:val="00"/>
    <w:family w:val="swiss"/>
    <w:pitch w:val="variable"/>
    <w:sig w:usb0="20000287" w:usb1="00000003" w:usb2="00000000" w:usb3="00000000" w:csb0="0000019F" w:csb1="00000000"/>
  </w:font>
  <w:font w:name="Cambria">
    <w:panose1 w:val="02040503050406030204"/>
    <w:charset w:val="00"/>
    <w:family w:val="roman"/>
    <w:pitch w:val="variable"/>
    <w:sig w:usb0="E00006FF" w:usb1="420024FF" w:usb2="02000000" w:usb3="00000000" w:csb0="0000019F" w:csb1="00000000"/>
  </w:font>
  <w:font w:name="DengXian">
    <w:altName w:val="等线"/>
    <w:panose1 w:val="02010600030101010101"/>
    <w:charset w:val="86"/>
    <w:family w:val="auto"/>
    <w:pitch w:val="variable"/>
    <w:sig w:usb0="A00002BF" w:usb1="38CF7CFA" w:usb2="00000016" w:usb3="00000000" w:csb0="0004000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multilevel"/>
    <w:tmpl w:val="7F149252"/>
    <w:lvl w:ilvl="0">
      <w:start w:val="1"/>
      <w:numFmt w:val="bullet"/>
      <w:lvlText w:val=""/>
      <w:lvlJc w:val="left"/>
      <w:pPr>
        <w:tabs>
          <w:tab w:val="left" w:pos="720"/>
        </w:tabs>
        <w:ind w:left="720" w:hanging="360"/>
      </w:pPr>
      <w:rPr>
        <w:rFonts w:ascii="Symbol" w:hAnsi="Symbol" w:hint="default"/>
        <w:sz w:val="20"/>
      </w:rPr>
    </w:lvl>
    <w:lvl w:ilvl="1" w:tentative="1">
      <w:start w:val="1"/>
      <w:numFmt w:val="bullet"/>
      <w:lvlText w:val="o"/>
      <w:lvlJc w:val="left"/>
      <w:pPr>
        <w:tabs>
          <w:tab w:val="left" w:pos="1440"/>
        </w:tabs>
        <w:ind w:left="1440" w:hanging="360"/>
      </w:pPr>
      <w:rPr>
        <w:rFonts w:ascii="Courier New" w:hAnsi="Courier New" w:hint="default"/>
        <w:sz w:val="20"/>
      </w:rPr>
    </w:lvl>
    <w:lvl w:ilvl="2" w:tentative="1">
      <w:start w:val="1"/>
      <w:numFmt w:val="bullet"/>
      <w:lvlText w:val=""/>
      <w:lvlJc w:val="left"/>
      <w:pPr>
        <w:tabs>
          <w:tab w:val="left" w:pos="2160"/>
        </w:tabs>
        <w:ind w:left="2160" w:hanging="360"/>
      </w:pPr>
      <w:rPr>
        <w:rFonts w:ascii="Wingdings" w:hAnsi="Wingdings" w:hint="default"/>
        <w:sz w:val="20"/>
      </w:rPr>
    </w:lvl>
    <w:lvl w:ilvl="3" w:tentative="1">
      <w:start w:val="1"/>
      <w:numFmt w:val="bullet"/>
      <w:lvlText w:val=""/>
      <w:lvlJc w:val="left"/>
      <w:pPr>
        <w:tabs>
          <w:tab w:val="left" w:pos="2880"/>
        </w:tabs>
        <w:ind w:left="2880" w:hanging="360"/>
      </w:pPr>
      <w:rPr>
        <w:rFonts w:ascii="Wingdings" w:hAnsi="Wingdings" w:hint="default"/>
        <w:sz w:val="20"/>
      </w:rPr>
    </w:lvl>
    <w:lvl w:ilvl="4" w:tentative="1">
      <w:start w:val="1"/>
      <w:numFmt w:val="bullet"/>
      <w:lvlText w:val=""/>
      <w:lvlJc w:val="left"/>
      <w:pPr>
        <w:tabs>
          <w:tab w:val="left" w:pos="3600"/>
        </w:tabs>
        <w:ind w:left="3600" w:hanging="360"/>
      </w:pPr>
      <w:rPr>
        <w:rFonts w:ascii="Wingdings" w:hAnsi="Wingdings" w:hint="default"/>
        <w:sz w:val="20"/>
      </w:rPr>
    </w:lvl>
    <w:lvl w:ilvl="5" w:tentative="1">
      <w:start w:val="1"/>
      <w:numFmt w:val="bullet"/>
      <w:lvlText w:val=""/>
      <w:lvlJc w:val="left"/>
      <w:pPr>
        <w:tabs>
          <w:tab w:val="left" w:pos="4320"/>
        </w:tabs>
        <w:ind w:left="4320" w:hanging="360"/>
      </w:pPr>
      <w:rPr>
        <w:rFonts w:ascii="Wingdings" w:hAnsi="Wingdings" w:hint="default"/>
        <w:sz w:val="20"/>
      </w:rPr>
    </w:lvl>
    <w:lvl w:ilvl="6" w:tentative="1">
      <w:start w:val="1"/>
      <w:numFmt w:val="bullet"/>
      <w:lvlText w:val=""/>
      <w:lvlJc w:val="left"/>
      <w:pPr>
        <w:tabs>
          <w:tab w:val="left" w:pos="5040"/>
        </w:tabs>
        <w:ind w:left="5040" w:hanging="360"/>
      </w:pPr>
      <w:rPr>
        <w:rFonts w:ascii="Wingdings" w:hAnsi="Wingdings" w:hint="default"/>
        <w:sz w:val="20"/>
      </w:rPr>
    </w:lvl>
    <w:lvl w:ilvl="7" w:tentative="1">
      <w:start w:val="1"/>
      <w:numFmt w:val="bullet"/>
      <w:lvlText w:val=""/>
      <w:lvlJc w:val="left"/>
      <w:pPr>
        <w:tabs>
          <w:tab w:val="left" w:pos="5760"/>
        </w:tabs>
        <w:ind w:left="5760" w:hanging="360"/>
      </w:pPr>
      <w:rPr>
        <w:rFonts w:ascii="Wingdings" w:hAnsi="Wingdings" w:hint="default"/>
        <w:sz w:val="20"/>
      </w:rPr>
    </w:lvl>
    <w:lvl w:ilvl="8" w:tentative="1">
      <w:start w:val="1"/>
      <w:numFmt w:val="bullet"/>
      <w:lvlText w:val=""/>
      <w:lvlJc w:val="left"/>
      <w:pPr>
        <w:tabs>
          <w:tab w:val="left" w:pos="6480"/>
        </w:tabs>
        <w:ind w:left="6480" w:hanging="360"/>
      </w:pPr>
      <w:rPr>
        <w:rFonts w:ascii="Wingdings" w:hAnsi="Wingdings" w:hint="default"/>
        <w:sz w:val="20"/>
      </w:rPr>
    </w:lvl>
  </w:abstractNum>
  <w:abstractNum w:abstractNumId="1" w15:restartNumberingAfterBreak="0">
    <w:nsid w:val="00000002"/>
    <w:multiLevelType w:val="multilevel"/>
    <w:tmpl w:val="A606B1AC"/>
    <w:lvl w:ilvl="0">
      <w:start w:val="1"/>
      <w:numFmt w:val="bullet"/>
      <w:lvlText w:val=""/>
      <w:lvlJc w:val="left"/>
      <w:pPr>
        <w:tabs>
          <w:tab w:val="left" w:pos="720"/>
        </w:tabs>
        <w:ind w:left="720" w:hanging="360"/>
      </w:pPr>
      <w:rPr>
        <w:rFonts w:ascii="Symbol" w:hAnsi="Symbol" w:hint="default"/>
        <w:sz w:val="20"/>
      </w:rPr>
    </w:lvl>
    <w:lvl w:ilvl="1" w:tentative="1">
      <w:start w:val="1"/>
      <w:numFmt w:val="bullet"/>
      <w:lvlText w:val="o"/>
      <w:lvlJc w:val="left"/>
      <w:pPr>
        <w:tabs>
          <w:tab w:val="left" w:pos="1440"/>
        </w:tabs>
        <w:ind w:left="1440" w:hanging="360"/>
      </w:pPr>
      <w:rPr>
        <w:rFonts w:ascii="Courier New" w:hAnsi="Courier New" w:hint="default"/>
        <w:sz w:val="20"/>
      </w:rPr>
    </w:lvl>
    <w:lvl w:ilvl="2" w:tentative="1">
      <w:start w:val="1"/>
      <w:numFmt w:val="bullet"/>
      <w:lvlText w:val=""/>
      <w:lvlJc w:val="left"/>
      <w:pPr>
        <w:tabs>
          <w:tab w:val="left" w:pos="2160"/>
        </w:tabs>
        <w:ind w:left="2160" w:hanging="360"/>
      </w:pPr>
      <w:rPr>
        <w:rFonts w:ascii="Wingdings" w:hAnsi="Wingdings" w:hint="default"/>
        <w:sz w:val="20"/>
      </w:rPr>
    </w:lvl>
    <w:lvl w:ilvl="3" w:tentative="1">
      <w:start w:val="1"/>
      <w:numFmt w:val="bullet"/>
      <w:lvlText w:val=""/>
      <w:lvlJc w:val="left"/>
      <w:pPr>
        <w:tabs>
          <w:tab w:val="left" w:pos="2880"/>
        </w:tabs>
        <w:ind w:left="2880" w:hanging="360"/>
      </w:pPr>
      <w:rPr>
        <w:rFonts w:ascii="Wingdings" w:hAnsi="Wingdings" w:hint="default"/>
        <w:sz w:val="20"/>
      </w:rPr>
    </w:lvl>
    <w:lvl w:ilvl="4" w:tentative="1">
      <w:start w:val="1"/>
      <w:numFmt w:val="bullet"/>
      <w:lvlText w:val=""/>
      <w:lvlJc w:val="left"/>
      <w:pPr>
        <w:tabs>
          <w:tab w:val="left" w:pos="3600"/>
        </w:tabs>
        <w:ind w:left="3600" w:hanging="360"/>
      </w:pPr>
      <w:rPr>
        <w:rFonts w:ascii="Wingdings" w:hAnsi="Wingdings" w:hint="default"/>
        <w:sz w:val="20"/>
      </w:rPr>
    </w:lvl>
    <w:lvl w:ilvl="5" w:tentative="1">
      <w:start w:val="1"/>
      <w:numFmt w:val="bullet"/>
      <w:lvlText w:val=""/>
      <w:lvlJc w:val="left"/>
      <w:pPr>
        <w:tabs>
          <w:tab w:val="left" w:pos="4320"/>
        </w:tabs>
        <w:ind w:left="4320" w:hanging="360"/>
      </w:pPr>
      <w:rPr>
        <w:rFonts w:ascii="Wingdings" w:hAnsi="Wingdings" w:hint="default"/>
        <w:sz w:val="20"/>
      </w:rPr>
    </w:lvl>
    <w:lvl w:ilvl="6" w:tentative="1">
      <w:start w:val="1"/>
      <w:numFmt w:val="bullet"/>
      <w:lvlText w:val=""/>
      <w:lvlJc w:val="left"/>
      <w:pPr>
        <w:tabs>
          <w:tab w:val="left" w:pos="5040"/>
        </w:tabs>
        <w:ind w:left="5040" w:hanging="360"/>
      </w:pPr>
      <w:rPr>
        <w:rFonts w:ascii="Wingdings" w:hAnsi="Wingdings" w:hint="default"/>
        <w:sz w:val="20"/>
      </w:rPr>
    </w:lvl>
    <w:lvl w:ilvl="7" w:tentative="1">
      <w:start w:val="1"/>
      <w:numFmt w:val="bullet"/>
      <w:lvlText w:val=""/>
      <w:lvlJc w:val="left"/>
      <w:pPr>
        <w:tabs>
          <w:tab w:val="left" w:pos="5760"/>
        </w:tabs>
        <w:ind w:left="5760" w:hanging="360"/>
      </w:pPr>
      <w:rPr>
        <w:rFonts w:ascii="Wingdings" w:hAnsi="Wingdings" w:hint="default"/>
        <w:sz w:val="20"/>
      </w:rPr>
    </w:lvl>
    <w:lvl w:ilvl="8" w:tentative="1">
      <w:start w:val="1"/>
      <w:numFmt w:val="bullet"/>
      <w:lvlText w:val=""/>
      <w:lvlJc w:val="left"/>
      <w:pPr>
        <w:tabs>
          <w:tab w:val="left" w:pos="6480"/>
        </w:tabs>
        <w:ind w:left="6480" w:hanging="360"/>
      </w:pPr>
      <w:rPr>
        <w:rFonts w:ascii="Wingdings" w:hAnsi="Wingdings" w:hint="default"/>
        <w:sz w:val="20"/>
      </w:rPr>
    </w:lvl>
  </w:abstractNum>
  <w:abstractNum w:abstractNumId="2" w15:restartNumberingAfterBreak="0">
    <w:nsid w:val="00000003"/>
    <w:multiLevelType w:val="hybridMultilevel"/>
    <w:tmpl w:val="26E0A77E"/>
    <w:lvl w:ilvl="0" w:tplc="0409000F">
      <w:start w:val="3"/>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0000004"/>
    <w:multiLevelType w:val="multilevel"/>
    <w:tmpl w:val="8ECE20BC"/>
    <w:lvl w:ilvl="0">
      <w:start w:val="1"/>
      <w:numFmt w:val="bullet"/>
      <w:lvlText w:val=""/>
      <w:lvlJc w:val="left"/>
      <w:pPr>
        <w:tabs>
          <w:tab w:val="left" w:pos="720"/>
        </w:tabs>
        <w:ind w:left="720" w:hanging="360"/>
      </w:pPr>
      <w:rPr>
        <w:rFonts w:ascii="Symbol" w:hAnsi="Symbol" w:hint="default"/>
        <w:sz w:val="20"/>
      </w:rPr>
    </w:lvl>
    <w:lvl w:ilvl="1" w:tentative="1">
      <w:start w:val="1"/>
      <w:numFmt w:val="bullet"/>
      <w:lvlText w:val="o"/>
      <w:lvlJc w:val="left"/>
      <w:pPr>
        <w:tabs>
          <w:tab w:val="left" w:pos="1440"/>
        </w:tabs>
        <w:ind w:left="1440" w:hanging="360"/>
      </w:pPr>
      <w:rPr>
        <w:rFonts w:ascii="Courier New" w:hAnsi="Courier New" w:hint="default"/>
        <w:sz w:val="20"/>
      </w:rPr>
    </w:lvl>
    <w:lvl w:ilvl="2" w:tentative="1">
      <w:start w:val="1"/>
      <w:numFmt w:val="bullet"/>
      <w:lvlText w:val=""/>
      <w:lvlJc w:val="left"/>
      <w:pPr>
        <w:tabs>
          <w:tab w:val="left" w:pos="2160"/>
        </w:tabs>
        <w:ind w:left="2160" w:hanging="360"/>
      </w:pPr>
      <w:rPr>
        <w:rFonts w:ascii="Wingdings" w:hAnsi="Wingdings" w:hint="default"/>
        <w:sz w:val="20"/>
      </w:rPr>
    </w:lvl>
    <w:lvl w:ilvl="3" w:tentative="1">
      <w:start w:val="1"/>
      <w:numFmt w:val="bullet"/>
      <w:lvlText w:val=""/>
      <w:lvlJc w:val="left"/>
      <w:pPr>
        <w:tabs>
          <w:tab w:val="left" w:pos="2880"/>
        </w:tabs>
        <w:ind w:left="2880" w:hanging="360"/>
      </w:pPr>
      <w:rPr>
        <w:rFonts w:ascii="Wingdings" w:hAnsi="Wingdings" w:hint="default"/>
        <w:sz w:val="20"/>
      </w:rPr>
    </w:lvl>
    <w:lvl w:ilvl="4" w:tentative="1">
      <w:start w:val="1"/>
      <w:numFmt w:val="bullet"/>
      <w:lvlText w:val=""/>
      <w:lvlJc w:val="left"/>
      <w:pPr>
        <w:tabs>
          <w:tab w:val="left" w:pos="3600"/>
        </w:tabs>
        <w:ind w:left="3600" w:hanging="360"/>
      </w:pPr>
      <w:rPr>
        <w:rFonts w:ascii="Wingdings" w:hAnsi="Wingdings" w:hint="default"/>
        <w:sz w:val="20"/>
      </w:rPr>
    </w:lvl>
    <w:lvl w:ilvl="5" w:tentative="1">
      <w:start w:val="1"/>
      <w:numFmt w:val="bullet"/>
      <w:lvlText w:val=""/>
      <w:lvlJc w:val="left"/>
      <w:pPr>
        <w:tabs>
          <w:tab w:val="left" w:pos="4320"/>
        </w:tabs>
        <w:ind w:left="4320" w:hanging="360"/>
      </w:pPr>
      <w:rPr>
        <w:rFonts w:ascii="Wingdings" w:hAnsi="Wingdings" w:hint="default"/>
        <w:sz w:val="20"/>
      </w:rPr>
    </w:lvl>
    <w:lvl w:ilvl="6" w:tentative="1">
      <w:start w:val="1"/>
      <w:numFmt w:val="bullet"/>
      <w:lvlText w:val=""/>
      <w:lvlJc w:val="left"/>
      <w:pPr>
        <w:tabs>
          <w:tab w:val="left" w:pos="5040"/>
        </w:tabs>
        <w:ind w:left="5040" w:hanging="360"/>
      </w:pPr>
      <w:rPr>
        <w:rFonts w:ascii="Wingdings" w:hAnsi="Wingdings" w:hint="default"/>
        <w:sz w:val="20"/>
      </w:rPr>
    </w:lvl>
    <w:lvl w:ilvl="7" w:tentative="1">
      <w:start w:val="1"/>
      <w:numFmt w:val="bullet"/>
      <w:lvlText w:val=""/>
      <w:lvlJc w:val="left"/>
      <w:pPr>
        <w:tabs>
          <w:tab w:val="left" w:pos="5760"/>
        </w:tabs>
        <w:ind w:left="5760" w:hanging="360"/>
      </w:pPr>
      <w:rPr>
        <w:rFonts w:ascii="Wingdings" w:hAnsi="Wingdings" w:hint="default"/>
        <w:sz w:val="20"/>
      </w:rPr>
    </w:lvl>
    <w:lvl w:ilvl="8" w:tentative="1">
      <w:start w:val="1"/>
      <w:numFmt w:val="bullet"/>
      <w:lvlText w:val=""/>
      <w:lvlJc w:val="left"/>
      <w:pPr>
        <w:tabs>
          <w:tab w:val="left" w:pos="6480"/>
        </w:tabs>
        <w:ind w:left="6480" w:hanging="360"/>
      </w:pPr>
      <w:rPr>
        <w:rFonts w:ascii="Wingdings" w:hAnsi="Wingdings" w:hint="default"/>
        <w:sz w:val="20"/>
      </w:rPr>
    </w:lvl>
  </w:abstractNum>
  <w:abstractNum w:abstractNumId="4" w15:restartNumberingAfterBreak="0">
    <w:nsid w:val="00000005"/>
    <w:multiLevelType w:val="multilevel"/>
    <w:tmpl w:val="F546127C"/>
    <w:lvl w:ilvl="0">
      <w:start w:val="1"/>
      <w:numFmt w:val="bullet"/>
      <w:lvlText w:val=""/>
      <w:lvlJc w:val="left"/>
      <w:pPr>
        <w:tabs>
          <w:tab w:val="left" w:pos="720"/>
        </w:tabs>
        <w:ind w:left="720" w:hanging="360"/>
      </w:pPr>
      <w:rPr>
        <w:rFonts w:ascii="Symbol" w:hAnsi="Symbol" w:hint="default"/>
        <w:sz w:val="20"/>
      </w:rPr>
    </w:lvl>
    <w:lvl w:ilvl="1" w:tentative="1">
      <w:start w:val="1"/>
      <w:numFmt w:val="bullet"/>
      <w:lvlText w:val="o"/>
      <w:lvlJc w:val="left"/>
      <w:pPr>
        <w:tabs>
          <w:tab w:val="left" w:pos="1440"/>
        </w:tabs>
        <w:ind w:left="1440" w:hanging="360"/>
      </w:pPr>
      <w:rPr>
        <w:rFonts w:ascii="Courier New" w:hAnsi="Courier New" w:hint="default"/>
        <w:sz w:val="20"/>
      </w:rPr>
    </w:lvl>
    <w:lvl w:ilvl="2" w:tentative="1">
      <w:start w:val="1"/>
      <w:numFmt w:val="bullet"/>
      <w:lvlText w:val=""/>
      <w:lvlJc w:val="left"/>
      <w:pPr>
        <w:tabs>
          <w:tab w:val="left" w:pos="2160"/>
        </w:tabs>
        <w:ind w:left="2160" w:hanging="360"/>
      </w:pPr>
      <w:rPr>
        <w:rFonts w:ascii="Wingdings" w:hAnsi="Wingdings" w:hint="default"/>
        <w:sz w:val="20"/>
      </w:rPr>
    </w:lvl>
    <w:lvl w:ilvl="3" w:tentative="1">
      <w:start w:val="1"/>
      <w:numFmt w:val="bullet"/>
      <w:lvlText w:val=""/>
      <w:lvlJc w:val="left"/>
      <w:pPr>
        <w:tabs>
          <w:tab w:val="left" w:pos="2880"/>
        </w:tabs>
        <w:ind w:left="2880" w:hanging="360"/>
      </w:pPr>
      <w:rPr>
        <w:rFonts w:ascii="Wingdings" w:hAnsi="Wingdings" w:hint="default"/>
        <w:sz w:val="20"/>
      </w:rPr>
    </w:lvl>
    <w:lvl w:ilvl="4" w:tentative="1">
      <w:start w:val="1"/>
      <w:numFmt w:val="bullet"/>
      <w:lvlText w:val=""/>
      <w:lvlJc w:val="left"/>
      <w:pPr>
        <w:tabs>
          <w:tab w:val="left" w:pos="3600"/>
        </w:tabs>
        <w:ind w:left="3600" w:hanging="360"/>
      </w:pPr>
      <w:rPr>
        <w:rFonts w:ascii="Wingdings" w:hAnsi="Wingdings" w:hint="default"/>
        <w:sz w:val="20"/>
      </w:rPr>
    </w:lvl>
    <w:lvl w:ilvl="5" w:tentative="1">
      <w:start w:val="1"/>
      <w:numFmt w:val="bullet"/>
      <w:lvlText w:val=""/>
      <w:lvlJc w:val="left"/>
      <w:pPr>
        <w:tabs>
          <w:tab w:val="left" w:pos="4320"/>
        </w:tabs>
        <w:ind w:left="4320" w:hanging="360"/>
      </w:pPr>
      <w:rPr>
        <w:rFonts w:ascii="Wingdings" w:hAnsi="Wingdings" w:hint="default"/>
        <w:sz w:val="20"/>
      </w:rPr>
    </w:lvl>
    <w:lvl w:ilvl="6" w:tentative="1">
      <w:start w:val="1"/>
      <w:numFmt w:val="bullet"/>
      <w:lvlText w:val=""/>
      <w:lvlJc w:val="left"/>
      <w:pPr>
        <w:tabs>
          <w:tab w:val="left" w:pos="5040"/>
        </w:tabs>
        <w:ind w:left="5040" w:hanging="360"/>
      </w:pPr>
      <w:rPr>
        <w:rFonts w:ascii="Wingdings" w:hAnsi="Wingdings" w:hint="default"/>
        <w:sz w:val="20"/>
      </w:rPr>
    </w:lvl>
    <w:lvl w:ilvl="7" w:tentative="1">
      <w:start w:val="1"/>
      <w:numFmt w:val="bullet"/>
      <w:lvlText w:val=""/>
      <w:lvlJc w:val="left"/>
      <w:pPr>
        <w:tabs>
          <w:tab w:val="left" w:pos="5760"/>
        </w:tabs>
        <w:ind w:left="5760" w:hanging="360"/>
      </w:pPr>
      <w:rPr>
        <w:rFonts w:ascii="Wingdings" w:hAnsi="Wingdings" w:hint="default"/>
        <w:sz w:val="20"/>
      </w:rPr>
    </w:lvl>
    <w:lvl w:ilvl="8" w:tentative="1">
      <w:start w:val="1"/>
      <w:numFmt w:val="bullet"/>
      <w:lvlText w:val=""/>
      <w:lvlJc w:val="left"/>
      <w:pPr>
        <w:tabs>
          <w:tab w:val="left" w:pos="6480"/>
        </w:tabs>
        <w:ind w:left="6480" w:hanging="360"/>
      </w:pPr>
      <w:rPr>
        <w:rFonts w:ascii="Wingdings" w:hAnsi="Wingdings" w:hint="default"/>
        <w:sz w:val="20"/>
      </w:rPr>
    </w:lvl>
  </w:abstractNum>
  <w:abstractNum w:abstractNumId="5" w15:restartNumberingAfterBreak="0">
    <w:nsid w:val="00000006"/>
    <w:multiLevelType w:val="multilevel"/>
    <w:tmpl w:val="5DD896E2"/>
    <w:lvl w:ilvl="0">
      <w:start w:val="1"/>
      <w:numFmt w:val="bullet"/>
      <w:lvlText w:val=""/>
      <w:lvlJc w:val="left"/>
      <w:pPr>
        <w:tabs>
          <w:tab w:val="left" w:pos="720"/>
        </w:tabs>
        <w:ind w:left="720" w:hanging="360"/>
      </w:pPr>
      <w:rPr>
        <w:rFonts w:ascii="Symbol" w:hAnsi="Symbol" w:hint="default"/>
        <w:sz w:val="20"/>
      </w:rPr>
    </w:lvl>
    <w:lvl w:ilvl="1" w:tentative="1">
      <w:start w:val="1"/>
      <w:numFmt w:val="bullet"/>
      <w:lvlText w:val="o"/>
      <w:lvlJc w:val="left"/>
      <w:pPr>
        <w:tabs>
          <w:tab w:val="left" w:pos="1440"/>
        </w:tabs>
        <w:ind w:left="1440" w:hanging="360"/>
      </w:pPr>
      <w:rPr>
        <w:rFonts w:ascii="Courier New" w:hAnsi="Courier New" w:hint="default"/>
        <w:sz w:val="20"/>
      </w:rPr>
    </w:lvl>
    <w:lvl w:ilvl="2" w:tentative="1">
      <w:start w:val="1"/>
      <w:numFmt w:val="bullet"/>
      <w:lvlText w:val=""/>
      <w:lvlJc w:val="left"/>
      <w:pPr>
        <w:tabs>
          <w:tab w:val="left" w:pos="2160"/>
        </w:tabs>
        <w:ind w:left="2160" w:hanging="360"/>
      </w:pPr>
      <w:rPr>
        <w:rFonts w:ascii="Wingdings" w:hAnsi="Wingdings" w:hint="default"/>
        <w:sz w:val="20"/>
      </w:rPr>
    </w:lvl>
    <w:lvl w:ilvl="3" w:tentative="1">
      <w:start w:val="1"/>
      <w:numFmt w:val="bullet"/>
      <w:lvlText w:val=""/>
      <w:lvlJc w:val="left"/>
      <w:pPr>
        <w:tabs>
          <w:tab w:val="left" w:pos="2880"/>
        </w:tabs>
        <w:ind w:left="2880" w:hanging="360"/>
      </w:pPr>
      <w:rPr>
        <w:rFonts w:ascii="Wingdings" w:hAnsi="Wingdings" w:hint="default"/>
        <w:sz w:val="20"/>
      </w:rPr>
    </w:lvl>
    <w:lvl w:ilvl="4" w:tentative="1">
      <w:start w:val="1"/>
      <w:numFmt w:val="bullet"/>
      <w:lvlText w:val=""/>
      <w:lvlJc w:val="left"/>
      <w:pPr>
        <w:tabs>
          <w:tab w:val="left" w:pos="3600"/>
        </w:tabs>
        <w:ind w:left="3600" w:hanging="360"/>
      </w:pPr>
      <w:rPr>
        <w:rFonts w:ascii="Wingdings" w:hAnsi="Wingdings" w:hint="default"/>
        <w:sz w:val="20"/>
      </w:rPr>
    </w:lvl>
    <w:lvl w:ilvl="5" w:tentative="1">
      <w:start w:val="1"/>
      <w:numFmt w:val="bullet"/>
      <w:lvlText w:val=""/>
      <w:lvlJc w:val="left"/>
      <w:pPr>
        <w:tabs>
          <w:tab w:val="left" w:pos="4320"/>
        </w:tabs>
        <w:ind w:left="4320" w:hanging="360"/>
      </w:pPr>
      <w:rPr>
        <w:rFonts w:ascii="Wingdings" w:hAnsi="Wingdings" w:hint="default"/>
        <w:sz w:val="20"/>
      </w:rPr>
    </w:lvl>
    <w:lvl w:ilvl="6" w:tentative="1">
      <w:start w:val="1"/>
      <w:numFmt w:val="bullet"/>
      <w:lvlText w:val=""/>
      <w:lvlJc w:val="left"/>
      <w:pPr>
        <w:tabs>
          <w:tab w:val="left" w:pos="5040"/>
        </w:tabs>
        <w:ind w:left="5040" w:hanging="360"/>
      </w:pPr>
      <w:rPr>
        <w:rFonts w:ascii="Wingdings" w:hAnsi="Wingdings" w:hint="default"/>
        <w:sz w:val="20"/>
      </w:rPr>
    </w:lvl>
    <w:lvl w:ilvl="7" w:tentative="1">
      <w:start w:val="1"/>
      <w:numFmt w:val="bullet"/>
      <w:lvlText w:val=""/>
      <w:lvlJc w:val="left"/>
      <w:pPr>
        <w:tabs>
          <w:tab w:val="left" w:pos="5760"/>
        </w:tabs>
        <w:ind w:left="5760" w:hanging="360"/>
      </w:pPr>
      <w:rPr>
        <w:rFonts w:ascii="Wingdings" w:hAnsi="Wingdings" w:hint="default"/>
        <w:sz w:val="20"/>
      </w:rPr>
    </w:lvl>
    <w:lvl w:ilvl="8" w:tentative="1">
      <w:start w:val="1"/>
      <w:numFmt w:val="bullet"/>
      <w:lvlText w:val=""/>
      <w:lvlJc w:val="left"/>
      <w:pPr>
        <w:tabs>
          <w:tab w:val="left" w:pos="6480"/>
        </w:tabs>
        <w:ind w:left="6480" w:hanging="360"/>
      </w:pPr>
      <w:rPr>
        <w:rFonts w:ascii="Wingdings" w:hAnsi="Wingdings" w:hint="default"/>
        <w:sz w:val="20"/>
      </w:rPr>
    </w:lvl>
  </w:abstractNum>
  <w:abstractNum w:abstractNumId="6" w15:restartNumberingAfterBreak="0">
    <w:nsid w:val="00000007"/>
    <w:multiLevelType w:val="hybridMultilevel"/>
    <w:tmpl w:val="A2CE311C"/>
    <w:lvl w:ilvl="0" w:tplc="0409000F">
      <w:start w:val="1"/>
      <w:numFmt w:val="decimal"/>
      <w:lvlText w:val="%1."/>
      <w:lvlJc w:val="left"/>
      <w:pPr>
        <w:ind w:left="288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00000008"/>
    <w:multiLevelType w:val="multilevel"/>
    <w:tmpl w:val="AEB86CA6"/>
    <w:lvl w:ilvl="0">
      <w:start w:val="1"/>
      <w:numFmt w:val="bullet"/>
      <w:lvlText w:val=""/>
      <w:lvlJc w:val="left"/>
      <w:pPr>
        <w:tabs>
          <w:tab w:val="left" w:pos="720"/>
        </w:tabs>
        <w:ind w:left="720" w:hanging="360"/>
      </w:pPr>
      <w:rPr>
        <w:rFonts w:ascii="Symbol" w:hAnsi="Symbol" w:hint="default"/>
        <w:sz w:val="20"/>
      </w:rPr>
    </w:lvl>
    <w:lvl w:ilvl="1" w:tentative="1">
      <w:start w:val="1"/>
      <w:numFmt w:val="bullet"/>
      <w:lvlText w:val="o"/>
      <w:lvlJc w:val="left"/>
      <w:pPr>
        <w:tabs>
          <w:tab w:val="left" w:pos="1440"/>
        </w:tabs>
        <w:ind w:left="1440" w:hanging="360"/>
      </w:pPr>
      <w:rPr>
        <w:rFonts w:ascii="Courier New" w:hAnsi="Courier New" w:hint="default"/>
        <w:sz w:val="20"/>
      </w:rPr>
    </w:lvl>
    <w:lvl w:ilvl="2" w:tentative="1">
      <w:start w:val="1"/>
      <w:numFmt w:val="bullet"/>
      <w:lvlText w:val=""/>
      <w:lvlJc w:val="left"/>
      <w:pPr>
        <w:tabs>
          <w:tab w:val="left" w:pos="2160"/>
        </w:tabs>
        <w:ind w:left="2160" w:hanging="360"/>
      </w:pPr>
      <w:rPr>
        <w:rFonts w:ascii="Wingdings" w:hAnsi="Wingdings" w:hint="default"/>
        <w:sz w:val="20"/>
      </w:rPr>
    </w:lvl>
    <w:lvl w:ilvl="3" w:tentative="1">
      <w:start w:val="1"/>
      <w:numFmt w:val="bullet"/>
      <w:lvlText w:val=""/>
      <w:lvlJc w:val="left"/>
      <w:pPr>
        <w:tabs>
          <w:tab w:val="left" w:pos="2880"/>
        </w:tabs>
        <w:ind w:left="2880" w:hanging="360"/>
      </w:pPr>
      <w:rPr>
        <w:rFonts w:ascii="Wingdings" w:hAnsi="Wingdings" w:hint="default"/>
        <w:sz w:val="20"/>
      </w:rPr>
    </w:lvl>
    <w:lvl w:ilvl="4" w:tentative="1">
      <w:start w:val="1"/>
      <w:numFmt w:val="bullet"/>
      <w:lvlText w:val=""/>
      <w:lvlJc w:val="left"/>
      <w:pPr>
        <w:tabs>
          <w:tab w:val="left" w:pos="3600"/>
        </w:tabs>
        <w:ind w:left="3600" w:hanging="360"/>
      </w:pPr>
      <w:rPr>
        <w:rFonts w:ascii="Wingdings" w:hAnsi="Wingdings" w:hint="default"/>
        <w:sz w:val="20"/>
      </w:rPr>
    </w:lvl>
    <w:lvl w:ilvl="5" w:tentative="1">
      <w:start w:val="1"/>
      <w:numFmt w:val="bullet"/>
      <w:lvlText w:val=""/>
      <w:lvlJc w:val="left"/>
      <w:pPr>
        <w:tabs>
          <w:tab w:val="left" w:pos="4320"/>
        </w:tabs>
        <w:ind w:left="4320" w:hanging="360"/>
      </w:pPr>
      <w:rPr>
        <w:rFonts w:ascii="Wingdings" w:hAnsi="Wingdings" w:hint="default"/>
        <w:sz w:val="20"/>
      </w:rPr>
    </w:lvl>
    <w:lvl w:ilvl="6" w:tentative="1">
      <w:start w:val="1"/>
      <w:numFmt w:val="bullet"/>
      <w:lvlText w:val=""/>
      <w:lvlJc w:val="left"/>
      <w:pPr>
        <w:tabs>
          <w:tab w:val="left" w:pos="5040"/>
        </w:tabs>
        <w:ind w:left="5040" w:hanging="360"/>
      </w:pPr>
      <w:rPr>
        <w:rFonts w:ascii="Wingdings" w:hAnsi="Wingdings" w:hint="default"/>
        <w:sz w:val="20"/>
      </w:rPr>
    </w:lvl>
    <w:lvl w:ilvl="7" w:tentative="1">
      <w:start w:val="1"/>
      <w:numFmt w:val="bullet"/>
      <w:lvlText w:val=""/>
      <w:lvlJc w:val="left"/>
      <w:pPr>
        <w:tabs>
          <w:tab w:val="left" w:pos="5760"/>
        </w:tabs>
        <w:ind w:left="5760" w:hanging="360"/>
      </w:pPr>
      <w:rPr>
        <w:rFonts w:ascii="Wingdings" w:hAnsi="Wingdings" w:hint="default"/>
        <w:sz w:val="20"/>
      </w:rPr>
    </w:lvl>
    <w:lvl w:ilvl="8" w:tentative="1">
      <w:start w:val="1"/>
      <w:numFmt w:val="bullet"/>
      <w:lvlText w:val=""/>
      <w:lvlJc w:val="left"/>
      <w:pPr>
        <w:tabs>
          <w:tab w:val="left" w:pos="6480"/>
        </w:tabs>
        <w:ind w:left="6480" w:hanging="360"/>
      </w:pPr>
      <w:rPr>
        <w:rFonts w:ascii="Wingdings" w:hAnsi="Wingdings" w:hint="default"/>
        <w:sz w:val="20"/>
      </w:rPr>
    </w:lvl>
  </w:abstractNum>
  <w:abstractNum w:abstractNumId="8" w15:restartNumberingAfterBreak="0">
    <w:nsid w:val="00000009"/>
    <w:multiLevelType w:val="multilevel"/>
    <w:tmpl w:val="4E4E7F78"/>
    <w:lvl w:ilvl="0">
      <w:start w:val="1"/>
      <w:numFmt w:val="bullet"/>
      <w:lvlText w:val=""/>
      <w:lvlJc w:val="left"/>
      <w:pPr>
        <w:tabs>
          <w:tab w:val="left" w:pos="720"/>
        </w:tabs>
        <w:ind w:left="720" w:hanging="360"/>
      </w:pPr>
      <w:rPr>
        <w:rFonts w:ascii="Symbol" w:hAnsi="Symbol" w:hint="default"/>
        <w:sz w:val="20"/>
      </w:rPr>
    </w:lvl>
    <w:lvl w:ilvl="1" w:tentative="1">
      <w:start w:val="1"/>
      <w:numFmt w:val="bullet"/>
      <w:lvlText w:val="o"/>
      <w:lvlJc w:val="left"/>
      <w:pPr>
        <w:tabs>
          <w:tab w:val="left" w:pos="1440"/>
        </w:tabs>
        <w:ind w:left="1440" w:hanging="360"/>
      </w:pPr>
      <w:rPr>
        <w:rFonts w:ascii="Courier New" w:hAnsi="Courier New" w:hint="default"/>
        <w:sz w:val="20"/>
      </w:rPr>
    </w:lvl>
    <w:lvl w:ilvl="2" w:tentative="1">
      <w:start w:val="1"/>
      <w:numFmt w:val="bullet"/>
      <w:lvlText w:val=""/>
      <w:lvlJc w:val="left"/>
      <w:pPr>
        <w:tabs>
          <w:tab w:val="left" w:pos="2160"/>
        </w:tabs>
        <w:ind w:left="2160" w:hanging="360"/>
      </w:pPr>
      <w:rPr>
        <w:rFonts w:ascii="Wingdings" w:hAnsi="Wingdings" w:hint="default"/>
        <w:sz w:val="20"/>
      </w:rPr>
    </w:lvl>
    <w:lvl w:ilvl="3" w:tentative="1">
      <w:start w:val="1"/>
      <w:numFmt w:val="bullet"/>
      <w:lvlText w:val=""/>
      <w:lvlJc w:val="left"/>
      <w:pPr>
        <w:tabs>
          <w:tab w:val="left" w:pos="2880"/>
        </w:tabs>
        <w:ind w:left="2880" w:hanging="360"/>
      </w:pPr>
      <w:rPr>
        <w:rFonts w:ascii="Wingdings" w:hAnsi="Wingdings" w:hint="default"/>
        <w:sz w:val="20"/>
      </w:rPr>
    </w:lvl>
    <w:lvl w:ilvl="4" w:tentative="1">
      <w:start w:val="1"/>
      <w:numFmt w:val="bullet"/>
      <w:lvlText w:val=""/>
      <w:lvlJc w:val="left"/>
      <w:pPr>
        <w:tabs>
          <w:tab w:val="left" w:pos="3600"/>
        </w:tabs>
        <w:ind w:left="3600" w:hanging="360"/>
      </w:pPr>
      <w:rPr>
        <w:rFonts w:ascii="Wingdings" w:hAnsi="Wingdings" w:hint="default"/>
        <w:sz w:val="20"/>
      </w:rPr>
    </w:lvl>
    <w:lvl w:ilvl="5" w:tentative="1">
      <w:start w:val="1"/>
      <w:numFmt w:val="bullet"/>
      <w:lvlText w:val=""/>
      <w:lvlJc w:val="left"/>
      <w:pPr>
        <w:tabs>
          <w:tab w:val="left" w:pos="4320"/>
        </w:tabs>
        <w:ind w:left="4320" w:hanging="360"/>
      </w:pPr>
      <w:rPr>
        <w:rFonts w:ascii="Wingdings" w:hAnsi="Wingdings" w:hint="default"/>
        <w:sz w:val="20"/>
      </w:rPr>
    </w:lvl>
    <w:lvl w:ilvl="6" w:tentative="1">
      <w:start w:val="1"/>
      <w:numFmt w:val="bullet"/>
      <w:lvlText w:val=""/>
      <w:lvlJc w:val="left"/>
      <w:pPr>
        <w:tabs>
          <w:tab w:val="left" w:pos="5040"/>
        </w:tabs>
        <w:ind w:left="5040" w:hanging="360"/>
      </w:pPr>
      <w:rPr>
        <w:rFonts w:ascii="Wingdings" w:hAnsi="Wingdings" w:hint="default"/>
        <w:sz w:val="20"/>
      </w:rPr>
    </w:lvl>
    <w:lvl w:ilvl="7" w:tentative="1">
      <w:start w:val="1"/>
      <w:numFmt w:val="bullet"/>
      <w:lvlText w:val=""/>
      <w:lvlJc w:val="left"/>
      <w:pPr>
        <w:tabs>
          <w:tab w:val="left" w:pos="5760"/>
        </w:tabs>
        <w:ind w:left="5760" w:hanging="360"/>
      </w:pPr>
      <w:rPr>
        <w:rFonts w:ascii="Wingdings" w:hAnsi="Wingdings" w:hint="default"/>
        <w:sz w:val="20"/>
      </w:rPr>
    </w:lvl>
    <w:lvl w:ilvl="8" w:tentative="1">
      <w:start w:val="1"/>
      <w:numFmt w:val="bullet"/>
      <w:lvlText w:val=""/>
      <w:lvlJc w:val="left"/>
      <w:pPr>
        <w:tabs>
          <w:tab w:val="left" w:pos="6480"/>
        </w:tabs>
        <w:ind w:left="6480" w:hanging="360"/>
      </w:pPr>
      <w:rPr>
        <w:rFonts w:ascii="Wingdings" w:hAnsi="Wingdings" w:hint="default"/>
        <w:sz w:val="20"/>
      </w:rPr>
    </w:lvl>
  </w:abstractNum>
  <w:abstractNum w:abstractNumId="9" w15:restartNumberingAfterBreak="0">
    <w:nsid w:val="0000000A"/>
    <w:multiLevelType w:val="multilevel"/>
    <w:tmpl w:val="91222A2C"/>
    <w:lvl w:ilvl="0">
      <w:start w:val="1"/>
      <w:numFmt w:val="bullet"/>
      <w:lvlText w:val=""/>
      <w:lvlJc w:val="left"/>
      <w:pPr>
        <w:tabs>
          <w:tab w:val="left" w:pos="720"/>
        </w:tabs>
        <w:ind w:left="720" w:hanging="360"/>
      </w:pPr>
      <w:rPr>
        <w:rFonts w:ascii="Symbol" w:hAnsi="Symbol" w:hint="default"/>
        <w:sz w:val="20"/>
      </w:rPr>
    </w:lvl>
    <w:lvl w:ilvl="1" w:tentative="1">
      <w:start w:val="1"/>
      <w:numFmt w:val="bullet"/>
      <w:lvlText w:val="o"/>
      <w:lvlJc w:val="left"/>
      <w:pPr>
        <w:tabs>
          <w:tab w:val="left" w:pos="1440"/>
        </w:tabs>
        <w:ind w:left="1440" w:hanging="360"/>
      </w:pPr>
      <w:rPr>
        <w:rFonts w:ascii="Courier New" w:hAnsi="Courier New" w:hint="default"/>
        <w:sz w:val="20"/>
      </w:rPr>
    </w:lvl>
    <w:lvl w:ilvl="2" w:tentative="1">
      <w:start w:val="1"/>
      <w:numFmt w:val="bullet"/>
      <w:lvlText w:val=""/>
      <w:lvlJc w:val="left"/>
      <w:pPr>
        <w:tabs>
          <w:tab w:val="left" w:pos="2160"/>
        </w:tabs>
        <w:ind w:left="2160" w:hanging="360"/>
      </w:pPr>
      <w:rPr>
        <w:rFonts w:ascii="Wingdings" w:hAnsi="Wingdings" w:hint="default"/>
        <w:sz w:val="20"/>
      </w:rPr>
    </w:lvl>
    <w:lvl w:ilvl="3" w:tentative="1">
      <w:start w:val="1"/>
      <w:numFmt w:val="bullet"/>
      <w:lvlText w:val=""/>
      <w:lvlJc w:val="left"/>
      <w:pPr>
        <w:tabs>
          <w:tab w:val="left" w:pos="2880"/>
        </w:tabs>
        <w:ind w:left="2880" w:hanging="360"/>
      </w:pPr>
      <w:rPr>
        <w:rFonts w:ascii="Wingdings" w:hAnsi="Wingdings" w:hint="default"/>
        <w:sz w:val="20"/>
      </w:rPr>
    </w:lvl>
    <w:lvl w:ilvl="4" w:tentative="1">
      <w:start w:val="1"/>
      <w:numFmt w:val="bullet"/>
      <w:lvlText w:val=""/>
      <w:lvlJc w:val="left"/>
      <w:pPr>
        <w:tabs>
          <w:tab w:val="left" w:pos="3600"/>
        </w:tabs>
        <w:ind w:left="3600" w:hanging="360"/>
      </w:pPr>
      <w:rPr>
        <w:rFonts w:ascii="Wingdings" w:hAnsi="Wingdings" w:hint="default"/>
        <w:sz w:val="20"/>
      </w:rPr>
    </w:lvl>
    <w:lvl w:ilvl="5" w:tentative="1">
      <w:start w:val="1"/>
      <w:numFmt w:val="bullet"/>
      <w:lvlText w:val=""/>
      <w:lvlJc w:val="left"/>
      <w:pPr>
        <w:tabs>
          <w:tab w:val="left" w:pos="4320"/>
        </w:tabs>
        <w:ind w:left="4320" w:hanging="360"/>
      </w:pPr>
      <w:rPr>
        <w:rFonts w:ascii="Wingdings" w:hAnsi="Wingdings" w:hint="default"/>
        <w:sz w:val="20"/>
      </w:rPr>
    </w:lvl>
    <w:lvl w:ilvl="6" w:tentative="1">
      <w:start w:val="1"/>
      <w:numFmt w:val="bullet"/>
      <w:lvlText w:val=""/>
      <w:lvlJc w:val="left"/>
      <w:pPr>
        <w:tabs>
          <w:tab w:val="left" w:pos="5040"/>
        </w:tabs>
        <w:ind w:left="5040" w:hanging="360"/>
      </w:pPr>
      <w:rPr>
        <w:rFonts w:ascii="Wingdings" w:hAnsi="Wingdings" w:hint="default"/>
        <w:sz w:val="20"/>
      </w:rPr>
    </w:lvl>
    <w:lvl w:ilvl="7" w:tentative="1">
      <w:start w:val="1"/>
      <w:numFmt w:val="bullet"/>
      <w:lvlText w:val=""/>
      <w:lvlJc w:val="left"/>
      <w:pPr>
        <w:tabs>
          <w:tab w:val="left" w:pos="5760"/>
        </w:tabs>
        <w:ind w:left="5760" w:hanging="360"/>
      </w:pPr>
      <w:rPr>
        <w:rFonts w:ascii="Wingdings" w:hAnsi="Wingdings" w:hint="default"/>
        <w:sz w:val="20"/>
      </w:rPr>
    </w:lvl>
    <w:lvl w:ilvl="8" w:tentative="1">
      <w:start w:val="1"/>
      <w:numFmt w:val="bullet"/>
      <w:lvlText w:val=""/>
      <w:lvlJc w:val="left"/>
      <w:pPr>
        <w:tabs>
          <w:tab w:val="left" w:pos="6480"/>
        </w:tabs>
        <w:ind w:left="6480" w:hanging="360"/>
      </w:pPr>
      <w:rPr>
        <w:rFonts w:ascii="Wingdings" w:hAnsi="Wingdings" w:hint="default"/>
        <w:sz w:val="20"/>
      </w:rPr>
    </w:lvl>
  </w:abstractNum>
  <w:abstractNum w:abstractNumId="10" w15:restartNumberingAfterBreak="0">
    <w:nsid w:val="0000000B"/>
    <w:multiLevelType w:val="hybridMultilevel"/>
    <w:tmpl w:val="BA4A505C"/>
    <w:lvl w:ilvl="0" w:tplc="3809000F">
      <w:start w:val="1"/>
      <w:numFmt w:val="decimal"/>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1" w15:restartNumberingAfterBreak="0">
    <w:nsid w:val="0000000C"/>
    <w:multiLevelType w:val="multilevel"/>
    <w:tmpl w:val="5300B920"/>
    <w:lvl w:ilvl="0">
      <w:start w:val="1"/>
      <w:numFmt w:val="bullet"/>
      <w:lvlText w:val=""/>
      <w:lvlJc w:val="left"/>
      <w:pPr>
        <w:tabs>
          <w:tab w:val="left" w:pos="720"/>
        </w:tabs>
        <w:ind w:left="720" w:hanging="360"/>
      </w:pPr>
      <w:rPr>
        <w:rFonts w:ascii="Symbol" w:hAnsi="Symbol" w:hint="default"/>
        <w:sz w:val="20"/>
      </w:rPr>
    </w:lvl>
    <w:lvl w:ilvl="1" w:tentative="1">
      <w:start w:val="1"/>
      <w:numFmt w:val="bullet"/>
      <w:lvlText w:val="o"/>
      <w:lvlJc w:val="left"/>
      <w:pPr>
        <w:tabs>
          <w:tab w:val="left" w:pos="1440"/>
        </w:tabs>
        <w:ind w:left="1440" w:hanging="360"/>
      </w:pPr>
      <w:rPr>
        <w:rFonts w:ascii="Courier New" w:hAnsi="Courier New" w:hint="default"/>
        <w:sz w:val="20"/>
      </w:rPr>
    </w:lvl>
    <w:lvl w:ilvl="2" w:tentative="1">
      <w:start w:val="1"/>
      <w:numFmt w:val="bullet"/>
      <w:lvlText w:val=""/>
      <w:lvlJc w:val="left"/>
      <w:pPr>
        <w:tabs>
          <w:tab w:val="left" w:pos="2160"/>
        </w:tabs>
        <w:ind w:left="2160" w:hanging="360"/>
      </w:pPr>
      <w:rPr>
        <w:rFonts w:ascii="Wingdings" w:hAnsi="Wingdings" w:hint="default"/>
        <w:sz w:val="20"/>
      </w:rPr>
    </w:lvl>
    <w:lvl w:ilvl="3" w:tentative="1">
      <w:start w:val="1"/>
      <w:numFmt w:val="bullet"/>
      <w:lvlText w:val=""/>
      <w:lvlJc w:val="left"/>
      <w:pPr>
        <w:tabs>
          <w:tab w:val="left" w:pos="2880"/>
        </w:tabs>
        <w:ind w:left="2880" w:hanging="360"/>
      </w:pPr>
      <w:rPr>
        <w:rFonts w:ascii="Wingdings" w:hAnsi="Wingdings" w:hint="default"/>
        <w:sz w:val="20"/>
      </w:rPr>
    </w:lvl>
    <w:lvl w:ilvl="4" w:tentative="1">
      <w:start w:val="1"/>
      <w:numFmt w:val="bullet"/>
      <w:lvlText w:val=""/>
      <w:lvlJc w:val="left"/>
      <w:pPr>
        <w:tabs>
          <w:tab w:val="left" w:pos="3600"/>
        </w:tabs>
        <w:ind w:left="3600" w:hanging="360"/>
      </w:pPr>
      <w:rPr>
        <w:rFonts w:ascii="Wingdings" w:hAnsi="Wingdings" w:hint="default"/>
        <w:sz w:val="20"/>
      </w:rPr>
    </w:lvl>
    <w:lvl w:ilvl="5" w:tentative="1">
      <w:start w:val="1"/>
      <w:numFmt w:val="bullet"/>
      <w:lvlText w:val=""/>
      <w:lvlJc w:val="left"/>
      <w:pPr>
        <w:tabs>
          <w:tab w:val="left" w:pos="4320"/>
        </w:tabs>
        <w:ind w:left="4320" w:hanging="360"/>
      </w:pPr>
      <w:rPr>
        <w:rFonts w:ascii="Wingdings" w:hAnsi="Wingdings" w:hint="default"/>
        <w:sz w:val="20"/>
      </w:rPr>
    </w:lvl>
    <w:lvl w:ilvl="6" w:tentative="1">
      <w:start w:val="1"/>
      <w:numFmt w:val="bullet"/>
      <w:lvlText w:val=""/>
      <w:lvlJc w:val="left"/>
      <w:pPr>
        <w:tabs>
          <w:tab w:val="left" w:pos="5040"/>
        </w:tabs>
        <w:ind w:left="5040" w:hanging="360"/>
      </w:pPr>
      <w:rPr>
        <w:rFonts w:ascii="Wingdings" w:hAnsi="Wingdings" w:hint="default"/>
        <w:sz w:val="20"/>
      </w:rPr>
    </w:lvl>
    <w:lvl w:ilvl="7" w:tentative="1">
      <w:start w:val="1"/>
      <w:numFmt w:val="bullet"/>
      <w:lvlText w:val=""/>
      <w:lvlJc w:val="left"/>
      <w:pPr>
        <w:tabs>
          <w:tab w:val="left" w:pos="5760"/>
        </w:tabs>
        <w:ind w:left="5760" w:hanging="360"/>
      </w:pPr>
      <w:rPr>
        <w:rFonts w:ascii="Wingdings" w:hAnsi="Wingdings" w:hint="default"/>
        <w:sz w:val="20"/>
      </w:rPr>
    </w:lvl>
    <w:lvl w:ilvl="8" w:tentative="1">
      <w:start w:val="1"/>
      <w:numFmt w:val="bullet"/>
      <w:lvlText w:val=""/>
      <w:lvlJc w:val="left"/>
      <w:pPr>
        <w:tabs>
          <w:tab w:val="left" w:pos="6480"/>
        </w:tabs>
        <w:ind w:left="6480" w:hanging="360"/>
      </w:pPr>
      <w:rPr>
        <w:rFonts w:ascii="Wingdings" w:hAnsi="Wingdings" w:hint="default"/>
        <w:sz w:val="20"/>
      </w:rPr>
    </w:lvl>
  </w:abstractNum>
  <w:abstractNum w:abstractNumId="12" w15:restartNumberingAfterBreak="0">
    <w:nsid w:val="0000000D"/>
    <w:multiLevelType w:val="multilevel"/>
    <w:tmpl w:val="E626F5B2"/>
    <w:lvl w:ilvl="0">
      <w:start w:val="1"/>
      <w:numFmt w:val="bullet"/>
      <w:lvlText w:val=""/>
      <w:lvlJc w:val="left"/>
      <w:pPr>
        <w:tabs>
          <w:tab w:val="left" w:pos="720"/>
        </w:tabs>
        <w:ind w:left="720" w:hanging="360"/>
      </w:pPr>
      <w:rPr>
        <w:rFonts w:ascii="Symbol" w:hAnsi="Symbol" w:hint="default"/>
        <w:sz w:val="20"/>
      </w:rPr>
    </w:lvl>
    <w:lvl w:ilvl="1" w:tentative="1">
      <w:start w:val="1"/>
      <w:numFmt w:val="bullet"/>
      <w:lvlText w:val="o"/>
      <w:lvlJc w:val="left"/>
      <w:pPr>
        <w:tabs>
          <w:tab w:val="left" w:pos="1440"/>
        </w:tabs>
        <w:ind w:left="1440" w:hanging="360"/>
      </w:pPr>
      <w:rPr>
        <w:rFonts w:ascii="Courier New" w:hAnsi="Courier New" w:hint="default"/>
        <w:sz w:val="20"/>
      </w:rPr>
    </w:lvl>
    <w:lvl w:ilvl="2" w:tentative="1">
      <w:start w:val="1"/>
      <w:numFmt w:val="bullet"/>
      <w:lvlText w:val=""/>
      <w:lvlJc w:val="left"/>
      <w:pPr>
        <w:tabs>
          <w:tab w:val="left" w:pos="2160"/>
        </w:tabs>
        <w:ind w:left="2160" w:hanging="360"/>
      </w:pPr>
      <w:rPr>
        <w:rFonts w:ascii="Wingdings" w:hAnsi="Wingdings" w:hint="default"/>
        <w:sz w:val="20"/>
      </w:rPr>
    </w:lvl>
    <w:lvl w:ilvl="3" w:tentative="1">
      <w:start w:val="1"/>
      <w:numFmt w:val="bullet"/>
      <w:lvlText w:val=""/>
      <w:lvlJc w:val="left"/>
      <w:pPr>
        <w:tabs>
          <w:tab w:val="left" w:pos="2880"/>
        </w:tabs>
        <w:ind w:left="2880" w:hanging="360"/>
      </w:pPr>
      <w:rPr>
        <w:rFonts w:ascii="Wingdings" w:hAnsi="Wingdings" w:hint="default"/>
        <w:sz w:val="20"/>
      </w:rPr>
    </w:lvl>
    <w:lvl w:ilvl="4" w:tentative="1">
      <w:start w:val="1"/>
      <w:numFmt w:val="bullet"/>
      <w:lvlText w:val=""/>
      <w:lvlJc w:val="left"/>
      <w:pPr>
        <w:tabs>
          <w:tab w:val="left" w:pos="3600"/>
        </w:tabs>
        <w:ind w:left="3600" w:hanging="360"/>
      </w:pPr>
      <w:rPr>
        <w:rFonts w:ascii="Wingdings" w:hAnsi="Wingdings" w:hint="default"/>
        <w:sz w:val="20"/>
      </w:rPr>
    </w:lvl>
    <w:lvl w:ilvl="5" w:tentative="1">
      <w:start w:val="1"/>
      <w:numFmt w:val="bullet"/>
      <w:lvlText w:val=""/>
      <w:lvlJc w:val="left"/>
      <w:pPr>
        <w:tabs>
          <w:tab w:val="left" w:pos="4320"/>
        </w:tabs>
        <w:ind w:left="4320" w:hanging="360"/>
      </w:pPr>
      <w:rPr>
        <w:rFonts w:ascii="Wingdings" w:hAnsi="Wingdings" w:hint="default"/>
        <w:sz w:val="20"/>
      </w:rPr>
    </w:lvl>
    <w:lvl w:ilvl="6" w:tentative="1">
      <w:start w:val="1"/>
      <w:numFmt w:val="bullet"/>
      <w:lvlText w:val=""/>
      <w:lvlJc w:val="left"/>
      <w:pPr>
        <w:tabs>
          <w:tab w:val="left" w:pos="5040"/>
        </w:tabs>
        <w:ind w:left="5040" w:hanging="360"/>
      </w:pPr>
      <w:rPr>
        <w:rFonts w:ascii="Wingdings" w:hAnsi="Wingdings" w:hint="default"/>
        <w:sz w:val="20"/>
      </w:rPr>
    </w:lvl>
    <w:lvl w:ilvl="7" w:tentative="1">
      <w:start w:val="1"/>
      <w:numFmt w:val="bullet"/>
      <w:lvlText w:val=""/>
      <w:lvlJc w:val="left"/>
      <w:pPr>
        <w:tabs>
          <w:tab w:val="left" w:pos="5760"/>
        </w:tabs>
        <w:ind w:left="5760" w:hanging="360"/>
      </w:pPr>
      <w:rPr>
        <w:rFonts w:ascii="Wingdings" w:hAnsi="Wingdings" w:hint="default"/>
        <w:sz w:val="20"/>
      </w:rPr>
    </w:lvl>
    <w:lvl w:ilvl="8" w:tentative="1">
      <w:start w:val="1"/>
      <w:numFmt w:val="bullet"/>
      <w:lvlText w:val=""/>
      <w:lvlJc w:val="left"/>
      <w:pPr>
        <w:tabs>
          <w:tab w:val="left" w:pos="6480"/>
        </w:tabs>
        <w:ind w:left="6480" w:hanging="360"/>
      </w:pPr>
      <w:rPr>
        <w:rFonts w:ascii="Wingdings" w:hAnsi="Wingdings" w:hint="default"/>
        <w:sz w:val="20"/>
      </w:rPr>
    </w:lvl>
  </w:abstractNum>
  <w:abstractNum w:abstractNumId="13" w15:restartNumberingAfterBreak="0">
    <w:nsid w:val="04BF46BD"/>
    <w:multiLevelType w:val="hybridMultilevel"/>
    <w:tmpl w:val="FCA4B59C"/>
    <w:lvl w:ilvl="0" w:tplc="3809000F">
      <w:start w:val="1"/>
      <w:numFmt w:val="decimal"/>
      <w:lvlText w:val="%1."/>
      <w:lvlJc w:val="left"/>
      <w:pPr>
        <w:ind w:left="644"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num w:numId="1">
    <w:abstractNumId w:val="6"/>
  </w:num>
  <w:num w:numId="2">
    <w:abstractNumId w:val="4"/>
  </w:num>
  <w:num w:numId="3">
    <w:abstractNumId w:val="10"/>
  </w:num>
  <w:num w:numId="4">
    <w:abstractNumId w:val="0"/>
  </w:num>
  <w:num w:numId="5">
    <w:abstractNumId w:val="3"/>
  </w:num>
  <w:num w:numId="6">
    <w:abstractNumId w:val="1"/>
  </w:num>
  <w:num w:numId="7">
    <w:abstractNumId w:val="13"/>
  </w:num>
  <w:num w:numId="8">
    <w:abstractNumId w:val="12"/>
  </w:num>
  <w:num w:numId="9">
    <w:abstractNumId w:val="8"/>
  </w:num>
  <w:num w:numId="10">
    <w:abstractNumId w:val="9"/>
  </w:num>
  <w:num w:numId="11">
    <w:abstractNumId w:val="5"/>
  </w:num>
  <w:num w:numId="12">
    <w:abstractNumId w:val="11"/>
  </w:num>
  <w:num w:numId="13">
    <w:abstractNumId w:val="7"/>
  </w:num>
  <w:num w:numId="1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7"/>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63A30"/>
    <w:rsid w:val="0003299C"/>
    <w:rsid w:val="000D5ACC"/>
    <w:rsid w:val="002A1684"/>
    <w:rsid w:val="002B1B9D"/>
    <w:rsid w:val="002D79E0"/>
    <w:rsid w:val="005A43A0"/>
    <w:rsid w:val="00743224"/>
    <w:rsid w:val="007A37F0"/>
    <w:rsid w:val="007F4B86"/>
    <w:rsid w:val="00963A30"/>
    <w:rsid w:val="00985EA0"/>
    <w:rsid w:val="00B21352"/>
    <w:rsid w:val="00C25300"/>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005BE59"/>
  <w15:docId w15:val="{7A57C0E9-52C1-4D4C-A1C7-3F82691A1C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SimSun" w:hAnsi="Calibri" w:cs="SimSun"/>
        <w:kern w:val="2"/>
        <w:sz w:val="22"/>
        <w:szCs w:val="22"/>
        <w:lang w:val="en-ID"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widowControl w:val="0"/>
      <w:autoSpaceDE w:val="0"/>
      <w:autoSpaceDN w:val="0"/>
      <w:spacing w:after="0" w:line="240" w:lineRule="auto"/>
    </w:pPr>
    <w:rPr>
      <w:rFonts w:ascii="Times New Roman" w:eastAsia="Times New Roman" w:hAnsi="Times New Roman" w:cs="Times New Roman"/>
      <w:kern w:val="0"/>
      <w14:ligatures w14:val="none"/>
    </w:rPr>
  </w:style>
  <w:style w:type="paragraph" w:styleId="Heading1">
    <w:name w:val="heading 1"/>
    <w:basedOn w:val="Normal"/>
    <w:next w:val="Normal"/>
    <w:link w:val="Heading1Char"/>
    <w:uiPriority w:val="9"/>
    <w:qFormat/>
    <w:pPr>
      <w:keepNext/>
      <w:keepLines/>
      <w:spacing w:before="360" w:after="80"/>
      <w:outlineLvl w:val="0"/>
    </w:pPr>
    <w:rPr>
      <w:rFonts w:ascii="Calibri Light" w:eastAsia="SimSun" w:hAnsi="Calibri Light" w:cs="SimSun"/>
      <w:color w:val="2F5496"/>
      <w:sz w:val="40"/>
      <w:szCs w:val="40"/>
    </w:rPr>
  </w:style>
  <w:style w:type="paragraph" w:styleId="Heading2">
    <w:name w:val="heading 2"/>
    <w:basedOn w:val="Normal"/>
    <w:next w:val="Normal"/>
    <w:link w:val="Heading2Char"/>
    <w:uiPriority w:val="9"/>
    <w:semiHidden/>
    <w:unhideWhenUsed/>
    <w:qFormat/>
    <w:pPr>
      <w:keepNext/>
      <w:keepLines/>
      <w:spacing w:before="160" w:after="80"/>
      <w:outlineLvl w:val="1"/>
    </w:pPr>
    <w:rPr>
      <w:rFonts w:ascii="Calibri Light" w:eastAsia="SimSun" w:hAnsi="Calibri Light" w:cs="SimSun"/>
      <w:color w:val="2F5496"/>
      <w:sz w:val="32"/>
      <w:szCs w:val="32"/>
    </w:rPr>
  </w:style>
  <w:style w:type="paragraph" w:styleId="Heading3">
    <w:name w:val="heading 3"/>
    <w:basedOn w:val="Normal"/>
    <w:next w:val="Normal"/>
    <w:link w:val="Heading3Char"/>
    <w:uiPriority w:val="9"/>
    <w:semiHidden/>
    <w:unhideWhenUsed/>
    <w:qFormat/>
    <w:pPr>
      <w:keepNext/>
      <w:keepLines/>
      <w:spacing w:before="160" w:after="80"/>
      <w:outlineLvl w:val="2"/>
    </w:pPr>
    <w:rPr>
      <w:rFonts w:eastAsia="SimSun" w:cs="SimSun"/>
      <w:color w:val="2F5496"/>
      <w:sz w:val="28"/>
      <w:szCs w:val="28"/>
    </w:rPr>
  </w:style>
  <w:style w:type="paragraph" w:styleId="Heading4">
    <w:name w:val="heading 4"/>
    <w:basedOn w:val="Normal"/>
    <w:next w:val="Normal"/>
    <w:link w:val="Heading4Char"/>
    <w:uiPriority w:val="9"/>
    <w:semiHidden/>
    <w:unhideWhenUsed/>
    <w:qFormat/>
    <w:pPr>
      <w:keepNext/>
      <w:keepLines/>
      <w:spacing w:before="80" w:after="40"/>
      <w:outlineLvl w:val="3"/>
    </w:pPr>
    <w:rPr>
      <w:rFonts w:eastAsia="SimSun" w:cs="SimSun"/>
      <w:i/>
      <w:iCs/>
      <w:color w:val="2F5496"/>
    </w:rPr>
  </w:style>
  <w:style w:type="paragraph" w:styleId="Heading5">
    <w:name w:val="heading 5"/>
    <w:basedOn w:val="Normal"/>
    <w:next w:val="Normal"/>
    <w:link w:val="Heading5Char"/>
    <w:uiPriority w:val="9"/>
    <w:semiHidden/>
    <w:unhideWhenUsed/>
    <w:qFormat/>
    <w:pPr>
      <w:keepNext/>
      <w:keepLines/>
      <w:spacing w:before="80" w:after="40"/>
      <w:outlineLvl w:val="4"/>
    </w:pPr>
    <w:rPr>
      <w:rFonts w:eastAsia="SimSun" w:cs="SimSun"/>
      <w:color w:val="2F5496"/>
    </w:rPr>
  </w:style>
  <w:style w:type="paragraph" w:styleId="Heading6">
    <w:name w:val="heading 6"/>
    <w:basedOn w:val="Normal"/>
    <w:next w:val="Normal"/>
    <w:link w:val="Heading6Char"/>
    <w:uiPriority w:val="9"/>
    <w:semiHidden/>
    <w:unhideWhenUsed/>
    <w:qFormat/>
    <w:pPr>
      <w:keepNext/>
      <w:keepLines/>
      <w:spacing w:before="40"/>
      <w:outlineLvl w:val="5"/>
    </w:pPr>
    <w:rPr>
      <w:rFonts w:eastAsia="SimSun" w:cs="SimSun"/>
      <w:i/>
      <w:iCs/>
      <w:color w:val="595959"/>
    </w:rPr>
  </w:style>
  <w:style w:type="paragraph" w:styleId="Heading7">
    <w:name w:val="heading 7"/>
    <w:basedOn w:val="Normal"/>
    <w:next w:val="Normal"/>
    <w:link w:val="Heading7Char"/>
    <w:uiPriority w:val="9"/>
    <w:qFormat/>
    <w:pPr>
      <w:keepNext/>
      <w:keepLines/>
      <w:spacing w:before="40"/>
      <w:outlineLvl w:val="6"/>
    </w:pPr>
    <w:rPr>
      <w:rFonts w:eastAsia="SimSun" w:cs="SimSun"/>
      <w:color w:val="595959"/>
    </w:rPr>
  </w:style>
  <w:style w:type="paragraph" w:styleId="Heading8">
    <w:name w:val="heading 8"/>
    <w:basedOn w:val="Normal"/>
    <w:next w:val="Normal"/>
    <w:link w:val="Heading8Char"/>
    <w:uiPriority w:val="9"/>
    <w:qFormat/>
    <w:pPr>
      <w:keepNext/>
      <w:keepLines/>
      <w:outlineLvl w:val="7"/>
    </w:pPr>
    <w:rPr>
      <w:rFonts w:eastAsia="SimSun" w:cs="SimSun"/>
      <w:i/>
      <w:iCs/>
      <w:color w:val="272727"/>
    </w:rPr>
  </w:style>
  <w:style w:type="paragraph" w:styleId="Heading9">
    <w:name w:val="heading 9"/>
    <w:basedOn w:val="Normal"/>
    <w:next w:val="Normal"/>
    <w:link w:val="Heading9Char"/>
    <w:uiPriority w:val="9"/>
    <w:qFormat/>
    <w:pPr>
      <w:keepNext/>
      <w:keepLines/>
      <w:outlineLvl w:val="8"/>
    </w:pPr>
    <w:rPr>
      <w:rFonts w:eastAsia="SimSun" w:cs="SimSun"/>
      <w:color w:val="2727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Pr>
      <w:rFonts w:ascii="Calibri Light" w:eastAsia="SimSun" w:hAnsi="Calibri Light" w:cs="SimSun"/>
      <w:color w:val="2F5496"/>
      <w:sz w:val="40"/>
      <w:szCs w:val="40"/>
    </w:rPr>
  </w:style>
  <w:style w:type="character" w:customStyle="1" w:styleId="Heading2Char">
    <w:name w:val="Heading 2 Char"/>
    <w:basedOn w:val="DefaultParagraphFont"/>
    <w:link w:val="Heading2"/>
    <w:uiPriority w:val="9"/>
    <w:rPr>
      <w:rFonts w:ascii="Calibri Light" w:eastAsia="SimSun" w:hAnsi="Calibri Light" w:cs="SimSun"/>
      <w:color w:val="2F5496"/>
      <w:sz w:val="32"/>
      <w:szCs w:val="32"/>
    </w:rPr>
  </w:style>
  <w:style w:type="character" w:customStyle="1" w:styleId="Heading3Char">
    <w:name w:val="Heading 3 Char"/>
    <w:basedOn w:val="DefaultParagraphFont"/>
    <w:link w:val="Heading3"/>
    <w:uiPriority w:val="9"/>
    <w:rPr>
      <w:rFonts w:eastAsia="SimSun" w:cs="SimSun"/>
      <w:color w:val="2F5496"/>
      <w:sz w:val="28"/>
      <w:szCs w:val="28"/>
    </w:rPr>
  </w:style>
  <w:style w:type="character" w:customStyle="1" w:styleId="Heading4Char">
    <w:name w:val="Heading 4 Char"/>
    <w:basedOn w:val="DefaultParagraphFont"/>
    <w:link w:val="Heading4"/>
    <w:uiPriority w:val="9"/>
    <w:rPr>
      <w:rFonts w:eastAsia="SimSun" w:cs="SimSun"/>
      <w:i/>
      <w:iCs/>
      <w:color w:val="2F5496"/>
    </w:rPr>
  </w:style>
  <w:style w:type="character" w:customStyle="1" w:styleId="Heading5Char">
    <w:name w:val="Heading 5 Char"/>
    <w:basedOn w:val="DefaultParagraphFont"/>
    <w:link w:val="Heading5"/>
    <w:uiPriority w:val="9"/>
    <w:rPr>
      <w:rFonts w:eastAsia="SimSun" w:cs="SimSun"/>
      <w:color w:val="2F5496"/>
    </w:rPr>
  </w:style>
  <w:style w:type="character" w:customStyle="1" w:styleId="Heading6Char">
    <w:name w:val="Heading 6 Char"/>
    <w:basedOn w:val="DefaultParagraphFont"/>
    <w:link w:val="Heading6"/>
    <w:uiPriority w:val="9"/>
    <w:rPr>
      <w:rFonts w:eastAsia="SimSun" w:cs="SimSun"/>
      <w:i/>
      <w:iCs/>
      <w:color w:val="595959"/>
    </w:rPr>
  </w:style>
  <w:style w:type="character" w:customStyle="1" w:styleId="Heading7Char">
    <w:name w:val="Heading 7 Char"/>
    <w:basedOn w:val="DefaultParagraphFont"/>
    <w:link w:val="Heading7"/>
    <w:uiPriority w:val="9"/>
    <w:rPr>
      <w:rFonts w:eastAsia="SimSun" w:cs="SimSun"/>
      <w:color w:val="595959"/>
    </w:rPr>
  </w:style>
  <w:style w:type="character" w:customStyle="1" w:styleId="Heading8Char">
    <w:name w:val="Heading 8 Char"/>
    <w:basedOn w:val="DefaultParagraphFont"/>
    <w:link w:val="Heading8"/>
    <w:uiPriority w:val="9"/>
    <w:rPr>
      <w:rFonts w:eastAsia="SimSun" w:cs="SimSun"/>
      <w:i/>
      <w:iCs/>
      <w:color w:val="272727"/>
    </w:rPr>
  </w:style>
  <w:style w:type="character" w:customStyle="1" w:styleId="Heading9Char">
    <w:name w:val="Heading 9 Char"/>
    <w:basedOn w:val="DefaultParagraphFont"/>
    <w:link w:val="Heading9"/>
    <w:uiPriority w:val="9"/>
    <w:rPr>
      <w:rFonts w:eastAsia="SimSun" w:cs="SimSun"/>
      <w:color w:val="272727"/>
    </w:rPr>
  </w:style>
  <w:style w:type="paragraph" w:styleId="Title">
    <w:name w:val="Title"/>
    <w:basedOn w:val="Normal"/>
    <w:next w:val="Normal"/>
    <w:link w:val="TitleChar"/>
    <w:uiPriority w:val="10"/>
    <w:qFormat/>
    <w:pPr>
      <w:spacing w:after="80"/>
      <w:contextualSpacing/>
    </w:pPr>
    <w:rPr>
      <w:rFonts w:ascii="Calibri Light" w:eastAsia="SimSun" w:hAnsi="Calibri Light" w:cs="SimSun"/>
      <w:spacing w:val="-10"/>
      <w:kern w:val="28"/>
      <w:sz w:val="56"/>
      <w:szCs w:val="56"/>
    </w:rPr>
  </w:style>
  <w:style w:type="character" w:customStyle="1" w:styleId="TitleChar">
    <w:name w:val="Title Char"/>
    <w:basedOn w:val="DefaultParagraphFont"/>
    <w:link w:val="Title"/>
    <w:uiPriority w:val="10"/>
    <w:rPr>
      <w:rFonts w:ascii="Calibri Light" w:eastAsia="SimSun" w:hAnsi="Calibri Light" w:cs="SimSun"/>
      <w:spacing w:val="-10"/>
      <w:kern w:val="28"/>
      <w:sz w:val="56"/>
      <w:szCs w:val="56"/>
    </w:rPr>
  </w:style>
  <w:style w:type="paragraph" w:styleId="Subtitle">
    <w:name w:val="Subtitle"/>
    <w:basedOn w:val="Normal"/>
    <w:next w:val="Normal"/>
    <w:link w:val="SubtitleChar"/>
    <w:uiPriority w:val="11"/>
    <w:qFormat/>
    <w:pPr>
      <w:numPr>
        <w:ilvl w:val="1"/>
      </w:numPr>
    </w:pPr>
    <w:rPr>
      <w:rFonts w:eastAsia="SimSun" w:cs="SimSun"/>
      <w:color w:val="595959"/>
      <w:spacing w:val="15"/>
      <w:sz w:val="28"/>
      <w:szCs w:val="28"/>
    </w:rPr>
  </w:style>
  <w:style w:type="character" w:customStyle="1" w:styleId="SubtitleChar">
    <w:name w:val="Subtitle Char"/>
    <w:basedOn w:val="DefaultParagraphFont"/>
    <w:link w:val="Subtitle"/>
    <w:uiPriority w:val="11"/>
    <w:rPr>
      <w:rFonts w:eastAsia="SimSun" w:cs="SimSun"/>
      <w:color w:val="595959"/>
      <w:spacing w:val="15"/>
      <w:sz w:val="28"/>
      <w:szCs w:val="28"/>
    </w:rPr>
  </w:style>
  <w:style w:type="paragraph" w:styleId="Quote">
    <w:name w:val="Quote"/>
    <w:basedOn w:val="Normal"/>
    <w:next w:val="Normal"/>
    <w:link w:val="QuoteChar"/>
    <w:uiPriority w:val="29"/>
    <w:qFormat/>
    <w:pPr>
      <w:spacing w:before="160"/>
      <w:jc w:val="center"/>
    </w:pPr>
    <w:rPr>
      <w:i/>
      <w:iCs/>
      <w:color w:val="404040"/>
    </w:rPr>
  </w:style>
  <w:style w:type="character" w:customStyle="1" w:styleId="QuoteChar">
    <w:name w:val="Quote Char"/>
    <w:basedOn w:val="DefaultParagraphFont"/>
    <w:link w:val="Quote"/>
    <w:uiPriority w:val="29"/>
    <w:rPr>
      <w:i/>
      <w:iCs/>
      <w:color w:val="404040"/>
    </w:rPr>
  </w:style>
  <w:style w:type="paragraph" w:styleId="ListParagraph">
    <w:name w:val="List Paragraph"/>
    <w:basedOn w:val="Normal"/>
    <w:uiPriority w:val="34"/>
    <w:qFormat/>
    <w:pPr>
      <w:ind w:left="720"/>
      <w:contextualSpacing/>
    </w:pPr>
  </w:style>
  <w:style w:type="character" w:styleId="IntenseEmphasis">
    <w:name w:val="Intense Emphasis"/>
    <w:basedOn w:val="DefaultParagraphFont"/>
    <w:uiPriority w:val="21"/>
    <w:qFormat/>
    <w:rPr>
      <w:i/>
      <w:iCs/>
      <w:color w:val="2F5496"/>
    </w:rPr>
  </w:style>
  <w:style w:type="paragraph" w:styleId="IntenseQuote">
    <w:name w:val="Intense Quote"/>
    <w:basedOn w:val="Normal"/>
    <w:next w:val="Normal"/>
    <w:link w:val="IntenseQuoteChar"/>
    <w:uiPriority w:val="30"/>
    <w:qFormat/>
    <w:pPr>
      <w:pBdr>
        <w:top w:val="single" w:sz="4" w:space="10" w:color="2F5496"/>
        <w:bottom w:val="single" w:sz="4" w:space="10" w:color="2F5496"/>
      </w:pBdr>
      <w:spacing w:before="360" w:after="360"/>
      <w:ind w:left="864" w:right="864"/>
      <w:jc w:val="center"/>
    </w:pPr>
    <w:rPr>
      <w:i/>
      <w:iCs/>
      <w:color w:val="2F5496"/>
    </w:rPr>
  </w:style>
  <w:style w:type="character" w:customStyle="1" w:styleId="IntenseQuoteChar">
    <w:name w:val="Intense Quote Char"/>
    <w:basedOn w:val="DefaultParagraphFont"/>
    <w:link w:val="IntenseQuote"/>
    <w:uiPriority w:val="30"/>
    <w:rPr>
      <w:i/>
      <w:iCs/>
      <w:color w:val="2F5496"/>
    </w:rPr>
  </w:style>
  <w:style w:type="character" w:styleId="IntenseReference">
    <w:name w:val="Intense Reference"/>
    <w:basedOn w:val="DefaultParagraphFont"/>
    <w:uiPriority w:val="32"/>
    <w:qFormat/>
    <w:rPr>
      <w:b/>
      <w:bCs/>
      <w:smallCaps/>
      <w:color w:val="2F5496"/>
      <w:spacing w:val="5"/>
    </w:rPr>
  </w:style>
  <w:style w:type="paragraph" w:customStyle="1" w:styleId="Default">
    <w:name w:val="Default"/>
    <w:pPr>
      <w:autoSpaceDE w:val="0"/>
      <w:autoSpaceDN w:val="0"/>
      <w:adjustRightInd w:val="0"/>
      <w:spacing w:after="0" w:line="240" w:lineRule="auto"/>
    </w:pPr>
    <w:rPr>
      <w:rFonts w:ascii="Times New Roman" w:hAnsi="Times New Roman" w:cs="Times New Roman"/>
      <w:color w:val="000000"/>
      <w:kern w:val="0"/>
      <w:sz w:val="24"/>
      <w:szCs w:val="24"/>
    </w:rPr>
  </w:style>
  <w:style w:type="character" w:styleId="Hyperlink">
    <w:name w:val="Hyperlink"/>
    <w:basedOn w:val="DefaultParagraphFont"/>
    <w:uiPriority w:val="99"/>
    <w:rPr>
      <w:color w:val="0563C1"/>
      <w:u w:val="single"/>
    </w:rPr>
  </w:style>
  <w:style w:type="character" w:styleId="LineNumber">
    <w:name w:val="line number"/>
    <w:basedOn w:val="DefaultParagraphFont"/>
    <w:uiPriority w:val="99"/>
  </w:style>
  <w:style w:type="paragraph" w:styleId="HTMLPreformatted">
    <w:name w:val="HTML Preformatted"/>
    <w:basedOn w:val="Normal"/>
    <w:link w:val="HTMLPreformattedChar"/>
    <w:uiPriority w:val="99"/>
    <w:rPr>
      <w:rFonts w:ascii="Consolas" w:hAnsi="Consolas"/>
      <w:sz w:val="20"/>
      <w:szCs w:val="20"/>
    </w:rPr>
  </w:style>
  <w:style w:type="character" w:customStyle="1" w:styleId="HTMLPreformattedChar">
    <w:name w:val="HTML Preformatted Char"/>
    <w:basedOn w:val="DefaultParagraphFont"/>
    <w:link w:val="HTMLPreformatted"/>
    <w:uiPriority w:val="99"/>
    <w:rPr>
      <w:rFonts w:ascii="Consolas" w:eastAsia="Times New Roman" w:hAnsi="Consolas" w:cs="Times New Roman"/>
      <w:kern w:val="0"/>
      <w:sz w:val="20"/>
      <w:szCs w:val="20"/>
      <w14:ligatures w14:val="none"/>
    </w:rPr>
  </w:style>
  <w:style w:type="character" w:customStyle="1" w:styleId="oword">
    <w:name w:val="oword"/>
    <w:basedOn w:val="DefaultParagraphFont"/>
  </w:style>
  <w:style w:type="character" w:customStyle="1" w:styleId="longest-unchanged">
    <w:name w:val="longest-unchanged"/>
    <w:basedOn w:val="DefaultParagraphFont"/>
  </w:style>
  <w:style w:type="table" w:customStyle="1" w:styleId="TableGrid5">
    <w:name w:val="Table Grid5"/>
    <w:basedOn w:val="TableNormal"/>
    <w:next w:val="TableGrid"/>
    <w:uiPriority w:val="39"/>
    <w:qFormat/>
    <w:pPr>
      <w:widowControl w:val="0"/>
      <w:spacing w:after="0" w:line="240" w:lineRule="auto"/>
      <w:jc w:val="both"/>
    </w:pPr>
    <w:rPr>
      <w:kern w:val="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qFormat/>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next w:val="TableGrid"/>
    <w:uiPriority w:val="39"/>
    <w:qFormat/>
    <w:pPr>
      <w:widowControl w:val="0"/>
      <w:spacing w:after="0" w:line="240" w:lineRule="auto"/>
      <w:jc w:val="both"/>
    </w:pPr>
    <w:rPr>
      <w:kern w:val="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
    <w:name w:val="Table Grid6"/>
    <w:basedOn w:val="TableNormal"/>
    <w:next w:val="TableGrid"/>
    <w:uiPriority w:val="39"/>
    <w:qFormat/>
    <w:pPr>
      <w:widowControl w:val="0"/>
      <w:spacing w:after="0" w:line="240" w:lineRule="auto"/>
      <w:jc w:val="both"/>
    </w:pPr>
    <w:rPr>
      <w:kern w:val="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
    <w:name w:val="Table Grid7"/>
    <w:basedOn w:val="TableNormal"/>
    <w:next w:val="TableGrid"/>
    <w:uiPriority w:val="39"/>
    <w:qFormat/>
    <w:pPr>
      <w:widowControl w:val="0"/>
      <w:spacing w:after="0" w:line="240" w:lineRule="auto"/>
      <w:jc w:val="both"/>
    </w:pPr>
    <w:rPr>
      <w:kern w:val="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
    <w:name w:val="t"/>
    <w:basedOn w:val="DefaultParagraphFont"/>
  </w:style>
  <w:style w:type="character" w:customStyle="1" w:styleId="y2iqfc">
    <w:name w:val="y2iqfc"/>
    <w:basedOn w:val="DefaultParagraphFont"/>
  </w:style>
  <w:style w:type="character" w:styleId="Emphasis">
    <w:name w:val="Emphasis"/>
    <w:basedOn w:val="DefaultParagraphFont"/>
    <w:uiPriority w:val="20"/>
    <w:qFormat/>
    <w:rPr>
      <w:i/>
      <w:iCs/>
    </w:rPr>
  </w:style>
  <w:style w:type="character" w:styleId="Strong">
    <w:name w:val="Strong"/>
    <w:basedOn w:val="DefaultParagraphFont"/>
    <w:uiPriority w:val="22"/>
    <w:qFormat/>
    <w:rPr>
      <w:b/>
      <w:bCs/>
    </w:rPr>
  </w:style>
  <w:style w:type="character" w:customStyle="1" w:styleId="UnresolvedMention1">
    <w:name w:val="Unresolved Mention1"/>
    <w:basedOn w:val="DefaultParagraphFont"/>
    <w:uiPriority w:val="99"/>
    <w:rPr>
      <w:color w:val="605E5C"/>
      <w:shd w:val="clear" w:color="auto" w:fill="E1DFDD"/>
    </w:rPr>
  </w:style>
  <w:style w:type="character" w:styleId="FollowedHyperlink">
    <w:name w:val="FollowedHyperlink"/>
    <w:basedOn w:val="DefaultParagraphFont"/>
    <w:uiPriority w:val="99"/>
    <w:rPr>
      <w:color w:val="954F72"/>
      <w:u w:val="single"/>
    </w:rPr>
  </w:style>
  <w:style w:type="character" w:customStyle="1" w:styleId="dont-break-out">
    <w:name w:val="dont-break-out"/>
    <w:basedOn w:val="DefaultParagraphFont"/>
  </w:style>
  <w:style w:type="paragraph" w:styleId="Header">
    <w:name w:val="header"/>
    <w:basedOn w:val="Normal"/>
    <w:link w:val="HeaderChar"/>
    <w:uiPriority w:val="99"/>
    <w:pPr>
      <w:tabs>
        <w:tab w:val="center" w:pos="4513"/>
        <w:tab w:val="right" w:pos="9026"/>
      </w:tabs>
    </w:pPr>
  </w:style>
  <w:style w:type="character" w:customStyle="1" w:styleId="HeaderChar">
    <w:name w:val="Header Char"/>
    <w:basedOn w:val="DefaultParagraphFont"/>
    <w:link w:val="Header"/>
    <w:uiPriority w:val="99"/>
    <w:rPr>
      <w:rFonts w:ascii="Times New Roman" w:eastAsia="Times New Roman" w:hAnsi="Times New Roman" w:cs="Times New Roman"/>
      <w:kern w:val="0"/>
      <w14:ligatures w14:val="none"/>
    </w:rPr>
  </w:style>
  <w:style w:type="paragraph" w:styleId="Footer">
    <w:name w:val="footer"/>
    <w:basedOn w:val="Normal"/>
    <w:link w:val="FooterChar"/>
    <w:uiPriority w:val="99"/>
    <w:pPr>
      <w:tabs>
        <w:tab w:val="center" w:pos="4513"/>
        <w:tab w:val="right" w:pos="9026"/>
      </w:tabs>
    </w:pPr>
  </w:style>
  <w:style w:type="character" w:customStyle="1" w:styleId="FooterChar">
    <w:name w:val="Footer Char"/>
    <w:basedOn w:val="DefaultParagraphFont"/>
    <w:link w:val="Footer"/>
    <w:uiPriority w:val="99"/>
    <w:rPr>
      <w:rFonts w:ascii="Times New Roman" w:eastAsia="Times New Roman" w:hAnsi="Times New Roman" w:cs="Times New Roman"/>
      <w:kern w:val="0"/>
      <w14:ligatures w14:val="none"/>
    </w:rPr>
  </w:style>
  <w:style w:type="paragraph" w:customStyle="1" w:styleId="jbd-nam">
    <w:name w:val="jbd-nam"/>
    <w:basedOn w:val="Normal"/>
    <w:qFormat/>
    <w:pPr>
      <w:widowControl/>
      <w:autoSpaceDE/>
      <w:autoSpaceDN/>
      <w:spacing w:before="480"/>
      <w:jc w:val="center"/>
    </w:pPr>
    <w:rPr>
      <w:rFonts w:eastAsia="Batang" w:cs="Arial"/>
      <w:b/>
      <w:bCs/>
      <w:caps/>
      <w:sz w:val="20"/>
      <w:szCs w:val="18"/>
      <w:lang w:val="id-ID"/>
    </w:rPr>
  </w:style>
  <w:style w:type="paragraph" w:customStyle="1" w:styleId="jbd-Pendahul10">
    <w:name w:val="jbd-Pendahul10"/>
    <w:basedOn w:val="jbd-nam"/>
    <w:qFormat/>
    <w:pPr>
      <w:keepNext/>
      <w:spacing w:after="240"/>
    </w:pPr>
  </w:style>
  <w:style w:type="paragraph" w:customStyle="1" w:styleId="pdq2pgselectionanchorcontainer">
    <w:name w:val="pdq2pg_selectionanchorcontainer"/>
    <w:basedOn w:val="Normal"/>
    <w:pPr>
      <w:widowControl/>
      <w:autoSpaceDE/>
      <w:autoSpaceDN/>
      <w:spacing w:before="100" w:beforeAutospacing="1" w:after="100" w:afterAutospacing="1"/>
    </w:pPr>
    <w:rPr>
      <w:sz w:val="24"/>
      <w:szCs w:val="24"/>
      <w:lang w:val="en-US"/>
    </w:rPr>
  </w:style>
  <w:style w:type="paragraph" w:styleId="NormalWeb">
    <w:name w:val="Normal (Web)"/>
    <w:basedOn w:val="Normal"/>
    <w:uiPriority w:val="99"/>
    <w:pPr>
      <w:widowControl/>
      <w:autoSpaceDE/>
      <w:autoSpaceDN/>
      <w:spacing w:before="100" w:beforeAutospacing="1" w:after="100" w:afterAutospacing="1"/>
    </w:pPr>
    <w:rPr>
      <w:sz w:val="24"/>
      <w:szCs w:val="24"/>
      <w:lang w:val="en-US"/>
    </w:rPr>
  </w:style>
  <w:style w:type="character" w:styleId="UnresolvedMention">
    <w:name w:val="Unresolved Mention"/>
    <w:basedOn w:val="DefaultParagraphFont"/>
    <w:uiPriority w:val="99"/>
    <w:semiHidden/>
    <w:unhideWhenUsed/>
    <w:rsid w:val="00C2530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13" Type="http://schemas.openxmlformats.org/officeDocument/2006/relationships/chart" Target="charts/chart3.xml"/><Relationship Id="rId18" Type="http://schemas.openxmlformats.org/officeDocument/2006/relationships/hyperlink" Target="https://doi.org/10.1088/1755-1315/478/1/012077" TargetMode="External"/><Relationship Id="rId26" Type="http://schemas.openxmlformats.org/officeDocument/2006/relationships/hyperlink" Target="https://doi.org/10.1111/j.1550-7408.2003.tb00121.x" TargetMode="External"/><Relationship Id="rId39" Type="http://schemas.openxmlformats.org/officeDocument/2006/relationships/hyperlink" Target="https://doi.org/10.17226/9791" TargetMode="External"/><Relationship Id="rId21" Type="http://schemas.openxmlformats.org/officeDocument/2006/relationships/hyperlink" Target="https://doi.org/10.25077/alive.v2.n2.p144-151.2025" TargetMode="External"/><Relationship Id="rId34" Type="http://schemas.openxmlformats.org/officeDocument/2006/relationships/hyperlink" Target="https://doi.org/10.3168/jds.S0022-0302(84)81561-2" TargetMode="External"/><Relationship Id="rId42" Type="http://schemas.openxmlformats.org/officeDocument/2006/relationships/hyperlink" Target="https://doi.org/10.5398/tasj.2023.46.1.43" TargetMode="External"/><Relationship Id="rId47" Type="http://schemas.openxmlformats.org/officeDocument/2006/relationships/hyperlink" Target="https://doi.org/10.3168/jds.2021-20335" TargetMode="External"/><Relationship Id="rId50" Type="http://schemas.openxmlformats.org/officeDocument/2006/relationships/hyperlink" Target="https://doi.org/10.1128/AEM.41.2.504-510.1981" TargetMode="External"/><Relationship Id="rId55" Type="http://schemas.openxmlformats.org/officeDocument/2006/relationships/fontTable" Target="fontTable.xml"/><Relationship Id="rId7" Type="http://schemas.openxmlformats.org/officeDocument/2006/relationships/hyperlink" Target="mailto:fauziaaagustin@ansci.unand.ac.id" TargetMode="External"/><Relationship Id="rId2" Type="http://schemas.openxmlformats.org/officeDocument/2006/relationships/numbering" Target="numbering.xml"/><Relationship Id="rId16" Type="http://schemas.openxmlformats.org/officeDocument/2006/relationships/chart" Target="charts/chart6.xml"/><Relationship Id="rId29" Type="http://schemas.openxmlformats.org/officeDocument/2006/relationships/hyperlink" Target="https://doi.org/10.26717/BJSTR.2019.20.003401" TargetMode="External"/><Relationship Id="rId11" Type="http://schemas.openxmlformats.org/officeDocument/2006/relationships/chart" Target="charts/chart1.xml"/><Relationship Id="rId24" Type="http://schemas.openxmlformats.org/officeDocument/2006/relationships/hyperlink" Target="https://doi.org/10.3168/jds.s0022-0302(91)78288-x" TargetMode="External"/><Relationship Id="rId32" Type="http://schemas.openxmlformats.org/officeDocument/2006/relationships/hyperlink" Target="https://doi.org/10.1016/j.aninu.2021.07.002" TargetMode="External"/><Relationship Id="rId37" Type="http://schemas.openxmlformats.org/officeDocument/2006/relationships/hyperlink" Target="https://doi.org/10.1017/S0021859600037321" TargetMode="External"/><Relationship Id="rId40" Type="http://schemas.openxmlformats.org/officeDocument/2006/relationships/hyperlink" Target="https://doi.org/10.3168/jds.S0022-0302(88)79782-9" TargetMode="External"/><Relationship Id="rId45" Type="http://schemas.openxmlformats.org/officeDocument/2006/relationships/hyperlink" Target="https://doi.org/10.25077/alive.v2.n2.p126-134.2025" TargetMode="External"/><Relationship Id="rId53" Type="http://schemas.openxmlformats.org/officeDocument/2006/relationships/hyperlink" Target="https://doi.org/10.1111/j.1365-2494.1963.tb00335.x" TargetMode="External"/><Relationship Id="rId5" Type="http://schemas.openxmlformats.org/officeDocument/2006/relationships/webSettings" Target="webSettings.xml"/><Relationship Id="rId10" Type="http://schemas.openxmlformats.org/officeDocument/2006/relationships/hyperlink" Target="https://orcid" TargetMode="External"/><Relationship Id="rId19" Type="http://schemas.openxmlformats.org/officeDocument/2006/relationships/hyperlink" Target="https://doi.org/10.2991/absr.k.220309.054" TargetMode="External"/><Relationship Id="rId31" Type="http://schemas.openxmlformats.org/officeDocument/2006/relationships/hyperlink" Target="https://doi.org/10.2527/2003.811329x" TargetMode="External"/><Relationship Id="rId44" Type="http://schemas.openxmlformats.org/officeDocument/2006/relationships/hyperlink" Target="https://doi.org/10.1016/j.rineng.2025.105914" TargetMode="External"/><Relationship Id="rId52" Type="http://schemas.openxmlformats.org/officeDocument/2006/relationships/hyperlink" Target="https://doi.org/10.3390/vetsci7030098" TargetMode="External"/><Relationship Id="rId4" Type="http://schemas.openxmlformats.org/officeDocument/2006/relationships/settings" Target="settings.xml"/><Relationship Id="rId9" Type="http://schemas.openxmlformats.org/officeDocument/2006/relationships/hyperlink" Target="https://orcid" TargetMode="External"/><Relationship Id="rId14" Type="http://schemas.openxmlformats.org/officeDocument/2006/relationships/chart" Target="charts/chart4.xml"/><Relationship Id="rId22" Type="http://schemas.openxmlformats.org/officeDocument/2006/relationships/hyperlink" Target="https://doi.org/10.3168/jds.2022-22734" TargetMode="External"/><Relationship Id="rId27" Type="http://schemas.openxmlformats.org/officeDocument/2006/relationships/hyperlink" Target="https://doi.org/10.1079/9780851998145.0000" TargetMode="External"/><Relationship Id="rId30" Type="http://schemas.openxmlformats.org/officeDocument/2006/relationships/hyperlink" Target="https://doi.org/10.1016/j.envres.2023.115925" TargetMode="External"/><Relationship Id="rId35" Type="http://schemas.openxmlformats.org/officeDocument/2006/relationships/hyperlink" Target="https://doi.org/10.1079/NRR19900016" TargetMode="External"/><Relationship Id="rId43" Type="http://schemas.openxmlformats.org/officeDocument/2006/relationships/hyperlink" Target="https://doi.org/10.5455/javar.2024.k759" TargetMode="External"/><Relationship Id="rId48" Type="http://schemas.openxmlformats.org/officeDocument/2006/relationships/hyperlink" Target="https://doi.org/10.1017/S000711457400023X" TargetMode="External"/><Relationship Id="rId56" Type="http://schemas.openxmlformats.org/officeDocument/2006/relationships/theme" Target="theme/theme1.xml"/><Relationship Id="rId8" Type="http://schemas.openxmlformats.org/officeDocument/2006/relationships/hyperlink" Target="https://orcid" TargetMode="External"/><Relationship Id="rId51" Type="http://schemas.openxmlformats.org/officeDocument/2006/relationships/hyperlink" Target="https://doi.org/10.1155/2022/9752400" TargetMode="External"/><Relationship Id="rId3" Type="http://schemas.openxmlformats.org/officeDocument/2006/relationships/styles" Target="styles.xml"/><Relationship Id="rId12" Type="http://schemas.openxmlformats.org/officeDocument/2006/relationships/chart" Target="charts/chart2.xml"/><Relationship Id="rId17" Type="http://schemas.openxmlformats.org/officeDocument/2006/relationships/hyperlink" Target="https://doi.org/10.1088/1755-1315/1502/1/012031" TargetMode="External"/><Relationship Id="rId25" Type="http://schemas.openxmlformats.org/officeDocument/2006/relationships/hyperlink" Target="https://doi.org/10.1007/s11250-018-1569-8" TargetMode="External"/><Relationship Id="rId33" Type="http://schemas.openxmlformats.org/officeDocument/2006/relationships/hyperlink" Target="https://doi.org/10.2527/2006.844887x" TargetMode="External"/><Relationship Id="rId38" Type="http://schemas.openxmlformats.org/officeDocument/2006/relationships/hyperlink" Target="https://doi.org/10.17226/19014" TargetMode="External"/><Relationship Id="rId46" Type="http://schemas.openxmlformats.org/officeDocument/2006/relationships/hyperlink" Target="https://doi.org/10.5713/ajas.2003.1420" TargetMode="External"/><Relationship Id="rId20" Type="http://schemas.openxmlformats.org/officeDocument/2006/relationships/hyperlink" Target="https://doi.org/10.47278/journal.ijvs/2023.119" TargetMode="External"/><Relationship Id="rId41" Type="http://schemas.openxmlformats.org/officeDocument/2006/relationships/hyperlink" Target="https://doi.org/10.1017/S002185960005437X" TargetMode="External"/><Relationship Id="rId54" Type="http://schemas.openxmlformats.org/officeDocument/2006/relationships/hyperlink" Target="https://doi.org/10.1111/jam.14812" TargetMode="External"/><Relationship Id="rId1" Type="http://schemas.openxmlformats.org/officeDocument/2006/relationships/customXml" Target="../customXml/item1.xml"/><Relationship Id="rId6" Type="http://schemas.openxmlformats.org/officeDocument/2006/relationships/hyperlink" Target="mailto:fauziaagustin@ansci.unand.ac.id" TargetMode="External"/><Relationship Id="rId15" Type="http://schemas.openxmlformats.org/officeDocument/2006/relationships/chart" Target="charts/chart5.xml"/><Relationship Id="rId23" Type="http://schemas.openxmlformats.org/officeDocument/2006/relationships/hyperlink" Target="https://doi.org/10.1093/ajcn/23.11.1430" TargetMode="External"/><Relationship Id="rId28" Type="http://schemas.openxmlformats.org/officeDocument/2006/relationships/hyperlink" Target="https://www.google.com/search?q=https://doi.org/10.3390/ani14162296" TargetMode="External"/><Relationship Id="rId36" Type="http://schemas.openxmlformats.org/officeDocument/2006/relationships/hyperlink" Target="https://doi.org/10.3390/ani1521309" TargetMode="External"/><Relationship Id="rId49" Type="http://schemas.openxmlformats.org/officeDocument/2006/relationships/hyperlink" Target="https://doi.org/10.1093/jn/133.5.1506S" TargetMode="External"/></Relationships>
</file>

<file path=word/charts/_rels/chart1.xml.rels><?xml version="1.0" encoding="UTF-8" standalone="yes"?>
<Relationships xmlns="http://schemas.openxmlformats.org/package/2006/relationships"><Relationship Id="rId3" Type="http://schemas.openxmlformats.org/officeDocument/2006/relationships/themeOverride" Target="../theme/themeOverride1.xml"/><Relationship Id="rId2" Type="http://schemas.microsoft.com/office/2011/relationships/chartColorStyle" Target="colors1.xml"/><Relationship Id="rId1" Type="http://schemas.microsoft.com/office/2011/relationships/chartStyle" Target="style1.xml"/><Relationship Id="rId4" Type="http://schemas.openxmlformats.org/officeDocument/2006/relationships/package" Target="../embeddings/Microsoft_Excel_Worksheet.xlsx"/></Relationships>
</file>

<file path=word/charts/_rels/chart2.xml.rels><?xml version="1.0" encoding="UTF-8" standalone="yes"?>
<Relationships xmlns="http://schemas.openxmlformats.org/package/2006/relationships"><Relationship Id="rId3" Type="http://schemas.openxmlformats.org/officeDocument/2006/relationships/themeOverride" Target="../theme/themeOverride2.xml"/><Relationship Id="rId2" Type="http://schemas.microsoft.com/office/2011/relationships/chartColorStyle" Target="colors2.xml"/><Relationship Id="rId1" Type="http://schemas.microsoft.com/office/2011/relationships/chartStyle" Target="style2.xml"/><Relationship Id="rId4" Type="http://schemas.openxmlformats.org/officeDocument/2006/relationships/package" Target="../embeddings/Microsoft_Excel_Worksheet1.xlsx"/></Relationships>
</file>

<file path=word/charts/_rels/chart3.xml.rels><?xml version="1.0" encoding="UTF-8" standalone="yes"?>
<Relationships xmlns="http://schemas.openxmlformats.org/package/2006/relationships"><Relationship Id="rId3" Type="http://schemas.openxmlformats.org/officeDocument/2006/relationships/themeOverride" Target="../theme/themeOverride3.xml"/><Relationship Id="rId2" Type="http://schemas.microsoft.com/office/2011/relationships/chartColorStyle" Target="colors3.xml"/><Relationship Id="rId1" Type="http://schemas.microsoft.com/office/2011/relationships/chartStyle" Target="style3.xml"/><Relationship Id="rId4" Type="http://schemas.openxmlformats.org/officeDocument/2006/relationships/package" Target="../embeddings/Microsoft_Excel_Worksheet2.xlsx"/></Relationships>
</file>

<file path=word/charts/_rels/chart4.xml.rels><?xml version="1.0" encoding="UTF-8" standalone="yes"?>
<Relationships xmlns="http://schemas.openxmlformats.org/package/2006/relationships"><Relationship Id="rId3" Type="http://schemas.openxmlformats.org/officeDocument/2006/relationships/themeOverride" Target="../theme/themeOverride4.xml"/><Relationship Id="rId2" Type="http://schemas.microsoft.com/office/2011/relationships/chartColorStyle" Target="colors4.xml"/><Relationship Id="rId1" Type="http://schemas.microsoft.com/office/2011/relationships/chartStyle" Target="style4.xml"/><Relationship Id="rId4" Type="http://schemas.openxmlformats.org/officeDocument/2006/relationships/package" Target="../embeddings/Microsoft_Excel_Worksheet3.xlsx"/></Relationships>
</file>

<file path=word/charts/_rels/chart5.xml.rels><?xml version="1.0" encoding="UTF-8" standalone="yes"?>
<Relationships xmlns="http://schemas.openxmlformats.org/package/2006/relationships"><Relationship Id="rId3" Type="http://schemas.openxmlformats.org/officeDocument/2006/relationships/themeOverride" Target="../theme/themeOverride5.xml"/><Relationship Id="rId2" Type="http://schemas.microsoft.com/office/2011/relationships/chartColorStyle" Target="colors5.xml"/><Relationship Id="rId1" Type="http://schemas.microsoft.com/office/2011/relationships/chartStyle" Target="style5.xml"/><Relationship Id="rId4" Type="http://schemas.openxmlformats.org/officeDocument/2006/relationships/package" Target="../embeddings/Microsoft_Excel_Worksheet4.xlsx"/></Relationships>
</file>

<file path=word/charts/_rels/chart6.xml.rels><?xml version="1.0" encoding="UTF-8" standalone="yes"?>
<Relationships xmlns="http://schemas.openxmlformats.org/package/2006/relationships"><Relationship Id="rId3" Type="http://schemas.openxmlformats.org/officeDocument/2006/relationships/themeOverride" Target="../theme/themeOverride6.xml"/><Relationship Id="rId2" Type="http://schemas.microsoft.com/office/2011/relationships/chartColorStyle" Target="colors6.xml"/><Relationship Id="rId1" Type="http://schemas.microsoft.com/office/2011/relationships/chartStyle" Target="style6.xml"/><Relationship Id="rId4" Type="http://schemas.openxmlformats.org/officeDocument/2006/relationships/package" Target="../embeddings/Microsoft_Excel_Worksheet5.xlsx"/></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view3D>
      <c:rotX val="15"/>
      <c:rotY val="20"/>
      <c:depthPercent val="100"/>
      <c:rAngAx val="1"/>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bar3DChart>
        <c:barDir val="col"/>
        <c:grouping val="clustered"/>
        <c:varyColors val="0"/>
        <c:ser>
          <c:idx val="0"/>
          <c:order val="0"/>
          <c:spPr>
            <a:solidFill>
              <a:schemeClr val="accent1"/>
            </a:solidFill>
            <a:ln>
              <a:noFill/>
            </a:ln>
            <a:effectLst/>
            <a:sp3d/>
          </c:spPr>
          <c:invertIfNegative val="0"/>
          <c:dPt>
            <c:idx val="1"/>
            <c:invertIfNegative val="0"/>
            <c:bubble3D val="0"/>
            <c:spPr>
              <a:solidFill>
                <a:schemeClr val="accent2"/>
              </a:solidFill>
              <a:ln>
                <a:noFill/>
              </a:ln>
              <a:effectLst/>
              <a:sp3d/>
            </c:spPr>
            <c:extLst>
              <c:ext xmlns:c16="http://schemas.microsoft.com/office/drawing/2014/chart" uri="{C3380CC4-5D6E-409C-BE32-E72D297353CC}">
                <c16:uniqueId val="{00000001-FADF-4C53-9CD4-362C44525004}"/>
              </c:ext>
            </c:extLst>
          </c:dPt>
          <c:dPt>
            <c:idx val="2"/>
            <c:invertIfNegative val="0"/>
            <c:bubble3D val="0"/>
            <c:spPr>
              <a:solidFill>
                <a:schemeClr val="accent2"/>
              </a:solidFill>
              <a:ln>
                <a:noFill/>
              </a:ln>
              <a:effectLst/>
              <a:sp3d/>
            </c:spPr>
            <c:extLst>
              <c:ext xmlns:c16="http://schemas.microsoft.com/office/drawing/2014/chart" uri="{C3380CC4-5D6E-409C-BE32-E72D297353CC}">
                <c16:uniqueId val="{00000003-FADF-4C53-9CD4-362C44525004}"/>
              </c:ext>
            </c:extLst>
          </c:dPt>
          <c:dPt>
            <c:idx val="3"/>
            <c:invertIfNegative val="0"/>
            <c:bubble3D val="0"/>
            <c:spPr>
              <a:solidFill>
                <a:schemeClr val="accent6">
                  <a:lumMod val="60000"/>
                  <a:lumOff val="40000"/>
                </a:schemeClr>
              </a:solidFill>
              <a:ln>
                <a:noFill/>
              </a:ln>
              <a:effectLst/>
              <a:sp3d/>
            </c:spPr>
            <c:extLst>
              <c:ext xmlns:c16="http://schemas.microsoft.com/office/drawing/2014/chart" uri="{C3380CC4-5D6E-409C-BE32-E72D297353CC}">
                <c16:uniqueId val="{00000005-FADF-4C53-9CD4-362C44525004}"/>
              </c:ext>
            </c:extLst>
          </c:dPt>
          <c:dPt>
            <c:idx val="4"/>
            <c:invertIfNegative val="0"/>
            <c:bubble3D val="0"/>
            <c:spPr>
              <a:solidFill>
                <a:schemeClr val="accent6">
                  <a:lumMod val="60000"/>
                  <a:lumOff val="40000"/>
                </a:schemeClr>
              </a:solidFill>
              <a:ln>
                <a:noFill/>
              </a:ln>
              <a:effectLst/>
              <a:sp3d/>
            </c:spPr>
            <c:extLst>
              <c:ext xmlns:c16="http://schemas.microsoft.com/office/drawing/2014/chart" uri="{C3380CC4-5D6E-409C-BE32-E72D297353CC}">
                <c16:uniqueId val="{00000007-FADF-4C53-9CD4-362C44525004}"/>
              </c:ext>
            </c:extLst>
          </c:dPt>
          <c:dPt>
            <c:idx val="5"/>
            <c:invertIfNegative val="0"/>
            <c:bubble3D val="0"/>
            <c:spPr>
              <a:solidFill>
                <a:srgbClr val="FFFF00"/>
              </a:solidFill>
              <a:ln>
                <a:noFill/>
              </a:ln>
              <a:effectLst/>
              <a:sp3d/>
            </c:spPr>
            <c:extLst>
              <c:ext xmlns:c16="http://schemas.microsoft.com/office/drawing/2014/chart" uri="{C3380CC4-5D6E-409C-BE32-E72D297353CC}">
                <c16:uniqueId val="{00000009-FADF-4C53-9CD4-362C44525004}"/>
              </c:ext>
            </c:extLst>
          </c:dPt>
          <c:dPt>
            <c:idx val="6"/>
            <c:invertIfNegative val="0"/>
            <c:bubble3D val="0"/>
            <c:spPr>
              <a:solidFill>
                <a:srgbClr val="FFFF00"/>
              </a:solidFill>
              <a:ln>
                <a:noFill/>
              </a:ln>
              <a:effectLst/>
              <a:sp3d/>
            </c:spPr>
            <c:extLst>
              <c:ext xmlns:c16="http://schemas.microsoft.com/office/drawing/2014/chart" uri="{C3380CC4-5D6E-409C-BE32-E72D297353CC}">
                <c16:uniqueId val="{0000000B-FADF-4C53-9CD4-362C44525004}"/>
              </c:ext>
            </c:extLst>
          </c:dPt>
          <c:dLbls>
            <c:dLbl>
              <c:idx val="0"/>
              <c:tx>
                <c:rich>
                  <a:bodyPr/>
                  <a:lstStyle/>
                  <a:p>
                    <a:fld id="{A59186F8-6410-4C82-BFF9-09D87A7BF784}" type="VALUE">
                      <a:rPr lang="en-US"/>
                      <a:pPr/>
                      <a:t>[VALUE]</a:t>
                    </a:fld>
                    <a:r>
                      <a:rPr lang="en-US"/>
                      <a:t>e</a:t>
                    </a:r>
                  </a:p>
                </c:rich>
              </c:tx>
              <c:showLegendKey val="0"/>
              <c:showVal val="1"/>
              <c:showCatName val="0"/>
              <c:showSerName val="0"/>
              <c:showPercent val="0"/>
              <c:showBubbleSize val="0"/>
              <c:extLst>
                <c:ext xmlns:c15="http://schemas.microsoft.com/office/drawing/2012/chart" uri="{CE6537A1-D6FC-4f65-9D91-7224C49458BB}">
                  <c15:dlblFieldTable/>
                  <c15:showDataLabelsRange val="0"/>
                </c:ext>
                <c:ext xmlns:c16="http://schemas.microsoft.com/office/drawing/2014/chart" uri="{C3380CC4-5D6E-409C-BE32-E72D297353CC}">
                  <c16:uniqueId val="{0000000C-FADF-4C53-9CD4-362C44525004}"/>
                </c:ext>
              </c:extLst>
            </c:dLbl>
            <c:dLbl>
              <c:idx val="1"/>
              <c:tx>
                <c:rich>
                  <a:bodyPr/>
                  <a:lstStyle/>
                  <a:p>
                    <a:fld id="{BF3819D3-148D-4196-8EAA-656DC1C31AA9}" type="VALUE">
                      <a:rPr lang="en-US"/>
                      <a:pPr/>
                      <a:t>[VALUE]</a:t>
                    </a:fld>
                    <a:r>
                      <a:rPr lang="en-US"/>
                      <a:t>e</a:t>
                    </a:r>
                  </a:p>
                </c:rich>
              </c:tx>
              <c:showLegendKey val="0"/>
              <c:showVal val="1"/>
              <c:showCatName val="0"/>
              <c:showSerName val="0"/>
              <c:showPercent val="0"/>
              <c:showBubbleSize val="0"/>
              <c:extLst>
                <c:ext xmlns:c15="http://schemas.microsoft.com/office/drawing/2012/chart" uri="{CE6537A1-D6FC-4f65-9D91-7224C49458BB}">
                  <c15:dlblFieldTable/>
                  <c15:showDataLabelsRange val="0"/>
                </c:ext>
                <c:ext xmlns:c16="http://schemas.microsoft.com/office/drawing/2014/chart" uri="{C3380CC4-5D6E-409C-BE32-E72D297353CC}">
                  <c16:uniqueId val="{00000001-FADF-4C53-9CD4-362C44525004}"/>
                </c:ext>
              </c:extLst>
            </c:dLbl>
            <c:dLbl>
              <c:idx val="2"/>
              <c:tx>
                <c:rich>
                  <a:bodyPr/>
                  <a:lstStyle/>
                  <a:p>
                    <a:fld id="{5F11D328-33D5-40C9-B444-73A7758391BC}" type="VALUE">
                      <a:rPr lang="en-US"/>
                      <a:pPr/>
                      <a:t>[VALUE]</a:t>
                    </a:fld>
                    <a:r>
                      <a:rPr lang="en-US"/>
                      <a:t>bc</a:t>
                    </a:r>
                  </a:p>
                </c:rich>
              </c:tx>
              <c:showLegendKey val="0"/>
              <c:showVal val="1"/>
              <c:showCatName val="0"/>
              <c:showSerName val="0"/>
              <c:showPercent val="0"/>
              <c:showBubbleSize val="0"/>
              <c:extLst>
                <c:ext xmlns:c15="http://schemas.microsoft.com/office/drawing/2012/chart" uri="{CE6537A1-D6FC-4f65-9D91-7224C49458BB}">
                  <c15:dlblFieldTable/>
                  <c15:showDataLabelsRange val="0"/>
                </c:ext>
                <c:ext xmlns:c16="http://schemas.microsoft.com/office/drawing/2014/chart" uri="{C3380CC4-5D6E-409C-BE32-E72D297353CC}">
                  <c16:uniqueId val="{00000003-FADF-4C53-9CD4-362C44525004}"/>
                </c:ext>
              </c:extLst>
            </c:dLbl>
            <c:dLbl>
              <c:idx val="3"/>
              <c:tx>
                <c:rich>
                  <a:bodyPr/>
                  <a:lstStyle/>
                  <a:p>
                    <a:fld id="{9E44F7C5-9F90-4E91-84C1-037585B7D6C4}" type="VALUE">
                      <a:rPr lang="en-US"/>
                      <a:pPr/>
                      <a:t>[VALUE]</a:t>
                    </a:fld>
                    <a:r>
                      <a:rPr lang="en-US"/>
                      <a:t>d</a:t>
                    </a:r>
                  </a:p>
                </c:rich>
              </c:tx>
              <c:showLegendKey val="0"/>
              <c:showVal val="1"/>
              <c:showCatName val="0"/>
              <c:showSerName val="0"/>
              <c:showPercent val="0"/>
              <c:showBubbleSize val="0"/>
              <c:extLst>
                <c:ext xmlns:c15="http://schemas.microsoft.com/office/drawing/2012/chart" uri="{CE6537A1-D6FC-4f65-9D91-7224C49458BB}">
                  <c15:dlblFieldTable/>
                  <c15:showDataLabelsRange val="0"/>
                </c:ext>
                <c:ext xmlns:c16="http://schemas.microsoft.com/office/drawing/2014/chart" uri="{C3380CC4-5D6E-409C-BE32-E72D297353CC}">
                  <c16:uniqueId val="{00000005-FADF-4C53-9CD4-362C44525004}"/>
                </c:ext>
              </c:extLst>
            </c:dLbl>
            <c:dLbl>
              <c:idx val="4"/>
              <c:tx>
                <c:rich>
                  <a:bodyPr/>
                  <a:lstStyle/>
                  <a:p>
                    <a:fld id="{CFD8BCAC-863A-4CAE-BA9B-1CDC14F51FDC}" type="VALUE">
                      <a:rPr lang="en-US"/>
                      <a:pPr/>
                      <a:t>[VALUE]</a:t>
                    </a:fld>
                    <a:r>
                      <a:rPr lang="en-US"/>
                      <a:t>b</a:t>
                    </a:r>
                  </a:p>
                </c:rich>
              </c:tx>
              <c:showLegendKey val="0"/>
              <c:showVal val="1"/>
              <c:showCatName val="0"/>
              <c:showSerName val="0"/>
              <c:showPercent val="0"/>
              <c:showBubbleSize val="0"/>
              <c:extLst>
                <c:ext xmlns:c15="http://schemas.microsoft.com/office/drawing/2012/chart" uri="{CE6537A1-D6FC-4f65-9D91-7224C49458BB}">
                  <c15:dlblFieldTable/>
                  <c15:showDataLabelsRange val="0"/>
                </c:ext>
                <c:ext xmlns:c16="http://schemas.microsoft.com/office/drawing/2014/chart" uri="{C3380CC4-5D6E-409C-BE32-E72D297353CC}">
                  <c16:uniqueId val="{00000007-FADF-4C53-9CD4-362C44525004}"/>
                </c:ext>
              </c:extLst>
            </c:dLbl>
            <c:dLbl>
              <c:idx val="5"/>
              <c:tx>
                <c:rich>
                  <a:bodyPr/>
                  <a:lstStyle/>
                  <a:p>
                    <a:fld id="{5B2605A0-B618-468B-9821-8A880D605DB3}" type="VALUE">
                      <a:rPr lang="en-US"/>
                      <a:pPr/>
                      <a:t>[VALUE]</a:t>
                    </a:fld>
                    <a:r>
                      <a:rPr lang="en-US"/>
                      <a:t>b</a:t>
                    </a:r>
                  </a:p>
                </c:rich>
              </c:tx>
              <c:showLegendKey val="0"/>
              <c:showVal val="1"/>
              <c:showCatName val="0"/>
              <c:showSerName val="0"/>
              <c:showPercent val="0"/>
              <c:showBubbleSize val="0"/>
              <c:extLst>
                <c:ext xmlns:c15="http://schemas.microsoft.com/office/drawing/2012/chart" uri="{CE6537A1-D6FC-4f65-9D91-7224C49458BB}">
                  <c15:dlblFieldTable/>
                  <c15:showDataLabelsRange val="0"/>
                </c:ext>
                <c:ext xmlns:c16="http://schemas.microsoft.com/office/drawing/2014/chart" uri="{C3380CC4-5D6E-409C-BE32-E72D297353CC}">
                  <c16:uniqueId val="{00000009-FADF-4C53-9CD4-362C44525004}"/>
                </c:ext>
              </c:extLst>
            </c:dLbl>
            <c:dLbl>
              <c:idx val="6"/>
              <c:tx>
                <c:rich>
                  <a:bodyPr/>
                  <a:lstStyle/>
                  <a:p>
                    <a:fld id="{348FE75F-D648-4EBD-B60A-A96073A7F715}" type="VALUE">
                      <a:rPr lang="en-US"/>
                      <a:pPr/>
                      <a:t>[VALUE]</a:t>
                    </a:fld>
                    <a:r>
                      <a:rPr lang="en-US"/>
                      <a:t>a</a:t>
                    </a:r>
                  </a:p>
                </c:rich>
              </c:tx>
              <c:showLegendKey val="0"/>
              <c:showVal val="1"/>
              <c:showCatName val="0"/>
              <c:showSerName val="0"/>
              <c:showPercent val="0"/>
              <c:showBubbleSize val="0"/>
              <c:extLst>
                <c:ext xmlns:c15="http://schemas.microsoft.com/office/drawing/2012/chart" uri="{CE6537A1-D6FC-4f65-9D91-7224C49458BB}">
                  <c15:dlblFieldTable/>
                  <c15:showDataLabelsRange val="0"/>
                </c:ext>
                <c:ext xmlns:c16="http://schemas.microsoft.com/office/drawing/2014/chart" uri="{C3380CC4-5D6E-409C-BE32-E72D297353CC}">
                  <c16:uniqueId val="{0000000B-FADF-4C53-9CD4-362C44525004}"/>
                </c:ext>
              </c:extLst>
            </c:dLbl>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'pH. NH3, VFA Bima 2024'!$G$4:$G$10</c:f>
              <c:strCache>
                <c:ptCount val="7"/>
                <c:pt idx="0">
                  <c:v>R1</c:v>
                </c:pt>
                <c:pt idx="1">
                  <c:v>R2</c:v>
                </c:pt>
                <c:pt idx="2">
                  <c:v>R3</c:v>
                </c:pt>
                <c:pt idx="3">
                  <c:v>R4</c:v>
                </c:pt>
                <c:pt idx="4">
                  <c:v>R5</c:v>
                </c:pt>
                <c:pt idx="5">
                  <c:v>R6</c:v>
                </c:pt>
                <c:pt idx="6">
                  <c:v>R7</c:v>
                </c:pt>
              </c:strCache>
            </c:strRef>
          </c:cat>
          <c:val>
            <c:numRef>
              <c:f>'pH. NH3, VFA Bima 2024'!$H$4:$H$10</c:f>
              <c:numCache>
                <c:formatCode>General</c:formatCode>
                <c:ptCount val="7"/>
                <c:pt idx="0">
                  <c:v>12</c:v>
                </c:pt>
                <c:pt idx="1">
                  <c:v>12</c:v>
                </c:pt>
                <c:pt idx="2">
                  <c:v>13</c:v>
                </c:pt>
                <c:pt idx="3">
                  <c:v>12</c:v>
                </c:pt>
                <c:pt idx="4">
                  <c:v>13</c:v>
                </c:pt>
                <c:pt idx="5">
                  <c:v>13</c:v>
                </c:pt>
                <c:pt idx="6">
                  <c:v>14</c:v>
                </c:pt>
              </c:numCache>
            </c:numRef>
          </c:val>
          <c:extLst>
            <c:ext xmlns:c16="http://schemas.microsoft.com/office/drawing/2014/chart" uri="{C3380CC4-5D6E-409C-BE32-E72D297353CC}">
              <c16:uniqueId val="{0000000D-FADF-4C53-9CD4-362C44525004}"/>
            </c:ext>
          </c:extLst>
        </c:ser>
        <c:dLbls>
          <c:showLegendKey val="0"/>
          <c:showVal val="1"/>
          <c:showCatName val="0"/>
          <c:showSerName val="0"/>
          <c:showPercent val="0"/>
          <c:showBubbleSize val="0"/>
        </c:dLbls>
        <c:gapWidth val="150"/>
        <c:shape val="box"/>
        <c:axId val="675078495"/>
        <c:axId val="675074175"/>
        <c:axId val="0"/>
      </c:bar3DChart>
      <c:catAx>
        <c:axId val="675078495"/>
        <c:scaling>
          <c:orientation val="minMax"/>
        </c:scaling>
        <c:delete val="0"/>
        <c:axPos val="b"/>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ID" b="1"/>
                  <a:t>Treatment</a:t>
                </a:r>
              </a:p>
            </c:rich>
          </c:tx>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1" i="0" u="none" strike="noStrike" kern="1200" baseline="0">
                <a:solidFill>
                  <a:schemeClr val="tx1">
                    <a:lumMod val="65000"/>
                    <a:lumOff val="35000"/>
                  </a:schemeClr>
                </a:solidFill>
                <a:latin typeface="+mn-lt"/>
                <a:ea typeface="+mn-ea"/>
                <a:cs typeface="+mn-cs"/>
              </a:defRPr>
            </a:pPr>
            <a:endParaRPr lang="en-US"/>
          </a:p>
        </c:txPr>
        <c:crossAx val="675074175"/>
        <c:crosses val="autoZero"/>
        <c:auto val="1"/>
        <c:lblAlgn val="ctr"/>
        <c:lblOffset val="100"/>
        <c:noMultiLvlLbl val="0"/>
      </c:catAx>
      <c:valAx>
        <c:axId val="675074175"/>
        <c:scaling>
          <c:orientation val="minMax"/>
          <c:min val="10"/>
        </c:scaling>
        <c:delete val="0"/>
        <c:axPos val="l"/>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ID" b="1"/>
                  <a:t>Ammonia</a:t>
                </a:r>
                <a:r>
                  <a:rPr lang="en-ID" b="1" baseline="0"/>
                  <a:t> (mg/100mL)</a:t>
                </a:r>
                <a:endParaRPr lang="en-ID" b="1"/>
              </a:p>
            </c:rich>
          </c:tx>
          <c:layout>
            <c:manualLayout>
              <c:xMode val="edge"/>
              <c:yMode val="edge"/>
              <c:x val="5.910700618765323E-2"/>
              <c:y val="6.6015807995442738E-2"/>
            </c:manualLayout>
          </c:layout>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1" i="0" u="none" strike="noStrike" kern="1200" baseline="0">
                <a:solidFill>
                  <a:schemeClr val="tx1">
                    <a:lumMod val="65000"/>
                    <a:lumOff val="35000"/>
                  </a:schemeClr>
                </a:solidFill>
                <a:latin typeface="+mn-lt"/>
                <a:ea typeface="+mn-ea"/>
                <a:cs typeface="+mn-cs"/>
              </a:defRPr>
            </a:pPr>
            <a:endParaRPr lang="en-US"/>
          </a:p>
        </c:txPr>
        <c:crossAx val="675078495"/>
        <c:crosses val="autoZero"/>
        <c:crossBetween val="between"/>
        <c:majorUnit val="1"/>
      </c:valAx>
      <c:spPr>
        <a:noFill/>
        <a:ln>
          <a:noFill/>
        </a:ln>
        <a:effectLst/>
      </c:spPr>
    </c:plotArea>
    <c:legend>
      <c:legendPos val="r"/>
      <c:layout>
        <c:manualLayout>
          <c:xMode val="edge"/>
          <c:yMode val="edge"/>
          <c:x val="0.88743173474814829"/>
          <c:y val="1.7173073307185576E-2"/>
          <c:w val="8.7856568382000025E-2"/>
          <c:h val="0.90700216725108773"/>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4">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view3D>
      <c:rotX val="15"/>
      <c:rotY val="20"/>
      <c:depthPercent val="100"/>
      <c:rAngAx val="1"/>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bar3DChart>
        <c:barDir val="col"/>
        <c:grouping val="clustered"/>
        <c:varyColors val="0"/>
        <c:ser>
          <c:idx val="0"/>
          <c:order val="0"/>
          <c:spPr>
            <a:solidFill>
              <a:schemeClr val="accent1"/>
            </a:solidFill>
            <a:ln>
              <a:noFill/>
            </a:ln>
            <a:effectLst/>
            <a:sp3d/>
          </c:spPr>
          <c:invertIfNegative val="0"/>
          <c:dPt>
            <c:idx val="1"/>
            <c:invertIfNegative val="0"/>
            <c:bubble3D val="0"/>
            <c:spPr>
              <a:solidFill>
                <a:schemeClr val="accent2"/>
              </a:solidFill>
              <a:ln>
                <a:noFill/>
              </a:ln>
              <a:effectLst/>
              <a:sp3d/>
            </c:spPr>
            <c:extLst>
              <c:ext xmlns:c16="http://schemas.microsoft.com/office/drawing/2014/chart" uri="{C3380CC4-5D6E-409C-BE32-E72D297353CC}">
                <c16:uniqueId val="{00000001-F5FC-43C5-95BE-10F883A0F78D}"/>
              </c:ext>
            </c:extLst>
          </c:dPt>
          <c:dPt>
            <c:idx val="2"/>
            <c:invertIfNegative val="0"/>
            <c:bubble3D val="0"/>
            <c:spPr>
              <a:solidFill>
                <a:schemeClr val="accent2"/>
              </a:solidFill>
              <a:ln>
                <a:noFill/>
              </a:ln>
              <a:effectLst/>
              <a:sp3d/>
            </c:spPr>
            <c:extLst>
              <c:ext xmlns:c16="http://schemas.microsoft.com/office/drawing/2014/chart" uri="{C3380CC4-5D6E-409C-BE32-E72D297353CC}">
                <c16:uniqueId val="{00000003-F5FC-43C5-95BE-10F883A0F78D}"/>
              </c:ext>
            </c:extLst>
          </c:dPt>
          <c:dPt>
            <c:idx val="3"/>
            <c:invertIfNegative val="0"/>
            <c:bubble3D val="0"/>
            <c:spPr>
              <a:solidFill>
                <a:schemeClr val="accent6">
                  <a:lumMod val="60000"/>
                  <a:lumOff val="40000"/>
                </a:schemeClr>
              </a:solidFill>
              <a:ln>
                <a:noFill/>
              </a:ln>
              <a:effectLst/>
              <a:sp3d/>
            </c:spPr>
            <c:extLst>
              <c:ext xmlns:c16="http://schemas.microsoft.com/office/drawing/2014/chart" uri="{C3380CC4-5D6E-409C-BE32-E72D297353CC}">
                <c16:uniqueId val="{00000005-F5FC-43C5-95BE-10F883A0F78D}"/>
              </c:ext>
            </c:extLst>
          </c:dPt>
          <c:dPt>
            <c:idx val="4"/>
            <c:invertIfNegative val="0"/>
            <c:bubble3D val="0"/>
            <c:spPr>
              <a:solidFill>
                <a:schemeClr val="accent6">
                  <a:lumMod val="40000"/>
                  <a:lumOff val="60000"/>
                </a:schemeClr>
              </a:solidFill>
              <a:ln>
                <a:noFill/>
              </a:ln>
              <a:effectLst/>
              <a:sp3d/>
            </c:spPr>
            <c:extLst>
              <c:ext xmlns:c16="http://schemas.microsoft.com/office/drawing/2014/chart" uri="{C3380CC4-5D6E-409C-BE32-E72D297353CC}">
                <c16:uniqueId val="{00000007-F5FC-43C5-95BE-10F883A0F78D}"/>
              </c:ext>
            </c:extLst>
          </c:dPt>
          <c:dPt>
            <c:idx val="5"/>
            <c:invertIfNegative val="0"/>
            <c:bubble3D val="0"/>
            <c:spPr>
              <a:solidFill>
                <a:srgbClr val="FFFF00"/>
              </a:solidFill>
              <a:ln>
                <a:noFill/>
              </a:ln>
              <a:effectLst/>
              <a:sp3d/>
            </c:spPr>
            <c:extLst>
              <c:ext xmlns:c16="http://schemas.microsoft.com/office/drawing/2014/chart" uri="{C3380CC4-5D6E-409C-BE32-E72D297353CC}">
                <c16:uniqueId val="{00000009-F5FC-43C5-95BE-10F883A0F78D}"/>
              </c:ext>
            </c:extLst>
          </c:dPt>
          <c:dPt>
            <c:idx val="6"/>
            <c:invertIfNegative val="0"/>
            <c:bubble3D val="0"/>
            <c:spPr>
              <a:solidFill>
                <a:srgbClr val="FFFF00"/>
              </a:solidFill>
              <a:ln>
                <a:noFill/>
              </a:ln>
              <a:effectLst/>
              <a:sp3d/>
            </c:spPr>
            <c:extLst>
              <c:ext xmlns:c16="http://schemas.microsoft.com/office/drawing/2014/chart" uri="{C3380CC4-5D6E-409C-BE32-E72D297353CC}">
                <c16:uniqueId val="{0000000B-F5FC-43C5-95BE-10F883A0F78D}"/>
              </c:ext>
            </c:extLst>
          </c:dPt>
          <c:dLbls>
            <c:dLbl>
              <c:idx val="0"/>
              <c:tx>
                <c:rich>
                  <a:bodyPr/>
                  <a:lstStyle/>
                  <a:p>
                    <a:fld id="{098DA9DE-7FEE-4D2B-8817-C983D672E082}" type="VALUE">
                      <a:rPr lang="en-US"/>
                      <a:pPr/>
                      <a:t>[VALUE]</a:t>
                    </a:fld>
                    <a:r>
                      <a:rPr lang="en-US"/>
                      <a:t>e</a:t>
                    </a:r>
                  </a:p>
                </c:rich>
              </c:tx>
              <c:showLegendKey val="0"/>
              <c:showVal val="1"/>
              <c:showCatName val="0"/>
              <c:showSerName val="0"/>
              <c:showPercent val="0"/>
              <c:showBubbleSize val="0"/>
              <c:extLst>
                <c:ext xmlns:c15="http://schemas.microsoft.com/office/drawing/2012/chart" uri="{CE6537A1-D6FC-4f65-9D91-7224C49458BB}">
                  <c15:dlblFieldTable/>
                  <c15:showDataLabelsRange val="0"/>
                </c:ext>
                <c:ext xmlns:c16="http://schemas.microsoft.com/office/drawing/2014/chart" uri="{C3380CC4-5D6E-409C-BE32-E72D297353CC}">
                  <c16:uniqueId val="{0000000C-F5FC-43C5-95BE-10F883A0F78D}"/>
                </c:ext>
              </c:extLst>
            </c:dLbl>
            <c:dLbl>
              <c:idx val="1"/>
              <c:tx>
                <c:rich>
                  <a:bodyPr/>
                  <a:lstStyle/>
                  <a:p>
                    <a:fld id="{0ED53CDB-7A22-4497-87D4-F5537B3FEB7C}" type="VALUE">
                      <a:rPr lang="en-US"/>
                      <a:pPr/>
                      <a:t>[VALUE]</a:t>
                    </a:fld>
                    <a:r>
                      <a:rPr lang="en-US"/>
                      <a:t>e</a:t>
                    </a:r>
                  </a:p>
                </c:rich>
              </c:tx>
              <c:showLegendKey val="0"/>
              <c:showVal val="1"/>
              <c:showCatName val="0"/>
              <c:showSerName val="0"/>
              <c:showPercent val="0"/>
              <c:showBubbleSize val="0"/>
              <c:extLst>
                <c:ext xmlns:c15="http://schemas.microsoft.com/office/drawing/2012/chart" uri="{CE6537A1-D6FC-4f65-9D91-7224C49458BB}">
                  <c15:dlblFieldTable/>
                  <c15:showDataLabelsRange val="0"/>
                </c:ext>
                <c:ext xmlns:c16="http://schemas.microsoft.com/office/drawing/2014/chart" uri="{C3380CC4-5D6E-409C-BE32-E72D297353CC}">
                  <c16:uniqueId val="{00000001-F5FC-43C5-95BE-10F883A0F78D}"/>
                </c:ext>
              </c:extLst>
            </c:dLbl>
            <c:dLbl>
              <c:idx val="2"/>
              <c:tx>
                <c:rich>
                  <a:bodyPr/>
                  <a:lstStyle/>
                  <a:p>
                    <a:fld id="{9A738337-1A54-4FA2-B89F-AA37D5C44AD5}" type="VALUE">
                      <a:rPr lang="en-US"/>
                      <a:pPr/>
                      <a:t>[VALUE]</a:t>
                    </a:fld>
                    <a:r>
                      <a:rPr lang="en-US"/>
                      <a:t>c</a:t>
                    </a:r>
                  </a:p>
                </c:rich>
              </c:tx>
              <c:showLegendKey val="0"/>
              <c:showVal val="1"/>
              <c:showCatName val="0"/>
              <c:showSerName val="0"/>
              <c:showPercent val="0"/>
              <c:showBubbleSize val="0"/>
              <c:extLst>
                <c:ext xmlns:c15="http://schemas.microsoft.com/office/drawing/2012/chart" uri="{CE6537A1-D6FC-4f65-9D91-7224C49458BB}">
                  <c15:dlblFieldTable/>
                  <c15:showDataLabelsRange val="0"/>
                </c:ext>
                <c:ext xmlns:c16="http://schemas.microsoft.com/office/drawing/2014/chart" uri="{C3380CC4-5D6E-409C-BE32-E72D297353CC}">
                  <c16:uniqueId val="{00000003-F5FC-43C5-95BE-10F883A0F78D}"/>
                </c:ext>
              </c:extLst>
            </c:dLbl>
            <c:dLbl>
              <c:idx val="3"/>
              <c:tx>
                <c:rich>
                  <a:bodyPr/>
                  <a:lstStyle/>
                  <a:p>
                    <a:fld id="{09372594-790D-4A36-815D-3C2D6FE3213B}" type="VALUE">
                      <a:rPr lang="en-US"/>
                      <a:pPr/>
                      <a:t>[VALUE]</a:t>
                    </a:fld>
                    <a:r>
                      <a:rPr lang="en-US"/>
                      <a:t>d</a:t>
                    </a:r>
                  </a:p>
                </c:rich>
              </c:tx>
              <c:showLegendKey val="0"/>
              <c:showVal val="1"/>
              <c:showCatName val="0"/>
              <c:showSerName val="0"/>
              <c:showPercent val="0"/>
              <c:showBubbleSize val="0"/>
              <c:extLst>
                <c:ext xmlns:c15="http://schemas.microsoft.com/office/drawing/2012/chart" uri="{CE6537A1-D6FC-4f65-9D91-7224C49458BB}">
                  <c15:dlblFieldTable/>
                  <c15:showDataLabelsRange val="0"/>
                </c:ext>
                <c:ext xmlns:c16="http://schemas.microsoft.com/office/drawing/2014/chart" uri="{C3380CC4-5D6E-409C-BE32-E72D297353CC}">
                  <c16:uniqueId val="{00000005-F5FC-43C5-95BE-10F883A0F78D}"/>
                </c:ext>
              </c:extLst>
            </c:dLbl>
            <c:dLbl>
              <c:idx val="4"/>
              <c:tx>
                <c:rich>
                  <a:bodyPr/>
                  <a:lstStyle/>
                  <a:p>
                    <a:fld id="{DE9D70E5-02AA-4F72-9D08-85FE805C76CE}" type="VALUE">
                      <a:rPr lang="en-US"/>
                      <a:pPr/>
                      <a:t>[VALUE]</a:t>
                    </a:fld>
                    <a:r>
                      <a:rPr lang="en-US"/>
                      <a:t>b</a:t>
                    </a:r>
                  </a:p>
                </c:rich>
              </c:tx>
              <c:showLegendKey val="0"/>
              <c:showVal val="1"/>
              <c:showCatName val="0"/>
              <c:showSerName val="0"/>
              <c:showPercent val="0"/>
              <c:showBubbleSize val="0"/>
              <c:extLst>
                <c:ext xmlns:c15="http://schemas.microsoft.com/office/drawing/2012/chart" uri="{CE6537A1-D6FC-4f65-9D91-7224C49458BB}">
                  <c15:dlblFieldTable/>
                  <c15:showDataLabelsRange val="0"/>
                </c:ext>
                <c:ext xmlns:c16="http://schemas.microsoft.com/office/drawing/2014/chart" uri="{C3380CC4-5D6E-409C-BE32-E72D297353CC}">
                  <c16:uniqueId val="{00000007-F5FC-43C5-95BE-10F883A0F78D}"/>
                </c:ext>
              </c:extLst>
            </c:dLbl>
            <c:dLbl>
              <c:idx val="5"/>
              <c:tx>
                <c:rich>
                  <a:bodyPr/>
                  <a:lstStyle/>
                  <a:p>
                    <a:fld id="{CEBAEAE7-3895-4CF7-9C0D-042B2F4FF147}" type="VALUE">
                      <a:rPr lang="en-US"/>
                      <a:pPr/>
                      <a:t>[VALUE]</a:t>
                    </a:fld>
                    <a:r>
                      <a:rPr lang="en-US"/>
                      <a:t>b</a:t>
                    </a:r>
                  </a:p>
                </c:rich>
              </c:tx>
              <c:showLegendKey val="0"/>
              <c:showVal val="1"/>
              <c:showCatName val="0"/>
              <c:showSerName val="0"/>
              <c:showPercent val="0"/>
              <c:showBubbleSize val="0"/>
              <c:extLst>
                <c:ext xmlns:c15="http://schemas.microsoft.com/office/drawing/2012/chart" uri="{CE6537A1-D6FC-4f65-9D91-7224C49458BB}">
                  <c15:dlblFieldTable/>
                  <c15:showDataLabelsRange val="0"/>
                </c:ext>
                <c:ext xmlns:c16="http://schemas.microsoft.com/office/drawing/2014/chart" uri="{C3380CC4-5D6E-409C-BE32-E72D297353CC}">
                  <c16:uniqueId val="{00000009-F5FC-43C5-95BE-10F883A0F78D}"/>
                </c:ext>
              </c:extLst>
            </c:dLbl>
            <c:dLbl>
              <c:idx val="6"/>
              <c:tx>
                <c:rich>
                  <a:bodyPr/>
                  <a:lstStyle/>
                  <a:p>
                    <a:fld id="{106D8913-8088-4CBB-B083-7AC711265B7E}" type="VALUE">
                      <a:rPr lang="en-US"/>
                      <a:pPr/>
                      <a:t>[VALUE]</a:t>
                    </a:fld>
                    <a:r>
                      <a:rPr lang="en-US"/>
                      <a:t>a</a:t>
                    </a:r>
                  </a:p>
                </c:rich>
              </c:tx>
              <c:showLegendKey val="0"/>
              <c:showVal val="1"/>
              <c:showCatName val="0"/>
              <c:showSerName val="0"/>
              <c:showPercent val="0"/>
              <c:showBubbleSize val="0"/>
              <c:extLst>
                <c:ext xmlns:c15="http://schemas.microsoft.com/office/drawing/2012/chart" uri="{CE6537A1-D6FC-4f65-9D91-7224C49458BB}">
                  <c15:dlblFieldTable/>
                  <c15:showDataLabelsRange val="0"/>
                </c:ext>
                <c:ext xmlns:c16="http://schemas.microsoft.com/office/drawing/2014/chart" uri="{C3380CC4-5D6E-409C-BE32-E72D297353CC}">
                  <c16:uniqueId val="{0000000B-F5FC-43C5-95BE-10F883A0F78D}"/>
                </c:ext>
              </c:extLst>
            </c:dLbl>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'pH. NH3, VFA Bima 2024'!$N$4:$N$10</c:f>
              <c:strCache>
                <c:ptCount val="7"/>
                <c:pt idx="0">
                  <c:v>R1</c:v>
                </c:pt>
                <c:pt idx="1">
                  <c:v>R2</c:v>
                </c:pt>
                <c:pt idx="2">
                  <c:v>R3</c:v>
                </c:pt>
                <c:pt idx="3">
                  <c:v>R4</c:v>
                </c:pt>
                <c:pt idx="4">
                  <c:v>R5</c:v>
                </c:pt>
                <c:pt idx="5">
                  <c:v>R6</c:v>
                </c:pt>
                <c:pt idx="6">
                  <c:v>R7</c:v>
                </c:pt>
              </c:strCache>
            </c:strRef>
          </c:cat>
          <c:val>
            <c:numRef>
              <c:f>'pH. NH3, VFA Bima 2024'!$O$4:$O$10</c:f>
              <c:numCache>
                <c:formatCode>General</c:formatCode>
                <c:ptCount val="7"/>
                <c:pt idx="0">
                  <c:v>104</c:v>
                </c:pt>
                <c:pt idx="1">
                  <c:v>108</c:v>
                </c:pt>
                <c:pt idx="2">
                  <c:v>120</c:v>
                </c:pt>
                <c:pt idx="3">
                  <c:v>115</c:v>
                </c:pt>
                <c:pt idx="4">
                  <c:v>125</c:v>
                </c:pt>
                <c:pt idx="5">
                  <c:v>128</c:v>
                </c:pt>
                <c:pt idx="6">
                  <c:v>133</c:v>
                </c:pt>
              </c:numCache>
            </c:numRef>
          </c:val>
          <c:extLst>
            <c:ext xmlns:c16="http://schemas.microsoft.com/office/drawing/2014/chart" uri="{C3380CC4-5D6E-409C-BE32-E72D297353CC}">
              <c16:uniqueId val="{0000000D-F5FC-43C5-95BE-10F883A0F78D}"/>
            </c:ext>
          </c:extLst>
        </c:ser>
        <c:dLbls>
          <c:showLegendKey val="0"/>
          <c:showVal val="1"/>
          <c:showCatName val="0"/>
          <c:showSerName val="0"/>
          <c:showPercent val="0"/>
          <c:showBubbleSize val="0"/>
        </c:dLbls>
        <c:gapWidth val="150"/>
        <c:shape val="box"/>
        <c:axId val="881763983"/>
        <c:axId val="881768303"/>
        <c:axId val="0"/>
      </c:bar3DChart>
      <c:catAx>
        <c:axId val="881763983"/>
        <c:scaling>
          <c:orientation val="minMax"/>
        </c:scaling>
        <c:delete val="0"/>
        <c:axPos val="b"/>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ID" b="1"/>
                  <a:t>Treatment</a:t>
                </a:r>
              </a:p>
            </c:rich>
          </c:tx>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1" i="0" u="none" strike="noStrike" kern="1200" baseline="0">
                <a:solidFill>
                  <a:schemeClr val="tx1">
                    <a:lumMod val="65000"/>
                    <a:lumOff val="35000"/>
                  </a:schemeClr>
                </a:solidFill>
                <a:latin typeface="+mn-lt"/>
                <a:ea typeface="+mn-ea"/>
                <a:cs typeface="+mn-cs"/>
              </a:defRPr>
            </a:pPr>
            <a:endParaRPr lang="en-US"/>
          </a:p>
        </c:txPr>
        <c:crossAx val="881768303"/>
        <c:crosses val="autoZero"/>
        <c:auto val="1"/>
        <c:lblAlgn val="ctr"/>
        <c:lblOffset val="100"/>
        <c:noMultiLvlLbl val="0"/>
      </c:catAx>
      <c:valAx>
        <c:axId val="881768303"/>
        <c:scaling>
          <c:orientation val="minMax"/>
          <c:min val="80"/>
        </c:scaling>
        <c:delete val="0"/>
        <c:axPos val="l"/>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ID" b="1"/>
                  <a:t>Total</a:t>
                </a:r>
                <a:r>
                  <a:rPr lang="en-ID" b="1" baseline="0"/>
                  <a:t> </a:t>
                </a:r>
                <a:r>
                  <a:rPr lang="en-ID" b="1"/>
                  <a:t>VFA (mM)</a:t>
                </a:r>
              </a:p>
            </c:rich>
          </c:tx>
          <c:layout>
            <c:manualLayout>
              <c:xMode val="edge"/>
              <c:yMode val="edge"/>
              <c:x val="5.1287779754904325E-2"/>
              <c:y val="0.19094846182231415"/>
            </c:manualLayout>
          </c:layout>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1" i="0" u="none" strike="noStrike" kern="1200" baseline="0">
                <a:solidFill>
                  <a:schemeClr val="tx1">
                    <a:lumMod val="65000"/>
                    <a:lumOff val="35000"/>
                  </a:schemeClr>
                </a:solidFill>
                <a:latin typeface="+mn-lt"/>
                <a:ea typeface="+mn-ea"/>
                <a:cs typeface="+mn-cs"/>
              </a:defRPr>
            </a:pPr>
            <a:endParaRPr lang="en-US"/>
          </a:p>
        </c:txPr>
        <c:crossAx val="881763983"/>
        <c:crosses val="autoZero"/>
        <c:crossBetween val="between"/>
      </c:valAx>
      <c:spPr>
        <a:noFill/>
        <a:ln>
          <a:noFill/>
        </a:ln>
        <a:effectLst/>
      </c:spPr>
    </c:plotArea>
    <c:legend>
      <c:legendPos val="r"/>
      <c:layout>
        <c:manualLayout>
          <c:xMode val="edge"/>
          <c:yMode val="edge"/>
          <c:x val="0.86576017650749959"/>
          <c:y val="3.9181177922531778E-2"/>
          <c:w val="0.10853288261846447"/>
          <c:h val="0.8656594055291269"/>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4">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view3D>
      <c:rotX val="15"/>
      <c:rotY val="20"/>
      <c:depthPercent val="100"/>
      <c:rAngAx val="1"/>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bar3DChart>
        <c:barDir val="col"/>
        <c:grouping val="clustered"/>
        <c:varyColors val="0"/>
        <c:ser>
          <c:idx val="0"/>
          <c:order val="0"/>
          <c:spPr>
            <a:solidFill>
              <a:schemeClr val="accent1"/>
            </a:solidFill>
            <a:ln>
              <a:noFill/>
            </a:ln>
            <a:effectLst/>
            <a:sp3d/>
          </c:spPr>
          <c:invertIfNegative val="0"/>
          <c:dPt>
            <c:idx val="1"/>
            <c:invertIfNegative val="0"/>
            <c:bubble3D val="0"/>
            <c:spPr>
              <a:solidFill>
                <a:schemeClr val="accent2"/>
              </a:solidFill>
              <a:ln>
                <a:noFill/>
              </a:ln>
              <a:effectLst/>
              <a:sp3d/>
            </c:spPr>
            <c:extLst>
              <c:ext xmlns:c16="http://schemas.microsoft.com/office/drawing/2014/chart" uri="{C3380CC4-5D6E-409C-BE32-E72D297353CC}">
                <c16:uniqueId val="{00000001-2AE4-4965-94E4-9C9815DF76C3}"/>
              </c:ext>
            </c:extLst>
          </c:dPt>
          <c:dPt>
            <c:idx val="2"/>
            <c:invertIfNegative val="0"/>
            <c:bubble3D val="0"/>
            <c:spPr>
              <a:solidFill>
                <a:schemeClr val="accent2"/>
              </a:solidFill>
              <a:ln>
                <a:noFill/>
              </a:ln>
              <a:effectLst/>
              <a:sp3d/>
            </c:spPr>
            <c:extLst>
              <c:ext xmlns:c16="http://schemas.microsoft.com/office/drawing/2014/chart" uri="{C3380CC4-5D6E-409C-BE32-E72D297353CC}">
                <c16:uniqueId val="{00000003-2AE4-4965-94E4-9C9815DF76C3}"/>
              </c:ext>
            </c:extLst>
          </c:dPt>
          <c:dPt>
            <c:idx val="3"/>
            <c:invertIfNegative val="0"/>
            <c:bubble3D val="0"/>
            <c:spPr>
              <a:solidFill>
                <a:schemeClr val="accent6">
                  <a:lumMod val="60000"/>
                  <a:lumOff val="40000"/>
                </a:schemeClr>
              </a:solidFill>
              <a:ln>
                <a:noFill/>
              </a:ln>
              <a:effectLst/>
              <a:sp3d/>
            </c:spPr>
            <c:extLst>
              <c:ext xmlns:c16="http://schemas.microsoft.com/office/drawing/2014/chart" uri="{C3380CC4-5D6E-409C-BE32-E72D297353CC}">
                <c16:uniqueId val="{00000005-2AE4-4965-94E4-9C9815DF76C3}"/>
              </c:ext>
            </c:extLst>
          </c:dPt>
          <c:dPt>
            <c:idx val="4"/>
            <c:invertIfNegative val="0"/>
            <c:bubble3D val="0"/>
            <c:spPr>
              <a:solidFill>
                <a:schemeClr val="accent6">
                  <a:lumMod val="60000"/>
                  <a:lumOff val="40000"/>
                </a:schemeClr>
              </a:solidFill>
              <a:ln>
                <a:noFill/>
              </a:ln>
              <a:effectLst/>
              <a:sp3d/>
            </c:spPr>
            <c:extLst>
              <c:ext xmlns:c16="http://schemas.microsoft.com/office/drawing/2014/chart" uri="{C3380CC4-5D6E-409C-BE32-E72D297353CC}">
                <c16:uniqueId val="{00000007-2AE4-4965-94E4-9C9815DF76C3}"/>
              </c:ext>
            </c:extLst>
          </c:dPt>
          <c:dPt>
            <c:idx val="5"/>
            <c:invertIfNegative val="0"/>
            <c:bubble3D val="0"/>
            <c:spPr>
              <a:solidFill>
                <a:srgbClr val="FFFF00"/>
              </a:solidFill>
              <a:ln>
                <a:noFill/>
              </a:ln>
              <a:effectLst/>
              <a:sp3d/>
            </c:spPr>
            <c:extLst>
              <c:ext xmlns:c16="http://schemas.microsoft.com/office/drawing/2014/chart" uri="{C3380CC4-5D6E-409C-BE32-E72D297353CC}">
                <c16:uniqueId val="{00000009-2AE4-4965-94E4-9C9815DF76C3}"/>
              </c:ext>
            </c:extLst>
          </c:dPt>
          <c:dPt>
            <c:idx val="6"/>
            <c:invertIfNegative val="0"/>
            <c:bubble3D val="0"/>
            <c:spPr>
              <a:solidFill>
                <a:srgbClr val="FFFF00"/>
              </a:solidFill>
              <a:ln>
                <a:noFill/>
              </a:ln>
              <a:effectLst/>
              <a:sp3d/>
            </c:spPr>
            <c:extLst>
              <c:ext xmlns:c16="http://schemas.microsoft.com/office/drawing/2014/chart" uri="{C3380CC4-5D6E-409C-BE32-E72D297353CC}">
                <c16:uniqueId val="{0000000B-2AE4-4965-94E4-9C9815DF76C3}"/>
              </c:ext>
            </c:extLst>
          </c:dPt>
          <c:dLbls>
            <c:dLbl>
              <c:idx val="0"/>
              <c:tx>
                <c:rich>
                  <a:bodyPr/>
                  <a:lstStyle/>
                  <a:p>
                    <a:fld id="{FD076355-E4A8-414E-B080-4E48871F9223}" type="VALUE">
                      <a:rPr lang="en-US"/>
                      <a:pPr/>
                      <a:t>[VALUE]</a:t>
                    </a:fld>
                    <a:r>
                      <a:rPr lang="en-US"/>
                      <a:t>d</a:t>
                    </a:r>
                  </a:p>
                </c:rich>
              </c:tx>
              <c:showLegendKey val="0"/>
              <c:showVal val="1"/>
              <c:showCatName val="0"/>
              <c:showSerName val="0"/>
              <c:showPercent val="0"/>
              <c:showBubbleSize val="0"/>
              <c:extLst>
                <c:ext xmlns:c15="http://schemas.microsoft.com/office/drawing/2012/chart" uri="{CE6537A1-D6FC-4f65-9D91-7224C49458BB}">
                  <c15:dlblFieldTable/>
                  <c15:showDataLabelsRange val="0"/>
                </c:ext>
                <c:ext xmlns:c16="http://schemas.microsoft.com/office/drawing/2014/chart" uri="{C3380CC4-5D6E-409C-BE32-E72D297353CC}">
                  <c16:uniqueId val="{0000000C-2AE4-4965-94E4-9C9815DF76C3}"/>
                </c:ext>
              </c:extLst>
            </c:dLbl>
            <c:dLbl>
              <c:idx val="1"/>
              <c:tx>
                <c:rich>
                  <a:bodyPr/>
                  <a:lstStyle/>
                  <a:p>
                    <a:fld id="{C6ACFBB2-48C0-413A-85DC-405D76E0208C}" type="VALUE">
                      <a:rPr lang="en-US"/>
                      <a:pPr/>
                      <a:t>[VALUE]</a:t>
                    </a:fld>
                    <a:r>
                      <a:rPr lang="en-US"/>
                      <a:t>cd</a:t>
                    </a:r>
                  </a:p>
                </c:rich>
              </c:tx>
              <c:showLegendKey val="0"/>
              <c:showVal val="1"/>
              <c:showCatName val="0"/>
              <c:showSerName val="0"/>
              <c:showPercent val="0"/>
              <c:showBubbleSize val="0"/>
              <c:extLst>
                <c:ext xmlns:c15="http://schemas.microsoft.com/office/drawing/2012/chart" uri="{CE6537A1-D6FC-4f65-9D91-7224C49458BB}">
                  <c15:dlblFieldTable/>
                  <c15:showDataLabelsRange val="0"/>
                </c:ext>
                <c:ext xmlns:c16="http://schemas.microsoft.com/office/drawing/2014/chart" uri="{C3380CC4-5D6E-409C-BE32-E72D297353CC}">
                  <c16:uniqueId val="{00000001-2AE4-4965-94E4-9C9815DF76C3}"/>
                </c:ext>
              </c:extLst>
            </c:dLbl>
            <c:dLbl>
              <c:idx val="2"/>
              <c:tx>
                <c:rich>
                  <a:bodyPr/>
                  <a:lstStyle/>
                  <a:p>
                    <a:fld id="{B2F57F59-3F3D-4A27-BE3F-323766BAE87F}" type="VALUE">
                      <a:rPr lang="en-US"/>
                      <a:pPr/>
                      <a:t>[VALUE]</a:t>
                    </a:fld>
                    <a:r>
                      <a:rPr lang="en-US"/>
                      <a:t>bc</a:t>
                    </a:r>
                  </a:p>
                </c:rich>
              </c:tx>
              <c:showLegendKey val="0"/>
              <c:showVal val="1"/>
              <c:showCatName val="0"/>
              <c:showSerName val="0"/>
              <c:showPercent val="0"/>
              <c:showBubbleSize val="0"/>
              <c:extLst>
                <c:ext xmlns:c15="http://schemas.microsoft.com/office/drawing/2012/chart" uri="{CE6537A1-D6FC-4f65-9D91-7224C49458BB}">
                  <c15:dlblFieldTable/>
                  <c15:showDataLabelsRange val="0"/>
                </c:ext>
                <c:ext xmlns:c16="http://schemas.microsoft.com/office/drawing/2014/chart" uri="{C3380CC4-5D6E-409C-BE32-E72D297353CC}">
                  <c16:uniqueId val="{00000003-2AE4-4965-94E4-9C9815DF76C3}"/>
                </c:ext>
              </c:extLst>
            </c:dLbl>
            <c:dLbl>
              <c:idx val="3"/>
              <c:tx>
                <c:rich>
                  <a:bodyPr/>
                  <a:lstStyle/>
                  <a:p>
                    <a:fld id="{9535138A-475B-4BBB-97EC-D3DCD8A59134}" type="VALUE">
                      <a:rPr lang="en-US"/>
                      <a:pPr/>
                      <a:t>[VALUE]</a:t>
                    </a:fld>
                    <a:r>
                      <a:rPr lang="en-US"/>
                      <a:t>bc</a:t>
                    </a:r>
                  </a:p>
                </c:rich>
              </c:tx>
              <c:showLegendKey val="0"/>
              <c:showVal val="1"/>
              <c:showCatName val="0"/>
              <c:showSerName val="0"/>
              <c:showPercent val="0"/>
              <c:showBubbleSize val="0"/>
              <c:extLst>
                <c:ext xmlns:c15="http://schemas.microsoft.com/office/drawing/2012/chart" uri="{CE6537A1-D6FC-4f65-9D91-7224C49458BB}">
                  <c15:dlblFieldTable/>
                  <c15:showDataLabelsRange val="0"/>
                </c:ext>
                <c:ext xmlns:c16="http://schemas.microsoft.com/office/drawing/2014/chart" uri="{C3380CC4-5D6E-409C-BE32-E72D297353CC}">
                  <c16:uniqueId val="{00000005-2AE4-4965-94E4-9C9815DF76C3}"/>
                </c:ext>
              </c:extLst>
            </c:dLbl>
            <c:dLbl>
              <c:idx val="4"/>
              <c:tx>
                <c:rich>
                  <a:bodyPr/>
                  <a:lstStyle/>
                  <a:p>
                    <a:fld id="{25C33D39-CFDB-43DC-9869-A909DC57C719}" type="VALUE">
                      <a:rPr lang="en-US"/>
                      <a:pPr/>
                      <a:t>[VALUE]</a:t>
                    </a:fld>
                    <a:r>
                      <a:rPr lang="en-US"/>
                      <a:t>b</a:t>
                    </a:r>
                  </a:p>
                </c:rich>
              </c:tx>
              <c:showLegendKey val="0"/>
              <c:showVal val="1"/>
              <c:showCatName val="0"/>
              <c:showSerName val="0"/>
              <c:showPercent val="0"/>
              <c:showBubbleSize val="0"/>
              <c:extLst>
                <c:ext xmlns:c15="http://schemas.microsoft.com/office/drawing/2012/chart" uri="{CE6537A1-D6FC-4f65-9D91-7224C49458BB}">
                  <c15:dlblFieldTable/>
                  <c15:showDataLabelsRange val="0"/>
                </c:ext>
                <c:ext xmlns:c16="http://schemas.microsoft.com/office/drawing/2014/chart" uri="{C3380CC4-5D6E-409C-BE32-E72D297353CC}">
                  <c16:uniqueId val="{00000007-2AE4-4965-94E4-9C9815DF76C3}"/>
                </c:ext>
              </c:extLst>
            </c:dLbl>
            <c:dLbl>
              <c:idx val="5"/>
              <c:tx>
                <c:rich>
                  <a:bodyPr/>
                  <a:lstStyle/>
                  <a:p>
                    <a:fld id="{6DB91145-9D23-4E75-B892-ED42B9EDFAA6}" type="VALUE">
                      <a:rPr lang="en-US"/>
                      <a:pPr/>
                      <a:t>[VALUE]</a:t>
                    </a:fld>
                    <a:r>
                      <a:rPr lang="en-US"/>
                      <a:t>b</a:t>
                    </a:r>
                  </a:p>
                </c:rich>
              </c:tx>
              <c:showLegendKey val="0"/>
              <c:showVal val="1"/>
              <c:showCatName val="0"/>
              <c:showSerName val="0"/>
              <c:showPercent val="0"/>
              <c:showBubbleSize val="0"/>
              <c:extLst>
                <c:ext xmlns:c15="http://schemas.microsoft.com/office/drawing/2012/chart" uri="{CE6537A1-D6FC-4f65-9D91-7224C49458BB}">
                  <c15:dlblFieldTable/>
                  <c15:showDataLabelsRange val="0"/>
                </c:ext>
                <c:ext xmlns:c16="http://schemas.microsoft.com/office/drawing/2014/chart" uri="{C3380CC4-5D6E-409C-BE32-E72D297353CC}">
                  <c16:uniqueId val="{00000009-2AE4-4965-94E4-9C9815DF76C3}"/>
                </c:ext>
              </c:extLst>
            </c:dLbl>
            <c:dLbl>
              <c:idx val="6"/>
              <c:tx>
                <c:rich>
                  <a:bodyPr/>
                  <a:lstStyle/>
                  <a:p>
                    <a:fld id="{C5B65913-C10D-4607-84F6-D4D3619BC326}" type="VALUE">
                      <a:rPr lang="en-US"/>
                      <a:pPr/>
                      <a:t>[VALUE]</a:t>
                    </a:fld>
                    <a:r>
                      <a:rPr lang="en-US"/>
                      <a:t>a</a:t>
                    </a:r>
                  </a:p>
                </c:rich>
              </c:tx>
              <c:showLegendKey val="0"/>
              <c:showVal val="1"/>
              <c:showCatName val="0"/>
              <c:showSerName val="0"/>
              <c:showPercent val="0"/>
              <c:showBubbleSize val="0"/>
              <c:extLst>
                <c:ext xmlns:c15="http://schemas.microsoft.com/office/drawing/2012/chart" uri="{CE6537A1-D6FC-4f65-9D91-7224C49458BB}">
                  <c15:dlblFieldTable/>
                  <c15:showDataLabelsRange val="0"/>
                </c:ext>
                <c:ext xmlns:c16="http://schemas.microsoft.com/office/drawing/2014/chart" uri="{C3380CC4-5D6E-409C-BE32-E72D297353CC}">
                  <c16:uniqueId val="{0000000B-2AE4-4965-94E4-9C9815DF76C3}"/>
                </c:ext>
              </c:extLst>
            </c:dLbl>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'STATISTIK KCBO'!$M$33:$M$39</c:f>
              <c:strCache>
                <c:ptCount val="7"/>
                <c:pt idx="0">
                  <c:v>R1</c:v>
                </c:pt>
                <c:pt idx="1">
                  <c:v>R2</c:v>
                </c:pt>
                <c:pt idx="2">
                  <c:v>R3</c:v>
                </c:pt>
                <c:pt idx="3">
                  <c:v>R4</c:v>
                </c:pt>
                <c:pt idx="4">
                  <c:v>R5</c:v>
                </c:pt>
                <c:pt idx="5">
                  <c:v>R6</c:v>
                </c:pt>
                <c:pt idx="6">
                  <c:v>R7</c:v>
                </c:pt>
              </c:strCache>
            </c:strRef>
          </c:cat>
          <c:val>
            <c:numRef>
              <c:f>'STATISTIK KCBO'!$N$33:$N$39</c:f>
              <c:numCache>
                <c:formatCode>General</c:formatCode>
                <c:ptCount val="7"/>
                <c:pt idx="0">
                  <c:v>65</c:v>
                </c:pt>
                <c:pt idx="1">
                  <c:v>66</c:v>
                </c:pt>
                <c:pt idx="2">
                  <c:v>68</c:v>
                </c:pt>
                <c:pt idx="3">
                  <c:v>68</c:v>
                </c:pt>
                <c:pt idx="4">
                  <c:v>69</c:v>
                </c:pt>
                <c:pt idx="5">
                  <c:v>69</c:v>
                </c:pt>
                <c:pt idx="6">
                  <c:v>72</c:v>
                </c:pt>
              </c:numCache>
            </c:numRef>
          </c:val>
          <c:extLst>
            <c:ext xmlns:c16="http://schemas.microsoft.com/office/drawing/2014/chart" uri="{C3380CC4-5D6E-409C-BE32-E72D297353CC}">
              <c16:uniqueId val="{0000000D-2AE4-4965-94E4-9C9815DF76C3}"/>
            </c:ext>
          </c:extLst>
        </c:ser>
        <c:dLbls>
          <c:showLegendKey val="0"/>
          <c:showVal val="1"/>
          <c:showCatName val="0"/>
          <c:showSerName val="0"/>
          <c:showPercent val="0"/>
          <c:showBubbleSize val="0"/>
        </c:dLbls>
        <c:gapWidth val="150"/>
        <c:shape val="box"/>
        <c:axId val="1249218159"/>
        <c:axId val="1249220079"/>
        <c:axId val="0"/>
      </c:bar3DChart>
      <c:catAx>
        <c:axId val="1249218159"/>
        <c:scaling>
          <c:orientation val="minMax"/>
        </c:scaling>
        <c:delete val="0"/>
        <c:axPos val="b"/>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ID" b="1"/>
                  <a:t>Treatment</a:t>
                </a:r>
              </a:p>
            </c:rich>
          </c:tx>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out"/>
        <c:minorTickMark val="none"/>
        <c:tickLblPos val="nextTo"/>
        <c:spPr>
          <a:noFill/>
          <a:ln>
            <a:noFill/>
          </a:ln>
          <a:effectLst/>
        </c:spPr>
        <c:txPr>
          <a:bodyPr rot="-60000000" spcFirstLastPara="1" vertOverflow="ellipsis" vert="horz" wrap="square" anchor="ctr" anchorCtr="1"/>
          <a:lstStyle/>
          <a:p>
            <a:pPr>
              <a:defRPr sz="900" b="1" i="0" u="none" strike="noStrike" kern="1200" baseline="0">
                <a:solidFill>
                  <a:schemeClr val="tx1">
                    <a:lumMod val="65000"/>
                    <a:lumOff val="35000"/>
                  </a:schemeClr>
                </a:solidFill>
                <a:latin typeface="+mn-lt"/>
                <a:ea typeface="+mn-ea"/>
                <a:cs typeface="+mn-cs"/>
              </a:defRPr>
            </a:pPr>
            <a:endParaRPr lang="en-US"/>
          </a:p>
        </c:txPr>
        <c:crossAx val="1249220079"/>
        <c:crosses val="autoZero"/>
        <c:auto val="1"/>
        <c:lblAlgn val="ctr"/>
        <c:lblOffset val="100"/>
        <c:noMultiLvlLbl val="0"/>
      </c:catAx>
      <c:valAx>
        <c:axId val="1249220079"/>
        <c:scaling>
          <c:orientation val="minMax"/>
        </c:scaling>
        <c:delete val="0"/>
        <c:axPos val="l"/>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ID" b="1"/>
                  <a:t>Organic</a:t>
                </a:r>
                <a:r>
                  <a:rPr lang="en-ID" b="1" baseline="0"/>
                  <a:t> matter digestibility (%)</a:t>
                </a:r>
                <a:endParaRPr lang="en-ID" b="1"/>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out"/>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249218159"/>
        <c:crosses val="autoZero"/>
        <c:crossBetween val="between"/>
      </c:valAx>
      <c:spPr>
        <a:noFill/>
        <a:ln>
          <a:noFill/>
        </a:ln>
        <a:effectLst/>
      </c:spPr>
    </c:plotArea>
    <c:legend>
      <c:legendPos val="r"/>
      <c:layout>
        <c:manualLayout>
          <c:xMode val="edge"/>
          <c:yMode val="edge"/>
          <c:x val="0.87376480740068652"/>
          <c:y val="2.165749136953549E-2"/>
          <c:w val="0.10206113941639648"/>
          <c:h val="0.88448221950595529"/>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4">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view3D>
      <c:rotX val="15"/>
      <c:rotY val="20"/>
      <c:depthPercent val="100"/>
      <c:rAngAx val="1"/>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manualLayout>
          <c:layoutTarget val="inner"/>
          <c:xMode val="edge"/>
          <c:yMode val="edge"/>
          <c:x val="0.15390835657918084"/>
          <c:y val="9.4267655417587665E-2"/>
          <c:w val="0.84396062992125986"/>
          <c:h val="0.76733429370194228"/>
        </c:manualLayout>
      </c:layout>
      <c:bar3DChart>
        <c:barDir val="col"/>
        <c:grouping val="clustered"/>
        <c:varyColors val="0"/>
        <c:ser>
          <c:idx val="0"/>
          <c:order val="0"/>
          <c:spPr>
            <a:solidFill>
              <a:schemeClr val="accent1"/>
            </a:solidFill>
            <a:ln>
              <a:noFill/>
            </a:ln>
            <a:effectLst/>
            <a:sp3d/>
          </c:spPr>
          <c:invertIfNegative val="0"/>
          <c:dPt>
            <c:idx val="1"/>
            <c:invertIfNegative val="0"/>
            <c:bubble3D val="0"/>
            <c:spPr>
              <a:solidFill>
                <a:schemeClr val="accent2"/>
              </a:solidFill>
              <a:ln>
                <a:noFill/>
              </a:ln>
              <a:effectLst/>
              <a:sp3d/>
            </c:spPr>
            <c:extLst>
              <c:ext xmlns:c16="http://schemas.microsoft.com/office/drawing/2014/chart" uri="{C3380CC4-5D6E-409C-BE32-E72D297353CC}">
                <c16:uniqueId val="{00000001-69D4-4DA5-830D-8E8D2B0AD43D}"/>
              </c:ext>
            </c:extLst>
          </c:dPt>
          <c:dPt>
            <c:idx val="2"/>
            <c:invertIfNegative val="0"/>
            <c:bubble3D val="0"/>
            <c:spPr>
              <a:solidFill>
                <a:schemeClr val="accent2"/>
              </a:solidFill>
              <a:ln>
                <a:noFill/>
              </a:ln>
              <a:effectLst/>
              <a:sp3d/>
            </c:spPr>
            <c:extLst>
              <c:ext xmlns:c16="http://schemas.microsoft.com/office/drawing/2014/chart" uri="{C3380CC4-5D6E-409C-BE32-E72D297353CC}">
                <c16:uniqueId val="{00000003-69D4-4DA5-830D-8E8D2B0AD43D}"/>
              </c:ext>
            </c:extLst>
          </c:dPt>
          <c:dPt>
            <c:idx val="3"/>
            <c:invertIfNegative val="0"/>
            <c:bubble3D val="0"/>
            <c:spPr>
              <a:solidFill>
                <a:schemeClr val="accent6">
                  <a:lumMod val="60000"/>
                  <a:lumOff val="40000"/>
                </a:schemeClr>
              </a:solidFill>
              <a:ln>
                <a:noFill/>
              </a:ln>
              <a:effectLst/>
              <a:sp3d/>
            </c:spPr>
            <c:extLst>
              <c:ext xmlns:c16="http://schemas.microsoft.com/office/drawing/2014/chart" uri="{C3380CC4-5D6E-409C-BE32-E72D297353CC}">
                <c16:uniqueId val="{00000005-69D4-4DA5-830D-8E8D2B0AD43D}"/>
              </c:ext>
            </c:extLst>
          </c:dPt>
          <c:dPt>
            <c:idx val="4"/>
            <c:invertIfNegative val="0"/>
            <c:bubble3D val="0"/>
            <c:spPr>
              <a:solidFill>
                <a:schemeClr val="accent6">
                  <a:lumMod val="60000"/>
                  <a:lumOff val="40000"/>
                </a:schemeClr>
              </a:solidFill>
              <a:ln>
                <a:noFill/>
              </a:ln>
              <a:effectLst/>
              <a:sp3d/>
            </c:spPr>
            <c:extLst>
              <c:ext xmlns:c16="http://schemas.microsoft.com/office/drawing/2014/chart" uri="{C3380CC4-5D6E-409C-BE32-E72D297353CC}">
                <c16:uniqueId val="{00000007-69D4-4DA5-830D-8E8D2B0AD43D}"/>
              </c:ext>
            </c:extLst>
          </c:dPt>
          <c:dPt>
            <c:idx val="5"/>
            <c:invertIfNegative val="0"/>
            <c:bubble3D val="0"/>
            <c:spPr>
              <a:solidFill>
                <a:srgbClr val="FFFF00"/>
              </a:solidFill>
              <a:ln>
                <a:noFill/>
              </a:ln>
              <a:effectLst/>
              <a:sp3d/>
            </c:spPr>
            <c:extLst>
              <c:ext xmlns:c16="http://schemas.microsoft.com/office/drawing/2014/chart" uri="{C3380CC4-5D6E-409C-BE32-E72D297353CC}">
                <c16:uniqueId val="{00000009-69D4-4DA5-830D-8E8D2B0AD43D}"/>
              </c:ext>
            </c:extLst>
          </c:dPt>
          <c:dPt>
            <c:idx val="6"/>
            <c:invertIfNegative val="0"/>
            <c:bubble3D val="0"/>
            <c:spPr>
              <a:solidFill>
                <a:srgbClr val="FFFF00"/>
              </a:solidFill>
              <a:ln>
                <a:noFill/>
              </a:ln>
              <a:effectLst/>
              <a:sp3d/>
            </c:spPr>
            <c:extLst>
              <c:ext xmlns:c16="http://schemas.microsoft.com/office/drawing/2014/chart" uri="{C3380CC4-5D6E-409C-BE32-E72D297353CC}">
                <c16:uniqueId val="{0000000B-69D4-4DA5-830D-8E8D2B0AD43D}"/>
              </c:ext>
            </c:extLst>
          </c:dPt>
          <c:dLbls>
            <c:dLbl>
              <c:idx val="0"/>
              <c:tx>
                <c:rich>
                  <a:bodyPr/>
                  <a:lstStyle/>
                  <a:p>
                    <a:fld id="{00053DB6-1A04-4609-9722-541933B599B3}" type="VALUE">
                      <a:rPr lang="en-US"/>
                      <a:pPr/>
                      <a:t>[VALUE]</a:t>
                    </a:fld>
                    <a:r>
                      <a:rPr lang="en-US"/>
                      <a:t>d</a:t>
                    </a:r>
                  </a:p>
                </c:rich>
              </c:tx>
              <c:showLegendKey val="0"/>
              <c:showVal val="1"/>
              <c:showCatName val="0"/>
              <c:showSerName val="0"/>
              <c:showPercent val="0"/>
              <c:showBubbleSize val="0"/>
              <c:extLst>
                <c:ext xmlns:c15="http://schemas.microsoft.com/office/drawing/2012/chart" uri="{CE6537A1-D6FC-4f65-9D91-7224C49458BB}">
                  <c15:dlblFieldTable/>
                  <c15:showDataLabelsRange val="0"/>
                </c:ext>
                <c:ext xmlns:c16="http://schemas.microsoft.com/office/drawing/2014/chart" uri="{C3380CC4-5D6E-409C-BE32-E72D297353CC}">
                  <c16:uniqueId val="{0000000C-69D4-4DA5-830D-8E8D2B0AD43D}"/>
                </c:ext>
              </c:extLst>
            </c:dLbl>
            <c:dLbl>
              <c:idx val="1"/>
              <c:tx>
                <c:rich>
                  <a:bodyPr/>
                  <a:lstStyle/>
                  <a:p>
                    <a:fld id="{7F0BC4AE-75AF-436E-A582-217219AA7390}" type="VALUE">
                      <a:rPr lang="en-US"/>
                      <a:pPr/>
                      <a:t>[VALUE]</a:t>
                    </a:fld>
                    <a:r>
                      <a:rPr lang="en-US"/>
                      <a:t>c</a:t>
                    </a:r>
                  </a:p>
                </c:rich>
              </c:tx>
              <c:showLegendKey val="0"/>
              <c:showVal val="1"/>
              <c:showCatName val="0"/>
              <c:showSerName val="0"/>
              <c:showPercent val="0"/>
              <c:showBubbleSize val="0"/>
              <c:extLst>
                <c:ext xmlns:c15="http://schemas.microsoft.com/office/drawing/2012/chart" uri="{CE6537A1-D6FC-4f65-9D91-7224C49458BB}">
                  <c15:dlblFieldTable/>
                  <c15:showDataLabelsRange val="0"/>
                </c:ext>
                <c:ext xmlns:c16="http://schemas.microsoft.com/office/drawing/2014/chart" uri="{C3380CC4-5D6E-409C-BE32-E72D297353CC}">
                  <c16:uniqueId val="{00000001-69D4-4DA5-830D-8E8D2B0AD43D}"/>
                </c:ext>
              </c:extLst>
            </c:dLbl>
            <c:dLbl>
              <c:idx val="2"/>
              <c:tx>
                <c:rich>
                  <a:bodyPr/>
                  <a:lstStyle/>
                  <a:p>
                    <a:r>
                      <a:rPr lang="en-US"/>
                      <a:t>72ab</a:t>
                    </a:r>
                  </a:p>
                </c:rich>
              </c:tx>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3-69D4-4DA5-830D-8E8D2B0AD43D}"/>
                </c:ext>
              </c:extLst>
            </c:dLbl>
            <c:dLbl>
              <c:idx val="3"/>
              <c:tx>
                <c:rich>
                  <a:bodyPr/>
                  <a:lstStyle/>
                  <a:p>
                    <a:fld id="{E4109523-F1B6-4101-B2EA-130C86C14C23}" type="VALUE">
                      <a:rPr lang="en-US"/>
                      <a:pPr/>
                      <a:t>[VALUE]</a:t>
                    </a:fld>
                    <a:r>
                      <a:rPr lang="en-US"/>
                      <a:t>d</a:t>
                    </a:r>
                  </a:p>
                </c:rich>
              </c:tx>
              <c:showLegendKey val="0"/>
              <c:showVal val="1"/>
              <c:showCatName val="0"/>
              <c:showSerName val="0"/>
              <c:showPercent val="0"/>
              <c:showBubbleSize val="0"/>
              <c:extLst>
                <c:ext xmlns:c15="http://schemas.microsoft.com/office/drawing/2012/chart" uri="{CE6537A1-D6FC-4f65-9D91-7224C49458BB}">
                  <c15:dlblFieldTable/>
                  <c15:showDataLabelsRange val="0"/>
                </c:ext>
                <c:ext xmlns:c16="http://schemas.microsoft.com/office/drawing/2014/chart" uri="{C3380CC4-5D6E-409C-BE32-E72D297353CC}">
                  <c16:uniqueId val="{00000005-69D4-4DA5-830D-8E8D2B0AD43D}"/>
                </c:ext>
              </c:extLst>
            </c:dLbl>
            <c:dLbl>
              <c:idx val="4"/>
              <c:tx>
                <c:rich>
                  <a:bodyPr/>
                  <a:lstStyle/>
                  <a:p>
                    <a:fld id="{0BD3577C-16FE-4576-A61F-99094EA64628}" type="VALUE">
                      <a:rPr lang="en-US"/>
                      <a:pPr/>
                      <a:t>[VALUE]</a:t>
                    </a:fld>
                    <a:r>
                      <a:rPr lang="en-US"/>
                      <a:t>d</a:t>
                    </a:r>
                  </a:p>
                </c:rich>
              </c:tx>
              <c:showLegendKey val="0"/>
              <c:showVal val="1"/>
              <c:showCatName val="0"/>
              <c:showSerName val="0"/>
              <c:showPercent val="0"/>
              <c:showBubbleSize val="0"/>
              <c:extLst>
                <c:ext xmlns:c15="http://schemas.microsoft.com/office/drawing/2012/chart" uri="{CE6537A1-D6FC-4f65-9D91-7224C49458BB}">
                  <c15:dlblFieldTable/>
                  <c15:showDataLabelsRange val="0"/>
                </c:ext>
                <c:ext xmlns:c16="http://schemas.microsoft.com/office/drawing/2014/chart" uri="{C3380CC4-5D6E-409C-BE32-E72D297353CC}">
                  <c16:uniqueId val="{00000007-69D4-4DA5-830D-8E8D2B0AD43D}"/>
                </c:ext>
              </c:extLst>
            </c:dLbl>
            <c:dLbl>
              <c:idx val="5"/>
              <c:tx>
                <c:rich>
                  <a:bodyPr/>
                  <a:lstStyle/>
                  <a:p>
                    <a:fld id="{D593E6B4-7AB4-41EA-ADAD-C171238A75A6}" type="VALUE">
                      <a:rPr lang="en-US"/>
                      <a:pPr/>
                      <a:t>[VALUE]</a:t>
                    </a:fld>
                    <a:r>
                      <a:rPr lang="en-US"/>
                      <a:t>bc</a:t>
                    </a:r>
                  </a:p>
                </c:rich>
              </c:tx>
              <c:showLegendKey val="0"/>
              <c:showVal val="1"/>
              <c:showCatName val="0"/>
              <c:showSerName val="0"/>
              <c:showPercent val="0"/>
              <c:showBubbleSize val="0"/>
              <c:extLst>
                <c:ext xmlns:c15="http://schemas.microsoft.com/office/drawing/2012/chart" uri="{CE6537A1-D6FC-4f65-9D91-7224C49458BB}">
                  <c15:layout>
                    <c:manualLayout>
                      <c:w val="0.13251020324030177"/>
                      <c:h val="0.10868861022787177"/>
                    </c:manualLayout>
                  </c15:layout>
                  <c15:dlblFieldTable/>
                  <c15:showDataLabelsRange val="0"/>
                </c:ext>
                <c:ext xmlns:c16="http://schemas.microsoft.com/office/drawing/2014/chart" uri="{C3380CC4-5D6E-409C-BE32-E72D297353CC}">
                  <c16:uniqueId val="{00000009-69D4-4DA5-830D-8E8D2B0AD43D}"/>
                </c:ext>
              </c:extLst>
            </c:dLbl>
            <c:dLbl>
              <c:idx val="6"/>
              <c:tx>
                <c:rich>
                  <a:bodyPr/>
                  <a:lstStyle/>
                  <a:p>
                    <a:fld id="{336F52B3-3276-4C0B-81E9-71405E28967F}" type="VALUE">
                      <a:rPr lang="en-US"/>
                      <a:pPr/>
                      <a:t>[VALUE]</a:t>
                    </a:fld>
                    <a:r>
                      <a:rPr lang="en-US"/>
                      <a:t>a</a:t>
                    </a:r>
                  </a:p>
                </c:rich>
              </c:tx>
              <c:showLegendKey val="0"/>
              <c:showVal val="1"/>
              <c:showCatName val="0"/>
              <c:showSerName val="0"/>
              <c:showPercent val="0"/>
              <c:showBubbleSize val="0"/>
              <c:extLst>
                <c:ext xmlns:c15="http://schemas.microsoft.com/office/drawing/2012/chart" uri="{CE6537A1-D6FC-4f65-9D91-7224C49458BB}">
                  <c15:dlblFieldTable/>
                  <c15:showDataLabelsRange val="0"/>
                </c:ext>
                <c:ext xmlns:c16="http://schemas.microsoft.com/office/drawing/2014/chart" uri="{C3380CC4-5D6E-409C-BE32-E72D297353CC}">
                  <c16:uniqueId val="{0000000B-69D4-4DA5-830D-8E8D2B0AD43D}"/>
                </c:ext>
              </c:extLst>
            </c:dLbl>
            <c:spPr>
              <a:noFill/>
              <a:ln>
                <a:noFill/>
              </a:ln>
              <a:effectLst/>
            </c:spPr>
            <c:txPr>
              <a:bodyPr rot="0" spcFirstLastPara="1" vertOverflow="ellipsis" vert="horz" wrap="square" anchor="ctr" anchorCtr="1"/>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'STATISTIK KCPK'!$P$4:$P$10</c:f>
              <c:strCache>
                <c:ptCount val="7"/>
                <c:pt idx="0">
                  <c:v>R1</c:v>
                </c:pt>
                <c:pt idx="1">
                  <c:v>R2</c:v>
                </c:pt>
                <c:pt idx="2">
                  <c:v>R3</c:v>
                </c:pt>
                <c:pt idx="3">
                  <c:v>R4</c:v>
                </c:pt>
                <c:pt idx="4">
                  <c:v>R5</c:v>
                </c:pt>
                <c:pt idx="5">
                  <c:v>R6</c:v>
                </c:pt>
                <c:pt idx="6">
                  <c:v>R7</c:v>
                </c:pt>
              </c:strCache>
            </c:strRef>
          </c:cat>
          <c:val>
            <c:numRef>
              <c:f>'STATISTIK KCPK'!$Q$4:$Q$10</c:f>
              <c:numCache>
                <c:formatCode>General</c:formatCode>
                <c:ptCount val="7"/>
                <c:pt idx="0">
                  <c:v>64</c:v>
                </c:pt>
                <c:pt idx="1">
                  <c:v>68</c:v>
                </c:pt>
                <c:pt idx="2">
                  <c:v>72</c:v>
                </c:pt>
                <c:pt idx="3">
                  <c:v>64</c:v>
                </c:pt>
                <c:pt idx="4">
                  <c:v>65</c:v>
                </c:pt>
                <c:pt idx="5">
                  <c:v>70</c:v>
                </c:pt>
                <c:pt idx="6">
                  <c:v>74</c:v>
                </c:pt>
              </c:numCache>
            </c:numRef>
          </c:val>
          <c:extLst>
            <c:ext xmlns:c16="http://schemas.microsoft.com/office/drawing/2014/chart" uri="{C3380CC4-5D6E-409C-BE32-E72D297353CC}">
              <c16:uniqueId val="{0000000D-69D4-4DA5-830D-8E8D2B0AD43D}"/>
            </c:ext>
          </c:extLst>
        </c:ser>
        <c:dLbls>
          <c:showLegendKey val="0"/>
          <c:showVal val="1"/>
          <c:showCatName val="0"/>
          <c:showSerName val="0"/>
          <c:showPercent val="0"/>
          <c:showBubbleSize val="0"/>
        </c:dLbls>
        <c:gapWidth val="151"/>
        <c:shape val="box"/>
        <c:axId val="1249175919"/>
        <c:axId val="1249179279"/>
        <c:axId val="0"/>
      </c:bar3DChart>
      <c:catAx>
        <c:axId val="1249175919"/>
        <c:scaling>
          <c:orientation val="minMax"/>
        </c:scaling>
        <c:delete val="0"/>
        <c:axPos val="b"/>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ID"/>
                  <a:t>Treatment</a:t>
                </a:r>
              </a:p>
            </c:rich>
          </c:tx>
          <c:layout>
            <c:manualLayout>
              <c:xMode val="edge"/>
              <c:yMode val="edge"/>
              <c:x val="0.4878032932863331"/>
              <c:y val="0.92065494678981308"/>
            </c:manualLayout>
          </c:layout>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out"/>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249179279"/>
        <c:crosses val="autoZero"/>
        <c:auto val="1"/>
        <c:lblAlgn val="ctr"/>
        <c:lblOffset val="100"/>
        <c:noMultiLvlLbl val="0"/>
      </c:catAx>
      <c:valAx>
        <c:axId val="1249179279"/>
        <c:scaling>
          <c:orientation val="minMax"/>
          <c:min val="50"/>
        </c:scaling>
        <c:delete val="0"/>
        <c:axPos val="l"/>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ID"/>
                  <a:t>Crude Protein digestibility (%)</a:t>
                </a:r>
              </a:p>
            </c:rich>
          </c:tx>
          <c:layout>
            <c:manualLayout>
              <c:xMode val="edge"/>
              <c:yMode val="edge"/>
              <c:x val="1.1962032143242369E-2"/>
              <c:y val="8.57473184545334E-2"/>
            </c:manualLayout>
          </c:layout>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out"/>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249175919"/>
        <c:crosses val="autoZero"/>
        <c:crossBetween val="between"/>
        <c:majorUnit val="5"/>
      </c:valAx>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4">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view3D>
      <c:rotX val="15"/>
      <c:rotY val="20"/>
      <c:depthPercent val="100"/>
      <c:rAngAx val="1"/>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bar3DChart>
        <c:barDir val="col"/>
        <c:grouping val="clustered"/>
        <c:varyColors val="0"/>
        <c:ser>
          <c:idx val="0"/>
          <c:order val="0"/>
          <c:spPr>
            <a:solidFill>
              <a:schemeClr val="accent1"/>
            </a:solidFill>
            <a:ln>
              <a:noFill/>
            </a:ln>
            <a:effectLst/>
            <a:sp3d/>
          </c:spPr>
          <c:invertIfNegative val="0"/>
          <c:dPt>
            <c:idx val="1"/>
            <c:invertIfNegative val="0"/>
            <c:bubble3D val="0"/>
            <c:spPr>
              <a:solidFill>
                <a:schemeClr val="accent2"/>
              </a:solidFill>
              <a:ln>
                <a:noFill/>
              </a:ln>
              <a:effectLst/>
              <a:sp3d/>
            </c:spPr>
            <c:extLst>
              <c:ext xmlns:c16="http://schemas.microsoft.com/office/drawing/2014/chart" uri="{C3380CC4-5D6E-409C-BE32-E72D297353CC}">
                <c16:uniqueId val="{00000001-6D78-495D-8F82-B7A66DA01E51}"/>
              </c:ext>
            </c:extLst>
          </c:dPt>
          <c:dPt>
            <c:idx val="2"/>
            <c:invertIfNegative val="0"/>
            <c:bubble3D val="0"/>
            <c:spPr>
              <a:solidFill>
                <a:schemeClr val="accent2"/>
              </a:solidFill>
              <a:ln>
                <a:noFill/>
              </a:ln>
              <a:effectLst/>
              <a:sp3d/>
            </c:spPr>
            <c:extLst>
              <c:ext xmlns:c16="http://schemas.microsoft.com/office/drawing/2014/chart" uri="{C3380CC4-5D6E-409C-BE32-E72D297353CC}">
                <c16:uniqueId val="{00000003-6D78-495D-8F82-B7A66DA01E51}"/>
              </c:ext>
            </c:extLst>
          </c:dPt>
          <c:dPt>
            <c:idx val="3"/>
            <c:invertIfNegative val="0"/>
            <c:bubble3D val="0"/>
            <c:spPr>
              <a:solidFill>
                <a:schemeClr val="accent6">
                  <a:lumMod val="60000"/>
                  <a:lumOff val="40000"/>
                </a:schemeClr>
              </a:solidFill>
              <a:ln>
                <a:noFill/>
              </a:ln>
              <a:effectLst/>
              <a:sp3d/>
            </c:spPr>
            <c:extLst>
              <c:ext xmlns:c16="http://schemas.microsoft.com/office/drawing/2014/chart" uri="{C3380CC4-5D6E-409C-BE32-E72D297353CC}">
                <c16:uniqueId val="{00000005-6D78-495D-8F82-B7A66DA01E51}"/>
              </c:ext>
            </c:extLst>
          </c:dPt>
          <c:dPt>
            <c:idx val="4"/>
            <c:invertIfNegative val="0"/>
            <c:bubble3D val="0"/>
            <c:spPr>
              <a:solidFill>
                <a:schemeClr val="accent6">
                  <a:lumMod val="60000"/>
                  <a:lumOff val="40000"/>
                </a:schemeClr>
              </a:solidFill>
              <a:ln>
                <a:noFill/>
              </a:ln>
              <a:effectLst/>
              <a:sp3d/>
            </c:spPr>
            <c:extLst>
              <c:ext xmlns:c16="http://schemas.microsoft.com/office/drawing/2014/chart" uri="{C3380CC4-5D6E-409C-BE32-E72D297353CC}">
                <c16:uniqueId val="{00000007-6D78-495D-8F82-B7A66DA01E51}"/>
              </c:ext>
            </c:extLst>
          </c:dPt>
          <c:dPt>
            <c:idx val="5"/>
            <c:invertIfNegative val="0"/>
            <c:bubble3D val="0"/>
            <c:spPr>
              <a:solidFill>
                <a:srgbClr val="FFFF00"/>
              </a:solidFill>
              <a:ln>
                <a:noFill/>
              </a:ln>
              <a:effectLst/>
              <a:sp3d/>
            </c:spPr>
            <c:extLst>
              <c:ext xmlns:c16="http://schemas.microsoft.com/office/drawing/2014/chart" uri="{C3380CC4-5D6E-409C-BE32-E72D297353CC}">
                <c16:uniqueId val="{00000009-6D78-495D-8F82-B7A66DA01E51}"/>
              </c:ext>
            </c:extLst>
          </c:dPt>
          <c:dPt>
            <c:idx val="6"/>
            <c:invertIfNegative val="0"/>
            <c:bubble3D val="0"/>
            <c:spPr>
              <a:solidFill>
                <a:srgbClr val="FFFF00"/>
              </a:solidFill>
              <a:ln>
                <a:noFill/>
              </a:ln>
              <a:effectLst/>
              <a:sp3d/>
            </c:spPr>
            <c:extLst>
              <c:ext xmlns:c16="http://schemas.microsoft.com/office/drawing/2014/chart" uri="{C3380CC4-5D6E-409C-BE32-E72D297353CC}">
                <c16:uniqueId val="{0000000B-6D78-495D-8F82-B7A66DA01E51}"/>
              </c:ext>
            </c:extLst>
          </c:dPt>
          <c:dLbls>
            <c:dLbl>
              <c:idx val="0"/>
              <c:tx>
                <c:rich>
                  <a:bodyPr/>
                  <a:lstStyle/>
                  <a:p>
                    <a:fld id="{DE453244-2C6C-48C1-BD47-8B4DCDECF46E}" type="VALUE">
                      <a:rPr lang="en-US"/>
                      <a:pPr/>
                      <a:t>[VALUE]</a:t>
                    </a:fld>
                    <a:r>
                      <a:rPr lang="en-US"/>
                      <a:t>e</a:t>
                    </a:r>
                  </a:p>
                </c:rich>
              </c:tx>
              <c:showLegendKey val="0"/>
              <c:showVal val="1"/>
              <c:showCatName val="0"/>
              <c:showSerName val="0"/>
              <c:showPercent val="0"/>
              <c:showBubbleSize val="0"/>
              <c:extLst>
                <c:ext xmlns:c15="http://schemas.microsoft.com/office/drawing/2012/chart" uri="{CE6537A1-D6FC-4f65-9D91-7224C49458BB}">
                  <c15:dlblFieldTable/>
                  <c15:showDataLabelsRange val="0"/>
                </c:ext>
                <c:ext xmlns:c16="http://schemas.microsoft.com/office/drawing/2014/chart" uri="{C3380CC4-5D6E-409C-BE32-E72D297353CC}">
                  <c16:uniqueId val="{0000000C-6D78-495D-8F82-B7A66DA01E51}"/>
                </c:ext>
              </c:extLst>
            </c:dLbl>
            <c:dLbl>
              <c:idx val="1"/>
              <c:tx>
                <c:rich>
                  <a:bodyPr/>
                  <a:lstStyle/>
                  <a:p>
                    <a:fld id="{7ADDEFBE-B2FD-4725-86A6-F017D0B86AE7}" type="VALUE">
                      <a:rPr lang="en-US"/>
                      <a:pPr/>
                      <a:t>[VALUE]</a:t>
                    </a:fld>
                    <a:r>
                      <a:rPr lang="en-US"/>
                      <a:t>d</a:t>
                    </a:r>
                  </a:p>
                </c:rich>
              </c:tx>
              <c:showLegendKey val="0"/>
              <c:showVal val="1"/>
              <c:showCatName val="0"/>
              <c:showSerName val="0"/>
              <c:showPercent val="0"/>
              <c:showBubbleSize val="0"/>
              <c:extLst>
                <c:ext xmlns:c15="http://schemas.microsoft.com/office/drawing/2012/chart" uri="{CE6537A1-D6FC-4f65-9D91-7224C49458BB}">
                  <c15:dlblFieldTable/>
                  <c15:showDataLabelsRange val="0"/>
                </c:ext>
                <c:ext xmlns:c16="http://schemas.microsoft.com/office/drawing/2014/chart" uri="{C3380CC4-5D6E-409C-BE32-E72D297353CC}">
                  <c16:uniqueId val="{00000001-6D78-495D-8F82-B7A66DA01E51}"/>
                </c:ext>
              </c:extLst>
            </c:dLbl>
            <c:dLbl>
              <c:idx val="2"/>
              <c:tx>
                <c:rich>
                  <a:bodyPr/>
                  <a:lstStyle/>
                  <a:p>
                    <a:fld id="{9C597A52-9E55-4784-B1EE-C437BB5D6218}" type="VALUE">
                      <a:rPr lang="en-US"/>
                      <a:pPr/>
                      <a:t>[VALUE]</a:t>
                    </a:fld>
                    <a:r>
                      <a:rPr lang="en-US"/>
                      <a:t>cd</a:t>
                    </a:r>
                  </a:p>
                </c:rich>
              </c:tx>
              <c:showLegendKey val="0"/>
              <c:showVal val="1"/>
              <c:showCatName val="0"/>
              <c:showSerName val="0"/>
              <c:showPercent val="0"/>
              <c:showBubbleSize val="0"/>
              <c:extLst>
                <c:ext xmlns:c15="http://schemas.microsoft.com/office/drawing/2012/chart" uri="{CE6537A1-D6FC-4f65-9D91-7224C49458BB}">
                  <c15:dlblFieldTable/>
                  <c15:showDataLabelsRange val="0"/>
                </c:ext>
                <c:ext xmlns:c16="http://schemas.microsoft.com/office/drawing/2014/chart" uri="{C3380CC4-5D6E-409C-BE32-E72D297353CC}">
                  <c16:uniqueId val="{00000003-6D78-495D-8F82-B7A66DA01E51}"/>
                </c:ext>
              </c:extLst>
            </c:dLbl>
            <c:dLbl>
              <c:idx val="3"/>
              <c:tx>
                <c:rich>
                  <a:bodyPr/>
                  <a:lstStyle/>
                  <a:p>
                    <a:fld id="{56EC9FB0-A093-47CC-B799-EA0437D83AA9}" type="VALUE">
                      <a:rPr lang="en-US"/>
                      <a:pPr/>
                      <a:t>[VALUE]</a:t>
                    </a:fld>
                    <a:r>
                      <a:rPr lang="en-US"/>
                      <a:t>cd</a:t>
                    </a:r>
                  </a:p>
                </c:rich>
              </c:tx>
              <c:showLegendKey val="0"/>
              <c:showVal val="1"/>
              <c:showCatName val="0"/>
              <c:showSerName val="0"/>
              <c:showPercent val="0"/>
              <c:showBubbleSize val="0"/>
              <c:extLst>
                <c:ext xmlns:c15="http://schemas.microsoft.com/office/drawing/2012/chart" uri="{CE6537A1-D6FC-4f65-9D91-7224C49458BB}">
                  <c15:dlblFieldTable/>
                  <c15:showDataLabelsRange val="0"/>
                </c:ext>
                <c:ext xmlns:c16="http://schemas.microsoft.com/office/drawing/2014/chart" uri="{C3380CC4-5D6E-409C-BE32-E72D297353CC}">
                  <c16:uniqueId val="{00000005-6D78-495D-8F82-B7A66DA01E51}"/>
                </c:ext>
              </c:extLst>
            </c:dLbl>
            <c:dLbl>
              <c:idx val="4"/>
              <c:tx>
                <c:rich>
                  <a:bodyPr/>
                  <a:lstStyle/>
                  <a:p>
                    <a:fld id="{A1A00C84-741F-439F-A73A-F8662160E33D}" type="VALUE">
                      <a:rPr lang="en-US"/>
                      <a:pPr/>
                      <a:t>[VALUE]</a:t>
                    </a:fld>
                    <a:r>
                      <a:rPr lang="en-US"/>
                      <a:t>bc</a:t>
                    </a:r>
                  </a:p>
                </c:rich>
              </c:tx>
              <c:showLegendKey val="0"/>
              <c:showVal val="1"/>
              <c:showCatName val="0"/>
              <c:showSerName val="0"/>
              <c:showPercent val="0"/>
              <c:showBubbleSize val="0"/>
              <c:extLst>
                <c:ext xmlns:c15="http://schemas.microsoft.com/office/drawing/2012/chart" uri="{CE6537A1-D6FC-4f65-9D91-7224C49458BB}">
                  <c15:dlblFieldTable/>
                  <c15:showDataLabelsRange val="0"/>
                </c:ext>
                <c:ext xmlns:c16="http://schemas.microsoft.com/office/drawing/2014/chart" uri="{C3380CC4-5D6E-409C-BE32-E72D297353CC}">
                  <c16:uniqueId val="{00000007-6D78-495D-8F82-B7A66DA01E51}"/>
                </c:ext>
              </c:extLst>
            </c:dLbl>
            <c:dLbl>
              <c:idx val="5"/>
              <c:tx>
                <c:rich>
                  <a:bodyPr/>
                  <a:lstStyle/>
                  <a:p>
                    <a:fld id="{E6B9E723-7DDE-42F5-A87F-748B4B42212C}" type="VALUE">
                      <a:rPr lang="en-US"/>
                      <a:pPr/>
                      <a:t>[VALUE]</a:t>
                    </a:fld>
                    <a:r>
                      <a:rPr lang="en-US"/>
                      <a:t>ab</a:t>
                    </a:r>
                  </a:p>
                </c:rich>
              </c:tx>
              <c:showLegendKey val="0"/>
              <c:showVal val="1"/>
              <c:showCatName val="0"/>
              <c:showSerName val="0"/>
              <c:showPercent val="0"/>
              <c:showBubbleSize val="0"/>
              <c:extLst>
                <c:ext xmlns:c15="http://schemas.microsoft.com/office/drawing/2012/chart" uri="{CE6537A1-D6FC-4f65-9D91-7224C49458BB}">
                  <c15:dlblFieldTable/>
                  <c15:showDataLabelsRange val="0"/>
                </c:ext>
                <c:ext xmlns:c16="http://schemas.microsoft.com/office/drawing/2014/chart" uri="{C3380CC4-5D6E-409C-BE32-E72D297353CC}">
                  <c16:uniqueId val="{00000009-6D78-495D-8F82-B7A66DA01E51}"/>
                </c:ext>
              </c:extLst>
            </c:dLbl>
            <c:dLbl>
              <c:idx val="6"/>
              <c:tx>
                <c:rich>
                  <a:bodyPr/>
                  <a:lstStyle/>
                  <a:p>
                    <a:fld id="{DBC4E021-97A5-4CA5-BFC0-DA04C8535494}" type="VALUE">
                      <a:rPr lang="en-US"/>
                      <a:pPr/>
                      <a:t>[VALUE]</a:t>
                    </a:fld>
                    <a:r>
                      <a:rPr lang="en-US"/>
                      <a:t>a</a:t>
                    </a:r>
                  </a:p>
                </c:rich>
              </c:tx>
              <c:showLegendKey val="0"/>
              <c:showVal val="1"/>
              <c:showCatName val="0"/>
              <c:showSerName val="0"/>
              <c:showPercent val="0"/>
              <c:showBubbleSize val="0"/>
              <c:extLst>
                <c:ext xmlns:c15="http://schemas.microsoft.com/office/drawing/2012/chart" uri="{CE6537A1-D6FC-4f65-9D91-7224C49458BB}">
                  <c15:dlblFieldTable/>
                  <c15:showDataLabelsRange val="0"/>
                </c:ext>
                <c:ext xmlns:c16="http://schemas.microsoft.com/office/drawing/2014/chart" uri="{C3380CC4-5D6E-409C-BE32-E72D297353CC}">
                  <c16:uniqueId val="{0000000B-6D78-495D-8F82-B7A66DA01E51}"/>
                </c:ext>
              </c:extLst>
            </c:dLbl>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'STATISTIK KCPK'!$AC$5:$AC$11</c:f>
              <c:strCache>
                <c:ptCount val="7"/>
                <c:pt idx="0">
                  <c:v>R1</c:v>
                </c:pt>
                <c:pt idx="1">
                  <c:v>R2</c:v>
                </c:pt>
                <c:pt idx="2">
                  <c:v>R3</c:v>
                </c:pt>
                <c:pt idx="3">
                  <c:v>R4</c:v>
                </c:pt>
                <c:pt idx="4">
                  <c:v>R5</c:v>
                </c:pt>
                <c:pt idx="5">
                  <c:v>R6</c:v>
                </c:pt>
                <c:pt idx="6">
                  <c:v>R7</c:v>
                </c:pt>
              </c:strCache>
            </c:strRef>
          </c:cat>
          <c:val>
            <c:numRef>
              <c:f>'STATISTIK KCPK'!$AD$5:$AD$11</c:f>
              <c:numCache>
                <c:formatCode>General</c:formatCode>
                <c:ptCount val="7"/>
                <c:pt idx="0">
                  <c:v>58</c:v>
                </c:pt>
                <c:pt idx="1">
                  <c:v>59</c:v>
                </c:pt>
                <c:pt idx="2">
                  <c:v>60</c:v>
                </c:pt>
                <c:pt idx="3">
                  <c:v>61</c:v>
                </c:pt>
                <c:pt idx="4">
                  <c:v>61</c:v>
                </c:pt>
                <c:pt idx="5">
                  <c:v>62</c:v>
                </c:pt>
                <c:pt idx="6">
                  <c:v>63</c:v>
                </c:pt>
              </c:numCache>
            </c:numRef>
          </c:val>
          <c:extLst>
            <c:ext xmlns:c16="http://schemas.microsoft.com/office/drawing/2014/chart" uri="{C3380CC4-5D6E-409C-BE32-E72D297353CC}">
              <c16:uniqueId val="{0000000D-6D78-495D-8F82-B7A66DA01E51}"/>
            </c:ext>
          </c:extLst>
        </c:ser>
        <c:dLbls>
          <c:showLegendKey val="0"/>
          <c:showVal val="1"/>
          <c:showCatName val="0"/>
          <c:showSerName val="0"/>
          <c:showPercent val="0"/>
          <c:showBubbleSize val="0"/>
        </c:dLbls>
        <c:gapWidth val="150"/>
        <c:shape val="box"/>
        <c:axId val="1684053711"/>
        <c:axId val="1684039311"/>
        <c:axId val="0"/>
      </c:bar3DChart>
      <c:catAx>
        <c:axId val="1684053711"/>
        <c:scaling>
          <c:orientation val="minMax"/>
        </c:scaling>
        <c:delete val="0"/>
        <c:axPos val="b"/>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ID" b="1"/>
                  <a:t>Treatment</a:t>
                </a:r>
              </a:p>
            </c:rich>
          </c:tx>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1" i="0" u="none" strike="noStrike" kern="1200" baseline="0">
                <a:solidFill>
                  <a:schemeClr val="tx1">
                    <a:lumMod val="65000"/>
                    <a:lumOff val="35000"/>
                  </a:schemeClr>
                </a:solidFill>
                <a:latin typeface="+mn-lt"/>
                <a:ea typeface="+mn-ea"/>
                <a:cs typeface="+mn-cs"/>
              </a:defRPr>
            </a:pPr>
            <a:endParaRPr lang="en-US"/>
          </a:p>
        </c:txPr>
        <c:crossAx val="1684039311"/>
        <c:crosses val="autoZero"/>
        <c:auto val="1"/>
        <c:lblAlgn val="ctr"/>
        <c:lblOffset val="100"/>
        <c:noMultiLvlLbl val="0"/>
      </c:catAx>
      <c:valAx>
        <c:axId val="1684039311"/>
        <c:scaling>
          <c:orientation val="minMax"/>
        </c:scaling>
        <c:delete val="0"/>
        <c:axPos val="l"/>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ID" b="1"/>
                  <a:t>Crude</a:t>
                </a:r>
                <a:r>
                  <a:rPr lang="en-ID" b="1" baseline="0"/>
                  <a:t> fiber digestibility (%)</a:t>
                </a:r>
                <a:endParaRPr lang="en-ID" b="1"/>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1" i="0" u="none" strike="noStrike" kern="1200" baseline="0">
                <a:solidFill>
                  <a:schemeClr val="tx1">
                    <a:lumMod val="65000"/>
                    <a:lumOff val="35000"/>
                  </a:schemeClr>
                </a:solidFill>
                <a:latin typeface="+mn-lt"/>
                <a:ea typeface="+mn-ea"/>
                <a:cs typeface="+mn-cs"/>
              </a:defRPr>
            </a:pPr>
            <a:endParaRPr lang="en-US"/>
          </a:p>
        </c:txPr>
        <c:crossAx val="1684053711"/>
        <c:crosses val="autoZero"/>
        <c:crossBetween val="between"/>
      </c:valAx>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4">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400" b="0" i="0" u="none" strike="noStrike" kern="1200" cap="none" spc="20" baseline="0">
                <a:solidFill>
                  <a:schemeClr val="tx1">
                    <a:lumMod val="50000"/>
                    <a:lumOff val="50000"/>
                  </a:schemeClr>
                </a:solidFill>
                <a:latin typeface="+mn-lt"/>
                <a:ea typeface="+mn-ea"/>
                <a:cs typeface="+mn-cs"/>
              </a:defRPr>
            </a:pPr>
            <a:r>
              <a:rPr lang="en-US"/>
              <a:t>Acetic acid (%) </a:t>
            </a:r>
          </a:p>
        </c:rich>
      </c:tx>
      <c:overlay val="0"/>
      <c:spPr>
        <a:noFill/>
        <a:ln>
          <a:noFill/>
        </a:ln>
        <a:effectLst/>
      </c:spPr>
      <c:txPr>
        <a:bodyPr rot="0" spcFirstLastPara="1" vertOverflow="ellipsis" vert="horz" wrap="square" anchor="ctr" anchorCtr="1"/>
        <a:lstStyle/>
        <a:p>
          <a:pPr>
            <a:defRPr sz="1400" b="0" i="0" u="none" strike="noStrike" kern="1200" cap="none" spc="20" baseline="0">
              <a:solidFill>
                <a:schemeClr val="tx1">
                  <a:lumMod val="50000"/>
                  <a:lumOff val="50000"/>
                </a:schemeClr>
              </a:solidFill>
              <a:latin typeface="+mn-lt"/>
              <a:ea typeface="+mn-ea"/>
              <a:cs typeface="+mn-cs"/>
            </a:defRPr>
          </a:pPr>
          <a:endParaRPr lang="en-US"/>
        </a:p>
      </c:txPr>
    </c:title>
    <c:autoTitleDeleted val="0"/>
    <c:view3D>
      <c:rotX val="15"/>
      <c:rotY val="20"/>
      <c:depthPercent val="100"/>
      <c:rAngAx val="1"/>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manualLayout>
          <c:layoutTarget val="inner"/>
          <c:xMode val="edge"/>
          <c:yMode val="edge"/>
          <c:x val="0.21038317855644495"/>
          <c:y val="0.16875532258403012"/>
          <c:w val="0.64570048208050845"/>
          <c:h val="0.61113150450604026"/>
        </c:manualLayout>
      </c:layout>
      <c:bar3DChart>
        <c:barDir val="col"/>
        <c:grouping val="standard"/>
        <c:varyColors val="0"/>
        <c:ser>
          <c:idx val="0"/>
          <c:order val="0"/>
          <c:tx>
            <c:strRef>
              <c:f>'VFA Parsial'!$AH$3</c:f>
              <c:strCache>
                <c:ptCount val="1"/>
                <c:pt idx="0">
                  <c:v>Acetic acid (mol/100mol)</c:v>
                </c:pt>
              </c:strCache>
            </c:strRef>
          </c:tx>
          <c:spPr>
            <a:gradFill rotWithShape="1">
              <a:gsLst>
                <a:gs pos="0">
                  <a:schemeClr val="accent1">
                    <a:lumMod val="110000"/>
                    <a:satMod val="105000"/>
                    <a:tint val="67000"/>
                  </a:schemeClr>
                </a:gs>
                <a:gs pos="50000">
                  <a:schemeClr val="accent1">
                    <a:lumMod val="105000"/>
                    <a:satMod val="103000"/>
                    <a:tint val="73000"/>
                  </a:schemeClr>
                </a:gs>
                <a:gs pos="100000">
                  <a:schemeClr val="accent1">
                    <a:lumMod val="105000"/>
                    <a:satMod val="109000"/>
                    <a:tint val="81000"/>
                  </a:schemeClr>
                </a:gs>
              </a:gsLst>
              <a:lin ang="5400000" scaled="0"/>
            </a:gradFill>
            <a:ln w="9525" cap="flat" cmpd="sng" algn="ctr">
              <a:solidFill>
                <a:schemeClr val="accent1">
                  <a:shade val="95000"/>
                </a:schemeClr>
              </a:solidFill>
              <a:round/>
            </a:ln>
            <a:effectLst/>
            <a:sp3d contourW="9525">
              <a:contourClr>
                <a:schemeClr val="accent1">
                  <a:shade val="95000"/>
                </a:schemeClr>
              </a:contourClr>
            </a:sp3d>
          </c:spPr>
          <c:invertIfNegative val="0"/>
          <c:dPt>
            <c:idx val="1"/>
            <c:invertIfNegative val="0"/>
            <c:bubble3D val="0"/>
            <c:spPr>
              <a:solidFill>
                <a:schemeClr val="accent2"/>
              </a:solidFill>
              <a:ln w="9525" cap="flat" cmpd="sng" algn="ctr">
                <a:solidFill>
                  <a:schemeClr val="accent1">
                    <a:shade val="95000"/>
                  </a:schemeClr>
                </a:solidFill>
                <a:round/>
              </a:ln>
              <a:effectLst/>
              <a:sp3d contourW="9525">
                <a:contourClr>
                  <a:schemeClr val="accent1">
                    <a:shade val="95000"/>
                  </a:schemeClr>
                </a:contourClr>
              </a:sp3d>
            </c:spPr>
            <c:extLst>
              <c:ext xmlns:c16="http://schemas.microsoft.com/office/drawing/2014/chart" uri="{C3380CC4-5D6E-409C-BE32-E72D297353CC}">
                <c16:uniqueId val="{00000001-B23B-47A4-B01B-58646B1DA2B4}"/>
              </c:ext>
            </c:extLst>
          </c:dPt>
          <c:dPt>
            <c:idx val="2"/>
            <c:invertIfNegative val="0"/>
            <c:bubble3D val="0"/>
            <c:spPr>
              <a:solidFill>
                <a:schemeClr val="accent2"/>
              </a:solidFill>
              <a:ln w="9525" cap="flat" cmpd="sng" algn="ctr">
                <a:solidFill>
                  <a:schemeClr val="accent1">
                    <a:shade val="95000"/>
                  </a:schemeClr>
                </a:solidFill>
                <a:round/>
              </a:ln>
              <a:effectLst/>
              <a:sp3d contourW="9525">
                <a:contourClr>
                  <a:schemeClr val="accent1">
                    <a:shade val="95000"/>
                  </a:schemeClr>
                </a:contourClr>
              </a:sp3d>
            </c:spPr>
            <c:extLst>
              <c:ext xmlns:c16="http://schemas.microsoft.com/office/drawing/2014/chart" uri="{C3380CC4-5D6E-409C-BE32-E72D297353CC}">
                <c16:uniqueId val="{00000003-B23B-47A4-B01B-58646B1DA2B4}"/>
              </c:ext>
            </c:extLst>
          </c:dPt>
          <c:dPt>
            <c:idx val="3"/>
            <c:invertIfNegative val="0"/>
            <c:bubble3D val="0"/>
            <c:spPr>
              <a:solidFill>
                <a:srgbClr val="70AD47">
                  <a:lumMod val="60000"/>
                  <a:lumOff val="40000"/>
                </a:srgbClr>
              </a:solidFill>
              <a:ln w="9525" cap="flat" cmpd="sng" algn="ctr">
                <a:solidFill>
                  <a:schemeClr val="accent1">
                    <a:shade val="95000"/>
                  </a:schemeClr>
                </a:solidFill>
                <a:round/>
              </a:ln>
              <a:effectLst/>
              <a:sp3d contourW="9525">
                <a:contourClr>
                  <a:schemeClr val="accent1">
                    <a:shade val="95000"/>
                  </a:schemeClr>
                </a:contourClr>
              </a:sp3d>
            </c:spPr>
            <c:extLst>
              <c:ext xmlns:c16="http://schemas.microsoft.com/office/drawing/2014/chart" uri="{C3380CC4-5D6E-409C-BE32-E72D297353CC}">
                <c16:uniqueId val="{00000005-B23B-47A4-B01B-58646B1DA2B4}"/>
              </c:ext>
            </c:extLst>
          </c:dPt>
          <c:dPt>
            <c:idx val="4"/>
            <c:invertIfNegative val="0"/>
            <c:bubble3D val="0"/>
            <c:spPr>
              <a:solidFill>
                <a:srgbClr val="70AD47">
                  <a:lumMod val="60000"/>
                  <a:lumOff val="40000"/>
                </a:srgbClr>
              </a:solidFill>
              <a:ln w="9525" cap="flat" cmpd="sng" algn="ctr">
                <a:solidFill>
                  <a:schemeClr val="accent1">
                    <a:shade val="95000"/>
                  </a:schemeClr>
                </a:solidFill>
                <a:round/>
              </a:ln>
              <a:effectLst/>
              <a:sp3d contourW="9525">
                <a:contourClr>
                  <a:schemeClr val="accent1">
                    <a:shade val="95000"/>
                  </a:schemeClr>
                </a:contourClr>
              </a:sp3d>
            </c:spPr>
            <c:extLst>
              <c:ext xmlns:c16="http://schemas.microsoft.com/office/drawing/2014/chart" uri="{C3380CC4-5D6E-409C-BE32-E72D297353CC}">
                <c16:uniqueId val="{00000007-B23B-47A4-B01B-58646B1DA2B4}"/>
              </c:ext>
            </c:extLst>
          </c:dPt>
          <c:dPt>
            <c:idx val="5"/>
            <c:invertIfNegative val="0"/>
            <c:bubble3D val="0"/>
            <c:spPr>
              <a:solidFill>
                <a:srgbClr val="FFFF00"/>
              </a:solidFill>
              <a:ln w="9525" cap="flat" cmpd="sng" algn="ctr">
                <a:solidFill>
                  <a:schemeClr val="accent1">
                    <a:shade val="95000"/>
                  </a:schemeClr>
                </a:solidFill>
                <a:round/>
              </a:ln>
              <a:effectLst/>
              <a:sp3d contourW="9525">
                <a:contourClr>
                  <a:schemeClr val="accent1">
                    <a:shade val="95000"/>
                  </a:schemeClr>
                </a:contourClr>
              </a:sp3d>
            </c:spPr>
            <c:extLst>
              <c:ext xmlns:c16="http://schemas.microsoft.com/office/drawing/2014/chart" uri="{C3380CC4-5D6E-409C-BE32-E72D297353CC}">
                <c16:uniqueId val="{00000009-B23B-47A4-B01B-58646B1DA2B4}"/>
              </c:ext>
            </c:extLst>
          </c:dPt>
          <c:dPt>
            <c:idx val="6"/>
            <c:invertIfNegative val="0"/>
            <c:bubble3D val="0"/>
            <c:spPr>
              <a:solidFill>
                <a:srgbClr val="FFFF00"/>
              </a:solidFill>
              <a:ln w="9525" cap="flat" cmpd="sng" algn="ctr">
                <a:solidFill>
                  <a:schemeClr val="accent1">
                    <a:shade val="95000"/>
                  </a:schemeClr>
                </a:solidFill>
                <a:round/>
              </a:ln>
              <a:effectLst/>
              <a:sp3d contourW="9525">
                <a:contourClr>
                  <a:schemeClr val="accent1">
                    <a:shade val="95000"/>
                  </a:schemeClr>
                </a:contourClr>
              </a:sp3d>
            </c:spPr>
            <c:extLst>
              <c:ext xmlns:c16="http://schemas.microsoft.com/office/drawing/2014/chart" uri="{C3380CC4-5D6E-409C-BE32-E72D297353CC}">
                <c16:uniqueId val="{0000000B-B23B-47A4-B01B-58646B1DA2B4}"/>
              </c:ext>
            </c:extLst>
          </c:dPt>
          <c:cat>
            <c:strRef>
              <c:f>'VFA Parsial'!$AG$4:$AG$10</c:f>
              <c:strCache>
                <c:ptCount val="7"/>
                <c:pt idx="0">
                  <c:v>R1</c:v>
                </c:pt>
                <c:pt idx="1">
                  <c:v>R2</c:v>
                </c:pt>
                <c:pt idx="2">
                  <c:v>R3</c:v>
                </c:pt>
                <c:pt idx="3">
                  <c:v>R4</c:v>
                </c:pt>
                <c:pt idx="4">
                  <c:v>R5</c:v>
                </c:pt>
                <c:pt idx="5">
                  <c:v>R6</c:v>
                </c:pt>
                <c:pt idx="6">
                  <c:v>R7</c:v>
                </c:pt>
              </c:strCache>
            </c:strRef>
          </c:cat>
          <c:val>
            <c:numRef>
              <c:f>'VFA Parsial'!$AH$4:$AH$10</c:f>
              <c:numCache>
                <c:formatCode>General</c:formatCode>
                <c:ptCount val="7"/>
                <c:pt idx="0">
                  <c:v>63.138981223609797</c:v>
                </c:pt>
                <c:pt idx="1">
                  <c:v>68.841212423599799</c:v>
                </c:pt>
                <c:pt idx="2">
                  <c:v>69.334522934816803</c:v>
                </c:pt>
                <c:pt idx="3">
                  <c:v>69.895966117027797</c:v>
                </c:pt>
                <c:pt idx="4">
                  <c:v>71.415392085457597</c:v>
                </c:pt>
                <c:pt idx="5">
                  <c:v>65.786749482401603</c:v>
                </c:pt>
                <c:pt idx="6">
                  <c:v>66.361313340726099</c:v>
                </c:pt>
              </c:numCache>
            </c:numRef>
          </c:val>
          <c:extLst>
            <c:ext xmlns:c16="http://schemas.microsoft.com/office/drawing/2014/chart" uri="{C3380CC4-5D6E-409C-BE32-E72D297353CC}">
              <c16:uniqueId val="{0000000C-B23B-47A4-B01B-58646B1DA2B4}"/>
            </c:ext>
          </c:extLst>
        </c:ser>
        <c:ser>
          <c:idx val="1"/>
          <c:order val="1"/>
          <c:tx>
            <c:strRef>
              <c:f>'VFA Parsial'!$AI$3</c:f>
              <c:strCache>
                <c:ptCount val="1"/>
              </c:strCache>
            </c:strRef>
          </c:tx>
          <c:spPr>
            <a:gradFill rotWithShape="1">
              <a:gsLst>
                <a:gs pos="0">
                  <a:schemeClr val="accent2">
                    <a:lumMod val="110000"/>
                    <a:satMod val="105000"/>
                    <a:tint val="67000"/>
                  </a:schemeClr>
                </a:gs>
                <a:gs pos="50000">
                  <a:schemeClr val="accent2">
                    <a:lumMod val="105000"/>
                    <a:satMod val="103000"/>
                    <a:tint val="73000"/>
                  </a:schemeClr>
                </a:gs>
                <a:gs pos="100000">
                  <a:schemeClr val="accent2">
                    <a:lumMod val="105000"/>
                    <a:satMod val="109000"/>
                    <a:tint val="81000"/>
                  </a:schemeClr>
                </a:gs>
              </a:gsLst>
              <a:lin ang="5400000" scaled="0"/>
            </a:gradFill>
            <a:ln w="9525" cap="flat" cmpd="sng" algn="ctr">
              <a:solidFill>
                <a:schemeClr val="accent2">
                  <a:shade val="95000"/>
                </a:schemeClr>
              </a:solidFill>
              <a:round/>
            </a:ln>
            <a:effectLst/>
            <a:sp3d contourW="9525">
              <a:contourClr>
                <a:schemeClr val="accent2">
                  <a:shade val="95000"/>
                </a:schemeClr>
              </a:contourClr>
            </a:sp3d>
          </c:spPr>
          <c:invertIfNegative val="0"/>
          <c:cat>
            <c:strRef>
              <c:f>'VFA Parsial'!$AG$4:$AG$10</c:f>
              <c:strCache>
                <c:ptCount val="7"/>
                <c:pt idx="0">
                  <c:v>R1</c:v>
                </c:pt>
                <c:pt idx="1">
                  <c:v>R2</c:v>
                </c:pt>
                <c:pt idx="2">
                  <c:v>R3</c:v>
                </c:pt>
                <c:pt idx="3">
                  <c:v>R4</c:v>
                </c:pt>
                <c:pt idx="4">
                  <c:v>R5</c:v>
                </c:pt>
                <c:pt idx="5">
                  <c:v>R6</c:v>
                </c:pt>
                <c:pt idx="6">
                  <c:v>R7</c:v>
                </c:pt>
              </c:strCache>
            </c:strRef>
          </c:cat>
          <c:val>
            <c:numRef>
              <c:f>'VFA Parsial'!$AI$4:$AI$10</c:f>
              <c:numCache>
                <c:formatCode>General</c:formatCode>
                <c:ptCount val="7"/>
              </c:numCache>
            </c:numRef>
          </c:val>
          <c:extLst>
            <c:ext xmlns:c16="http://schemas.microsoft.com/office/drawing/2014/chart" uri="{C3380CC4-5D6E-409C-BE32-E72D297353CC}">
              <c16:uniqueId val="{0000000D-B23B-47A4-B01B-58646B1DA2B4}"/>
            </c:ext>
          </c:extLst>
        </c:ser>
        <c:ser>
          <c:idx val="2"/>
          <c:order val="2"/>
          <c:tx>
            <c:strRef>
              <c:f>'VFA Parsial'!$AJ$3</c:f>
              <c:strCache>
                <c:ptCount val="1"/>
              </c:strCache>
            </c:strRef>
          </c:tx>
          <c:spPr>
            <a:gradFill rotWithShape="1">
              <a:gsLst>
                <a:gs pos="0">
                  <a:schemeClr val="accent3">
                    <a:lumMod val="110000"/>
                    <a:satMod val="105000"/>
                    <a:tint val="67000"/>
                  </a:schemeClr>
                </a:gs>
                <a:gs pos="50000">
                  <a:schemeClr val="accent3">
                    <a:lumMod val="105000"/>
                    <a:satMod val="103000"/>
                    <a:tint val="73000"/>
                  </a:schemeClr>
                </a:gs>
                <a:gs pos="100000">
                  <a:schemeClr val="accent3">
                    <a:lumMod val="105000"/>
                    <a:satMod val="109000"/>
                    <a:tint val="81000"/>
                  </a:schemeClr>
                </a:gs>
              </a:gsLst>
              <a:lin ang="5400000" scaled="0"/>
            </a:gradFill>
            <a:ln w="9525" cap="flat" cmpd="sng" algn="ctr">
              <a:solidFill>
                <a:schemeClr val="accent3">
                  <a:shade val="95000"/>
                </a:schemeClr>
              </a:solidFill>
              <a:round/>
            </a:ln>
            <a:effectLst/>
            <a:sp3d contourW="9525">
              <a:contourClr>
                <a:schemeClr val="accent3">
                  <a:shade val="95000"/>
                </a:schemeClr>
              </a:contourClr>
            </a:sp3d>
          </c:spPr>
          <c:invertIfNegative val="0"/>
          <c:cat>
            <c:strRef>
              <c:f>'VFA Parsial'!$AG$4:$AG$10</c:f>
              <c:strCache>
                <c:ptCount val="7"/>
                <c:pt idx="0">
                  <c:v>R1</c:v>
                </c:pt>
                <c:pt idx="1">
                  <c:v>R2</c:v>
                </c:pt>
                <c:pt idx="2">
                  <c:v>R3</c:v>
                </c:pt>
                <c:pt idx="3">
                  <c:v>R4</c:v>
                </c:pt>
                <c:pt idx="4">
                  <c:v>R5</c:v>
                </c:pt>
                <c:pt idx="5">
                  <c:v>R6</c:v>
                </c:pt>
                <c:pt idx="6">
                  <c:v>R7</c:v>
                </c:pt>
              </c:strCache>
            </c:strRef>
          </c:cat>
          <c:val>
            <c:numRef>
              <c:f>'VFA Parsial'!$AJ$4:$AJ$10</c:f>
              <c:numCache>
                <c:formatCode>General</c:formatCode>
                <c:ptCount val="7"/>
              </c:numCache>
            </c:numRef>
          </c:val>
          <c:extLst>
            <c:ext xmlns:c16="http://schemas.microsoft.com/office/drawing/2014/chart" uri="{C3380CC4-5D6E-409C-BE32-E72D297353CC}">
              <c16:uniqueId val="{0000000E-B23B-47A4-B01B-58646B1DA2B4}"/>
            </c:ext>
          </c:extLst>
        </c:ser>
        <c:dLbls>
          <c:showLegendKey val="0"/>
          <c:showVal val="0"/>
          <c:showCatName val="0"/>
          <c:showSerName val="0"/>
          <c:showPercent val="0"/>
          <c:showBubbleSize val="0"/>
        </c:dLbls>
        <c:gapWidth val="150"/>
        <c:shape val="box"/>
        <c:axId val="1367946592"/>
        <c:axId val="1367951872"/>
        <c:axId val="1327418272"/>
      </c:bar3DChart>
      <c:catAx>
        <c:axId val="1367946592"/>
        <c:scaling>
          <c:orientation val="minMax"/>
        </c:scaling>
        <c:delete val="0"/>
        <c:axPos val="b"/>
        <c:title>
          <c:tx>
            <c:rich>
              <a:bodyPr rot="0" spcFirstLastPara="1" vertOverflow="ellipsis" vert="horz" wrap="square" anchor="ctr" anchorCtr="1"/>
              <a:lstStyle/>
              <a:p>
                <a:pPr>
                  <a:defRPr sz="900" b="0" i="0" u="none" strike="noStrike" kern="1200" cap="all" baseline="0">
                    <a:solidFill>
                      <a:schemeClr val="tx1">
                        <a:lumMod val="50000"/>
                        <a:lumOff val="50000"/>
                      </a:schemeClr>
                    </a:solidFill>
                    <a:latin typeface="+mn-lt"/>
                    <a:ea typeface="+mn-ea"/>
                    <a:cs typeface="+mn-cs"/>
                  </a:defRPr>
                </a:pPr>
                <a:r>
                  <a:rPr lang="en-ID" sz="1000" b="1" cap="none"/>
                  <a:t>Treatment</a:t>
                </a:r>
              </a:p>
            </c:rich>
          </c:tx>
          <c:overlay val="0"/>
          <c:spPr>
            <a:noFill/>
            <a:ln>
              <a:noFill/>
            </a:ln>
            <a:effectLst/>
          </c:spPr>
          <c:txPr>
            <a:bodyPr rot="0" spcFirstLastPara="1" vertOverflow="ellipsis" vert="horz" wrap="square" anchor="ctr" anchorCtr="1"/>
            <a:lstStyle/>
            <a:p>
              <a:pPr>
                <a:defRPr sz="900" b="0" i="0" u="none" strike="noStrike" kern="1200" cap="all" baseline="0">
                  <a:solidFill>
                    <a:schemeClr val="tx1">
                      <a:lumMod val="50000"/>
                      <a:lumOff val="50000"/>
                    </a:schemeClr>
                  </a:solidFill>
                  <a:latin typeface="+mn-lt"/>
                  <a:ea typeface="+mn-ea"/>
                  <a:cs typeface="+mn-cs"/>
                </a:defRPr>
              </a:pPr>
              <a:endParaRPr lang="en-US"/>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50000"/>
                    <a:lumOff val="50000"/>
                  </a:schemeClr>
                </a:solidFill>
                <a:latin typeface="+mn-lt"/>
                <a:ea typeface="+mn-ea"/>
                <a:cs typeface="+mn-cs"/>
              </a:defRPr>
            </a:pPr>
            <a:endParaRPr lang="en-US"/>
          </a:p>
        </c:txPr>
        <c:crossAx val="1367951872"/>
        <c:crosses val="autoZero"/>
        <c:auto val="1"/>
        <c:lblAlgn val="ctr"/>
        <c:lblOffset val="100"/>
        <c:noMultiLvlLbl val="0"/>
      </c:catAx>
      <c:valAx>
        <c:axId val="1367951872"/>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900" b="0" i="0" u="none" strike="noStrike" kern="1200" cap="all" baseline="0">
                    <a:solidFill>
                      <a:schemeClr val="tx1">
                        <a:lumMod val="50000"/>
                        <a:lumOff val="50000"/>
                      </a:schemeClr>
                    </a:solidFill>
                    <a:latin typeface="+mn-lt"/>
                    <a:ea typeface="+mn-ea"/>
                    <a:cs typeface="+mn-cs"/>
                  </a:defRPr>
                </a:pPr>
                <a:r>
                  <a:rPr lang="en-ID" sz="1000" b="1" cap="none"/>
                  <a:t>Acetic</a:t>
                </a:r>
                <a:r>
                  <a:rPr lang="en-ID" sz="1000" b="1" cap="none" baseline="0"/>
                  <a:t> acid (%)</a:t>
                </a:r>
                <a:endParaRPr lang="en-ID" sz="1000" b="1" cap="none"/>
              </a:p>
            </c:rich>
          </c:tx>
          <c:layout>
            <c:manualLayout>
              <c:xMode val="edge"/>
              <c:yMode val="edge"/>
              <c:x val="4.3249426644838683E-2"/>
              <c:y val="0.31849331176172241"/>
            </c:manualLayout>
          </c:layout>
          <c:overlay val="0"/>
          <c:spPr>
            <a:noFill/>
            <a:ln>
              <a:noFill/>
            </a:ln>
            <a:effectLst/>
          </c:spPr>
          <c:txPr>
            <a:bodyPr rot="-5400000" spcFirstLastPara="1" vertOverflow="ellipsis" vert="horz" wrap="square" anchor="ctr" anchorCtr="1"/>
            <a:lstStyle/>
            <a:p>
              <a:pPr>
                <a:defRPr sz="900" b="0" i="0" u="none" strike="noStrike" kern="1200" cap="all" baseline="0">
                  <a:solidFill>
                    <a:schemeClr val="tx1">
                      <a:lumMod val="50000"/>
                      <a:lumOff val="50000"/>
                    </a:schemeClr>
                  </a:solidFill>
                  <a:latin typeface="+mn-lt"/>
                  <a:ea typeface="+mn-ea"/>
                  <a:cs typeface="+mn-cs"/>
                </a:defRPr>
              </a:pPr>
              <a:endParaRPr lang="en-US"/>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50000"/>
                    <a:lumOff val="50000"/>
                  </a:schemeClr>
                </a:solidFill>
                <a:latin typeface="+mn-lt"/>
                <a:ea typeface="+mn-ea"/>
                <a:cs typeface="+mn-cs"/>
              </a:defRPr>
            </a:pPr>
            <a:endParaRPr lang="en-US"/>
          </a:p>
        </c:txPr>
        <c:crossAx val="1367946592"/>
        <c:crosses val="autoZero"/>
        <c:crossBetween val="between"/>
      </c:valAx>
      <c:serAx>
        <c:axId val="1327418272"/>
        <c:scaling>
          <c:orientation val="minMax"/>
        </c:scaling>
        <c:delete val="1"/>
        <c:axPos val="b"/>
        <c:majorTickMark val="none"/>
        <c:minorTickMark val="none"/>
        <c:tickLblPos val="nextTo"/>
        <c:crossAx val="1367951872"/>
        <c:crosses val="autoZero"/>
      </c:serAx>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4">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8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8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28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28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xml><?xml version="1.0" encoding="utf-8"?>
<cs:chartStyle xmlns:cs="http://schemas.microsoft.com/office/drawing/2012/chartStyle" xmlns:a="http://schemas.openxmlformats.org/drawingml/2006/main" id="28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6.xml><?xml version="1.0" encoding="utf-8"?>
<cs:chartStyle xmlns:cs="http://schemas.microsoft.com/office/drawing/2012/chartStyle" xmlns:a="http://schemas.openxmlformats.org/drawingml/2006/main" id="289">
  <cs:axisTitle>
    <cs:lnRef idx="0"/>
    <cs:fillRef idx="0"/>
    <cs:effectRef idx="0"/>
    <cs:fontRef idx="minor">
      <a:schemeClr val="tx1">
        <a:lumMod val="50000"/>
        <a:lumOff val="50000"/>
      </a:schemeClr>
    </cs:fontRef>
    <cs:defRPr sz="900" kern="1200" cap="all"/>
  </cs:axisTitle>
  <cs:categoryAxis>
    <cs:lnRef idx="0"/>
    <cs:fillRef idx="0"/>
    <cs:effectRef idx="0"/>
    <cs:fontRef idx="minor">
      <a:schemeClr val="tx1">
        <a:lumMod val="50000"/>
        <a:lumOff val="50000"/>
      </a:schemeClr>
    </cs:fontRef>
    <cs:defRPr sz="900" kern="1200"/>
  </cs:categoryAxis>
  <cs:chartArea mods="allowNoFillOverride allowNoLineOverride">
    <cs:lnRef idx="0"/>
    <cs:fillRef idx="0"/>
    <cs:effectRef idx="0"/>
    <cs:fontRef idx="minor">
      <a:schemeClr val="dk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50000"/>
        <a:lumOff val="50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1">
      <a:spAutoFit/>
    </cs:bodyPr>
  </cs:dataLabelCallout>
  <cs:dataPoint>
    <cs:lnRef idx="0">
      <cs:styleClr val="auto"/>
    </cs:lnRef>
    <cs:fillRef idx="2">
      <cs:styleClr val="auto"/>
    </cs:fillRef>
    <cs:effectRef idx="1"/>
    <cs:fontRef idx="minor">
      <a:schemeClr val="dk1"/>
    </cs:fontRef>
    <cs:spPr>
      <a:ln w="9525" cap="flat" cmpd="sng" algn="ctr">
        <a:solidFill>
          <a:schemeClr val="phClr">
            <a:shade val="95000"/>
          </a:schemeClr>
        </a:solidFill>
        <a:round/>
      </a:ln>
    </cs:spPr>
  </cs:dataPoint>
  <cs:dataPoint3D>
    <cs:lnRef idx="0">
      <cs:styleClr val="auto"/>
    </cs:lnRef>
    <cs:fillRef idx="2">
      <cs:styleClr val="auto"/>
    </cs:fillRef>
    <cs:effectRef idx="1"/>
    <cs:fontRef idx="minor">
      <a:schemeClr val="dk1"/>
    </cs:fontRef>
    <cs:spPr>
      <a:ln w="9525" cap="flat" cmpd="sng" algn="ctr">
        <a:solidFill>
          <a:schemeClr val="phClr">
            <a:shade val="95000"/>
          </a:schemeClr>
        </a:solidFill>
        <a:round/>
      </a:ln>
    </cs:spPr>
  </cs:dataPoint3D>
  <cs:dataPointLine>
    <cs:lnRef idx="0">
      <cs:styleClr val="auto"/>
    </cs:lnRef>
    <cs:fillRef idx="2">
      <cs:styleClr val="auto"/>
    </cs:fillRef>
    <cs:effectRef idx="1"/>
    <cs:fontRef idx="minor">
      <a:schemeClr val="dk1"/>
    </cs:fontRef>
    <cs:spPr>
      <a:ln w="15875" cap="rnd">
        <a:solidFill>
          <a:schemeClr val="phClr"/>
        </a:solidFill>
        <a:round/>
      </a:ln>
    </cs:spPr>
  </cs:dataPointLine>
  <cs:dataPointMarker>
    <cs:lnRef idx="0">
      <cs:styleClr val="auto"/>
    </cs:lnRef>
    <cs:fillRef idx="2">
      <cs:styleClr val="auto"/>
    </cs:fillRef>
    <cs:effectRef idx="1"/>
    <cs:fontRef idx="minor">
      <a:schemeClr val="dk1"/>
    </cs:fontRef>
    <cs:spPr>
      <a:ln w="9525" cap="flat" cmpd="sng" algn="ctr">
        <a:solidFill>
          <a:schemeClr val="phClr">
            <a:shade val="95000"/>
          </a:schemeClr>
        </a:solidFill>
        <a:round/>
      </a:ln>
    </cs:spPr>
  </cs:dataPointMarker>
  <cs:dataPointMarkerLayout symbol="circle" size="4"/>
  <cs:dataPointWireframe>
    <cs:lnRef idx="0">
      <cs:styleClr val="auto"/>
    </cs:lnRef>
    <cs:fillRef idx="2"/>
    <cs:effectRef idx="0"/>
    <cs:fontRef idx="minor">
      <a:schemeClr val="dk1"/>
    </cs:fontRef>
    <cs:spPr>
      <a:ln w="9525" cap="rnd">
        <a:solidFill>
          <a:schemeClr val="phClr"/>
        </a:solidFill>
        <a:round/>
      </a:ln>
    </cs:spPr>
  </cs:dataPointWireframe>
  <cs:dataTable>
    <cs:lnRef idx="0"/>
    <cs:fillRef idx="0"/>
    <cs:effectRef idx="0"/>
    <cs:fontRef idx="minor">
      <a:schemeClr val="tx1">
        <a:lumMod val="50000"/>
        <a:lumOff val="50000"/>
      </a:schemeClr>
    </cs:fontRef>
    <cs:spPr>
      <a:ln w="9525">
        <a:solidFill>
          <a:schemeClr val="tx1">
            <a:lumMod val="15000"/>
            <a:lumOff val="85000"/>
          </a:schemeClr>
        </a:solidFill>
      </a:ln>
    </cs:spPr>
    <cs:defRPr sz="900" kern="1200"/>
  </cs:dataTable>
  <cs:downBar>
    <cs:lnRef idx="0"/>
    <cs:fillRef idx="0"/>
    <cs:effectRef idx="0"/>
    <cs:fontRef idx="minor">
      <a:schemeClr val="dk1"/>
    </cs:fontRef>
    <cs:spPr>
      <a:solidFill>
        <a:schemeClr val="dk1">
          <a:lumMod val="75000"/>
          <a:lumOff val="25000"/>
        </a:schemeClr>
      </a:solidFill>
      <a:ln w="9525">
        <a:solidFill>
          <a:schemeClr val="tx1">
            <a:lumMod val="50000"/>
            <a:lumOff val="50000"/>
          </a:schemeClr>
        </a:solidFill>
      </a:ln>
    </cs:spPr>
  </cs:downBar>
  <cs:dropLine>
    <cs:lnRef idx="0"/>
    <cs:fillRef idx="0"/>
    <cs:effectRef idx="0"/>
    <cs:fontRef idx="minor">
      <a:schemeClr val="dk1"/>
    </cs:fontRef>
    <cs:spPr>
      <a:ln w="9525">
        <a:solidFill>
          <a:schemeClr val="tx1">
            <a:lumMod val="35000"/>
            <a:lumOff val="65000"/>
          </a:schemeClr>
        </a:solidFill>
        <a:prstDash val="dash"/>
      </a:ln>
    </cs:spPr>
  </cs:dropLine>
  <cs:errorBar>
    <cs:lnRef idx="0"/>
    <cs:fillRef idx="0"/>
    <cs:effectRef idx="0"/>
    <cs:fontRef idx="minor">
      <a:schemeClr val="dk1"/>
    </cs:fontRef>
    <cs:spPr>
      <a:ln w="9525">
        <a:solidFill>
          <a:schemeClr val="tx1">
            <a:lumMod val="50000"/>
            <a:lumOff val="50000"/>
          </a:schemeClr>
        </a:solidFill>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solidFill>
          <a:schemeClr val="tx1">
            <a:lumMod val="15000"/>
            <a:lumOff val="85000"/>
          </a:schemeClr>
        </a:solidFill>
        <a:round/>
      </a:ln>
    </cs:spPr>
  </cs:gridlineMajor>
  <cs:gridlineMinor>
    <cs:lnRef idx="0"/>
    <cs:fillRef idx="0"/>
    <cs:effectRef idx="0"/>
    <cs:fontRef idx="minor">
      <a:schemeClr val="dk1"/>
    </cs:fontRef>
    <cs:spPr>
      <a:ln>
        <a:solidFill>
          <a:schemeClr val="tx1">
            <a:lumMod val="5000"/>
            <a:lumOff val="95000"/>
          </a:schemeClr>
        </a:solidFill>
      </a:ln>
    </cs:spPr>
  </cs:gridlineMinor>
  <cs:hiLoLine>
    <cs:lnRef idx="0"/>
    <cs:fillRef idx="0"/>
    <cs:effectRef idx="0"/>
    <cs:fontRef idx="minor">
      <a:schemeClr val="dk1"/>
    </cs:fontRef>
    <cs:spPr>
      <a:ln w="9525">
        <a:solidFill>
          <a:schemeClr val="tx1">
            <a:lumMod val="50000"/>
            <a:lumOff val="50000"/>
          </a:schemeClr>
        </a:solidFill>
        <a:prstDash val="dash"/>
      </a:ln>
    </cs:spPr>
  </cs:hiLoLine>
  <cs:leaderLine>
    <cs:lnRef idx="0"/>
    <cs:fillRef idx="0"/>
    <cs:effectRef idx="0"/>
    <cs:fontRef idx="minor">
      <a:schemeClr val="dk1"/>
    </cs:fontRef>
    <cs:spPr>
      <a:ln w="9525">
        <a:solidFill>
          <a:schemeClr val="tx1">
            <a:lumMod val="35000"/>
            <a:lumOff val="65000"/>
          </a:schemeClr>
        </a:solidFill>
      </a:ln>
    </cs:spPr>
  </cs:leaderLine>
  <cs:legend>
    <cs:lnRef idx="0"/>
    <cs:fillRef idx="0"/>
    <cs:effectRef idx="0"/>
    <cs:fontRef idx="minor">
      <a:schemeClr val="tx1">
        <a:lumMod val="50000"/>
        <a:lumOff val="50000"/>
      </a:schemeClr>
    </cs:fontRef>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50000"/>
        <a:lumOff val="50000"/>
      </a:schemeClr>
    </cs:fontRef>
    <cs:defRPr sz="900" kern="1200"/>
  </cs:seriesAxis>
  <cs:seriesLine>
    <cs:lnRef idx="0"/>
    <cs:fillRef idx="0"/>
    <cs:effectRef idx="0"/>
    <cs:fontRef idx="minor">
      <a:schemeClr val="dk1"/>
    </cs:fontRef>
    <cs:spPr>
      <a:ln w="9525">
        <a:solidFill>
          <a:schemeClr val="tx1">
            <a:lumMod val="35000"/>
            <a:lumOff val="65000"/>
          </a:schemeClr>
        </a:solidFill>
        <a:prstDash val="dash"/>
      </a:ln>
    </cs:spPr>
  </cs:seriesLine>
  <cs:title>
    <cs:lnRef idx="0"/>
    <cs:fillRef idx="0"/>
    <cs:effectRef idx="0"/>
    <cs:fontRef idx="minor">
      <a:schemeClr val="tx1">
        <a:lumMod val="50000"/>
        <a:lumOff val="50000"/>
      </a:schemeClr>
    </cs:fontRef>
    <cs:defRPr sz="1400" kern="1200" cap="none" spc="20" baseline="0"/>
  </cs:title>
  <cs:trendline>
    <cs:lnRef idx="0">
      <cs:styleClr val="auto"/>
    </cs:lnRef>
    <cs:fillRef idx="2"/>
    <cs:effectRef idx="0"/>
    <cs:fontRef idx="minor">
      <a:schemeClr val="dk1"/>
    </cs:fontRef>
    <cs:spPr>
      <a:ln w="9525" cap="rnd">
        <a:solidFill>
          <a:schemeClr val="phClr"/>
        </a:solidFill>
      </a:ln>
    </cs:spPr>
  </cs:trendline>
  <cs:trendlineLabel>
    <cs:lnRef idx="0"/>
    <cs:fillRef idx="0"/>
    <cs:effectRef idx="0"/>
    <cs:fontRef idx="minor">
      <a:schemeClr val="tx1">
        <a:lumMod val="50000"/>
        <a:lumOff val="50000"/>
      </a:schemeClr>
    </cs:fontRef>
    <cs:defRPr sz="900" kern="1200"/>
  </cs:trendlineLabel>
  <cs:upBar>
    <cs:lnRef idx="0"/>
    <cs:fillRef idx="0"/>
    <cs:effectRef idx="0"/>
    <cs:fontRef idx="minor">
      <a:schemeClr val="dk1"/>
    </cs:fontRef>
    <cs:spPr>
      <a:solidFill>
        <a:schemeClr val="lt1"/>
      </a:solidFill>
      <a:ln w="9525">
        <a:solidFill>
          <a:schemeClr val="tx1">
            <a:lumMod val="50000"/>
            <a:lumOff val="50000"/>
          </a:schemeClr>
        </a:solidFill>
      </a:ln>
    </cs:spPr>
  </cs:upBar>
  <cs:valueAxis>
    <cs:lnRef idx="0"/>
    <cs:fillRef idx="0"/>
    <cs:effectRef idx="0"/>
    <cs:fontRef idx="minor">
      <a:schemeClr val="tx1">
        <a:lumMod val="50000"/>
        <a:lumOff val="50000"/>
      </a:schemeClr>
    </cs:fontRef>
    <cs:defRPr sz="900" kern="1200"/>
  </cs:valueAxis>
  <cs:wall>
    <cs:lnRef idx="0"/>
    <cs:fillRef idx="0"/>
    <cs:effectRef idx="0"/>
    <cs:fontRef idx="minor">
      <a:schemeClr val="dk1"/>
    </cs:fontRef>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theme/themeOverride1.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2.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3.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4.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5.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6.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926BAA3-0717-47F2-B3E0-5F6A12CC385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5733</TotalTime>
  <Pages>26</Pages>
  <Words>9420</Words>
  <Characters>53699</Characters>
  <Application>Microsoft Office Word</Application>
  <DocSecurity>0</DocSecurity>
  <Lines>447</Lines>
  <Paragraphs>125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62994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Fauzia Agustin</dc:creator>
  <cp:lastModifiedBy>LENOVO </cp:lastModifiedBy>
  <cp:revision>24</cp:revision>
  <dcterms:created xsi:type="dcterms:W3CDTF">2026-07-02T06:30:00Z</dcterms:created>
  <dcterms:modified xsi:type="dcterms:W3CDTF">2026-07-18T11:32:00Z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57429baf25444927ba8831d7fc9f879c_22</vt:lpwstr>
  </property>
</Properties>
</file>