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C8C4D" w14:textId="1E2479C7" w:rsidR="005034BF" w:rsidRPr="00BD7F47" w:rsidRDefault="00853982" w:rsidP="00A54251">
      <w:pPr>
        <w:spacing w:after="0" w:line="360" w:lineRule="auto"/>
        <w:jc w:val="center"/>
        <w:rPr>
          <w:rFonts w:ascii="Times New Roman" w:hAnsi="Times New Roman" w:cs="Times New Roman"/>
          <w:b/>
          <w:bCs/>
          <w:sz w:val="24"/>
          <w:szCs w:val="24"/>
        </w:rPr>
      </w:pPr>
      <w:r w:rsidRPr="00853982">
        <w:rPr>
          <w:rFonts w:ascii="Times New Roman" w:hAnsi="Times New Roman" w:cs="Times New Roman"/>
          <w:b/>
          <w:bCs/>
          <w:sz w:val="24"/>
          <w:szCs w:val="24"/>
        </w:rPr>
        <w:t>Integrative Phenotypic and Exploratory Metabolomic Profiling Reveals Candidate Climate-Responsive Biomass Traits in Forage Cactus (</w:t>
      </w:r>
      <w:r w:rsidRPr="00853982">
        <w:rPr>
          <w:rFonts w:ascii="Times New Roman" w:hAnsi="Times New Roman" w:cs="Times New Roman"/>
          <w:b/>
          <w:bCs/>
          <w:i/>
          <w:iCs/>
          <w:sz w:val="24"/>
          <w:szCs w:val="24"/>
        </w:rPr>
        <w:t>Nopalea cochenillifera</w:t>
      </w:r>
      <w:r w:rsidRPr="00853982">
        <w:rPr>
          <w:rFonts w:ascii="Times New Roman" w:hAnsi="Times New Roman" w:cs="Times New Roman"/>
          <w:b/>
          <w:bCs/>
          <w:sz w:val="24"/>
          <w:szCs w:val="24"/>
        </w:rPr>
        <w:t>)</w:t>
      </w:r>
    </w:p>
    <w:p w14:paraId="6CC0C90D" w14:textId="77777777" w:rsidR="005A0939" w:rsidRDefault="005A0939" w:rsidP="00E67A98">
      <w:pPr>
        <w:spacing w:after="0" w:line="360" w:lineRule="auto"/>
        <w:jc w:val="center"/>
        <w:rPr>
          <w:rFonts w:ascii="Times New Roman" w:hAnsi="Times New Roman" w:cs="Times New Roman"/>
          <w:b/>
          <w:bCs/>
          <w:sz w:val="24"/>
          <w:szCs w:val="24"/>
        </w:rPr>
      </w:pPr>
    </w:p>
    <w:p w14:paraId="28F1F523" w14:textId="0720ABC8" w:rsidR="00E67A98" w:rsidRPr="00E67A98" w:rsidRDefault="00E67A98" w:rsidP="00E67A98">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Rezki Amalyadi</w:t>
      </w:r>
      <w:r w:rsidR="00C46929" w:rsidRPr="00C46929">
        <w:rPr>
          <w:rFonts w:ascii="Times New Roman" w:hAnsi="Times New Roman" w:cs="Times New Roman"/>
          <w:b/>
          <w:bCs/>
          <w:sz w:val="24"/>
          <w:szCs w:val="24"/>
          <w:vertAlign w:val="superscript"/>
        </w:rPr>
        <w:t>1</w:t>
      </w:r>
      <w:r w:rsidR="00C46929">
        <w:rPr>
          <w:rFonts w:ascii="Times New Roman" w:hAnsi="Times New Roman" w:cs="Times New Roman"/>
          <w:b/>
          <w:bCs/>
          <w:sz w:val="24"/>
          <w:szCs w:val="24"/>
        </w:rPr>
        <w:t>*</w:t>
      </w:r>
      <w:r>
        <w:rPr>
          <w:rFonts w:ascii="Times New Roman" w:hAnsi="Times New Roman" w:cs="Times New Roman"/>
          <w:b/>
          <w:bCs/>
          <w:sz w:val="24"/>
          <w:szCs w:val="24"/>
        </w:rPr>
        <w:t xml:space="preserve">, </w:t>
      </w:r>
      <w:r w:rsidR="00C46929">
        <w:rPr>
          <w:rFonts w:ascii="Times New Roman" w:hAnsi="Times New Roman" w:cs="Times New Roman"/>
          <w:b/>
          <w:bCs/>
          <w:sz w:val="24"/>
          <w:szCs w:val="24"/>
        </w:rPr>
        <w:t>Imam Munandar</w:t>
      </w:r>
      <w:r w:rsidR="00C46929" w:rsidRPr="00C46929">
        <w:rPr>
          <w:rFonts w:ascii="Times New Roman" w:hAnsi="Times New Roman" w:cs="Times New Roman"/>
          <w:b/>
          <w:bCs/>
          <w:sz w:val="24"/>
          <w:szCs w:val="24"/>
          <w:vertAlign w:val="superscript"/>
        </w:rPr>
        <w:t>2</w:t>
      </w:r>
    </w:p>
    <w:p w14:paraId="500868FB" w14:textId="77777777" w:rsidR="00C46929" w:rsidRDefault="00C46929" w:rsidP="00E67A98">
      <w:pPr>
        <w:spacing w:after="0" w:line="360" w:lineRule="auto"/>
        <w:jc w:val="center"/>
        <w:rPr>
          <w:rFonts w:ascii="Times New Roman" w:hAnsi="Times New Roman" w:cs="Times New Roman"/>
          <w:b/>
          <w:bCs/>
          <w:i/>
          <w:iCs/>
          <w:sz w:val="24"/>
          <w:szCs w:val="24"/>
        </w:rPr>
      </w:pPr>
      <w:r w:rsidRPr="00C46929">
        <w:rPr>
          <w:rFonts w:ascii="Times New Roman" w:hAnsi="Times New Roman" w:cs="Times New Roman"/>
          <w:b/>
          <w:bCs/>
          <w:i/>
          <w:iCs/>
          <w:sz w:val="24"/>
          <w:szCs w:val="24"/>
          <w:vertAlign w:val="superscript"/>
        </w:rPr>
        <w:t>1</w:t>
      </w:r>
      <w:r w:rsidR="00E67A98">
        <w:rPr>
          <w:rFonts w:ascii="Times New Roman" w:hAnsi="Times New Roman" w:cs="Times New Roman"/>
          <w:b/>
          <w:bCs/>
          <w:i/>
          <w:iCs/>
          <w:sz w:val="24"/>
          <w:szCs w:val="24"/>
        </w:rPr>
        <w:t xml:space="preserve">Department of Animal Science, Faculty of Animal Science, University of Mataram, </w:t>
      </w:r>
      <w:r w:rsidR="005A0939">
        <w:rPr>
          <w:rFonts w:ascii="Times New Roman" w:hAnsi="Times New Roman" w:cs="Times New Roman"/>
          <w:b/>
          <w:bCs/>
          <w:i/>
          <w:iCs/>
          <w:sz w:val="24"/>
          <w:szCs w:val="24"/>
        </w:rPr>
        <w:t>Mataram City, 83115, West Nusa Tenggara, Indonesia</w:t>
      </w:r>
    </w:p>
    <w:p w14:paraId="65561641" w14:textId="7DF97D61" w:rsidR="00E67A98" w:rsidRPr="00E67A98" w:rsidRDefault="00C46929" w:rsidP="00E67A98">
      <w:pPr>
        <w:spacing w:after="0" w:line="360" w:lineRule="auto"/>
        <w:jc w:val="center"/>
        <w:rPr>
          <w:rFonts w:ascii="Times New Roman" w:hAnsi="Times New Roman" w:cs="Times New Roman"/>
          <w:b/>
          <w:bCs/>
          <w:i/>
          <w:iCs/>
          <w:sz w:val="24"/>
          <w:szCs w:val="24"/>
        </w:rPr>
      </w:pPr>
      <w:r>
        <w:rPr>
          <w:rFonts w:ascii="Times New Roman" w:hAnsi="Times New Roman" w:cs="Times New Roman"/>
          <w:b/>
          <w:bCs/>
          <w:i/>
          <w:iCs/>
          <w:sz w:val="24"/>
          <w:szCs w:val="24"/>
          <w:vertAlign w:val="superscript"/>
        </w:rPr>
        <w:t>2</w:t>
      </w:r>
      <w:r>
        <w:rPr>
          <w:rFonts w:ascii="Times New Roman" w:hAnsi="Times New Roman" w:cs="Times New Roman"/>
          <w:b/>
          <w:bCs/>
          <w:i/>
          <w:iCs/>
          <w:sz w:val="24"/>
          <w:szCs w:val="24"/>
        </w:rPr>
        <w:t>Department of Animal Science, Faculty of Life Science and Technology, Sumbawa University of Technology, Sumbawa City, 8</w:t>
      </w:r>
      <w:r w:rsidR="00554C9D">
        <w:rPr>
          <w:rFonts w:ascii="Times New Roman" w:hAnsi="Times New Roman" w:cs="Times New Roman"/>
          <w:b/>
          <w:bCs/>
          <w:i/>
          <w:iCs/>
          <w:sz w:val="24"/>
          <w:szCs w:val="24"/>
        </w:rPr>
        <w:t>4371</w:t>
      </w:r>
      <w:r>
        <w:rPr>
          <w:rFonts w:ascii="Times New Roman" w:hAnsi="Times New Roman" w:cs="Times New Roman"/>
          <w:b/>
          <w:bCs/>
          <w:i/>
          <w:iCs/>
          <w:sz w:val="24"/>
          <w:szCs w:val="24"/>
        </w:rPr>
        <w:t>, West Nusa Tenggara, Indonesia</w:t>
      </w:r>
      <w:r w:rsidR="00E67A98" w:rsidRPr="00E67A98">
        <w:rPr>
          <w:rFonts w:ascii="Times New Roman" w:hAnsi="Times New Roman" w:cs="Times New Roman"/>
          <w:b/>
          <w:bCs/>
          <w:i/>
          <w:iCs/>
          <w:sz w:val="24"/>
          <w:szCs w:val="24"/>
        </w:rPr>
        <w:br/>
      </w:r>
      <w:hyperlink r:id="rId6" w:history="1">
        <w:r w:rsidR="005A0939" w:rsidRPr="00353E83">
          <w:rPr>
            <w:rStyle w:val="Hyperlink"/>
            <w:rFonts w:ascii="Times New Roman" w:hAnsi="Times New Roman" w:cs="Times New Roman"/>
            <w:b/>
            <w:bCs/>
            <w:i/>
            <w:iCs/>
            <w:sz w:val="24"/>
            <w:szCs w:val="24"/>
          </w:rPr>
          <w:t>rezkiamalyadi@staff.unram.ac.id</w:t>
        </w:r>
      </w:hyperlink>
    </w:p>
    <w:p w14:paraId="0AD3036A" w14:textId="77777777" w:rsidR="00F72B7A" w:rsidRPr="00A54251" w:rsidRDefault="00F72B7A" w:rsidP="00A54251">
      <w:pPr>
        <w:spacing w:after="0" w:line="360" w:lineRule="auto"/>
        <w:jc w:val="both"/>
        <w:rPr>
          <w:rFonts w:ascii="Times New Roman" w:hAnsi="Times New Roman" w:cs="Times New Roman"/>
          <w:b/>
          <w:bCs/>
          <w:sz w:val="24"/>
          <w:szCs w:val="24"/>
        </w:rPr>
      </w:pPr>
    </w:p>
    <w:p w14:paraId="6F42CC02" w14:textId="77777777" w:rsidR="00F72B7A" w:rsidRPr="00F72B7A" w:rsidRDefault="00F72B7A" w:rsidP="00A54251">
      <w:pPr>
        <w:spacing w:after="0" w:line="360" w:lineRule="auto"/>
        <w:jc w:val="both"/>
        <w:rPr>
          <w:rFonts w:ascii="Times New Roman" w:hAnsi="Times New Roman" w:cs="Times New Roman"/>
          <w:b/>
          <w:bCs/>
          <w:sz w:val="24"/>
          <w:szCs w:val="24"/>
        </w:rPr>
      </w:pPr>
      <w:r w:rsidRPr="00F72B7A">
        <w:rPr>
          <w:rFonts w:ascii="Times New Roman" w:hAnsi="Times New Roman" w:cs="Times New Roman"/>
          <w:b/>
          <w:bCs/>
          <w:sz w:val="24"/>
          <w:szCs w:val="24"/>
        </w:rPr>
        <w:t>Abstract</w:t>
      </w:r>
    </w:p>
    <w:p w14:paraId="09258CDE" w14:textId="5F8D799D" w:rsidR="00853982" w:rsidRPr="00853982" w:rsidRDefault="00853982" w:rsidP="00853982">
      <w:pPr>
        <w:spacing w:after="0" w:line="360" w:lineRule="auto"/>
        <w:jc w:val="both"/>
        <w:rPr>
          <w:rFonts w:ascii="Times New Roman" w:hAnsi="Times New Roman" w:cs="Times New Roman"/>
          <w:sz w:val="24"/>
          <w:szCs w:val="24"/>
        </w:rPr>
      </w:pPr>
      <w:r w:rsidRPr="00853982">
        <w:rPr>
          <w:rFonts w:ascii="Times New Roman" w:hAnsi="Times New Roman" w:cs="Times New Roman"/>
          <w:sz w:val="24"/>
          <w:szCs w:val="24"/>
        </w:rPr>
        <w:t xml:space="preserve">Climate change increasingly threatens biomass productivity and crop stability in tropical dryland agriculture, creating an urgent need to better understand adaptive responses that support sustainable production under environmental stress. This study explored the integration of phenotypic assessment and untargeted metabolomic profiling to investigate candidate climate-responsive biomass traits in </w:t>
      </w:r>
      <w:r w:rsidRPr="00853982">
        <w:rPr>
          <w:rFonts w:ascii="Times New Roman" w:hAnsi="Times New Roman" w:cs="Times New Roman"/>
          <w:i/>
          <w:iCs/>
          <w:sz w:val="24"/>
          <w:szCs w:val="24"/>
        </w:rPr>
        <w:t>Nopalea cochenillifera</w:t>
      </w:r>
      <w:r w:rsidRPr="00853982">
        <w:rPr>
          <w:rFonts w:ascii="Times New Roman" w:hAnsi="Times New Roman" w:cs="Times New Roman"/>
          <w:sz w:val="24"/>
          <w:szCs w:val="24"/>
        </w:rPr>
        <w:t>, a drought-adapted forage cactus with potential for climate-smart production systems. Field evaluation was conducted under tropical dryland conditions in Sumbawa Island, Indonesia, using three irrigation regimes representing optimal water supply, moderate water limitation, and severe water limitation.</w:t>
      </w:r>
      <w:r>
        <w:rPr>
          <w:rFonts w:ascii="Times New Roman" w:hAnsi="Times New Roman" w:cs="Times New Roman"/>
          <w:sz w:val="24"/>
          <w:szCs w:val="24"/>
        </w:rPr>
        <w:t xml:space="preserve"> </w:t>
      </w:r>
      <w:r w:rsidRPr="00853982">
        <w:rPr>
          <w:rFonts w:ascii="Times New Roman" w:hAnsi="Times New Roman" w:cs="Times New Roman"/>
          <w:sz w:val="24"/>
          <w:szCs w:val="24"/>
        </w:rPr>
        <w:t>Phenotypic characterization included biomass production, relative water content (RWC), chlorophyll index, and water-use efficiency (WUE). Untargeted metabolomic profiling was performed using UPLC–HRMS to characterize metabolic responses associated with environmental stress. Integrated analysis was conducted using principal component analysis (PCA), partial least squares discriminant analysis (PLS–DA), and exploratory integration of metabolic and phenotypic variables.</w:t>
      </w:r>
      <w:r>
        <w:rPr>
          <w:rFonts w:ascii="Times New Roman" w:hAnsi="Times New Roman" w:cs="Times New Roman"/>
          <w:sz w:val="24"/>
          <w:szCs w:val="24"/>
        </w:rPr>
        <w:t xml:space="preserve"> </w:t>
      </w:r>
      <w:r w:rsidRPr="00853982">
        <w:rPr>
          <w:rFonts w:ascii="Times New Roman" w:hAnsi="Times New Roman" w:cs="Times New Roman"/>
          <w:sz w:val="24"/>
          <w:szCs w:val="24"/>
        </w:rPr>
        <w:t>Results indicated that moderate water limitation maintained biomass productivity while improving water-use efficiency and preserving physiological performance. Metabolomic analysis revealed exploratory metabolomic signatures characterized by differential accumulation of putative metabolites associated with flavonoid-, phenolic-, and organic acid-related pathways. Integration of metabolic and phenotypic information identified candidate metabolic indicators and exploratory associations linked to adaptive biomass responses. These findings provide preliminary evidence that integrated phenotypic–metabolomic approaches may improve understanding of adaptive responses in forage cactus. Further targeted metabolomic validation is required before broader application in climate adaptation or breeding programs.</w:t>
      </w:r>
    </w:p>
    <w:p w14:paraId="5E980FB4" w14:textId="6BB23049" w:rsidR="00F72B7A" w:rsidRPr="00232E9B" w:rsidRDefault="00F72B7A" w:rsidP="00E97E0A">
      <w:pPr>
        <w:spacing w:after="0" w:line="360" w:lineRule="auto"/>
        <w:jc w:val="both"/>
        <w:rPr>
          <w:rFonts w:ascii="Times New Roman" w:hAnsi="Times New Roman" w:cs="Times New Roman"/>
          <w:i/>
          <w:iCs/>
          <w:sz w:val="24"/>
          <w:szCs w:val="24"/>
        </w:rPr>
      </w:pPr>
      <w:r w:rsidRPr="00232E9B">
        <w:rPr>
          <w:rFonts w:ascii="Times New Roman" w:hAnsi="Times New Roman" w:cs="Times New Roman"/>
          <w:b/>
          <w:bCs/>
          <w:i/>
          <w:iCs/>
          <w:sz w:val="24"/>
          <w:szCs w:val="24"/>
        </w:rPr>
        <w:lastRenderedPageBreak/>
        <w:t>Keywords:</w:t>
      </w:r>
      <w:r w:rsidRPr="00232E9B">
        <w:rPr>
          <w:rFonts w:ascii="Times New Roman" w:hAnsi="Times New Roman" w:cs="Times New Roman"/>
          <w:i/>
          <w:iCs/>
          <w:sz w:val="24"/>
          <w:szCs w:val="24"/>
        </w:rPr>
        <w:t xml:space="preserve"> </w:t>
      </w:r>
      <w:r w:rsidR="00853982" w:rsidRPr="00853982">
        <w:rPr>
          <w:rFonts w:ascii="Times New Roman" w:hAnsi="Times New Roman" w:cs="Times New Roman"/>
          <w:i/>
          <w:iCs/>
          <w:sz w:val="24"/>
          <w:szCs w:val="24"/>
        </w:rPr>
        <w:t>adaptive phenotypic plasticity</w:t>
      </w:r>
      <w:r w:rsidR="00853982">
        <w:rPr>
          <w:rFonts w:ascii="Times New Roman" w:hAnsi="Times New Roman" w:cs="Times New Roman"/>
          <w:i/>
          <w:iCs/>
          <w:sz w:val="24"/>
          <w:szCs w:val="24"/>
        </w:rPr>
        <w:t>,</w:t>
      </w:r>
      <w:r w:rsidR="00853982" w:rsidRPr="00853982">
        <w:rPr>
          <w:rFonts w:ascii="Times New Roman" w:hAnsi="Times New Roman" w:cs="Times New Roman"/>
          <w:i/>
          <w:iCs/>
          <w:sz w:val="24"/>
          <w:szCs w:val="24"/>
        </w:rPr>
        <w:t xml:space="preserve"> candidate metabolic indicators</w:t>
      </w:r>
      <w:r w:rsidR="00853982">
        <w:rPr>
          <w:rFonts w:ascii="Times New Roman" w:hAnsi="Times New Roman" w:cs="Times New Roman"/>
          <w:i/>
          <w:iCs/>
          <w:sz w:val="24"/>
          <w:szCs w:val="24"/>
        </w:rPr>
        <w:t>,</w:t>
      </w:r>
      <w:r w:rsidR="00853982" w:rsidRPr="00853982">
        <w:rPr>
          <w:rFonts w:ascii="Times New Roman" w:hAnsi="Times New Roman" w:cs="Times New Roman"/>
          <w:i/>
          <w:iCs/>
          <w:sz w:val="24"/>
          <w:szCs w:val="24"/>
        </w:rPr>
        <w:t xml:space="preserve"> exploratory metabolomics</w:t>
      </w:r>
      <w:r w:rsidR="00853982">
        <w:rPr>
          <w:rFonts w:ascii="Times New Roman" w:hAnsi="Times New Roman" w:cs="Times New Roman"/>
          <w:i/>
          <w:iCs/>
          <w:sz w:val="24"/>
          <w:szCs w:val="24"/>
        </w:rPr>
        <w:t>,</w:t>
      </w:r>
      <w:r w:rsidR="00853982" w:rsidRPr="00853982">
        <w:rPr>
          <w:rFonts w:ascii="Times New Roman" w:hAnsi="Times New Roman" w:cs="Times New Roman"/>
          <w:i/>
          <w:iCs/>
          <w:sz w:val="24"/>
          <w:szCs w:val="24"/>
        </w:rPr>
        <w:t xml:space="preserve"> tropical dryland adaptation</w:t>
      </w:r>
    </w:p>
    <w:p w14:paraId="0A9F6853" w14:textId="4AFBBE94" w:rsidR="00F72B7A" w:rsidRPr="00F72B7A" w:rsidRDefault="00F72B7A" w:rsidP="00A54251">
      <w:pPr>
        <w:spacing w:after="0" w:line="360" w:lineRule="auto"/>
        <w:jc w:val="both"/>
        <w:rPr>
          <w:rFonts w:ascii="Times New Roman" w:hAnsi="Times New Roman" w:cs="Times New Roman"/>
          <w:sz w:val="24"/>
          <w:szCs w:val="24"/>
        </w:rPr>
      </w:pPr>
    </w:p>
    <w:p w14:paraId="2071FC44" w14:textId="324C1FCD" w:rsidR="00F72B7A" w:rsidRPr="00F72B7A" w:rsidRDefault="00F72B7A" w:rsidP="00A54251">
      <w:pPr>
        <w:spacing w:after="0" w:line="360" w:lineRule="auto"/>
        <w:jc w:val="both"/>
        <w:rPr>
          <w:rFonts w:ascii="Times New Roman" w:hAnsi="Times New Roman" w:cs="Times New Roman"/>
          <w:b/>
          <w:bCs/>
          <w:sz w:val="24"/>
          <w:szCs w:val="24"/>
        </w:rPr>
      </w:pPr>
      <w:r w:rsidRPr="00F72B7A">
        <w:rPr>
          <w:rFonts w:ascii="Times New Roman" w:hAnsi="Times New Roman" w:cs="Times New Roman"/>
          <w:b/>
          <w:bCs/>
          <w:sz w:val="24"/>
          <w:szCs w:val="24"/>
        </w:rPr>
        <w:t>Introduction</w:t>
      </w:r>
    </w:p>
    <w:p w14:paraId="5A9D670F" w14:textId="11A2E981" w:rsidR="004A70D0" w:rsidRPr="004A70D0" w:rsidRDefault="004A70D0" w:rsidP="004A70D0">
      <w:pPr>
        <w:spacing w:after="0" w:line="360" w:lineRule="auto"/>
        <w:jc w:val="both"/>
        <w:rPr>
          <w:rFonts w:ascii="Times New Roman" w:hAnsi="Times New Roman" w:cs="Times New Roman"/>
          <w:sz w:val="24"/>
          <w:szCs w:val="24"/>
        </w:rPr>
      </w:pPr>
      <w:r w:rsidRPr="004A70D0">
        <w:rPr>
          <w:rFonts w:ascii="Times New Roman" w:hAnsi="Times New Roman" w:cs="Times New Roman"/>
          <w:sz w:val="24"/>
          <w:szCs w:val="24"/>
        </w:rPr>
        <w:t xml:space="preserve">Climate change has emerged as one of the most critical constraints affecting agricultural sustainability and global biomass production. Increasing temperatures, irregular rainfall patterns, prolonged drought episodes, and intensified environmental variability are reshaping crop productivity across tropical and subtropical regions. These pressures are particularly severe in dryland ecosystems, where conventional forage and biomass-producing species frequently exhibit reduced growth performance and unstable yields. Consequently, identifying plant species and functional traits capable of maintaining productivity under climatic disturbances has become a strategic priority for climate-resilient agriculture </w:t>
      </w:r>
      <w:r w:rsidR="00154129">
        <w:rPr>
          <w:rFonts w:ascii="Times New Roman" w:hAnsi="Times New Roman" w:cs="Times New Roman"/>
          <w:sz w:val="24"/>
          <w:szCs w:val="24"/>
        </w:rPr>
        <w:fldChar w:fldCharType="begin" w:fldLock="1"/>
      </w:r>
      <w:r w:rsidR="00154129">
        <w:rPr>
          <w:rFonts w:ascii="Times New Roman" w:hAnsi="Times New Roman" w:cs="Times New Roman"/>
          <w:sz w:val="24"/>
          <w:szCs w:val="24"/>
        </w:rPr>
        <w:instrText>ADDIN CSL_CITATION {"citationItems":[{"id":"ITEM-1","itemData":{"ISSN":"2073-4395","author":[{"dropping-particle":"","family":"Carrera","given":"Fredy P","non-dropping-particle":"","parse-names":false,"suffix":""},{"dropping-particle":"","family":"Noceda","given":"Carlos","non-dropping-particle":"","parse-names":false,"suffix":""},{"dropping-particle":"","family":"Maridueña-Zavala","given":"María G","non-dropping-particle":"","parse-names":false,"suffix":""},{"dropping-particle":"","family":"Cevallos-Cevallos","given":"Juan M","non-dropping-particle":"","parse-names":false,"suffix":""}],"container-title":"Agronomy","id":"ITEM-1","issue":"5","issued":{"date-parts":[["2021"]]},"page":"824","publisher":"MDPI","title":"Metabolomics, a powerful tool for understanding plant abiotic stress","type":"article-journal","volume":"11"},"uris":["http://www.mendeley.com/documents/?uuid=ea825d29-191c-4d18-a331-4e9268e76146"]},{"id":"ITEM-2","itemData":{"ISSN":"1568-7767","author":[{"dropping-particle":"","family":"Anzano","given":"Attilio","non-dropping-particle":"","parse-names":false,"suffix":""},{"dropping-particle":"","family":"Bonanomi","given":"Giuliano","non-dropping-particle":"","parse-names":false,"suffix":""},{"dropping-particle":"","family":"Mazzoleni","given":"Stefano","non-dropping-particle":"","parse-names":false,"suffix":""},{"dropping-particle":"","family":"Lanzotti","given":"Virginia","non-dropping-particle":"","parse-names":false,"suffix":""}],"container-title":"Phytochemistry Reviews","id":"ITEM-2","issue":"2","issued":{"date-parts":[["2022"]]},"page":"503-524","publisher":"Springer","title":"Plant metabolomics in biotic and abiotic stress: a critical overview","type":"article-journal","volume":"21"},"uris":["http://www.mendeley.com/documents/?uuid=34f6188e-4c4d-44ad-a4d1-d707f3192650"]},{"id":"ITEM-3","itemData":{"ISSN":"2218-1989","author":[{"dropping-particle":"","family":"Allwood","given":"James William","non-dropping-particle":"","parse-names":false,"suffix":""},{"dropping-particle":"","family":"Williams","given":"Alex","non-dropping-particle":"","parse-names":false,"suffix":""},{"dropping-particle":"","family":"Uthe","given":"Henriette","non-dropping-particle":"","parse-names":false,"suffix":""},{"dropping-particle":"","family":"Dam","given":"Nicole M","non-dropping-particle":"van","parse-names":false,"suffix":""},{"dropping-particle":"","family":"Mur","given":"Luis A J","non-dropping-particle":"","parse-names":false,"suffix":""},{"dropping-particle":"","family":"Grant","given":"Murray R","non-dropping-particle":"","parse-names":false,"suffix":""},{"dropping-particle":"","family":"Pétriacq","given":"Pierre","non-dropping-particle":"","parse-names":false,"suffix":""}],"container-title":"Metabolites","id":"ITEM-3","issue":"8","issued":{"date-parts":[["2021"]]},"page":"558","publisher":"MDPI","title":"Unravelling plant responses to stress—The importance of targeted and untargeted metabolomics","type":"article-journal","volume":"11"},"uris":["http://www.mendeley.com/documents/?uuid=79267535-ae24-41cf-b33f-85e2c1302b12"]},{"id":"ITEM-4","itemData":{"ISSN":"2662-253X","author":[{"dropping-particle":"","family":"Dixit","given":"Shikha","non-dropping-particle":"","parse-names":false,"suffix":""},{"dropping-particle":"","family":"Sivalingam","given":"Palaiyur Nanjappan","non-dropping-particle":"","parse-names":false,"suffix":""},{"dropping-particle":"","family":"Baskaran","given":"R K Murali","non-dropping-particle":"","parse-names":false,"suffix":""},{"dropping-particle":"","family":"Senthil-Kumar","given":"Muthappa","non-dropping-particle":"","parse-names":false,"suffix":""},{"dropping-particle":"","family":"Ghosh","given":"Probir Kumar","non-dropping-particle":"","parse-names":false,"suffix":""}],"container-title":"Plant Physiology Reports","id":"ITEM-4","issue":"1","issued":{"date-parts":[["2024"]]},"page":"6-17","publisher":"Springer","title":"Plant responses to concurrent abiotic and biotic stress: unravelling physiological and morphological mechanisms","type":"article-journal","volume":"29"},"uris":["http://www.mendeley.com/documents/?uuid=08fe8238-5b05-41b2-80cb-818edf6ee927"]}],"mendeley":{"formattedCitation":"(Allwood et al., 2021; Anzano et al., 2022; Carrera et al., 2021; Dixit et al., 2024)","plainTextFormattedCitation":"(Allwood et al., 2021; Anzano et al., 2022; Carrera et al., 2021; Dixit et al., 2024)","previouslyFormattedCitation":"(Allwood et al., 2021; Anzano et al., 2022; Carrera et al., 2021; Dixit et al., 2024)"},"properties":{"noteIndex":0},"schema":"https://github.com/citation-style-language/schema/raw/master/csl-citation.json"}</w:instrText>
      </w:r>
      <w:r w:rsidR="00154129">
        <w:rPr>
          <w:rFonts w:ascii="Times New Roman" w:hAnsi="Times New Roman" w:cs="Times New Roman"/>
          <w:sz w:val="24"/>
          <w:szCs w:val="24"/>
        </w:rPr>
        <w:fldChar w:fldCharType="separate"/>
      </w:r>
      <w:r w:rsidR="00154129" w:rsidRPr="00154129">
        <w:rPr>
          <w:rFonts w:ascii="Times New Roman" w:hAnsi="Times New Roman" w:cs="Times New Roman"/>
          <w:noProof/>
          <w:sz w:val="24"/>
          <w:szCs w:val="24"/>
        </w:rPr>
        <w:t>(Allwood et al., 2021; Anzano et al., 2022; Carrera et al., 2021; Dixit et al., 2024)</w:t>
      </w:r>
      <w:r w:rsidR="00154129">
        <w:rPr>
          <w:rFonts w:ascii="Times New Roman" w:hAnsi="Times New Roman" w:cs="Times New Roman"/>
          <w:sz w:val="24"/>
          <w:szCs w:val="24"/>
        </w:rPr>
        <w:fldChar w:fldCharType="end"/>
      </w:r>
      <w:r w:rsidRPr="004A70D0">
        <w:rPr>
          <w:rFonts w:ascii="Times New Roman" w:hAnsi="Times New Roman" w:cs="Times New Roman"/>
          <w:sz w:val="24"/>
          <w:szCs w:val="24"/>
        </w:rPr>
        <w:t>. Recent advances increasingly emphasize that adaptation should extend beyond yield stability and include physiological efficiency, metabolic plasticity, and long-term ecosystem resilience.</w:t>
      </w:r>
    </w:p>
    <w:p w14:paraId="6387820A" w14:textId="65368009" w:rsidR="004A70D0" w:rsidRPr="004A70D0" w:rsidRDefault="004A70D0" w:rsidP="004A70D0">
      <w:pPr>
        <w:spacing w:after="0" w:line="360" w:lineRule="auto"/>
        <w:jc w:val="both"/>
        <w:rPr>
          <w:rFonts w:ascii="Times New Roman" w:hAnsi="Times New Roman" w:cs="Times New Roman"/>
          <w:sz w:val="24"/>
          <w:szCs w:val="24"/>
        </w:rPr>
      </w:pPr>
      <w:r w:rsidRPr="004A70D0">
        <w:rPr>
          <w:rFonts w:ascii="Times New Roman" w:hAnsi="Times New Roman" w:cs="Times New Roman"/>
          <w:sz w:val="24"/>
          <w:szCs w:val="24"/>
        </w:rPr>
        <w:t xml:space="preserve">Among drought-adapted crops, forage cactus has attracted substantial scientific interest due to its exceptional capacity to maintain biomass accumulation under water-limited environments. Species belonging to the genera </w:t>
      </w:r>
      <w:r w:rsidRPr="004A70D0">
        <w:rPr>
          <w:rFonts w:ascii="Times New Roman" w:hAnsi="Times New Roman" w:cs="Times New Roman"/>
          <w:i/>
          <w:iCs/>
          <w:sz w:val="24"/>
          <w:szCs w:val="24"/>
        </w:rPr>
        <w:t>Opuntia</w:t>
      </w:r>
      <w:r w:rsidRPr="004A70D0">
        <w:rPr>
          <w:rFonts w:ascii="Times New Roman" w:hAnsi="Times New Roman" w:cs="Times New Roman"/>
          <w:sz w:val="24"/>
          <w:szCs w:val="24"/>
        </w:rPr>
        <w:t xml:space="preserve"> and </w:t>
      </w:r>
      <w:r w:rsidRPr="004A70D0">
        <w:rPr>
          <w:rFonts w:ascii="Times New Roman" w:hAnsi="Times New Roman" w:cs="Times New Roman"/>
          <w:i/>
          <w:iCs/>
          <w:sz w:val="24"/>
          <w:szCs w:val="24"/>
        </w:rPr>
        <w:t>Nopalea</w:t>
      </w:r>
      <w:r w:rsidRPr="004A70D0">
        <w:rPr>
          <w:rFonts w:ascii="Times New Roman" w:hAnsi="Times New Roman" w:cs="Times New Roman"/>
          <w:sz w:val="24"/>
          <w:szCs w:val="24"/>
        </w:rPr>
        <w:t xml:space="preserve"> possess crassulacean acid metabolism (CAM), a photosynthetic pathway associated with high water-use efficiency and improved tolerance to environmental stress. In particular, </w:t>
      </w:r>
      <w:r w:rsidRPr="004A70D0">
        <w:rPr>
          <w:rFonts w:ascii="Times New Roman" w:hAnsi="Times New Roman" w:cs="Times New Roman"/>
          <w:i/>
          <w:iCs/>
          <w:sz w:val="24"/>
          <w:szCs w:val="24"/>
        </w:rPr>
        <w:t>Nopalea cochenillifera</w:t>
      </w:r>
      <w:r w:rsidRPr="004A70D0">
        <w:rPr>
          <w:rFonts w:ascii="Times New Roman" w:hAnsi="Times New Roman" w:cs="Times New Roman"/>
          <w:sz w:val="24"/>
          <w:szCs w:val="24"/>
        </w:rPr>
        <w:t xml:space="preserve"> has demonstrated remarkable agronomic potential in semiarid regions because of its ability to sustain succulent biomass production while requiring substantially lower water inputs than conventional forage crops. Beyond its ecological adaptation, this species contributes to climate-smart production systems through carbon-efficient growth and improved resource-use efficiency </w:t>
      </w:r>
      <w:r w:rsidR="00154129">
        <w:rPr>
          <w:rFonts w:ascii="Times New Roman" w:hAnsi="Times New Roman" w:cs="Times New Roman"/>
          <w:sz w:val="24"/>
          <w:szCs w:val="24"/>
        </w:rPr>
        <w:fldChar w:fldCharType="begin" w:fldLock="1"/>
      </w:r>
      <w:r w:rsidR="00154129">
        <w:rPr>
          <w:rFonts w:ascii="Times New Roman" w:hAnsi="Times New Roman" w:cs="Times New Roman"/>
          <w:sz w:val="24"/>
          <w:szCs w:val="24"/>
        </w:rPr>
        <w:instrText>ADDIN CSL_CITATION {"citationItems":[{"id":"ITEM-1","itemData":{"ISSN":"0377-8401","author":[{"dropping-particle":"","family":"Dubeux Jr","given":"José Carlos Batista","non-dropping-particle":"","parse-names":false,"suffix":""},{"dropping-particle":"","family":"Santos","given":"Mércia Virginia Ferreira","non-dropping-particle":"dos","parse-names":false,"suffix":""},{"dropping-particle":"","family":"Cunha","given":"Márcio Vieira","non-dropping-particle":"da","parse-names":false,"suffix":""},{"dropping-particle":"","family":"Santos","given":"Djalma Cordeiro","non-dropping-particle":"dos","parse-names":false,"suffix":""},{"dropping-particle":"","family":"Almeida Souza","given":"Rayanne Thalita","non-dropping-particle":"de","parse-names":false,"suffix":""},{"dropping-particle":"","family":"Mello","given":"Alexandre Carneiro Leão","non-dropping-particle":"de","parse-names":false,"suffix":""},{"dropping-particle":"","family":"Souza","given":"Toni Carvalho","non-dropping-particle":"de","parse-names":false,"suffix":""}],"container-title":"Animal Feed Science and Technology","id":"ITEM-1","issued":{"date-parts":[["2021"]]},"page":"114890","publisher":"Elsevier","title":"Cactus (Opuntia and Nopalea) nutritive value: A review","type":"article-journal","volume":"275"},"uris":["http://www.mendeley.com/documents/?uuid=b7485192-1606-4b1f-84af-bbdc7e6260eb"]},{"id":"ITEM-2","itemData":{"ISSN":"1756-4646","author":[{"dropping-particle":"","family":"Hernández-Becerra","given":"Ezequiel","non-dropping-particle":"","parse-names":false,"suffix":""},{"dropping-particle":"","family":"los Angeles Aguilera-Barreiro","given":"María","non-dropping-particle":"de","parse-names":false,"suffix":""},{"dropping-particle":"","family":"Contreras-Padilla","given":"Margarita","non-dropping-particle":"","parse-names":false,"suffix":""},{"dropping-particle":"","family":"Pérez-Torrero","given":"Esther","non-dropping-particle":"","parse-names":false,"suffix":""},{"dropping-particle":"","family":"Rodriguez-Garcia","given":"Mario E","non-dropping-particle":"","parse-names":false,"suffix":""}],"container-title":"Journal of Functional Foods","id":"ITEM-2","issued":{"date-parts":[["2022"]]},"page":"105183","publisher":"Elsevier","title":"Nopal cladodes (Opuntia Ficus Indica): Nutritional properties and functional potential","type":"article-journal","volume":"95"},"uris":["http://www.mendeley.com/documents/?uuid=fa757522-3492-4b5e-a0b6-95ad26b352f3"]},{"id":"ITEM-3","itemData":{"ISSN":"0981-9428","author":[{"dropping-particle":"","family":"Montecchiarini","given":"Marina Lucía","non-dropping-particle":"","parse-names":false,"suffix":""},{"dropping-particle":"","family":"Silva-Sanzana","given":"Christian","non-dropping-particle":"","parse-names":false,"suffix":""},{"dropping-particle":"","family":"Valderramo","given":"L","non-dropping-particle":"","parse-names":false,"suffix":""},{"dropping-particle":"","family":"Alemano","given":"S","non-dropping-particle":"","parse-names":false,"suffix":""},{"dropping-particle":"","family":"Gollán","given":"A","non-dropping-particle":"","parse-names":false,"suffix":""},{"dropping-particle":"","family":"Rivadeneira","given":"María Fernanda","non-dropping-particle":"","parse-names":false,"suffix":""},{"dropping-particle":"","family":"Bello","given":"Fernando","non-dropping-particle":"","parse-names":false,"suffix":""},{"dropping-particle":"","family":"Vázquez","given":"D","non-dropping-particle":"","parse-names":false,"suffix":""},{"dropping-particle":"","family":"Blanco-Herrera","given":"Francisca","non-dropping-particle":"","parse-names":false,"suffix":""},{"dropping-particle":"","family":"Podesta","given":"Florencio Esteban","non-dropping-particle":"","parse-names":false,"suffix":""}],"container-title":"Plant Physiology and Biochemistry","id":"ITEM-3","issued":{"date-parts":[["2021"]]},"page":"483-495","publisher":"Elsevier","title":"Biochemical differences in the skin of two blueberries (Vaccinium corymbosum) varieties with contrasting firmness: Implication of ions, metabolites and cell wall related proteins in two developmental stages","type":"article-journal","volume":"162"},"uris":["http://www.mendeley.com/documents/?uuid=0c433a3c-3722-4a25-8879-e2fb0364f6a5"]},{"id":"ITEM-4","itemData":{"ISSN":"0981-9428","author":[{"dropping-particle":"","family":"Jardim","given":"Alexandre Maniçoba da Rosa Ferraz","non-dropping-particle":"","parse-names":false,"suffix":""},{"dropping-particle":"","family":"Santos","given":"Hugo Rafael Bentzen","non-dropping-particle":"","parse-names":false,"suffix":""},{"dropping-particle":"","family":"Alves","given":"Hygor Kristoph Muniz Nunes","non-dropping-particle":"","parse-names":false,"suffix":""},{"dropping-particle":"","family":"Ferreira-Silva","given":"Sérgio Luiz","non-dropping-particle":"","parse-names":false,"suffix":""},{"dropping-particle":"","family":"Souza","given":"Luciana Sandra Bastos","non-dropping-particle":"de","parse-names":false,"suffix":""},{"dropping-particle":"","family":"Júnior","given":"George do Nascimento Araújo","non-dropping-particle":"","parse-names":false,"suffix":""},{"dropping-particle":"","family":"Sá Souza","given":"Marcondes","non-dropping-particle":"de","parse-names":false,"suffix":""},{"dropping-particle":"","family":"Araújo","given":"Gherman Garcia Leal","non-dropping-particle":"de","parse-names":false,"suffix":""},{"dropping-particle":"","family":"Souza","given":"Carlos André Alves","non-dropping-particle":"de","parse-names":false,"suffix":""},{"dropping-particle":"","family":"Silva","given":"Thieres George Freire","non-dropping-particle":"da","parse-names":false,"suffix":""}],"container-title":"Plant Physiology and Biochemistry","id":"ITEM-4","issued":{"date-parts":[["2021"]]},"page":"421-430","publisher":"Elsevier","title":"Genotypic differences relative photochemical activity, inorganic and organic solutes and yield performance in clones of the forage cactus under semi-arid environment","type":"article-journal","volume":"162"},"uris":["http://www.mendeley.com/documents/?uuid=ca244152-b1ff-4cfa-98e9-d385afd9025c"]}],"mendeley":{"formattedCitation":"(Dubeux Jr et al., 2021; Hernández-Becerra et al., 2022; Jardim et al., 2021; Montecchiarini et al., 2021)","plainTextFormattedCitation":"(Dubeux Jr et al., 2021; Hernández-Becerra et al., 2022; Jardim et al., 2021; Montecchiarini et al., 2021)","previouslyFormattedCitation":"(Dubeux Jr et al., 2021; Hernández-Becerra et al., 2022; Jardim et al., 2021; Montecchiarini et al., 2021)"},"properties":{"noteIndex":0},"schema":"https://github.com/citation-style-language/schema/raw/master/csl-citation.json"}</w:instrText>
      </w:r>
      <w:r w:rsidR="00154129">
        <w:rPr>
          <w:rFonts w:ascii="Times New Roman" w:hAnsi="Times New Roman" w:cs="Times New Roman"/>
          <w:sz w:val="24"/>
          <w:szCs w:val="24"/>
        </w:rPr>
        <w:fldChar w:fldCharType="separate"/>
      </w:r>
      <w:r w:rsidR="00154129" w:rsidRPr="00154129">
        <w:rPr>
          <w:rFonts w:ascii="Times New Roman" w:hAnsi="Times New Roman" w:cs="Times New Roman"/>
          <w:noProof/>
          <w:sz w:val="24"/>
          <w:szCs w:val="24"/>
        </w:rPr>
        <w:t>(Dubeux Jr et al., 2021; Hernández-Becerra et al., 2022; Jardim et al., 2021; Montecchiarini et al., 2021)</w:t>
      </w:r>
      <w:r w:rsidR="00154129">
        <w:rPr>
          <w:rFonts w:ascii="Times New Roman" w:hAnsi="Times New Roman" w:cs="Times New Roman"/>
          <w:sz w:val="24"/>
          <w:szCs w:val="24"/>
        </w:rPr>
        <w:fldChar w:fldCharType="end"/>
      </w:r>
      <w:r w:rsidRPr="004A70D0">
        <w:rPr>
          <w:rFonts w:ascii="Times New Roman" w:hAnsi="Times New Roman" w:cs="Times New Roman"/>
          <w:sz w:val="24"/>
          <w:szCs w:val="24"/>
        </w:rPr>
        <w:t>.</w:t>
      </w:r>
    </w:p>
    <w:p w14:paraId="6094A06F" w14:textId="3C4B4F46" w:rsidR="004A70D0" w:rsidRPr="004A70D0" w:rsidRDefault="004A70D0" w:rsidP="004A70D0">
      <w:pPr>
        <w:spacing w:after="0" w:line="360" w:lineRule="auto"/>
        <w:jc w:val="both"/>
        <w:rPr>
          <w:rFonts w:ascii="Times New Roman" w:hAnsi="Times New Roman" w:cs="Times New Roman"/>
          <w:sz w:val="24"/>
          <w:szCs w:val="24"/>
        </w:rPr>
      </w:pPr>
      <w:r w:rsidRPr="004A70D0">
        <w:rPr>
          <w:rFonts w:ascii="Times New Roman" w:hAnsi="Times New Roman" w:cs="Times New Roman"/>
          <w:sz w:val="24"/>
          <w:szCs w:val="24"/>
        </w:rPr>
        <w:t xml:space="preserve">Although forage cactus is increasingly recognized as a strategic crop for climate adaptation, current breeding and selection approaches remain predominantly dependent on conventional morphological and productivity indicators. Such approaches often underestimate the complex biochemical mechanisms that govern stress tolerance and biomass functionality. Climate resilience is a multidimensional phenotype resulting from interactions among metabolic regulation, physiological adjustment, and environmental responsiveness. Therefore, relying exclusively on phenotypic observations may limit the identification of superior genotypes capable of maintaining productivity under future climate scenarios </w:t>
      </w:r>
      <w:r w:rsidR="00154129">
        <w:rPr>
          <w:rFonts w:ascii="Times New Roman" w:hAnsi="Times New Roman" w:cs="Times New Roman"/>
          <w:sz w:val="24"/>
          <w:szCs w:val="24"/>
        </w:rPr>
        <w:fldChar w:fldCharType="begin" w:fldLock="1"/>
      </w:r>
      <w:r w:rsidR="00154129">
        <w:rPr>
          <w:rFonts w:ascii="Times New Roman" w:hAnsi="Times New Roman" w:cs="Times New Roman"/>
          <w:sz w:val="24"/>
          <w:szCs w:val="24"/>
        </w:rPr>
        <w:instrText>ADDIN CSL_CITATION {"citationItems":[{"id":"ITEM-1","itemData":{"ISSN":"1543-5008","author":[{"dropping-particle":"","family":"Li","given":"Dapeng","non-dropping-particle":"","parse-names":false,"suffix":""},{"dropping-particle":"","family":"Gaquerel","given":"Emmanuel","non-dropping-particle":"","parse-names":false,"suffix":""}],"container-title":"Annual Review of Plant Biology","id":"ITEM-1","issue":"1","issued":{"date-parts":[["2021"]]},"page":"867-891","publisher":"Annual Reviews","title":"Next-generation mass spectrometry metabolomics revives the functional analysis of plant metabolic diversity","type":"article-journal","volume":"72"},"uris":["http://www.mendeley.com/documents/?uuid=d07733f2-62ca-47d8-954e-4f3cf6f4d64b"]},{"id":"ITEM-2","itemData":{"ISSN":"0003-2700","author":[{"dropping-particle":"","family":"Poltash","given":"Michael L","non-dropping-particle":"","parse-names":false,"suffix":""},{"dropping-particle":"","family":"McCabe","given":"Jacob W","non-dropping-particle":"","parse-names":false,"suffix":""},{"dropping-particle":"","family":"Shirzadeh","given":"Mehdi","non-dropping-particle":"","parse-names":false,"suffix":""},{"dropping-particle":"","family":"Laganowsky","given":"Arthur","non-dropping-particle":"","parse-names":false,"suffix":""},{"dropping-particle":"","family":"Clowers","given":"Brian H","non-dropping-particle":"","parse-names":false,"suffix":""},{"dropping-particle":"","family":"Russell","given":"David H","non-dropping-particle":"","parse-names":false,"suffix":""}],"container-title":"Analytical chemistry","id":"ITEM-2","issue":"17","issued":{"date-parts":[["2018"]]},"page":"10472-10478","publisher":"ACS Publications","title":"Fourier transform-ion mobility-orbitrap mass spectrometer: a next-generation instrument for native mass spectrometry","type":"article-journal","volume":"90"},"uris":["http://www.mendeley.com/documents/?uuid=40976e9a-adfb-475b-ba5d-1e6d6c9d86e8"]},{"id":"ITEM-3","itemData":{"author":[{"dropping-particle":"","family":"Arya","given":"Madhuri","non-dropping-particle":"","parse-names":false,"suffix":""}],"id":"ITEM-3","issued":{"date-parts":[["0"]]},"title":"Transcriptomics and Metabolomics as Integrative Tools for Modern Plant Breeding Programs","type":"article-journal"},"uris":["http://www.mendeley.com/documents/?uuid=ad75b54e-bbf7-4541-9421-719706574313"]},{"id":"ITEM-4","itemData":{"ISSN":"1477-4054","author":[{"dropping-particle":"","family":"Cavill","given":"Rachel","non-dropping-particle":"","parse-names":false,"suffix":""},{"dropping-particle":"","family":"Jennen","given":"Danyel","non-dropping-particle":"","parse-names":false,"suffix":""},{"dropping-particle":"","family":"Kleinjans","given":"Jos","non-dropping-particle":"","parse-names":false,"suffix":""},{"dropping-particle":"","family":"Briedé","given":"Jacob Jan","non-dropping-particle":"","parse-names":false,"suffix":""}],"container-title":"Briefings in bioinformatics","id":"ITEM-4","issue":"5","issued":{"date-parts":[["2016"]]},"page":"891-901","publisher":"Oxford University Press","title":"Transcriptomic and metabolomic data integration","type":"article-journal","volume":"17"},"uris":["http://www.mendeley.com/documents/?uuid=38334e29-1626-4819-9724-4e8d5e060d6c"]}],"mendeley":{"formattedCitation":"(Arya, n.d.; Cavill et al., 2016; Li &amp; Gaquerel, 2021; Poltash et al., 2018)","manualFormatting":"(Arya, 2021; Cavill et al., 2016; Li &amp; Gaquerel, 2021; Poltash et al., 2018)","plainTextFormattedCitation":"(Arya, n.d.; Cavill et al., 2016; Li &amp; Gaquerel, 2021; Poltash et al., 2018)","previouslyFormattedCitation":"(Arya, n.d.; Cavill et al., 2016; Li &amp; Gaquerel, 2021; Poltash et al., 2018)"},"properties":{"noteIndex":0},"schema":"https://github.com/citation-style-language/schema/raw/master/csl-citation.json"}</w:instrText>
      </w:r>
      <w:r w:rsidR="00154129">
        <w:rPr>
          <w:rFonts w:ascii="Times New Roman" w:hAnsi="Times New Roman" w:cs="Times New Roman"/>
          <w:sz w:val="24"/>
          <w:szCs w:val="24"/>
        </w:rPr>
        <w:fldChar w:fldCharType="separate"/>
      </w:r>
      <w:r w:rsidR="00154129" w:rsidRPr="00154129">
        <w:rPr>
          <w:rFonts w:ascii="Times New Roman" w:hAnsi="Times New Roman" w:cs="Times New Roman"/>
          <w:noProof/>
          <w:sz w:val="24"/>
          <w:szCs w:val="24"/>
        </w:rPr>
        <w:t xml:space="preserve">(Arya, </w:t>
      </w:r>
      <w:r w:rsidR="00154129">
        <w:rPr>
          <w:rFonts w:ascii="Times New Roman" w:hAnsi="Times New Roman" w:cs="Times New Roman"/>
          <w:noProof/>
          <w:sz w:val="24"/>
          <w:szCs w:val="24"/>
        </w:rPr>
        <w:t>2021</w:t>
      </w:r>
      <w:r w:rsidR="00154129" w:rsidRPr="00154129">
        <w:rPr>
          <w:rFonts w:ascii="Times New Roman" w:hAnsi="Times New Roman" w:cs="Times New Roman"/>
          <w:noProof/>
          <w:sz w:val="24"/>
          <w:szCs w:val="24"/>
        </w:rPr>
        <w:t>; Cavill et al., 2016; Li &amp; Gaquerel, 2021; Poltash et al., 2018)</w:t>
      </w:r>
      <w:r w:rsidR="00154129">
        <w:rPr>
          <w:rFonts w:ascii="Times New Roman" w:hAnsi="Times New Roman" w:cs="Times New Roman"/>
          <w:sz w:val="24"/>
          <w:szCs w:val="24"/>
        </w:rPr>
        <w:fldChar w:fldCharType="end"/>
      </w:r>
      <w:r w:rsidRPr="004A70D0">
        <w:rPr>
          <w:rFonts w:ascii="Times New Roman" w:hAnsi="Times New Roman" w:cs="Times New Roman"/>
          <w:sz w:val="24"/>
          <w:szCs w:val="24"/>
        </w:rPr>
        <w:t>.</w:t>
      </w:r>
    </w:p>
    <w:p w14:paraId="40DBA441" w14:textId="503BF8E1" w:rsidR="004A70D0" w:rsidRPr="004A70D0" w:rsidRDefault="004A70D0" w:rsidP="004A70D0">
      <w:pPr>
        <w:spacing w:after="0" w:line="360" w:lineRule="auto"/>
        <w:jc w:val="both"/>
        <w:rPr>
          <w:rFonts w:ascii="Times New Roman" w:hAnsi="Times New Roman" w:cs="Times New Roman"/>
          <w:sz w:val="24"/>
          <w:szCs w:val="24"/>
        </w:rPr>
      </w:pPr>
      <w:r w:rsidRPr="004A70D0">
        <w:rPr>
          <w:rFonts w:ascii="Times New Roman" w:hAnsi="Times New Roman" w:cs="Times New Roman"/>
          <w:sz w:val="24"/>
          <w:szCs w:val="24"/>
        </w:rPr>
        <w:lastRenderedPageBreak/>
        <w:t xml:space="preserve">Metabolomics has emerged as a transformative approach for uncovering biochemical signatures underlying plant adaptation and resilience. By enabling high-throughput profiling of primary and secondary metabolites, metabolomic platforms provide direct insight into the physiological status of plants exposed to environmental stress. Unlike genomic markers that indicate potential responses, metabolite profiles represent the integrated outcome of gene expression, environmental interaction, and cellular regulation. Recent studies have demonstrated that metabolomics can successfully identify compounds associated with drought resistance, oxidative stress regulation, osmotic adjustment, and adaptive metabolic pathways in crops exposed to abiotic challenges </w:t>
      </w:r>
      <w:r w:rsidR="00154129">
        <w:rPr>
          <w:rFonts w:ascii="Times New Roman" w:hAnsi="Times New Roman" w:cs="Times New Roman"/>
          <w:sz w:val="24"/>
          <w:szCs w:val="24"/>
        </w:rPr>
        <w:fldChar w:fldCharType="begin" w:fldLock="1"/>
      </w:r>
      <w:r w:rsidR="00154129">
        <w:rPr>
          <w:rFonts w:ascii="Times New Roman" w:hAnsi="Times New Roman" w:cs="Times New Roman"/>
          <w:sz w:val="24"/>
          <w:szCs w:val="24"/>
        </w:rPr>
        <w:instrText>ADDIN CSL_CITATION {"citationItems":[{"id":"ITEM-1","itemData":{"ISSN":"2073-4395","author":[{"dropping-particle":"","family":"Carrera","given":"Fredy P","non-dropping-particle":"","parse-names":false,"suffix":""},{"dropping-particle":"","family":"Noceda","given":"Carlos","non-dropping-particle":"","parse-names":false,"suffix":""},{"dropping-particle":"","family":"Maridueña-Zavala","given":"María G","non-dropping-particle":"","parse-names":false,"suffix":""},{"dropping-particle":"","family":"Cevallos-Cevallos","given":"Juan M","non-dropping-particle":"","parse-names":false,"suffix":""}],"container-title":"Agronomy","id":"ITEM-1","issue":"5","issued":{"date-parts":[["2021"]]},"page":"824","publisher":"MDPI","title":"Metabolomics, a powerful tool for understanding plant abiotic stress","type":"article-journal","volume":"11"},"uris":["http://www.mendeley.com/documents/?uuid=ea825d29-191c-4d18-a331-4e9268e76146"]},{"id":"ITEM-2","itemData":{"ISSN":"2218-1989","author":[{"dropping-particle":"","family":"Tinte","given":"Morena M","non-dropping-particle":"","parse-names":false,"suffix":""},{"dropping-particle":"","family":"Chele","given":"Kekeletso H","non-dropping-particle":"","parse-names":false,"suffix":""},{"dropping-particle":"","family":"Hooft","given":"Justin J J","non-dropping-particle":"van Der","parse-names":false,"suffix":""},{"dropping-particle":"","family":"Tugizimana","given":"Fidele","non-dropping-particle":"","parse-names":false,"suffix":""}],"container-title":"Metabolites","id":"ITEM-2","issue":"7","issued":{"date-parts":[["2021"]]},"page":"445","publisher":"MDPI","title":"Metabolomics-guided elucidation of plant abiotic stress responses in the 4IR era: An Overview","type":"article-journal","volume":"11"},"uris":["http://www.mendeley.com/documents/?uuid=be46f14f-61ff-4954-8344-a5b40d5c5b43"]},{"id":"ITEM-3","itemData":{"author":[{"dropping-particle":"","family":"Parida","given":"Asish K","non-dropping-particle":"","parse-names":false,"suffix":""},{"dropping-particle":"","family":"Panda","given":"Ashok","non-dropping-particle":"","parse-names":false,"suffix":""},{"dropping-particle":"","family":"Rangani","given":"Jaykumar","non-dropping-particle":"","parse-names":false,"suffix":""}],"container-title":"Plant metabolites and regulation under environmental stress","id":"ITEM-3","issued":{"date-parts":[["2018"]]},"page":"89-131","publisher":"Elsevier","title":"Metabolomics-guided elucidation of abiotic stress tolerance mechanisms in plants","type":"chapter"},"uris":["http://www.mendeley.com/documents/?uuid=d2922c68-bb0c-447f-9421-9a8dc3274dbd"]},{"id":"ITEM-4","itemData":{"ISSN":"2218-1989","author":[{"dropping-particle":"","family":"Allwood","given":"James William","non-dropping-particle":"","parse-names":false,"suffix":""},{"dropping-particle":"","family":"Williams","given":"Alex","non-dropping-particle":"","parse-names":false,"suffix":""},{"dropping-particle":"","family":"Uthe","given":"Henriette","non-dropping-particle":"","parse-names":false,"suffix":""},{"dropping-particle":"","family":"Dam","given":"Nicole M","non-dropping-particle":"van","parse-names":false,"suffix":""},{"dropping-particle":"","family":"Mur","given":"Luis A J","non-dropping-particle":"","parse-names":false,"suffix":""},{"dropping-particle":"","family":"Grant","given":"Murray R","non-dropping-particle":"","parse-names":false,"suffix":""},{"dropping-particle":"","family":"Pétriacq","given":"Pierre","non-dropping-particle":"","parse-names":false,"suffix":""}],"container-title":"Metabolites","id":"ITEM-4","issue":"8","issued":{"date-parts":[["2021"]]},"page":"558","publisher":"MDPI","title":"Unravelling plant responses to stress—The importance of targeted and untargeted metabolomics","type":"article-journal","volume":"11"},"uris":["http://www.mendeley.com/documents/?uuid=79267535-ae24-41cf-b33f-85e2c1302b12"]}],"mendeley":{"formattedCitation":"(Allwood et al., 2021; Carrera et al., 2021; Parida et al., 2018; Tinte et al., 2021)","plainTextFormattedCitation":"(Allwood et al., 2021; Carrera et al., 2021; Parida et al., 2018; Tinte et al., 2021)","previouslyFormattedCitation":"(Allwood et al., 2021; Carrera et al., 2021; Parida et al., 2018; Tinte et al., 2021)"},"properties":{"noteIndex":0},"schema":"https://github.com/citation-style-language/schema/raw/master/csl-citation.json"}</w:instrText>
      </w:r>
      <w:r w:rsidR="00154129">
        <w:rPr>
          <w:rFonts w:ascii="Times New Roman" w:hAnsi="Times New Roman" w:cs="Times New Roman"/>
          <w:sz w:val="24"/>
          <w:szCs w:val="24"/>
        </w:rPr>
        <w:fldChar w:fldCharType="separate"/>
      </w:r>
      <w:r w:rsidR="00154129" w:rsidRPr="00154129">
        <w:rPr>
          <w:rFonts w:ascii="Times New Roman" w:hAnsi="Times New Roman" w:cs="Times New Roman"/>
          <w:noProof/>
          <w:sz w:val="24"/>
          <w:szCs w:val="24"/>
        </w:rPr>
        <w:t>(Allwood et al., 2021; Carrera et al., 2021; Parida et al., 2018; Tinte et al., 2021)</w:t>
      </w:r>
      <w:r w:rsidR="00154129">
        <w:rPr>
          <w:rFonts w:ascii="Times New Roman" w:hAnsi="Times New Roman" w:cs="Times New Roman"/>
          <w:sz w:val="24"/>
          <w:szCs w:val="24"/>
        </w:rPr>
        <w:fldChar w:fldCharType="end"/>
      </w:r>
      <w:r w:rsidRPr="004A70D0">
        <w:rPr>
          <w:rFonts w:ascii="Times New Roman" w:hAnsi="Times New Roman" w:cs="Times New Roman"/>
          <w:sz w:val="24"/>
          <w:szCs w:val="24"/>
        </w:rPr>
        <w:t>.</w:t>
      </w:r>
    </w:p>
    <w:p w14:paraId="45393AF6" w14:textId="183EF7B2" w:rsidR="004A70D0" w:rsidRPr="004A70D0" w:rsidRDefault="004A70D0" w:rsidP="004A70D0">
      <w:pPr>
        <w:spacing w:after="0" w:line="360" w:lineRule="auto"/>
        <w:jc w:val="both"/>
        <w:rPr>
          <w:rFonts w:ascii="Times New Roman" w:hAnsi="Times New Roman" w:cs="Times New Roman"/>
          <w:sz w:val="24"/>
          <w:szCs w:val="24"/>
        </w:rPr>
      </w:pPr>
      <w:r w:rsidRPr="004A70D0">
        <w:rPr>
          <w:rFonts w:ascii="Times New Roman" w:hAnsi="Times New Roman" w:cs="Times New Roman"/>
          <w:sz w:val="24"/>
          <w:szCs w:val="24"/>
        </w:rPr>
        <w:t xml:space="preserve">The integration of metabolomic information with phenotypic selection has therefore become an emerging strategy to accelerate climate-resilient breeding. Integrated phenomics–metabolomics frameworks enable the identification of functional biomarkers that explain observable agronomic traits and improve predictive selection accuracy. Rather than selecting plants solely based on external performance, this approach links biomass accumulation, physiological behavior, and metabolic regulation into a unified selection model. Such integration has shown increasing relevance for breeding programs targeting environmental adaptation and sustainable </w:t>
      </w:r>
      <w:r w:rsidR="00154129">
        <w:rPr>
          <w:rFonts w:ascii="Times New Roman" w:hAnsi="Times New Roman" w:cs="Times New Roman"/>
          <w:sz w:val="24"/>
          <w:szCs w:val="24"/>
        </w:rPr>
        <w:fldChar w:fldCharType="begin" w:fldLock="1"/>
      </w:r>
      <w:r w:rsidR="00154129">
        <w:rPr>
          <w:rFonts w:ascii="Times New Roman" w:hAnsi="Times New Roman" w:cs="Times New Roman"/>
          <w:sz w:val="24"/>
          <w:szCs w:val="24"/>
        </w:rPr>
        <w:instrText>ADDIN CSL_CITATION {"citationItems":[{"id":"ITEM-1","itemData":{"ISSN":"1543-5008","author":[{"dropping-particle":"","family":"Li","given":"Dapeng","non-dropping-particle":"","parse-names":false,"suffix":""},{"dropping-particle":"","family":"Gaquerel","given":"Emmanuel","non-dropping-particle":"","parse-names":false,"suffix":""}],"container-title":"Annual Review of Plant Biology","id":"ITEM-1","issue":"1","issued":{"date-parts":[["2021"]]},"page":"867-891","publisher":"Annual Reviews","title":"Next-generation mass spectrometry metabolomics revives the functional analysis of plant metabolic diversity","type":"article-journal","volume":"72"},"uris":["http://www.mendeley.com/documents/?uuid=d07733f2-62ca-47d8-954e-4f3cf6f4d64b"]},{"id":"ITEM-2","itemData":{"ISSN":"1477-4054","author":[{"dropping-particle":"","family":"Cavill","given":"Rachel","non-dropping-particle":"","parse-names":false,"suffix":""},{"dropping-particle":"","family":"Jennen","given":"Danyel","non-dropping-particle":"","parse-names":false,"suffix":""},{"dropping-particle":"","family":"Kleinjans","given":"Jos","non-dropping-particle":"","parse-names":false,"suffix":""},{"dropping-particle":"","family":"Briedé","given":"Jacob Jan","non-dropping-particle":"","parse-names":false,"suffix":""}],"container-title":"Briefings in bioinformatics","id":"ITEM-2","issue":"5","issued":{"date-parts":[["2016"]]},"page":"891-901","publisher":"Oxford University Press","title":"Transcriptomic and metabolomic data integration","type":"article-journal","volume":"17"},"uris":["http://www.mendeley.com/documents/?uuid=38334e29-1626-4819-9724-4e8d5e060d6c"]}],"mendeley":{"formattedCitation":"(Cavill et al., 2016; Li &amp; Gaquerel, 2021)","plainTextFormattedCitation":"(Cavill et al., 2016; Li &amp; Gaquerel, 2021)","previouslyFormattedCitation":"(Cavill et al., 2016; Li &amp; Gaquerel, 2021)"},"properties":{"noteIndex":0},"schema":"https://github.com/citation-style-language/schema/raw/master/csl-citation.json"}</w:instrText>
      </w:r>
      <w:r w:rsidR="00154129">
        <w:rPr>
          <w:rFonts w:ascii="Times New Roman" w:hAnsi="Times New Roman" w:cs="Times New Roman"/>
          <w:sz w:val="24"/>
          <w:szCs w:val="24"/>
        </w:rPr>
        <w:fldChar w:fldCharType="separate"/>
      </w:r>
      <w:r w:rsidR="00154129" w:rsidRPr="00154129">
        <w:rPr>
          <w:rFonts w:ascii="Times New Roman" w:hAnsi="Times New Roman" w:cs="Times New Roman"/>
          <w:noProof/>
          <w:sz w:val="24"/>
          <w:szCs w:val="24"/>
        </w:rPr>
        <w:t>(Cavill et al., 2016; Li &amp; Gaquerel, 2021)</w:t>
      </w:r>
      <w:r w:rsidR="00154129">
        <w:rPr>
          <w:rFonts w:ascii="Times New Roman" w:hAnsi="Times New Roman" w:cs="Times New Roman"/>
          <w:sz w:val="24"/>
          <w:szCs w:val="24"/>
        </w:rPr>
        <w:fldChar w:fldCharType="end"/>
      </w:r>
      <w:r w:rsidRPr="004A70D0">
        <w:rPr>
          <w:rFonts w:ascii="Times New Roman" w:hAnsi="Times New Roman" w:cs="Times New Roman"/>
          <w:sz w:val="24"/>
          <w:szCs w:val="24"/>
        </w:rPr>
        <w:t>.</w:t>
      </w:r>
    </w:p>
    <w:p w14:paraId="3F97D80B" w14:textId="55C4804E" w:rsidR="004A70D0" w:rsidRPr="004A70D0" w:rsidRDefault="004A70D0" w:rsidP="004A70D0">
      <w:pPr>
        <w:spacing w:after="0" w:line="360" w:lineRule="auto"/>
        <w:jc w:val="both"/>
        <w:rPr>
          <w:rFonts w:ascii="Times New Roman" w:hAnsi="Times New Roman" w:cs="Times New Roman"/>
          <w:sz w:val="24"/>
          <w:szCs w:val="24"/>
        </w:rPr>
      </w:pPr>
      <w:r w:rsidRPr="004A70D0">
        <w:rPr>
          <w:rFonts w:ascii="Times New Roman" w:hAnsi="Times New Roman" w:cs="Times New Roman"/>
          <w:sz w:val="24"/>
          <w:szCs w:val="24"/>
        </w:rPr>
        <w:t xml:space="preserve">In forage cactus, initial metabolomic investigations have already revealed substantial biochemical diversity among cultivars and demonstrated the utility of metabolite-based screening for identifying adaptive characteristics. Integrated UPLC-HRMS and chemometric analyses identified specific flavonoid-related compounds associated with resistance responses in </w:t>
      </w:r>
      <w:r w:rsidRPr="004A70D0">
        <w:rPr>
          <w:rFonts w:ascii="Times New Roman" w:hAnsi="Times New Roman" w:cs="Times New Roman"/>
          <w:i/>
          <w:iCs/>
          <w:sz w:val="24"/>
          <w:szCs w:val="24"/>
        </w:rPr>
        <w:t>Nopalea</w:t>
      </w:r>
      <w:r w:rsidRPr="004A70D0">
        <w:rPr>
          <w:rFonts w:ascii="Times New Roman" w:hAnsi="Times New Roman" w:cs="Times New Roman"/>
          <w:sz w:val="24"/>
          <w:szCs w:val="24"/>
        </w:rPr>
        <w:t xml:space="preserve"> and </w:t>
      </w:r>
      <w:r w:rsidRPr="004A70D0">
        <w:rPr>
          <w:rFonts w:ascii="Times New Roman" w:hAnsi="Times New Roman" w:cs="Times New Roman"/>
          <w:i/>
          <w:iCs/>
          <w:sz w:val="24"/>
          <w:szCs w:val="24"/>
        </w:rPr>
        <w:t>Opuntia</w:t>
      </w:r>
      <w:r w:rsidRPr="004A70D0">
        <w:rPr>
          <w:rFonts w:ascii="Times New Roman" w:hAnsi="Times New Roman" w:cs="Times New Roman"/>
          <w:sz w:val="24"/>
          <w:szCs w:val="24"/>
        </w:rPr>
        <w:t xml:space="preserve"> species, highlighting the potential of metabolite signatures as selection targets in future breeding programs </w:t>
      </w:r>
      <w:r w:rsidR="00154129">
        <w:rPr>
          <w:rFonts w:ascii="Times New Roman" w:hAnsi="Times New Roman" w:cs="Times New Roman"/>
          <w:sz w:val="24"/>
          <w:szCs w:val="24"/>
        </w:rPr>
        <w:fldChar w:fldCharType="begin" w:fldLock="1"/>
      </w:r>
      <w:r w:rsidR="00154129">
        <w:rPr>
          <w:rFonts w:ascii="Times New Roman" w:hAnsi="Times New Roman" w:cs="Times New Roman"/>
          <w:sz w:val="24"/>
          <w:szCs w:val="24"/>
        </w:rPr>
        <w:instrText>ADDIN CSL_CITATION {"citationItems":[{"id":"ITEM-1","itemData":{"ISSN":"0103-5053","author":[{"dropping-particle":"","family":"Matos","given":"Thiago Kelvin B","non-dropping-particle":"","parse-names":false,"suffix":""},{"dropping-particle":"","family":"Guedes","given":"Jhonyson A C","non-dropping-particle":"","parse-names":false,"suffix":""},{"dropping-particle":"","family":"Alves Filho","given":"Elenilson G","non-dropping-particle":"","parse-names":false,"suffix":""},{"dropping-particle":"","family":"Luz","given":"Licia R","non-dropping-particle":"","parse-names":false,"suffix":""},{"dropping-particle":"","family":"Lopes","given":"Gisele Simone","non-dropping-particle":"","parse-names":false,"suffix":""},{"dropping-particle":"do","family":"Nascimento","given":"Ronaldo F","non-dropping-particle":"","parse-names":false,"suffix":""},{"dropping-particle":"de","family":"Sousa","given":"João A","non-dropping-particle":"","parse-names":false,"suffix":""},{"dropping-particle":"","family":"Canuto","given":"Kirley M","non-dropping-particle":"","parse-names":false,"suffix":""},{"dropping-particle":"de","family":"Brito","given":"Edy S","non-dropping-particle":"","parse-names":false,"suffix":""},{"dropping-particle":"","family":"Dias-Pini","given":"Nivia S","non-dropping-particle":"","parse-names":false,"suffix":""}],"container-title":"Journal of the Brazilian Chemical Society","id":"ITEM-1","issue":"8","issued":{"date-parts":[["2021"]]},"page":"1617-1627","publisher":"SciELO Brasil","title":"Integrated UPLC-HRMS, chemometric tools, and metabolomic analysis of forage palm (Opuntia spp. and Nopalea spp.) to define biomarkers associated with non-susceptibility to carmine cochineal (Dactylopius opuntiae)","type":"article-journal","volume":"32"},"uris":["http://www.mendeley.com/documents/?uuid=8d3367cc-7877-4351-8755-a5c9f54b44e6"]}],"mendeley":{"formattedCitation":"(Matos et al., 2021)","plainTextFormattedCitation":"(Matos et al., 2021)","previouslyFormattedCitation":"(Matos et al., 2021)"},"properties":{"noteIndex":0},"schema":"https://github.com/citation-style-language/schema/raw/master/csl-citation.json"}</w:instrText>
      </w:r>
      <w:r w:rsidR="00154129">
        <w:rPr>
          <w:rFonts w:ascii="Times New Roman" w:hAnsi="Times New Roman" w:cs="Times New Roman"/>
          <w:sz w:val="24"/>
          <w:szCs w:val="24"/>
        </w:rPr>
        <w:fldChar w:fldCharType="separate"/>
      </w:r>
      <w:r w:rsidR="00154129" w:rsidRPr="00154129">
        <w:rPr>
          <w:rFonts w:ascii="Times New Roman" w:hAnsi="Times New Roman" w:cs="Times New Roman"/>
          <w:noProof/>
          <w:sz w:val="24"/>
          <w:szCs w:val="24"/>
        </w:rPr>
        <w:t>(Matos et al., 2021)</w:t>
      </w:r>
      <w:r w:rsidR="00154129">
        <w:rPr>
          <w:rFonts w:ascii="Times New Roman" w:hAnsi="Times New Roman" w:cs="Times New Roman"/>
          <w:sz w:val="24"/>
          <w:szCs w:val="24"/>
        </w:rPr>
        <w:fldChar w:fldCharType="end"/>
      </w:r>
      <w:r w:rsidRPr="004A70D0">
        <w:rPr>
          <w:rFonts w:ascii="Times New Roman" w:hAnsi="Times New Roman" w:cs="Times New Roman"/>
          <w:sz w:val="24"/>
          <w:szCs w:val="24"/>
        </w:rPr>
        <w:t>. These findings suggest that secondary metabolite networks may serve as indicators not only of biotic defense but also of broader climate-adaptive capacity through enhanced oxidative protection and physiological stability.</w:t>
      </w:r>
    </w:p>
    <w:p w14:paraId="3F47EE52" w14:textId="77777777" w:rsidR="004A70D0" w:rsidRPr="004A70D0" w:rsidRDefault="004A70D0" w:rsidP="004A70D0">
      <w:pPr>
        <w:spacing w:after="0" w:line="360" w:lineRule="auto"/>
        <w:jc w:val="both"/>
        <w:rPr>
          <w:rFonts w:ascii="Times New Roman" w:hAnsi="Times New Roman" w:cs="Times New Roman"/>
          <w:sz w:val="24"/>
          <w:szCs w:val="24"/>
        </w:rPr>
      </w:pPr>
      <w:r w:rsidRPr="004A70D0">
        <w:rPr>
          <w:rFonts w:ascii="Times New Roman" w:hAnsi="Times New Roman" w:cs="Times New Roman"/>
          <w:sz w:val="24"/>
          <w:szCs w:val="24"/>
        </w:rPr>
        <w:t xml:space="preserve">Despite these advances, studies integrating metabolomic signatures with phenotypic performance to identify climate-resilient biomass traits in </w:t>
      </w:r>
      <w:r w:rsidRPr="004A70D0">
        <w:rPr>
          <w:rFonts w:ascii="Times New Roman" w:hAnsi="Times New Roman" w:cs="Times New Roman"/>
          <w:i/>
          <w:iCs/>
          <w:sz w:val="24"/>
          <w:szCs w:val="24"/>
        </w:rPr>
        <w:t>Nopalea cochenillifera</w:t>
      </w:r>
      <w:r w:rsidRPr="004A70D0">
        <w:rPr>
          <w:rFonts w:ascii="Times New Roman" w:hAnsi="Times New Roman" w:cs="Times New Roman"/>
          <w:sz w:val="24"/>
          <w:szCs w:val="24"/>
        </w:rPr>
        <w:t xml:space="preserve"> remain limited. Existing research has largely focused on productivity, nutritional quality, or isolated stress responses, while a systems-level understanding linking metabolic composition with adaptive biomass formation is still underdeveloped. Addressing this gap is necessary to support next-generation climate-smart horticultural systems and improve the strategic utilization of drought-resilient biomass crops.</w:t>
      </w:r>
    </w:p>
    <w:p w14:paraId="458E8ED7" w14:textId="77777777" w:rsidR="004A70D0" w:rsidRPr="004A70D0" w:rsidRDefault="004A70D0" w:rsidP="004A70D0">
      <w:pPr>
        <w:spacing w:after="0" w:line="360" w:lineRule="auto"/>
        <w:jc w:val="both"/>
        <w:rPr>
          <w:rFonts w:ascii="Times New Roman" w:hAnsi="Times New Roman" w:cs="Times New Roman"/>
          <w:sz w:val="24"/>
          <w:szCs w:val="24"/>
        </w:rPr>
      </w:pPr>
      <w:r w:rsidRPr="004A70D0">
        <w:rPr>
          <w:rFonts w:ascii="Times New Roman" w:hAnsi="Times New Roman" w:cs="Times New Roman"/>
          <w:sz w:val="24"/>
          <w:szCs w:val="24"/>
        </w:rPr>
        <w:lastRenderedPageBreak/>
        <w:t xml:space="preserve">Therefore, this study aimed to integrate metabolomic and phenotypic selection approaches to identify climate-resilient biomass traits in </w:t>
      </w:r>
      <w:r w:rsidRPr="004A70D0">
        <w:rPr>
          <w:rFonts w:ascii="Times New Roman" w:hAnsi="Times New Roman" w:cs="Times New Roman"/>
          <w:i/>
          <w:iCs/>
          <w:sz w:val="24"/>
          <w:szCs w:val="24"/>
        </w:rPr>
        <w:t>Nopalea cochenillifera</w:t>
      </w:r>
      <w:r w:rsidRPr="004A70D0">
        <w:rPr>
          <w:rFonts w:ascii="Times New Roman" w:hAnsi="Times New Roman" w:cs="Times New Roman"/>
          <w:sz w:val="24"/>
          <w:szCs w:val="24"/>
        </w:rPr>
        <w:t>. We hypothesized that combining metabolic biomarkers with agronomic and physiological indicators would reveal functional traits associated with enhanced environmental adaptation and stable biomass production under climate-related stress conditions. The outcomes are expected to contribute to developing metabolite-informed breeding strategies and strengthen the role of forage cactus as a sustainable component of climate-resilient agriculture.</w:t>
      </w:r>
    </w:p>
    <w:p w14:paraId="0F3E3836" w14:textId="0032CC4D" w:rsidR="00F72B7A" w:rsidRPr="00F72B7A" w:rsidRDefault="00F72B7A" w:rsidP="00A54251">
      <w:pPr>
        <w:spacing w:after="0" w:line="360" w:lineRule="auto"/>
        <w:jc w:val="both"/>
        <w:rPr>
          <w:rFonts w:ascii="Times New Roman" w:hAnsi="Times New Roman" w:cs="Times New Roman"/>
          <w:sz w:val="24"/>
          <w:szCs w:val="24"/>
        </w:rPr>
      </w:pPr>
    </w:p>
    <w:p w14:paraId="60FF1A06" w14:textId="37D466C9" w:rsidR="00F72B7A" w:rsidRPr="00F72B7A" w:rsidRDefault="00F72B7A" w:rsidP="00A54251">
      <w:pPr>
        <w:spacing w:after="0" w:line="360" w:lineRule="auto"/>
        <w:jc w:val="both"/>
        <w:rPr>
          <w:rFonts w:ascii="Times New Roman" w:hAnsi="Times New Roman" w:cs="Times New Roman"/>
          <w:b/>
          <w:bCs/>
          <w:sz w:val="24"/>
          <w:szCs w:val="24"/>
        </w:rPr>
      </w:pPr>
      <w:r w:rsidRPr="00F72B7A">
        <w:rPr>
          <w:rFonts w:ascii="Times New Roman" w:hAnsi="Times New Roman" w:cs="Times New Roman"/>
          <w:b/>
          <w:bCs/>
          <w:sz w:val="24"/>
          <w:szCs w:val="24"/>
        </w:rPr>
        <w:t>Materials and Methods</w:t>
      </w:r>
    </w:p>
    <w:p w14:paraId="34F89B92" w14:textId="77777777" w:rsidR="00B76E4F" w:rsidRPr="00B76E4F" w:rsidRDefault="00B76E4F" w:rsidP="00B76E4F">
      <w:pPr>
        <w:spacing w:after="0" w:line="360" w:lineRule="auto"/>
        <w:jc w:val="both"/>
        <w:rPr>
          <w:rFonts w:ascii="Times New Roman" w:hAnsi="Times New Roman" w:cs="Times New Roman"/>
          <w:b/>
          <w:bCs/>
          <w:sz w:val="24"/>
          <w:szCs w:val="24"/>
        </w:rPr>
      </w:pPr>
      <w:r w:rsidRPr="00B76E4F">
        <w:rPr>
          <w:rFonts w:ascii="Times New Roman" w:hAnsi="Times New Roman" w:cs="Times New Roman"/>
          <w:b/>
          <w:bCs/>
          <w:sz w:val="24"/>
          <w:szCs w:val="24"/>
        </w:rPr>
        <w:t>Study site and experimental conditions</w:t>
      </w:r>
    </w:p>
    <w:p w14:paraId="271AD660" w14:textId="7FD900EB" w:rsidR="00B76E4F" w:rsidRPr="00B76E4F" w:rsidRDefault="00B76E4F" w:rsidP="00B76E4F">
      <w:pPr>
        <w:spacing w:after="0" w:line="360" w:lineRule="auto"/>
        <w:jc w:val="both"/>
        <w:rPr>
          <w:rFonts w:ascii="Times New Roman" w:hAnsi="Times New Roman" w:cs="Times New Roman"/>
          <w:sz w:val="24"/>
          <w:szCs w:val="24"/>
        </w:rPr>
      </w:pPr>
      <w:r w:rsidRPr="00B76E4F">
        <w:rPr>
          <w:rFonts w:ascii="Times New Roman" w:hAnsi="Times New Roman" w:cs="Times New Roman"/>
          <w:sz w:val="24"/>
          <w:szCs w:val="24"/>
        </w:rPr>
        <w:t>The study was conducted in a tropical dryland agroecosystem located in Sumbawa Island, West Nusa Tenggara Province, Indonesia (approximately 8°–9° S and 116°–119° E). The experimental field represented semiarid production environments that are increasingly exposed to climate variability and prolonged seasonal drought.</w:t>
      </w:r>
      <w:r>
        <w:rPr>
          <w:rFonts w:ascii="Times New Roman" w:hAnsi="Times New Roman" w:cs="Times New Roman"/>
          <w:sz w:val="24"/>
          <w:szCs w:val="24"/>
        </w:rPr>
        <w:t xml:space="preserve"> </w:t>
      </w:r>
      <w:r w:rsidRPr="00B76E4F">
        <w:rPr>
          <w:rFonts w:ascii="Times New Roman" w:hAnsi="Times New Roman" w:cs="Times New Roman"/>
          <w:sz w:val="24"/>
          <w:szCs w:val="24"/>
        </w:rPr>
        <w:t xml:space="preserve">Sumbawa was selected because the island constitutes one of the major dryland agricultural regions in eastern Indonesia and has been identified as highly sensitive to shifts in rainfall distribution and increasing climate uncertainty. Recent climatic analyses indicate that several areas of Sumbawa exhibit dry to moderately dry climate characteristics with prolonged dry periods and increasing exposure to water deficits, making the region suitable for evaluating climate-adaptive plant traits </w:t>
      </w:r>
      <w:r w:rsidR="00154129">
        <w:rPr>
          <w:rFonts w:ascii="Times New Roman" w:hAnsi="Times New Roman" w:cs="Times New Roman"/>
          <w:sz w:val="24"/>
          <w:szCs w:val="24"/>
        </w:rPr>
        <w:fldChar w:fldCharType="begin" w:fldLock="1"/>
      </w:r>
      <w:r w:rsidR="00BF1A49">
        <w:rPr>
          <w:rFonts w:ascii="Times New Roman" w:hAnsi="Times New Roman" w:cs="Times New Roman"/>
          <w:sz w:val="24"/>
          <w:szCs w:val="24"/>
        </w:rPr>
        <w:instrText>ADDIN CSL_CITATION {"citationItems":[{"id":"ITEM-1","itemData":{"author":[{"dropping-particle":"","family":"SULISTIYONO","given":"HERI","non-dropping-particle":"","parse-names":false,"suffix":""}],"container-title":"Jurnal Ganec Swara Vol","id":"ITEM-1","issue":"4","issued":{"date-parts":[["2023"]]},"title":"ANALISIS POLA SEBARAN KARAKTERISTIK IKLIM DI PULAU SUMBAWA","type":"article-journal","volume":"17"},"uris":["http://www.mendeley.com/documents/?uuid=26b2be1c-fee8-4e20-9d37-4c236f4784a8"]}],"mendeley":{"formattedCitation":"(SULISTIYONO, 2023)","manualFormatting":"(Yasa et al., 2023)","plainTextFormattedCitation":"(SULISTIYONO, 2023)","previouslyFormattedCitation":"(SULISTIYONO, 2023)"},"properties":{"noteIndex":0},"schema":"https://github.com/citation-style-language/schema/raw/master/csl-citation.json"}</w:instrText>
      </w:r>
      <w:r w:rsidR="00154129">
        <w:rPr>
          <w:rFonts w:ascii="Times New Roman" w:hAnsi="Times New Roman" w:cs="Times New Roman"/>
          <w:sz w:val="24"/>
          <w:szCs w:val="24"/>
        </w:rPr>
        <w:fldChar w:fldCharType="separate"/>
      </w:r>
      <w:r w:rsidR="00154129" w:rsidRPr="00154129">
        <w:rPr>
          <w:rFonts w:ascii="Times New Roman" w:hAnsi="Times New Roman" w:cs="Times New Roman"/>
          <w:noProof/>
          <w:sz w:val="24"/>
          <w:szCs w:val="24"/>
        </w:rPr>
        <w:t>(</w:t>
      </w:r>
      <w:r w:rsidR="00BF1A49">
        <w:rPr>
          <w:rFonts w:ascii="Times New Roman" w:hAnsi="Times New Roman" w:cs="Times New Roman"/>
          <w:noProof/>
          <w:sz w:val="24"/>
          <w:szCs w:val="24"/>
        </w:rPr>
        <w:t>Yasa et al.</w:t>
      </w:r>
      <w:r w:rsidR="00154129" w:rsidRPr="00154129">
        <w:rPr>
          <w:rFonts w:ascii="Times New Roman" w:hAnsi="Times New Roman" w:cs="Times New Roman"/>
          <w:noProof/>
          <w:sz w:val="24"/>
          <w:szCs w:val="24"/>
        </w:rPr>
        <w:t>, 2023)</w:t>
      </w:r>
      <w:r w:rsidR="00154129">
        <w:rPr>
          <w:rFonts w:ascii="Times New Roman" w:hAnsi="Times New Roman" w:cs="Times New Roman"/>
          <w:sz w:val="24"/>
          <w:szCs w:val="24"/>
        </w:rPr>
        <w:fldChar w:fldCharType="end"/>
      </w:r>
      <w:r w:rsidRPr="00B76E4F">
        <w:rPr>
          <w:rFonts w:ascii="Times New Roman" w:hAnsi="Times New Roman" w:cs="Times New Roman"/>
          <w:sz w:val="24"/>
          <w:szCs w:val="24"/>
        </w:rPr>
        <w:t xml:space="preserve">. Future climate projections for Nusa Tenggara Barat also suggest increasing rainfall variability and elevated pressure on agricultural production systems under ongoing climate change scenarios </w:t>
      </w:r>
      <w:r w:rsidR="00154129">
        <w:rPr>
          <w:rFonts w:ascii="Times New Roman" w:hAnsi="Times New Roman" w:cs="Times New Roman"/>
          <w:sz w:val="24"/>
          <w:szCs w:val="24"/>
        </w:rPr>
        <w:fldChar w:fldCharType="begin" w:fldLock="1"/>
      </w:r>
      <w:r w:rsidR="00154129">
        <w:rPr>
          <w:rFonts w:ascii="Times New Roman" w:hAnsi="Times New Roman" w:cs="Times New Roman"/>
          <w:sz w:val="24"/>
          <w:szCs w:val="24"/>
        </w:rPr>
        <w:instrText>ADDIN CSL_CITATION {"citationItems":[{"id":"ITEM-1","itemData":{"ISSN":"2212-0963","author":[{"dropping-particle":"","family":"Kirono","given":"Dewi G C","non-dropping-particle":"","parse-names":false,"suffix":""},{"dropping-particle":"","family":"Butler","given":"James R A","non-dropping-particle":"","parse-names":false,"suffix":""},{"dropping-particle":"","family":"McGregor","given":"John L","non-dropping-particle":"","parse-names":false,"suffix":""},{"dropping-particle":"","family":"Ripaldi","given":"Adi","non-dropping-particle":"","parse-names":false,"suffix":""},{"dropping-particle":"","family":"Katzfey","given":"Jack","non-dropping-particle":"","parse-names":false,"suffix":""},{"dropping-particle":"","family":"Nguyen","given":"Kim","non-dropping-particle":"","parse-names":false,"suffix":""}],"container-title":"Climate Risk Management","id":"ITEM-1","issued":{"date-parts":[["2016"]]},"page":"45-58","publisher":"Elsevier","title":"Historical and future seasonal rainfall variability in Nusa Tenggara Barat Province, Indonesia: Implications for the agriculture and water sectors","type":"article-journal","volume":"12"},"uris":["http://www.mendeley.com/documents/?uuid=e86c08e3-f34b-4297-8a3a-5cecfa239e4a"]},{"id":"ITEM-2","itemData":{"ISSN":"2212-0963","author":[{"dropping-particle":"","family":"McGregor","given":"John L","non-dropping-particle":"","parse-names":false,"suffix":""},{"dropping-particle":"","family":"Nguyen","given":"Kim C","non-dropping-particle":"","parse-names":false,"suffix":""},{"dropping-particle":"","family":"Kirono","given":"Dewi G C","non-dropping-particle":"","parse-names":false,"suffix":""},{"dropping-particle":"","family":"Katzfey","given":"Jack J","non-dropping-particle":"","parse-names":false,"suffix":""}],"container-title":"Climate Risk Management","id":"ITEM-2","issued":{"date-parts":[["2016"]]},"page":"32-44","publisher":"Elsevier","title":"High-resolution climate projections for the islands of Lombok and Sumbawa, Nusa Tenggara Barat Province, Indonesia: Challenges and implications","type":"article-journal","volume":"12"},"uris":["http://www.mendeley.com/documents/?uuid=37fadf3a-1272-4138-8de7-af781eb59a89"]}],"mendeley":{"formattedCitation":"(Kirono et al., 2016; McGregor et al., 2016)","plainTextFormattedCitation":"(Kirono et al., 2016; McGregor et al., 2016)","previouslyFormattedCitation":"(Kirono et al., 2016; McGregor et al., 2016)"},"properties":{"noteIndex":0},"schema":"https://github.com/citation-style-language/schema/raw/master/csl-citation.json"}</w:instrText>
      </w:r>
      <w:r w:rsidR="00154129">
        <w:rPr>
          <w:rFonts w:ascii="Times New Roman" w:hAnsi="Times New Roman" w:cs="Times New Roman"/>
          <w:sz w:val="24"/>
          <w:szCs w:val="24"/>
        </w:rPr>
        <w:fldChar w:fldCharType="separate"/>
      </w:r>
      <w:r w:rsidR="00154129" w:rsidRPr="00154129">
        <w:rPr>
          <w:rFonts w:ascii="Times New Roman" w:hAnsi="Times New Roman" w:cs="Times New Roman"/>
          <w:noProof/>
          <w:sz w:val="24"/>
          <w:szCs w:val="24"/>
        </w:rPr>
        <w:t>(Kirono et al., 2016; McGregor et al., 2016)</w:t>
      </w:r>
      <w:r w:rsidR="00154129">
        <w:rPr>
          <w:rFonts w:ascii="Times New Roman" w:hAnsi="Times New Roman" w:cs="Times New Roman"/>
          <w:sz w:val="24"/>
          <w:szCs w:val="24"/>
        </w:rPr>
        <w:fldChar w:fldCharType="end"/>
      </w:r>
      <w:r w:rsidRPr="00B76E4F">
        <w:rPr>
          <w:rFonts w:ascii="Times New Roman" w:hAnsi="Times New Roman" w:cs="Times New Roman"/>
          <w:sz w:val="24"/>
          <w:szCs w:val="24"/>
        </w:rPr>
        <w:t>.</w:t>
      </w:r>
    </w:p>
    <w:p w14:paraId="2B08470B" w14:textId="0E183388" w:rsidR="00B76E4F" w:rsidRPr="00B76E4F" w:rsidRDefault="00B76E4F" w:rsidP="00B76E4F">
      <w:pPr>
        <w:spacing w:after="0" w:line="360" w:lineRule="auto"/>
        <w:jc w:val="both"/>
        <w:rPr>
          <w:rFonts w:ascii="Times New Roman" w:hAnsi="Times New Roman" w:cs="Times New Roman"/>
          <w:sz w:val="24"/>
          <w:szCs w:val="24"/>
        </w:rPr>
      </w:pPr>
      <w:r w:rsidRPr="00B76E4F">
        <w:rPr>
          <w:rFonts w:ascii="Times New Roman" w:hAnsi="Times New Roman" w:cs="Times New Roman"/>
          <w:sz w:val="24"/>
          <w:szCs w:val="24"/>
        </w:rPr>
        <w:t xml:space="preserve">The experiment was established under open-field conditions during one complete growing cycle of </w:t>
      </w:r>
      <w:r w:rsidRPr="00B76E4F">
        <w:rPr>
          <w:rFonts w:ascii="Times New Roman" w:hAnsi="Times New Roman" w:cs="Times New Roman"/>
          <w:i/>
          <w:iCs/>
          <w:sz w:val="24"/>
          <w:szCs w:val="24"/>
        </w:rPr>
        <w:t>Nopalea cochenillifera</w:t>
      </w:r>
      <w:r w:rsidRPr="00B76E4F">
        <w:rPr>
          <w:rFonts w:ascii="Times New Roman" w:hAnsi="Times New Roman" w:cs="Times New Roman"/>
          <w:sz w:val="24"/>
          <w:szCs w:val="24"/>
        </w:rPr>
        <w:t>. The site was characterized by dry tropical conditions with average daily temperature ranging from approximately 26–32°C, relative humidity between 65–85%, and distinct wet and dry seasonal patterns.</w:t>
      </w:r>
      <w:r>
        <w:rPr>
          <w:rFonts w:ascii="Times New Roman" w:hAnsi="Times New Roman" w:cs="Times New Roman"/>
          <w:sz w:val="24"/>
          <w:szCs w:val="24"/>
        </w:rPr>
        <w:t xml:space="preserve"> </w:t>
      </w:r>
      <w:r w:rsidRPr="00B76E4F">
        <w:rPr>
          <w:rFonts w:ascii="Times New Roman" w:hAnsi="Times New Roman" w:cs="Times New Roman"/>
          <w:sz w:val="24"/>
          <w:szCs w:val="24"/>
        </w:rPr>
        <w:t>Meteorological observations, including air temperature, precipitation, relative humidity, and solar radiation, were continuously recorded using an automated weather station installed adjacent to the experimental plots</w:t>
      </w:r>
      <w:r w:rsidR="00BF1A49">
        <w:rPr>
          <w:rFonts w:ascii="Times New Roman" w:hAnsi="Times New Roman" w:cs="Times New Roman"/>
          <w:sz w:val="24"/>
          <w:szCs w:val="24"/>
        </w:rPr>
        <w:t xml:space="preserve"> </w:t>
      </w:r>
      <w:r w:rsidR="00BF1A49">
        <w:rPr>
          <w:rFonts w:ascii="Times New Roman" w:hAnsi="Times New Roman" w:cs="Times New Roman"/>
          <w:sz w:val="24"/>
          <w:szCs w:val="24"/>
        </w:rPr>
        <w:fldChar w:fldCharType="begin" w:fldLock="1"/>
      </w:r>
      <w:r w:rsidR="00BF1A49">
        <w:rPr>
          <w:rFonts w:ascii="Times New Roman" w:hAnsi="Times New Roman" w:cs="Times New Roman"/>
          <w:sz w:val="24"/>
          <w:szCs w:val="24"/>
        </w:rPr>
        <w:instrText>ADDIN CSL_CITATION {"citationItems":[{"id":"ITEM-1","itemData":{"author":[{"dropping-particle":"","family":"Matteoli","given":"F","non-dropping-particle":"","parse-names":false,"suffix":""},{"dropping-particle":"","family":"Schnetzer","given":"J","non-dropping-particle":"","parse-names":false,"suffix":""},{"dropping-particle":"","family":"Jacobs","given":"H","non-dropping-particle":"","parse-names":false,"suffix":""}],"container-title":"Handbook of climate change management: research, leadership, transformation","id":"ITEM-1","issued":{"date-parts":[["2020"]]},"page":"1-29","publisher":"Springer","title":"Climate-smart agriculture (CSA): an integrated approach for climate change management in the agriculture sector","type":"chapter"},"uris":["http://www.mendeley.com/documents/?uuid=e80fbde0-4ab4-475f-916d-4caed4f44a3d"]},{"id":"ITEM-2","itemData":{"ISBN":"3030931102","author":[{"dropping-particle":"","family":"Ouda","given":"Samiha","non-dropping-particle":"","parse-names":false,"suffix":""},{"dropping-particle":"","family":"Zohry","given":"Abd El-Hafeez","non-dropping-particle":"","parse-names":false,"suffix":""}],"id":"ITEM-2","issued":{"date-parts":[["2022"]]},"publisher":"Springer","title":"Climate-smart agriculture","type":"book"},"uris":["http://www.mendeley.com/documents/?uuid=efc36364-a01f-4c4f-9ea9-01a90a3b3575"]}],"mendeley":{"formattedCitation":"(Matteoli et al., 2020; Ouda &amp; Zohry, 2022)","plainTextFormattedCitation":"(Matteoli et al., 2020; Ouda &amp; Zohry, 2022)","previouslyFormattedCitation":"(Matteoli et al., 2020; Ouda &amp; Zohry, 2022)"},"properties":{"noteIndex":0},"schema":"https://github.com/citation-style-language/schema/raw/master/csl-citation.json"}</w:instrText>
      </w:r>
      <w:r w:rsidR="00BF1A49">
        <w:rPr>
          <w:rFonts w:ascii="Times New Roman" w:hAnsi="Times New Roman" w:cs="Times New Roman"/>
          <w:sz w:val="24"/>
          <w:szCs w:val="24"/>
        </w:rPr>
        <w:fldChar w:fldCharType="separate"/>
      </w:r>
      <w:r w:rsidR="00BF1A49" w:rsidRPr="00BF1A49">
        <w:rPr>
          <w:rFonts w:ascii="Times New Roman" w:hAnsi="Times New Roman" w:cs="Times New Roman"/>
          <w:noProof/>
          <w:sz w:val="24"/>
          <w:szCs w:val="24"/>
        </w:rPr>
        <w:t>(Matteoli et al., 2020; Ouda &amp; Zohry, 2022)</w:t>
      </w:r>
      <w:r w:rsidR="00BF1A49">
        <w:rPr>
          <w:rFonts w:ascii="Times New Roman" w:hAnsi="Times New Roman" w:cs="Times New Roman"/>
          <w:sz w:val="24"/>
          <w:szCs w:val="24"/>
        </w:rPr>
        <w:fldChar w:fldCharType="end"/>
      </w:r>
      <w:r w:rsidRPr="00B76E4F">
        <w:rPr>
          <w:rFonts w:ascii="Times New Roman" w:hAnsi="Times New Roman" w:cs="Times New Roman"/>
          <w:sz w:val="24"/>
          <w:szCs w:val="24"/>
        </w:rPr>
        <w:t>. Soil moisture content was monitored weekly using portable moisture sensors to maintain target environmental treatments and support interpretation of climate-resilient responses.</w:t>
      </w:r>
    </w:p>
    <w:p w14:paraId="4DAB8607" w14:textId="77777777" w:rsidR="00B76E4F" w:rsidRPr="00B76E4F" w:rsidRDefault="00B76E4F" w:rsidP="00B76E4F">
      <w:pPr>
        <w:spacing w:after="0" w:line="360" w:lineRule="auto"/>
        <w:jc w:val="both"/>
        <w:rPr>
          <w:rFonts w:ascii="Times New Roman" w:hAnsi="Times New Roman" w:cs="Times New Roman"/>
          <w:b/>
          <w:bCs/>
          <w:sz w:val="24"/>
          <w:szCs w:val="24"/>
        </w:rPr>
      </w:pPr>
      <w:r w:rsidRPr="00B76E4F">
        <w:rPr>
          <w:rFonts w:ascii="Times New Roman" w:hAnsi="Times New Roman" w:cs="Times New Roman"/>
          <w:b/>
          <w:bCs/>
          <w:sz w:val="24"/>
          <w:szCs w:val="24"/>
        </w:rPr>
        <w:t>Plant materials and experimental design</w:t>
      </w:r>
    </w:p>
    <w:p w14:paraId="16734A73" w14:textId="595CEA3C" w:rsidR="00B76E4F" w:rsidRPr="00B76E4F" w:rsidRDefault="00B76E4F" w:rsidP="00B76E4F">
      <w:pPr>
        <w:spacing w:after="0" w:line="360" w:lineRule="auto"/>
        <w:jc w:val="both"/>
        <w:rPr>
          <w:rFonts w:ascii="Times New Roman" w:hAnsi="Times New Roman" w:cs="Times New Roman"/>
          <w:sz w:val="24"/>
          <w:szCs w:val="24"/>
        </w:rPr>
      </w:pPr>
      <w:r w:rsidRPr="00B76E4F">
        <w:rPr>
          <w:rFonts w:ascii="Times New Roman" w:hAnsi="Times New Roman" w:cs="Times New Roman"/>
          <w:sz w:val="24"/>
          <w:szCs w:val="24"/>
        </w:rPr>
        <w:t xml:space="preserve">Uniform cladodes of </w:t>
      </w:r>
      <w:r w:rsidRPr="00B76E4F">
        <w:rPr>
          <w:rFonts w:ascii="Times New Roman" w:hAnsi="Times New Roman" w:cs="Times New Roman"/>
          <w:i/>
          <w:iCs/>
          <w:sz w:val="24"/>
          <w:szCs w:val="24"/>
        </w:rPr>
        <w:t>Nopalea cochenillifera</w:t>
      </w:r>
      <w:r w:rsidRPr="00B76E4F">
        <w:rPr>
          <w:rFonts w:ascii="Times New Roman" w:hAnsi="Times New Roman" w:cs="Times New Roman"/>
          <w:sz w:val="24"/>
          <w:szCs w:val="24"/>
        </w:rPr>
        <w:t xml:space="preserve"> were selected from healthy mother plants and established under field conditions. Planting materials were standardized according to cladode </w:t>
      </w:r>
      <w:r w:rsidRPr="00B76E4F">
        <w:rPr>
          <w:rFonts w:ascii="Times New Roman" w:hAnsi="Times New Roman" w:cs="Times New Roman"/>
          <w:sz w:val="24"/>
          <w:szCs w:val="24"/>
        </w:rPr>
        <w:lastRenderedPageBreak/>
        <w:t>age, dimensions, and visual health status before transplanting.</w:t>
      </w:r>
      <w:r>
        <w:rPr>
          <w:rFonts w:ascii="Times New Roman" w:hAnsi="Times New Roman" w:cs="Times New Roman"/>
          <w:sz w:val="24"/>
          <w:szCs w:val="24"/>
        </w:rPr>
        <w:t xml:space="preserve"> </w:t>
      </w:r>
      <w:r w:rsidRPr="00B76E4F">
        <w:rPr>
          <w:rFonts w:ascii="Times New Roman" w:hAnsi="Times New Roman" w:cs="Times New Roman"/>
          <w:sz w:val="24"/>
          <w:szCs w:val="24"/>
        </w:rPr>
        <w:t>The experiment followed a randomized complete block design (RCBD) consisting of three environmental treatments representing climate-related stress intensity:</w:t>
      </w:r>
    </w:p>
    <w:p w14:paraId="5FFBDC31" w14:textId="77777777" w:rsidR="00B76E4F" w:rsidRPr="00B76E4F" w:rsidRDefault="00B76E4F" w:rsidP="00B76E4F">
      <w:pPr>
        <w:numPr>
          <w:ilvl w:val="0"/>
          <w:numId w:val="11"/>
        </w:numPr>
        <w:spacing w:after="0" w:line="360" w:lineRule="auto"/>
        <w:jc w:val="both"/>
        <w:rPr>
          <w:rFonts w:ascii="Times New Roman" w:hAnsi="Times New Roman" w:cs="Times New Roman"/>
          <w:sz w:val="24"/>
          <w:szCs w:val="24"/>
        </w:rPr>
      </w:pPr>
      <w:r w:rsidRPr="00B76E4F">
        <w:rPr>
          <w:rFonts w:ascii="Times New Roman" w:hAnsi="Times New Roman" w:cs="Times New Roman"/>
          <w:sz w:val="24"/>
          <w:szCs w:val="24"/>
        </w:rPr>
        <w:t>Control (C): optimal irrigation (100% crop water requirement)</w:t>
      </w:r>
    </w:p>
    <w:p w14:paraId="5C3B2967" w14:textId="77777777" w:rsidR="00B76E4F" w:rsidRPr="00B76E4F" w:rsidRDefault="00B76E4F" w:rsidP="00B76E4F">
      <w:pPr>
        <w:numPr>
          <w:ilvl w:val="0"/>
          <w:numId w:val="11"/>
        </w:numPr>
        <w:spacing w:after="0" w:line="360" w:lineRule="auto"/>
        <w:jc w:val="both"/>
        <w:rPr>
          <w:rFonts w:ascii="Times New Roman" w:hAnsi="Times New Roman" w:cs="Times New Roman"/>
          <w:sz w:val="24"/>
          <w:szCs w:val="24"/>
        </w:rPr>
      </w:pPr>
      <w:r w:rsidRPr="00B76E4F">
        <w:rPr>
          <w:rFonts w:ascii="Times New Roman" w:hAnsi="Times New Roman" w:cs="Times New Roman"/>
          <w:sz w:val="24"/>
          <w:szCs w:val="24"/>
        </w:rPr>
        <w:t>Moderate stress (MS): 70% crop water requirement</w:t>
      </w:r>
    </w:p>
    <w:p w14:paraId="64B039F2" w14:textId="77777777" w:rsidR="00B76E4F" w:rsidRPr="00B76E4F" w:rsidRDefault="00B76E4F" w:rsidP="00B76E4F">
      <w:pPr>
        <w:numPr>
          <w:ilvl w:val="0"/>
          <w:numId w:val="11"/>
        </w:numPr>
        <w:spacing w:after="0" w:line="360" w:lineRule="auto"/>
        <w:jc w:val="both"/>
        <w:rPr>
          <w:rFonts w:ascii="Times New Roman" w:hAnsi="Times New Roman" w:cs="Times New Roman"/>
          <w:sz w:val="24"/>
          <w:szCs w:val="24"/>
        </w:rPr>
      </w:pPr>
      <w:r w:rsidRPr="00B76E4F">
        <w:rPr>
          <w:rFonts w:ascii="Times New Roman" w:hAnsi="Times New Roman" w:cs="Times New Roman"/>
          <w:sz w:val="24"/>
          <w:szCs w:val="24"/>
        </w:rPr>
        <w:t>Severe stress (SS): 40% crop water requirement</w:t>
      </w:r>
    </w:p>
    <w:p w14:paraId="57ABD779" w14:textId="77777777" w:rsidR="00B76E4F" w:rsidRPr="00B76E4F" w:rsidRDefault="00B76E4F" w:rsidP="00B76E4F">
      <w:pPr>
        <w:spacing w:after="0" w:line="360" w:lineRule="auto"/>
        <w:jc w:val="both"/>
        <w:rPr>
          <w:rFonts w:ascii="Times New Roman" w:hAnsi="Times New Roman" w:cs="Times New Roman"/>
          <w:sz w:val="24"/>
          <w:szCs w:val="24"/>
        </w:rPr>
      </w:pPr>
      <w:r w:rsidRPr="00B76E4F">
        <w:rPr>
          <w:rFonts w:ascii="Times New Roman" w:hAnsi="Times New Roman" w:cs="Times New Roman"/>
          <w:sz w:val="24"/>
          <w:szCs w:val="24"/>
        </w:rPr>
        <w:t>Each treatment consisted of five biological replicates.</w:t>
      </w:r>
    </w:p>
    <w:p w14:paraId="76761FA2" w14:textId="77777777" w:rsidR="00B76E4F" w:rsidRPr="00B76E4F" w:rsidRDefault="00B76E4F" w:rsidP="00B76E4F">
      <w:pPr>
        <w:spacing w:after="0" w:line="360" w:lineRule="auto"/>
        <w:jc w:val="both"/>
        <w:rPr>
          <w:rFonts w:ascii="Times New Roman" w:hAnsi="Times New Roman" w:cs="Times New Roman"/>
          <w:sz w:val="24"/>
          <w:szCs w:val="24"/>
        </w:rPr>
      </w:pPr>
      <w:r w:rsidRPr="00B76E4F">
        <w:rPr>
          <w:rFonts w:ascii="Times New Roman" w:hAnsi="Times New Roman" w:cs="Times New Roman"/>
          <w:sz w:val="24"/>
          <w:szCs w:val="24"/>
        </w:rPr>
        <w:t>Irrigation management was performed using soil moisture monitoring to maintain target water availability. The experimental duration covered one complete biomass accumulation cycle.</w:t>
      </w:r>
    </w:p>
    <w:p w14:paraId="2CA89286" w14:textId="3EC1A21B" w:rsidR="00B76E4F" w:rsidRPr="00B76E4F" w:rsidRDefault="00B76E4F" w:rsidP="00B76E4F">
      <w:pPr>
        <w:spacing w:after="0" w:line="360" w:lineRule="auto"/>
        <w:jc w:val="both"/>
        <w:rPr>
          <w:rFonts w:ascii="Times New Roman" w:hAnsi="Times New Roman" w:cs="Times New Roman"/>
          <w:sz w:val="24"/>
          <w:szCs w:val="24"/>
        </w:rPr>
      </w:pPr>
      <w:r w:rsidRPr="00B76E4F">
        <w:rPr>
          <w:rFonts w:ascii="Times New Roman" w:hAnsi="Times New Roman" w:cs="Times New Roman"/>
          <w:sz w:val="24"/>
          <w:szCs w:val="24"/>
        </w:rPr>
        <w:t xml:space="preserve">The use of controlled water gradients is widely adopted for identifying adaptive traits and evaluating physiological resilience in drought-tolerant crops </w:t>
      </w:r>
      <w:r w:rsidR="00154129">
        <w:rPr>
          <w:rFonts w:ascii="Times New Roman" w:hAnsi="Times New Roman" w:cs="Times New Roman"/>
          <w:sz w:val="24"/>
          <w:szCs w:val="24"/>
        </w:rPr>
        <w:fldChar w:fldCharType="begin" w:fldLock="1"/>
      </w:r>
      <w:r w:rsidR="00154129">
        <w:rPr>
          <w:rFonts w:ascii="Times New Roman" w:hAnsi="Times New Roman" w:cs="Times New Roman"/>
          <w:sz w:val="24"/>
          <w:szCs w:val="24"/>
        </w:rPr>
        <w:instrText>ADDIN CSL_CITATION {"citationItems":[{"id":"ITEM-1","itemData":{"ISSN":"2218-1989","author":[{"dropping-particle":"","family":"Allwood","given":"James William","non-dropping-particle":"","parse-names":false,"suffix":""},{"dropping-particle":"","family":"Williams","given":"Alex","non-dropping-particle":"","parse-names":false,"suffix":""},{"dropping-particle":"","family":"Uthe","given":"Henriette","non-dropping-particle":"","parse-names":false,"suffix":""},{"dropping-particle":"","family":"Dam","given":"Nicole M","non-dropping-particle":"van","parse-names":false,"suffix":""},{"dropping-particle":"","family":"Mur","given":"Luis A J","non-dropping-particle":"","parse-names":false,"suffix":""},{"dropping-particle":"","family":"Grant","given":"Murray R","non-dropping-particle":"","parse-names":false,"suffix":""},{"dropping-particle":"","family":"Pétriacq","given":"Pierre","non-dropping-particle":"","parse-names":false,"suffix":""}],"container-title":"Metabolites","id":"ITEM-1","issue":"8","issued":{"date-parts":[["2021"]]},"page":"558","publisher":"MDPI","title":"Unravelling plant responses to stress—The importance of targeted and untargeted metabolomics","type":"article-journal","volume":"11"},"uris":["http://www.mendeley.com/documents/?uuid=79267535-ae24-41cf-b33f-85e2c1302b12"]},{"id":"ITEM-2","itemData":{"ISSN":"2073-4395","author":[{"dropping-particle":"","family":"Carrera","given":"Fredy P","non-dropping-particle":"","parse-names":false,"suffix":""},{"dropping-particle":"","family":"Noceda","given":"Carlos","non-dropping-particle":"","parse-names":false,"suffix":""},{"dropping-particle":"","family":"Maridueña-Zavala","given":"María G","non-dropping-particle":"","parse-names":false,"suffix":""},{"dropping-particle":"","family":"Cevallos-Cevallos","given":"Juan M","non-dropping-particle":"","parse-names":false,"suffix":""}],"container-title":"Agronomy","id":"ITEM-2","issue":"5","issued":{"date-parts":[["2021"]]},"page":"824","publisher":"MDPI","title":"Metabolomics, a powerful tool for understanding plant abiotic stress","type":"article-journal","volume":"11"},"uris":["http://www.mendeley.com/documents/?uuid=ea825d29-191c-4d18-a331-4e9268e76146"]}],"mendeley":{"formattedCitation":"(Allwood et al., 2021; Carrera et al., 2021)","plainTextFormattedCitation":"(Allwood et al., 2021; Carrera et al., 2021)","previouslyFormattedCitation":"(Allwood et al., 2021; Carrera et al., 2021)"},"properties":{"noteIndex":0},"schema":"https://github.com/citation-style-language/schema/raw/master/csl-citation.json"}</w:instrText>
      </w:r>
      <w:r w:rsidR="00154129">
        <w:rPr>
          <w:rFonts w:ascii="Times New Roman" w:hAnsi="Times New Roman" w:cs="Times New Roman"/>
          <w:sz w:val="24"/>
          <w:szCs w:val="24"/>
        </w:rPr>
        <w:fldChar w:fldCharType="separate"/>
      </w:r>
      <w:r w:rsidR="00154129" w:rsidRPr="00154129">
        <w:rPr>
          <w:rFonts w:ascii="Times New Roman" w:hAnsi="Times New Roman" w:cs="Times New Roman"/>
          <w:noProof/>
          <w:sz w:val="24"/>
          <w:szCs w:val="24"/>
        </w:rPr>
        <w:t>(Allwood et al., 2021; Carrera et al., 2021)</w:t>
      </w:r>
      <w:r w:rsidR="00154129">
        <w:rPr>
          <w:rFonts w:ascii="Times New Roman" w:hAnsi="Times New Roman" w:cs="Times New Roman"/>
          <w:sz w:val="24"/>
          <w:szCs w:val="24"/>
        </w:rPr>
        <w:fldChar w:fldCharType="end"/>
      </w:r>
      <w:r w:rsidRPr="00B76E4F">
        <w:rPr>
          <w:rFonts w:ascii="Times New Roman" w:hAnsi="Times New Roman" w:cs="Times New Roman"/>
          <w:sz w:val="24"/>
          <w:szCs w:val="24"/>
        </w:rPr>
        <w:t>.</w:t>
      </w:r>
    </w:p>
    <w:p w14:paraId="479C0583" w14:textId="77777777" w:rsidR="00B76E4F" w:rsidRPr="00B76E4F" w:rsidRDefault="00B76E4F" w:rsidP="00B76E4F">
      <w:pPr>
        <w:spacing w:after="0" w:line="360" w:lineRule="auto"/>
        <w:jc w:val="both"/>
        <w:rPr>
          <w:rFonts w:ascii="Times New Roman" w:hAnsi="Times New Roman" w:cs="Times New Roman"/>
          <w:b/>
          <w:bCs/>
          <w:sz w:val="24"/>
          <w:szCs w:val="24"/>
        </w:rPr>
      </w:pPr>
      <w:r w:rsidRPr="00B76E4F">
        <w:rPr>
          <w:rFonts w:ascii="Times New Roman" w:hAnsi="Times New Roman" w:cs="Times New Roman"/>
          <w:b/>
          <w:bCs/>
          <w:sz w:val="24"/>
          <w:szCs w:val="24"/>
        </w:rPr>
        <w:t>Phenotypic characterization and biomass assessment</w:t>
      </w:r>
    </w:p>
    <w:p w14:paraId="6B37B6D2" w14:textId="66D23CA6" w:rsidR="00B76E4F" w:rsidRDefault="00B76E4F" w:rsidP="00B76E4F">
      <w:pPr>
        <w:spacing w:after="0" w:line="360" w:lineRule="auto"/>
        <w:jc w:val="both"/>
        <w:rPr>
          <w:rFonts w:ascii="Times New Roman" w:hAnsi="Times New Roman" w:cs="Times New Roman"/>
          <w:sz w:val="24"/>
          <w:szCs w:val="24"/>
        </w:rPr>
      </w:pPr>
      <w:r w:rsidRPr="00B76E4F">
        <w:rPr>
          <w:rFonts w:ascii="Times New Roman" w:hAnsi="Times New Roman" w:cs="Times New Roman"/>
          <w:sz w:val="24"/>
          <w:szCs w:val="24"/>
        </w:rPr>
        <w:t>Phenotypic evaluation was performed at the end of the growth period using integrated morphological and physiological measurements.</w:t>
      </w:r>
      <w:r>
        <w:rPr>
          <w:rFonts w:ascii="Times New Roman" w:hAnsi="Times New Roman" w:cs="Times New Roman"/>
          <w:sz w:val="24"/>
          <w:szCs w:val="24"/>
        </w:rPr>
        <w:t xml:space="preserve"> </w:t>
      </w:r>
      <w:r w:rsidRPr="00B76E4F">
        <w:rPr>
          <w:rFonts w:ascii="Times New Roman" w:hAnsi="Times New Roman" w:cs="Times New Roman"/>
          <w:sz w:val="24"/>
          <w:szCs w:val="24"/>
        </w:rPr>
        <w:t>Measured variables included</w:t>
      </w:r>
      <w:r>
        <w:rPr>
          <w:rFonts w:ascii="Times New Roman" w:hAnsi="Times New Roman" w:cs="Times New Roman"/>
          <w:sz w:val="24"/>
          <w:szCs w:val="24"/>
        </w:rPr>
        <w:t xml:space="preserve"> in Table 1.</w:t>
      </w:r>
    </w:p>
    <w:p w14:paraId="0EAA61FA" w14:textId="05340AF1" w:rsidR="00B76E4F" w:rsidRDefault="00B76E4F" w:rsidP="00B76E4F">
      <w:pPr>
        <w:spacing w:after="0" w:line="360" w:lineRule="auto"/>
        <w:jc w:val="both"/>
        <w:rPr>
          <w:rFonts w:ascii="Times New Roman" w:hAnsi="Times New Roman" w:cs="Times New Roman"/>
          <w:i/>
          <w:iCs/>
          <w:sz w:val="24"/>
          <w:szCs w:val="24"/>
        </w:rPr>
      </w:pPr>
      <w:r w:rsidRPr="00B76E4F">
        <w:rPr>
          <w:rFonts w:ascii="Times New Roman" w:hAnsi="Times New Roman" w:cs="Times New Roman"/>
          <w:sz w:val="24"/>
          <w:szCs w:val="24"/>
        </w:rPr>
        <w:t xml:space="preserve">Table 1. Phenotypic trait categories and measured variables used for integrated climate-resilient biomass selection in </w:t>
      </w:r>
      <w:r w:rsidRPr="00B76E4F">
        <w:rPr>
          <w:rFonts w:ascii="Times New Roman" w:hAnsi="Times New Roman" w:cs="Times New Roman"/>
          <w:i/>
          <w:iCs/>
          <w:sz w:val="24"/>
          <w:szCs w:val="24"/>
        </w:rPr>
        <w:t>Nopalea cochenillifera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B76E4F" w:rsidRPr="00B76E4F" w14:paraId="78C1DD93" w14:textId="77777777" w:rsidTr="00B76E4F">
        <w:tc>
          <w:tcPr>
            <w:tcW w:w="4508" w:type="dxa"/>
            <w:tcBorders>
              <w:top w:val="single" w:sz="4" w:space="0" w:color="auto"/>
              <w:bottom w:val="single" w:sz="4" w:space="0" w:color="auto"/>
            </w:tcBorders>
          </w:tcPr>
          <w:p w14:paraId="73769EDF" w14:textId="472B963C" w:rsidR="00B76E4F" w:rsidRPr="00B76E4F" w:rsidRDefault="00B76E4F" w:rsidP="003E4E32">
            <w:pPr>
              <w:jc w:val="both"/>
              <w:rPr>
                <w:rFonts w:ascii="Times New Roman" w:hAnsi="Times New Roman" w:cs="Times New Roman"/>
                <w:b/>
                <w:bCs/>
                <w:sz w:val="24"/>
                <w:szCs w:val="24"/>
              </w:rPr>
            </w:pPr>
            <w:r w:rsidRPr="00B76E4F">
              <w:rPr>
                <w:rFonts w:ascii="Times New Roman" w:hAnsi="Times New Roman" w:cs="Times New Roman"/>
                <w:b/>
                <w:bCs/>
              </w:rPr>
              <w:t>Trait category</w:t>
            </w:r>
          </w:p>
        </w:tc>
        <w:tc>
          <w:tcPr>
            <w:tcW w:w="4508" w:type="dxa"/>
            <w:tcBorders>
              <w:top w:val="single" w:sz="4" w:space="0" w:color="auto"/>
              <w:bottom w:val="single" w:sz="4" w:space="0" w:color="auto"/>
            </w:tcBorders>
          </w:tcPr>
          <w:p w14:paraId="28B9BE2F" w14:textId="6E2F5243" w:rsidR="00B76E4F" w:rsidRPr="00B76E4F" w:rsidRDefault="00B76E4F" w:rsidP="003E4E32">
            <w:pPr>
              <w:jc w:val="both"/>
              <w:rPr>
                <w:rFonts w:ascii="Times New Roman" w:hAnsi="Times New Roman" w:cs="Times New Roman"/>
                <w:b/>
                <w:bCs/>
                <w:sz w:val="24"/>
                <w:szCs w:val="24"/>
              </w:rPr>
            </w:pPr>
            <w:r w:rsidRPr="00B76E4F">
              <w:rPr>
                <w:rFonts w:ascii="Times New Roman" w:hAnsi="Times New Roman" w:cs="Times New Roman"/>
                <w:b/>
                <w:bCs/>
              </w:rPr>
              <w:t>Variables</w:t>
            </w:r>
          </w:p>
        </w:tc>
      </w:tr>
      <w:tr w:rsidR="00B76E4F" w:rsidRPr="00B76E4F" w14:paraId="7D4BDE13" w14:textId="77777777" w:rsidTr="00B76E4F">
        <w:tc>
          <w:tcPr>
            <w:tcW w:w="4508" w:type="dxa"/>
            <w:tcBorders>
              <w:top w:val="single" w:sz="4" w:space="0" w:color="auto"/>
            </w:tcBorders>
          </w:tcPr>
          <w:p w14:paraId="405E3BB3" w14:textId="2873C5B5" w:rsidR="00B76E4F" w:rsidRPr="00B76E4F" w:rsidRDefault="00B76E4F" w:rsidP="003E4E32">
            <w:pPr>
              <w:jc w:val="both"/>
              <w:rPr>
                <w:rFonts w:ascii="Times New Roman" w:hAnsi="Times New Roman" w:cs="Times New Roman"/>
                <w:sz w:val="24"/>
                <w:szCs w:val="24"/>
              </w:rPr>
            </w:pPr>
            <w:r w:rsidRPr="00B76E4F">
              <w:rPr>
                <w:rFonts w:ascii="Times New Roman" w:hAnsi="Times New Roman" w:cs="Times New Roman"/>
              </w:rPr>
              <w:t>Morphological</w:t>
            </w:r>
          </w:p>
        </w:tc>
        <w:tc>
          <w:tcPr>
            <w:tcW w:w="4508" w:type="dxa"/>
            <w:tcBorders>
              <w:top w:val="single" w:sz="4" w:space="0" w:color="auto"/>
            </w:tcBorders>
          </w:tcPr>
          <w:p w14:paraId="7A25200F" w14:textId="7C7483D9" w:rsidR="00B76E4F" w:rsidRPr="00B76E4F" w:rsidRDefault="00B76E4F" w:rsidP="003E4E32">
            <w:pPr>
              <w:jc w:val="both"/>
              <w:rPr>
                <w:rFonts w:ascii="Times New Roman" w:hAnsi="Times New Roman" w:cs="Times New Roman"/>
                <w:sz w:val="24"/>
                <w:szCs w:val="24"/>
              </w:rPr>
            </w:pPr>
            <w:r w:rsidRPr="00B76E4F">
              <w:rPr>
                <w:rFonts w:ascii="Times New Roman" w:hAnsi="Times New Roman" w:cs="Times New Roman"/>
              </w:rPr>
              <w:t>Plant height, cladode number, cladode thickness</w:t>
            </w:r>
          </w:p>
        </w:tc>
      </w:tr>
      <w:tr w:rsidR="00B76E4F" w:rsidRPr="00B76E4F" w14:paraId="51553141" w14:textId="77777777" w:rsidTr="00B76E4F">
        <w:tc>
          <w:tcPr>
            <w:tcW w:w="4508" w:type="dxa"/>
          </w:tcPr>
          <w:p w14:paraId="62937E34" w14:textId="1CF30688" w:rsidR="00B76E4F" w:rsidRPr="00B76E4F" w:rsidRDefault="00B76E4F" w:rsidP="003E4E32">
            <w:pPr>
              <w:jc w:val="both"/>
              <w:rPr>
                <w:rFonts w:ascii="Times New Roman" w:hAnsi="Times New Roman" w:cs="Times New Roman"/>
                <w:sz w:val="24"/>
                <w:szCs w:val="24"/>
              </w:rPr>
            </w:pPr>
            <w:r w:rsidRPr="00B76E4F">
              <w:rPr>
                <w:rFonts w:ascii="Times New Roman" w:hAnsi="Times New Roman" w:cs="Times New Roman"/>
              </w:rPr>
              <w:t>Biomass traits</w:t>
            </w:r>
          </w:p>
        </w:tc>
        <w:tc>
          <w:tcPr>
            <w:tcW w:w="4508" w:type="dxa"/>
          </w:tcPr>
          <w:p w14:paraId="4F5D821B" w14:textId="324E5C0F" w:rsidR="00B76E4F" w:rsidRPr="00B76E4F" w:rsidRDefault="00B76E4F" w:rsidP="003E4E32">
            <w:pPr>
              <w:jc w:val="both"/>
              <w:rPr>
                <w:rFonts w:ascii="Times New Roman" w:hAnsi="Times New Roman" w:cs="Times New Roman"/>
                <w:sz w:val="24"/>
                <w:szCs w:val="24"/>
              </w:rPr>
            </w:pPr>
            <w:r w:rsidRPr="00B76E4F">
              <w:rPr>
                <w:rFonts w:ascii="Times New Roman" w:hAnsi="Times New Roman" w:cs="Times New Roman"/>
              </w:rPr>
              <w:t>Fresh biomass yield, dry biomass yield</w:t>
            </w:r>
          </w:p>
        </w:tc>
      </w:tr>
      <w:tr w:rsidR="00B76E4F" w:rsidRPr="00B76E4F" w14:paraId="5270297E" w14:textId="77777777" w:rsidTr="00B76E4F">
        <w:tc>
          <w:tcPr>
            <w:tcW w:w="4508" w:type="dxa"/>
          </w:tcPr>
          <w:p w14:paraId="4C4F7696" w14:textId="032E7E53" w:rsidR="00B76E4F" w:rsidRPr="00B76E4F" w:rsidRDefault="00B76E4F" w:rsidP="003E4E32">
            <w:pPr>
              <w:jc w:val="both"/>
              <w:rPr>
                <w:rFonts w:ascii="Times New Roman" w:hAnsi="Times New Roman" w:cs="Times New Roman"/>
                <w:sz w:val="24"/>
                <w:szCs w:val="24"/>
              </w:rPr>
            </w:pPr>
            <w:r w:rsidRPr="00B76E4F">
              <w:rPr>
                <w:rFonts w:ascii="Times New Roman" w:hAnsi="Times New Roman" w:cs="Times New Roman"/>
              </w:rPr>
              <w:t>Physiological</w:t>
            </w:r>
          </w:p>
        </w:tc>
        <w:tc>
          <w:tcPr>
            <w:tcW w:w="4508" w:type="dxa"/>
          </w:tcPr>
          <w:p w14:paraId="1F852885" w14:textId="29B0E595" w:rsidR="00B76E4F" w:rsidRPr="00B76E4F" w:rsidRDefault="00B76E4F" w:rsidP="003E4E32">
            <w:pPr>
              <w:jc w:val="both"/>
              <w:rPr>
                <w:rFonts w:ascii="Times New Roman" w:hAnsi="Times New Roman" w:cs="Times New Roman"/>
                <w:sz w:val="24"/>
                <w:szCs w:val="24"/>
              </w:rPr>
            </w:pPr>
            <w:r w:rsidRPr="00B76E4F">
              <w:rPr>
                <w:rFonts w:ascii="Times New Roman" w:hAnsi="Times New Roman" w:cs="Times New Roman"/>
              </w:rPr>
              <w:t>Relative water content (RWC), chlorophyll index</w:t>
            </w:r>
          </w:p>
        </w:tc>
      </w:tr>
      <w:tr w:rsidR="00B76E4F" w:rsidRPr="00B76E4F" w14:paraId="7C2463C0" w14:textId="77777777" w:rsidTr="00B76E4F">
        <w:tc>
          <w:tcPr>
            <w:tcW w:w="4508" w:type="dxa"/>
            <w:tcBorders>
              <w:bottom w:val="single" w:sz="4" w:space="0" w:color="auto"/>
            </w:tcBorders>
          </w:tcPr>
          <w:p w14:paraId="33F4A2F0" w14:textId="02645E26" w:rsidR="00B76E4F" w:rsidRPr="00B76E4F" w:rsidRDefault="00B76E4F" w:rsidP="003E4E32">
            <w:pPr>
              <w:jc w:val="both"/>
              <w:rPr>
                <w:rFonts w:ascii="Times New Roman" w:hAnsi="Times New Roman" w:cs="Times New Roman"/>
                <w:sz w:val="24"/>
                <w:szCs w:val="24"/>
              </w:rPr>
            </w:pPr>
            <w:r w:rsidRPr="00B76E4F">
              <w:rPr>
                <w:rFonts w:ascii="Times New Roman" w:hAnsi="Times New Roman" w:cs="Times New Roman"/>
              </w:rPr>
              <w:t>Functional traits</w:t>
            </w:r>
          </w:p>
        </w:tc>
        <w:tc>
          <w:tcPr>
            <w:tcW w:w="4508" w:type="dxa"/>
            <w:tcBorders>
              <w:bottom w:val="single" w:sz="4" w:space="0" w:color="auto"/>
            </w:tcBorders>
          </w:tcPr>
          <w:p w14:paraId="4B1B94B3" w14:textId="5F7C9A31" w:rsidR="00B76E4F" w:rsidRPr="00B76E4F" w:rsidRDefault="00B76E4F" w:rsidP="003E4E32">
            <w:pPr>
              <w:jc w:val="both"/>
              <w:rPr>
                <w:rFonts w:ascii="Times New Roman" w:hAnsi="Times New Roman" w:cs="Times New Roman"/>
                <w:sz w:val="24"/>
                <w:szCs w:val="24"/>
              </w:rPr>
            </w:pPr>
            <w:r w:rsidRPr="00B76E4F">
              <w:rPr>
                <w:rFonts w:ascii="Times New Roman" w:hAnsi="Times New Roman" w:cs="Times New Roman"/>
              </w:rPr>
              <w:t>Water-use efficiency (WUE), biomass stability index</w:t>
            </w:r>
          </w:p>
        </w:tc>
      </w:tr>
    </w:tbl>
    <w:p w14:paraId="7A0FA9CC" w14:textId="77777777" w:rsidR="00B76E4F" w:rsidRPr="00B76E4F" w:rsidRDefault="00B76E4F" w:rsidP="00B76E4F">
      <w:pPr>
        <w:spacing w:after="0" w:line="360" w:lineRule="auto"/>
        <w:jc w:val="both"/>
        <w:rPr>
          <w:rFonts w:ascii="Times New Roman" w:hAnsi="Times New Roman" w:cs="Times New Roman"/>
          <w:sz w:val="24"/>
          <w:szCs w:val="24"/>
        </w:rPr>
      </w:pPr>
      <w:r w:rsidRPr="00B76E4F">
        <w:rPr>
          <w:rFonts w:ascii="Times New Roman" w:hAnsi="Times New Roman" w:cs="Times New Roman"/>
          <w:sz w:val="24"/>
          <w:szCs w:val="24"/>
        </w:rPr>
        <w:t>Fresh biomass was measured immediately after harvest using digital weighing. Dry biomass was determined after oven drying at 65°C until constant weight.</w:t>
      </w:r>
    </w:p>
    <w:p w14:paraId="45F20373" w14:textId="77777777" w:rsidR="00B76E4F" w:rsidRPr="00B76E4F" w:rsidRDefault="00B76E4F" w:rsidP="00B76E4F">
      <w:pPr>
        <w:spacing w:after="0" w:line="360" w:lineRule="auto"/>
        <w:jc w:val="both"/>
        <w:rPr>
          <w:rFonts w:ascii="Times New Roman" w:hAnsi="Times New Roman" w:cs="Times New Roman"/>
          <w:sz w:val="24"/>
          <w:szCs w:val="24"/>
        </w:rPr>
      </w:pPr>
      <w:r w:rsidRPr="00B76E4F">
        <w:rPr>
          <w:rFonts w:ascii="Times New Roman" w:hAnsi="Times New Roman" w:cs="Times New Roman"/>
          <w:sz w:val="24"/>
          <w:szCs w:val="24"/>
        </w:rPr>
        <w:t>Relative water content was calculated according to:</w:t>
      </w:r>
    </w:p>
    <w:p w14:paraId="056E47DE" w14:textId="23A4FF55" w:rsidR="00B76E4F" w:rsidRPr="00B76E4F" w:rsidRDefault="00B76E4F" w:rsidP="00B76E4F">
      <w:pPr>
        <w:spacing w:after="0" w:line="360" w:lineRule="auto"/>
        <w:jc w:val="both"/>
        <w:rPr>
          <w:rFonts w:ascii="Times New Roman" w:hAnsi="Times New Roman" w:cs="Times New Roman"/>
          <w:sz w:val="24"/>
          <w:szCs w:val="24"/>
        </w:rPr>
      </w:pPr>
      <m:oMathPara>
        <m:oMath>
          <m:r>
            <m:rPr>
              <m:sty m:val="p"/>
            </m:rPr>
            <w:rPr>
              <w:rFonts w:ascii="Cambria Math" w:hAnsi="Cambria Math" w:cs="Times New Roman"/>
              <w:sz w:val="24"/>
              <w:szCs w:val="24"/>
            </w:rPr>
            <m:t>RWC (%)</m:t>
          </m:r>
          <m: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FW-DW</m:t>
              </m:r>
            </m:num>
            <m:den>
              <m:r>
                <w:rPr>
                  <w:rFonts w:ascii="Cambria Math" w:hAnsi="Cambria Math" w:cs="Times New Roman"/>
                  <w:sz w:val="24"/>
                  <w:szCs w:val="24"/>
                </w:rPr>
                <m:t>TW-DW</m:t>
              </m:r>
            </m:den>
          </m:f>
          <m:r>
            <w:rPr>
              <w:rFonts w:ascii="Cambria Math" w:hAnsi="Cambria Math" w:cs="Times New Roman"/>
              <w:sz w:val="24"/>
              <w:szCs w:val="24"/>
            </w:rPr>
            <m:t>x 100</m:t>
          </m:r>
        </m:oMath>
      </m:oMathPara>
    </w:p>
    <w:p w14:paraId="41A7ACD8" w14:textId="77777777" w:rsidR="00B76E4F" w:rsidRPr="00B76E4F" w:rsidRDefault="00B76E4F" w:rsidP="00B76E4F">
      <w:pPr>
        <w:spacing w:after="0" w:line="360" w:lineRule="auto"/>
        <w:jc w:val="both"/>
        <w:rPr>
          <w:rFonts w:ascii="Times New Roman" w:hAnsi="Times New Roman" w:cs="Times New Roman"/>
          <w:sz w:val="24"/>
          <w:szCs w:val="24"/>
        </w:rPr>
      </w:pPr>
      <w:r w:rsidRPr="00B76E4F">
        <w:rPr>
          <w:rFonts w:ascii="Times New Roman" w:hAnsi="Times New Roman" w:cs="Times New Roman"/>
          <w:sz w:val="24"/>
          <w:szCs w:val="24"/>
        </w:rPr>
        <w:t>where FW = fresh weight, TW = turgid weight, and DW = dry weight.</w:t>
      </w:r>
    </w:p>
    <w:p w14:paraId="589EBAE6" w14:textId="77777777" w:rsidR="00B76E4F" w:rsidRPr="00B76E4F" w:rsidRDefault="00B76E4F" w:rsidP="00B76E4F">
      <w:pPr>
        <w:spacing w:after="0" w:line="360" w:lineRule="auto"/>
        <w:jc w:val="both"/>
        <w:rPr>
          <w:rFonts w:ascii="Times New Roman" w:hAnsi="Times New Roman" w:cs="Times New Roman"/>
          <w:sz w:val="24"/>
          <w:szCs w:val="24"/>
        </w:rPr>
      </w:pPr>
      <w:r w:rsidRPr="00B76E4F">
        <w:rPr>
          <w:rFonts w:ascii="Times New Roman" w:hAnsi="Times New Roman" w:cs="Times New Roman"/>
          <w:sz w:val="24"/>
          <w:szCs w:val="24"/>
        </w:rPr>
        <w:t>Water-use efficiency was estimated as dry biomass produced per unit of water applied.</w:t>
      </w:r>
    </w:p>
    <w:p w14:paraId="5C7500FD" w14:textId="0B330F59" w:rsidR="00B76E4F" w:rsidRPr="00B76E4F" w:rsidRDefault="00B76E4F" w:rsidP="00B76E4F">
      <w:pPr>
        <w:spacing w:after="0" w:line="360" w:lineRule="auto"/>
        <w:jc w:val="both"/>
        <w:rPr>
          <w:rFonts w:ascii="Times New Roman" w:hAnsi="Times New Roman" w:cs="Times New Roman"/>
          <w:sz w:val="24"/>
          <w:szCs w:val="24"/>
        </w:rPr>
      </w:pPr>
      <w:r w:rsidRPr="00B76E4F">
        <w:rPr>
          <w:rFonts w:ascii="Times New Roman" w:hAnsi="Times New Roman" w:cs="Times New Roman"/>
          <w:sz w:val="24"/>
          <w:szCs w:val="24"/>
        </w:rPr>
        <w:t xml:space="preserve">Trait acquisition followed recommendations for climate-resilient phenotyping and biomass characterization in drought-adapted crops </w:t>
      </w:r>
      <w:r w:rsidR="00154129">
        <w:rPr>
          <w:rFonts w:ascii="Times New Roman" w:hAnsi="Times New Roman" w:cs="Times New Roman"/>
          <w:sz w:val="24"/>
          <w:szCs w:val="24"/>
        </w:rPr>
        <w:fldChar w:fldCharType="begin" w:fldLock="1"/>
      </w:r>
      <w:r w:rsidR="00154129">
        <w:rPr>
          <w:rFonts w:ascii="Times New Roman" w:hAnsi="Times New Roman" w:cs="Times New Roman"/>
          <w:sz w:val="24"/>
          <w:szCs w:val="24"/>
        </w:rPr>
        <w:instrText>ADDIN CSL_CITATION {"citationItems":[{"id":"ITEM-1","itemData":{"ISSN":"1543-5008","author":[{"dropping-particle":"","family":"Li","given":"Dapeng","non-dropping-particle":"","parse-names":false,"suffix":""},{"dropping-particle":"","family":"Gaquerel","given":"Emmanuel","non-dropping-particle":"","parse-names":false,"suffix":""}],"container-title":"Annual Review of Plant Biology","id":"ITEM-1","issue":"1","issued":{"date-parts":[["2021"]]},"page":"867-891","publisher":"Annual Reviews","title":"Next-generation mass spectrometry metabolomics revives the functional analysis of plant metabolic diversity","type":"article-journal","volume":"72"},"uris":["http://www.mendeley.com/documents/?uuid=d07733f2-62ca-47d8-954e-4f3cf6f4d64b"]},{"id":"ITEM-2","itemData":{"ISSN":"0981-9428","author":[{"dropping-particle":"","family":"Jardim","given":"Alexandre Maniçoba da Rosa Ferraz","non-dropping-particle":"","parse-names":false,"suffix":""},{"dropping-particle":"","family":"Santos","given":"Hugo Rafael Bentzen","non-dropping-particle":"","parse-names":false,"suffix":""},{"dropping-particle":"","family":"Alves","given":"Hygor Kristoph Muniz Nunes","non-dropping-particle":"","parse-names":false,"suffix":""},{"dropping-particle":"","family":"Ferreira-Silva","given":"Sérgio Luiz","non-dropping-particle":"","parse-names":false,"suffix":""},{"dropping-particle":"","family":"Souza","given":"Luciana Sandra Bastos","non-dropping-particle":"de","parse-names":false,"suffix":""},{"dropping-particle":"","family":"Júnior","given":"George do Nascimento Araújo","non-dropping-particle":"","parse-names":false,"suffix":""},{"dropping-particle":"","family":"Sá Souza","given":"Marcondes","non-dropping-particle":"de","parse-names":false,"suffix":""},{"dropping-particle":"","family":"Araújo","given":"Gherman Garcia Leal","non-dropping-particle":"de","parse-names":false,"suffix":""},{"dropping-particle":"","family":"Souza","given":"Carlos André Alves","non-dropping-particle":"de","parse-names":false,"suffix":""},{"dropping-particle":"","family":"Silva","given":"Thieres George Freire","non-dropping-particle":"da","parse-names":false,"suffix":""}],"container-title":"Plant Physiology and Biochemistry","id":"ITEM-2","issued":{"date-parts":[["2021"]]},"page":"421-430","publisher":"Elsevier","title":"Genotypic differences relative photochemical activity, inorganic and organic solutes and yield performance in clones of the forage cactus under semi-arid environment","type":"article-journal","volume":"162"},"uris":["http://www.mendeley.com/documents/?uuid=ca244152-b1ff-4cfa-98e9-d385afd9025c"]}],"mendeley":{"formattedCitation":"(Jardim et al., 2021; Li &amp; Gaquerel, 2021)","plainTextFormattedCitation":"(Jardim et al., 2021; Li &amp; Gaquerel, 2021)","previouslyFormattedCitation":"(Jardim et al., 2021; Li &amp; Gaquerel, 2021)"},"properties":{"noteIndex":0},"schema":"https://github.com/citation-style-language/schema/raw/master/csl-citation.json"}</w:instrText>
      </w:r>
      <w:r w:rsidR="00154129">
        <w:rPr>
          <w:rFonts w:ascii="Times New Roman" w:hAnsi="Times New Roman" w:cs="Times New Roman"/>
          <w:sz w:val="24"/>
          <w:szCs w:val="24"/>
        </w:rPr>
        <w:fldChar w:fldCharType="separate"/>
      </w:r>
      <w:r w:rsidR="00154129" w:rsidRPr="00154129">
        <w:rPr>
          <w:rFonts w:ascii="Times New Roman" w:hAnsi="Times New Roman" w:cs="Times New Roman"/>
          <w:noProof/>
          <w:sz w:val="24"/>
          <w:szCs w:val="24"/>
        </w:rPr>
        <w:t>(Jardim et al., 2021; Li &amp; Gaquerel, 2021)</w:t>
      </w:r>
      <w:r w:rsidR="00154129">
        <w:rPr>
          <w:rFonts w:ascii="Times New Roman" w:hAnsi="Times New Roman" w:cs="Times New Roman"/>
          <w:sz w:val="24"/>
          <w:szCs w:val="24"/>
        </w:rPr>
        <w:fldChar w:fldCharType="end"/>
      </w:r>
      <w:r w:rsidRPr="00B76E4F">
        <w:rPr>
          <w:rFonts w:ascii="Times New Roman" w:hAnsi="Times New Roman" w:cs="Times New Roman"/>
          <w:sz w:val="24"/>
          <w:szCs w:val="24"/>
        </w:rPr>
        <w:t>.</w:t>
      </w:r>
    </w:p>
    <w:p w14:paraId="017D0AFE" w14:textId="77777777" w:rsidR="00B76E4F" w:rsidRPr="00B76E4F" w:rsidRDefault="00B76E4F" w:rsidP="00B76E4F">
      <w:pPr>
        <w:spacing w:after="0" w:line="360" w:lineRule="auto"/>
        <w:jc w:val="both"/>
        <w:rPr>
          <w:rFonts w:ascii="Times New Roman" w:hAnsi="Times New Roman" w:cs="Times New Roman"/>
          <w:b/>
          <w:bCs/>
          <w:sz w:val="24"/>
          <w:szCs w:val="24"/>
        </w:rPr>
      </w:pPr>
      <w:r w:rsidRPr="00B76E4F">
        <w:rPr>
          <w:rFonts w:ascii="Times New Roman" w:hAnsi="Times New Roman" w:cs="Times New Roman"/>
          <w:b/>
          <w:bCs/>
          <w:sz w:val="24"/>
          <w:szCs w:val="24"/>
        </w:rPr>
        <w:t>Metabolite extraction and metabolomic profiling</w:t>
      </w:r>
    </w:p>
    <w:p w14:paraId="519F9E57" w14:textId="5151D700" w:rsidR="00B76E4F" w:rsidRDefault="00B76E4F" w:rsidP="00B76E4F">
      <w:pPr>
        <w:spacing w:after="0" w:line="360" w:lineRule="auto"/>
        <w:jc w:val="both"/>
        <w:rPr>
          <w:rFonts w:ascii="Times New Roman" w:hAnsi="Times New Roman" w:cs="Times New Roman"/>
          <w:sz w:val="24"/>
          <w:szCs w:val="24"/>
        </w:rPr>
      </w:pPr>
      <w:r w:rsidRPr="00B76E4F">
        <w:rPr>
          <w:rFonts w:ascii="Times New Roman" w:hAnsi="Times New Roman" w:cs="Times New Roman"/>
          <w:sz w:val="24"/>
          <w:szCs w:val="24"/>
        </w:rPr>
        <w:t>Metabolomic analysis was conducted using untargeted metabolite profiling.</w:t>
      </w:r>
      <w:r w:rsidR="00316A43">
        <w:rPr>
          <w:rFonts w:ascii="Times New Roman" w:hAnsi="Times New Roman" w:cs="Times New Roman"/>
          <w:sz w:val="24"/>
          <w:szCs w:val="24"/>
        </w:rPr>
        <w:t xml:space="preserve"> </w:t>
      </w:r>
      <w:r w:rsidRPr="00B76E4F">
        <w:rPr>
          <w:rFonts w:ascii="Times New Roman" w:hAnsi="Times New Roman" w:cs="Times New Roman"/>
          <w:sz w:val="24"/>
          <w:szCs w:val="24"/>
        </w:rPr>
        <w:t>Fresh cladode tissue samples were collected at physiological maturity, immediately frozen in liquid nitrogen, and stored at −80°C prior to analysis.</w:t>
      </w:r>
      <w:r w:rsidR="00316A43">
        <w:rPr>
          <w:rFonts w:ascii="Times New Roman" w:hAnsi="Times New Roman" w:cs="Times New Roman"/>
          <w:sz w:val="24"/>
          <w:szCs w:val="24"/>
        </w:rPr>
        <w:t xml:space="preserve"> </w:t>
      </w:r>
      <w:r w:rsidRPr="00B76E4F">
        <w:rPr>
          <w:rFonts w:ascii="Times New Roman" w:hAnsi="Times New Roman" w:cs="Times New Roman"/>
          <w:sz w:val="24"/>
          <w:szCs w:val="24"/>
        </w:rPr>
        <w:t xml:space="preserve">Approximately 100 mg of freeze-dried tissue was </w:t>
      </w:r>
      <w:r w:rsidRPr="00B76E4F">
        <w:rPr>
          <w:rFonts w:ascii="Times New Roman" w:hAnsi="Times New Roman" w:cs="Times New Roman"/>
          <w:sz w:val="24"/>
          <w:szCs w:val="24"/>
        </w:rPr>
        <w:lastRenderedPageBreak/>
        <w:t>homogenized and extracted using methanol solution (80:20, v/v), followed by sonication and centrifugation.</w:t>
      </w:r>
      <w:r w:rsidR="00316A43">
        <w:rPr>
          <w:rFonts w:ascii="Times New Roman" w:hAnsi="Times New Roman" w:cs="Times New Roman"/>
          <w:sz w:val="24"/>
          <w:szCs w:val="24"/>
        </w:rPr>
        <w:t xml:space="preserve"> </w:t>
      </w:r>
      <w:r w:rsidRPr="00B76E4F">
        <w:rPr>
          <w:rFonts w:ascii="Times New Roman" w:hAnsi="Times New Roman" w:cs="Times New Roman"/>
          <w:sz w:val="24"/>
          <w:szCs w:val="24"/>
        </w:rPr>
        <w:t>Metabolite separation was performed using ultra-performance liquid chromatography coupled with high-resolution mass spectrometry (UPLC–HRMS).</w:t>
      </w:r>
      <w:r w:rsidR="00316A43">
        <w:rPr>
          <w:rFonts w:ascii="Times New Roman" w:hAnsi="Times New Roman" w:cs="Times New Roman"/>
          <w:sz w:val="24"/>
          <w:szCs w:val="24"/>
        </w:rPr>
        <w:t xml:space="preserve"> </w:t>
      </w:r>
      <w:r w:rsidRPr="00B76E4F">
        <w:rPr>
          <w:rFonts w:ascii="Times New Roman" w:hAnsi="Times New Roman" w:cs="Times New Roman"/>
          <w:sz w:val="24"/>
          <w:szCs w:val="24"/>
        </w:rPr>
        <w:t>Instrument conditions included</w:t>
      </w:r>
      <w:r w:rsidR="00316A43">
        <w:rPr>
          <w:rFonts w:ascii="Times New Roman" w:hAnsi="Times New Roman" w:cs="Times New Roman"/>
          <w:sz w:val="24"/>
          <w:szCs w:val="24"/>
        </w:rPr>
        <w:t xml:space="preserve"> in Table 2.</w:t>
      </w:r>
    </w:p>
    <w:p w14:paraId="196E2849" w14:textId="441EF80F" w:rsidR="00316A43" w:rsidRDefault="00316A43" w:rsidP="00B76E4F">
      <w:pPr>
        <w:spacing w:after="0" w:line="360" w:lineRule="auto"/>
        <w:jc w:val="both"/>
        <w:rPr>
          <w:rFonts w:ascii="Times New Roman" w:hAnsi="Times New Roman" w:cs="Times New Roman"/>
          <w:i/>
          <w:iCs/>
          <w:sz w:val="24"/>
          <w:szCs w:val="24"/>
        </w:rPr>
      </w:pPr>
      <w:r w:rsidRPr="00316A43">
        <w:rPr>
          <w:rFonts w:ascii="Times New Roman" w:hAnsi="Times New Roman" w:cs="Times New Roman"/>
          <w:sz w:val="24"/>
          <w:szCs w:val="24"/>
        </w:rPr>
        <w:t xml:space="preserve">Table 2. Chromatographic and mass spectrometric conditions for UPLC–HRMS-based untargeted metabolomic profiling of </w:t>
      </w:r>
      <w:r w:rsidRPr="00316A43">
        <w:rPr>
          <w:rFonts w:ascii="Times New Roman" w:hAnsi="Times New Roman" w:cs="Times New Roman"/>
          <w:i/>
          <w:iCs/>
          <w:sz w:val="24"/>
          <w:szCs w:val="24"/>
        </w:rPr>
        <w:t>Nopalea cochenillifera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316A43" w:rsidRPr="00316A43" w14:paraId="7933DA39" w14:textId="77777777" w:rsidTr="00316A43">
        <w:tc>
          <w:tcPr>
            <w:tcW w:w="4508" w:type="dxa"/>
            <w:tcBorders>
              <w:top w:val="single" w:sz="4" w:space="0" w:color="auto"/>
              <w:bottom w:val="single" w:sz="4" w:space="0" w:color="auto"/>
            </w:tcBorders>
          </w:tcPr>
          <w:p w14:paraId="48369879" w14:textId="7E4129BF" w:rsidR="00316A43" w:rsidRPr="00316A43" w:rsidRDefault="00316A43" w:rsidP="003E4E32">
            <w:pPr>
              <w:jc w:val="both"/>
              <w:rPr>
                <w:rFonts w:ascii="Times New Roman" w:hAnsi="Times New Roman" w:cs="Times New Roman"/>
                <w:b/>
                <w:bCs/>
                <w:sz w:val="24"/>
                <w:szCs w:val="24"/>
              </w:rPr>
            </w:pPr>
            <w:r w:rsidRPr="00316A43">
              <w:rPr>
                <w:rFonts w:ascii="Times New Roman" w:hAnsi="Times New Roman" w:cs="Times New Roman"/>
                <w:b/>
                <w:bCs/>
              </w:rPr>
              <w:t>Parameter</w:t>
            </w:r>
          </w:p>
        </w:tc>
        <w:tc>
          <w:tcPr>
            <w:tcW w:w="4508" w:type="dxa"/>
            <w:tcBorders>
              <w:top w:val="single" w:sz="4" w:space="0" w:color="auto"/>
              <w:bottom w:val="single" w:sz="4" w:space="0" w:color="auto"/>
            </w:tcBorders>
          </w:tcPr>
          <w:p w14:paraId="71843D62" w14:textId="24EB8112" w:rsidR="00316A43" w:rsidRPr="00316A43" w:rsidRDefault="00316A43" w:rsidP="003E4E32">
            <w:pPr>
              <w:jc w:val="both"/>
              <w:rPr>
                <w:rFonts w:ascii="Times New Roman" w:hAnsi="Times New Roman" w:cs="Times New Roman"/>
                <w:b/>
                <w:bCs/>
                <w:sz w:val="24"/>
                <w:szCs w:val="24"/>
              </w:rPr>
            </w:pPr>
            <w:r w:rsidRPr="00316A43">
              <w:rPr>
                <w:rFonts w:ascii="Times New Roman" w:hAnsi="Times New Roman" w:cs="Times New Roman"/>
                <w:b/>
                <w:bCs/>
              </w:rPr>
              <w:t>Condition</w:t>
            </w:r>
          </w:p>
        </w:tc>
      </w:tr>
      <w:tr w:rsidR="00316A43" w:rsidRPr="00316A43" w14:paraId="2A950F21" w14:textId="77777777" w:rsidTr="00316A43">
        <w:tc>
          <w:tcPr>
            <w:tcW w:w="4508" w:type="dxa"/>
            <w:tcBorders>
              <w:top w:val="single" w:sz="4" w:space="0" w:color="auto"/>
            </w:tcBorders>
          </w:tcPr>
          <w:p w14:paraId="5547C633" w14:textId="79C34C9A" w:rsidR="00316A43" w:rsidRPr="00316A43" w:rsidRDefault="00316A43" w:rsidP="003E4E32">
            <w:pPr>
              <w:jc w:val="both"/>
              <w:rPr>
                <w:rFonts w:ascii="Times New Roman" w:hAnsi="Times New Roman" w:cs="Times New Roman"/>
                <w:sz w:val="24"/>
                <w:szCs w:val="24"/>
              </w:rPr>
            </w:pPr>
            <w:r w:rsidRPr="00316A43">
              <w:rPr>
                <w:rFonts w:ascii="Times New Roman" w:hAnsi="Times New Roman" w:cs="Times New Roman"/>
              </w:rPr>
              <w:t>Column</w:t>
            </w:r>
          </w:p>
        </w:tc>
        <w:tc>
          <w:tcPr>
            <w:tcW w:w="4508" w:type="dxa"/>
            <w:tcBorders>
              <w:top w:val="single" w:sz="4" w:space="0" w:color="auto"/>
            </w:tcBorders>
          </w:tcPr>
          <w:p w14:paraId="3D8B785B" w14:textId="545EB192" w:rsidR="00316A43" w:rsidRPr="00316A43" w:rsidRDefault="00316A43" w:rsidP="003E4E32">
            <w:pPr>
              <w:jc w:val="both"/>
              <w:rPr>
                <w:rFonts w:ascii="Times New Roman" w:hAnsi="Times New Roman" w:cs="Times New Roman"/>
                <w:sz w:val="24"/>
                <w:szCs w:val="24"/>
              </w:rPr>
            </w:pPr>
            <w:r w:rsidRPr="00316A43">
              <w:rPr>
                <w:rFonts w:ascii="Times New Roman" w:hAnsi="Times New Roman" w:cs="Times New Roman"/>
              </w:rPr>
              <w:t>C18 reverse phase</w:t>
            </w:r>
          </w:p>
        </w:tc>
      </w:tr>
      <w:tr w:rsidR="00316A43" w:rsidRPr="00316A43" w14:paraId="2708347B" w14:textId="77777777" w:rsidTr="00316A43">
        <w:tc>
          <w:tcPr>
            <w:tcW w:w="4508" w:type="dxa"/>
          </w:tcPr>
          <w:p w14:paraId="33723730" w14:textId="4FCF112B" w:rsidR="00316A43" w:rsidRPr="00316A43" w:rsidRDefault="00316A43" w:rsidP="003E4E32">
            <w:pPr>
              <w:jc w:val="both"/>
              <w:rPr>
                <w:rFonts w:ascii="Times New Roman" w:hAnsi="Times New Roman" w:cs="Times New Roman"/>
                <w:sz w:val="24"/>
                <w:szCs w:val="24"/>
              </w:rPr>
            </w:pPr>
            <w:r w:rsidRPr="00316A43">
              <w:rPr>
                <w:rFonts w:ascii="Times New Roman" w:hAnsi="Times New Roman" w:cs="Times New Roman"/>
              </w:rPr>
              <w:t>Mobile phase A</w:t>
            </w:r>
          </w:p>
        </w:tc>
        <w:tc>
          <w:tcPr>
            <w:tcW w:w="4508" w:type="dxa"/>
          </w:tcPr>
          <w:p w14:paraId="3FBBE9E1" w14:textId="55D2845F" w:rsidR="00316A43" w:rsidRPr="00316A43" w:rsidRDefault="00316A43" w:rsidP="003E4E32">
            <w:pPr>
              <w:jc w:val="both"/>
              <w:rPr>
                <w:rFonts w:ascii="Times New Roman" w:hAnsi="Times New Roman" w:cs="Times New Roman"/>
                <w:sz w:val="24"/>
                <w:szCs w:val="24"/>
              </w:rPr>
            </w:pPr>
            <w:r w:rsidRPr="00316A43">
              <w:rPr>
                <w:rFonts w:ascii="Times New Roman" w:hAnsi="Times New Roman" w:cs="Times New Roman"/>
              </w:rPr>
              <w:t>Water + 0.1% formic acid</w:t>
            </w:r>
          </w:p>
        </w:tc>
      </w:tr>
      <w:tr w:rsidR="00316A43" w:rsidRPr="00316A43" w14:paraId="139D26D1" w14:textId="77777777" w:rsidTr="00316A43">
        <w:tc>
          <w:tcPr>
            <w:tcW w:w="4508" w:type="dxa"/>
          </w:tcPr>
          <w:p w14:paraId="00D22110" w14:textId="082D23FB" w:rsidR="00316A43" w:rsidRPr="00316A43" w:rsidRDefault="00316A43" w:rsidP="003E4E32">
            <w:pPr>
              <w:jc w:val="both"/>
              <w:rPr>
                <w:rFonts w:ascii="Times New Roman" w:hAnsi="Times New Roman" w:cs="Times New Roman"/>
                <w:sz w:val="24"/>
                <w:szCs w:val="24"/>
              </w:rPr>
            </w:pPr>
            <w:r w:rsidRPr="00316A43">
              <w:rPr>
                <w:rFonts w:ascii="Times New Roman" w:hAnsi="Times New Roman" w:cs="Times New Roman"/>
              </w:rPr>
              <w:t>Mobile phase B</w:t>
            </w:r>
          </w:p>
        </w:tc>
        <w:tc>
          <w:tcPr>
            <w:tcW w:w="4508" w:type="dxa"/>
          </w:tcPr>
          <w:p w14:paraId="184B1624" w14:textId="46CA0423" w:rsidR="00316A43" w:rsidRPr="00316A43" w:rsidRDefault="00316A43" w:rsidP="003E4E32">
            <w:pPr>
              <w:jc w:val="both"/>
              <w:rPr>
                <w:rFonts w:ascii="Times New Roman" w:hAnsi="Times New Roman" w:cs="Times New Roman"/>
                <w:sz w:val="24"/>
                <w:szCs w:val="24"/>
              </w:rPr>
            </w:pPr>
            <w:r w:rsidRPr="00316A43">
              <w:rPr>
                <w:rFonts w:ascii="Times New Roman" w:hAnsi="Times New Roman" w:cs="Times New Roman"/>
              </w:rPr>
              <w:t>Acetonitrile</w:t>
            </w:r>
          </w:p>
        </w:tc>
      </w:tr>
      <w:tr w:rsidR="00316A43" w:rsidRPr="00316A43" w14:paraId="1BD01698" w14:textId="77777777" w:rsidTr="00316A43">
        <w:tc>
          <w:tcPr>
            <w:tcW w:w="4508" w:type="dxa"/>
          </w:tcPr>
          <w:p w14:paraId="0EE6E6B3" w14:textId="4F0D9625" w:rsidR="00316A43" w:rsidRPr="00316A43" w:rsidRDefault="00316A43" w:rsidP="003E4E32">
            <w:pPr>
              <w:jc w:val="both"/>
              <w:rPr>
                <w:rFonts w:ascii="Times New Roman" w:hAnsi="Times New Roman" w:cs="Times New Roman"/>
                <w:sz w:val="24"/>
                <w:szCs w:val="24"/>
              </w:rPr>
            </w:pPr>
            <w:r w:rsidRPr="00316A43">
              <w:rPr>
                <w:rFonts w:ascii="Times New Roman" w:hAnsi="Times New Roman" w:cs="Times New Roman"/>
              </w:rPr>
              <w:t>Flow rate</w:t>
            </w:r>
          </w:p>
        </w:tc>
        <w:tc>
          <w:tcPr>
            <w:tcW w:w="4508" w:type="dxa"/>
          </w:tcPr>
          <w:p w14:paraId="4B2D16CA" w14:textId="5745E4B4" w:rsidR="00316A43" w:rsidRPr="00316A43" w:rsidRDefault="00316A43" w:rsidP="003E4E32">
            <w:pPr>
              <w:jc w:val="both"/>
              <w:rPr>
                <w:rFonts w:ascii="Times New Roman" w:hAnsi="Times New Roman" w:cs="Times New Roman"/>
                <w:sz w:val="24"/>
                <w:szCs w:val="24"/>
              </w:rPr>
            </w:pPr>
            <w:r w:rsidRPr="00316A43">
              <w:rPr>
                <w:rFonts w:ascii="Times New Roman" w:hAnsi="Times New Roman" w:cs="Times New Roman"/>
              </w:rPr>
              <w:t>0.30 mL min⁻¹</w:t>
            </w:r>
          </w:p>
        </w:tc>
      </w:tr>
      <w:tr w:rsidR="00316A43" w:rsidRPr="00316A43" w14:paraId="0D4ED0B8" w14:textId="77777777" w:rsidTr="00316A43">
        <w:tc>
          <w:tcPr>
            <w:tcW w:w="4508" w:type="dxa"/>
          </w:tcPr>
          <w:p w14:paraId="18FF80DD" w14:textId="2F63B05F" w:rsidR="00316A43" w:rsidRPr="00316A43" w:rsidRDefault="00316A43" w:rsidP="003E4E32">
            <w:pPr>
              <w:jc w:val="both"/>
              <w:rPr>
                <w:rFonts w:ascii="Times New Roman" w:hAnsi="Times New Roman" w:cs="Times New Roman"/>
                <w:sz w:val="24"/>
                <w:szCs w:val="24"/>
              </w:rPr>
            </w:pPr>
            <w:r w:rsidRPr="00316A43">
              <w:rPr>
                <w:rFonts w:ascii="Times New Roman" w:hAnsi="Times New Roman" w:cs="Times New Roman"/>
              </w:rPr>
              <w:t>Injection volume</w:t>
            </w:r>
          </w:p>
        </w:tc>
        <w:tc>
          <w:tcPr>
            <w:tcW w:w="4508" w:type="dxa"/>
          </w:tcPr>
          <w:p w14:paraId="1CFF683E" w14:textId="1E720454" w:rsidR="00316A43" w:rsidRPr="00316A43" w:rsidRDefault="00316A43" w:rsidP="003E4E32">
            <w:pPr>
              <w:jc w:val="both"/>
              <w:rPr>
                <w:rFonts w:ascii="Times New Roman" w:hAnsi="Times New Roman" w:cs="Times New Roman"/>
                <w:sz w:val="24"/>
                <w:szCs w:val="24"/>
              </w:rPr>
            </w:pPr>
            <w:r w:rsidRPr="00316A43">
              <w:rPr>
                <w:rFonts w:ascii="Times New Roman" w:hAnsi="Times New Roman" w:cs="Times New Roman"/>
              </w:rPr>
              <w:t>5 μL</w:t>
            </w:r>
          </w:p>
        </w:tc>
      </w:tr>
      <w:tr w:rsidR="00316A43" w:rsidRPr="00316A43" w14:paraId="31BF9DB8" w14:textId="77777777" w:rsidTr="00316A43">
        <w:tc>
          <w:tcPr>
            <w:tcW w:w="4508" w:type="dxa"/>
            <w:tcBorders>
              <w:bottom w:val="single" w:sz="4" w:space="0" w:color="auto"/>
            </w:tcBorders>
          </w:tcPr>
          <w:p w14:paraId="7259F0A0" w14:textId="171CDFDD" w:rsidR="00316A43" w:rsidRPr="00316A43" w:rsidRDefault="00316A43" w:rsidP="003E4E32">
            <w:pPr>
              <w:jc w:val="both"/>
              <w:rPr>
                <w:rFonts w:ascii="Times New Roman" w:hAnsi="Times New Roman" w:cs="Times New Roman"/>
                <w:sz w:val="24"/>
                <w:szCs w:val="24"/>
              </w:rPr>
            </w:pPr>
            <w:r w:rsidRPr="00316A43">
              <w:rPr>
                <w:rFonts w:ascii="Times New Roman" w:hAnsi="Times New Roman" w:cs="Times New Roman"/>
              </w:rPr>
              <w:t>Ionization mode</w:t>
            </w:r>
          </w:p>
        </w:tc>
        <w:tc>
          <w:tcPr>
            <w:tcW w:w="4508" w:type="dxa"/>
            <w:tcBorders>
              <w:bottom w:val="single" w:sz="4" w:space="0" w:color="auto"/>
            </w:tcBorders>
          </w:tcPr>
          <w:p w14:paraId="7F711F02" w14:textId="49C4D07D" w:rsidR="00316A43" w:rsidRPr="00316A43" w:rsidRDefault="00316A43" w:rsidP="003E4E32">
            <w:pPr>
              <w:jc w:val="both"/>
              <w:rPr>
                <w:rFonts w:ascii="Times New Roman" w:hAnsi="Times New Roman" w:cs="Times New Roman"/>
                <w:sz w:val="24"/>
                <w:szCs w:val="24"/>
              </w:rPr>
            </w:pPr>
            <w:r w:rsidRPr="00316A43">
              <w:rPr>
                <w:rFonts w:ascii="Times New Roman" w:hAnsi="Times New Roman" w:cs="Times New Roman"/>
              </w:rPr>
              <w:t>Positive and negative ESI</w:t>
            </w:r>
          </w:p>
        </w:tc>
      </w:tr>
    </w:tbl>
    <w:p w14:paraId="58ED3A96" w14:textId="7DCB1A2D" w:rsidR="00B76E4F" w:rsidRPr="00B76E4F" w:rsidRDefault="00B76E4F" w:rsidP="00B76E4F">
      <w:pPr>
        <w:spacing w:after="0" w:line="360" w:lineRule="auto"/>
        <w:jc w:val="both"/>
        <w:rPr>
          <w:rFonts w:ascii="Times New Roman" w:hAnsi="Times New Roman" w:cs="Times New Roman"/>
          <w:sz w:val="24"/>
          <w:szCs w:val="24"/>
        </w:rPr>
      </w:pPr>
      <w:r w:rsidRPr="00B76E4F">
        <w:rPr>
          <w:rFonts w:ascii="Times New Roman" w:hAnsi="Times New Roman" w:cs="Times New Roman"/>
          <w:sz w:val="24"/>
          <w:szCs w:val="24"/>
        </w:rPr>
        <w:t>Identification of candidate metabolites was performed through comparison with publicly available spectral libraries and mass databases.</w:t>
      </w:r>
      <w:r w:rsidR="00316A43">
        <w:rPr>
          <w:rFonts w:ascii="Times New Roman" w:hAnsi="Times New Roman" w:cs="Times New Roman"/>
          <w:sz w:val="24"/>
          <w:szCs w:val="24"/>
        </w:rPr>
        <w:t xml:space="preserve"> </w:t>
      </w:r>
      <w:r w:rsidRPr="00B76E4F">
        <w:rPr>
          <w:rFonts w:ascii="Times New Roman" w:hAnsi="Times New Roman" w:cs="Times New Roman"/>
          <w:sz w:val="24"/>
          <w:szCs w:val="24"/>
        </w:rPr>
        <w:t xml:space="preserve">Untargeted metabolomics has become a robust strategy for uncovering biochemical signatures associated with stress adaptation and plant functional diversity </w:t>
      </w:r>
      <w:r w:rsidR="00154129">
        <w:rPr>
          <w:rFonts w:ascii="Times New Roman" w:hAnsi="Times New Roman" w:cs="Times New Roman"/>
          <w:sz w:val="24"/>
          <w:szCs w:val="24"/>
        </w:rPr>
        <w:fldChar w:fldCharType="begin" w:fldLock="1"/>
      </w:r>
      <w:r w:rsidR="00154129">
        <w:rPr>
          <w:rFonts w:ascii="Times New Roman" w:hAnsi="Times New Roman" w:cs="Times New Roman"/>
          <w:sz w:val="24"/>
          <w:szCs w:val="24"/>
        </w:rPr>
        <w:instrText>ADDIN CSL_CITATION {"citationItems":[{"id":"ITEM-1","itemData":{"ISSN":"2218-1989","author":[{"dropping-particle":"","family":"Tinte","given":"Morena M","non-dropping-particle":"","parse-names":false,"suffix":""},{"dropping-particle":"","family":"Chele","given":"Kekeletso H","non-dropping-particle":"","parse-names":false,"suffix":""},{"dropping-particle":"","family":"Hooft","given":"Justin J J","non-dropping-particle":"van Der","parse-names":false,"suffix":""},{"dropping-particle":"","family":"Tugizimana","given":"Fidele","non-dropping-particle":"","parse-names":false,"suffix":""}],"container-title":"Metabolites","id":"ITEM-1","issue":"7","issued":{"date-parts":[["2021"]]},"page":"445","publisher":"MDPI","title":"Metabolomics-guided elucidation of plant abiotic stress responses in the 4IR era: An Overview","type":"article-journal","volume":"11"},"uris":["http://www.mendeley.com/documents/?uuid=be46f14f-61ff-4954-8344-a5b40d5c5b43"]},{"id":"ITEM-2","itemData":{"ISSN":"1543-5008","author":[{"dropping-particle":"","family":"Li","given":"Dapeng","non-dropping-particle":"","parse-names":false,"suffix":""},{"dropping-particle":"","family":"Gaquerel","given":"Emmanuel","non-dropping-particle":"","parse-names":false,"suffix":""}],"container-title":"Annual Review of Plant Biology","id":"ITEM-2","issue":"1","issued":{"date-parts":[["2021"]]},"page":"867-891","publisher":"Annual Reviews","title":"Next-generation mass spectrometry metabolomics revives the functional analysis of plant metabolic diversity","type":"article-journal","volume":"72"},"uris":["http://www.mendeley.com/documents/?uuid=d07733f2-62ca-47d8-954e-4f3cf6f4d64b"]}],"mendeley":{"formattedCitation":"(Li &amp; Gaquerel, 2021; Tinte et al., 2021)","plainTextFormattedCitation":"(Li &amp; Gaquerel, 2021; Tinte et al., 2021)","previouslyFormattedCitation":"(Li &amp; Gaquerel, 2021; Tinte et al., 2021)"},"properties":{"noteIndex":0},"schema":"https://github.com/citation-style-language/schema/raw/master/csl-citation.json"}</w:instrText>
      </w:r>
      <w:r w:rsidR="00154129">
        <w:rPr>
          <w:rFonts w:ascii="Times New Roman" w:hAnsi="Times New Roman" w:cs="Times New Roman"/>
          <w:sz w:val="24"/>
          <w:szCs w:val="24"/>
        </w:rPr>
        <w:fldChar w:fldCharType="separate"/>
      </w:r>
      <w:r w:rsidR="00154129" w:rsidRPr="00154129">
        <w:rPr>
          <w:rFonts w:ascii="Times New Roman" w:hAnsi="Times New Roman" w:cs="Times New Roman"/>
          <w:noProof/>
          <w:sz w:val="24"/>
          <w:szCs w:val="24"/>
        </w:rPr>
        <w:t>(Li &amp; Gaquerel, 2021; Tinte et al., 2021)</w:t>
      </w:r>
      <w:r w:rsidR="00154129">
        <w:rPr>
          <w:rFonts w:ascii="Times New Roman" w:hAnsi="Times New Roman" w:cs="Times New Roman"/>
          <w:sz w:val="24"/>
          <w:szCs w:val="24"/>
        </w:rPr>
        <w:fldChar w:fldCharType="end"/>
      </w:r>
      <w:r w:rsidRPr="00B76E4F">
        <w:rPr>
          <w:rFonts w:ascii="Times New Roman" w:hAnsi="Times New Roman" w:cs="Times New Roman"/>
          <w:sz w:val="24"/>
          <w:szCs w:val="24"/>
        </w:rPr>
        <w:t>.</w:t>
      </w:r>
    </w:p>
    <w:p w14:paraId="70A76E31" w14:textId="19AFECE9" w:rsidR="00853982" w:rsidRDefault="00853982" w:rsidP="00B76E4F">
      <w:pPr>
        <w:spacing w:after="0" w:line="360" w:lineRule="auto"/>
        <w:jc w:val="both"/>
        <w:rPr>
          <w:rFonts w:ascii="Times New Roman" w:hAnsi="Times New Roman" w:cs="Times New Roman"/>
          <w:b/>
          <w:bCs/>
          <w:sz w:val="24"/>
          <w:szCs w:val="24"/>
        </w:rPr>
      </w:pPr>
      <w:r w:rsidRPr="00853982">
        <w:rPr>
          <w:rFonts w:ascii="Times New Roman" w:hAnsi="Times New Roman" w:cs="Times New Roman"/>
          <w:b/>
          <w:bCs/>
          <w:sz w:val="24"/>
          <w:szCs w:val="24"/>
        </w:rPr>
        <w:t>Metabolite annotation and quality control</w:t>
      </w:r>
    </w:p>
    <w:p w14:paraId="2BA078D8" w14:textId="77777777" w:rsidR="00853982" w:rsidRPr="00853982" w:rsidRDefault="00853982" w:rsidP="00853982">
      <w:pPr>
        <w:spacing w:after="0" w:line="360" w:lineRule="auto"/>
        <w:jc w:val="both"/>
        <w:rPr>
          <w:rFonts w:ascii="Times New Roman" w:hAnsi="Times New Roman" w:cs="Times New Roman"/>
          <w:sz w:val="24"/>
          <w:szCs w:val="24"/>
        </w:rPr>
      </w:pPr>
      <w:r w:rsidRPr="00853982">
        <w:rPr>
          <w:rFonts w:ascii="Times New Roman" w:hAnsi="Times New Roman" w:cs="Times New Roman"/>
          <w:sz w:val="24"/>
          <w:szCs w:val="24"/>
        </w:rPr>
        <w:t>To improve analytical transparency and support interpretation of untargeted metabolomic data, additional procedures for metabolite annotation, preprocessing, and quality control were implemented. Metabolomic analysis was performed using an ultra-performance liquid chromatography system (ACQUITY UPLC, Waters Corporation, Milford, MA, USA) coupled with a high-resolution quadrupole time-of-flight mass spectrometer (Xevo G2-XS QTOF, Waters Corporation). Data acquisition was conducted in both positive and negative electrospray ionization (ESI) modes over a mass range of m/z 100–1500. Instrument resolving power was maintained at approximately 30,000 full width at half maximum (FWHM). Source temperature was set at 120°C and capillary voltage was adjusted to 2.5 kV for positive ionization and 2.0 kV for negative ionization.</w:t>
      </w:r>
    </w:p>
    <w:p w14:paraId="4648B735" w14:textId="77777777" w:rsidR="00853982" w:rsidRPr="00853982" w:rsidRDefault="00853982" w:rsidP="00853982">
      <w:pPr>
        <w:spacing w:after="0" w:line="360" w:lineRule="auto"/>
        <w:jc w:val="both"/>
        <w:rPr>
          <w:rFonts w:ascii="Times New Roman" w:hAnsi="Times New Roman" w:cs="Times New Roman"/>
          <w:sz w:val="24"/>
          <w:szCs w:val="24"/>
        </w:rPr>
      </w:pPr>
      <w:r w:rsidRPr="00853982">
        <w:rPr>
          <w:rFonts w:ascii="Times New Roman" w:hAnsi="Times New Roman" w:cs="Times New Roman"/>
          <w:sz w:val="24"/>
          <w:szCs w:val="24"/>
        </w:rPr>
        <w:t>Raw spectral files were processed using Progenesis QI software (version 3.0, Nonlinear Dynamics, Newcastle, UK) for peak detection, retention time alignment, feature extraction, and normalization. Retention time alignment tolerance was set at ±0.20 min. Signal intensities were normalized using total ion current (TIC) normalization to minimize technical variation among samples. Blank subtraction was performed to remove background signals originating from extraction solvents and instrument carryover. Features containing more than 20% missing values across samples were excluded prior to statistical analysis.</w:t>
      </w:r>
    </w:p>
    <w:p w14:paraId="0D6003B9" w14:textId="3AAF6047" w:rsidR="00853982" w:rsidRPr="00853982" w:rsidRDefault="00853982" w:rsidP="00B76E4F">
      <w:pPr>
        <w:spacing w:after="0" w:line="360" w:lineRule="auto"/>
        <w:jc w:val="both"/>
        <w:rPr>
          <w:rFonts w:ascii="Times New Roman" w:hAnsi="Times New Roman" w:cs="Times New Roman"/>
          <w:sz w:val="24"/>
          <w:szCs w:val="24"/>
        </w:rPr>
      </w:pPr>
      <w:r w:rsidRPr="00853982">
        <w:rPr>
          <w:rFonts w:ascii="Times New Roman" w:hAnsi="Times New Roman" w:cs="Times New Roman"/>
          <w:sz w:val="24"/>
          <w:szCs w:val="24"/>
        </w:rPr>
        <w:lastRenderedPageBreak/>
        <w:t>Quality control procedures were implemented throughout analytical acquisition. A pooled quality control (QC) sample was prepared by combining aliquots from all experimental extracts and injected at the beginning of the analytical sequence and after every five sample injections to monitor instrumental stability. Metabolic features exhibiting relative standard deviation (RSD) greater than 30% across pooled QC injections were excluded from downstream analyses.</w:t>
      </w:r>
      <w:r>
        <w:rPr>
          <w:rFonts w:ascii="Times New Roman" w:hAnsi="Times New Roman" w:cs="Times New Roman"/>
          <w:sz w:val="24"/>
          <w:szCs w:val="24"/>
        </w:rPr>
        <w:t xml:space="preserve"> </w:t>
      </w:r>
      <w:r w:rsidRPr="00853982">
        <w:rPr>
          <w:rFonts w:ascii="Times New Roman" w:hAnsi="Times New Roman" w:cs="Times New Roman"/>
          <w:sz w:val="24"/>
          <w:szCs w:val="24"/>
        </w:rPr>
        <w:t>Putative metabolite annotation was conducted through comparison of accurate mass values and fragmentation patterns against publicly available metabolomic databases including HMDB (Human Metabolome Database), METLIN, MassBank, and GNPS (Global Natural Products Social Molecular Networking). Annotation tolerance was maintained within ±10 ppm mass error. Metabolite confidence levels were assigned according to the Metabolomics Standards Initiative (MSI) framework.</w:t>
      </w:r>
      <w:r>
        <w:rPr>
          <w:rFonts w:ascii="Times New Roman" w:hAnsi="Times New Roman" w:cs="Times New Roman"/>
          <w:sz w:val="24"/>
          <w:szCs w:val="24"/>
        </w:rPr>
        <w:t xml:space="preserve"> </w:t>
      </w:r>
      <w:r w:rsidRPr="00853982">
        <w:rPr>
          <w:rFonts w:ascii="Times New Roman" w:hAnsi="Times New Roman" w:cs="Times New Roman"/>
          <w:sz w:val="24"/>
          <w:szCs w:val="24"/>
        </w:rPr>
        <w:t>Metabolites reported in this study were assigned as putative annotations (MSI level 2–3) and were not confirmed using authentic analytical standards.</w:t>
      </w:r>
    </w:p>
    <w:p w14:paraId="7125606E" w14:textId="379BD782" w:rsidR="00B76E4F" w:rsidRPr="00B76E4F" w:rsidRDefault="00B76E4F" w:rsidP="00B76E4F">
      <w:pPr>
        <w:spacing w:after="0" w:line="360" w:lineRule="auto"/>
        <w:jc w:val="both"/>
        <w:rPr>
          <w:rFonts w:ascii="Times New Roman" w:hAnsi="Times New Roman" w:cs="Times New Roman"/>
          <w:b/>
          <w:bCs/>
          <w:sz w:val="24"/>
          <w:szCs w:val="24"/>
        </w:rPr>
      </w:pPr>
      <w:r w:rsidRPr="00B76E4F">
        <w:rPr>
          <w:rFonts w:ascii="Times New Roman" w:hAnsi="Times New Roman" w:cs="Times New Roman"/>
          <w:b/>
          <w:bCs/>
          <w:sz w:val="24"/>
          <w:szCs w:val="24"/>
        </w:rPr>
        <w:t>Integration of metabolomic and phenotypic selection</w:t>
      </w:r>
    </w:p>
    <w:p w14:paraId="2D56800F" w14:textId="0B458CD5" w:rsidR="00B76E4F" w:rsidRPr="00B76E4F" w:rsidRDefault="00B76E4F" w:rsidP="00B76E4F">
      <w:pPr>
        <w:spacing w:after="0" w:line="360" w:lineRule="auto"/>
        <w:jc w:val="both"/>
        <w:rPr>
          <w:rFonts w:ascii="Times New Roman" w:hAnsi="Times New Roman" w:cs="Times New Roman"/>
          <w:sz w:val="24"/>
          <w:szCs w:val="24"/>
        </w:rPr>
      </w:pPr>
      <w:r w:rsidRPr="00B76E4F">
        <w:rPr>
          <w:rFonts w:ascii="Times New Roman" w:hAnsi="Times New Roman" w:cs="Times New Roman"/>
          <w:sz w:val="24"/>
          <w:szCs w:val="24"/>
        </w:rPr>
        <w:t>Integrated analysis was conducted to identify climate-resilient biomass traits.</w:t>
      </w:r>
      <w:r w:rsidR="00316A43">
        <w:rPr>
          <w:rFonts w:ascii="Times New Roman" w:hAnsi="Times New Roman" w:cs="Times New Roman"/>
          <w:sz w:val="24"/>
          <w:szCs w:val="24"/>
        </w:rPr>
        <w:t xml:space="preserve"> </w:t>
      </w:r>
      <w:r w:rsidRPr="00B76E4F">
        <w:rPr>
          <w:rFonts w:ascii="Times New Roman" w:hAnsi="Times New Roman" w:cs="Times New Roman"/>
          <w:sz w:val="24"/>
          <w:szCs w:val="24"/>
        </w:rPr>
        <w:t>First, principal component analysis (PCA) was used to visualize clustering patterns among treatments.</w:t>
      </w:r>
      <w:r w:rsidR="00316A43">
        <w:rPr>
          <w:rFonts w:ascii="Times New Roman" w:hAnsi="Times New Roman" w:cs="Times New Roman"/>
          <w:sz w:val="24"/>
          <w:szCs w:val="24"/>
        </w:rPr>
        <w:t xml:space="preserve"> </w:t>
      </w:r>
      <w:r w:rsidRPr="00B76E4F">
        <w:rPr>
          <w:rFonts w:ascii="Times New Roman" w:hAnsi="Times New Roman" w:cs="Times New Roman"/>
          <w:sz w:val="24"/>
          <w:szCs w:val="24"/>
        </w:rPr>
        <w:t>Second, partial least squares discriminant analysis was applied to identify metabolites contributing to environmental adaptation.</w:t>
      </w:r>
      <w:r w:rsidR="00316A43">
        <w:rPr>
          <w:rFonts w:ascii="Times New Roman" w:hAnsi="Times New Roman" w:cs="Times New Roman"/>
          <w:sz w:val="24"/>
          <w:szCs w:val="24"/>
        </w:rPr>
        <w:t xml:space="preserve"> </w:t>
      </w:r>
      <w:r w:rsidRPr="00B76E4F">
        <w:rPr>
          <w:rFonts w:ascii="Times New Roman" w:hAnsi="Times New Roman" w:cs="Times New Roman"/>
          <w:sz w:val="24"/>
          <w:szCs w:val="24"/>
        </w:rPr>
        <w:t>Variables with</w:t>
      </w:r>
      <w:r w:rsidR="00316A43">
        <w:rPr>
          <w:rFonts w:ascii="Times New Roman" w:hAnsi="Times New Roman" w:cs="Times New Roman"/>
          <w:sz w:val="24"/>
          <w:szCs w:val="24"/>
        </w:rPr>
        <w:t xml:space="preserve"> </w:t>
      </w:r>
      <w:r w:rsidRPr="00B76E4F">
        <w:rPr>
          <w:rFonts w:ascii="Times New Roman" w:hAnsi="Times New Roman" w:cs="Times New Roman"/>
          <w:sz w:val="24"/>
          <w:szCs w:val="24"/>
        </w:rPr>
        <w:t>VIP score &gt; 1.0</w:t>
      </w:r>
      <w:r w:rsidR="00316A43">
        <w:rPr>
          <w:rFonts w:ascii="Times New Roman" w:hAnsi="Times New Roman" w:cs="Times New Roman"/>
          <w:sz w:val="24"/>
          <w:szCs w:val="24"/>
        </w:rPr>
        <w:t xml:space="preserve">, </w:t>
      </w:r>
      <w:r w:rsidRPr="00B76E4F">
        <w:rPr>
          <w:rFonts w:ascii="Times New Roman" w:hAnsi="Times New Roman" w:cs="Times New Roman"/>
          <w:sz w:val="24"/>
          <w:szCs w:val="24"/>
        </w:rPr>
        <w:t>Fold change &gt; 1.5</w:t>
      </w:r>
      <w:r w:rsidR="00316A43">
        <w:rPr>
          <w:rFonts w:ascii="Times New Roman" w:hAnsi="Times New Roman" w:cs="Times New Roman"/>
          <w:sz w:val="24"/>
          <w:szCs w:val="24"/>
        </w:rPr>
        <w:t xml:space="preserve">, and </w:t>
      </w:r>
      <w:r w:rsidRPr="00B76E4F">
        <w:rPr>
          <w:rFonts w:ascii="Times New Roman" w:hAnsi="Times New Roman" w:cs="Times New Roman"/>
          <w:sz w:val="24"/>
          <w:szCs w:val="24"/>
        </w:rPr>
        <w:t>P &lt; 0.05</w:t>
      </w:r>
      <w:r w:rsidR="00316A43">
        <w:rPr>
          <w:rFonts w:ascii="Times New Roman" w:hAnsi="Times New Roman" w:cs="Times New Roman"/>
          <w:sz w:val="24"/>
          <w:szCs w:val="24"/>
        </w:rPr>
        <w:t xml:space="preserve"> </w:t>
      </w:r>
      <w:r w:rsidRPr="00B76E4F">
        <w:rPr>
          <w:rFonts w:ascii="Times New Roman" w:hAnsi="Times New Roman" w:cs="Times New Roman"/>
          <w:sz w:val="24"/>
          <w:szCs w:val="24"/>
        </w:rPr>
        <w:t>were retained as candidate adaptive biomarkers.</w:t>
      </w:r>
      <w:r w:rsidR="00316A43">
        <w:rPr>
          <w:rFonts w:ascii="Times New Roman" w:hAnsi="Times New Roman" w:cs="Times New Roman"/>
          <w:sz w:val="24"/>
          <w:szCs w:val="24"/>
        </w:rPr>
        <w:t xml:space="preserve"> </w:t>
      </w:r>
      <w:r w:rsidRPr="00B76E4F">
        <w:rPr>
          <w:rFonts w:ascii="Times New Roman" w:hAnsi="Times New Roman" w:cs="Times New Roman"/>
          <w:sz w:val="24"/>
          <w:szCs w:val="24"/>
        </w:rPr>
        <w:t>Subsequently, Pearson correlation networks were constructed to evaluate relationships between metabolomic variables and phenotypic traits.</w:t>
      </w:r>
      <w:r w:rsidR="00AD6371">
        <w:rPr>
          <w:rFonts w:ascii="Times New Roman" w:hAnsi="Times New Roman" w:cs="Times New Roman"/>
          <w:sz w:val="24"/>
          <w:szCs w:val="24"/>
        </w:rPr>
        <w:t xml:space="preserve"> </w:t>
      </w:r>
      <w:r w:rsidR="00AD6371" w:rsidRPr="00AD6371">
        <w:rPr>
          <w:rFonts w:ascii="Times New Roman" w:hAnsi="Times New Roman" w:cs="Times New Roman"/>
          <w:sz w:val="24"/>
          <w:szCs w:val="24"/>
        </w:rPr>
        <w:t>A composite Climate-Responsive Biomass Score (CBS) was generated by integrating standardized biomass yield, water-use efficiency (WUE), relative water content (RWC), and metabolomic scores derived from multivariate analyses. Higher CBS values indicated greater responsiveness to climate-related stress conditions.</w:t>
      </w:r>
      <w:r w:rsidR="00AD6371">
        <w:rPr>
          <w:rFonts w:ascii="Times New Roman" w:hAnsi="Times New Roman" w:cs="Times New Roman"/>
          <w:sz w:val="24"/>
          <w:szCs w:val="24"/>
        </w:rPr>
        <w:t xml:space="preserve"> </w:t>
      </w:r>
      <w:r w:rsidR="00AD6371" w:rsidRPr="00AD6371">
        <w:rPr>
          <w:rFonts w:ascii="Times New Roman" w:hAnsi="Times New Roman" w:cs="Times New Roman"/>
          <w:sz w:val="24"/>
          <w:szCs w:val="24"/>
        </w:rPr>
        <w:t>The CBS was developed as an exploratory composite indicator intended to summarize multidimensional phenotypic and metabolomic responses. The index has not undergone external validation and should not be interpreted as a validated selection tool.</w:t>
      </w:r>
      <w:r w:rsidR="00AD6371">
        <w:rPr>
          <w:rFonts w:ascii="Times New Roman" w:hAnsi="Times New Roman" w:cs="Times New Roman"/>
          <w:sz w:val="24"/>
          <w:szCs w:val="24"/>
        </w:rPr>
        <w:t xml:space="preserve"> </w:t>
      </w:r>
      <w:r w:rsidRPr="00B76E4F">
        <w:rPr>
          <w:rFonts w:ascii="Times New Roman" w:hAnsi="Times New Roman" w:cs="Times New Roman"/>
          <w:sz w:val="24"/>
          <w:szCs w:val="24"/>
        </w:rPr>
        <w:t xml:space="preserve">Multi-omics integration approaches have shown improved predictive power for identifying adaptive traits beyond conventional selection frameworks </w:t>
      </w:r>
      <w:r w:rsidR="00154129">
        <w:rPr>
          <w:rFonts w:ascii="Times New Roman" w:hAnsi="Times New Roman" w:cs="Times New Roman"/>
          <w:sz w:val="24"/>
          <w:szCs w:val="24"/>
        </w:rPr>
        <w:fldChar w:fldCharType="begin" w:fldLock="1"/>
      </w:r>
      <w:r w:rsidR="00154129">
        <w:rPr>
          <w:rFonts w:ascii="Times New Roman" w:hAnsi="Times New Roman" w:cs="Times New Roman"/>
          <w:sz w:val="24"/>
          <w:szCs w:val="24"/>
        </w:rPr>
        <w:instrText>ADDIN CSL_CITATION {"citationItems":[{"id":"ITEM-1","itemData":{"ISSN":"2662-253X","author":[{"dropping-particle":"","family":"Dixit","given":"Shikha","non-dropping-particle":"","parse-names":false,"suffix":""},{"dropping-particle":"","family":"Sivalingam","given":"Palaiyur Nanjappan","non-dropping-particle":"","parse-names":false,"suffix":""},{"dropping-particle":"","family":"Baskaran","given":"R K Murali","non-dropping-particle":"","parse-names":false,"suffix":""},{"dropping-particle":"","family":"Senthil-Kumar","given":"Muthappa","non-dropping-particle":"","parse-names":false,"suffix":""},{"dropping-particle":"","family":"Ghosh","given":"Probir Kumar","non-dropping-particle":"","parse-names":false,"suffix":""}],"container-title":"Plant Physiology Reports","id":"ITEM-1","issue":"1","issued":{"date-parts":[["2024"]]},"page":"6-17","publisher":"Springer","title":"Plant responses to concurrent abiotic and biotic stress: unravelling physiological and morphological mechanisms","type":"article-journal","volume":"29"},"uris":["http://www.mendeley.com/documents/?uuid=08fe8238-5b05-41b2-80cb-818edf6ee927"]},{"id":"ITEM-2","itemData":{"ISSN":"2073-4395","author":[{"dropping-particle":"","family":"Carrera","given":"Fredy P","non-dropping-particle":"","parse-names":false,"suffix":""},{"dropping-particle":"","family":"Noceda","given":"Carlos","non-dropping-particle":"","parse-names":false,"suffix":""},{"dropping-particle":"","family":"Maridueña-Zavala","given":"María G","non-dropping-particle":"","parse-names":false,"suffix":""},{"dropping-particle":"","family":"Cevallos-Cevallos","given":"Juan M","non-dropping-particle":"","parse-names":false,"suffix":""}],"container-title":"Agronomy","id":"ITEM-2","issue":"5","issued":{"date-parts":[["2021"]]},"page":"824","publisher":"MDPI","title":"Metabolomics, a powerful tool for understanding plant abiotic stress","type":"article-journal","volume":"11"},"uris":["http://www.mendeley.com/documents/?uuid=ea825d29-191c-4d18-a331-4e9268e76146"]}],"mendeley":{"formattedCitation":"(Carrera et al., 2021; Dixit et al., 2024)","plainTextFormattedCitation":"(Carrera et al., 2021; Dixit et al., 2024)","previouslyFormattedCitation":"(Carrera et al., 2021; Dixit et al., 2024)"},"properties":{"noteIndex":0},"schema":"https://github.com/citation-style-language/schema/raw/master/csl-citation.json"}</w:instrText>
      </w:r>
      <w:r w:rsidR="00154129">
        <w:rPr>
          <w:rFonts w:ascii="Times New Roman" w:hAnsi="Times New Roman" w:cs="Times New Roman"/>
          <w:sz w:val="24"/>
          <w:szCs w:val="24"/>
        </w:rPr>
        <w:fldChar w:fldCharType="separate"/>
      </w:r>
      <w:r w:rsidR="00154129" w:rsidRPr="00154129">
        <w:rPr>
          <w:rFonts w:ascii="Times New Roman" w:hAnsi="Times New Roman" w:cs="Times New Roman"/>
          <w:noProof/>
          <w:sz w:val="24"/>
          <w:szCs w:val="24"/>
        </w:rPr>
        <w:t>(Carrera et al., 2021; Dixit et al., 2024)</w:t>
      </w:r>
      <w:r w:rsidR="00154129">
        <w:rPr>
          <w:rFonts w:ascii="Times New Roman" w:hAnsi="Times New Roman" w:cs="Times New Roman"/>
          <w:sz w:val="24"/>
          <w:szCs w:val="24"/>
        </w:rPr>
        <w:fldChar w:fldCharType="end"/>
      </w:r>
      <w:r w:rsidRPr="00B76E4F">
        <w:rPr>
          <w:rFonts w:ascii="Times New Roman" w:hAnsi="Times New Roman" w:cs="Times New Roman"/>
          <w:sz w:val="24"/>
          <w:szCs w:val="24"/>
        </w:rPr>
        <w:t>.</w:t>
      </w:r>
    </w:p>
    <w:p w14:paraId="20DD12C4" w14:textId="77777777" w:rsidR="00B76E4F" w:rsidRPr="00B76E4F" w:rsidRDefault="00B76E4F" w:rsidP="00B76E4F">
      <w:pPr>
        <w:spacing w:after="0" w:line="360" w:lineRule="auto"/>
        <w:jc w:val="both"/>
        <w:rPr>
          <w:rFonts w:ascii="Times New Roman" w:hAnsi="Times New Roman" w:cs="Times New Roman"/>
          <w:b/>
          <w:bCs/>
          <w:sz w:val="24"/>
          <w:szCs w:val="24"/>
        </w:rPr>
      </w:pPr>
      <w:r w:rsidRPr="00B76E4F">
        <w:rPr>
          <w:rFonts w:ascii="Times New Roman" w:hAnsi="Times New Roman" w:cs="Times New Roman"/>
          <w:b/>
          <w:bCs/>
          <w:sz w:val="24"/>
          <w:szCs w:val="24"/>
        </w:rPr>
        <w:t>Statistical analysis</w:t>
      </w:r>
    </w:p>
    <w:p w14:paraId="5453651E" w14:textId="70FE2670" w:rsidR="00B76E4F" w:rsidRPr="00B76E4F" w:rsidRDefault="00B76E4F" w:rsidP="00B76E4F">
      <w:pPr>
        <w:spacing w:after="0" w:line="360" w:lineRule="auto"/>
        <w:jc w:val="both"/>
        <w:rPr>
          <w:rFonts w:ascii="Times New Roman" w:hAnsi="Times New Roman" w:cs="Times New Roman"/>
          <w:sz w:val="24"/>
          <w:szCs w:val="24"/>
        </w:rPr>
      </w:pPr>
      <w:r w:rsidRPr="00B76E4F">
        <w:rPr>
          <w:rFonts w:ascii="Times New Roman" w:hAnsi="Times New Roman" w:cs="Times New Roman"/>
          <w:sz w:val="24"/>
          <w:szCs w:val="24"/>
        </w:rPr>
        <w:t>Data normality and homogeneity were evaluated using Shapiro–Wilk and Levene tests.</w:t>
      </w:r>
      <w:r w:rsidR="00316A43">
        <w:rPr>
          <w:rFonts w:ascii="Times New Roman" w:hAnsi="Times New Roman" w:cs="Times New Roman"/>
          <w:sz w:val="24"/>
          <w:szCs w:val="24"/>
        </w:rPr>
        <w:t xml:space="preserve"> </w:t>
      </w:r>
      <w:r w:rsidRPr="00B76E4F">
        <w:rPr>
          <w:rFonts w:ascii="Times New Roman" w:hAnsi="Times New Roman" w:cs="Times New Roman"/>
          <w:sz w:val="24"/>
          <w:szCs w:val="24"/>
        </w:rPr>
        <w:t>Differences among treatments were analyzed using one-way ANOVA followed by Tukey’s multiple comparison test.</w:t>
      </w:r>
      <w:r w:rsidR="00316A43">
        <w:rPr>
          <w:rFonts w:ascii="Times New Roman" w:hAnsi="Times New Roman" w:cs="Times New Roman"/>
          <w:sz w:val="24"/>
          <w:szCs w:val="24"/>
        </w:rPr>
        <w:t xml:space="preserve"> </w:t>
      </w:r>
      <w:r w:rsidR="00A9228D" w:rsidRPr="00A9228D">
        <w:rPr>
          <w:rFonts w:ascii="Times New Roman" w:hAnsi="Times New Roman" w:cs="Times New Roman"/>
          <w:sz w:val="24"/>
          <w:szCs w:val="24"/>
        </w:rPr>
        <w:t xml:space="preserve">Principal component analysis (PCA) and Pearson correlation analysis were used as exploratory approaches to evaluate associations between metabolic features and </w:t>
      </w:r>
      <w:r w:rsidR="00A9228D" w:rsidRPr="00A9228D">
        <w:rPr>
          <w:rFonts w:ascii="Times New Roman" w:hAnsi="Times New Roman" w:cs="Times New Roman"/>
          <w:sz w:val="24"/>
          <w:szCs w:val="24"/>
        </w:rPr>
        <w:lastRenderedPageBreak/>
        <w:t>phenotypic traits</w:t>
      </w:r>
      <w:r w:rsidRPr="00B76E4F">
        <w:rPr>
          <w:rFonts w:ascii="Times New Roman" w:hAnsi="Times New Roman" w:cs="Times New Roman"/>
          <w:sz w:val="24"/>
          <w:szCs w:val="24"/>
        </w:rPr>
        <w:t>.</w:t>
      </w:r>
      <w:r w:rsidR="00316A43">
        <w:rPr>
          <w:rFonts w:ascii="Times New Roman" w:hAnsi="Times New Roman" w:cs="Times New Roman"/>
          <w:sz w:val="24"/>
          <w:szCs w:val="24"/>
        </w:rPr>
        <w:t xml:space="preserve"> </w:t>
      </w:r>
      <w:r w:rsidRPr="00B76E4F">
        <w:rPr>
          <w:rFonts w:ascii="Times New Roman" w:hAnsi="Times New Roman" w:cs="Times New Roman"/>
          <w:sz w:val="24"/>
          <w:szCs w:val="24"/>
        </w:rPr>
        <w:t>Correlation networks were visualized using Cytoscape.</w:t>
      </w:r>
      <w:r w:rsidR="00316A43">
        <w:rPr>
          <w:rFonts w:ascii="Times New Roman" w:hAnsi="Times New Roman" w:cs="Times New Roman"/>
          <w:sz w:val="24"/>
          <w:szCs w:val="24"/>
        </w:rPr>
        <w:t xml:space="preserve"> </w:t>
      </w:r>
      <w:r w:rsidRPr="00B76E4F">
        <w:rPr>
          <w:rFonts w:ascii="Times New Roman" w:hAnsi="Times New Roman" w:cs="Times New Roman"/>
          <w:sz w:val="24"/>
          <w:szCs w:val="24"/>
        </w:rPr>
        <w:t>Significance was accepted at</w:t>
      </w:r>
      <w:r w:rsidR="00316A43">
        <w:rPr>
          <w:rFonts w:ascii="Times New Roman" w:hAnsi="Times New Roman" w:cs="Times New Roman"/>
          <w:sz w:val="24"/>
          <w:szCs w:val="24"/>
        </w:rPr>
        <w:t xml:space="preserve"> </w:t>
      </w:r>
      <w:r w:rsidRPr="00316A43">
        <w:rPr>
          <w:rFonts w:ascii="Times New Roman" w:hAnsi="Times New Roman" w:cs="Times New Roman"/>
          <w:sz w:val="24"/>
          <w:szCs w:val="24"/>
        </w:rPr>
        <w:t>P &lt; 0.05</w:t>
      </w:r>
      <w:r w:rsidR="00316A43" w:rsidRPr="00316A43">
        <w:rPr>
          <w:rFonts w:ascii="Times New Roman" w:hAnsi="Times New Roman" w:cs="Times New Roman"/>
          <w:sz w:val="24"/>
          <w:szCs w:val="24"/>
        </w:rPr>
        <w:t>.</w:t>
      </w:r>
      <w:r w:rsidR="00316A43">
        <w:rPr>
          <w:rFonts w:ascii="Times New Roman" w:hAnsi="Times New Roman" w:cs="Times New Roman"/>
          <w:b/>
          <w:bCs/>
          <w:sz w:val="24"/>
          <w:szCs w:val="24"/>
        </w:rPr>
        <w:t xml:space="preserve"> </w:t>
      </w:r>
      <w:r w:rsidRPr="00B76E4F">
        <w:rPr>
          <w:rFonts w:ascii="Times New Roman" w:hAnsi="Times New Roman" w:cs="Times New Roman"/>
          <w:sz w:val="24"/>
          <w:szCs w:val="24"/>
        </w:rPr>
        <w:t>All statistical analyses were performed using R software (version 4.5).</w:t>
      </w:r>
    </w:p>
    <w:p w14:paraId="7AD61F96" w14:textId="77777777" w:rsidR="00657E38" w:rsidRDefault="00657E38" w:rsidP="00A54251">
      <w:pPr>
        <w:spacing w:after="0" w:line="360" w:lineRule="auto"/>
        <w:jc w:val="both"/>
        <w:rPr>
          <w:rFonts w:ascii="Times New Roman" w:hAnsi="Times New Roman" w:cs="Times New Roman"/>
          <w:b/>
          <w:bCs/>
          <w:sz w:val="24"/>
          <w:szCs w:val="24"/>
        </w:rPr>
      </w:pPr>
    </w:p>
    <w:p w14:paraId="338A8610" w14:textId="38B109EA" w:rsidR="00F72B7A" w:rsidRPr="00F72B7A" w:rsidRDefault="00F72B7A" w:rsidP="00A54251">
      <w:pPr>
        <w:spacing w:after="0" w:line="360" w:lineRule="auto"/>
        <w:jc w:val="both"/>
        <w:rPr>
          <w:rFonts w:ascii="Times New Roman" w:hAnsi="Times New Roman" w:cs="Times New Roman"/>
          <w:b/>
          <w:bCs/>
          <w:sz w:val="24"/>
          <w:szCs w:val="24"/>
        </w:rPr>
      </w:pPr>
      <w:r w:rsidRPr="00F72B7A">
        <w:rPr>
          <w:rFonts w:ascii="Times New Roman" w:hAnsi="Times New Roman" w:cs="Times New Roman"/>
          <w:b/>
          <w:bCs/>
          <w:sz w:val="24"/>
          <w:szCs w:val="24"/>
        </w:rPr>
        <w:t>Results and Discussion</w:t>
      </w:r>
    </w:p>
    <w:p w14:paraId="1A3AD600" w14:textId="77777777" w:rsidR="00316A43" w:rsidRPr="00316A43" w:rsidRDefault="00316A43" w:rsidP="00316A43">
      <w:pPr>
        <w:spacing w:after="0" w:line="360" w:lineRule="auto"/>
        <w:jc w:val="both"/>
        <w:rPr>
          <w:rFonts w:ascii="Times New Roman" w:hAnsi="Times New Roman" w:cs="Times New Roman"/>
          <w:b/>
          <w:bCs/>
          <w:sz w:val="24"/>
          <w:szCs w:val="24"/>
        </w:rPr>
      </w:pPr>
      <w:r w:rsidRPr="00316A43">
        <w:rPr>
          <w:rFonts w:ascii="Times New Roman" w:hAnsi="Times New Roman" w:cs="Times New Roman"/>
          <w:b/>
          <w:bCs/>
          <w:sz w:val="24"/>
          <w:szCs w:val="24"/>
        </w:rPr>
        <w:t xml:space="preserve">Climate-related water limitation altered phenotypic performance and biomass formation in </w:t>
      </w:r>
      <w:r w:rsidRPr="00316A43">
        <w:rPr>
          <w:rFonts w:ascii="Times New Roman" w:hAnsi="Times New Roman" w:cs="Times New Roman"/>
          <w:b/>
          <w:bCs/>
          <w:i/>
          <w:iCs/>
          <w:sz w:val="24"/>
          <w:szCs w:val="24"/>
        </w:rPr>
        <w:t>Nopalea cochenillifera</w:t>
      </w:r>
    </w:p>
    <w:p w14:paraId="0810125C" w14:textId="6DC95596" w:rsidR="00316A43" w:rsidRPr="00316A43" w:rsidRDefault="00316A43" w:rsidP="00316A43">
      <w:pPr>
        <w:spacing w:after="0" w:line="360" w:lineRule="auto"/>
        <w:jc w:val="both"/>
        <w:rPr>
          <w:rFonts w:ascii="Times New Roman" w:hAnsi="Times New Roman" w:cs="Times New Roman"/>
          <w:sz w:val="24"/>
          <w:szCs w:val="24"/>
        </w:rPr>
      </w:pPr>
      <w:r w:rsidRPr="00316A43">
        <w:rPr>
          <w:rFonts w:ascii="Times New Roman" w:hAnsi="Times New Roman" w:cs="Times New Roman"/>
          <w:sz w:val="24"/>
          <w:szCs w:val="24"/>
        </w:rPr>
        <w:t xml:space="preserve">Environmental stress treatments generated measurable differences in morphological, physiological, and biomass responses of </w:t>
      </w:r>
      <w:r w:rsidRPr="00316A43">
        <w:rPr>
          <w:rFonts w:ascii="Times New Roman" w:hAnsi="Times New Roman" w:cs="Times New Roman"/>
          <w:i/>
          <w:iCs/>
          <w:sz w:val="24"/>
          <w:szCs w:val="24"/>
        </w:rPr>
        <w:t>Nopalea cochenillifera</w:t>
      </w:r>
      <w:r w:rsidR="003E4E32">
        <w:rPr>
          <w:rFonts w:ascii="Times New Roman" w:hAnsi="Times New Roman" w:cs="Times New Roman"/>
          <w:i/>
          <w:iCs/>
          <w:sz w:val="24"/>
          <w:szCs w:val="24"/>
        </w:rPr>
        <w:t xml:space="preserve"> </w:t>
      </w:r>
      <w:r w:rsidR="003E4E32">
        <w:rPr>
          <w:rFonts w:ascii="Times New Roman" w:hAnsi="Times New Roman" w:cs="Times New Roman"/>
          <w:sz w:val="24"/>
          <w:szCs w:val="24"/>
        </w:rPr>
        <w:t>(Table 3)</w:t>
      </w:r>
      <w:r w:rsidRPr="00316A43">
        <w:rPr>
          <w:rFonts w:ascii="Times New Roman" w:hAnsi="Times New Roman" w:cs="Times New Roman"/>
          <w:sz w:val="24"/>
          <w:szCs w:val="24"/>
        </w:rPr>
        <w:t>. Although all plants remained viable throughout the experimental period, progressive reductions in water availability significantly influenced plant performance (P &lt; 0.05).</w:t>
      </w:r>
      <w:r w:rsidR="003E4E32">
        <w:rPr>
          <w:rFonts w:ascii="Times New Roman" w:hAnsi="Times New Roman" w:cs="Times New Roman"/>
          <w:sz w:val="24"/>
          <w:szCs w:val="24"/>
        </w:rPr>
        <w:t xml:space="preserve"> </w:t>
      </w:r>
      <w:r w:rsidRPr="00316A43">
        <w:rPr>
          <w:rFonts w:ascii="Times New Roman" w:hAnsi="Times New Roman" w:cs="Times New Roman"/>
          <w:sz w:val="24"/>
          <w:szCs w:val="24"/>
        </w:rPr>
        <w:t>The moderate stress treatment maintained relatively stable biomass production, whereas severe stress caused substantial reductions in fresh biomass accumulation and plant water status. Interestingly, several adaptive indicators remained comparatively preserved despite reduced water input, suggesting the presence of compensatory mechanisms supporting environmental resilience.</w:t>
      </w:r>
    </w:p>
    <w:p w14:paraId="6B9D1129" w14:textId="05FE387F" w:rsidR="00316A43" w:rsidRDefault="00AD6371" w:rsidP="00316A43">
      <w:pPr>
        <w:spacing w:after="0" w:line="360" w:lineRule="auto"/>
        <w:jc w:val="both"/>
        <w:rPr>
          <w:rFonts w:ascii="Times New Roman" w:hAnsi="Times New Roman" w:cs="Times New Roman"/>
          <w:sz w:val="24"/>
          <w:szCs w:val="24"/>
        </w:rPr>
      </w:pPr>
      <w:r w:rsidRPr="00AD6371">
        <w:rPr>
          <w:rFonts w:ascii="Times New Roman" w:hAnsi="Times New Roman" w:cs="Times New Roman"/>
          <w:sz w:val="24"/>
          <w:szCs w:val="24"/>
        </w:rPr>
        <w:t>Table 3. Phenotypic responses and Climate-Responsive Biomass Score (CBS)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1559"/>
        <w:gridCol w:w="1843"/>
        <w:gridCol w:w="1417"/>
        <w:gridCol w:w="1508"/>
      </w:tblGrid>
      <w:tr w:rsidR="003E4E32" w:rsidRPr="003E4E32" w14:paraId="6D207940" w14:textId="77777777" w:rsidTr="003E4E32">
        <w:tc>
          <w:tcPr>
            <w:tcW w:w="2689" w:type="dxa"/>
            <w:tcBorders>
              <w:top w:val="single" w:sz="4" w:space="0" w:color="auto"/>
              <w:bottom w:val="single" w:sz="4" w:space="0" w:color="auto"/>
            </w:tcBorders>
          </w:tcPr>
          <w:p w14:paraId="72BA1E4B" w14:textId="1AEE594A" w:rsidR="003E4E32" w:rsidRPr="003E4E32" w:rsidRDefault="003E4E32" w:rsidP="003E4E32">
            <w:pPr>
              <w:jc w:val="both"/>
              <w:rPr>
                <w:rFonts w:ascii="Times New Roman" w:hAnsi="Times New Roman" w:cs="Times New Roman"/>
                <w:b/>
                <w:bCs/>
              </w:rPr>
            </w:pPr>
            <w:r w:rsidRPr="003E4E32">
              <w:rPr>
                <w:rFonts w:ascii="Times New Roman" w:hAnsi="Times New Roman" w:cs="Times New Roman"/>
                <w:b/>
                <w:bCs/>
              </w:rPr>
              <w:t>Variable</w:t>
            </w:r>
          </w:p>
        </w:tc>
        <w:tc>
          <w:tcPr>
            <w:tcW w:w="1559" w:type="dxa"/>
            <w:tcBorders>
              <w:top w:val="single" w:sz="4" w:space="0" w:color="auto"/>
              <w:bottom w:val="single" w:sz="4" w:space="0" w:color="auto"/>
            </w:tcBorders>
          </w:tcPr>
          <w:p w14:paraId="69290EFE" w14:textId="44E4310B" w:rsidR="003E4E32" w:rsidRPr="003E4E32" w:rsidRDefault="003E4E32" w:rsidP="003E4E32">
            <w:pPr>
              <w:jc w:val="both"/>
              <w:rPr>
                <w:rFonts w:ascii="Times New Roman" w:hAnsi="Times New Roman" w:cs="Times New Roman"/>
                <w:b/>
                <w:bCs/>
              </w:rPr>
            </w:pPr>
            <w:r w:rsidRPr="003E4E32">
              <w:rPr>
                <w:rFonts w:ascii="Times New Roman" w:hAnsi="Times New Roman" w:cs="Times New Roman"/>
                <w:b/>
                <w:bCs/>
              </w:rPr>
              <w:t>Control</w:t>
            </w:r>
          </w:p>
        </w:tc>
        <w:tc>
          <w:tcPr>
            <w:tcW w:w="1843" w:type="dxa"/>
            <w:tcBorders>
              <w:top w:val="single" w:sz="4" w:space="0" w:color="auto"/>
              <w:bottom w:val="single" w:sz="4" w:space="0" w:color="auto"/>
            </w:tcBorders>
          </w:tcPr>
          <w:p w14:paraId="673107E7" w14:textId="013A3F94" w:rsidR="003E4E32" w:rsidRPr="003E4E32" w:rsidRDefault="003E4E32" w:rsidP="003E4E32">
            <w:pPr>
              <w:jc w:val="both"/>
              <w:rPr>
                <w:rFonts w:ascii="Times New Roman" w:hAnsi="Times New Roman" w:cs="Times New Roman"/>
                <w:b/>
                <w:bCs/>
              </w:rPr>
            </w:pPr>
            <w:r w:rsidRPr="003E4E32">
              <w:rPr>
                <w:rFonts w:ascii="Times New Roman" w:hAnsi="Times New Roman" w:cs="Times New Roman"/>
                <w:b/>
                <w:bCs/>
              </w:rPr>
              <w:t>Moderate stress</w:t>
            </w:r>
          </w:p>
        </w:tc>
        <w:tc>
          <w:tcPr>
            <w:tcW w:w="1417" w:type="dxa"/>
            <w:tcBorders>
              <w:top w:val="single" w:sz="4" w:space="0" w:color="auto"/>
              <w:bottom w:val="single" w:sz="4" w:space="0" w:color="auto"/>
            </w:tcBorders>
          </w:tcPr>
          <w:p w14:paraId="5F091CC1" w14:textId="32A5B64E" w:rsidR="003E4E32" w:rsidRPr="003E4E32" w:rsidRDefault="003E4E32" w:rsidP="003E4E32">
            <w:pPr>
              <w:jc w:val="both"/>
              <w:rPr>
                <w:rFonts w:ascii="Times New Roman" w:hAnsi="Times New Roman" w:cs="Times New Roman"/>
                <w:b/>
                <w:bCs/>
              </w:rPr>
            </w:pPr>
            <w:r w:rsidRPr="003E4E32">
              <w:rPr>
                <w:rFonts w:ascii="Times New Roman" w:hAnsi="Times New Roman" w:cs="Times New Roman"/>
                <w:b/>
                <w:bCs/>
              </w:rPr>
              <w:t>Severe stress</w:t>
            </w:r>
          </w:p>
        </w:tc>
        <w:tc>
          <w:tcPr>
            <w:tcW w:w="1508" w:type="dxa"/>
            <w:tcBorders>
              <w:top w:val="single" w:sz="4" w:space="0" w:color="auto"/>
              <w:bottom w:val="single" w:sz="4" w:space="0" w:color="auto"/>
            </w:tcBorders>
          </w:tcPr>
          <w:p w14:paraId="7BA11145" w14:textId="1A4FA841" w:rsidR="003E4E32" w:rsidRPr="003E4E32" w:rsidRDefault="003E4E32" w:rsidP="003E4E32">
            <w:pPr>
              <w:jc w:val="both"/>
              <w:rPr>
                <w:rFonts w:ascii="Times New Roman" w:hAnsi="Times New Roman" w:cs="Times New Roman"/>
                <w:b/>
                <w:bCs/>
              </w:rPr>
            </w:pPr>
            <w:r w:rsidRPr="003E4E32">
              <w:rPr>
                <w:rFonts w:ascii="Times New Roman" w:hAnsi="Times New Roman" w:cs="Times New Roman"/>
                <w:b/>
                <w:bCs/>
              </w:rPr>
              <w:t>P-value</w:t>
            </w:r>
          </w:p>
        </w:tc>
      </w:tr>
      <w:tr w:rsidR="003E4E32" w:rsidRPr="003E4E32" w14:paraId="4D0783A6" w14:textId="77777777" w:rsidTr="003E4E32">
        <w:tc>
          <w:tcPr>
            <w:tcW w:w="2689" w:type="dxa"/>
            <w:tcBorders>
              <w:top w:val="single" w:sz="4" w:space="0" w:color="auto"/>
            </w:tcBorders>
          </w:tcPr>
          <w:p w14:paraId="11D88FC1" w14:textId="7CF68363" w:rsidR="003E4E32" w:rsidRPr="003E4E32" w:rsidRDefault="003E4E32" w:rsidP="003E4E32">
            <w:pPr>
              <w:jc w:val="both"/>
              <w:rPr>
                <w:rFonts w:ascii="Times New Roman" w:hAnsi="Times New Roman" w:cs="Times New Roman"/>
              </w:rPr>
            </w:pPr>
            <w:r w:rsidRPr="003E4E32">
              <w:rPr>
                <w:rFonts w:ascii="Times New Roman" w:hAnsi="Times New Roman" w:cs="Times New Roman"/>
              </w:rPr>
              <w:t>Plant height (cm)</w:t>
            </w:r>
          </w:p>
        </w:tc>
        <w:tc>
          <w:tcPr>
            <w:tcW w:w="1559" w:type="dxa"/>
            <w:tcBorders>
              <w:top w:val="single" w:sz="4" w:space="0" w:color="auto"/>
            </w:tcBorders>
          </w:tcPr>
          <w:p w14:paraId="3C0F8A33" w14:textId="181B773F" w:rsidR="003E4E32" w:rsidRPr="003E4E32" w:rsidRDefault="003E4E32" w:rsidP="003E4E32">
            <w:pPr>
              <w:jc w:val="both"/>
              <w:rPr>
                <w:rFonts w:ascii="Times New Roman" w:hAnsi="Times New Roman" w:cs="Times New Roman"/>
              </w:rPr>
            </w:pPr>
            <w:r w:rsidRPr="003E4E32">
              <w:rPr>
                <w:rFonts w:ascii="Times New Roman" w:hAnsi="Times New Roman" w:cs="Times New Roman"/>
              </w:rPr>
              <w:t>74.8 ± 3.5ᵃ</w:t>
            </w:r>
          </w:p>
        </w:tc>
        <w:tc>
          <w:tcPr>
            <w:tcW w:w="1843" w:type="dxa"/>
            <w:tcBorders>
              <w:top w:val="single" w:sz="4" w:space="0" w:color="auto"/>
            </w:tcBorders>
          </w:tcPr>
          <w:p w14:paraId="3B358B03" w14:textId="70BA7AEF" w:rsidR="003E4E32" w:rsidRPr="003E4E32" w:rsidRDefault="003E4E32" w:rsidP="003E4E32">
            <w:pPr>
              <w:jc w:val="both"/>
              <w:rPr>
                <w:rFonts w:ascii="Times New Roman" w:hAnsi="Times New Roman" w:cs="Times New Roman"/>
              </w:rPr>
            </w:pPr>
            <w:r w:rsidRPr="003E4E32">
              <w:rPr>
                <w:rFonts w:ascii="Times New Roman" w:hAnsi="Times New Roman" w:cs="Times New Roman"/>
              </w:rPr>
              <w:t>71.6 ± 3.1ᵃ</w:t>
            </w:r>
          </w:p>
        </w:tc>
        <w:tc>
          <w:tcPr>
            <w:tcW w:w="1417" w:type="dxa"/>
            <w:tcBorders>
              <w:top w:val="single" w:sz="4" w:space="0" w:color="auto"/>
            </w:tcBorders>
          </w:tcPr>
          <w:p w14:paraId="1022CCAE" w14:textId="3D0B14DE" w:rsidR="003E4E32" w:rsidRPr="003E4E32" w:rsidRDefault="003E4E32" w:rsidP="003E4E32">
            <w:pPr>
              <w:jc w:val="both"/>
              <w:rPr>
                <w:rFonts w:ascii="Times New Roman" w:hAnsi="Times New Roman" w:cs="Times New Roman"/>
              </w:rPr>
            </w:pPr>
            <w:r w:rsidRPr="003E4E32">
              <w:rPr>
                <w:rFonts w:ascii="Times New Roman" w:hAnsi="Times New Roman" w:cs="Times New Roman"/>
              </w:rPr>
              <w:t>63.4 ± 2.8ᵇ</w:t>
            </w:r>
          </w:p>
        </w:tc>
        <w:tc>
          <w:tcPr>
            <w:tcW w:w="1508" w:type="dxa"/>
            <w:tcBorders>
              <w:top w:val="single" w:sz="4" w:space="0" w:color="auto"/>
            </w:tcBorders>
          </w:tcPr>
          <w:p w14:paraId="2212F9D7" w14:textId="6D2C4DCE" w:rsidR="003E4E32" w:rsidRPr="003E4E32" w:rsidRDefault="003E4E32" w:rsidP="003E4E32">
            <w:pPr>
              <w:jc w:val="both"/>
              <w:rPr>
                <w:rFonts w:ascii="Times New Roman" w:hAnsi="Times New Roman" w:cs="Times New Roman"/>
              </w:rPr>
            </w:pPr>
            <w:r w:rsidRPr="003E4E32">
              <w:rPr>
                <w:rFonts w:ascii="Times New Roman" w:hAnsi="Times New Roman" w:cs="Times New Roman"/>
              </w:rPr>
              <w:t>0.012</w:t>
            </w:r>
          </w:p>
        </w:tc>
      </w:tr>
      <w:tr w:rsidR="003E4E32" w:rsidRPr="003E4E32" w14:paraId="1B5CCF3C" w14:textId="77777777" w:rsidTr="003E4E32">
        <w:tc>
          <w:tcPr>
            <w:tcW w:w="2689" w:type="dxa"/>
          </w:tcPr>
          <w:p w14:paraId="34524947" w14:textId="57B1CAC6" w:rsidR="003E4E32" w:rsidRPr="003E4E32" w:rsidRDefault="003E4E32" w:rsidP="003E4E32">
            <w:pPr>
              <w:jc w:val="both"/>
              <w:rPr>
                <w:rFonts w:ascii="Times New Roman" w:hAnsi="Times New Roman" w:cs="Times New Roman"/>
              </w:rPr>
            </w:pPr>
            <w:r w:rsidRPr="003E4E32">
              <w:rPr>
                <w:rFonts w:ascii="Times New Roman" w:hAnsi="Times New Roman" w:cs="Times New Roman"/>
              </w:rPr>
              <w:t>Cladode number</w:t>
            </w:r>
          </w:p>
        </w:tc>
        <w:tc>
          <w:tcPr>
            <w:tcW w:w="1559" w:type="dxa"/>
          </w:tcPr>
          <w:p w14:paraId="53D1F7B1" w14:textId="5ABD0058" w:rsidR="003E4E32" w:rsidRPr="003E4E32" w:rsidRDefault="003E4E32" w:rsidP="003E4E32">
            <w:pPr>
              <w:jc w:val="both"/>
              <w:rPr>
                <w:rFonts w:ascii="Times New Roman" w:hAnsi="Times New Roman" w:cs="Times New Roman"/>
              </w:rPr>
            </w:pPr>
            <w:r w:rsidRPr="003E4E32">
              <w:rPr>
                <w:rFonts w:ascii="Times New Roman" w:hAnsi="Times New Roman" w:cs="Times New Roman"/>
              </w:rPr>
              <w:t>11.9 ± 0.8ᵃ</w:t>
            </w:r>
          </w:p>
        </w:tc>
        <w:tc>
          <w:tcPr>
            <w:tcW w:w="1843" w:type="dxa"/>
          </w:tcPr>
          <w:p w14:paraId="39182568" w14:textId="1FC317D2" w:rsidR="003E4E32" w:rsidRPr="003E4E32" w:rsidRDefault="003E4E32" w:rsidP="003E4E32">
            <w:pPr>
              <w:jc w:val="both"/>
              <w:rPr>
                <w:rFonts w:ascii="Times New Roman" w:hAnsi="Times New Roman" w:cs="Times New Roman"/>
              </w:rPr>
            </w:pPr>
            <w:r w:rsidRPr="003E4E32">
              <w:rPr>
                <w:rFonts w:ascii="Times New Roman" w:hAnsi="Times New Roman" w:cs="Times New Roman"/>
              </w:rPr>
              <w:t>11.2 ± 0.7ᵃ</w:t>
            </w:r>
          </w:p>
        </w:tc>
        <w:tc>
          <w:tcPr>
            <w:tcW w:w="1417" w:type="dxa"/>
          </w:tcPr>
          <w:p w14:paraId="6E5FD408" w14:textId="1A75A3B1" w:rsidR="003E4E32" w:rsidRPr="003E4E32" w:rsidRDefault="003E4E32" w:rsidP="003E4E32">
            <w:pPr>
              <w:jc w:val="both"/>
              <w:rPr>
                <w:rFonts w:ascii="Times New Roman" w:hAnsi="Times New Roman" w:cs="Times New Roman"/>
              </w:rPr>
            </w:pPr>
            <w:r w:rsidRPr="003E4E32">
              <w:rPr>
                <w:rFonts w:ascii="Times New Roman" w:hAnsi="Times New Roman" w:cs="Times New Roman"/>
              </w:rPr>
              <w:t>9.5 ± 0.6ᵇ</w:t>
            </w:r>
          </w:p>
        </w:tc>
        <w:tc>
          <w:tcPr>
            <w:tcW w:w="1508" w:type="dxa"/>
          </w:tcPr>
          <w:p w14:paraId="6D561B28" w14:textId="2E156CF5" w:rsidR="003E4E32" w:rsidRPr="003E4E32" w:rsidRDefault="003E4E32" w:rsidP="003E4E32">
            <w:pPr>
              <w:jc w:val="both"/>
              <w:rPr>
                <w:rFonts w:ascii="Times New Roman" w:hAnsi="Times New Roman" w:cs="Times New Roman"/>
              </w:rPr>
            </w:pPr>
            <w:r w:rsidRPr="003E4E32">
              <w:rPr>
                <w:rFonts w:ascii="Times New Roman" w:hAnsi="Times New Roman" w:cs="Times New Roman"/>
              </w:rPr>
              <w:t>0.018</w:t>
            </w:r>
          </w:p>
        </w:tc>
      </w:tr>
      <w:tr w:rsidR="003E4E32" w:rsidRPr="003E4E32" w14:paraId="57BD2599" w14:textId="77777777" w:rsidTr="003E4E32">
        <w:tc>
          <w:tcPr>
            <w:tcW w:w="2689" w:type="dxa"/>
          </w:tcPr>
          <w:p w14:paraId="5286F475" w14:textId="0701BA90" w:rsidR="003E4E32" w:rsidRPr="003E4E32" w:rsidRDefault="003E4E32" w:rsidP="003E4E32">
            <w:pPr>
              <w:jc w:val="both"/>
              <w:rPr>
                <w:rFonts w:ascii="Times New Roman" w:hAnsi="Times New Roman" w:cs="Times New Roman"/>
              </w:rPr>
            </w:pPr>
            <w:r w:rsidRPr="003E4E32">
              <w:rPr>
                <w:rFonts w:ascii="Times New Roman" w:hAnsi="Times New Roman" w:cs="Times New Roman"/>
              </w:rPr>
              <w:t>Fresh biomass (kg plant⁻¹)</w:t>
            </w:r>
          </w:p>
        </w:tc>
        <w:tc>
          <w:tcPr>
            <w:tcW w:w="1559" w:type="dxa"/>
          </w:tcPr>
          <w:p w14:paraId="1E5D072B" w14:textId="685EEBB2" w:rsidR="003E4E32" w:rsidRPr="003E4E32" w:rsidRDefault="003E4E32" w:rsidP="003E4E32">
            <w:pPr>
              <w:jc w:val="both"/>
              <w:rPr>
                <w:rFonts w:ascii="Times New Roman" w:hAnsi="Times New Roman" w:cs="Times New Roman"/>
              </w:rPr>
            </w:pPr>
            <w:r w:rsidRPr="003E4E32">
              <w:rPr>
                <w:rFonts w:ascii="Times New Roman" w:hAnsi="Times New Roman" w:cs="Times New Roman"/>
              </w:rPr>
              <w:t>8.42 ± 0.42ᵃ</w:t>
            </w:r>
          </w:p>
        </w:tc>
        <w:tc>
          <w:tcPr>
            <w:tcW w:w="1843" w:type="dxa"/>
          </w:tcPr>
          <w:p w14:paraId="71E8CE37" w14:textId="1C84ED26" w:rsidR="003E4E32" w:rsidRPr="003E4E32" w:rsidRDefault="003E4E32" w:rsidP="003E4E32">
            <w:pPr>
              <w:jc w:val="both"/>
              <w:rPr>
                <w:rFonts w:ascii="Times New Roman" w:hAnsi="Times New Roman" w:cs="Times New Roman"/>
              </w:rPr>
            </w:pPr>
            <w:r w:rsidRPr="003E4E32">
              <w:rPr>
                <w:rFonts w:ascii="Times New Roman" w:hAnsi="Times New Roman" w:cs="Times New Roman"/>
              </w:rPr>
              <w:t>7.86 ± 0.39ᵃ</w:t>
            </w:r>
          </w:p>
        </w:tc>
        <w:tc>
          <w:tcPr>
            <w:tcW w:w="1417" w:type="dxa"/>
          </w:tcPr>
          <w:p w14:paraId="0B3C0CC5" w14:textId="328A8A58" w:rsidR="003E4E32" w:rsidRPr="003E4E32" w:rsidRDefault="003E4E32" w:rsidP="003E4E32">
            <w:pPr>
              <w:jc w:val="both"/>
              <w:rPr>
                <w:rFonts w:ascii="Times New Roman" w:hAnsi="Times New Roman" w:cs="Times New Roman"/>
              </w:rPr>
            </w:pPr>
            <w:r w:rsidRPr="003E4E32">
              <w:rPr>
                <w:rFonts w:ascii="Times New Roman" w:hAnsi="Times New Roman" w:cs="Times New Roman"/>
              </w:rPr>
              <w:t>6.31 ± 0.35ᵇ</w:t>
            </w:r>
          </w:p>
        </w:tc>
        <w:tc>
          <w:tcPr>
            <w:tcW w:w="1508" w:type="dxa"/>
          </w:tcPr>
          <w:p w14:paraId="19C28D8D" w14:textId="07EA2D03" w:rsidR="003E4E32" w:rsidRPr="003E4E32" w:rsidRDefault="003E4E32" w:rsidP="003E4E32">
            <w:pPr>
              <w:jc w:val="both"/>
              <w:rPr>
                <w:rFonts w:ascii="Times New Roman" w:hAnsi="Times New Roman" w:cs="Times New Roman"/>
              </w:rPr>
            </w:pPr>
            <w:r w:rsidRPr="003E4E32">
              <w:rPr>
                <w:rFonts w:ascii="Times New Roman" w:hAnsi="Times New Roman" w:cs="Times New Roman"/>
              </w:rPr>
              <w:t>0.004</w:t>
            </w:r>
          </w:p>
        </w:tc>
      </w:tr>
      <w:tr w:rsidR="003E4E32" w:rsidRPr="003E4E32" w14:paraId="678BAA09" w14:textId="77777777" w:rsidTr="003E4E32">
        <w:tc>
          <w:tcPr>
            <w:tcW w:w="2689" w:type="dxa"/>
          </w:tcPr>
          <w:p w14:paraId="0E585473" w14:textId="3DCD73CD" w:rsidR="003E4E32" w:rsidRPr="003E4E32" w:rsidRDefault="003E4E32" w:rsidP="003E4E32">
            <w:pPr>
              <w:jc w:val="both"/>
              <w:rPr>
                <w:rFonts w:ascii="Times New Roman" w:hAnsi="Times New Roman" w:cs="Times New Roman"/>
              </w:rPr>
            </w:pPr>
            <w:r w:rsidRPr="003E4E32">
              <w:rPr>
                <w:rFonts w:ascii="Times New Roman" w:hAnsi="Times New Roman" w:cs="Times New Roman"/>
              </w:rPr>
              <w:t>Dry biomass (kg plant⁻¹)</w:t>
            </w:r>
          </w:p>
        </w:tc>
        <w:tc>
          <w:tcPr>
            <w:tcW w:w="1559" w:type="dxa"/>
          </w:tcPr>
          <w:p w14:paraId="6DAC6889" w14:textId="0DE063A8" w:rsidR="003E4E32" w:rsidRPr="003E4E32" w:rsidRDefault="003E4E32" w:rsidP="003E4E32">
            <w:pPr>
              <w:jc w:val="both"/>
              <w:rPr>
                <w:rFonts w:ascii="Times New Roman" w:hAnsi="Times New Roman" w:cs="Times New Roman"/>
              </w:rPr>
            </w:pPr>
            <w:r w:rsidRPr="003E4E32">
              <w:rPr>
                <w:rFonts w:ascii="Times New Roman" w:hAnsi="Times New Roman" w:cs="Times New Roman"/>
              </w:rPr>
              <w:t>1.62 ± 0.08ᵃ</w:t>
            </w:r>
          </w:p>
        </w:tc>
        <w:tc>
          <w:tcPr>
            <w:tcW w:w="1843" w:type="dxa"/>
          </w:tcPr>
          <w:p w14:paraId="0A3348C8" w14:textId="745BD1E2" w:rsidR="003E4E32" w:rsidRPr="003E4E32" w:rsidRDefault="003E4E32" w:rsidP="003E4E32">
            <w:pPr>
              <w:jc w:val="both"/>
              <w:rPr>
                <w:rFonts w:ascii="Times New Roman" w:hAnsi="Times New Roman" w:cs="Times New Roman"/>
              </w:rPr>
            </w:pPr>
            <w:r w:rsidRPr="003E4E32">
              <w:rPr>
                <w:rFonts w:ascii="Times New Roman" w:hAnsi="Times New Roman" w:cs="Times New Roman"/>
              </w:rPr>
              <w:t>1.54 ± 0.07ᵃ</w:t>
            </w:r>
          </w:p>
        </w:tc>
        <w:tc>
          <w:tcPr>
            <w:tcW w:w="1417" w:type="dxa"/>
          </w:tcPr>
          <w:p w14:paraId="6C7BE19E" w14:textId="018FD19A" w:rsidR="003E4E32" w:rsidRPr="003E4E32" w:rsidRDefault="003E4E32" w:rsidP="003E4E32">
            <w:pPr>
              <w:jc w:val="both"/>
              <w:rPr>
                <w:rFonts w:ascii="Times New Roman" w:hAnsi="Times New Roman" w:cs="Times New Roman"/>
              </w:rPr>
            </w:pPr>
            <w:r w:rsidRPr="003E4E32">
              <w:rPr>
                <w:rFonts w:ascii="Times New Roman" w:hAnsi="Times New Roman" w:cs="Times New Roman"/>
              </w:rPr>
              <w:t>1.28 ± 0.06ᵇ</w:t>
            </w:r>
          </w:p>
        </w:tc>
        <w:tc>
          <w:tcPr>
            <w:tcW w:w="1508" w:type="dxa"/>
          </w:tcPr>
          <w:p w14:paraId="678B56BE" w14:textId="0568B639" w:rsidR="003E4E32" w:rsidRPr="003E4E32" w:rsidRDefault="003E4E32" w:rsidP="003E4E32">
            <w:pPr>
              <w:jc w:val="both"/>
              <w:rPr>
                <w:rFonts w:ascii="Times New Roman" w:hAnsi="Times New Roman" w:cs="Times New Roman"/>
              </w:rPr>
            </w:pPr>
            <w:r w:rsidRPr="003E4E32">
              <w:rPr>
                <w:rFonts w:ascii="Times New Roman" w:hAnsi="Times New Roman" w:cs="Times New Roman"/>
              </w:rPr>
              <w:t>0.009</w:t>
            </w:r>
          </w:p>
        </w:tc>
      </w:tr>
      <w:tr w:rsidR="003E4E32" w:rsidRPr="003E4E32" w14:paraId="1B8141EE" w14:textId="77777777" w:rsidTr="003E4E32">
        <w:tc>
          <w:tcPr>
            <w:tcW w:w="2689" w:type="dxa"/>
          </w:tcPr>
          <w:p w14:paraId="74071480" w14:textId="1D2361CE" w:rsidR="003E4E32" w:rsidRPr="003E4E32" w:rsidRDefault="003E4E32" w:rsidP="003E4E32">
            <w:pPr>
              <w:jc w:val="both"/>
              <w:rPr>
                <w:rFonts w:ascii="Times New Roman" w:hAnsi="Times New Roman" w:cs="Times New Roman"/>
              </w:rPr>
            </w:pPr>
            <w:r w:rsidRPr="003E4E32">
              <w:rPr>
                <w:rFonts w:ascii="Times New Roman" w:hAnsi="Times New Roman" w:cs="Times New Roman"/>
              </w:rPr>
              <w:t>RWC (%)</w:t>
            </w:r>
          </w:p>
        </w:tc>
        <w:tc>
          <w:tcPr>
            <w:tcW w:w="1559" w:type="dxa"/>
          </w:tcPr>
          <w:p w14:paraId="4EAA6EA8" w14:textId="716BEA8A" w:rsidR="003E4E32" w:rsidRPr="003E4E32" w:rsidRDefault="003E4E32" w:rsidP="003E4E32">
            <w:pPr>
              <w:jc w:val="both"/>
              <w:rPr>
                <w:rFonts w:ascii="Times New Roman" w:hAnsi="Times New Roman" w:cs="Times New Roman"/>
              </w:rPr>
            </w:pPr>
            <w:r w:rsidRPr="003E4E32">
              <w:rPr>
                <w:rFonts w:ascii="Times New Roman" w:hAnsi="Times New Roman" w:cs="Times New Roman"/>
              </w:rPr>
              <w:t>87.4 ± 1.9ᵃ</w:t>
            </w:r>
          </w:p>
        </w:tc>
        <w:tc>
          <w:tcPr>
            <w:tcW w:w="1843" w:type="dxa"/>
          </w:tcPr>
          <w:p w14:paraId="7B63FC1E" w14:textId="5411B4B8" w:rsidR="003E4E32" w:rsidRPr="003E4E32" w:rsidRDefault="003E4E32" w:rsidP="003E4E32">
            <w:pPr>
              <w:jc w:val="both"/>
              <w:rPr>
                <w:rFonts w:ascii="Times New Roman" w:hAnsi="Times New Roman" w:cs="Times New Roman"/>
              </w:rPr>
            </w:pPr>
            <w:r w:rsidRPr="003E4E32">
              <w:rPr>
                <w:rFonts w:ascii="Times New Roman" w:hAnsi="Times New Roman" w:cs="Times New Roman"/>
              </w:rPr>
              <w:t>83.7 ± 2.1ᵃ</w:t>
            </w:r>
          </w:p>
        </w:tc>
        <w:tc>
          <w:tcPr>
            <w:tcW w:w="1417" w:type="dxa"/>
          </w:tcPr>
          <w:p w14:paraId="45CC09FA" w14:textId="464ECD63" w:rsidR="003E4E32" w:rsidRPr="003E4E32" w:rsidRDefault="003E4E32" w:rsidP="003E4E32">
            <w:pPr>
              <w:jc w:val="both"/>
              <w:rPr>
                <w:rFonts w:ascii="Times New Roman" w:hAnsi="Times New Roman" w:cs="Times New Roman"/>
              </w:rPr>
            </w:pPr>
            <w:r w:rsidRPr="003E4E32">
              <w:rPr>
                <w:rFonts w:ascii="Times New Roman" w:hAnsi="Times New Roman" w:cs="Times New Roman"/>
              </w:rPr>
              <w:t>75.8 ± 2.4ᵇ</w:t>
            </w:r>
          </w:p>
        </w:tc>
        <w:tc>
          <w:tcPr>
            <w:tcW w:w="1508" w:type="dxa"/>
          </w:tcPr>
          <w:p w14:paraId="3FA7980F" w14:textId="582A20EF" w:rsidR="003E4E32" w:rsidRPr="003E4E32" w:rsidRDefault="003E4E32" w:rsidP="003E4E32">
            <w:pPr>
              <w:jc w:val="both"/>
              <w:rPr>
                <w:rFonts w:ascii="Times New Roman" w:hAnsi="Times New Roman" w:cs="Times New Roman"/>
              </w:rPr>
            </w:pPr>
            <w:r w:rsidRPr="003E4E32">
              <w:rPr>
                <w:rFonts w:ascii="Times New Roman" w:hAnsi="Times New Roman" w:cs="Times New Roman"/>
              </w:rPr>
              <w:t>&lt;0.001</w:t>
            </w:r>
          </w:p>
        </w:tc>
      </w:tr>
      <w:tr w:rsidR="003E4E32" w:rsidRPr="003E4E32" w14:paraId="44EF89CD" w14:textId="77777777" w:rsidTr="003E4E32">
        <w:tc>
          <w:tcPr>
            <w:tcW w:w="2689" w:type="dxa"/>
          </w:tcPr>
          <w:p w14:paraId="752A0BF5" w14:textId="633E6616" w:rsidR="003E4E32" w:rsidRPr="003E4E32" w:rsidRDefault="003E4E32" w:rsidP="003E4E32">
            <w:pPr>
              <w:jc w:val="both"/>
              <w:rPr>
                <w:rFonts w:ascii="Times New Roman" w:hAnsi="Times New Roman" w:cs="Times New Roman"/>
              </w:rPr>
            </w:pPr>
            <w:r w:rsidRPr="003E4E32">
              <w:rPr>
                <w:rFonts w:ascii="Times New Roman" w:hAnsi="Times New Roman" w:cs="Times New Roman"/>
              </w:rPr>
              <w:t>Chlorophyll index</w:t>
            </w:r>
          </w:p>
        </w:tc>
        <w:tc>
          <w:tcPr>
            <w:tcW w:w="1559" w:type="dxa"/>
          </w:tcPr>
          <w:p w14:paraId="6919A81E" w14:textId="6BDF3E18" w:rsidR="003E4E32" w:rsidRPr="003E4E32" w:rsidRDefault="003E4E32" w:rsidP="003E4E32">
            <w:pPr>
              <w:jc w:val="both"/>
              <w:rPr>
                <w:rFonts w:ascii="Times New Roman" w:hAnsi="Times New Roman" w:cs="Times New Roman"/>
              </w:rPr>
            </w:pPr>
            <w:r w:rsidRPr="003E4E32">
              <w:rPr>
                <w:rFonts w:ascii="Times New Roman" w:hAnsi="Times New Roman" w:cs="Times New Roman"/>
              </w:rPr>
              <w:t>41.5 ± 1.6ᵃ</w:t>
            </w:r>
          </w:p>
        </w:tc>
        <w:tc>
          <w:tcPr>
            <w:tcW w:w="1843" w:type="dxa"/>
          </w:tcPr>
          <w:p w14:paraId="18537951" w14:textId="6E5E1255" w:rsidR="003E4E32" w:rsidRPr="003E4E32" w:rsidRDefault="003E4E32" w:rsidP="003E4E32">
            <w:pPr>
              <w:jc w:val="both"/>
              <w:rPr>
                <w:rFonts w:ascii="Times New Roman" w:hAnsi="Times New Roman" w:cs="Times New Roman"/>
              </w:rPr>
            </w:pPr>
            <w:r w:rsidRPr="003E4E32">
              <w:rPr>
                <w:rFonts w:ascii="Times New Roman" w:hAnsi="Times New Roman" w:cs="Times New Roman"/>
              </w:rPr>
              <w:t>40.1 ± 1.4ᵃ</w:t>
            </w:r>
          </w:p>
        </w:tc>
        <w:tc>
          <w:tcPr>
            <w:tcW w:w="1417" w:type="dxa"/>
          </w:tcPr>
          <w:p w14:paraId="5561D9EA" w14:textId="29F22B36" w:rsidR="003E4E32" w:rsidRPr="003E4E32" w:rsidRDefault="003E4E32" w:rsidP="003E4E32">
            <w:pPr>
              <w:jc w:val="both"/>
              <w:rPr>
                <w:rFonts w:ascii="Times New Roman" w:hAnsi="Times New Roman" w:cs="Times New Roman"/>
              </w:rPr>
            </w:pPr>
            <w:r w:rsidRPr="003E4E32">
              <w:rPr>
                <w:rFonts w:ascii="Times New Roman" w:hAnsi="Times New Roman" w:cs="Times New Roman"/>
              </w:rPr>
              <w:t>36.8 ± 1.8ᵇ</w:t>
            </w:r>
          </w:p>
        </w:tc>
        <w:tc>
          <w:tcPr>
            <w:tcW w:w="1508" w:type="dxa"/>
          </w:tcPr>
          <w:p w14:paraId="25F1B668" w14:textId="4A70727C" w:rsidR="003E4E32" w:rsidRPr="003E4E32" w:rsidRDefault="003E4E32" w:rsidP="003E4E32">
            <w:pPr>
              <w:jc w:val="both"/>
              <w:rPr>
                <w:rFonts w:ascii="Times New Roman" w:hAnsi="Times New Roman" w:cs="Times New Roman"/>
              </w:rPr>
            </w:pPr>
            <w:r w:rsidRPr="003E4E32">
              <w:rPr>
                <w:rFonts w:ascii="Times New Roman" w:hAnsi="Times New Roman" w:cs="Times New Roman"/>
              </w:rPr>
              <w:t>0.021</w:t>
            </w:r>
          </w:p>
        </w:tc>
      </w:tr>
      <w:tr w:rsidR="003E4E32" w:rsidRPr="003E4E32" w14:paraId="4CC1C4E5" w14:textId="77777777" w:rsidTr="003E4E32">
        <w:tc>
          <w:tcPr>
            <w:tcW w:w="2689" w:type="dxa"/>
          </w:tcPr>
          <w:p w14:paraId="34864508" w14:textId="56E4DDE8" w:rsidR="003E4E32" w:rsidRPr="003E4E32" w:rsidRDefault="003E4E32" w:rsidP="003E4E32">
            <w:pPr>
              <w:jc w:val="both"/>
              <w:rPr>
                <w:rFonts w:ascii="Times New Roman" w:hAnsi="Times New Roman" w:cs="Times New Roman"/>
              </w:rPr>
            </w:pPr>
            <w:r w:rsidRPr="003E4E32">
              <w:rPr>
                <w:rFonts w:ascii="Times New Roman" w:hAnsi="Times New Roman" w:cs="Times New Roman"/>
              </w:rPr>
              <w:t>WUE (kg m⁻³)</w:t>
            </w:r>
          </w:p>
        </w:tc>
        <w:tc>
          <w:tcPr>
            <w:tcW w:w="1559" w:type="dxa"/>
          </w:tcPr>
          <w:p w14:paraId="1E13094B" w14:textId="2521E579" w:rsidR="003E4E32" w:rsidRPr="003E4E32" w:rsidRDefault="003E4E32" w:rsidP="003E4E32">
            <w:pPr>
              <w:jc w:val="both"/>
              <w:rPr>
                <w:rFonts w:ascii="Times New Roman" w:hAnsi="Times New Roman" w:cs="Times New Roman"/>
              </w:rPr>
            </w:pPr>
            <w:r w:rsidRPr="003E4E32">
              <w:rPr>
                <w:rFonts w:ascii="Times New Roman" w:hAnsi="Times New Roman" w:cs="Times New Roman"/>
              </w:rPr>
              <w:t>6.12 ± 0.28ᵇ</w:t>
            </w:r>
          </w:p>
        </w:tc>
        <w:tc>
          <w:tcPr>
            <w:tcW w:w="1843" w:type="dxa"/>
          </w:tcPr>
          <w:p w14:paraId="5B583D5D" w14:textId="206D24C8" w:rsidR="003E4E32" w:rsidRPr="003E4E32" w:rsidRDefault="003E4E32" w:rsidP="003E4E32">
            <w:pPr>
              <w:jc w:val="both"/>
              <w:rPr>
                <w:rFonts w:ascii="Times New Roman" w:hAnsi="Times New Roman" w:cs="Times New Roman"/>
              </w:rPr>
            </w:pPr>
            <w:r w:rsidRPr="003E4E32">
              <w:rPr>
                <w:rFonts w:ascii="Times New Roman" w:hAnsi="Times New Roman" w:cs="Times New Roman"/>
              </w:rPr>
              <w:t>7.45 ± 0.34ᵃ</w:t>
            </w:r>
          </w:p>
        </w:tc>
        <w:tc>
          <w:tcPr>
            <w:tcW w:w="1417" w:type="dxa"/>
          </w:tcPr>
          <w:p w14:paraId="6336FEB0" w14:textId="1628CD9F" w:rsidR="003E4E32" w:rsidRPr="003E4E32" w:rsidRDefault="003E4E32" w:rsidP="003E4E32">
            <w:pPr>
              <w:jc w:val="both"/>
              <w:rPr>
                <w:rFonts w:ascii="Times New Roman" w:hAnsi="Times New Roman" w:cs="Times New Roman"/>
              </w:rPr>
            </w:pPr>
            <w:r w:rsidRPr="003E4E32">
              <w:rPr>
                <w:rFonts w:ascii="Times New Roman" w:hAnsi="Times New Roman" w:cs="Times New Roman"/>
              </w:rPr>
              <w:t>7.11 ± 0.30ᵃ</w:t>
            </w:r>
          </w:p>
        </w:tc>
        <w:tc>
          <w:tcPr>
            <w:tcW w:w="1508" w:type="dxa"/>
          </w:tcPr>
          <w:p w14:paraId="4FD580FA" w14:textId="366512BF" w:rsidR="003E4E32" w:rsidRPr="003E4E32" w:rsidRDefault="003E4E32" w:rsidP="003E4E32">
            <w:pPr>
              <w:jc w:val="both"/>
              <w:rPr>
                <w:rFonts w:ascii="Times New Roman" w:hAnsi="Times New Roman" w:cs="Times New Roman"/>
              </w:rPr>
            </w:pPr>
            <w:r w:rsidRPr="003E4E32">
              <w:rPr>
                <w:rFonts w:ascii="Times New Roman" w:hAnsi="Times New Roman" w:cs="Times New Roman"/>
              </w:rPr>
              <w:t>0.015</w:t>
            </w:r>
          </w:p>
        </w:tc>
      </w:tr>
      <w:tr w:rsidR="003E4E32" w:rsidRPr="003E4E32" w14:paraId="3C5CE093" w14:textId="77777777" w:rsidTr="003E4E32">
        <w:tc>
          <w:tcPr>
            <w:tcW w:w="2689" w:type="dxa"/>
            <w:tcBorders>
              <w:bottom w:val="single" w:sz="4" w:space="0" w:color="auto"/>
            </w:tcBorders>
          </w:tcPr>
          <w:p w14:paraId="40AB695F" w14:textId="39053665" w:rsidR="003E4E32" w:rsidRPr="003E4E32" w:rsidRDefault="003E4E32" w:rsidP="003E4E32">
            <w:pPr>
              <w:jc w:val="both"/>
              <w:rPr>
                <w:rFonts w:ascii="Times New Roman" w:hAnsi="Times New Roman" w:cs="Times New Roman"/>
              </w:rPr>
            </w:pPr>
            <w:r w:rsidRPr="003E4E32">
              <w:rPr>
                <w:rFonts w:ascii="Times New Roman" w:hAnsi="Times New Roman" w:cs="Times New Roman"/>
              </w:rPr>
              <w:t>C</w:t>
            </w:r>
            <w:r w:rsidR="00AD6371">
              <w:rPr>
                <w:rFonts w:ascii="Times New Roman" w:hAnsi="Times New Roman" w:cs="Times New Roman"/>
              </w:rPr>
              <w:t>BS</w:t>
            </w:r>
          </w:p>
        </w:tc>
        <w:tc>
          <w:tcPr>
            <w:tcW w:w="1559" w:type="dxa"/>
            <w:tcBorders>
              <w:bottom w:val="single" w:sz="4" w:space="0" w:color="auto"/>
            </w:tcBorders>
          </w:tcPr>
          <w:p w14:paraId="0AF635BC" w14:textId="60C1F0C3" w:rsidR="003E4E32" w:rsidRPr="003E4E32" w:rsidRDefault="003E4E32" w:rsidP="003E4E32">
            <w:pPr>
              <w:jc w:val="both"/>
              <w:rPr>
                <w:rFonts w:ascii="Times New Roman" w:hAnsi="Times New Roman" w:cs="Times New Roman"/>
              </w:rPr>
            </w:pPr>
            <w:r w:rsidRPr="003E4E32">
              <w:rPr>
                <w:rFonts w:ascii="Times New Roman" w:hAnsi="Times New Roman" w:cs="Times New Roman"/>
              </w:rPr>
              <w:t>0.82 ± 0.04ᵃ</w:t>
            </w:r>
          </w:p>
        </w:tc>
        <w:tc>
          <w:tcPr>
            <w:tcW w:w="1843" w:type="dxa"/>
            <w:tcBorders>
              <w:bottom w:val="single" w:sz="4" w:space="0" w:color="auto"/>
            </w:tcBorders>
          </w:tcPr>
          <w:p w14:paraId="22782712" w14:textId="0B3E46E1" w:rsidR="003E4E32" w:rsidRPr="003E4E32" w:rsidRDefault="003E4E32" w:rsidP="003E4E32">
            <w:pPr>
              <w:jc w:val="both"/>
              <w:rPr>
                <w:rFonts w:ascii="Times New Roman" w:hAnsi="Times New Roman" w:cs="Times New Roman"/>
              </w:rPr>
            </w:pPr>
            <w:r w:rsidRPr="003E4E32">
              <w:rPr>
                <w:rFonts w:ascii="Times New Roman" w:hAnsi="Times New Roman" w:cs="Times New Roman"/>
              </w:rPr>
              <w:t>0.91 ± 0.03ᵃ</w:t>
            </w:r>
          </w:p>
        </w:tc>
        <w:tc>
          <w:tcPr>
            <w:tcW w:w="1417" w:type="dxa"/>
            <w:tcBorders>
              <w:bottom w:val="single" w:sz="4" w:space="0" w:color="auto"/>
            </w:tcBorders>
          </w:tcPr>
          <w:p w14:paraId="767F92BC" w14:textId="6F31D7A3" w:rsidR="003E4E32" w:rsidRPr="003E4E32" w:rsidRDefault="003E4E32" w:rsidP="003E4E32">
            <w:pPr>
              <w:jc w:val="both"/>
              <w:rPr>
                <w:rFonts w:ascii="Times New Roman" w:hAnsi="Times New Roman" w:cs="Times New Roman"/>
              </w:rPr>
            </w:pPr>
            <w:r w:rsidRPr="003E4E32">
              <w:rPr>
                <w:rFonts w:ascii="Times New Roman" w:hAnsi="Times New Roman" w:cs="Times New Roman"/>
              </w:rPr>
              <w:t>0.61 ± 0.05ᵇ</w:t>
            </w:r>
          </w:p>
        </w:tc>
        <w:tc>
          <w:tcPr>
            <w:tcW w:w="1508" w:type="dxa"/>
            <w:tcBorders>
              <w:bottom w:val="single" w:sz="4" w:space="0" w:color="auto"/>
            </w:tcBorders>
          </w:tcPr>
          <w:p w14:paraId="172D3527" w14:textId="662A875E" w:rsidR="003E4E32" w:rsidRPr="003E4E32" w:rsidRDefault="003E4E32" w:rsidP="003E4E32">
            <w:pPr>
              <w:jc w:val="both"/>
              <w:rPr>
                <w:rFonts w:ascii="Times New Roman" w:hAnsi="Times New Roman" w:cs="Times New Roman"/>
              </w:rPr>
            </w:pPr>
            <w:r w:rsidRPr="003E4E32">
              <w:rPr>
                <w:rFonts w:ascii="Times New Roman" w:hAnsi="Times New Roman" w:cs="Times New Roman"/>
              </w:rPr>
              <w:t>&lt;0.001</w:t>
            </w:r>
          </w:p>
        </w:tc>
      </w:tr>
    </w:tbl>
    <w:p w14:paraId="73DF9DB5" w14:textId="4E50FE99" w:rsidR="00316A43" w:rsidRPr="003E4E32" w:rsidRDefault="00316A43" w:rsidP="00316A43">
      <w:pPr>
        <w:spacing w:after="0" w:line="360" w:lineRule="auto"/>
        <w:jc w:val="both"/>
        <w:rPr>
          <w:rFonts w:ascii="Times New Roman" w:hAnsi="Times New Roman" w:cs="Times New Roman"/>
          <w:sz w:val="24"/>
          <w:szCs w:val="24"/>
        </w:rPr>
      </w:pPr>
      <w:r w:rsidRPr="003E4E32">
        <w:rPr>
          <w:rFonts w:ascii="Times New Roman" w:hAnsi="Times New Roman" w:cs="Times New Roman"/>
          <w:sz w:val="20"/>
          <w:szCs w:val="20"/>
        </w:rPr>
        <w:t xml:space="preserve">Note: </w:t>
      </w:r>
      <w:r w:rsidR="003E4E32" w:rsidRPr="003E4E32">
        <w:rPr>
          <w:rFonts w:ascii="Times New Roman" w:hAnsi="Times New Roman" w:cs="Times New Roman"/>
          <w:sz w:val="20"/>
          <w:szCs w:val="20"/>
        </w:rPr>
        <w:t>Values are presented as mean ± standard deviation (n = 5). Different superscript letters within rows indicate significant differences according to Tukey’s multiple comparison test. P-values were obtained from one-way ANOVA. Statistical significance was accepted at P &lt; 0.05. C</w:t>
      </w:r>
      <w:r w:rsidR="00AD6371">
        <w:rPr>
          <w:rFonts w:ascii="Times New Roman" w:hAnsi="Times New Roman" w:cs="Times New Roman"/>
          <w:sz w:val="20"/>
          <w:szCs w:val="20"/>
        </w:rPr>
        <w:t>BS</w:t>
      </w:r>
      <w:r w:rsidR="003E4E32" w:rsidRPr="003E4E32">
        <w:rPr>
          <w:rFonts w:ascii="Times New Roman" w:hAnsi="Times New Roman" w:cs="Times New Roman"/>
          <w:sz w:val="20"/>
          <w:szCs w:val="20"/>
        </w:rPr>
        <w:t xml:space="preserve"> = Climate-Resilient Biomass</w:t>
      </w:r>
      <w:r w:rsidR="00AD6371">
        <w:rPr>
          <w:rFonts w:ascii="Times New Roman" w:hAnsi="Times New Roman" w:cs="Times New Roman"/>
          <w:sz w:val="20"/>
          <w:szCs w:val="20"/>
        </w:rPr>
        <w:t xml:space="preserve"> Score</w:t>
      </w:r>
      <w:r w:rsidR="003E4E32" w:rsidRPr="003E4E32">
        <w:rPr>
          <w:rFonts w:ascii="Times New Roman" w:hAnsi="Times New Roman" w:cs="Times New Roman"/>
          <w:sz w:val="20"/>
          <w:szCs w:val="20"/>
        </w:rPr>
        <w:t>; RWC = Relative Water Content; WUE = Water-Use Efficiency.</w:t>
      </w:r>
    </w:p>
    <w:p w14:paraId="1EE8F2A3" w14:textId="5C8278FE" w:rsidR="00316A43" w:rsidRPr="00316A43" w:rsidRDefault="00AD6371" w:rsidP="00316A43">
      <w:pPr>
        <w:spacing w:after="0" w:line="360" w:lineRule="auto"/>
        <w:jc w:val="both"/>
        <w:rPr>
          <w:rFonts w:ascii="Times New Roman" w:hAnsi="Times New Roman" w:cs="Times New Roman"/>
          <w:sz w:val="24"/>
          <w:szCs w:val="24"/>
        </w:rPr>
      </w:pPr>
      <w:r w:rsidRPr="00AD6371">
        <w:rPr>
          <w:rFonts w:ascii="Times New Roman" w:hAnsi="Times New Roman" w:cs="Times New Roman"/>
          <w:sz w:val="24"/>
          <w:szCs w:val="24"/>
        </w:rPr>
        <w:t>The relatively high CBS observed under moderate stress suggests that Nopalea cochenillifera maintained integrated physiological and metabolic responsiveness despite reduced water availability. Because CBS is an exploratory composite score, the observed patterns should be interpreted as preliminary evidence requiring validation in independent populations and environments.</w:t>
      </w:r>
      <w:r w:rsidR="00316A43" w:rsidRPr="00316A43">
        <w:rPr>
          <w:rFonts w:ascii="Times New Roman" w:hAnsi="Times New Roman" w:cs="Times New Roman"/>
          <w:sz w:val="24"/>
          <w:szCs w:val="24"/>
        </w:rPr>
        <w:t xml:space="preserve"> This response aligns with evidence that forage cactus species sustain productivity through enhanced water conservation and photosynthetic regulation associated with CAM metabolism </w:t>
      </w:r>
      <w:r w:rsidR="00154129">
        <w:rPr>
          <w:rFonts w:ascii="Times New Roman" w:hAnsi="Times New Roman" w:cs="Times New Roman"/>
          <w:sz w:val="24"/>
          <w:szCs w:val="24"/>
        </w:rPr>
        <w:fldChar w:fldCharType="begin" w:fldLock="1"/>
      </w:r>
      <w:r w:rsidR="00154129">
        <w:rPr>
          <w:rFonts w:ascii="Times New Roman" w:hAnsi="Times New Roman" w:cs="Times New Roman"/>
          <w:sz w:val="24"/>
          <w:szCs w:val="24"/>
        </w:rPr>
        <w:instrText>ADDIN CSL_CITATION {"citationItems":[{"id":"ITEM-1","itemData":{"ISSN":"0377-8401","author":[{"dropping-particle":"","family":"Dubeux Jr","given":"José Carlos Batista","non-dropping-particle":"","parse-names":false,"suffix":""},{"dropping-particle":"","family":"Santos","given":"Mércia Virginia Ferreira","non-dropping-particle":"dos","parse-names":false,"suffix":""},{"dropping-particle":"","family":"Cunha","given":"Márcio Vieira","non-dropping-particle":"da","parse-names":false,"suffix":""},{"dropping-particle":"","family":"Santos","given":"Djalma Cordeiro","non-dropping-particle":"dos","parse-names":false,"suffix":""},{"dropping-particle":"","family":"Almeida Souza","given":"Rayanne Thalita","non-dropping-particle":"de","parse-names":false,"suffix":""},{"dropping-particle":"","family":"Mello","given":"Alexandre Carneiro Leão","non-dropping-particle":"de","parse-names":false,"suffix":""},{"dropping-particle":"","family":"Souza","given":"Toni Carvalho","non-dropping-particle":"de","parse-names":false,"suffix":""}],"container-title":"Animal Feed Science and Technology","id":"ITEM-1","issued":{"date-parts":[["2021"]]},"page":"114890","publisher":"Elsevier","title":"Cactus (Opuntia and Nopalea) nutritive value: A review","type":"article-journal","volume":"275"},"uris":["http://www.mendeley.com/documents/?uuid=b7485192-1606-4b1f-84af-bbdc7e6260eb"]},{"id":"ITEM-2","itemData":{"ISSN":"1756-4646","author":[{"dropping-particle":"","family":"Hernández-Becerra","given":"Ezequiel","non-dropping-particle":"","parse-names":false,"suffix":""},{"dropping-particle":"","family":"los Angeles Aguilera-Barreiro","given":"María","non-dropping-particle":"de","parse-names":false,"suffix":""},{"dropping-particle":"","family":"Contreras-Padilla","given":"Margarita","non-dropping-particle":"","parse-names":false,"suffix":""},{"dropping-particle":"","family":"Pérez-Torrero","given":"Esther","non-dropping-particle":"","parse-names":false,"suffix":""},{"dropping-particle":"","family":"Rodriguez-Garcia","given":"Mario E","non-dropping-particle":"","parse-names":false,"suffix":""}],"container-title":"Journal of Functional Foods","id":"ITEM-2","issued":{"date-parts":[["2022"]]},"page":"105183","publisher":"Elsevier","title":"Nopal cladodes (Opuntia Ficus Indica): Nutritional properties and functional potential","type":"article-journal","volume":"95"},"uris":["http://www.mendeley.com/documents/?uuid=fa757522-3492-4b5e-a0b6-95ad26b352f3"]},{"id":"ITEM-3","itemData":{"ISSN":"0981-9428","author":[{"dropping-particle":"","family":"Montecchiarini","given":"Marina Lucía","non-dropping-particle":"","parse-names":false,"suffix":""},{"dropping-particle":"","family":"Silva-Sanzana","given":"Christian","non-dropping-particle":"","parse-names":false,"suffix":""},{"dropping-particle":"","family":"Valderramo","given":"L","non-dropping-particle":"","parse-names":false,"suffix":""},{"dropping-particle":"","family":"Alemano","given":"S","non-dropping-particle":"","parse-names":false,"suffix":""},{"dropping-particle":"","family":"Gollán","given":"A","non-dropping-particle":"","parse-names":false,"suffix":""},{"dropping-particle":"","family":"Rivadeneira","given":"María Fernanda","non-dropping-particle":"","parse-names":false,"suffix":""},{"dropping-particle":"","family":"Bello","given":"Fernando","non-dropping-particle":"","parse-names":false,"suffix":""},{"dropping-particle":"","family":"Vázquez","given":"D","non-dropping-particle":"","parse-names":false,"suffix":""},{"dropping-particle":"","family":"Blanco-Herrera","given":"Francisca","non-dropping-particle":"","parse-names":false,"suffix":""},{"dropping-particle":"","family":"Podesta","given":"Florencio Esteban","non-dropping-particle":"","parse-names":false,"suffix":""}],"container-title":"Plant Physiology and Biochemistry","id":"ITEM-3","issued":{"date-parts":[["2021"]]},"page":"483-495","publisher":"Elsevier","title":"Biochemical differences in the skin of two blueberries (Vaccinium corymbosum) varieties with contrasting firmness: Implication of ions, metabolites and cell wall related proteins in two developmental stages","type":"article-journal","volume":"162"},"uris":["http://www.mendeley.com/documents/?uuid=0c433a3c-3722-4a25-8879-e2fb0364f6a5"]},{"id":"ITEM-4","itemData":{"ISSN":"0981-9428","author":[{"dropping-particle":"","family":"Jardim","given":"Alexandre Maniçoba da Rosa Ferraz","non-dropping-particle":"","parse-names":false,"suffix":""},{"dropping-particle":"","family":"Santos","given":"Hugo Rafael Bentzen","non-dropping-particle":"","parse-names":false,"suffix":""},{"dropping-particle":"","family":"Alves","given":"Hygor Kristoph Muniz Nunes","non-dropping-particle":"","parse-names":false,"suffix":""},{"dropping-particle":"","family":"Ferreira-Silva","given":"Sérgio Luiz","non-dropping-particle":"","parse-names":false,"suffix":""},{"dropping-particle":"","family":"Souza","given":"Luciana Sandra Bastos","non-dropping-particle":"de","parse-names":false,"suffix":""},{"dropping-particle":"","family":"Júnior","given":"George do Nascimento Araújo","non-dropping-particle":"","parse-names":false,"suffix":""},{"dropping-particle":"","family":"Sá Souza","given":"Marcondes","non-dropping-particle":"de","parse-names":false,"suffix":""},{"dropping-particle":"","family":"Araújo","given":"Gherman Garcia Leal","non-dropping-particle":"de","parse-names":false,"suffix":""},{"dropping-particle":"","family":"Souza","given":"Carlos André Alves","non-dropping-particle":"de","parse-names":false,"suffix":""},{"dropping-particle":"","family":"Silva","given":"Thieres George Freire","non-dropping-particle":"da","parse-names":false,"suffix":""}],"container-title":"Plant Physiology and Biochemistry","id":"ITEM-4","issued":{"date-parts":[["2021"]]},"page":"421-430","publisher":"Elsevier","title":"Genotypic differences relative photochemical activity, inorganic and organic solutes and yield performance in clones of the forage cactus under semi-arid environment","type":"article-journal","volume":"162"},"uris":["http://www.mendeley.com/documents/?uuid=ca244152-b1ff-4cfa-98e9-d385afd9025c"]}],"mendeley":{"formattedCitation":"(Dubeux Jr et al., 2021; Hernández-Becerra et al., 2022; Jardim et al., 2021; Montecchiarini et al., 2021)","plainTextFormattedCitation":"(Dubeux Jr et al., 2021; Hernández-Becerra et al., 2022; Jardim et al., 2021; Montecchiarini et al., 2021)","previouslyFormattedCitation":"(Dubeux Jr et al., 2021; Hernández-Becerra et al., 2022; Jardim et al., 2021; Montecchiarini et al., 2021)"},"properties":{"noteIndex":0},"schema":"https://github.com/citation-style-language/schema/raw/master/csl-citation.json"}</w:instrText>
      </w:r>
      <w:r w:rsidR="00154129">
        <w:rPr>
          <w:rFonts w:ascii="Times New Roman" w:hAnsi="Times New Roman" w:cs="Times New Roman"/>
          <w:sz w:val="24"/>
          <w:szCs w:val="24"/>
        </w:rPr>
        <w:fldChar w:fldCharType="separate"/>
      </w:r>
      <w:r w:rsidR="00154129" w:rsidRPr="00154129">
        <w:rPr>
          <w:rFonts w:ascii="Times New Roman" w:hAnsi="Times New Roman" w:cs="Times New Roman"/>
          <w:noProof/>
          <w:sz w:val="24"/>
          <w:szCs w:val="24"/>
        </w:rPr>
        <w:t>(Dubeux Jr et al., 2021; Hernández-Becerra et al., 2022; Jardim et al., 2021; Montecchiarini et al., 2021)</w:t>
      </w:r>
      <w:r w:rsidR="00154129">
        <w:rPr>
          <w:rFonts w:ascii="Times New Roman" w:hAnsi="Times New Roman" w:cs="Times New Roman"/>
          <w:sz w:val="24"/>
          <w:szCs w:val="24"/>
        </w:rPr>
        <w:fldChar w:fldCharType="end"/>
      </w:r>
      <w:r w:rsidR="00316A43" w:rsidRPr="00316A43">
        <w:rPr>
          <w:rFonts w:ascii="Times New Roman" w:hAnsi="Times New Roman" w:cs="Times New Roman"/>
          <w:sz w:val="24"/>
          <w:szCs w:val="24"/>
        </w:rPr>
        <w:t>.</w:t>
      </w:r>
      <w:r>
        <w:rPr>
          <w:rFonts w:ascii="Times New Roman" w:hAnsi="Times New Roman" w:cs="Times New Roman"/>
          <w:sz w:val="24"/>
          <w:szCs w:val="24"/>
        </w:rPr>
        <w:t xml:space="preserve"> </w:t>
      </w:r>
      <w:r w:rsidR="00316A43" w:rsidRPr="00316A43">
        <w:rPr>
          <w:rFonts w:ascii="Times New Roman" w:hAnsi="Times New Roman" w:cs="Times New Roman"/>
          <w:sz w:val="24"/>
          <w:szCs w:val="24"/>
        </w:rPr>
        <w:t xml:space="preserve">Unlike conventional forage species that often exhibit rapid productivity decline under drought, forage cactus maintaine biomass stability and improved water-use efficiency. The increase in WUE under moderate stress suggests adaptive adjustment </w:t>
      </w:r>
      <w:r w:rsidR="00316A43" w:rsidRPr="00316A43">
        <w:rPr>
          <w:rFonts w:ascii="Times New Roman" w:hAnsi="Times New Roman" w:cs="Times New Roman"/>
          <w:sz w:val="24"/>
          <w:szCs w:val="24"/>
        </w:rPr>
        <w:lastRenderedPageBreak/>
        <w:t xml:space="preserve">rather than simple growth suppression, supporting its suitability for climate-smart production systems </w:t>
      </w:r>
      <w:r w:rsidR="00154129">
        <w:rPr>
          <w:rFonts w:ascii="Times New Roman" w:hAnsi="Times New Roman" w:cs="Times New Roman"/>
          <w:sz w:val="24"/>
          <w:szCs w:val="24"/>
        </w:rPr>
        <w:fldChar w:fldCharType="begin" w:fldLock="1"/>
      </w:r>
      <w:r w:rsidR="00154129">
        <w:rPr>
          <w:rFonts w:ascii="Times New Roman" w:hAnsi="Times New Roman" w:cs="Times New Roman"/>
          <w:sz w:val="24"/>
          <w:szCs w:val="24"/>
        </w:rPr>
        <w:instrText>ADDIN CSL_CITATION {"citationItems":[{"id":"ITEM-1","itemData":{"ISSN":"2218-1989","author":[{"dropping-particle":"","family":"Allwood","given":"James William","non-dropping-particle":"","parse-names":false,"suffix":""},{"dropping-particle":"","family":"Williams","given":"Alex","non-dropping-particle":"","parse-names":false,"suffix":""},{"dropping-particle":"","family":"Uthe","given":"Henriette","non-dropping-particle":"","parse-names":false,"suffix":""},{"dropping-particle":"","family":"Dam","given":"Nicole M","non-dropping-particle":"van","parse-names":false,"suffix":""},{"dropping-particle":"","family":"Mur","given":"Luis A J","non-dropping-particle":"","parse-names":false,"suffix":""},{"dropping-particle":"","family":"Grant","given":"Murray R","non-dropping-particle":"","parse-names":false,"suffix":""},{"dropping-particle":"","family":"Pétriacq","given":"Pierre","non-dropping-particle":"","parse-names":false,"suffix":""}],"container-title":"Metabolites","id":"ITEM-1","issue":"8","issued":{"date-parts":[["2021"]]},"page":"558","publisher":"MDPI","title":"Unravelling plant responses to stress—The importance of targeted and untargeted metabolomics","type":"article-journal","volume":"11"},"uris":["http://www.mendeley.com/documents/?uuid=79267535-ae24-41cf-b33f-85e2c1302b12"]},{"id":"ITEM-2","itemData":{"ISSN":"2662-253X","author":[{"dropping-particle":"","family":"Dixit","given":"Shikha","non-dropping-particle":"","parse-names":false,"suffix":""},{"dropping-particle":"","family":"Sivalingam","given":"Palaiyur Nanjappan","non-dropping-particle":"","parse-names":false,"suffix":""},{"dropping-particle":"","family":"Baskaran","given":"R K Murali","non-dropping-particle":"","parse-names":false,"suffix":""},{"dropping-particle":"","family":"Senthil-Kumar","given":"Muthappa","non-dropping-particle":"","parse-names":false,"suffix":""},{"dropping-particle":"","family":"Ghosh","given":"Probir Kumar","non-dropping-particle":"","parse-names":false,"suffix":""}],"container-title":"Plant Physiology Reports","id":"ITEM-2","issue":"1","issued":{"date-parts":[["2024"]]},"page":"6-17","publisher":"Springer","title":"Plant responses to concurrent abiotic and biotic stress: unravelling physiological and morphological mechanisms","type":"article-journal","volume":"29"},"uris":["http://www.mendeley.com/documents/?uuid=08fe8238-5b05-41b2-80cb-818edf6ee927"]}],"mendeley":{"formattedCitation":"(Allwood et al., 2021; Dixit et al., 2024)","plainTextFormattedCitation":"(Allwood et al., 2021; Dixit et al., 2024)","previouslyFormattedCitation":"(Allwood et al., 2021; Dixit et al., 2024)"},"properties":{"noteIndex":0},"schema":"https://github.com/citation-style-language/schema/raw/master/csl-citation.json"}</w:instrText>
      </w:r>
      <w:r w:rsidR="00154129">
        <w:rPr>
          <w:rFonts w:ascii="Times New Roman" w:hAnsi="Times New Roman" w:cs="Times New Roman"/>
          <w:sz w:val="24"/>
          <w:szCs w:val="24"/>
        </w:rPr>
        <w:fldChar w:fldCharType="separate"/>
      </w:r>
      <w:r w:rsidR="00154129" w:rsidRPr="00154129">
        <w:rPr>
          <w:rFonts w:ascii="Times New Roman" w:hAnsi="Times New Roman" w:cs="Times New Roman"/>
          <w:noProof/>
          <w:sz w:val="24"/>
          <w:szCs w:val="24"/>
        </w:rPr>
        <w:t>(Allwood et al., 2021; Dixit et al., 2024)</w:t>
      </w:r>
      <w:r w:rsidR="00154129">
        <w:rPr>
          <w:rFonts w:ascii="Times New Roman" w:hAnsi="Times New Roman" w:cs="Times New Roman"/>
          <w:sz w:val="24"/>
          <w:szCs w:val="24"/>
        </w:rPr>
        <w:fldChar w:fldCharType="end"/>
      </w:r>
      <w:r w:rsidR="00316A43" w:rsidRPr="00316A43">
        <w:rPr>
          <w:rFonts w:ascii="Times New Roman" w:hAnsi="Times New Roman" w:cs="Times New Roman"/>
          <w:sz w:val="24"/>
          <w:szCs w:val="24"/>
        </w:rPr>
        <w:t>.</w:t>
      </w:r>
    </w:p>
    <w:p w14:paraId="49C2C527" w14:textId="77777777" w:rsidR="00316A43" w:rsidRPr="00316A43" w:rsidRDefault="00316A43" w:rsidP="00316A43">
      <w:pPr>
        <w:spacing w:after="0" w:line="360" w:lineRule="auto"/>
        <w:jc w:val="both"/>
        <w:rPr>
          <w:rFonts w:ascii="Times New Roman" w:hAnsi="Times New Roman" w:cs="Times New Roman"/>
          <w:b/>
          <w:bCs/>
          <w:sz w:val="24"/>
          <w:szCs w:val="24"/>
        </w:rPr>
      </w:pPr>
      <w:r w:rsidRPr="00316A43">
        <w:rPr>
          <w:rFonts w:ascii="Times New Roman" w:hAnsi="Times New Roman" w:cs="Times New Roman"/>
          <w:b/>
          <w:bCs/>
          <w:sz w:val="24"/>
          <w:szCs w:val="24"/>
        </w:rPr>
        <w:t>Metabolomic profiling revealed distinct biochemical signatures associated with climate resilience</w:t>
      </w:r>
    </w:p>
    <w:p w14:paraId="40631AEF" w14:textId="6595811F" w:rsidR="00316A43" w:rsidRDefault="00316A43" w:rsidP="00316A43">
      <w:pPr>
        <w:spacing w:after="0" w:line="360" w:lineRule="auto"/>
        <w:jc w:val="both"/>
        <w:rPr>
          <w:rFonts w:ascii="Times New Roman" w:hAnsi="Times New Roman" w:cs="Times New Roman"/>
          <w:sz w:val="24"/>
          <w:szCs w:val="24"/>
        </w:rPr>
      </w:pPr>
      <w:r w:rsidRPr="00316A43">
        <w:rPr>
          <w:rFonts w:ascii="Times New Roman" w:hAnsi="Times New Roman" w:cs="Times New Roman"/>
          <w:sz w:val="24"/>
          <w:szCs w:val="24"/>
        </w:rPr>
        <w:t>Untargeted UPLC–HRMS profiling detected substantial metabolic reprogramming among environmental treatments.</w:t>
      </w:r>
      <w:r w:rsidR="003E4E32">
        <w:rPr>
          <w:rFonts w:ascii="Times New Roman" w:hAnsi="Times New Roman" w:cs="Times New Roman"/>
          <w:sz w:val="24"/>
          <w:szCs w:val="24"/>
        </w:rPr>
        <w:t xml:space="preserve"> </w:t>
      </w:r>
      <w:r w:rsidRPr="00316A43">
        <w:rPr>
          <w:rFonts w:ascii="Times New Roman" w:hAnsi="Times New Roman" w:cs="Times New Roman"/>
          <w:sz w:val="24"/>
          <w:szCs w:val="24"/>
        </w:rPr>
        <w:t>Principal metabolite groups associated with adaptive responses included</w:t>
      </w:r>
      <w:r w:rsidR="003E4E32">
        <w:rPr>
          <w:rFonts w:ascii="Times New Roman" w:hAnsi="Times New Roman" w:cs="Times New Roman"/>
          <w:sz w:val="24"/>
          <w:szCs w:val="24"/>
        </w:rPr>
        <w:t xml:space="preserve"> </w:t>
      </w:r>
      <w:r w:rsidRPr="00316A43">
        <w:rPr>
          <w:rFonts w:ascii="Times New Roman" w:hAnsi="Times New Roman" w:cs="Times New Roman"/>
          <w:sz w:val="24"/>
          <w:szCs w:val="24"/>
        </w:rPr>
        <w:t>flavonoids</w:t>
      </w:r>
      <w:r w:rsidR="003E4E32">
        <w:rPr>
          <w:rFonts w:ascii="Times New Roman" w:hAnsi="Times New Roman" w:cs="Times New Roman"/>
          <w:sz w:val="24"/>
          <w:szCs w:val="24"/>
        </w:rPr>
        <w:t xml:space="preserve">, </w:t>
      </w:r>
      <w:r w:rsidRPr="00316A43">
        <w:rPr>
          <w:rFonts w:ascii="Times New Roman" w:hAnsi="Times New Roman" w:cs="Times New Roman"/>
          <w:sz w:val="24"/>
          <w:szCs w:val="24"/>
        </w:rPr>
        <w:t>phenolic derivatives</w:t>
      </w:r>
      <w:r w:rsidR="003E4E32">
        <w:rPr>
          <w:rFonts w:ascii="Times New Roman" w:hAnsi="Times New Roman" w:cs="Times New Roman"/>
          <w:sz w:val="24"/>
          <w:szCs w:val="24"/>
        </w:rPr>
        <w:t xml:space="preserve">, </w:t>
      </w:r>
      <w:r w:rsidRPr="00316A43">
        <w:rPr>
          <w:rFonts w:ascii="Times New Roman" w:hAnsi="Times New Roman" w:cs="Times New Roman"/>
          <w:sz w:val="24"/>
          <w:szCs w:val="24"/>
        </w:rPr>
        <w:t>osmoprotective organic acids</w:t>
      </w:r>
      <w:r w:rsidR="003E4E32">
        <w:rPr>
          <w:rFonts w:ascii="Times New Roman" w:hAnsi="Times New Roman" w:cs="Times New Roman"/>
          <w:sz w:val="24"/>
          <w:szCs w:val="24"/>
        </w:rPr>
        <w:t xml:space="preserve">, and </w:t>
      </w:r>
      <w:r w:rsidRPr="00316A43">
        <w:rPr>
          <w:rFonts w:ascii="Times New Roman" w:hAnsi="Times New Roman" w:cs="Times New Roman"/>
          <w:sz w:val="24"/>
          <w:szCs w:val="24"/>
        </w:rPr>
        <w:t>antioxidant-related compounds</w:t>
      </w:r>
      <w:r w:rsidR="003E4E32">
        <w:rPr>
          <w:rFonts w:ascii="Times New Roman" w:hAnsi="Times New Roman" w:cs="Times New Roman"/>
          <w:sz w:val="24"/>
          <w:szCs w:val="24"/>
        </w:rPr>
        <w:t xml:space="preserve">. </w:t>
      </w:r>
      <w:r w:rsidRPr="00316A43">
        <w:rPr>
          <w:rFonts w:ascii="Times New Roman" w:hAnsi="Times New Roman" w:cs="Times New Roman"/>
          <w:sz w:val="24"/>
          <w:szCs w:val="24"/>
        </w:rPr>
        <w:t>Plants exposed to moderate stress exhibited increased accumulation of protective metabolites, whereas severe stress induced broader metabolic disruption and reduced adaptive coordination</w:t>
      </w:r>
      <w:r w:rsidR="003E4E32">
        <w:rPr>
          <w:rFonts w:ascii="Times New Roman" w:hAnsi="Times New Roman" w:cs="Times New Roman"/>
          <w:sz w:val="24"/>
          <w:szCs w:val="24"/>
        </w:rPr>
        <w:t xml:space="preserve"> (Table 4)</w:t>
      </w:r>
      <w:r w:rsidRPr="00316A43">
        <w:rPr>
          <w:rFonts w:ascii="Times New Roman" w:hAnsi="Times New Roman" w:cs="Times New Roman"/>
          <w:sz w:val="24"/>
          <w:szCs w:val="24"/>
        </w:rPr>
        <w:t>.</w:t>
      </w:r>
    </w:p>
    <w:p w14:paraId="58C2F284" w14:textId="5AF35E96" w:rsidR="00AD6371" w:rsidRPr="00316A43" w:rsidRDefault="00AD6371" w:rsidP="00316A43">
      <w:pPr>
        <w:spacing w:after="0" w:line="360" w:lineRule="auto"/>
        <w:jc w:val="both"/>
        <w:rPr>
          <w:rFonts w:ascii="Times New Roman" w:hAnsi="Times New Roman" w:cs="Times New Roman"/>
          <w:sz w:val="24"/>
          <w:szCs w:val="24"/>
        </w:rPr>
      </w:pPr>
      <w:r w:rsidRPr="00AD6371">
        <w:rPr>
          <w:rFonts w:ascii="Times New Roman" w:hAnsi="Times New Roman" w:cs="Times New Roman"/>
          <w:sz w:val="24"/>
          <w:szCs w:val="24"/>
        </w:rPr>
        <w:t>Untargeted UPLC–HRMS analysis detected 3,214 spectral features across all samples. Following quality-control filtering, peak alignment, and normalization procedures, 2,745 features remained for downstream statistical analysis. Differential analysis identified 124 features that significantly varied among irrigation treatments (FDR &lt; 0.05 and VIP &gt; 1.0). Putative annotation based on accurate mass matching and public spectral databases resulted in the assignment of 18 candidate metabolites, which were subsequently grouped into major biochemical classes including flavonoids, phenolic compounds, organic acids, amino acid derivatives, and lipid-related metabolites.</w:t>
      </w:r>
    </w:p>
    <w:p w14:paraId="41CCE484" w14:textId="0B777E52" w:rsidR="00A26D68" w:rsidRDefault="00A26D68" w:rsidP="00316A43">
      <w:pPr>
        <w:spacing w:after="0" w:line="360" w:lineRule="auto"/>
        <w:jc w:val="both"/>
        <w:rPr>
          <w:rFonts w:ascii="Times New Roman" w:hAnsi="Times New Roman" w:cs="Times New Roman"/>
          <w:sz w:val="24"/>
          <w:szCs w:val="24"/>
        </w:rPr>
      </w:pPr>
      <w:r w:rsidRPr="00A26D68">
        <w:rPr>
          <w:rFonts w:ascii="Times New Roman" w:hAnsi="Times New Roman" w:cs="Times New Roman"/>
          <w:sz w:val="24"/>
          <w:szCs w:val="24"/>
        </w:rPr>
        <w:t>Table 4. Summary of metabolomic feature processing and annotation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A26D68" w14:paraId="6D93B5C4" w14:textId="77777777" w:rsidTr="00A26D68">
        <w:tc>
          <w:tcPr>
            <w:tcW w:w="4508" w:type="dxa"/>
            <w:tcBorders>
              <w:top w:val="single" w:sz="4" w:space="0" w:color="auto"/>
              <w:bottom w:val="single" w:sz="4" w:space="0" w:color="auto"/>
            </w:tcBorders>
            <w:vAlign w:val="center"/>
          </w:tcPr>
          <w:p w14:paraId="6425A2D6" w14:textId="01CC4E8D" w:rsidR="00A26D68" w:rsidRPr="00A26D68" w:rsidRDefault="00A26D68" w:rsidP="00A26D68">
            <w:pPr>
              <w:jc w:val="both"/>
              <w:rPr>
                <w:rFonts w:ascii="Times New Roman" w:hAnsi="Times New Roman" w:cs="Times New Roman"/>
                <w:sz w:val="24"/>
                <w:szCs w:val="24"/>
              </w:rPr>
            </w:pPr>
            <w:r w:rsidRPr="00A26D68">
              <w:rPr>
                <w:rFonts w:ascii="Times New Roman" w:hAnsi="Times New Roman" w:cs="Times New Roman"/>
                <w:b/>
                <w:bCs/>
              </w:rPr>
              <w:t>Parameter</w:t>
            </w:r>
          </w:p>
        </w:tc>
        <w:tc>
          <w:tcPr>
            <w:tcW w:w="4508" w:type="dxa"/>
            <w:tcBorders>
              <w:top w:val="single" w:sz="4" w:space="0" w:color="auto"/>
              <w:bottom w:val="single" w:sz="4" w:space="0" w:color="auto"/>
            </w:tcBorders>
            <w:vAlign w:val="center"/>
          </w:tcPr>
          <w:p w14:paraId="12E4C62F" w14:textId="15EE2B73" w:rsidR="00A26D68" w:rsidRPr="00A26D68" w:rsidRDefault="00A26D68" w:rsidP="00A26D68">
            <w:pPr>
              <w:jc w:val="both"/>
              <w:rPr>
                <w:rFonts w:ascii="Times New Roman" w:hAnsi="Times New Roman" w:cs="Times New Roman"/>
                <w:sz w:val="24"/>
                <w:szCs w:val="24"/>
              </w:rPr>
            </w:pPr>
            <w:r w:rsidRPr="00A26D68">
              <w:rPr>
                <w:rFonts w:ascii="Times New Roman" w:hAnsi="Times New Roman" w:cs="Times New Roman"/>
                <w:b/>
                <w:bCs/>
              </w:rPr>
              <w:t>Value</w:t>
            </w:r>
          </w:p>
        </w:tc>
      </w:tr>
      <w:tr w:rsidR="00A26D68" w14:paraId="42C22B2A" w14:textId="77777777" w:rsidTr="00A26D68">
        <w:tc>
          <w:tcPr>
            <w:tcW w:w="4508" w:type="dxa"/>
            <w:tcBorders>
              <w:top w:val="single" w:sz="4" w:space="0" w:color="auto"/>
            </w:tcBorders>
            <w:vAlign w:val="center"/>
          </w:tcPr>
          <w:p w14:paraId="56B0FEFD" w14:textId="6D05A568" w:rsidR="00A26D68" w:rsidRPr="00A26D68" w:rsidRDefault="00A26D68" w:rsidP="00A26D68">
            <w:pPr>
              <w:jc w:val="both"/>
              <w:rPr>
                <w:rFonts w:ascii="Times New Roman" w:hAnsi="Times New Roman" w:cs="Times New Roman"/>
                <w:sz w:val="24"/>
                <w:szCs w:val="24"/>
              </w:rPr>
            </w:pPr>
            <w:r w:rsidRPr="00A26D68">
              <w:rPr>
                <w:rFonts w:ascii="Times New Roman" w:hAnsi="Times New Roman" w:cs="Times New Roman"/>
              </w:rPr>
              <w:t>Raw spectral features detected</w:t>
            </w:r>
          </w:p>
        </w:tc>
        <w:tc>
          <w:tcPr>
            <w:tcW w:w="4508" w:type="dxa"/>
            <w:tcBorders>
              <w:top w:val="single" w:sz="4" w:space="0" w:color="auto"/>
            </w:tcBorders>
            <w:vAlign w:val="center"/>
          </w:tcPr>
          <w:p w14:paraId="5F330135" w14:textId="0CA77454" w:rsidR="00A26D68" w:rsidRPr="00A26D68" w:rsidRDefault="00A26D68" w:rsidP="00A26D68">
            <w:pPr>
              <w:jc w:val="both"/>
              <w:rPr>
                <w:rFonts w:ascii="Times New Roman" w:hAnsi="Times New Roman" w:cs="Times New Roman"/>
                <w:sz w:val="24"/>
                <w:szCs w:val="24"/>
              </w:rPr>
            </w:pPr>
            <w:r w:rsidRPr="00A26D68">
              <w:rPr>
                <w:rFonts w:ascii="Times New Roman" w:hAnsi="Times New Roman" w:cs="Times New Roman"/>
              </w:rPr>
              <w:t>3,214</w:t>
            </w:r>
          </w:p>
        </w:tc>
      </w:tr>
      <w:tr w:rsidR="00A26D68" w14:paraId="064B9C63" w14:textId="77777777" w:rsidTr="00A26D68">
        <w:tc>
          <w:tcPr>
            <w:tcW w:w="4508" w:type="dxa"/>
            <w:vAlign w:val="center"/>
          </w:tcPr>
          <w:p w14:paraId="2DFECD17" w14:textId="0F268393" w:rsidR="00A26D68" w:rsidRPr="00A26D68" w:rsidRDefault="00A26D68" w:rsidP="00A26D68">
            <w:pPr>
              <w:jc w:val="both"/>
              <w:rPr>
                <w:rFonts w:ascii="Times New Roman" w:hAnsi="Times New Roman" w:cs="Times New Roman"/>
                <w:sz w:val="24"/>
                <w:szCs w:val="24"/>
              </w:rPr>
            </w:pPr>
            <w:r w:rsidRPr="00A26D68">
              <w:rPr>
                <w:rFonts w:ascii="Times New Roman" w:hAnsi="Times New Roman" w:cs="Times New Roman"/>
              </w:rPr>
              <w:t>Features after QC filtering</w:t>
            </w:r>
          </w:p>
        </w:tc>
        <w:tc>
          <w:tcPr>
            <w:tcW w:w="4508" w:type="dxa"/>
            <w:vAlign w:val="center"/>
          </w:tcPr>
          <w:p w14:paraId="230EB53D" w14:textId="539255B3" w:rsidR="00A26D68" w:rsidRPr="00A26D68" w:rsidRDefault="00A26D68" w:rsidP="00A26D68">
            <w:pPr>
              <w:jc w:val="both"/>
              <w:rPr>
                <w:rFonts w:ascii="Times New Roman" w:hAnsi="Times New Roman" w:cs="Times New Roman"/>
                <w:sz w:val="24"/>
                <w:szCs w:val="24"/>
              </w:rPr>
            </w:pPr>
            <w:r w:rsidRPr="00A26D68">
              <w:rPr>
                <w:rFonts w:ascii="Times New Roman" w:hAnsi="Times New Roman" w:cs="Times New Roman"/>
              </w:rPr>
              <w:t>2,745</w:t>
            </w:r>
          </w:p>
        </w:tc>
      </w:tr>
      <w:tr w:rsidR="00A26D68" w14:paraId="1C2738ED" w14:textId="77777777" w:rsidTr="00A26D68">
        <w:tc>
          <w:tcPr>
            <w:tcW w:w="4508" w:type="dxa"/>
            <w:vAlign w:val="center"/>
          </w:tcPr>
          <w:p w14:paraId="1DBB306C" w14:textId="2FEE8FD1" w:rsidR="00A26D68" w:rsidRPr="00A26D68" w:rsidRDefault="00A26D68" w:rsidP="00A26D68">
            <w:pPr>
              <w:jc w:val="both"/>
              <w:rPr>
                <w:rFonts w:ascii="Times New Roman" w:hAnsi="Times New Roman" w:cs="Times New Roman"/>
                <w:sz w:val="24"/>
                <w:szCs w:val="24"/>
              </w:rPr>
            </w:pPr>
            <w:r w:rsidRPr="00A26D68">
              <w:rPr>
                <w:rFonts w:ascii="Times New Roman" w:hAnsi="Times New Roman" w:cs="Times New Roman"/>
              </w:rPr>
              <w:t>Differential features (FDR &lt; 0.05)</w:t>
            </w:r>
          </w:p>
        </w:tc>
        <w:tc>
          <w:tcPr>
            <w:tcW w:w="4508" w:type="dxa"/>
            <w:vAlign w:val="center"/>
          </w:tcPr>
          <w:p w14:paraId="313D6A64" w14:textId="6E100BF5" w:rsidR="00A26D68" w:rsidRPr="00A26D68" w:rsidRDefault="00A26D68" w:rsidP="00A26D68">
            <w:pPr>
              <w:jc w:val="both"/>
              <w:rPr>
                <w:rFonts w:ascii="Times New Roman" w:hAnsi="Times New Roman" w:cs="Times New Roman"/>
                <w:sz w:val="24"/>
                <w:szCs w:val="24"/>
              </w:rPr>
            </w:pPr>
            <w:r w:rsidRPr="00A26D68">
              <w:rPr>
                <w:rFonts w:ascii="Times New Roman" w:hAnsi="Times New Roman" w:cs="Times New Roman"/>
              </w:rPr>
              <w:t>124</w:t>
            </w:r>
          </w:p>
        </w:tc>
      </w:tr>
      <w:tr w:rsidR="00A26D68" w14:paraId="6FF5E7E2" w14:textId="77777777" w:rsidTr="00A26D68">
        <w:tc>
          <w:tcPr>
            <w:tcW w:w="4508" w:type="dxa"/>
            <w:vAlign w:val="center"/>
          </w:tcPr>
          <w:p w14:paraId="27BF9139" w14:textId="78A79755" w:rsidR="00A26D68" w:rsidRPr="00A26D68" w:rsidRDefault="00A26D68" w:rsidP="00A26D68">
            <w:pPr>
              <w:jc w:val="both"/>
              <w:rPr>
                <w:rFonts w:ascii="Times New Roman" w:hAnsi="Times New Roman" w:cs="Times New Roman"/>
                <w:sz w:val="24"/>
                <w:szCs w:val="24"/>
              </w:rPr>
            </w:pPr>
            <w:r w:rsidRPr="00A26D68">
              <w:rPr>
                <w:rFonts w:ascii="Times New Roman" w:hAnsi="Times New Roman" w:cs="Times New Roman"/>
              </w:rPr>
              <w:t>Features with VIP &gt; 1.0</w:t>
            </w:r>
          </w:p>
        </w:tc>
        <w:tc>
          <w:tcPr>
            <w:tcW w:w="4508" w:type="dxa"/>
            <w:vAlign w:val="center"/>
          </w:tcPr>
          <w:p w14:paraId="7B33093A" w14:textId="50659648" w:rsidR="00A26D68" w:rsidRPr="00A26D68" w:rsidRDefault="00A26D68" w:rsidP="00A26D68">
            <w:pPr>
              <w:jc w:val="both"/>
              <w:rPr>
                <w:rFonts w:ascii="Times New Roman" w:hAnsi="Times New Roman" w:cs="Times New Roman"/>
                <w:sz w:val="24"/>
                <w:szCs w:val="24"/>
              </w:rPr>
            </w:pPr>
            <w:r w:rsidRPr="00A26D68">
              <w:rPr>
                <w:rFonts w:ascii="Times New Roman" w:hAnsi="Times New Roman" w:cs="Times New Roman"/>
              </w:rPr>
              <w:t>86</w:t>
            </w:r>
          </w:p>
        </w:tc>
      </w:tr>
      <w:tr w:rsidR="00A26D68" w14:paraId="6720DDCC" w14:textId="77777777" w:rsidTr="00A26D68">
        <w:tc>
          <w:tcPr>
            <w:tcW w:w="4508" w:type="dxa"/>
            <w:vAlign w:val="center"/>
          </w:tcPr>
          <w:p w14:paraId="47CDC602" w14:textId="6443327A" w:rsidR="00A26D68" w:rsidRPr="00A26D68" w:rsidRDefault="00A26D68" w:rsidP="00A26D68">
            <w:pPr>
              <w:jc w:val="both"/>
              <w:rPr>
                <w:rFonts w:ascii="Times New Roman" w:hAnsi="Times New Roman" w:cs="Times New Roman"/>
                <w:sz w:val="24"/>
                <w:szCs w:val="24"/>
              </w:rPr>
            </w:pPr>
            <w:r w:rsidRPr="00A26D68">
              <w:rPr>
                <w:rFonts w:ascii="Times New Roman" w:hAnsi="Times New Roman" w:cs="Times New Roman"/>
              </w:rPr>
              <w:t>Putatively annotated metabolites</w:t>
            </w:r>
          </w:p>
        </w:tc>
        <w:tc>
          <w:tcPr>
            <w:tcW w:w="4508" w:type="dxa"/>
            <w:vAlign w:val="center"/>
          </w:tcPr>
          <w:p w14:paraId="3C320CC6" w14:textId="00F468DC" w:rsidR="00A26D68" w:rsidRPr="00A26D68" w:rsidRDefault="00A26D68" w:rsidP="00A26D68">
            <w:pPr>
              <w:jc w:val="both"/>
              <w:rPr>
                <w:rFonts w:ascii="Times New Roman" w:hAnsi="Times New Roman" w:cs="Times New Roman"/>
                <w:sz w:val="24"/>
                <w:szCs w:val="24"/>
              </w:rPr>
            </w:pPr>
            <w:r w:rsidRPr="00A26D68">
              <w:rPr>
                <w:rFonts w:ascii="Times New Roman" w:hAnsi="Times New Roman" w:cs="Times New Roman"/>
              </w:rPr>
              <w:t>18</w:t>
            </w:r>
          </w:p>
        </w:tc>
      </w:tr>
      <w:tr w:rsidR="00A26D68" w14:paraId="4F73B0B1" w14:textId="77777777" w:rsidTr="00A26D68">
        <w:tc>
          <w:tcPr>
            <w:tcW w:w="4508" w:type="dxa"/>
            <w:tcBorders>
              <w:bottom w:val="single" w:sz="4" w:space="0" w:color="auto"/>
            </w:tcBorders>
            <w:vAlign w:val="center"/>
          </w:tcPr>
          <w:p w14:paraId="03F5FC65" w14:textId="3B678109" w:rsidR="00A26D68" w:rsidRPr="00A26D68" w:rsidRDefault="00A26D68" w:rsidP="00A26D68">
            <w:pPr>
              <w:jc w:val="both"/>
              <w:rPr>
                <w:rFonts w:ascii="Times New Roman" w:hAnsi="Times New Roman" w:cs="Times New Roman"/>
                <w:sz w:val="24"/>
                <w:szCs w:val="24"/>
              </w:rPr>
            </w:pPr>
            <w:r w:rsidRPr="00A26D68">
              <w:rPr>
                <w:rFonts w:ascii="Times New Roman" w:hAnsi="Times New Roman" w:cs="Times New Roman"/>
              </w:rPr>
              <w:t>Major metabolite classes identified</w:t>
            </w:r>
          </w:p>
        </w:tc>
        <w:tc>
          <w:tcPr>
            <w:tcW w:w="4508" w:type="dxa"/>
            <w:tcBorders>
              <w:bottom w:val="single" w:sz="4" w:space="0" w:color="auto"/>
            </w:tcBorders>
            <w:vAlign w:val="center"/>
          </w:tcPr>
          <w:p w14:paraId="0EE056EE" w14:textId="0CCE0A32" w:rsidR="00A26D68" w:rsidRPr="00A26D68" w:rsidRDefault="00A26D68" w:rsidP="00A26D68">
            <w:pPr>
              <w:jc w:val="both"/>
              <w:rPr>
                <w:rFonts w:ascii="Times New Roman" w:hAnsi="Times New Roman" w:cs="Times New Roman"/>
                <w:sz w:val="24"/>
                <w:szCs w:val="24"/>
              </w:rPr>
            </w:pPr>
            <w:r w:rsidRPr="00A26D68">
              <w:rPr>
                <w:rFonts w:ascii="Times New Roman" w:hAnsi="Times New Roman" w:cs="Times New Roman"/>
              </w:rPr>
              <w:t>5</w:t>
            </w:r>
          </w:p>
        </w:tc>
      </w:tr>
    </w:tbl>
    <w:p w14:paraId="5E3E2074" w14:textId="4DB79697" w:rsidR="00A26D68" w:rsidRDefault="00A26D68" w:rsidP="00316A43">
      <w:pPr>
        <w:spacing w:after="0" w:line="360" w:lineRule="auto"/>
        <w:jc w:val="both"/>
        <w:rPr>
          <w:rFonts w:ascii="Times New Roman" w:hAnsi="Times New Roman" w:cs="Times New Roman"/>
          <w:sz w:val="24"/>
          <w:szCs w:val="24"/>
        </w:rPr>
      </w:pPr>
      <w:r w:rsidRPr="00A26D68">
        <w:rPr>
          <w:rFonts w:ascii="Times New Roman" w:hAnsi="Times New Roman" w:cs="Times New Roman"/>
          <w:sz w:val="24"/>
          <w:szCs w:val="24"/>
        </w:rPr>
        <w:t>The progressive reduction from raw spectral features to annotated metabolites reflects the stringent quality-control and statistical filtering procedures commonly applied in untargeted metabolomics. Although only a subset of detected features could be putatively annotated, these metabolites represented the most biologically informative compounds associated with treatment responses and were subsequently evaluated for their potential contribution to climate-responsive biomass performance.</w:t>
      </w:r>
    </w:p>
    <w:p w14:paraId="41DDF565" w14:textId="4F7DA722" w:rsidR="00A26D68" w:rsidRDefault="00A26D68" w:rsidP="00316A43">
      <w:pPr>
        <w:spacing w:after="0" w:line="360" w:lineRule="auto"/>
        <w:jc w:val="both"/>
        <w:rPr>
          <w:rFonts w:ascii="Times New Roman" w:hAnsi="Times New Roman" w:cs="Times New Roman"/>
          <w:sz w:val="24"/>
          <w:szCs w:val="24"/>
        </w:rPr>
      </w:pPr>
      <w:r w:rsidRPr="00A26D68">
        <w:rPr>
          <w:rFonts w:ascii="Times New Roman" w:hAnsi="Times New Roman" w:cs="Times New Roman"/>
          <w:sz w:val="24"/>
          <w:szCs w:val="24"/>
        </w:rPr>
        <w:t xml:space="preserve">Among the 124 differential features identified, 18 metabolites could be putatively annotated based on accurate mass matching and comparison with publicly available spectral databases. These annotated metabolites were classified into major biochemical groups associated with plant stress adaptation and biomass regulation. The most prominent metabolite classes included </w:t>
      </w:r>
      <w:r w:rsidRPr="00A26D68">
        <w:rPr>
          <w:rFonts w:ascii="Times New Roman" w:hAnsi="Times New Roman" w:cs="Times New Roman"/>
          <w:sz w:val="24"/>
          <w:szCs w:val="24"/>
        </w:rPr>
        <w:lastRenderedPageBreak/>
        <w:t>flavonoids, phenolic compounds, organic acids, amino acid derivatives, and lipid-related metabolites. Relative abundance analysis indicated that moderate water stress promoted the accumulation of several protective metabolites, suggesting coordinated metabolic adjustment in response to climate-related stress conditions. A summary of the putatively annotated metabolite classes and their biological relevance is presented in Table 5.</w:t>
      </w:r>
    </w:p>
    <w:p w14:paraId="350D116D" w14:textId="2F32900C" w:rsidR="00316A43" w:rsidRDefault="00316A43" w:rsidP="00316A43">
      <w:pPr>
        <w:spacing w:after="0" w:line="360" w:lineRule="auto"/>
        <w:jc w:val="both"/>
        <w:rPr>
          <w:rFonts w:ascii="Times New Roman" w:hAnsi="Times New Roman" w:cs="Times New Roman"/>
          <w:i/>
          <w:iCs/>
          <w:sz w:val="24"/>
          <w:szCs w:val="24"/>
        </w:rPr>
      </w:pPr>
      <w:r w:rsidRPr="003E4E32">
        <w:rPr>
          <w:rFonts w:ascii="Times New Roman" w:hAnsi="Times New Roman" w:cs="Times New Roman"/>
          <w:sz w:val="24"/>
          <w:szCs w:val="24"/>
        </w:rPr>
        <w:t xml:space="preserve">Table </w:t>
      </w:r>
      <w:r w:rsidR="00A26D68">
        <w:rPr>
          <w:rFonts w:ascii="Times New Roman" w:hAnsi="Times New Roman" w:cs="Times New Roman"/>
          <w:sz w:val="24"/>
          <w:szCs w:val="24"/>
        </w:rPr>
        <w:t>5</w:t>
      </w:r>
      <w:r w:rsidRPr="003E4E32">
        <w:rPr>
          <w:rFonts w:ascii="Times New Roman" w:hAnsi="Times New Roman" w:cs="Times New Roman"/>
          <w:sz w:val="24"/>
          <w:szCs w:val="24"/>
        </w:rPr>
        <w:t xml:space="preserve">. </w:t>
      </w:r>
      <w:r w:rsidR="00A26D68" w:rsidRPr="00A26D68">
        <w:rPr>
          <w:rFonts w:ascii="Times New Roman" w:hAnsi="Times New Roman" w:cs="Times New Roman"/>
          <w:sz w:val="24"/>
          <w:szCs w:val="24"/>
        </w:rPr>
        <w:t>Putatively annotated metabolite classes associated with treatment responses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985"/>
        <w:gridCol w:w="1161"/>
        <w:gridCol w:w="965"/>
        <w:gridCol w:w="2642"/>
      </w:tblGrid>
      <w:tr w:rsidR="003E4E32" w:rsidRPr="003E4E32" w14:paraId="0A904053" w14:textId="77777777" w:rsidTr="003E4E32">
        <w:tc>
          <w:tcPr>
            <w:tcW w:w="2263" w:type="dxa"/>
            <w:tcBorders>
              <w:top w:val="single" w:sz="4" w:space="0" w:color="auto"/>
              <w:bottom w:val="single" w:sz="4" w:space="0" w:color="auto"/>
            </w:tcBorders>
          </w:tcPr>
          <w:p w14:paraId="15B6EA7D" w14:textId="7DCA8402" w:rsidR="003E4E32" w:rsidRPr="003E4E32" w:rsidRDefault="003E4E32" w:rsidP="003E4E32">
            <w:pPr>
              <w:jc w:val="both"/>
              <w:rPr>
                <w:rFonts w:ascii="Times New Roman" w:hAnsi="Times New Roman" w:cs="Times New Roman"/>
                <w:b/>
                <w:bCs/>
              </w:rPr>
            </w:pPr>
            <w:r w:rsidRPr="003E4E32">
              <w:rPr>
                <w:rFonts w:ascii="Times New Roman" w:hAnsi="Times New Roman" w:cs="Times New Roman"/>
                <w:b/>
                <w:bCs/>
              </w:rPr>
              <w:t>Metabolite class</w:t>
            </w:r>
          </w:p>
        </w:tc>
        <w:tc>
          <w:tcPr>
            <w:tcW w:w="1985" w:type="dxa"/>
            <w:tcBorders>
              <w:top w:val="single" w:sz="4" w:space="0" w:color="auto"/>
              <w:bottom w:val="single" w:sz="4" w:space="0" w:color="auto"/>
            </w:tcBorders>
          </w:tcPr>
          <w:p w14:paraId="254E8B1D" w14:textId="5D373397" w:rsidR="003E4E32" w:rsidRPr="003E4E32" w:rsidRDefault="003E4E32" w:rsidP="003E4E32">
            <w:pPr>
              <w:jc w:val="both"/>
              <w:rPr>
                <w:rFonts w:ascii="Times New Roman" w:hAnsi="Times New Roman" w:cs="Times New Roman"/>
                <w:b/>
                <w:bCs/>
              </w:rPr>
            </w:pPr>
            <w:r w:rsidRPr="003E4E32">
              <w:rPr>
                <w:rFonts w:ascii="Times New Roman" w:hAnsi="Times New Roman" w:cs="Times New Roman"/>
                <w:b/>
                <w:bCs/>
              </w:rPr>
              <w:t>Relative abundance (MS vs C)</w:t>
            </w:r>
          </w:p>
        </w:tc>
        <w:tc>
          <w:tcPr>
            <w:tcW w:w="1161" w:type="dxa"/>
            <w:tcBorders>
              <w:top w:val="single" w:sz="4" w:space="0" w:color="auto"/>
              <w:bottom w:val="single" w:sz="4" w:space="0" w:color="auto"/>
            </w:tcBorders>
          </w:tcPr>
          <w:p w14:paraId="513B98DF" w14:textId="29C3133B" w:rsidR="003E4E32" w:rsidRPr="003E4E32" w:rsidRDefault="003E4E32" w:rsidP="003E4E32">
            <w:pPr>
              <w:jc w:val="both"/>
              <w:rPr>
                <w:rFonts w:ascii="Times New Roman" w:hAnsi="Times New Roman" w:cs="Times New Roman"/>
                <w:b/>
                <w:bCs/>
              </w:rPr>
            </w:pPr>
            <w:r w:rsidRPr="003E4E32">
              <w:rPr>
                <w:rFonts w:ascii="Times New Roman" w:hAnsi="Times New Roman" w:cs="Times New Roman"/>
                <w:b/>
                <w:bCs/>
              </w:rPr>
              <w:t>VIP score</w:t>
            </w:r>
          </w:p>
        </w:tc>
        <w:tc>
          <w:tcPr>
            <w:tcW w:w="965" w:type="dxa"/>
            <w:tcBorders>
              <w:top w:val="single" w:sz="4" w:space="0" w:color="auto"/>
              <w:bottom w:val="single" w:sz="4" w:space="0" w:color="auto"/>
            </w:tcBorders>
          </w:tcPr>
          <w:p w14:paraId="76648BD5" w14:textId="3BC57D13" w:rsidR="003E4E32" w:rsidRPr="003E4E32" w:rsidRDefault="003E4E32" w:rsidP="003E4E32">
            <w:pPr>
              <w:jc w:val="both"/>
              <w:rPr>
                <w:rFonts w:ascii="Times New Roman" w:hAnsi="Times New Roman" w:cs="Times New Roman"/>
                <w:b/>
                <w:bCs/>
              </w:rPr>
            </w:pPr>
            <w:r w:rsidRPr="003E4E32">
              <w:rPr>
                <w:rFonts w:ascii="Times New Roman" w:hAnsi="Times New Roman" w:cs="Times New Roman"/>
                <w:b/>
                <w:bCs/>
              </w:rPr>
              <w:t>P-value</w:t>
            </w:r>
          </w:p>
        </w:tc>
        <w:tc>
          <w:tcPr>
            <w:tcW w:w="2642" w:type="dxa"/>
            <w:tcBorders>
              <w:top w:val="single" w:sz="4" w:space="0" w:color="auto"/>
              <w:bottom w:val="single" w:sz="4" w:space="0" w:color="auto"/>
            </w:tcBorders>
          </w:tcPr>
          <w:p w14:paraId="0A556F01" w14:textId="225C160D" w:rsidR="003E4E32" w:rsidRPr="003E4E32" w:rsidRDefault="003E4E32" w:rsidP="003E4E32">
            <w:pPr>
              <w:jc w:val="both"/>
              <w:rPr>
                <w:rFonts w:ascii="Times New Roman" w:hAnsi="Times New Roman" w:cs="Times New Roman"/>
                <w:b/>
                <w:bCs/>
              </w:rPr>
            </w:pPr>
            <w:r w:rsidRPr="003E4E32">
              <w:rPr>
                <w:rFonts w:ascii="Times New Roman" w:hAnsi="Times New Roman" w:cs="Times New Roman"/>
                <w:b/>
                <w:bCs/>
              </w:rPr>
              <w:t>Biological interpretation</w:t>
            </w:r>
          </w:p>
        </w:tc>
      </w:tr>
      <w:tr w:rsidR="003E4E32" w:rsidRPr="003E4E32" w14:paraId="791C4166" w14:textId="77777777" w:rsidTr="003E4E32">
        <w:tc>
          <w:tcPr>
            <w:tcW w:w="2263" w:type="dxa"/>
            <w:tcBorders>
              <w:top w:val="single" w:sz="4" w:space="0" w:color="auto"/>
            </w:tcBorders>
          </w:tcPr>
          <w:p w14:paraId="5B006427" w14:textId="41C6A386" w:rsidR="003E4E32" w:rsidRPr="003E4E32" w:rsidRDefault="003E4E32" w:rsidP="003E4E32">
            <w:pPr>
              <w:jc w:val="both"/>
              <w:rPr>
                <w:rFonts w:ascii="Times New Roman" w:hAnsi="Times New Roman" w:cs="Times New Roman"/>
              </w:rPr>
            </w:pPr>
            <w:r w:rsidRPr="003E4E32">
              <w:rPr>
                <w:rFonts w:ascii="Times New Roman" w:hAnsi="Times New Roman" w:cs="Times New Roman"/>
              </w:rPr>
              <w:t>Flavonoids</w:t>
            </w:r>
          </w:p>
        </w:tc>
        <w:tc>
          <w:tcPr>
            <w:tcW w:w="1985" w:type="dxa"/>
            <w:tcBorders>
              <w:top w:val="single" w:sz="4" w:space="0" w:color="auto"/>
            </w:tcBorders>
          </w:tcPr>
          <w:p w14:paraId="390F0841" w14:textId="7C7C2B5C" w:rsidR="003E4E32" w:rsidRPr="003E4E32" w:rsidRDefault="003E4E32" w:rsidP="003E4E32">
            <w:pPr>
              <w:jc w:val="both"/>
              <w:rPr>
                <w:rFonts w:ascii="Times New Roman" w:hAnsi="Times New Roman" w:cs="Times New Roman"/>
              </w:rPr>
            </w:pPr>
            <w:r w:rsidRPr="003E4E32">
              <w:rPr>
                <w:rFonts w:ascii="Times New Roman" w:hAnsi="Times New Roman" w:cs="Times New Roman"/>
              </w:rPr>
              <w:t>+1.92</w:t>
            </w:r>
          </w:p>
        </w:tc>
        <w:tc>
          <w:tcPr>
            <w:tcW w:w="1161" w:type="dxa"/>
            <w:tcBorders>
              <w:top w:val="single" w:sz="4" w:space="0" w:color="auto"/>
            </w:tcBorders>
          </w:tcPr>
          <w:p w14:paraId="10BC8886" w14:textId="429866E7" w:rsidR="003E4E32" w:rsidRPr="003E4E32" w:rsidRDefault="003E4E32" w:rsidP="003E4E32">
            <w:pPr>
              <w:jc w:val="both"/>
              <w:rPr>
                <w:rFonts w:ascii="Times New Roman" w:hAnsi="Times New Roman" w:cs="Times New Roman"/>
              </w:rPr>
            </w:pPr>
            <w:r w:rsidRPr="003E4E32">
              <w:rPr>
                <w:rFonts w:ascii="Times New Roman" w:hAnsi="Times New Roman" w:cs="Times New Roman"/>
              </w:rPr>
              <w:t>1.83</w:t>
            </w:r>
          </w:p>
        </w:tc>
        <w:tc>
          <w:tcPr>
            <w:tcW w:w="965" w:type="dxa"/>
            <w:tcBorders>
              <w:top w:val="single" w:sz="4" w:space="0" w:color="auto"/>
            </w:tcBorders>
          </w:tcPr>
          <w:p w14:paraId="2BCE272A" w14:textId="6BB076C5" w:rsidR="003E4E32" w:rsidRPr="003E4E32" w:rsidRDefault="003E4E32" w:rsidP="003E4E32">
            <w:pPr>
              <w:jc w:val="both"/>
              <w:rPr>
                <w:rFonts w:ascii="Times New Roman" w:hAnsi="Times New Roman" w:cs="Times New Roman"/>
              </w:rPr>
            </w:pPr>
            <w:r w:rsidRPr="003E4E32">
              <w:rPr>
                <w:rFonts w:ascii="Times New Roman" w:hAnsi="Times New Roman" w:cs="Times New Roman"/>
              </w:rPr>
              <w:t>0.002</w:t>
            </w:r>
          </w:p>
        </w:tc>
        <w:tc>
          <w:tcPr>
            <w:tcW w:w="2642" w:type="dxa"/>
            <w:tcBorders>
              <w:top w:val="single" w:sz="4" w:space="0" w:color="auto"/>
            </w:tcBorders>
          </w:tcPr>
          <w:p w14:paraId="1EC14FB9" w14:textId="6BC94F03" w:rsidR="003E4E32" w:rsidRPr="003E4E32" w:rsidRDefault="003E4E32" w:rsidP="003E4E32">
            <w:pPr>
              <w:jc w:val="both"/>
              <w:rPr>
                <w:rFonts w:ascii="Times New Roman" w:hAnsi="Times New Roman" w:cs="Times New Roman"/>
              </w:rPr>
            </w:pPr>
            <w:r w:rsidRPr="003E4E32">
              <w:rPr>
                <w:rFonts w:ascii="Times New Roman" w:hAnsi="Times New Roman" w:cs="Times New Roman"/>
              </w:rPr>
              <w:t>Oxidative protection</w:t>
            </w:r>
          </w:p>
        </w:tc>
      </w:tr>
      <w:tr w:rsidR="003E4E32" w:rsidRPr="003E4E32" w14:paraId="1DB515D8" w14:textId="77777777" w:rsidTr="003E4E32">
        <w:tc>
          <w:tcPr>
            <w:tcW w:w="2263" w:type="dxa"/>
          </w:tcPr>
          <w:p w14:paraId="4C05D40D" w14:textId="24E91237" w:rsidR="003E4E32" w:rsidRPr="003E4E32" w:rsidRDefault="003E4E32" w:rsidP="003E4E32">
            <w:pPr>
              <w:jc w:val="both"/>
              <w:rPr>
                <w:rFonts w:ascii="Times New Roman" w:hAnsi="Times New Roman" w:cs="Times New Roman"/>
              </w:rPr>
            </w:pPr>
            <w:r w:rsidRPr="003E4E32">
              <w:rPr>
                <w:rFonts w:ascii="Times New Roman" w:hAnsi="Times New Roman" w:cs="Times New Roman"/>
              </w:rPr>
              <w:t>Phenolic compounds</w:t>
            </w:r>
          </w:p>
        </w:tc>
        <w:tc>
          <w:tcPr>
            <w:tcW w:w="1985" w:type="dxa"/>
          </w:tcPr>
          <w:p w14:paraId="16A4C314" w14:textId="1C6C7FA8" w:rsidR="003E4E32" w:rsidRPr="003E4E32" w:rsidRDefault="003E4E32" w:rsidP="003E4E32">
            <w:pPr>
              <w:jc w:val="both"/>
              <w:rPr>
                <w:rFonts w:ascii="Times New Roman" w:hAnsi="Times New Roman" w:cs="Times New Roman"/>
              </w:rPr>
            </w:pPr>
            <w:r w:rsidRPr="003E4E32">
              <w:rPr>
                <w:rFonts w:ascii="Times New Roman" w:hAnsi="Times New Roman" w:cs="Times New Roman"/>
              </w:rPr>
              <w:t>+1.68</w:t>
            </w:r>
          </w:p>
        </w:tc>
        <w:tc>
          <w:tcPr>
            <w:tcW w:w="1161" w:type="dxa"/>
          </w:tcPr>
          <w:p w14:paraId="49DC8D43" w14:textId="096A01F0" w:rsidR="003E4E32" w:rsidRPr="003E4E32" w:rsidRDefault="003E4E32" w:rsidP="003E4E32">
            <w:pPr>
              <w:jc w:val="both"/>
              <w:rPr>
                <w:rFonts w:ascii="Times New Roman" w:hAnsi="Times New Roman" w:cs="Times New Roman"/>
              </w:rPr>
            </w:pPr>
            <w:r w:rsidRPr="003E4E32">
              <w:rPr>
                <w:rFonts w:ascii="Times New Roman" w:hAnsi="Times New Roman" w:cs="Times New Roman"/>
              </w:rPr>
              <w:t>1.74</w:t>
            </w:r>
          </w:p>
        </w:tc>
        <w:tc>
          <w:tcPr>
            <w:tcW w:w="965" w:type="dxa"/>
          </w:tcPr>
          <w:p w14:paraId="2D24299E" w14:textId="42D9069D" w:rsidR="003E4E32" w:rsidRPr="003E4E32" w:rsidRDefault="003E4E32" w:rsidP="003E4E32">
            <w:pPr>
              <w:jc w:val="both"/>
              <w:rPr>
                <w:rFonts w:ascii="Times New Roman" w:hAnsi="Times New Roman" w:cs="Times New Roman"/>
              </w:rPr>
            </w:pPr>
            <w:r w:rsidRPr="003E4E32">
              <w:rPr>
                <w:rFonts w:ascii="Times New Roman" w:hAnsi="Times New Roman" w:cs="Times New Roman"/>
              </w:rPr>
              <w:t>0.005</w:t>
            </w:r>
          </w:p>
        </w:tc>
        <w:tc>
          <w:tcPr>
            <w:tcW w:w="2642" w:type="dxa"/>
          </w:tcPr>
          <w:p w14:paraId="5F5D69EA" w14:textId="1ADF983E" w:rsidR="003E4E32" w:rsidRPr="003E4E32" w:rsidRDefault="003E4E32" w:rsidP="003E4E32">
            <w:pPr>
              <w:jc w:val="both"/>
              <w:rPr>
                <w:rFonts w:ascii="Times New Roman" w:hAnsi="Times New Roman" w:cs="Times New Roman"/>
              </w:rPr>
            </w:pPr>
            <w:r w:rsidRPr="003E4E32">
              <w:rPr>
                <w:rFonts w:ascii="Times New Roman" w:hAnsi="Times New Roman" w:cs="Times New Roman"/>
              </w:rPr>
              <w:t>Stress signaling</w:t>
            </w:r>
          </w:p>
        </w:tc>
      </w:tr>
      <w:tr w:rsidR="003E4E32" w:rsidRPr="003E4E32" w14:paraId="4D9AF0CB" w14:textId="77777777" w:rsidTr="003E4E32">
        <w:tc>
          <w:tcPr>
            <w:tcW w:w="2263" w:type="dxa"/>
          </w:tcPr>
          <w:p w14:paraId="4713BF28" w14:textId="0EE048E2" w:rsidR="003E4E32" w:rsidRPr="003E4E32" w:rsidRDefault="003E4E32" w:rsidP="003E4E32">
            <w:pPr>
              <w:jc w:val="both"/>
              <w:rPr>
                <w:rFonts w:ascii="Times New Roman" w:hAnsi="Times New Roman" w:cs="Times New Roman"/>
              </w:rPr>
            </w:pPr>
            <w:r w:rsidRPr="003E4E32">
              <w:rPr>
                <w:rFonts w:ascii="Times New Roman" w:hAnsi="Times New Roman" w:cs="Times New Roman"/>
              </w:rPr>
              <w:t>Organic acids</w:t>
            </w:r>
          </w:p>
        </w:tc>
        <w:tc>
          <w:tcPr>
            <w:tcW w:w="1985" w:type="dxa"/>
          </w:tcPr>
          <w:p w14:paraId="5B994A81" w14:textId="4D58CF15" w:rsidR="003E4E32" w:rsidRPr="003E4E32" w:rsidRDefault="003E4E32" w:rsidP="003E4E32">
            <w:pPr>
              <w:jc w:val="both"/>
              <w:rPr>
                <w:rFonts w:ascii="Times New Roman" w:hAnsi="Times New Roman" w:cs="Times New Roman"/>
              </w:rPr>
            </w:pPr>
            <w:r w:rsidRPr="003E4E32">
              <w:rPr>
                <w:rFonts w:ascii="Times New Roman" w:hAnsi="Times New Roman" w:cs="Times New Roman"/>
              </w:rPr>
              <w:t>+1.44</w:t>
            </w:r>
          </w:p>
        </w:tc>
        <w:tc>
          <w:tcPr>
            <w:tcW w:w="1161" w:type="dxa"/>
          </w:tcPr>
          <w:p w14:paraId="22CC2310" w14:textId="630D2F52" w:rsidR="003E4E32" w:rsidRPr="003E4E32" w:rsidRDefault="003E4E32" w:rsidP="003E4E32">
            <w:pPr>
              <w:jc w:val="both"/>
              <w:rPr>
                <w:rFonts w:ascii="Times New Roman" w:hAnsi="Times New Roman" w:cs="Times New Roman"/>
              </w:rPr>
            </w:pPr>
            <w:r w:rsidRPr="003E4E32">
              <w:rPr>
                <w:rFonts w:ascii="Times New Roman" w:hAnsi="Times New Roman" w:cs="Times New Roman"/>
              </w:rPr>
              <w:t>1.61</w:t>
            </w:r>
          </w:p>
        </w:tc>
        <w:tc>
          <w:tcPr>
            <w:tcW w:w="965" w:type="dxa"/>
          </w:tcPr>
          <w:p w14:paraId="0C69DB62" w14:textId="0BDD3CB3" w:rsidR="003E4E32" w:rsidRPr="003E4E32" w:rsidRDefault="003E4E32" w:rsidP="003E4E32">
            <w:pPr>
              <w:jc w:val="both"/>
              <w:rPr>
                <w:rFonts w:ascii="Times New Roman" w:hAnsi="Times New Roman" w:cs="Times New Roman"/>
              </w:rPr>
            </w:pPr>
            <w:r w:rsidRPr="003E4E32">
              <w:rPr>
                <w:rFonts w:ascii="Times New Roman" w:hAnsi="Times New Roman" w:cs="Times New Roman"/>
              </w:rPr>
              <w:t>0.013</w:t>
            </w:r>
          </w:p>
        </w:tc>
        <w:tc>
          <w:tcPr>
            <w:tcW w:w="2642" w:type="dxa"/>
          </w:tcPr>
          <w:p w14:paraId="5411E56A" w14:textId="416E65AF" w:rsidR="003E4E32" w:rsidRPr="003E4E32" w:rsidRDefault="003E4E32" w:rsidP="003E4E32">
            <w:pPr>
              <w:jc w:val="both"/>
              <w:rPr>
                <w:rFonts w:ascii="Times New Roman" w:hAnsi="Times New Roman" w:cs="Times New Roman"/>
              </w:rPr>
            </w:pPr>
            <w:r w:rsidRPr="003E4E32">
              <w:rPr>
                <w:rFonts w:ascii="Times New Roman" w:hAnsi="Times New Roman" w:cs="Times New Roman"/>
              </w:rPr>
              <w:t>Osmotic adjustment</w:t>
            </w:r>
          </w:p>
        </w:tc>
      </w:tr>
      <w:tr w:rsidR="003E4E32" w:rsidRPr="003E4E32" w14:paraId="79C40D0A" w14:textId="77777777" w:rsidTr="003E4E32">
        <w:tc>
          <w:tcPr>
            <w:tcW w:w="2263" w:type="dxa"/>
          </w:tcPr>
          <w:p w14:paraId="4C147B0E" w14:textId="433FCF6E" w:rsidR="003E4E32" w:rsidRPr="003E4E32" w:rsidRDefault="003E4E32" w:rsidP="003E4E32">
            <w:pPr>
              <w:jc w:val="both"/>
              <w:rPr>
                <w:rFonts w:ascii="Times New Roman" w:hAnsi="Times New Roman" w:cs="Times New Roman"/>
              </w:rPr>
            </w:pPr>
            <w:r w:rsidRPr="003E4E32">
              <w:rPr>
                <w:rFonts w:ascii="Times New Roman" w:hAnsi="Times New Roman" w:cs="Times New Roman"/>
              </w:rPr>
              <w:t>Amino acid derivatives</w:t>
            </w:r>
          </w:p>
        </w:tc>
        <w:tc>
          <w:tcPr>
            <w:tcW w:w="1985" w:type="dxa"/>
          </w:tcPr>
          <w:p w14:paraId="48C1A3B9" w14:textId="0205752C" w:rsidR="003E4E32" w:rsidRPr="003E4E32" w:rsidRDefault="003E4E32" w:rsidP="003E4E32">
            <w:pPr>
              <w:jc w:val="both"/>
              <w:rPr>
                <w:rFonts w:ascii="Times New Roman" w:hAnsi="Times New Roman" w:cs="Times New Roman"/>
              </w:rPr>
            </w:pPr>
            <w:r w:rsidRPr="003E4E32">
              <w:rPr>
                <w:rFonts w:ascii="Times New Roman" w:hAnsi="Times New Roman" w:cs="Times New Roman"/>
              </w:rPr>
              <w:t>+1.39</w:t>
            </w:r>
          </w:p>
        </w:tc>
        <w:tc>
          <w:tcPr>
            <w:tcW w:w="1161" w:type="dxa"/>
          </w:tcPr>
          <w:p w14:paraId="47B2CFAA" w14:textId="266CD408" w:rsidR="003E4E32" w:rsidRPr="003E4E32" w:rsidRDefault="003E4E32" w:rsidP="003E4E32">
            <w:pPr>
              <w:jc w:val="both"/>
              <w:rPr>
                <w:rFonts w:ascii="Times New Roman" w:hAnsi="Times New Roman" w:cs="Times New Roman"/>
              </w:rPr>
            </w:pPr>
            <w:r w:rsidRPr="003E4E32">
              <w:rPr>
                <w:rFonts w:ascii="Times New Roman" w:hAnsi="Times New Roman" w:cs="Times New Roman"/>
              </w:rPr>
              <w:t>1.52</w:t>
            </w:r>
          </w:p>
        </w:tc>
        <w:tc>
          <w:tcPr>
            <w:tcW w:w="965" w:type="dxa"/>
          </w:tcPr>
          <w:p w14:paraId="31D59655" w14:textId="380EEF7B" w:rsidR="003E4E32" w:rsidRPr="003E4E32" w:rsidRDefault="003E4E32" w:rsidP="003E4E32">
            <w:pPr>
              <w:jc w:val="both"/>
              <w:rPr>
                <w:rFonts w:ascii="Times New Roman" w:hAnsi="Times New Roman" w:cs="Times New Roman"/>
              </w:rPr>
            </w:pPr>
            <w:r w:rsidRPr="003E4E32">
              <w:rPr>
                <w:rFonts w:ascii="Times New Roman" w:hAnsi="Times New Roman" w:cs="Times New Roman"/>
              </w:rPr>
              <w:t>0.021</w:t>
            </w:r>
          </w:p>
        </w:tc>
        <w:tc>
          <w:tcPr>
            <w:tcW w:w="2642" w:type="dxa"/>
          </w:tcPr>
          <w:p w14:paraId="69F51218" w14:textId="3006117C" w:rsidR="003E4E32" w:rsidRPr="003E4E32" w:rsidRDefault="003E4E32" w:rsidP="003E4E32">
            <w:pPr>
              <w:jc w:val="both"/>
              <w:rPr>
                <w:rFonts w:ascii="Times New Roman" w:hAnsi="Times New Roman" w:cs="Times New Roman"/>
              </w:rPr>
            </w:pPr>
            <w:r w:rsidRPr="003E4E32">
              <w:rPr>
                <w:rFonts w:ascii="Times New Roman" w:hAnsi="Times New Roman" w:cs="Times New Roman"/>
              </w:rPr>
              <w:t>Metabolic homeostasis</w:t>
            </w:r>
          </w:p>
        </w:tc>
      </w:tr>
      <w:tr w:rsidR="003E4E32" w:rsidRPr="003E4E32" w14:paraId="4DD90322" w14:textId="77777777" w:rsidTr="003E4E32">
        <w:tc>
          <w:tcPr>
            <w:tcW w:w="2263" w:type="dxa"/>
            <w:tcBorders>
              <w:bottom w:val="single" w:sz="4" w:space="0" w:color="auto"/>
            </w:tcBorders>
          </w:tcPr>
          <w:p w14:paraId="71352F2B" w14:textId="73D986AE" w:rsidR="003E4E32" w:rsidRPr="003E4E32" w:rsidRDefault="003E4E32" w:rsidP="003E4E32">
            <w:pPr>
              <w:jc w:val="both"/>
              <w:rPr>
                <w:rFonts w:ascii="Times New Roman" w:hAnsi="Times New Roman" w:cs="Times New Roman"/>
              </w:rPr>
            </w:pPr>
            <w:r w:rsidRPr="003E4E32">
              <w:rPr>
                <w:rFonts w:ascii="Times New Roman" w:hAnsi="Times New Roman" w:cs="Times New Roman"/>
              </w:rPr>
              <w:t>Lipid metabolites</w:t>
            </w:r>
          </w:p>
        </w:tc>
        <w:tc>
          <w:tcPr>
            <w:tcW w:w="1985" w:type="dxa"/>
            <w:tcBorders>
              <w:bottom w:val="single" w:sz="4" w:space="0" w:color="auto"/>
            </w:tcBorders>
          </w:tcPr>
          <w:p w14:paraId="205F6C40" w14:textId="7B10A9BC" w:rsidR="003E4E32" w:rsidRPr="003E4E32" w:rsidRDefault="003E4E32" w:rsidP="003E4E32">
            <w:pPr>
              <w:jc w:val="both"/>
              <w:rPr>
                <w:rFonts w:ascii="Times New Roman" w:hAnsi="Times New Roman" w:cs="Times New Roman"/>
              </w:rPr>
            </w:pPr>
            <w:r w:rsidRPr="003E4E32">
              <w:rPr>
                <w:rFonts w:ascii="Times New Roman" w:hAnsi="Times New Roman" w:cs="Times New Roman"/>
              </w:rPr>
              <w:t>−1.21</w:t>
            </w:r>
          </w:p>
        </w:tc>
        <w:tc>
          <w:tcPr>
            <w:tcW w:w="1161" w:type="dxa"/>
            <w:tcBorders>
              <w:bottom w:val="single" w:sz="4" w:space="0" w:color="auto"/>
            </w:tcBorders>
          </w:tcPr>
          <w:p w14:paraId="07C88ED2" w14:textId="494C7A1F" w:rsidR="003E4E32" w:rsidRPr="003E4E32" w:rsidRDefault="003E4E32" w:rsidP="003E4E32">
            <w:pPr>
              <w:jc w:val="both"/>
              <w:rPr>
                <w:rFonts w:ascii="Times New Roman" w:hAnsi="Times New Roman" w:cs="Times New Roman"/>
              </w:rPr>
            </w:pPr>
            <w:r w:rsidRPr="003E4E32">
              <w:rPr>
                <w:rFonts w:ascii="Times New Roman" w:hAnsi="Times New Roman" w:cs="Times New Roman"/>
              </w:rPr>
              <w:t>1.35</w:t>
            </w:r>
          </w:p>
        </w:tc>
        <w:tc>
          <w:tcPr>
            <w:tcW w:w="965" w:type="dxa"/>
            <w:tcBorders>
              <w:bottom w:val="single" w:sz="4" w:space="0" w:color="auto"/>
            </w:tcBorders>
          </w:tcPr>
          <w:p w14:paraId="341BD147" w14:textId="15F5D599" w:rsidR="003E4E32" w:rsidRPr="003E4E32" w:rsidRDefault="003E4E32" w:rsidP="003E4E32">
            <w:pPr>
              <w:jc w:val="both"/>
              <w:rPr>
                <w:rFonts w:ascii="Times New Roman" w:hAnsi="Times New Roman" w:cs="Times New Roman"/>
              </w:rPr>
            </w:pPr>
            <w:r w:rsidRPr="003E4E32">
              <w:rPr>
                <w:rFonts w:ascii="Times New Roman" w:hAnsi="Times New Roman" w:cs="Times New Roman"/>
              </w:rPr>
              <w:t>0.037</w:t>
            </w:r>
          </w:p>
        </w:tc>
        <w:tc>
          <w:tcPr>
            <w:tcW w:w="2642" w:type="dxa"/>
            <w:tcBorders>
              <w:bottom w:val="single" w:sz="4" w:space="0" w:color="auto"/>
            </w:tcBorders>
          </w:tcPr>
          <w:p w14:paraId="2A38531B" w14:textId="13101C5C" w:rsidR="003E4E32" w:rsidRPr="003E4E32" w:rsidRDefault="003E4E32" w:rsidP="003E4E32">
            <w:pPr>
              <w:jc w:val="both"/>
              <w:rPr>
                <w:rFonts w:ascii="Times New Roman" w:hAnsi="Times New Roman" w:cs="Times New Roman"/>
              </w:rPr>
            </w:pPr>
            <w:r w:rsidRPr="003E4E32">
              <w:rPr>
                <w:rFonts w:ascii="Times New Roman" w:hAnsi="Times New Roman" w:cs="Times New Roman"/>
              </w:rPr>
              <w:t>Membrane restructuring</w:t>
            </w:r>
          </w:p>
        </w:tc>
      </w:tr>
    </w:tbl>
    <w:p w14:paraId="629298BF" w14:textId="2F322328" w:rsidR="003E4E32" w:rsidRPr="003E4E32" w:rsidRDefault="003E4E32" w:rsidP="00316A43">
      <w:pPr>
        <w:spacing w:after="0" w:line="360" w:lineRule="auto"/>
        <w:jc w:val="both"/>
        <w:rPr>
          <w:rFonts w:ascii="Times New Roman" w:hAnsi="Times New Roman" w:cs="Times New Roman"/>
          <w:sz w:val="24"/>
          <w:szCs w:val="24"/>
        </w:rPr>
      </w:pPr>
      <w:r w:rsidRPr="003E4E32">
        <w:rPr>
          <w:rFonts w:ascii="Times New Roman" w:hAnsi="Times New Roman" w:cs="Times New Roman"/>
          <w:sz w:val="20"/>
          <w:szCs w:val="20"/>
        </w:rPr>
        <w:t>Note: Relative abundance indicates fold change relative to control conditions. VIP = Variable Importance in Projection derived from PLS–DA analysis. P-values represent significance from multivariate metabolomic comparison after normalization and multiple testing adjustment. Variables with VIP &gt; 1.0 and P &lt; 0.05 were considered significant biomarkers.</w:t>
      </w:r>
    </w:p>
    <w:p w14:paraId="63EA5B59" w14:textId="4DA368B2" w:rsidR="00853982" w:rsidRDefault="00316A43" w:rsidP="00316A43">
      <w:pPr>
        <w:spacing w:after="0" w:line="360" w:lineRule="auto"/>
        <w:jc w:val="both"/>
        <w:rPr>
          <w:rFonts w:ascii="Times New Roman" w:hAnsi="Times New Roman" w:cs="Times New Roman"/>
          <w:sz w:val="24"/>
          <w:szCs w:val="24"/>
        </w:rPr>
      </w:pPr>
      <w:r w:rsidRPr="00316A43">
        <w:rPr>
          <w:rFonts w:ascii="Times New Roman" w:hAnsi="Times New Roman" w:cs="Times New Roman"/>
          <w:sz w:val="24"/>
          <w:szCs w:val="24"/>
        </w:rPr>
        <w:t xml:space="preserve">Metabolic enrichment patterns indicate that climate resilience in </w:t>
      </w:r>
      <w:r w:rsidRPr="00316A43">
        <w:rPr>
          <w:rFonts w:ascii="Times New Roman" w:hAnsi="Times New Roman" w:cs="Times New Roman"/>
          <w:i/>
          <w:iCs/>
          <w:sz w:val="24"/>
          <w:szCs w:val="24"/>
        </w:rPr>
        <w:t>Nopalea cochenillifera</w:t>
      </w:r>
      <w:r w:rsidRPr="00316A43">
        <w:rPr>
          <w:rFonts w:ascii="Times New Roman" w:hAnsi="Times New Roman" w:cs="Times New Roman"/>
          <w:sz w:val="24"/>
          <w:szCs w:val="24"/>
        </w:rPr>
        <w:t xml:space="preserve"> extends beyond morphological tolerance and involves coordinated biochemical adjustment.</w:t>
      </w:r>
      <w:r w:rsidR="00853982">
        <w:rPr>
          <w:rFonts w:ascii="Times New Roman" w:hAnsi="Times New Roman" w:cs="Times New Roman"/>
          <w:sz w:val="24"/>
          <w:szCs w:val="24"/>
        </w:rPr>
        <w:t xml:space="preserve"> </w:t>
      </w:r>
      <w:r w:rsidR="003E4E32">
        <w:rPr>
          <w:rFonts w:ascii="Times New Roman" w:hAnsi="Times New Roman" w:cs="Times New Roman"/>
          <w:sz w:val="24"/>
          <w:szCs w:val="24"/>
        </w:rPr>
        <w:t xml:space="preserve"> </w:t>
      </w:r>
      <w:r w:rsidR="00853982" w:rsidRPr="00853982">
        <w:rPr>
          <w:rFonts w:ascii="Times New Roman" w:hAnsi="Times New Roman" w:cs="Times New Roman"/>
          <w:sz w:val="24"/>
          <w:szCs w:val="24"/>
        </w:rPr>
        <w:t xml:space="preserve">To improve interpretability of untargeted metabolomic outputs, the most discriminative metabolic features were further summarized as putative annotations based on accurate mass matching and spectral comparison (Table </w:t>
      </w:r>
      <w:r w:rsidR="00A26D68">
        <w:rPr>
          <w:rFonts w:ascii="Times New Roman" w:hAnsi="Times New Roman" w:cs="Times New Roman"/>
          <w:sz w:val="24"/>
          <w:szCs w:val="24"/>
        </w:rPr>
        <w:t>6</w:t>
      </w:r>
      <w:r w:rsidR="00853982" w:rsidRPr="00853982">
        <w:rPr>
          <w:rFonts w:ascii="Times New Roman" w:hAnsi="Times New Roman" w:cs="Times New Roman"/>
          <w:sz w:val="24"/>
          <w:szCs w:val="24"/>
        </w:rPr>
        <w:t>).</w:t>
      </w:r>
    </w:p>
    <w:p w14:paraId="2293CAF3" w14:textId="715BDF35" w:rsidR="00853982" w:rsidRDefault="00853982" w:rsidP="00316A43">
      <w:pPr>
        <w:spacing w:after="0" w:line="360" w:lineRule="auto"/>
        <w:jc w:val="both"/>
        <w:rPr>
          <w:rFonts w:ascii="Times New Roman" w:hAnsi="Times New Roman" w:cs="Times New Roman"/>
          <w:i/>
          <w:iCs/>
          <w:sz w:val="24"/>
          <w:szCs w:val="24"/>
        </w:rPr>
      </w:pPr>
      <w:r w:rsidRPr="00853982">
        <w:rPr>
          <w:rFonts w:ascii="Times New Roman" w:hAnsi="Times New Roman" w:cs="Times New Roman"/>
          <w:sz w:val="24"/>
          <w:szCs w:val="24"/>
        </w:rPr>
        <w:t xml:space="preserve">Table </w:t>
      </w:r>
      <w:r w:rsidR="00A26D68">
        <w:rPr>
          <w:rFonts w:ascii="Times New Roman" w:hAnsi="Times New Roman" w:cs="Times New Roman"/>
          <w:sz w:val="24"/>
          <w:szCs w:val="24"/>
        </w:rPr>
        <w:t>6</w:t>
      </w:r>
      <w:r w:rsidRPr="00853982">
        <w:rPr>
          <w:rFonts w:ascii="Times New Roman" w:hAnsi="Times New Roman" w:cs="Times New Roman"/>
          <w:sz w:val="24"/>
          <w:szCs w:val="24"/>
        </w:rPr>
        <w:t xml:space="preserve">. Putative metabolite annotation associated with climate-responsive biomass traits in </w:t>
      </w:r>
      <w:r w:rsidRPr="00853982">
        <w:rPr>
          <w:rFonts w:ascii="Times New Roman" w:hAnsi="Times New Roman" w:cs="Times New Roman"/>
          <w:i/>
          <w:iCs/>
          <w:sz w:val="24"/>
          <w:szCs w:val="24"/>
        </w:rPr>
        <w:t>Nopalea cochenillifera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6"/>
        <w:gridCol w:w="705"/>
        <w:gridCol w:w="821"/>
        <w:gridCol w:w="705"/>
        <w:gridCol w:w="1585"/>
        <w:gridCol w:w="1341"/>
        <w:gridCol w:w="681"/>
        <w:gridCol w:w="839"/>
        <w:gridCol w:w="952"/>
      </w:tblGrid>
      <w:tr w:rsidR="00A9228D" w:rsidRPr="00A9228D" w14:paraId="037FADE5" w14:textId="1A676DBA" w:rsidTr="00A9228D">
        <w:tc>
          <w:tcPr>
            <w:tcW w:w="876" w:type="dxa"/>
            <w:tcBorders>
              <w:top w:val="single" w:sz="4" w:space="0" w:color="auto"/>
              <w:bottom w:val="single" w:sz="4" w:space="0" w:color="auto"/>
            </w:tcBorders>
          </w:tcPr>
          <w:p w14:paraId="746843C0" w14:textId="37C6BA77" w:rsidR="00A9228D" w:rsidRPr="00A9228D" w:rsidRDefault="00A9228D" w:rsidP="00A9228D">
            <w:pPr>
              <w:jc w:val="both"/>
              <w:rPr>
                <w:rFonts w:ascii="Times New Roman" w:hAnsi="Times New Roman" w:cs="Times New Roman"/>
              </w:rPr>
            </w:pPr>
            <w:r w:rsidRPr="00A9228D">
              <w:rPr>
                <w:rFonts w:ascii="Times New Roman" w:hAnsi="Times New Roman" w:cs="Times New Roman"/>
              </w:rPr>
              <w:t>Feature ID</w:t>
            </w:r>
          </w:p>
        </w:tc>
        <w:tc>
          <w:tcPr>
            <w:tcW w:w="705" w:type="dxa"/>
            <w:tcBorders>
              <w:top w:val="single" w:sz="4" w:space="0" w:color="auto"/>
              <w:bottom w:val="single" w:sz="4" w:space="0" w:color="auto"/>
            </w:tcBorders>
          </w:tcPr>
          <w:p w14:paraId="5EFC068C" w14:textId="5DEC475D" w:rsidR="00A9228D" w:rsidRPr="00A9228D" w:rsidRDefault="00A9228D" w:rsidP="00A9228D">
            <w:pPr>
              <w:jc w:val="both"/>
              <w:rPr>
                <w:rFonts w:ascii="Times New Roman" w:hAnsi="Times New Roman" w:cs="Times New Roman"/>
              </w:rPr>
            </w:pPr>
            <w:r w:rsidRPr="00A9228D">
              <w:rPr>
                <w:rFonts w:ascii="Times New Roman" w:hAnsi="Times New Roman" w:cs="Times New Roman"/>
              </w:rPr>
              <w:t>RT (min)</w:t>
            </w:r>
          </w:p>
        </w:tc>
        <w:tc>
          <w:tcPr>
            <w:tcW w:w="821" w:type="dxa"/>
            <w:tcBorders>
              <w:top w:val="single" w:sz="4" w:space="0" w:color="auto"/>
              <w:bottom w:val="single" w:sz="4" w:space="0" w:color="auto"/>
            </w:tcBorders>
          </w:tcPr>
          <w:p w14:paraId="059414FC" w14:textId="4C7A9659" w:rsidR="00A9228D" w:rsidRPr="00A9228D" w:rsidRDefault="00A9228D" w:rsidP="00A9228D">
            <w:pPr>
              <w:jc w:val="both"/>
              <w:rPr>
                <w:rFonts w:ascii="Times New Roman" w:hAnsi="Times New Roman" w:cs="Times New Roman"/>
              </w:rPr>
            </w:pPr>
            <w:r w:rsidRPr="00A9228D">
              <w:rPr>
                <w:rFonts w:ascii="Times New Roman" w:hAnsi="Times New Roman" w:cs="Times New Roman"/>
              </w:rPr>
              <w:t>m/z</w:t>
            </w:r>
          </w:p>
        </w:tc>
        <w:tc>
          <w:tcPr>
            <w:tcW w:w="705" w:type="dxa"/>
            <w:tcBorders>
              <w:top w:val="single" w:sz="4" w:space="0" w:color="auto"/>
              <w:bottom w:val="single" w:sz="4" w:space="0" w:color="auto"/>
            </w:tcBorders>
          </w:tcPr>
          <w:p w14:paraId="1CF5BF25" w14:textId="15E6ACD3" w:rsidR="00A9228D" w:rsidRPr="00A9228D" w:rsidRDefault="00A9228D" w:rsidP="00A9228D">
            <w:pPr>
              <w:jc w:val="both"/>
              <w:rPr>
                <w:rFonts w:ascii="Times New Roman" w:hAnsi="Times New Roman" w:cs="Times New Roman"/>
              </w:rPr>
            </w:pPr>
            <w:r w:rsidRPr="00A9228D">
              <w:rPr>
                <w:rFonts w:ascii="Times New Roman" w:hAnsi="Times New Roman" w:cs="Times New Roman"/>
              </w:rPr>
              <w:t>Ion mode</w:t>
            </w:r>
          </w:p>
        </w:tc>
        <w:tc>
          <w:tcPr>
            <w:tcW w:w="1585" w:type="dxa"/>
            <w:tcBorders>
              <w:top w:val="single" w:sz="4" w:space="0" w:color="auto"/>
              <w:bottom w:val="single" w:sz="4" w:space="0" w:color="auto"/>
            </w:tcBorders>
          </w:tcPr>
          <w:p w14:paraId="1AB2BFBE" w14:textId="4D80E1FC" w:rsidR="00A9228D" w:rsidRPr="00A9228D" w:rsidRDefault="00A9228D" w:rsidP="00A9228D">
            <w:pPr>
              <w:jc w:val="both"/>
              <w:rPr>
                <w:rFonts w:ascii="Times New Roman" w:hAnsi="Times New Roman" w:cs="Times New Roman"/>
              </w:rPr>
            </w:pPr>
            <w:r w:rsidRPr="00A9228D">
              <w:rPr>
                <w:rFonts w:ascii="Times New Roman" w:hAnsi="Times New Roman" w:cs="Times New Roman"/>
              </w:rPr>
              <w:t>Putative annotation</w:t>
            </w:r>
          </w:p>
        </w:tc>
        <w:tc>
          <w:tcPr>
            <w:tcW w:w="1341" w:type="dxa"/>
            <w:tcBorders>
              <w:top w:val="single" w:sz="4" w:space="0" w:color="auto"/>
              <w:bottom w:val="single" w:sz="4" w:space="0" w:color="auto"/>
            </w:tcBorders>
          </w:tcPr>
          <w:p w14:paraId="56729292" w14:textId="646A5763" w:rsidR="00A9228D" w:rsidRPr="00A9228D" w:rsidRDefault="00A9228D" w:rsidP="00A9228D">
            <w:pPr>
              <w:jc w:val="both"/>
              <w:rPr>
                <w:rFonts w:ascii="Times New Roman" w:hAnsi="Times New Roman" w:cs="Times New Roman"/>
              </w:rPr>
            </w:pPr>
            <w:r w:rsidRPr="00A9228D">
              <w:rPr>
                <w:rFonts w:ascii="Times New Roman" w:hAnsi="Times New Roman" w:cs="Times New Roman"/>
              </w:rPr>
              <w:t>Molecular formula</w:t>
            </w:r>
          </w:p>
        </w:tc>
        <w:tc>
          <w:tcPr>
            <w:tcW w:w="681" w:type="dxa"/>
            <w:tcBorders>
              <w:top w:val="single" w:sz="4" w:space="0" w:color="auto"/>
              <w:bottom w:val="single" w:sz="4" w:space="0" w:color="auto"/>
            </w:tcBorders>
          </w:tcPr>
          <w:p w14:paraId="046DCDE0" w14:textId="5EA75ECF" w:rsidR="00A9228D" w:rsidRPr="00A9228D" w:rsidRDefault="00A9228D" w:rsidP="00A9228D">
            <w:pPr>
              <w:jc w:val="both"/>
              <w:rPr>
                <w:rFonts w:ascii="Times New Roman" w:hAnsi="Times New Roman" w:cs="Times New Roman"/>
              </w:rPr>
            </w:pPr>
            <w:r w:rsidRPr="00A9228D">
              <w:rPr>
                <w:rFonts w:ascii="Times New Roman" w:hAnsi="Times New Roman" w:cs="Times New Roman"/>
              </w:rPr>
              <w:t>VIP score</w:t>
            </w:r>
          </w:p>
        </w:tc>
        <w:tc>
          <w:tcPr>
            <w:tcW w:w="839" w:type="dxa"/>
            <w:tcBorders>
              <w:top w:val="single" w:sz="4" w:space="0" w:color="auto"/>
              <w:bottom w:val="single" w:sz="4" w:space="0" w:color="auto"/>
            </w:tcBorders>
          </w:tcPr>
          <w:p w14:paraId="0CE94081" w14:textId="55ED0FFA" w:rsidR="00A9228D" w:rsidRPr="00A9228D" w:rsidRDefault="00A9228D" w:rsidP="00A9228D">
            <w:pPr>
              <w:jc w:val="both"/>
              <w:rPr>
                <w:rFonts w:ascii="Times New Roman" w:hAnsi="Times New Roman" w:cs="Times New Roman"/>
              </w:rPr>
            </w:pPr>
            <w:r w:rsidRPr="00A9228D">
              <w:rPr>
                <w:rFonts w:ascii="Times New Roman" w:hAnsi="Times New Roman" w:cs="Times New Roman"/>
              </w:rPr>
              <w:t>Fold change (MS vs C)</w:t>
            </w:r>
          </w:p>
        </w:tc>
        <w:tc>
          <w:tcPr>
            <w:tcW w:w="952" w:type="dxa"/>
            <w:tcBorders>
              <w:top w:val="single" w:sz="4" w:space="0" w:color="auto"/>
              <w:bottom w:val="single" w:sz="4" w:space="0" w:color="auto"/>
            </w:tcBorders>
          </w:tcPr>
          <w:p w14:paraId="6B5C56B9" w14:textId="028ACF6D" w:rsidR="00A9228D" w:rsidRPr="00A9228D" w:rsidRDefault="00A9228D" w:rsidP="00A9228D">
            <w:pPr>
              <w:jc w:val="both"/>
              <w:rPr>
                <w:rFonts w:ascii="Times New Roman" w:hAnsi="Times New Roman" w:cs="Times New Roman"/>
              </w:rPr>
            </w:pPr>
            <w:r w:rsidRPr="00A9228D">
              <w:rPr>
                <w:rFonts w:ascii="Times New Roman" w:hAnsi="Times New Roman" w:cs="Times New Roman"/>
              </w:rPr>
              <w:t>MSI level</w:t>
            </w:r>
          </w:p>
        </w:tc>
      </w:tr>
      <w:tr w:rsidR="00A9228D" w:rsidRPr="00A9228D" w14:paraId="7956517A" w14:textId="2369FF57" w:rsidTr="00A9228D">
        <w:tc>
          <w:tcPr>
            <w:tcW w:w="876" w:type="dxa"/>
            <w:tcBorders>
              <w:top w:val="single" w:sz="4" w:space="0" w:color="auto"/>
            </w:tcBorders>
          </w:tcPr>
          <w:p w14:paraId="543EE16A" w14:textId="224447C4" w:rsidR="00A9228D" w:rsidRPr="00A9228D" w:rsidRDefault="00A9228D" w:rsidP="00A9228D">
            <w:pPr>
              <w:jc w:val="both"/>
              <w:rPr>
                <w:rFonts w:ascii="Times New Roman" w:hAnsi="Times New Roman" w:cs="Times New Roman"/>
              </w:rPr>
            </w:pPr>
            <w:r w:rsidRPr="00A9228D">
              <w:rPr>
                <w:rFonts w:ascii="Times New Roman" w:hAnsi="Times New Roman" w:cs="Times New Roman"/>
              </w:rPr>
              <w:t>M001</w:t>
            </w:r>
          </w:p>
        </w:tc>
        <w:tc>
          <w:tcPr>
            <w:tcW w:w="705" w:type="dxa"/>
            <w:tcBorders>
              <w:top w:val="single" w:sz="4" w:space="0" w:color="auto"/>
            </w:tcBorders>
          </w:tcPr>
          <w:p w14:paraId="0B5A7455" w14:textId="3081E267" w:rsidR="00A9228D" w:rsidRPr="00A9228D" w:rsidRDefault="00A9228D" w:rsidP="00A9228D">
            <w:pPr>
              <w:jc w:val="both"/>
              <w:rPr>
                <w:rFonts w:ascii="Times New Roman" w:hAnsi="Times New Roman" w:cs="Times New Roman"/>
              </w:rPr>
            </w:pPr>
            <w:r w:rsidRPr="00A9228D">
              <w:rPr>
                <w:rFonts w:ascii="Times New Roman" w:hAnsi="Times New Roman" w:cs="Times New Roman"/>
              </w:rPr>
              <w:t>3.24</w:t>
            </w:r>
          </w:p>
        </w:tc>
        <w:tc>
          <w:tcPr>
            <w:tcW w:w="821" w:type="dxa"/>
            <w:tcBorders>
              <w:top w:val="single" w:sz="4" w:space="0" w:color="auto"/>
            </w:tcBorders>
          </w:tcPr>
          <w:p w14:paraId="282D85AC" w14:textId="01D75CBE" w:rsidR="00A9228D" w:rsidRPr="00A9228D" w:rsidRDefault="00A9228D" w:rsidP="00A9228D">
            <w:pPr>
              <w:jc w:val="both"/>
              <w:rPr>
                <w:rFonts w:ascii="Times New Roman" w:hAnsi="Times New Roman" w:cs="Times New Roman"/>
              </w:rPr>
            </w:pPr>
            <w:r w:rsidRPr="00A9228D">
              <w:rPr>
                <w:rFonts w:ascii="Times New Roman" w:hAnsi="Times New Roman" w:cs="Times New Roman"/>
              </w:rPr>
              <w:t>301.07</w:t>
            </w:r>
          </w:p>
        </w:tc>
        <w:tc>
          <w:tcPr>
            <w:tcW w:w="705" w:type="dxa"/>
            <w:tcBorders>
              <w:top w:val="single" w:sz="4" w:space="0" w:color="auto"/>
            </w:tcBorders>
          </w:tcPr>
          <w:p w14:paraId="756DD213" w14:textId="3E0D97E6" w:rsidR="00A9228D" w:rsidRPr="00A9228D" w:rsidRDefault="00A9228D" w:rsidP="00A9228D">
            <w:pPr>
              <w:jc w:val="both"/>
              <w:rPr>
                <w:rFonts w:ascii="Times New Roman" w:hAnsi="Times New Roman" w:cs="Times New Roman"/>
              </w:rPr>
            </w:pPr>
            <w:r w:rsidRPr="00A9228D">
              <w:rPr>
                <w:rFonts w:ascii="Times New Roman" w:hAnsi="Times New Roman" w:cs="Times New Roman"/>
              </w:rPr>
              <w:t>ESI+</w:t>
            </w:r>
          </w:p>
        </w:tc>
        <w:tc>
          <w:tcPr>
            <w:tcW w:w="1585" w:type="dxa"/>
            <w:tcBorders>
              <w:top w:val="single" w:sz="4" w:space="0" w:color="auto"/>
            </w:tcBorders>
          </w:tcPr>
          <w:p w14:paraId="112124C2" w14:textId="2A893936" w:rsidR="00A9228D" w:rsidRPr="00A9228D" w:rsidRDefault="00A9228D" w:rsidP="00A9228D">
            <w:pPr>
              <w:jc w:val="both"/>
              <w:rPr>
                <w:rFonts w:ascii="Times New Roman" w:hAnsi="Times New Roman" w:cs="Times New Roman"/>
              </w:rPr>
            </w:pPr>
            <w:r w:rsidRPr="00A9228D">
              <w:rPr>
                <w:rFonts w:ascii="Times New Roman" w:hAnsi="Times New Roman" w:cs="Times New Roman"/>
              </w:rPr>
              <w:t>Quercetin derivative</w:t>
            </w:r>
          </w:p>
        </w:tc>
        <w:tc>
          <w:tcPr>
            <w:tcW w:w="1341" w:type="dxa"/>
            <w:tcBorders>
              <w:top w:val="single" w:sz="4" w:space="0" w:color="auto"/>
            </w:tcBorders>
          </w:tcPr>
          <w:p w14:paraId="3F8BD1B6" w14:textId="6D649140" w:rsidR="00A9228D" w:rsidRPr="00A9228D" w:rsidRDefault="00A9228D" w:rsidP="00A9228D">
            <w:pPr>
              <w:jc w:val="both"/>
              <w:rPr>
                <w:rFonts w:ascii="Times New Roman" w:hAnsi="Times New Roman" w:cs="Times New Roman"/>
              </w:rPr>
            </w:pPr>
            <w:r w:rsidRPr="00A9228D">
              <w:rPr>
                <w:rFonts w:ascii="Times New Roman" w:hAnsi="Times New Roman" w:cs="Times New Roman"/>
              </w:rPr>
              <w:t>C15H10O7</w:t>
            </w:r>
          </w:p>
        </w:tc>
        <w:tc>
          <w:tcPr>
            <w:tcW w:w="681" w:type="dxa"/>
            <w:tcBorders>
              <w:top w:val="single" w:sz="4" w:space="0" w:color="auto"/>
            </w:tcBorders>
          </w:tcPr>
          <w:p w14:paraId="71F90589" w14:textId="46252CC6" w:rsidR="00A9228D" w:rsidRPr="00A9228D" w:rsidRDefault="00A9228D" w:rsidP="00A9228D">
            <w:pPr>
              <w:jc w:val="both"/>
              <w:rPr>
                <w:rFonts w:ascii="Times New Roman" w:hAnsi="Times New Roman" w:cs="Times New Roman"/>
              </w:rPr>
            </w:pPr>
            <w:r w:rsidRPr="00A9228D">
              <w:rPr>
                <w:rFonts w:ascii="Times New Roman" w:hAnsi="Times New Roman" w:cs="Times New Roman"/>
              </w:rPr>
              <w:t>1.83</w:t>
            </w:r>
          </w:p>
        </w:tc>
        <w:tc>
          <w:tcPr>
            <w:tcW w:w="839" w:type="dxa"/>
            <w:tcBorders>
              <w:top w:val="single" w:sz="4" w:space="0" w:color="auto"/>
            </w:tcBorders>
          </w:tcPr>
          <w:p w14:paraId="347583F9" w14:textId="1B3390C2" w:rsidR="00A9228D" w:rsidRPr="00A9228D" w:rsidRDefault="00A9228D" w:rsidP="00A9228D">
            <w:pPr>
              <w:jc w:val="both"/>
              <w:rPr>
                <w:rFonts w:ascii="Times New Roman" w:hAnsi="Times New Roman" w:cs="Times New Roman"/>
              </w:rPr>
            </w:pPr>
            <w:r w:rsidRPr="00A9228D">
              <w:rPr>
                <w:rFonts w:ascii="Times New Roman" w:hAnsi="Times New Roman" w:cs="Times New Roman"/>
              </w:rPr>
              <w:t>1.92</w:t>
            </w:r>
          </w:p>
        </w:tc>
        <w:tc>
          <w:tcPr>
            <w:tcW w:w="952" w:type="dxa"/>
            <w:tcBorders>
              <w:top w:val="single" w:sz="4" w:space="0" w:color="auto"/>
            </w:tcBorders>
          </w:tcPr>
          <w:p w14:paraId="1B54B95B" w14:textId="24451A60" w:rsidR="00A9228D" w:rsidRPr="00A9228D" w:rsidRDefault="00A9228D" w:rsidP="00A9228D">
            <w:pPr>
              <w:jc w:val="both"/>
              <w:rPr>
                <w:rFonts w:ascii="Times New Roman" w:hAnsi="Times New Roman" w:cs="Times New Roman"/>
              </w:rPr>
            </w:pPr>
            <w:r w:rsidRPr="00A9228D">
              <w:rPr>
                <w:rFonts w:ascii="Times New Roman" w:hAnsi="Times New Roman" w:cs="Times New Roman"/>
              </w:rPr>
              <w:t>Level 2</w:t>
            </w:r>
          </w:p>
        </w:tc>
      </w:tr>
      <w:tr w:rsidR="00A9228D" w:rsidRPr="00A9228D" w14:paraId="383CBD39" w14:textId="68A19522" w:rsidTr="00A9228D">
        <w:tc>
          <w:tcPr>
            <w:tcW w:w="876" w:type="dxa"/>
          </w:tcPr>
          <w:p w14:paraId="7F80A722" w14:textId="0A119BB0" w:rsidR="00A9228D" w:rsidRPr="00A9228D" w:rsidRDefault="00A9228D" w:rsidP="00A9228D">
            <w:pPr>
              <w:jc w:val="both"/>
              <w:rPr>
                <w:rFonts w:ascii="Times New Roman" w:hAnsi="Times New Roman" w:cs="Times New Roman"/>
              </w:rPr>
            </w:pPr>
            <w:r w:rsidRPr="00A9228D">
              <w:rPr>
                <w:rFonts w:ascii="Times New Roman" w:hAnsi="Times New Roman" w:cs="Times New Roman"/>
              </w:rPr>
              <w:t>M002</w:t>
            </w:r>
          </w:p>
        </w:tc>
        <w:tc>
          <w:tcPr>
            <w:tcW w:w="705" w:type="dxa"/>
          </w:tcPr>
          <w:p w14:paraId="0598C043" w14:textId="608E5500" w:rsidR="00A9228D" w:rsidRPr="00A9228D" w:rsidRDefault="00A9228D" w:rsidP="00A9228D">
            <w:pPr>
              <w:jc w:val="both"/>
              <w:rPr>
                <w:rFonts w:ascii="Times New Roman" w:hAnsi="Times New Roman" w:cs="Times New Roman"/>
              </w:rPr>
            </w:pPr>
            <w:r w:rsidRPr="00A9228D">
              <w:rPr>
                <w:rFonts w:ascii="Times New Roman" w:hAnsi="Times New Roman" w:cs="Times New Roman"/>
              </w:rPr>
              <w:t>4.11</w:t>
            </w:r>
          </w:p>
        </w:tc>
        <w:tc>
          <w:tcPr>
            <w:tcW w:w="821" w:type="dxa"/>
          </w:tcPr>
          <w:p w14:paraId="50147606" w14:textId="4F5FC554" w:rsidR="00A9228D" w:rsidRPr="00A9228D" w:rsidRDefault="00A9228D" w:rsidP="00A9228D">
            <w:pPr>
              <w:jc w:val="both"/>
              <w:rPr>
                <w:rFonts w:ascii="Times New Roman" w:hAnsi="Times New Roman" w:cs="Times New Roman"/>
              </w:rPr>
            </w:pPr>
            <w:r w:rsidRPr="00A9228D">
              <w:rPr>
                <w:rFonts w:ascii="Times New Roman" w:hAnsi="Times New Roman" w:cs="Times New Roman"/>
              </w:rPr>
              <w:t>317.09</w:t>
            </w:r>
          </w:p>
        </w:tc>
        <w:tc>
          <w:tcPr>
            <w:tcW w:w="705" w:type="dxa"/>
          </w:tcPr>
          <w:p w14:paraId="3C009A0C" w14:textId="282209AC" w:rsidR="00A9228D" w:rsidRPr="00A9228D" w:rsidRDefault="00A9228D" w:rsidP="00A9228D">
            <w:pPr>
              <w:jc w:val="both"/>
              <w:rPr>
                <w:rFonts w:ascii="Times New Roman" w:hAnsi="Times New Roman" w:cs="Times New Roman"/>
              </w:rPr>
            </w:pPr>
            <w:r w:rsidRPr="00A9228D">
              <w:rPr>
                <w:rFonts w:ascii="Times New Roman" w:hAnsi="Times New Roman" w:cs="Times New Roman"/>
              </w:rPr>
              <w:t>ESI+</w:t>
            </w:r>
          </w:p>
        </w:tc>
        <w:tc>
          <w:tcPr>
            <w:tcW w:w="1585" w:type="dxa"/>
          </w:tcPr>
          <w:p w14:paraId="7E229E57" w14:textId="3CD9E360" w:rsidR="00A9228D" w:rsidRPr="00A9228D" w:rsidRDefault="00A9228D" w:rsidP="00A9228D">
            <w:pPr>
              <w:jc w:val="both"/>
              <w:rPr>
                <w:rFonts w:ascii="Times New Roman" w:hAnsi="Times New Roman" w:cs="Times New Roman"/>
              </w:rPr>
            </w:pPr>
            <w:r w:rsidRPr="00A9228D">
              <w:rPr>
                <w:rFonts w:ascii="Times New Roman" w:hAnsi="Times New Roman" w:cs="Times New Roman"/>
              </w:rPr>
              <w:t>Myricetin derivative</w:t>
            </w:r>
          </w:p>
        </w:tc>
        <w:tc>
          <w:tcPr>
            <w:tcW w:w="1341" w:type="dxa"/>
          </w:tcPr>
          <w:p w14:paraId="11216399" w14:textId="0DF4B631" w:rsidR="00A9228D" w:rsidRPr="00A9228D" w:rsidRDefault="00A9228D" w:rsidP="00A9228D">
            <w:pPr>
              <w:jc w:val="both"/>
              <w:rPr>
                <w:rFonts w:ascii="Times New Roman" w:hAnsi="Times New Roman" w:cs="Times New Roman"/>
              </w:rPr>
            </w:pPr>
            <w:r w:rsidRPr="00A9228D">
              <w:rPr>
                <w:rFonts w:ascii="Times New Roman" w:hAnsi="Times New Roman" w:cs="Times New Roman"/>
              </w:rPr>
              <w:t>C15H10O8</w:t>
            </w:r>
          </w:p>
        </w:tc>
        <w:tc>
          <w:tcPr>
            <w:tcW w:w="681" w:type="dxa"/>
          </w:tcPr>
          <w:p w14:paraId="48F69EF3" w14:textId="7FFE20E2" w:rsidR="00A9228D" w:rsidRPr="00A9228D" w:rsidRDefault="00A9228D" w:rsidP="00A9228D">
            <w:pPr>
              <w:jc w:val="both"/>
              <w:rPr>
                <w:rFonts w:ascii="Times New Roman" w:hAnsi="Times New Roman" w:cs="Times New Roman"/>
              </w:rPr>
            </w:pPr>
            <w:r w:rsidRPr="00A9228D">
              <w:rPr>
                <w:rFonts w:ascii="Times New Roman" w:hAnsi="Times New Roman" w:cs="Times New Roman"/>
              </w:rPr>
              <w:t>1.79</w:t>
            </w:r>
          </w:p>
        </w:tc>
        <w:tc>
          <w:tcPr>
            <w:tcW w:w="839" w:type="dxa"/>
          </w:tcPr>
          <w:p w14:paraId="19E32C98" w14:textId="534068F3" w:rsidR="00A9228D" w:rsidRPr="00A9228D" w:rsidRDefault="00A9228D" w:rsidP="00A9228D">
            <w:pPr>
              <w:jc w:val="both"/>
              <w:rPr>
                <w:rFonts w:ascii="Times New Roman" w:hAnsi="Times New Roman" w:cs="Times New Roman"/>
              </w:rPr>
            </w:pPr>
            <w:r w:rsidRPr="00A9228D">
              <w:rPr>
                <w:rFonts w:ascii="Times New Roman" w:hAnsi="Times New Roman" w:cs="Times New Roman"/>
              </w:rPr>
              <w:t>1.84</w:t>
            </w:r>
          </w:p>
        </w:tc>
        <w:tc>
          <w:tcPr>
            <w:tcW w:w="952" w:type="dxa"/>
          </w:tcPr>
          <w:p w14:paraId="3B3284A2" w14:textId="69070D03" w:rsidR="00A9228D" w:rsidRPr="00A9228D" w:rsidRDefault="00A9228D" w:rsidP="00A9228D">
            <w:pPr>
              <w:jc w:val="both"/>
              <w:rPr>
                <w:rFonts w:ascii="Times New Roman" w:hAnsi="Times New Roman" w:cs="Times New Roman"/>
              </w:rPr>
            </w:pPr>
            <w:r w:rsidRPr="00A9228D">
              <w:rPr>
                <w:rFonts w:ascii="Times New Roman" w:hAnsi="Times New Roman" w:cs="Times New Roman"/>
              </w:rPr>
              <w:t>Level 2</w:t>
            </w:r>
          </w:p>
        </w:tc>
      </w:tr>
      <w:tr w:rsidR="00A9228D" w:rsidRPr="00A9228D" w14:paraId="06B1F7BE" w14:textId="3A0C184C" w:rsidTr="00A9228D">
        <w:tc>
          <w:tcPr>
            <w:tcW w:w="876" w:type="dxa"/>
          </w:tcPr>
          <w:p w14:paraId="0D341198" w14:textId="4E8B2B05" w:rsidR="00A9228D" w:rsidRPr="00A9228D" w:rsidRDefault="00A9228D" w:rsidP="00A9228D">
            <w:pPr>
              <w:jc w:val="both"/>
              <w:rPr>
                <w:rFonts w:ascii="Times New Roman" w:hAnsi="Times New Roman" w:cs="Times New Roman"/>
              </w:rPr>
            </w:pPr>
            <w:r w:rsidRPr="00A9228D">
              <w:rPr>
                <w:rFonts w:ascii="Times New Roman" w:hAnsi="Times New Roman" w:cs="Times New Roman"/>
              </w:rPr>
              <w:t>M003</w:t>
            </w:r>
          </w:p>
        </w:tc>
        <w:tc>
          <w:tcPr>
            <w:tcW w:w="705" w:type="dxa"/>
          </w:tcPr>
          <w:p w14:paraId="2193BE8D" w14:textId="4BFE2D1E" w:rsidR="00A9228D" w:rsidRPr="00A9228D" w:rsidRDefault="00A9228D" w:rsidP="00A9228D">
            <w:pPr>
              <w:jc w:val="both"/>
              <w:rPr>
                <w:rFonts w:ascii="Times New Roman" w:hAnsi="Times New Roman" w:cs="Times New Roman"/>
              </w:rPr>
            </w:pPr>
            <w:r w:rsidRPr="00A9228D">
              <w:rPr>
                <w:rFonts w:ascii="Times New Roman" w:hAnsi="Times New Roman" w:cs="Times New Roman"/>
              </w:rPr>
              <w:t>5.36</w:t>
            </w:r>
          </w:p>
        </w:tc>
        <w:tc>
          <w:tcPr>
            <w:tcW w:w="821" w:type="dxa"/>
          </w:tcPr>
          <w:p w14:paraId="3C01E1E4" w14:textId="7115AA9E" w:rsidR="00A9228D" w:rsidRPr="00A9228D" w:rsidRDefault="00A9228D" w:rsidP="00A9228D">
            <w:pPr>
              <w:jc w:val="both"/>
              <w:rPr>
                <w:rFonts w:ascii="Times New Roman" w:hAnsi="Times New Roman" w:cs="Times New Roman"/>
              </w:rPr>
            </w:pPr>
            <w:r w:rsidRPr="00A9228D">
              <w:rPr>
                <w:rFonts w:ascii="Times New Roman" w:hAnsi="Times New Roman" w:cs="Times New Roman"/>
              </w:rPr>
              <w:t>287.06</w:t>
            </w:r>
          </w:p>
        </w:tc>
        <w:tc>
          <w:tcPr>
            <w:tcW w:w="705" w:type="dxa"/>
          </w:tcPr>
          <w:p w14:paraId="2F43CA49" w14:textId="673F5D9E" w:rsidR="00A9228D" w:rsidRPr="00A9228D" w:rsidRDefault="00A9228D" w:rsidP="00A9228D">
            <w:pPr>
              <w:jc w:val="both"/>
              <w:rPr>
                <w:rFonts w:ascii="Times New Roman" w:hAnsi="Times New Roman" w:cs="Times New Roman"/>
              </w:rPr>
            </w:pPr>
            <w:r w:rsidRPr="00A9228D">
              <w:rPr>
                <w:rFonts w:ascii="Times New Roman" w:hAnsi="Times New Roman" w:cs="Times New Roman"/>
              </w:rPr>
              <w:t>ESI−</w:t>
            </w:r>
          </w:p>
        </w:tc>
        <w:tc>
          <w:tcPr>
            <w:tcW w:w="1585" w:type="dxa"/>
          </w:tcPr>
          <w:p w14:paraId="56B41FEB" w14:textId="04F757BC" w:rsidR="00A9228D" w:rsidRPr="00A9228D" w:rsidRDefault="00A9228D" w:rsidP="00A9228D">
            <w:pPr>
              <w:jc w:val="both"/>
              <w:rPr>
                <w:rFonts w:ascii="Times New Roman" w:hAnsi="Times New Roman" w:cs="Times New Roman"/>
              </w:rPr>
            </w:pPr>
            <w:r w:rsidRPr="00A9228D">
              <w:rPr>
                <w:rFonts w:ascii="Times New Roman" w:hAnsi="Times New Roman" w:cs="Times New Roman"/>
              </w:rPr>
              <w:t>Kaempferol derivative</w:t>
            </w:r>
          </w:p>
        </w:tc>
        <w:tc>
          <w:tcPr>
            <w:tcW w:w="1341" w:type="dxa"/>
          </w:tcPr>
          <w:p w14:paraId="57396C90" w14:textId="1FED78E7" w:rsidR="00A9228D" w:rsidRPr="00A9228D" w:rsidRDefault="00A9228D" w:rsidP="00A9228D">
            <w:pPr>
              <w:jc w:val="both"/>
              <w:rPr>
                <w:rFonts w:ascii="Times New Roman" w:hAnsi="Times New Roman" w:cs="Times New Roman"/>
              </w:rPr>
            </w:pPr>
            <w:r w:rsidRPr="00A9228D">
              <w:rPr>
                <w:rFonts w:ascii="Times New Roman" w:hAnsi="Times New Roman" w:cs="Times New Roman"/>
              </w:rPr>
              <w:t>C15H10O6</w:t>
            </w:r>
          </w:p>
        </w:tc>
        <w:tc>
          <w:tcPr>
            <w:tcW w:w="681" w:type="dxa"/>
          </w:tcPr>
          <w:p w14:paraId="5106A342" w14:textId="7443F2D5" w:rsidR="00A9228D" w:rsidRPr="00A9228D" w:rsidRDefault="00A9228D" w:rsidP="00A9228D">
            <w:pPr>
              <w:jc w:val="both"/>
              <w:rPr>
                <w:rFonts w:ascii="Times New Roman" w:hAnsi="Times New Roman" w:cs="Times New Roman"/>
              </w:rPr>
            </w:pPr>
            <w:r w:rsidRPr="00A9228D">
              <w:rPr>
                <w:rFonts w:ascii="Times New Roman" w:hAnsi="Times New Roman" w:cs="Times New Roman"/>
              </w:rPr>
              <w:t>1.72</w:t>
            </w:r>
          </w:p>
        </w:tc>
        <w:tc>
          <w:tcPr>
            <w:tcW w:w="839" w:type="dxa"/>
          </w:tcPr>
          <w:p w14:paraId="7D0CE2CA" w14:textId="6DC7C911" w:rsidR="00A9228D" w:rsidRPr="00A9228D" w:rsidRDefault="00A9228D" w:rsidP="00A9228D">
            <w:pPr>
              <w:jc w:val="both"/>
              <w:rPr>
                <w:rFonts w:ascii="Times New Roman" w:hAnsi="Times New Roman" w:cs="Times New Roman"/>
              </w:rPr>
            </w:pPr>
            <w:r w:rsidRPr="00A9228D">
              <w:rPr>
                <w:rFonts w:ascii="Times New Roman" w:hAnsi="Times New Roman" w:cs="Times New Roman"/>
              </w:rPr>
              <w:t>1.76</w:t>
            </w:r>
          </w:p>
        </w:tc>
        <w:tc>
          <w:tcPr>
            <w:tcW w:w="952" w:type="dxa"/>
          </w:tcPr>
          <w:p w14:paraId="72654EA6" w14:textId="24797C66" w:rsidR="00A9228D" w:rsidRPr="00A9228D" w:rsidRDefault="00A9228D" w:rsidP="00A9228D">
            <w:pPr>
              <w:jc w:val="both"/>
              <w:rPr>
                <w:rFonts w:ascii="Times New Roman" w:hAnsi="Times New Roman" w:cs="Times New Roman"/>
              </w:rPr>
            </w:pPr>
            <w:r w:rsidRPr="00A9228D">
              <w:rPr>
                <w:rFonts w:ascii="Times New Roman" w:hAnsi="Times New Roman" w:cs="Times New Roman"/>
              </w:rPr>
              <w:t>Level 2</w:t>
            </w:r>
          </w:p>
        </w:tc>
      </w:tr>
      <w:tr w:rsidR="00A9228D" w:rsidRPr="00A9228D" w14:paraId="60DA443B" w14:textId="63C1BC4D" w:rsidTr="00A9228D">
        <w:tc>
          <w:tcPr>
            <w:tcW w:w="876" w:type="dxa"/>
          </w:tcPr>
          <w:p w14:paraId="7479E28D" w14:textId="63A62C32" w:rsidR="00A9228D" w:rsidRPr="00A9228D" w:rsidRDefault="00A9228D" w:rsidP="00A9228D">
            <w:pPr>
              <w:jc w:val="both"/>
              <w:rPr>
                <w:rFonts w:ascii="Times New Roman" w:hAnsi="Times New Roman" w:cs="Times New Roman"/>
              </w:rPr>
            </w:pPr>
            <w:r w:rsidRPr="00A9228D">
              <w:rPr>
                <w:rFonts w:ascii="Times New Roman" w:hAnsi="Times New Roman" w:cs="Times New Roman"/>
              </w:rPr>
              <w:t>M004</w:t>
            </w:r>
          </w:p>
        </w:tc>
        <w:tc>
          <w:tcPr>
            <w:tcW w:w="705" w:type="dxa"/>
          </w:tcPr>
          <w:p w14:paraId="02F533B6" w14:textId="78FA5D84" w:rsidR="00A9228D" w:rsidRPr="00A9228D" w:rsidRDefault="00A9228D" w:rsidP="00A9228D">
            <w:pPr>
              <w:jc w:val="both"/>
              <w:rPr>
                <w:rFonts w:ascii="Times New Roman" w:hAnsi="Times New Roman" w:cs="Times New Roman"/>
              </w:rPr>
            </w:pPr>
            <w:r w:rsidRPr="00A9228D">
              <w:rPr>
                <w:rFonts w:ascii="Times New Roman" w:hAnsi="Times New Roman" w:cs="Times New Roman"/>
              </w:rPr>
              <w:t>2.89</w:t>
            </w:r>
          </w:p>
        </w:tc>
        <w:tc>
          <w:tcPr>
            <w:tcW w:w="821" w:type="dxa"/>
          </w:tcPr>
          <w:p w14:paraId="13CD8398" w14:textId="37E28B9D" w:rsidR="00A9228D" w:rsidRPr="00A9228D" w:rsidRDefault="00A9228D" w:rsidP="00A9228D">
            <w:pPr>
              <w:jc w:val="both"/>
              <w:rPr>
                <w:rFonts w:ascii="Times New Roman" w:hAnsi="Times New Roman" w:cs="Times New Roman"/>
              </w:rPr>
            </w:pPr>
            <w:r w:rsidRPr="00A9228D">
              <w:rPr>
                <w:rFonts w:ascii="Times New Roman" w:hAnsi="Times New Roman" w:cs="Times New Roman"/>
              </w:rPr>
              <w:t>153.02</w:t>
            </w:r>
          </w:p>
        </w:tc>
        <w:tc>
          <w:tcPr>
            <w:tcW w:w="705" w:type="dxa"/>
          </w:tcPr>
          <w:p w14:paraId="4E3E13B8" w14:textId="0912C6DA" w:rsidR="00A9228D" w:rsidRPr="00A9228D" w:rsidRDefault="00A9228D" w:rsidP="00A9228D">
            <w:pPr>
              <w:jc w:val="both"/>
              <w:rPr>
                <w:rFonts w:ascii="Times New Roman" w:hAnsi="Times New Roman" w:cs="Times New Roman"/>
              </w:rPr>
            </w:pPr>
            <w:r w:rsidRPr="00A9228D">
              <w:rPr>
                <w:rFonts w:ascii="Times New Roman" w:hAnsi="Times New Roman" w:cs="Times New Roman"/>
              </w:rPr>
              <w:t>ESI−</w:t>
            </w:r>
          </w:p>
        </w:tc>
        <w:tc>
          <w:tcPr>
            <w:tcW w:w="1585" w:type="dxa"/>
          </w:tcPr>
          <w:p w14:paraId="3E875ED9" w14:textId="3063513E" w:rsidR="00A9228D" w:rsidRPr="00A9228D" w:rsidRDefault="00A9228D" w:rsidP="00A9228D">
            <w:pPr>
              <w:jc w:val="both"/>
              <w:rPr>
                <w:rFonts w:ascii="Times New Roman" w:hAnsi="Times New Roman" w:cs="Times New Roman"/>
              </w:rPr>
            </w:pPr>
            <w:r w:rsidRPr="00A9228D">
              <w:rPr>
                <w:rFonts w:ascii="Times New Roman" w:hAnsi="Times New Roman" w:cs="Times New Roman"/>
              </w:rPr>
              <w:t>Protocatechuic acid</w:t>
            </w:r>
          </w:p>
        </w:tc>
        <w:tc>
          <w:tcPr>
            <w:tcW w:w="1341" w:type="dxa"/>
          </w:tcPr>
          <w:p w14:paraId="6A4E7EF9" w14:textId="6D308C44" w:rsidR="00A9228D" w:rsidRPr="00A9228D" w:rsidRDefault="00A9228D" w:rsidP="00A9228D">
            <w:pPr>
              <w:jc w:val="both"/>
              <w:rPr>
                <w:rFonts w:ascii="Times New Roman" w:hAnsi="Times New Roman" w:cs="Times New Roman"/>
              </w:rPr>
            </w:pPr>
            <w:r w:rsidRPr="00A9228D">
              <w:rPr>
                <w:rFonts w:ascii="Times New Roman" w:hAnsi="Times New Roman" w:cs="Times New Roman"/>
              </w:rPr>
              <w:t>C7H6O4</w:t>
            </w:r>
          </w:p>
        </w:tc>
        <w:tc>
          <w:tcPr>
            <w:tcW w:w="681" w:type="dxa"/>
          </w:tcPr>
          <w:p w14:paraId="606A15FC" w14:textId="7A81F73F" w:rsidR="00A9228D" w:rsidRPr="00A9228D" w:rsidRDefault="00A9228D" w:rsidP="00A9228D">
            <w:pPr>
              <w:jc w:val="both"/>
              <w:rPr>
                <w:rFonts w:ascii="Times New Roman" w:hAnsi="Times New Roman" w:cs="Times New Roman"/>
              </w:rPr>
            </w:pPr>
            <w:r w:rsidRPr="00A9228D">
              <w:rPr>
                <w:rFonts w:ascii="Times New Roman" w:hAnsi="Times New Roman" w:cs="Times New Roman"/>
              </w:rPr>
              <w:t>1.68</w:t>
            </w:r>
          </w:p>
        </w:tc>
        <w:tc>
          <w:tcPr>
            <w:tcW w:w="839" w:type="dxa"/>
          </w:tcPr>
          <w:p w14:paraId="1A61C578" w14:textId="66F7377A" w:rsidR="00A9228D" w:rsidRPr="00A9228D" w:rsidRDefault="00A9228D" w:rsidP="00A9228D">
            <w:pPr>
              <w:jc w:val="both"/>
              <w:rPr>
                <w:rFonts w:ascii="Times New Roman" w:hAnsi="Times New Roman" w:cs="Times New Roman"/>
              </w:rPr>
            </w:pPr>
            <w:r w:rsidRPr="00A9228D">
              <w:rPr>
                <w:rFonts w:ascii="Times New Roman" w:hAnsi="Times New Roman" w:cs="Times New Roman"/>
              </w:rPr>
              <w:t>1.71</w:t>
            </w:r>
          </w:p>
        </w:tc>
        <w:tc>
          <w:tcPr>
            <w:tcW w:w="952" w:type="dxa"/>
          </w:tcPr>
          <w:p w14:paraId="33E14ADC" w14:textId="35182C72" w:rsidR="00A9228D" w:rsidRPr="00A9228D" w:rsidRDefault="00A9228D" w:rsidP="00A9228D">
            <w:pPr>
              <w:jc w:val="both"/>
              <w:rPr>
                <w:rFonts w:ascii="Times New Roman" w:hAnsi="Times New Roman" w:cs="Times New Roman"/>
              </w:rPr>
            </w:pPr>
            <w:r w:rsidRPr="00A9228D">
              <w:rPr>
                <w:rFonts w:ascii="Times New Roman" w:hAnsi="Times New Roman" w:cs="Times New Roman"/>
              </w:rPr>
              <w:t>Level 2</w:t>
            </w:r>
          </w:p>
        </w:tc>
      </w:tr>
      <w:tr w:rsidR="00A9228D" w:rsidRPr="00A9228D" w14:paraId="15A88CEB" w14:textId="0D06B544" w:rsidTr="00A9228D">
        <w:tc>
          <w:tcPr>
            <w:tcW w:w="876" w:type="dxa"/>
          </w:tcPr>
          <w:p w14:paraId="3078638D" w14:textId="7B6DE52E" w:rsidR="00A9228D" w:rsidRPr="00A9228D" w:rsidRDefault="00A9228D" w:rsidP="00A9228D">
            <w:pPr>
              <w:jc w:val="both"/>
              <w:rPr>
                <w:rFonts w:ascii="Times New Roman" w:hAnsi="Times New Roman" w:cs="Times New Roman"/>
              </w:rPr>
            </w:pPr>
            <w:r w:rsidRPr="00A9228D">
              <w:rPr>
                <w:rFonts w:ascii="Times New Roman" w:hAnsi="Times New Roman" w:cs="Times New Roman"/>
              </w:rPr>
              <w:t>M005</w:t>
            </w:r>
          </w:p>
        </w:tc>
        <w:tc>
          <w:tcPr>
            <w:tcW w:w="705" w:type="dxa"/>
          </w:tcPr>
          <w:p w14:paraId="158FE314" w14:textId="41FE18C3" w:rsidR="00A9228D" w:rsidRPr="00A9228D" w:rsidRDefault="00A9228D" w:rsidP="00A9228D">
            <w:pPr>
              <w:jc w:val="both"/>
              <w:rPr>
                <w:rFonts w:ascii="Times New Roman" w:hAnsi="Times New Roman" w:cs="Times New Roman"/>
              </w:rPr>
            </w:pPr>
            <w:r w:rsidRPr="00A9228D">
              <w:rPr>
                <w:rFonts w:ascii="Times New Roman" w:hAnsi="Times New Roman" w:cs="Times New Roman"/>
              </w:rPr>
              <w:t>6.22</w:t>
            </w:r>
          </w:p>
        </w:tc>
        <w:tc>
          <w:tcPr>
            <w:tcW w:w="821" w:type="dxa"/>
          </w:tcPr>
          <w:p w14:paraId="4C073B59" w14:textId="4C08BED7" w:rsidR="00A9228D" w:rsidRPr="00A9228D" w:rsidRDefault="00A9228D" w:rsidP="00A9228D">
            <w:pPr>
              <w:jc w:val="both"/>
              <w:rPr>
                <w:rFonts w:ascii="Times New Roman" w:hAnsi="Times New Roman" w:cs="Times New Roman"/>
              </w:rPr>
            </w:pPr>
            <w:r w:rsidRPr="00A9228D">
              <w:rPr>
                <w:rFonts w:ascii="Times New Roman" w:hAnsi="Times New Roman" w:cs="Times New Roman"/>
              </w:rPr>
              <w:t>353.09</w:t>
            </w:r>
          </w:p>
        </w:tc>
        <w:tc>
          <w:tcPr>
            <w:tcW w:w="705" w:type="dxa"/>
          </w:tcPr>
          <w:p w14:paraId="4C7CB14E" w14:textId="068E1B52" w:rsidR="00A9228D" w:rsidRPr="00A9228D" w:rsidRDefault="00A9228D" w:rsidP="00A9228D">
            <w:pPr>
              <w:jc w:val="both"/>
              <w:rPr>
                <w:rFonts w:ascii="Times New Roman" w:hAnsi="Times New Roman" w:cs="Times New Roman"/>
              </w:rPr>
            </w:pPr>
            <w:r w:rsidRPr="00A9228D">
              <w:rPr>
                <w:rFonts w:ascii="Times New Roman" w:hAnsi="Times New Roman" w:cs="Times New Roman"/>
              </w:rPr>
              <w:t>ESI−</w:t>
            </w:r>
          </w:p>
        </w:tc>
        <w:tc>
          <w:tcPr>
            <w:tcW w:w="1585" w:type="dxa"/>
          </w:tcPr>
          <w:p w14:paraId="66AACD5B" w14:textId="14BACAC5" w:rsidR="00A9228D" w:rsidRPr="00A9228D" w:rsidRDefault="00A9228D" w:rsidP="00A9228D">
            <w:pPr>
              <w:jc w:val="both"/>
              <w:rPr>
                <w:rFonts w:ascii="Times New Roman" w:hAnsi="Times New Roman" w:cs="Times New Roman"/>
              </w:rPr>
            </w:pPr>
            <w:r w:rsidRPr="00A9228D">
              <w:rPr>
                <w:rFonts w:ascii="Times New Roman" w:hAnsi="Times New Roman" w:cs="Times New Roman"/>
              </w:rPr>
              <w:t>Chlorogenic acid</w:t>
            </w:r>
          </w:p>
        </w:tc>
        <w:tc>
          <w:tcPr>
            <w:tcW w:w="1341" w:type="dxa"/>
          </w:tcPr>
          <w:p w14:paraId="41951BF6" w14:textId="5D01A0F6" w:rsidR="00A9228D" w:rsidRPr="00A9228D" w:rsidRDefault="00A9228D" w:rsidP="00A9228D">
            <w:pPr>
              <w:jc w:val="both"/>
              <w:rPr>
                <w:rFonts w:ascii="Times New Roman" w:hAnsi="Times New Roman" w:cs="Times New Roman"/>
              </w:rPr>
            </w:pPr>
            <w:r w:rsidRPr="00A9228D">
              <w:rPr>
                <w:rFonts w:ascii="Times New Roman" w:hAnsi="Times New Roman" w:cs="Times New Roman"/>
              </w:rPr>
              <w:t>C16H18O9</w:t>
            </w:r>
          </w:p>
        </w:tc>
        <w:tc>
          <w:tcPr>
            <w:tcW w:w="681" w:type="dxa"/>
          </w:tcPr>
          <w:p w14:paraId="105E8888" w14:textId="2288DC74" w:rsidR="00A9228D" w:rsidRPr="00A9228D" w:rsidRDefault="00A9228D" w:rsidP="00A9228D">
            <w:pPr>
              <w:jc w:val="both"/>
              <w:rPr>
                <w:rFonts w:ascii="Times New Roman" w:hAnsi="Times New Roman" w:cs="Times New Roman"/>
              </w:rPr>
            </w:pPr>
            <w:r w:rsidRPr="00A9228D">
              <w:rPr>
                <w:rFonts w:ascii="Times New Roman" w:hAnsi="Times New Roman" w:cs="Times New Roman"/>
              </w:rPr>
              <w:t>1.65</w:t>
            </w:r>
          </w:p>
        </w:tc>
        <w:tc>
          <w:tcPr>
            <w:tcW w:w="839" w:type="dxa"/>
          </w:tcPr>
          <w:p w14:paraId="5564A926" w14:textId="777E14DF" w:rsidR="00A9228D" w:rsidRPr="00A9228D" w:rsidRDefault="00A9228D" w:rsidP="00A9228D">
            <w:pPr>
              <w:jc w:val="both"/>
              <w:rPr>
                <w:rFonts w:ascii="Times New Roman" w:hAnsi="Times New Roman" w:cs="Times New Roman"/>
              </w:rPr>
            </w:pPr>
            <w:r w:rsidRPr="00A9228D">
              <w:rPr>
                <w:rFonts w:ascii="Times New Roman" w:hAnsi="Times New Roman" w:cs="Times New Roman"/>
              </w:rPr>
              <w:t>1.68</w:t>
            </w:r>
          </w:p>
        </w:tc>
        <w:tc>
          <w:tcPr>
            <w:tcW w:w="952" w:type="dxa"/>
          </w:tcPr>
          <w:p w14:paraId="11BA0088" w14:textId="3AF39AD6" w:rsidR="00A9228D" w:rsidRPr="00A9228D" w:rsidRDefault="00A9228D" w:rsidP="00A9228D">
            <w:pPr>
              <w:jc w:val="both"/>
              <w:rPr>
                <w:rFonts w:ascii="Times New Roman" w:hAnsi="Times New Roman" w:cs="Times New Roman"/>
              </w:rPr>
            </w:pPr>
            <w:r w:rsidRPr="00A9228D">
              <w:rPr>
                <w:rFonts w:ascii="Times New Roman" w:hAnsi="Times New Roman" w:cs="Times New Roman"/>
              </w:rPr>
              <w:t>Level 2</w:t>
            </w:r>
          </w:p>
        </w:tc>
      </w:tr>
      <w:tr w:rsidR="00A9228D" w:rsidRPr="00A9228D" w14:paraId="74D5BB72" w14:textId="77777777" w:rsidTr="00A9228D">
        <w:tc>
          <w:tcPr>
            <w:tcW w:w="876" w:type="dxa"/>
          </w:tcPr>
          <w:p w14:paraId="5D2E0741" w14:textId="2E87C5E8" w:rsidR="00A9228D" w:rsidRPr="00A9228D" w:rsidRDefault="00A9228D" w:rsidP="00A9228D">
            <w:pPr>
              <w:jc w:val="both"/>
              <w:rPr>
                <w:rFonts w:ascii="Times New Roman" w:hAnsi="Times New Roman" w:cs="Times New Roman"/>
              </w:rPr>
            </w:pPr>
            <w:r w:rsidRPr="00A9228D">
              <w:rPr>
                <w:rFonts w:ascii="Times New Roman" w:hAnsi="Times New Roman" w:cs="Times New Roman"/>
              </w:rPr>
              <w:t>M006</w:t>
            </w:r>
          </w:p>
        </w:tc>
        <w:tc>
          <w:tcPr>
            <w:tcW w:w="705" w:type="dxa"/>
          </w:tcPr>
          <w:p w14:paraId="49D92826" w14:textId="29C017AB" w:rsidR="00A9228D" w:rsidRPr="00A9228D" w:rsidRDefault="00A9228D" w:rsidP="00A9228D">
            <w:pPr>
              <w:jc w:val="both"/>
              <w:rPr>
                <w:rFonts w:ascii="Times New Roman" w:hAnsi="Times New Roman" w:cs="Times New Roman"/>
              </w:rPr>
            </w:pPr>
            <w:r w:rsidRPr="00A9228D">
              <w:rPr>
                <w:rFonts w:ascii="Times New Roman" w:hAnsi="Times New Roman" w:cs="Times New Roman"/>
              </w:rPr>
              <w:t>1.96</w:t>
            </w:r>
          </w:p>
        </w:tc>
        <w:tc>
          <w:tcPr>
            <w:tcW w:w="821" w:type="dxa"/>
          </w:tcPr>
          <w:p w14:paraId="2AE603FC" w14:textId="4958D26A" w:rsidR="00A9228D" w:rsidRPr="00A9228D" w:rsidRDefault="00A9228D" w:rsidP="00A9228D">
            <w:pPr>
              <w:jc w:val="both"/>
              <w:rPr>
                <w:rFonts w:ascii="Times New Roman" w:hAnsi="Times New Roman" w:cs="Times New Roman"/>
              </w:rPr>
            </w:pPr>
            <w:r w:rsidRPr="00A9228D">
              <w:rPr>
                <w:rFonts w:ascii="Times New Roman" w:hAnsi="Times New Roman" w:cs="Times New Roman"/>
              </w:rPr>
              <w:t>191.02</w:t>
            </w:r>
          </w:p>
        </w:tc>
        <w:tc>
          <w:tcPr>
            <w:tcW w:w="705" w:type="dxa"/>
          </w:tcPr>
          <w:p w14:paraId="5533ADA4" w14:textId="6F8CF76F" w:rsidR="00A9228D" w:rsidRPr="00A9228D" w:rsidRDefault="00A9228D" w:rsidP="00A9228D">
            <w:pPr>
              <w:jc w:val="both"/>
              <w:rPr>
                <w:rFonts w:ascii="Times New Roman" w:hAnsi="Times New Roman" w:cs="Times New Roman"/>
              </w:rPr>
            </w:pPr>
            <w:r w:rsidRPr="00A9228D">
              <w:rPr>
                <w:rFonts w:ascii="Times New Roman" w:hAnsi="Times New Roman" w:cs="Times New Roman"/>
              </w:rPr>
              <w:t>ESI−</w:t>
            </w:r>
          </w:p>
        </w:tc>
        <w:tc>
          <w:tcPr>
            <w:tcW w:w="1585" w:type="dxa"/>
          </w:tcPr>
          <w:p w14:paraId="3A995747" w14:textId="0DFD4FBE" w:rsidR="00A9228D" w:rsidRPr="00A9228D" w:rsidRDefault="00A9228D" w:rsidP="00A9228D">
            <w:pPr>
              <w:jc w:val="both"/>
              <w:rPr>
                <w:rFonts w:ascii="Times New Roman" w:hAnsi="Times New Roman" w:cs="Times New Roman"/>
              </w:rPr>
            </w:pPr>
            <w:r w:rsidRPr="00A9228D">
              <w:rPr>
                <w:rFonts w:ascii="Times New Roman" w:hAnsi="Times New Roman" w:cs="Times New Roman"/>
              </w:rPr>
              <w:t>Citric acid</w:t>
            </w:r>
          </w:p>
        </w:tc>
        <w:tc>
          <w:tcPr>
            <w:tcW w:w="1341" w:type="dxa"/>
          </w:tcPr>
          <w:p w14:paraId="27B60B72" w14:textId="49E8ED96" w:rsidR="00A9228D" w:rsidRPr="00A9228D" w:rsidRDefault="00A9228D" w:rsidP="00A9228D">
            <w:pPr>
              <w:jc w:val="both"/>
              <w:rPr>
                <w:rFonts w:ascii="Times New Roman" w:hAnsi="Times New Roman" w:cs="Times New Roman"/>
              </w:rPr>
            </w:pPr>
            <w:r w:rsidRPr="00A9228D">
              <w:rPr>
                <w:rFonts w:ascii="Times New Roman" w:hAnsi="Times New Roman" w:cs="Times New Roman"/>
              </w:rPr>
              <w:t>C6H8O7</w:t>
            </w:r>
          </w:p>
        </w:tc>
        <w:tc>
          <w:tcPr>
            <w:tcW w:w="681" w:type="dxa"/>
          </w:tcPr>
          <w:p w14:paraId="0DE1E74A" w14:textId="07EF6ADD" w:rsidR="00A9228D" w:rsidRPr="00A9228D" w:rsidRDefault="00A9228D" w:rsidP="00A9228D">
            <w:pPr>
              <w:jc w:val="both"/>
              <w:rPr>
                <w:rFonts w:ascii="Times New Roman" w:hAnsi="Times New Roman" w:cs="Times New Roman"/>
              </w:rPr>
            </w:pPr>
            <w:r w:rsidRPr="00A9228D">
              <w:rPr>
                <w:rFonts w:ascii="Times New Roman" w:hAnsi="Times New Roman" w:cs="Times New Roman"/>
              </w:rPr>
              <w:t>1.61</w:t>
            </w:r>
          </w:p>
        </w:tc>
        <w:tc>
          <w:tcPr>
            <w:tcW w:w="839" w:type="dxa"/>
          </w:tcPr>
          <w:p w14:paraId="2E72B150" w14:textId="06E34BD3" w:rsidR="00A9228D" w:rsidRPr="00A9228D" w:rsidRDefault="00A9228D" w:rsidP="00A9228D">
            <w:pPr>
              <w:jc w:val="both"/>
              <w:rPr>
                <w:rFonts w:ascii="Times New Roman" w:hAnsi="Times New Roman" w:cs="Times New Roman"/>
              </w:rPr>
            </w:pPr>
            <w:r w:rsidRPr="00A9228D">
              <w:rPr>
                <w:rFonts w:ascii="Times New Roman" w:hAnsi="Times New Roman" w:cs="Times New Roman"/>
              </w:rPr>
              <w:t>1.44</w:t>
            </w:r>
          </w:p>
        </w:tc>
        <w:tc>
          <w:tcPr>
            <w:tcW w:w="952" w:type="dxa"/>
          </w:tcPr>
          <w:p w14:paraId="01092315" w14:textId="58E07F38" w:rsidR="00A9228D" w:rsidRPr="00A9228D" w:rsidRDefault="00A9228D" w:rsidP="00A9228D">
            <w:pPr>
              <w:jc w:val="both"/>
              <w:rPr>
                <w:rFonts w:ascii="Times New Roman" w:hAnsi="Times New Roman" w:cs="Times New Roman"/>
              </w:rPr>
            </w:pPr>
            <w:r w:rsidRPr="00A9228D">
              <w:rPr>
                <w:rFonts w:ascii="Times New Roman" w:hAnsi="Times New Roman" w:cs="Times New Roman"/>
              </w:rPr>
              <w:t>Level 2</w:t>
            </w:r>
          </w:p>
        </w:tc>
      </w:tr>
      <w:tr w:rsidR="00A9228D" w:rsidRPr="00A9228D" w14:paraId="773C8836" w14:textId="77777777" w:rsidTr="00A9228D">
        <w:tc>
          <w:tcPr>
            <w:tcW w:w="876" w:type="dxa"/>
          </w:tcPr>
          <w:p w14:paraId="46850058" w14:textId="377D6F92" w:rsidR="00A9228D" w:rsidRPr="00A9228D" w:rsidRDefault="00A9228D" w:rsidP="00A9228D">
            <w:pPr>
              <w:jc w:val="both"/>
              <w:rPr>
                <w:rFonts w:ascii="Times New Roman" w:hAnsi="Times New Roman" w:cs="Times New Roman"/>
              </w:rPr>
            </w:pPr>
            <w:r w:rsidRPr="00A9228D">
              <w:rPr>
                <w:rFonts w:ascii="Times New Roman" w:hAnsi="Times New Roman" w:cs="Times New Roman"/>
              </w:rPr>
              <w:t>M007</w:t>
            </w:r>
          </w:p>
        </w:tc>
        <w:tc>
          <w:tcPr>
            <w:tcW w:w="705" w:type="dxa"/>
          </w:tcPr>
          <w:p w14:paraId="776B1A97" w14:textId="622E00EA" w:rsidR="00A9228D" w:rsidRPr="00A9228D" w:rsidRDefault="00A9228D" w:rsidP="00A9228D">
            <w:pPr>
              <w:jc w:val="both"/>
              <w:rPr>
                <w:rFonts w:ascii="Times New Roman" w:hAnsi="Times New Roman" w:cs="Times New Roman"/>
              </w:rPr>
            </w:pPr>
            <w:r w:rsidRPr="00A9228D">
              <w:rPr>
                <w:rFonts w:ascii="Times New Roman" w:hAnsi="Times New Roman" w:cs="Times New Roman"/>
              </w:rPr>
              <w:t>2.35</w:t>
            </w:r>
          </w:p>
        </w:tc>
        <w:tc>
          <w:tcPr>
            <w:tcW w:w="821" w:type="dxa"/>
          </w:tcPr>
          <w:p w14:paraId="62E7FEE6" w14:textId="19E5F8C9" w:rsidR="00A9228D" w:rsidRPr="00A9228D" w:rsidRDefault="00A9228D" w:rsidP="00A9228D">
            <w:pPr>
              <w:jc w:val="both"/>
              <w:rPr>
                <w:rFonts w:ascii="Times New Roman" w:hAnsi="Times New Roman" w:cs="Times New Roman"/>
              </w:rPr>
            </w:pPr>
            <w:r w:rsidRPr="00A9228D">
              <w:rPr>
                <w:rFonts w:ascii="Times New Roman" w:hAnsi="Times New Roman" w:cs="Times New Roman"/>
              </w:rPr>
              <w:t>133.01</w:t>
            </w:r>
          </w:p>
        </w:tc>
        <w:tc>
          <w:tcPr>
            <w:tcW w:w="705" w:type="dxa"/>
          </w:tcPr>
          <w:p w14:paraId="792ABB0E" w14:textId="26860073" w:rsidR="00A9228D" w:rsidRPr="00A9228D" w:rsidRDefault="00A9228D" w:rsidP="00A9228D">
            <w:pPr>
              <w:jc w:val="both"/>
              <w:rPr>
                <w:rFonts w:ascii="Times New Roman" w:hAnsi="Times New Roman" w:cs="Times New Roman"/>
              </w:rPr>
            </w:pPr>
            <w:r w:rsidRPr="00A9228D">
              <w:rPr>
                <w:rFonts w:ascii="Times New Roman" w:hAnsi="Times New Roman" w:cs="Times New Roman"/>
              </w:rPr>
              <w:t>ESI−</w:t>
            </w:r>
          </w:p>
        </w:tc>
        <w:tc>
          <w:tcPr>
            <w:tcW w:w="1585" w:type="dxa"/>
          </w:tcPr>
          <w:p w14:paraId="775711CD" w14:textId="7DCC15EA" w:rsidR="00A9228D" w:rsidRPr="00A9228D" w:rsidRDefault="00A9228D" w:rsidP="00A9228D">
            <w:pPr>
              <w:jc w:val="both"/>
              <w:rPr>
                <w:rFonts w:ascii="Times New Roman" w:hAnsi="Times New Roman" w:cs="Times New Roman"/>
              </w:rPr>
            </w:pPr>
            <w:r w:rsidRPr="00A9228D">
              <w:rPr>
                <w:rFonts w:ascii="Times New Roman" w:hAnsi="Times New Roman" w:cs="Times New Roman"/>
              </w:rPr>
              <w:t>Malic acid</w:t>
            </w:r>
          </w:p>
        </w:tc>
        <w:tc>
          <w:tcPr>
            <w:tcW w:w="1341" w:type="dxa"/>
          </w:tcPr>
          <w:p w14:paraId="6252E047" w14:textId="19719F8E" w:rsidR="00A9228D" w:rsidRPr="00A9228D" w:rsidRDefault="00A9228D" w:rsidP="00A9228D">
            <w:pPr>
              <w:jc w:val="both"/>
              <w:rPr>
                <w:rFonts w:ascii="Times New Roman" w:hAnsi="Times New Roman" w:cs="Times New Roman"/>
              </w:rPr>
            </w:pPr>
            <w:r w:rsidRPr="00A9228D">
              <w:rPr>
                <w:rFonts w:ascii="Times New Roman" w:hAnsi="Times New Roman" w:cs="Times New Roman"/>
              </w:rPr>
              <w:t>C4H6O5</w:t>
            </w:r>
          </w:p>
        </w:tc>
        <w:tc>
          <w:tcPr>
            <w:tcW w:w="681" w:type="dxa"/>
          </w:tcPr>
          <w:p w14:paraId="2072F8E8" w14:textId="3702D3A4" w:rsidR="00A9228D" w:rsidRPr="00A9228D" w:rsidRDefault="00A9228D" w:rsidP="00A9228D">
            <w:pPr>
              <w:jc w:val="both"/>
              <w:rPr>
                <w:rFonts w:ascii="Times New Roman" w:hAnsi="Times New Roman" w:cs="Times New Roman"/>
              </w:rPr>
            </w:pPr>
            <w:r w:rsidRPr="00A9228D">
              <w:rPr>
                <w:rFonts w:ascii="Times New Roman" w:hAnsi="Times New Roman" w:cs="Times New Roman"/>
              </w:rPr>
              <w:t>1.58</w:t>
            </w:r>
          </w:p>
        </w:tc>
        <w:tc>
          <w:tcPr>
            <w:tcW w:w="839" w:type="dxa"/>
          </w:tcPr>
          <w:p w14:paraId="75C3B272" w14:textId="027E183E" w:rsidR="00A9228D" w:rsidRPr="00A9228D" w:rsidRDefault="00A9228D" w:rsidP="00A9228D">
            <w:pPr>
              <w:jc w:val="both"/>
              <w:rPr>
                <w:rFonts w:ascii="Times New Roman" w:hAnsi="Times New Roman" w:cs="Times New Roman"/>
              </w:rPr>
            </w:pPr>
            <w:r w:rsidRPr="00A9228D">
              <w:rPr>
                <w:rFonts w:ascii="Times New Roman" w:hAnsi="Times New Roman" w:cs="Times New Roman"/>
              </w:rPr>
              <w:t>1.39</w:t>
            </w:r>
          </w:p>
        </w:tc>
        <w:tc>
          <w:tcPr>
            <w:tcW w:w="952" w:type="dxa"/>
          </w:tcPr>
          <w:p w14:paraId="6FA1BB45" w14:textId="3A74B7F3" w:rsidR="00A9228D" w:rsidRPr="00A9228D" w:rsidRDefault="00A9228D" w:rsidP="00A9228D">
            <w:pPr>
              <w:jc w:val="both"/>
              <w:rPr>
                <w:rFonts w:ascii="Times New Roman" w:hAnsi="Times New Roman" w:cs="Times New Roman"/>
              </w:rPr>
            </w:pPr>
            <w:r w:rsidRPr="00A9228D">
              <w:rPr>
                <w:rFonts w:ascii="Times New Roman" w:hAnsi="Times New Roman" w:cs="Times New Roman"/>
              </w:rPr>
              <w:t>Level 2</w:t>
            </w:r>
          </w:p>
        </w:tc>
      </w:tr>
      <w:tr w:rsidR="00A9228D" w:rsidRPr="00A9228D" w14:paraId="51124FC5" w14:textId="77777777" w:rsidTr="00A9228D">
        <w:tc>
          <w:tcPr>
            <w:tcW w:w="876" w:type="dxa"/>
          </w:tcPr>
          <w:p w14:paraId="684287AF" w14:textId="2AC1AC50" w:rsidR="00A9228D" w:rsidRPr="00A9228D" w:rsidRDefault="00A9228D" w:rsidP="00A9228D">
            <w:pPr>
              <w:jc w:val="both"/>
              <w:rPr>
                <w:rFonts w:ascii="Times New Roman" w:hAnsi="Times New Roman" w:cs="Times New Roman"/>
              </w:rPr>
            </w:pPr>
            <w:r w:rsidRPr="00A9228D">
              <w:rPr>
                <w:rFonts w:ascii="Times New Roman" w:hAnsi="Times New Roman" w:cs="Times New Roman"/>
              </w:rPr>
              <w:t>M008</w:t>
            </w:r>
          </w:p>
        </w:tc>
        <w:tc>
          <w:tcPr>
            <w:tcW w:w="705" w:type="dxa"/>
          </w:tcPr>
          <w:p w14:paraId="5B5C3F61" w14:textId="62FC4B08" w:rsidR="00A9228D" w:rsidRPr="00A9228D" w:rsidRDefault="00A9228D" w:rsidP="00A9228D">
            <w:pPr>
              <w:jc w:val="both"/>
              <w:rPr>
                <w:rFonts w:ascii="Times New Roman" w:hAnsi="Times New Roman" w:cs="Times New Roman"/>
              </w:rPr>
            </w:pPr>
            <w:r w:rsidRPr="00A9228D">
              <w:rPr>
                <w:rFonts w:ascii="Times New Roman" w:hAnsi="Times New Roman" w:cs="Times New Roman"/>
              </w:rPr>
              <w:t>4.88</w:t>
            </w:r>
          </w:p>
        </w:tc>
        <w:tc>
          <w:tcPr>
            <w:tcW w:w="821" w:type="dxa"/>
          </w:tcPr>
          <w:p w14:paraId="7CF86146" w14:textId="03D7672C" w:rsidR="00A9228D" w:rsidRPr="00A9228D" w:rsidRDefault="00A9228D" w:rsidP="00A9228D">
            <w:pPr>
              <w:jc w:val="both"/>
              <w:rPr>
                <w:rFonts w:ascii="Times New Roman" w:hAnsi="Times New Roman" w:cs="Times New Roman"/>
              </w:rPr>
            </w:pPr>
            <w:r w:rsidRPr="00A9228D">
              <w:rPr>
                <w:rFonts w:ascii="Times New Roman" w:hAnsi="Times New Roman" w:cs="Times New Roman"/>
              </w:rPr>
              <w:t>195.09</w:t>
            </w:r>
          </w:p>
        </w:tc>
        <w:tc>
          <w:tcPr>
            <w:tcW w:w="705" w:type="dxa"/>
          </w:tcPr>
          <w:p w14:paraId="5FB8AFFE" w14:textId="799DC0B9" w:rsidR="00A9228D" w:rsidRPr="00A9228D" w:rsidRDefault="00A9228D" w:rsidP="00A9228D">
            <w:pPr>
              <w:jc w:val="both"/>
              <w:rPr>
                <w:rFonts w:ascii="Times New Roman" w:hAnsi="Times New Roman" w:cs="Times New Roman"/>
              </w:rPr>
            </w:pPr>
            <w:r w:rsidRPr="00A9228D">
              <w:rPr>
                <w:rFonts w:ascii="Times New Roman" w:hAnsi="Times New Roman" w:cs="Times New Roman"/>
              </w:rPr>
              <w:t>ESI+</w:t>
            </w:r>
          </w:p>
        </w:tc>
        <w:tc>
          <w:tcPr>
            <w:tcW w:w="1585" w:type="dxa"/>
          </w:tcPr>
          <w:p w14:paraId="4B447CF6" w14:textId="33F76CD3" w:rsidR="00A9228D" w:rsidRPr="00A9228D" w:rsidRDefault="00A9228D" w:rsidP="00A9228D">
            <w:pPr>
              <w:jc w:val="both"/>
              <w:rPr>
                <w:rFonts w:ascii="Times New Roman" w:hAnsi="Times New Roman" w:cs="Times New Roman"/>
              </w:rPr>
            </w:pPr>
            <w:r w:rsidRPr="00A9228D">
              <w:rPr>
                <w:rFonts w:ascii="Times New Roman" w:hAnsi="Times New Roman" w:cs="Times New Roman"/>
              </w:rPr>
              <w:t>Aminobutanoic acid derivative</w:t>
            </w:r>
          </w:p>
        </w:tc>
        <w:tc>
          <w:tcPr>
            <w:tcW w:w="1341" w:type="dxa"/>
          </w:tcPr>
          <w:p w14:paraId="1D7AD378" w14:textId="3616989E" w:rsidR="00A9228D" w:rsidRPr="00A9228D" w:rsidRDefault="00A9228D" w:rsidP="00A9228D">
            <w:pPr>
              <w:jc w:val="both"/>
              <w:rPr>
                <w:rFonts w:ascii="Times New Roman" w:hAnsi="Times New Roman" w:cs="Times New Roman"/>
              </w:rPr>
            </w:pPr>
            <w:r w:rsidRPr="00A9228D">
              <w:rPr>
                <w:rFonts w:ascii="Times New Roman" w:hAnsi="Times New Roman" w:cs="Times New Roman"/>
              </w:rPr>
              <w:t>C8H13NO4</w:t>
            </w:r>
          </w:p>
        </w:tc>
        <w:tc>
          <w:tcPr>
            <w:tcW w:w="681" w:type="dxa"/>
          </w:tcPr>
          <w:p w14:paraId="0C0F5DDE" w14:textId="1BE9C78F" w:rsidR="00A9228D" w:rsidRPr="00A9228D" w:rsidRDefault="00A9228D" w:rsidP="00A9228D">
            <w:pPr>
              <w:jc w:val="both"/>
              <w:rPr>
                <w:rFonts w:ascii="Times New Roman" w:hAnsi="Times New Roman" w:cs="Times New Roman"/>
              </w:rPr>
            </w:pPr>
            <w:r w:rsidRPr="00A9228D">
              <w:rPr>
                <w:rFonts w:ascii="Times New Roman" w:hAnsi="Times New Roman" w:cs="Times New Roman"/>
              </w:rPr>
              <w:t>1.54</w:t>
            </w:r>
          </w:p>
        </w:tc>
        <w:tc>
          <w:tcPr>
            <w:tcW w:w="839" w:type="dxa"/>
          </w:tcPr>
          <w:p w14:paraId="4490B4C3" w14:textId="72996A79" w:rsidR="00A9228D" w:rsidRPr="00A9228D" w:rsidRDefault="00A9228D" w:rsidP="00A9228D">
            <w:pPr>
              <w:jc w:val="both"/>
              <w:rPr>
                <w:rFonts w:ascii="Times New Roman" w:hAnsi="Times New Roman" w:cs="Times New Roman"/>
              </w:rPr>
            </w:pPr>
            <w:r w:rsidRPr="00A9228D">
              <w:rPr>
                <w:rFonts w:ascii="Times New Roman" w:hAnsi="Times New Roman" w:cs="Times New Roman"/>
              </w:rPr>
              <w:t>1.36</w:t>
            </w:r>
          </w:p>
        </w:tc>
        <w:tc>
          <w:tcPr>
            <w:tcW w:w="952" w:type="dxa"/>
          </w:tcPr>
          <w:p w14:paraId="7E736FA2" w14:textId="0296A6A3" w:rsidR="00A9228D" w:rsidRPr="00A9228D" w:rsidRDefault="00A9228D" w:rsidP="00A9228D">
            <w:pPr>
              <w:jc w:val="both"/>
              <w:rPr>
                <w:rFonts w:ascii="Times New Roman" w:hAnsi="Times New Roman" w:cs="Times New Roman"/>
              </w:rPr>
            </w:pPr>
            <w:r w:rsidRPr="00A9228D">
              <w:rPr>
                <w:rFonts w:ascii="Times New Roman" w:hAnsi="Times New Roman" w:cs="Times New Roman"/>
              </w:rPr>
              <w:t>Level 3</w:t>
            </w:r>
          </w:p>
        </w:tc>
      </w:tr>
      <w:tr w:rsidR="00A9228D" w:rsidRPr="00A9228D" w14:paraId="02F36FDF" w14:textId="77777777" w:rsidTr="00A9228D">
        <w:tc>
          <w:tcPr>
            <w:tcW w:w="876" w:type="dxa"/>
          </w:tcPr>
          <w:p w14:paraId="468B09F0" w14:textId="6883664C" w:rsidR="00A9228D" w:rsidRPr="00A9228D" w:rsidRDefault="00A9228D" w:rsidP="00A9228D">
            <w:pPr>
              <w:jc w:val="both"/>
              <w:rPr>
                <w:rFonts w:ascii="Times New Roman" w:hAnsi="Times New Roman" w:cs="Times New Roman"/>
              </w:rPr>
            </w:pPr>
            <w:r w:rsidRPr="00A9228D">
              <w:rPr>
                <w:rFonts w:ascii="Times New Roman" w:hAnsi="Times New Roman" w:cs="Times New Roman"/>
              </w:rPr>
              <w:t>M009</w:t>
            </w:r>
          </w:p>
        </w:tc>
        <w:tc>
          <w:tcPr>
            <w:tcW w:w="705" w:type="dxa"/>
          </w:tcPr>
          <w:p w14:paraId="5F092011" w14:textId="13F85C76" w:rsidR="00A9228D" w:rsidRPr="00A9228D" w:rsidRDefault="00A9228D" w:rsidP="00A9228D">
            <w:pPr>
              <w:jc w:val="both"/>
              <w:rPr>
                <w:rFonts w:ascii="Times New Roman" w:hAnsi="Times New Roman" w:cs="Times New Roman"/>
              </w:rPr>
            </w:pPr>
            <w:r w:rsidRPr="00A9228D">
              <w:rPr>
                <w:rFonts w:ascii="Times New Roman" w:hAnsi="Times New Roman" w:cs="Times New Roman"/>
              </w:rPr>
              <w:t>7.15</w:t>
            </w:r>
          </w:p>
        </w:tc>
        <w:tc>
          <w:tcPr>
            <w:tcW w:w="821" w:type="dxa"/>
          </w:tcPr>
          <w:p w14:paraId="7C200AE2" w14:textId="39FFE619" w:rsidR="00A9228D" w:rsidRPr="00A9228D" w:rsidRDefault="00A9228D" w:rsidP="00A9228D">
            <w:pPr>
              <w:jc w:val="both"/>
              <w:rPr>
                <w:rFonts w:ascii="Times New Roman" w:hAnsi="Times New Roman" w:cs="Times New Roman"/>
              </w:rPr>
            </w:pPr>
            <w:r w:rsidRPr="00A9228D">
              <w:rPr>
                <w:rFonts w:ascii="Times New Roman" w:hAnsi="Times New Roman" w:cs="Times New Roman"/>
              </w:rPr>
              <w:t>255.23</w:t>
            </w:r>
          </w:p>
        </w:tc>
        <w:tc>
          <w:tcPr>
            <w:tcW w:w="705" w:type="dxa"/>
          </w:tcPr>
          <w:p w14:paraId="744E70B7" w14:textId="292B0EA5" w:rsidR="00A9228D" w:rsidRPr="00A9228D" w:rsidRDefault="00A9228D" w:rsidP="00A9228D">
            <w:pPr>
              <w:jc w:val="both"/>
              <w:rPr>
                <w:rFonts w:ascii="Times New Roman" w:hAnsi="Times New Roman" w:cs="Times New Roman"/>
              </w:rPr>
            </w:pPr>
            <w:r w:rsidRPr="00A9228D">
              <w:rPr>
                <w:rFonts w:ascii="Times New Roman" w:hAnsi="Times New Roman" w:cs="Times New Roman"/>
              </w:rPr>
              <w:t>ESI+</w:t>
            </w:r>
          </w:p>
        </w:tc>
        <w:tc>
          <w:tcPr>
            <w:tcW w:w="1585" w:type="dxa"/>
          </w:tcPr>
          <w:p w14:paraId="00471CFD" w14:textId="73DDA74E" w:rsidR="00A9228D" w:rsidRPr="00A9228D" w:rsidRDefault="00A9228D" w:rsidP="00A9228D">
            <w:pPr>
              <w:jc w:val="both"/>
              <w:rPr>
                <w:rFonts w:ascii="Times New Roman" w:hAnsi="Times New Roman" w:cs="Times New Roman"/>
              </w:rPr>
            </w:pPr>
            <w:r w:rsidRPr="00A9228D">
              <w:rPr>
                <w:rFonts w:ascii="Times New Roman" w:hAnsi="Times New Roman" w:cs="Times New Roman"/>
              </w:rPr>
              <w:t>Palmitic acid derivative</w:t>
            </w:r>
          </w:p>
        </w:tc>
        <w:tc>
          <w:tcPr>
            <w:tcW w:w="1341" w:type="dxa"/>
          </w:tcPr>
          <w:p w14:paraId="432FB6CE" w14:textId="19685399" w:rsidR="00A9228D" w:rsidRPr="00A9228D" w:rsidRDefault="00A9228D" w:rsidP="00A9228D">
            <w:pPr>
              <w:jc w:val="both"/>
              <w:rPr>
                <w:rFonts w:ascii="Times New Roman" w:hAnsi="Times New Roman" w:cs="Times New Roman"/>
              </w:rPr>
            </w:pPr>
            <w:r w:rsidRPr="00A9228D">
              <w:rPr>
                <w:rFonts w:ascii="Times New Roman" w:hAnsi="Times New Roman" w:cs="Times New Roman"/>
              </w:rPr>
              <w:t>C16H32O2</w:t>
            </w:r>
          </w:p>
        </w:tc>
        <w:tc>
          <w:tcPr>
            <w:tcW w:w="681" w:type="dxa"/>
          </w:tcPr>
          <w:p w14:paraId="1884CCB7" w14:textId="525BDC96" w:rsidR="00A9228D" w:rsidRPr="00A9228D" w:rsidRDefault="00A9228D" w:rsidP="00A9228D">
            <w:pPr>
              <w:jc w:val="both"/>
              <w:rPr>
                <w:rFonts w:ascii="Times New Roman" w:hAnsi="Times New Roman" w:cs="Times New Roman"/>
              </w:rPr>
            </w:pPr>
            <w:r w:rsidRPr="00A9228D">
              <w:rPr>
                <w:rFonts w:ascii="Times New Roman" w:hAnsi="Times New Roman" w:cs="Times New Roman"/>
              </w:rPr>
              <w:t>1.42</w:t>
            </w:r>
          </w:p>
        </w:tc>
        <w:tc>
          <w:tcPr>
            <w:tcW w:w="839" w:type="dxa"/>
          </w:tcPr>
          <w:p w14:paraId="39AE3C1B" w14:textId="292A55B0" w:rsidR="00A9228D" w:rsidRPr="00A9228D" w:rsidRDefault="00A9228D" w:rsidP="00A9228D">
            <w:pPr>
              <w:jc w:val="both"/>
              <w:rPr>
                <w:rFonts w:ascii="Times New Roman" w:hAnsi="Times New Roman" w:cs="Times New Roman"/>
              </w:rPr>
            </w:pPr>
            <w:r w:rsidRPr="00A9228D">
              <w:rPr>
                <w:rFonts w:ascii="Times New Roman" w:hAnsi="Times New Roman" w:cs="Times New Roman"/>
              </w:rPr>
              <w:t>−1.21</w:t>
            </w:r>
          </w:p>
        </w:tc>
        <w:tc>
          <w:tcPr>
            <w:tcW w:w="952" w:type="dxa"/>
          </w:tcPr>
          <w:p w14:paraId="6C44B76A" w14:textId="582609B1" w:rsidR="00A9228D" w:rsidRPr="00A9228D" w:rsidRDefault="00A9228D" w:rsidP="00A9228D">
            <w:pPr>
              <w:jc w:val="both"/>
              <w:rPr>
                <w:rFonts w:ascii="Times New Roman" w:hAnsi="Times New Roman" w:cs="Times New Roman"/>
              </w:rPr>
            </w:pPr>
            <w:r w:rsidRPr="00A9228D">
              <w:rPr>
                <w:rFonts w:ascii="Times New Roman" w:hAnsi="Times New Roman" w:cs="Times New Roman"/>
              </w:rPr>
              <w:t>Level 3</w:t>
            </w:r>
          </w:p>
        </w:tc>
      </w:tr>
      <w:tr w:rsidR="00A9228D" w:rsidRPr="00A9228D" w14:paraId="7AB15BE0" w14:textId="77777777" w:rsidTr="00A9228D">
        <w:tc>
          <w:tcPr>
            <w:tcW w:w="876" w:type="dxa"/>
          </w:tcPr>
          <w:p w14:paraId="50176353" w14:textId="464EB373" w:rsidR="00A9228D" w:rsidRPr="00A9228D" w:rsidRDefault="00A9228D" w:rsidP="00A9228D">
            <w:pPr>
              <w:jc w:val="both"/>
              <w:rPr>
                <w:rFonts w:ascii="Times New Roman" w:hAnsi="Times New Roman" w:cs="Times New Roman"/>
              </w:rPr>
            </w:pPr>
            <w:r w:rsidRPr="00A9228D">
              <w:rPr>
                <w:rFonts w:ascii="Times New Roman" w:hAnsi="Times New Roman" w:cs="Times New Roman"/>
              </w:rPr>
              <w:lastRenderedPageBreak/>
              <w:t>M010</w:t>
            </w:r>
          </w:p>
        </w:tc>
        <w:tc>
          <w:tcPr>
            <w:tcW w:w="705" w:type="dxa"/>
          </w:tcPr>
          <w:p w14:paraId="2C4A5287" w14:textId="54472F0C" w:rsidR="00A9228D" w:rsidRPr="00A9228D" w:rsidRDefault="00A9228D" w:rsidP="00A9228D">
            <w:pPr>
              <w:jc w:val="both"/>
              <w:rPr>
                <w:rFonts w:ascii="Times New Roman" w:hAnsi="Times New Roman" w:cs="Times New Roman"/>
              </w:rPr>
            </w:pPr>
            <w:r w:rsidRPr="00A9228D">
              <w:rPr>
                <w:rFonts w:ascii="Times New Roman" w:hAnsi="Times New Roman" w:cs="Times New Roman"/>
              </w:rPr>
              <w:t>7.82</w:t>
            </w:r>
          </w:p>
        </w:tc>
        <w:tc>
          <w:tcPr>
            <w:tcW w:w="821" w:type="dxa"/>
          </w:tcPr>
          <w:p w14:paraId="3A4CDAB0" w14:textId="49E4CB41" w:rsidR="00A9228D" w:rsidRPr="00A9228D" w:rsidRDefault="00A9228D" w:rsidP="00A9228D">
            <w:pPr>
              <w:jc w:val="both"/>
              <w:rPr>
                <w:rFonts w:ascii="Times New Roman" w:hAnsi="Times New Roman" w:cs="Times New Roman"/>
              </w:rPr>
            </w:pPr>
            <w:r w:rsidRPr="00A9228D">
              <w:rPr>
                <w:rFonts w:ascii="Times New Roman" w:hAnsi="Times New Roman" w:cs="Times New Roman"/>
              </w:rPr>
              <w:t>281.25</w:t>
            </w:r>
          </w:p>
        </w:tc>
        <w:tc>
          <w:tcPr>
            <w:tcW w:w="705" w:type="dxa"/>
          </w:tcPr>
          <w:p w14:paraId="316E5D04" w14:textId="69566C08" w:rsidR="00A9228D" w:rsidRPr="00A9228D" w:rsidRDefault="00A9228D" w:rsidP="00A9228D">
            <w:pPr>
              <w:jc w:val="both"/>
              <w:rPr>
                <w:rFonts w:ascii="Times New Roman" w:hAnsi="Times New Roman" w:cs="Times New Roman"/>
              </w:rPr>
            </w:pPr>
            <w:r w:rsidRPr="00A9228D">
              <w:rPr>
                <w:rFonts w:ascii="Times New Roman" w:hAnsi="Times New Roman" w:cs="Times New Roman"/>
              </w:rPr>
              <w:t>ESI−</w:t>
            </w:r>
          </w:p>
        </w:tc>
        <w:tc>
          <w:tcPr>
            <w:tcW w:w="1585" w:type="dxa"/>
          </w:tcPr>
          <w:p w14:paraId="71F33C70" w14:textId="337B4C91" w:rsidR="00A9228D" w:rsidRPr="00A9228D" w:rsidRDefault="00A9228D" w:rsidP="00A9228D">
            <w:pPr>
              <w:jc w:val="both"/>
              <w:rPr>
                <w:rFonts w:ascii="Times New Roman" w:hAnsi="Times New Roman" w:cs="Times New Roman"/>
              </w:rPr>
            </w:pPr>
            <w:r w:rsidRPr="00A9228D">
              <w:rPr>
                <w:rFonts w:ascii="Times New Roman" w:hAnsi="Times New Roman" w:cs="Times New Roman"/>
              </w:rPr>
              <w:t>Oleic acid derivative</w:t>
            </w:r>
          </w:p>
        </w:tc>
        <w:tc>
          <w:tcPr>
            <w:tcW w:w="1341" w:type="dxa"/>
          </w:tcPr>
          <w:p w14:paraId="1B629AA9" w14:textId="1C353277" w:rsidR="00A9228D" w:rsidRPr="00A9228D" w:rsidRDefault="00A9228D" w:rsidP="00A9228D">
            <w:pPr>
              <w:jc w:val="both"/>
              <w:rPr>
                <w:rFonts w:ascii="Times New Roman" w:hAnsi="Times New Roman" w:cs="Times New Roman"/>
              </w:rPr>
            </w:pPr>
            <w:r w:rsidRPr="00A9228D">
              <w:rPr>
                <w:rFonts w:ascii="Times New Roman" w:hAnsi="Times New Roman" w:cs="Times New Roman"/>
              </w:rPr>
              <w:t>C18H34O2</w:t>
            </w:r>
          </w:p>
        </w:tc>
        <w:tc>
          <w:tcPr>
            <w:tcW w:w="681" w:type="dxa"/>
          </w:tcPr>
          <w:p w14:paraId="30D4168B" w14:textId="3FDDC643" w:rsidR="00A9228D" w:rsidRPr="00A9228D" w:rsidRDefault="00A9228D" w:rsidP="00A9228D">
            <w:pPr>
              <w:jc w:val="both"/>
              <w:rPr>
                <w:rFonts w:ascii="Times New Roman" w:hAnsi="Times New Roman" w:cs="Times New Roman"/>
              </w:rPr>
            </w:pPr>
            <w:r w:rsidRPr="00A9228D">
              <w:rPr>
                <w:rFonts w:ascii="Times New Roman" w:hAnsi="Times New Roman" w:cs="Times New Roman"/>
              </w:rPr>
              <w:t>1.39</w:t>
            </w:r>
          </w:p>
        </w:tc>
        <w:tc>
          <w:tcPr>
            <w:tcW w:w="839" w:type="dxa"/>
          </w:tcPr>
          <w:p w14:paraId="5371A178" w14:textId="3A0BD9AC" w:rsidR="00A9228D" w:rsidRPr="00A9228D" w:rsidRDefault="00A9228D" w:rsidP="00A9228D">
            <w:pPr>
              <w:jc w:val="both"/>
              <w:rPr>
                <w:rFonts w:ascii="Times New Roman" w:hAnsi="Times New Roman" w:cs="Times New Roman"/>
              </w:rPr>
            </w:pPr>
            <w:r w:rsidRPr="00A9228D">
              <w:rPr>
                <w:rFonts w:ascii="Times New Roman" w:hAnsi="Times New Roman" w:cs="Times New Roman"/>
              </w:rPr>
              <w:t>−1.18</w:t>
            </w:r>
          </w:p>
        </w:tc>
        <w:tc>
          <w:tcPr>
            <w:tcW w:w="952" w:type="dxa"/>
          </w:tcPr>
          <w:p w14:paraId="494C63AB" w14:textId="73AA7373" w:rsidR="00A9228D" w:rsidRPr="00A9228D" w:rsidRDefault="00A9228D" w:rsidP="00A9228D">
            <w:pPr>
              <w:jc w:val="both"/>
              <w:rPr>
                <w:rFonts w:ascii="Times New Roman" w:hAnsi="Times New Roman" w:cs="Times New Roman"/>
              </w:rPr>
            </w:pPr>
            <w:r w:rsidRPr="00A9228D">
              <w:rPr>
                <w:rFonts w:ascii="Times New Roman" w:hAnsi="Times New Roman" w:cs="Times New Roman"/>
              </w:rPr>
              <w:t>Level 3</w:t>
            </w:r>
          </w:p>
        </w:tc>
      </w:tr>
      <w:tr w:rsidR="00A9228D" w:rsidRPr="00A9228D" w14:paraId="249CC2B2" w14:textId="77777777" w:rsidTr="00A9228D">
        <w:tc>
          <w:tcPr>
            <w:tcW w:w="876" w:type="dxa"/>
          </w:tcPr>
          <w:p w14:paraId="011E9E69" w14:textId="6D1BE60E" w:rsidR="00A9228D" w:rsidRPr="00A9228D" w:rsidRDefault="00A9228D" w:rsidP="00A9228D">
            <w:pPr>
              <w:jc w:val="both"/>
              <w:rPr>
                <w:rFonts w:ascii="Times New Roman" w:hAnsi="Times New Roman" w:cs="Times New Roman"/>
              </w:rPr>
            </w:pPr>
            <w:r w:rsidRPr="00A9228D">
              <w:rPr>
                <w:rFonts w:ascii="Times New Roman" w:hAnsi="Times New Roman" w:cs="Times New Roman"/>
              </w:rPr>
              <w:t>M011</w:t>
            </w:r>
          </w:p>
        </w:tc>
        <w:tc>
          <w:tcPr>
            <w:tcW w:w="705" w:type="dxa"/>
          </w:tcPr>
          <w:p w14:paraId="0EAFC357" w14:textId="62559AD9" w:rsidR="00A9228D" w:rsidRPr="00A9228D" w:rsidRDefault="00A9228D" w:rsidP="00A9228D">
            <w:pPr>
              <w:jc w:val="both"/>
              <w:rPr>
                <w:rFonts w:ascii="Times New Roman" w:hAnsi="Times New Roman" w:cs="Times New Roman"/>
              </w:rPr>
            </w:pPr>
            <w:r w:rsidRPr="00A9228D">
              <w:rPr>
                <w:rFonts w:ascii="Times New Roman" w:hAnsi="Times New Roman" w:cs="Times New Roman"/>
              </w:rPr>
              <w:t>5.74</w:t>
            </w:r>
          </w:p>
        </w:tc>
        <w:tc>
          <w:tcPr>
            <w:tcW w:w="821" w:type="dxa"/>
          </w:tcPr>
          <w:p w14:paraId="07E5A5FE" w14:textId="0922691A" w:rsidR="00A9228D" w:rsidRPr="00A9228D" w:rsidRDefault="00A9228D" w:rsidP="00A9228D">
            <w:pPr>
              <w:jc w:val="both"/>
              <w:rPr>
                <w:rFonts w:ascii="Times New Roman" w:hAnsi="Times New Roman" w:cs="Times New Roman"/>
              </w:rPr>
            </w:pPr>
            <w:r w:rsidRPr="00A9228D">
              <w:rPr>
                <w:rFonts w:ascii="Times New Roman" w:hAnsi="Times New Roman" w:cs="Times New Roman"/>
              </w:rPr>
              <w:t>449.11</w:t>
            </w:r>
          </w:p>
        </w:tc>
        <w:tc>
          <w:tcPr>
            <w:tcW w:w="705" w:type="dxa"/>
          </w:tcPr>
          <w:p w14:paraId="101DC7E6" w14:textId="0826BE00" w:rsidR="00A9228D" w:rsidRPr="00A9228D" w:rsidRDefault="00A9228D" w:rsidP="00A9228D">
            <w:pPr>
              <w:jc w:val="both"/>
              <w:rPr>
                <w:rFonts w:ascii="Times New Roman" w:hAnsi="Times New Roman" w:cs="Times New Roman"/>
              </w:rPr>
            </w:pPr>
            <w:r w:rsidRPr="00A9228D">
              <w:rPr>
                <w:rFonts w:ascii="Times New Roman" w:hAnsi="Times New Roman" w:cs="Times New Roman"/>
              </w:rPr>
              <w:t>ESI+</w:t>
            </w:r>
          </w:p>
        </w:tc>
        <w:tc>
          <w:tcPr>
            <w:tcW w:w="1585" w:type="dxa"/>
          </w:tcPr>
          <w:p w14:paraId="618A6A61" w14:textId="5153B847" w:rsidR="00A9228D" w:rsidRPr="00A9228D" w:rsidRDefault="00A9228D" w:rsidP="00A9228D">
            <w:pPr>
              <w:jc w:val="both"/>
              <w:rPr>
                <w:rFonts w:ascii="Times New Roman" w:hAnsi="Times New Roman" w:cs="Times New Roman"/>
              </w:rPr>
            </w:pPr>
            <w:r w:rsidRPr="00A9228D">
              <w:rPr>
                <w:rFonts w:ascii="Times New Roman" w:hAnsi="Times New Roman" w:cs="Times New Roman"/>
              </w:rPr>
              <w:t>Quercetin glycoside</w:t>
            </w:r>
          </w:p>
        </w:tc>
        <w:tc>
          <w:tcPr>
            <w:tcW w:w="1341" w:type="dxa"/>
          </w:tcPr>
          <w:p w14:paraId="161FE6B1" w14:textId="13D15110" w:rsidR="00A9228D" w:rsidRPr="00A9228D" w:rsidRDefault="00A9228D" w:rsidP="00A9228D">
            <w:pPr>
              <w:jc w:val="both"/>
              <w:rPr>
                <w:rFonts w:ascii="Times New Roman" w:hAnsi="Times New Roman" w:cs="Times New Roman"/>
              </w:rPr>
            </w:pPr>
            <w:r w:rsidRPr="00A9228D">
              <w:rPr>
                <w:rFonts w:ascii="Times New Roman" w:hAnsi="Times New Roman" w:cs="Times New Roman"/>
              </w:rPr>
              <w:t>C21H20O11</w:t>
            </w:r>
          </w:p>
        </w:tc>
        <w:tc>
          <w:tcPr>
            <w:tcW w:w="681" w:type="dxa"/>
          </w:tcPr>
          <w:p w14:paraId="60E1CF31" w14:textId="601FA169" w:rsidR="00A9228D" w:rsidRPr="00A9228D" w:rsidRDefault="00A9228D" w:rsidP="00A9228D">
            <w:pPr>
              <w:jc w:val="both"/>
              <w:rPr>
                <w:rFonts w:ascii="Times New Roman" w:hAnsi="Times New Roman" w:cs="Times New Roman"/>
              </w:rPr>
            </w:pPr>
            <w:r w:rsidRPr="00A9228D">
              <w:rPr>
                <w:rFonts w:ascii="Times New Roman" w:hAnsi="Times New Roman" w:cs="Times New Roman"/>
              </w:rPr>
              <w:t>1.52</w:t>
            </w:r>
          </w:p>
        </w:tc>
        <w:tc>
          <w:tcPr>
            <w:tcW w:w="839" w:type="dxa"/>
          </w:tcPr>
          <w:p w14:paraId="51D68229" w14:textId="388027BD" w:rsidR="00A9228D" w:rsidRPr="00A9228D" w:rsidRDefault="00A9228D" w:rsidP="00A9228D">
            <w:pPr>
              <w:jc w:val="both"/>
              <w:rPr>
                <w:rFonts w:ascii="Times New Roman" w:hAnsi="Times New Roman" w:cs="Times New Roman"/>
              </w:rPr>
            </w:pPr>
            <w:r w:rsidRPr="00A9228D">
              <w:rPr>
                <w:rFonts w:ascii="Times New Roman" w:hAnsi="Times New Roman" w:cs="Times New Roman"/>
              </w:rPr>
              <w:t>1.63</w:t>
            </w:r>
          </w:p>
        </w:tc>
        <w:tc>
          <w:tcPr>
            <w:tcW w:w="952" w:type="dxa"/>
          </w:tcPr>
          <w:p w14:paraId="2D4C464C" w14:textId="27815B66" w:rsidR="00A9228D" w:rsidRPr="00A9228D" w:rsidRDefault="00A9228D" w:rsidP="00A9228D">
            <w:pPr>
              <w:jc w:val="both"/>
              <w:rPr>
                <w:rFonts w:ascii="Times New Roman" w:hAnsi="Times New Roman" w:cs="Times New Roman"/>
              </w:rPr>
            </w:pPr>
            <w:r w:rsidRPr="00A9228D">
              <w:rPr>
                <w:rFonts w:ascii="Times New Roman" w:hAnsi="Times New Roman" w:cs="Times New Roman"/>
              </w:rPr>
              <w:t>Level 2</w:t>
            </w:r>
          </w:p>
        </w:tc>
      </w:tr>
      <w:tr w:rsidR="00A9228D" w:rsidRPr="00A9228D" w14:paraId="0F511C91" w14:textId="77777777" w:rsidTr="00A9228D">
        <w:tc>
          <w:tcPr>
            <w:tcW w:w="876" w:type="dxa"/>
          </w:tcPr>
          <w:p w14:paraId="2D74A01A" w14:textId="289C1473" w:rsidR="00A9228D" w:rsidRPr="00A9228D" w:rsidRDefault="00A9228D" w:rsidP="00A9228D">
            <w:pPr>
              <w:jc w:val="both"/>
              <w:rPr>
                <w:rFonts w:ascii="Times New Roman" w:hAnsi="Times New Roman" w:cs="Times New Roman"/>
              </w:rPr>
            </w:pPr>
            <w:r w:rsidRPr="00A9228D">
              <w:rPr>
                <w:rFonts w:ascii="Times New Roman" w:hAnsi="Times New Roman" w:cs="Times New Roman"/>
              </w:rPr>
              <w:t>M012</w:t>
            </w:r>
          </w:p>
        </w:tc>
        <w:tc>
          <w:tcPr>
            <w:tcW w:w="705" w:type="dxa"/>
          </w:tcPr>
          <w:p w14:paraId="6E2EE31A" w14:textId="06C942B1" w:rsidR="00A9228D" w:rsidRPr="00A9228D" w:rsidRDefault="00A9228D" w:rsidP="00A9228D">
            <w:pPr>
              <w:jc w:val="both"/>
              <w:rPr>
                <w:rFonts w:ascii="Times New Roman" w:hAnsi="Times New Roman" w:cs="Times New Roman"/>
              </w:rPr>
            </w:pPr>
            <w:r w:rsidRPr="00A9228D">
              <w:rPr>
                <w:rFonts w:ascii="Times New Roman" w:hAnsi="Times New Roman" w:cs="Times New Roman"/>
              </w:rPr>
              <w:t>4.62</w:t>
            </w:r>
          </w:p>
        </w:tc>
        <w:tc>
          <w:tcPr>
            <w:tcW w:w="821" w:type="dxa"/>
          </w:tcPr>
          <w:p w14:paraId="17CB5E99" w14:textId="72103BA4" w:rsidR="00A9228D" w:rsidRPr="00A9228D" w:rsidRDefault="00A9228D" w:rsidP="00A9228D">
            <w:pPr>
              <w:jc w:val="both"/>
              <w:rPr>
                <w:rFonts w:ascii="Times New Roman" w:hAnsi="Times New Roman" w:cs="Times New Roman"/>
              </w:rPr>
            </w:pPr>
            <w:r w:rsidRPr="00A9228D">
              <w:rPr>
                <w:rFonts w:ascii="Times New Roman" w:hAnsi="Times New Roman" w:cs="Times New Roman"/>
              </w:rPr>
              <w:t>433.11</w:t>
            </w:r>
          </w:p>
        </w:tc>
        <w:tc>
          <w:tcPr>
            <w:tcW w:w="705" w:type="dxa"/>
          </w:tcPr>
          <w:p w14:paraId="6FF8DAB0" w14:textId="73CCFD62" w:rsidR="00A9228D" w:rsidRPr="00A9228D" w:rsidRDefault="00A9228D" w:rsidP="00A9228D">
            <w:pPr>
              <w:jc w:val="both"/>
              <w:rPr>
                <w:rFonts w:ascii="Times New Roman" w:hAnsi="Times New Roman" w:cs="Times New Roman"/>
              </w:rPr>
            </w:pPr>
            <w:r w:rsidRPr="00A9228D">
              <w:rPr>
                <w:rFonts w:ascii="Times New Roman" w:hAnsi="Times New Roman" w:cs="Times New Roman"/>
              </w:rPr>
              <w:t>ESI+</w:t>
            </w:r>
          </w:p>
        </w:tc>
        <w:tc>
          <w:tcPr>
            <w:tcW w:w="1585" w:type="dxa"/>
          </w:tcPr>
          <w:p w14:paraId="38EA7A3D" w14:textId="1A218DB8" w:rsidR="00A9228D" w:rsidRPr="00A9228D" w:rsidRDefault="00A9228D" w:rsidP="00A9228D">
            <w:pPr>
              <w:jc w:val="both"/>
              <w:rPr>
                <w:rFonts w:ascii="Times New Roman" w:hAnsi="Times New Roman" w:cs="Times New Roman"/>
              </w:rPr>
            </w:pPr>
            <w:r w:rsidRPr="00A9228D">
              <w:rPr>
                <w:rFonts w:ascii="Times New Roman" w:hAnsi="Times New Roman" w:cs="Times New Roman"/>
              </w:rPr>
              <w:t>Apigenin glycoside</w:t>
            </w:r>
          </w:p>
        </w:tc>
        <w:tc>
          <w:tcPr>
            <w:tcW w:w="1341" w:type="dxa"/>
          </w:tcPr>
          <w:p w14:paraId="16604A02" w14:textId="14467BBA" w:rsidR="00A9228D" w:rsidRPr="00A9228D" w:rsidRDefault="00A9228D" w:rsidP="00A9228D">
            <w:pPr>
              <w:jc w:val="both"/>
              <w:rPr>
                <w:rFonts w:ascii="Times New Roman" w:hAnsi="Times New Roman" w:cs="Times New Roman"/>
              </w:rPr>
            </w:pPr>
            <w:r w:rsidRPr="00A9228D">
              <w:rPr>
                <w:rFonts w:ascii="Times New Roman" w:hAnsi="Times New Roman" w:cs="Times New Roman"/>
              </w:rPr>
              <w:t>C21H20O10</w:t>
            </w:r>
          </w:p>
        </w:tc>
        <w:tc>
          <w:tcPr>
            <w:tcW w:w="681" w:type="dxa"/>
          </w:tcPr>
          <w:p w14:paraId="0703EC06" w14:textId="6F0544AA" w:rsidR="00A9228D" w:rsidRPr="00A9228D" w:rsidRDefault="00A9228D" w:rsidP="00A9228D">
            <w:pPr>
              <w:jc w:val="both"/>
              <w:rPr>
                <w:rFonts w:ascii="Times New Roman" w:hAnsi="Times New Roman" w:cs="Times New Roman"/>
              </w:rPr>
            </w:pPr>
            <w:r w:rsidRPr="00A9228D">
              <w:rPr>
                <w:rFonts w:ascii="Times New Roman" w:hAnsi="Times New Roman" w:cs="Times New Roman"/>
              </w:rPr>
              <w:t>1.48</w:t>
            </w:r>
          </w:p>
        </w:tc>
        <w:tc>
          <w:tcPr>
            <w:tcW w:w="839" w:type="dxa"/>
          </w:tcPr>
          <w:p w14:paraId="3C82459F" w14:textId="38283381" w:rsidR="00A9228D" w:rsidRPr="00A9228D" w:rsidRDefault="00A9228D" w:rsidP="00A9228D">
            <w:pPr>
              <w:jc w:val="both"/>
              <w:rPr>
                <w:rFonts w:ascii="Times New Roman" w:hAnsi="Times New Roman" w:cs="Times New Roman"/>
              </w:rPr>
            </w:pPr>
            <w:r w:rsidRPr="00A9228D">
              <w:rPr>
                <w:rFonts w:ascii="Times New Roman" w:hAnsi="Times New Roman" w:cs="Times New Roman"/>
              </w:rPr>
              <w:t>1.54</w:t>
            </w:r>
          </w:p>
        </w:tc>
        <w:tc>
          <w:tcPr>
            <w:tcW w:w="952" w:type="dxa"/>
          </w:tcPr>
          <w:p w14:paraId="6CB5BB60" w14:textId="794CBE8A" w:rsidR="00A9228D" w:rsidRPr="00A9228D" w:rsidRDefault="00A9228D" w:rsidP="00A9228D">
            <w:pPr>
              <w:jc w:val="both"/>
              <w:rPr>
                <w:rFonts w:ascii="Times New Roman" w:hAnsi="Times New Roman" w:cs="Times New Roman"/>
              </w:rPr>
            </w:pPr>
            <w:r w:rsidRPr="00A9228D">
              <w:rPr>
                <w:rFonts w:ascii="Times New Roman" w:hAnsi="Times New Roman" w:cs="Times New Roman"/>
              </w:rPr>
              <w:t>Level 2</w:t>
            </w:r>
          </w:p>
        </w:tc>
      </w:tr>
      <w:tr w:rsidR="00A9228D" w:rsidRPr="00A9228D" w14:paraId="1E4BFD60" w14:textId="77777777" w:rsidTr="00A9228D">
        <w:tc>
          <w:tcPr>
            <w:tcW w:w="876" w:type="dxa"/>
          </w:tcPr>
          <w:p w14:paraId="35C1ABC3" w14:textId="1036BCCE" w:rsidR="00A9228D" w:rsidRPr="00A9228D" w:rsidRDefault="00A9228D" w:rsidP="00A9228D">
            <w:pPr>
              <w:jc w:val="both"/>
              <w:rPr>
                <w:rFonts w:ascii="Times New Roman" w:hAnsi="Times New Roman" w:cs="Times New Roman"/>
              </w:rPr>
            </w:pPr>
            <w:r w:rsidRPr="00A9228D">
              <w:rPr>
                <w:rFonts w:ascii="Times New Roman" w:hAnsi="Times New Roman" w:cs="Times New Roman"/>
              </w:rPr>
              <w:t>M013</w:t>
            </w:r>
          </w:p>
        </w:tc>
        <w:tc>
          <w:tcPr>
            <w:tcW w:w="705" w:type="dxa"/>
          </w:tcPr>
          <w:p w14:paraId="61E71D72" w14:textId="1EF5EA4D" w:rsidR="00A9228D" w:rsidRPr="00A9228D" w:rsidRDefault="00A9228D" w:rsidP="00A9228D">
            <w:pPr>
              <w:jc w:val="both"/>
              <w:rPr>
                <w:rFonts w:ascii="Times New Roman" w:hAnsi="Times New Roman" w:cs="Times New Roman"/>
              </w:rPr>
            </w:pPr>
            <w:r w:rsidRPr="00A9228D">
              <w:rPr>
                <w:rFonts w:ascii="Times New Roman" w:hAnsi="Times New Roman" w:cs="Times New Roman"/>
              </w:rPr>
              <w:t>3.92</w:t>
            </w:r>
          </w:p>
        </w:tc>
        <w:tc>
          <w:tcPr>
            <w:tcW w:w="821" w:type="dxa"/>
          </w:tcPr>
          <w:p w14:paraId="7A6194CC" w14:textId="5B2A600A" w:rsidR="00A9228D" w:rsidRPr="00A9228D" w:rsidRDefault="00A9228D" w:rsidP="00A9228D">
            <w:pPr>
              <w:jc w:val="both"/>
              <w:rPr>
                <w:rFonts w:ascii="Times New Roman" w:hAnsi="Times New Roman" w:cs="Times New Roman"/>
              </w:rPr>
            </w:pPr>
            <w:r w:rsidRPr="00A9228D">
              <w:rPr>
                <w:rFonts w:ascii="Times New Roman" w:hAnsi="Times New Roman" w:cs="Times New Roman"/>
              </w:rPr>
              <w:t>179.03</w:t>
            </w:r>
          </w:p>
        </w:tc>
        <w:tc>
          <w:tcPr>
            <w:tcW w:w="705" w:type="dxa"/>
          </w:tcPr>
          <w:p w14:paraId="0C965604" w14:textId="03B35832" w:rsidR="00A9228D" w:rsidRPr="00A9228D" w:rsidRDefault="00A9228D" w:rsidP="00A9228D">
            <w:pPr>
              <w:jc w:val="both"/>
              <w:rPr>
                <w:rFonts w:ascii="Times New Roman" w:hAnsi="Times New Roman" w:cs="Times New Roman"/>
              </w:rPr>
            </w:pPr>
            <w:r w:rsidRPr="00A9228D">
              <w:rPr>
                <w:rFonts w:ascii="Times New Roman" w:hAnsi="Times New Roman" w:cs="Times New Roman"/>
              </w:rPr>
              <w:t>ESI−</w:t>
            </w:r>
          </w:p>
        </w:tc>
        <w:tc>
          <w:tcPr>
            <w:tcW w:w="1585" w:type="dxa"/>
          </w:tcPr>
          <w:p w14:paraId="7E6E8D53" w14:textId="124B339C" w:rsidR="00A9228D" w:rsidRPr="00A9228D" w:rsidRDefault="00A9228D" w:rsidP="00A9228D">
            <w:pPr>
              <w:jc w:val="both"/>
              <w:rPr>
                <w:rFonts w:ascii="Times New Roman" w:hAnsi="Times New Roman" w:cs="Times New Roman"/>
              </w:rPr>
            </w:pPr>
            <w:r w:rsidRPr="00A9228D">
              <w:rPr>
                <w:rFonts w:ascii="Times New Roman" w:hAnsi="Times New Roman" w:cs="Times New Roman"/>
              </w:rPr>
              <w:t>Caffeic acid</w:t>
            </w:r>
          </w:p>
        </w:tc>
        <w:tc>
          <w:tcPr>
            <w:tcW w:w="1341" w:type="dxa"/>
          </w:tcPr>
          <w:p w14:paraId="723099FE" w14:textId="6A07990C" w:rsidR="00A9228D" w:rsidRPr="00A9228D" w:rsidRDefault="00A9228D" w:rsidP="00A9228D">
            <w:pPr>
              <w:jc w:val="both"/>
              <w:rPr>
                <w:rFonts w:ascii="Times New Roman" w:hAnsi="Times New Roman" w:cs="Times New Roman"/>
              </w:rPr>
            </w:pPr>
            <w:r w:rsidRPr="00A9228D">
              <w:rPr>
                <w:rFonts w:ascii="Times New Roman" w:hAnsi="Times New Roman" w:cs="Times New Roman"/>
              </w:rPr>
              <w:t>C9H8O4</w:t>
            </w:r>
          </w:p>
        </w:tc>
        <w:tc>
          <w:tcPr>
            <w:tcW w:w="681" w:type="dxa"/>
          </w:tcPr>
          <w:p w14:paraId="4D909464" w14:textId="40875619" w:rsidR="00A9228D" w:rsidRPr="00A9228D" w:rsidRDefault="00A9228D" w:rsidP="00A9228D">
            <w:pPr>
              <w:jc w:val="both"/>
              <w:rPr>
                <w:rFonts w:ascii="Times New Roman" w:hAnsi="Times New Roman" w:cs="Times New Roman"/>
              </w:rPr>
            </w:pPr>
            <w:r w:rsidRPr="00A9228D">
              <w:rPr>
                <w:rFonts w:ascii="Times New Roman" w:hAnsi="Times New Roman" w:cs="Times New Roman"/>
              </w:rPr>
              <w:t>1.46</w:t>
            </w:r>
          </w:p>
        </w:tc>
        <w:tc>
          <w:tcPr>
            <w:tcW w:w="839" w:type="dxa"/>
          </w:tcPr>
          <w:p w14:paraId="3E99A88E" w14:textId="22FED6C6" w:rsidR="00A9228D" w:rsidRPr="00A9228D" w:rsidRDefault="00A9228D" w:rsidP="00A9228D">
            <w:pPr>
              <w:jc w:val="both"/>
              <w:rPr>
                <w:rFonts w:ascii="Times New Roman" w:hAnsi="Times New Roman" w:cs="Times New Roman"/>
              </w:rPr>
            </w:pPr>
            <w:r w:rsidRPr="00A9228D">
              <w:rPr>
                <w:rFonts w:ascii="Times New Roman" w:hAnsi="Times New Roman" w:cs="Times New Roman"/>
              </w:rPr>
              <w:t>1.47</w:t>
            </w:r>
          </w:p>
        </w:tc>
        <w:tc>
          <w:tcPr>
            <w:tcW w:w="952" w:type="dxa"/>
          </w:tcPr>
          <w:p w14:paraId="27E41C77" w14:textId="25822DAB" w:rsidR="00A9228D" w:rsidRPr="00A9228D" w:rsidRDefault="00A9228D" w:rsidP="00A9228D">
            <w:pPr>
              <w:jc w:val="both"/>
              <w:rPr>
                <w:rFonts w:ascii="Times New Roman" w:hAnsi="Times New Roman" w:cs="Times New Roman"/>
              </w:rPr>
            </w:pPr>
            <w:r w:rsidRPr="00A9228D">
              <w:rPr>
                <w:rFonts w:ascii="Times New Roman" w:hAnsi="Times New Roman" w:cs="Times New Roman"/>
              </w:rPr>
              <w:t>Level 2</w:t>
            </w:r>
          </w:p>
        </w:tc>
      </w:tr>
      <w:tr w:rsidR="00A9228D" w:rsidRPr="00A9228D" w14:paraId="25688784" w14:textId="77777777" w:rsidTr="00A9228D">
        <w:tc>
          <w:tcPr>
            <w:tcW w:w="876" w:type="dxa"/>
          </w:tcPr>
          <w:p w14:paraId="6443FFA6" w14:textId="0E1EB465" w:rsidR="00A9228D" w:rsidRPr="00A9228D" w:rsidRDefault="00A9228D" w:rsidP="00A9228D">
            <w:pPr>
              <w:jc w:val="both"/>
              <w:rPr>
                <w:rFonts w:ascii="Times New Roman" w:hAnsi="Times New Roman" w:cs="Times New Roman"/>
              </w:rPr>
            </w:pPr>
            <w:r w:rsidRPr="00A9228D">
              <w:rPr>
                <w:rFonts w:ascii="Times New Roman" w:hAnsi="Times New Roman" w:cs="Times New Roman"/>
              </w:rPr>
              <w:t>M014</w:t>
            </w:r>
          </w:p>
        </w:tc>
        <w:tc>
          <w:tcPr>
            <w:tcW w:w="705" w:type="dxa"/>
          </w:tcPr>
          <w:p w14:paraId="1FB370DA" w14:textId="4AFB2DCE" w:rsidR="00A9228D" w:rsidRPr="00A9228D" w:rsidRDefault="00A9228D" w:rsidP="00A9228D">
            <w:pPr>
              <w:jc w:val="both"/>
              <w:rPr>
                <w:rFonts w:ascii="Times New Roman" w:hAnsi="Times New Roman" w:cs="Times New Roman"/>
              </w:rPr>
            </w:pPr>
            <w:r w:rsidRPr="00A9228D">
              <w:rPr>
                <w:rFonts w:ascii="Times New Roman" w:hAnsi="Times New Roman" w:cs="Times New Roman"/>
              </w:rPr>
              <w:t>6.88</w:t>
            </w:r>
          </w:p>
        </w:tc>
        <w:tc>
          <w:tcPr>
            <w:tcW w:w="821" w:type="dxa"/>
          </w:tcPr>
          <w:p w14:paraId="41FD241A" w14:textId="21190AA2" w:rsidR="00A9228D" w:rsidRPr="00A9228D" w:rsidRDefault="00A9228D" w:rsidP="00A9228D">
            <w:pPr>
              <w:jc w:val="both"/>
              <w:rPr>
                <w:rFonts w:ascii="Times New Roman" w:hAnsi="Times New Roman" w:cs="Times New Roman"/>
              </w:rPr>
            </w:pPr>
            <w:r w:rsidRPr="00A9228D">
              <w:rPr>
                <w:rFonts w:ascii="Times New Roman" w:hAnsi="Times New Roman" w:cs="Times New Roman"/>
              </w:rPr>
              <w:t>373.11</w:t>
            </w:r>
          </w:p>
        </w:tc>
        <w:tc>
          <w:tcPr>
            <w:tcW w:w="705" w:type="dxa"/>
          </w:tcPr>
          <w:p w14:paraId="275EC92C" w14:textId="58B9B7AD" w:rsidR="00A9228D" w:rsidRPr="00A9228D" w:rsidRDefault="00A9228D" w:rsidP="00A9228D">
            <w:pPr>
              <w:jc w:val="both"/>
              <w:rPr>
                <w:rFonts w:ascii="Times New Roman" w:hAnsi="Times New Roman" w:cs="Times New Roman"/>
              </w:rPr>
            </w:pPr>
            <w:r w:rsidRPr="00A9228D">
              <w:rPr>
                <w:rFonts w:ascii="Times New Roman" w:hAnsi="Times New Roman" w:cs="Times New Roman"/>
              </w:rPr>
              <w:t>ESI−</w:t>
            </w:r>
          </w:p>
        </w:tc>
        <w:tc>
          <w:tcPr>
            <w:tcW w:w="1585" w:type="dxa"/>
          </w:tcPr>
          <w:p w14:paraId="7A585AA6" w14:textId="67C844FB" w:rsidR="00A9228D" w:rsidRPr="00A9228D" w:rsidRDefault="00A9228D" w:rsidP="00A9228D">
            <w:pPr>
              <w:jc w:val="both"/>
              <w:rPr>
                <w:rFonts w:ascii="Times New Roman" w:hAnsi="Times New Roman" w:cs="Times New Roman"/>
              </w:rPr>
            </w:pPr>
            <w:r w:rsidRPr="00A9228D">
              <w:rPr>
                <w:rFonts w:ascii="Times New Roman" w:hAnsi="Times New Roman" w:cs="Times New Roman"/>
              </w:rPr>
              <w:t>Feruloyl derivative</w:t>
            </w:r>
          </w:p>
        </w:tc>
        <w:tc>
          <w:tcPr>
            <w:tcW w:w="1341" w:type="dxa"/>
          </w:tcPr>
          <w:p w14:paraId="2A9A7EF4" w14:textId="090B48EC" w:rsidR="00A9228D" w:rsidRPr="00A9228D" w:rsidRDefault="00A9228D" w:rsidP="00A9228D">
            <w:pPr>
              <w:jc w:val="both"/>
              <w:rPr>
                <w:rFonts w:ascii="Times New Roman" w:hAnsi="Times New Roman" w:cs="Times New Roman"/>
              </w:rPr>
            </w:pPr>
            <w:r w:rsidRPr="00A9228D">
              <w:rPr>
                <w:rFonts w:ascii="Times New Roman" w:hAnsi="Times New Roman" w:cs="Times New Roman"/>
              </w:rPr>
              <w:t>C18H14O9</w:t>
            </w:r>
          </w:p>
        </w:tc>
        <w:tc>
          <w:tcPr>
            <w:tcW w:w="681" w:type="dxa"/>
          </w:tcPr>
          <w:p w14:paraId="040518CE" w14:textId="10F94341" w:rsidR="00A9228D" w:rsidRPr="00A9228D" w:rsidRDefault="00A9228D" w:rsidP="00A9228D">
            <w:pPr>
              <w:jc w:val="both"/>
              <w:rPr>
                <w:rFonts w:ascii="Times New Roman" w:hAnsi="Times New Roman" w:cs="Times New Roman"/>
              </w:rPr>
            </w:pPr>
            <w:r w:rsidRPr="00A9228D">
              <w:rPr>
                <w:rFonts w:ascii="Times New Roman" w:hAnsi="Times New Roman" w:cs="Times New Roman"/>
              </w:rPr>
              <w:t>1.43</w:t>
            </w:r>
          </w:p>
        </w:tc>
        <w:tc>
          <w:tcPr>
            <w:tcW w:w="839" w:type="dxa"/>
          </w:tcPr>
          <w:p w14:paraId="52955939" w14:textId="4595CCF6" w:rsidR="00A9228D" w:rsidRPr="00A9228D" w:rsidRDefault="00A9228D" w:rsidP="00A9228D">
            <w:pPr>
              <w:jc w:val="both"/>
              <w:rPr>
                <w:rFonts w:ascii="Times New Roman" w:hAnsi="Times New Roman" w:cs="Times New Roman"/>
              </w:rPr>
            </w:pPr>
            <w:r w:rsidRPr="00A9228D">
              <w:rPr>
                <w:rFonts w:ascii="Times New Roman" w:hAnsi="Times New Roman" w:cs="Times New Roman"/>
              </w:rPr>
              <w:t>1.42</w:t>
            </w:r>
          </w:p>
        </w:tc>
        <w:tc>
          <w:tcPr>
            <w:tcW w:w="952" w:type="dxa"/>
          </w:tcPr>
          <w:p w14:paraId="468CB700" w14:textId="1EE4C3A0" w:rsidR="00A9228D" w:rsidRPr="00A9228D" w:rsidRDefault="00A9228D" w:rsidP="00A9228D">
            <w:pPr>
              <w:jc w:val="both"/>
              <w:rPr>
                <w:rFonts w:ascii="Times New Roman" w:hAnsi="Times New Roman" w:cs="Times New Roman"/>
              </w:rPr>
            </w:pPr>
            <w:r w:rsidRPr="00A9228D">
              <w:rPr>
                <w:rFonts w:ascii="Times New Roman" w:hAnsi="Times New Roman" w:cs="Times New Roman"/>
              </w:rPr>
              <w:t>Level 3</w:t>
            </w:r>
          </w:p>
        </w:tc>
      </w:tr>
      <w:tr w:rsidR="00A9228D" w:rsidRPr="00A9228D" w14:paraId="52870241" w14:textId="77777777" w:rsidTr="00A9228D">
        <w:tc>
          <w:tcPr>
            <w:tcW w:w="876" w:type="dxa"/>
            <w:tcBorders>
              <w:bottom w:val="single" w:sz="4" w:space="0" w:color="auto"/>
            </w:tcBorders>
          </w:tcPr>
          <w:p w14:paraId="36239471" w14:textId="493184D3" w:rsidR="00A9228D" w:rsidRPr="00A9228D" w:rsidRDefault="00A9228D" w:rsidP="00A9228D">
            <w:pPr>
              <w:jc w:val="both"/>
              <w:rPr>
                <w:rFonts w:ascii="Times New Roman" w:hAnsi="Times New Roman" w:cs="Times New Roman"/>
              </w:rPr>
            </w:pPr>
            <w:r w:rsidRPr="00A9228D">
              <w:rPr>
                <w:rFonts w:ascii="Times New Roman" w:hAnsi="Times New Roman" w:cs="Times New Roman"/>
              </w:rPr>
              <w:t>M015</w:t>
            </w:r>
          </w:p>
        </w:tc>
        <w:tc>
          <w:tcPr>
            <w:tcW w:w="705" w:type="dxa"/>
            <w:tcBorders>
              <w:bottom w:val="single" w:sz="4" w:space="0" w:color="auto"/>
            </w:tcBorders>
          </w:tcPr>
          <w:p w14:paraId="0E028374" w14:textId="0BC1793C" w:rsidR="00A9228D" w:rsidRPr="00A9228D" w:rsidRDefault="00A9228D" w:rsidP="00A9228D">
            <w:pPr>
              <w:jc w:val="both"/>
              <w:rPr>
                <w:rFonts w:ascii="Times New Roman" w:hAnsi="Times New Roman" w:cs="Times New Roman"/>
              </w:rPr>
            </w:pPr>
            <w:r w:rsidRPr="00A9228D">
              <w:rPr>
                <w:rFonts w:ascii="Times New Roman" w:hAnsi="Times New Roman" w:cs="Times New Roman"/>
              </w:rPr>
              <w:t>2.47</w:t>
            </w:r>
          </w:p>
        </w:tc>
        <w:tc>
          <w:tcPr>
            <w:tcW w:w="821" w:type="dxa"/>
            <w:tcBorders>
              <w:bottom w:val="single" w:sz="4" w:space="0" w:color="auto"/>
            </w:tcBorders>
          </w:tcPr>
          <w:p w14:paraId="1179A8CC" w14:textId="18549976" w:rsidR="00A9228D" w:rsidRPr="00A9228D" w:rsidRDefault="00A9228D" w:rsidP="00A9228D">
            <w:pPr>
              <w:jc w:val="both"/>
              <w:rPr>
                <w:rFonts w:ascii="Times New Roman" w:hAnsi="Times New Roman" w:cs="Times New Roman"/>
              </w:rPr>
            </w:pPr>
            <w:r w:rsidRPr="00A9228D">
              <w:rPr>
                <w:rFonts w:ascii="Times New Roman" w:hAnsi="Times New Roman" w:cs="Times New Roman"/>
              </w:rPr>
              <w:t>175.02</w:t>
            </w:r>
          </w:p>
        </w:tc>
        <w:tc>
          <w:tcPr>
            <w:tcW w:w="705" w:type="dxa"/>
            <w:tcBorders>
              <w:bottom w:val="single" w:sz="4" w:space="0" w:color="auto"/>
            </w:tcBorders>
          </w:tcPr>
          <w:p w14:paraId="034D61AC" w14:textId="00901338" w:rsidR="00A9228D" w:rsidRPr="00A9228D" w:rsidRDefault="00A9228D" w:rsidP="00A9228D">
            <w:pPr>
              <w:jc w:val="both"/>
              <w:rPr>
                <w:rFonts w:ascii="Times New Roman" w:hAnsi="Times New Roman" w:cs="Times New Roman"/>
              </w:rPr>
            </w:pPr>
            <w:r w:rsidRPr="00A9228D">
              <w:rPr>
                <w:rFonts w:ascii="Times New Roman" w:hAnsi="Times New Roman" w:cs="Times New Roman"/>
              </w:rPr>
              <w:t>ESI−</w:t>
            </w:r>
          </w:p>
        </w:tc>
        <w:tc>
          <w:tcPr>
            <w:tcW w:w="1585" w:type="dxa"/>
            <w:tcBorders>
              <w:bottom w:val="single" w:sz="4" w:space="0" w:color="auto"/>
            </w:tcBorders>
          </w:tcPr>
          <w:p w14:paraId="4AA8A281" w14:textId="323E0C88" w:rsidR="00A9228D" w:rsidRPr="00A9228D" w:rsidRDefault="00A9228D" w:rsidP="00A9228D">
            <w:pPr>
              <w:jc w:val="both"/>
              <w:rPr>
                <w:rFonts w:ascii="Times New Roman" w:hAnsi="Times New Roman" w:cs="Times New Roman"/>
              </w:rPr>
            </w:pPr>
            <w:r w:rsidRPr="00A9228D">
              <w:rPr>
                <w:rFonts w:ascii="Times New Roman" w:hAnsi="Times New Roman" w:cs="Times New Roman"/>
              </w:rPr>
              <w:t>Ascorbic acid derivative</w:t>
            </w:r>
          </w:p>
        </w:tc>
        <w:tc>
          <w:tcPr>
            <w:tcW w:w="1341" w:type="dxa"/>
            <w:tcBorders>
              <w:bottom w:val="single" w:sz="4" w:space="0" w:color="auto"/>
            </w:tcBorders>
          </w:tcPr>
          <w:p w14:paraId="426F1059" w14:textId="1173984C" w:rsidR="00A9228D" w:rsidRPr="00A9228D" w:rsidRDefault="00A9228D" w:rsidP="00A9228D">
            <w:pPr>
              <w:jc w:val="both"/>
              <w:rPr>
                <w:rFonts w:ascii="Times New Roman" w:hAnsi="Times New Roman" w:cs="Times New Roman"/>
              </w:rPr>
            </w:pPr>
            <w:r w:rsidRPr="00A9228D">
              <w:rPr>
                <w:rFonts w:ascii="Times New Roman" w:hAnsi="Times New Roman" w:cs="Times New Roman"/>
              </w:rPr>
              <w:t>C6H8O6</w:t>
            </w:r>
          </w:p>
        </w:tc>
        <w:tc>
          <w:tcPr>
            <w:tcW w:w="681" w:type="dxa"/>
            <w:tcBorders>
              <w:bottom w:val="single" w:sz="4" w:space="0" w:color="auto"/>
            </w:tcBorders>
          </w:tcPr>
          <w:p w14:paraId="39D2FCE0" w14:textId="1AA66741" w:rsidR="00A9228D" w:rsidRPr="00A9228D" w:rsidRDefault="00A9228D" w:rsidP="00A9228D">
            <w:pPr>
              <w:jc w:val="both"/>
              <w:rPr>
                <w:rFonts w:ascii="Times New Roman" w:hAnsi="Times New Roman" w:cs="Times New Roman"/>
              </w:rPr>
            </w:pPr>
            <w:r w:rsidRPr="00A9228D">
              <w:rPr>
                <w:rFonts w:ascii="Times New Roman" w:hAnsi="Times New Roman" w:cs="Times New Roman"/>
              </w:rPr>
              <w:t>1.37</w:t>
            </w:r>
          </w:p>
        </w:tc>
        <w:tc>
          <w:tcPr>
            <w:tcW w:w="839" w:type="dxa"/>
            <w:tcBorders>
              <w:bottom w:val="single" w:sz="4" w:space="0" w:color="auto"/>
            </w:tcBorders>
          </w:tcPr>
          <w:p w14:paraId="6E3BEF58" w14:textId="7CD3D6F4" w:rsidR="00A9228D" w:rsidRPr="00A9228D" w:rsidRDefault="00A9228D" w:rsidP="00A9228D">
            <w:pPr>
              <w:jc w:val="both"/>
              <w:rPr>
                <w:rFonts w:ascii="Times New Roman" w:hAnsi="Times New Roman" w:cs="Times New Roman"/>
              </w:rPr>
            </w:pPr>
            <w:r w:rsidRPr="00A9228D">
              <w:rPr>
                <w:rFonts w:ascii="Times New Roman" w:hAnsi="Times New Roman" w:cs="Times New Roman"/>
              </w:rPr>
              <w:t>1.35</w:t>
            </w:r>
          </w:p>
        </w:tc>
        <w:tc>
          <w:tcPr>
            <w:tcW w:w="952" w:type="dxa"/>
            <w:tcBorders>
              <w:bottom w:val="single" w:sz="4" w:space="0" w:color="auto"/>
            </w:tcBorders>
          </w:tcPr>
          <w:p w14:paraId="0C59F83C" w14:textId="65EA48E2" w:rsidR="00A9228D" w:rsidRPr="00A9228D" w:rsidRDefault="00A9228D" w:rsidP="00A9228D">
            <w:pPr>
              <w:jc w:val="both"/>
              <w:rPr>
                <w:rFonts w:ascii="Times New Roman" w:hAnsi="Times New Roman" w:cs="Times New Roman"/>
              </w:rPr>
            </w:pPr>
            <w:r w:rsidRPr="00A9228D">
              <w:rPr>
                <w:rFonts w:ascii="Times New Roman" w:hAnsi="Times New Roman" w:cs="Times New Roman"/>
              </w:rPr>
              <w:t>Level 3</w:t>
            </w:r>
          </w:p>
        </w:tc>
      </w:tr>
    </w:tbl>
    <w:p w14:paraId="2A290DDE" w14:textId="1780C29E" w:rsidR="00853982" w:rsidRPr="00A9228D" w:rsidRDefault="00A9228D" w:rsidP="00316A43">
      <w:pPr>
        <w:spacing w:after="0" w:line="360" w:lineRule="auto"/>
        <w:jc w:val="both"/>
        <w:rPr>
          <w:rFonts w:ascii="Times New Roman" w:hAnsi="Times New Roman" w:cs="Times New Roman"/>
          <w:sz w:val="20"/>
          <w:szCs w:val="20"/>
        </w:rPr>
      </w:pPr>
      <w:r w:rsidRPr="00A9228D">
        <w:rPr>
          <w:rFonts w:ascii="Times New Roman" w:hAnsi="Times New Roman" w:cs="Times New Roman"/>
          <w:sz w:val="20"/>
          <w:szCs w:val="20"/>
        </w:rPr>
        <w:t>Note: RT = retention time; VIP = Variable Importance in Projection derived from PLS–DA; Fold change calculated relative to control conditions (MS vs C); MSI = Metabolomics Standards Initiative confidence level. Metabolite identities represent putative annotations obtained from accurate mass and spectral matching against public databases and were not confirmed using authentic analytical standards.</w:t>
      </w:r>
    </w:p>
    <w:p w14:paraId="0DFDD3A1" w14:textId="037C5C7A" w:rsidR="00316A43" w:rsidRPr="00316A43" w:rsidRDefault="00853982" w:rsidP="00316A43">
      <w:pPr>
        <w:spacing w:after="0" w:line="360" w:lineRule="auto"/>
        <w:jc w:val="both"/>
        <w:rPr>
          <w:rFonts w:ascii="Times New Roman" w:hAnsi="Times New Roman" w:cs="Times New Roman"/>
          <w:sz w:val="24"/>
          <w:szCs w:val="24"/>
        </w:rPr>
      </w:pPr>
      <w:r w:rsidRPr="00853982">
        <w:rPr>
          <w:rFonts w:ascii="Times New Roman" w:hAnsi="Times New Roman" w:cs="Times New Roman"/>
          <w:sz w:val="24"/>
          <w:szCs w:val="24"/>
        </w:rPr>
        <w:t xml:space="preserve">Among the annotated features, putative flavonoid- and phenolic-related metabolites showed the highest discriminatory contribution (VIP &gt; 1.5), suggesting a potential association with adaptive metabolic responses under moderate water limitation (Table </w:t>
      </w:r>
      <w:r w:rsidR="00A26D68">
        <w:rPr>
          <w:rFonts w:ascii="Times New Roman" w:hAnsi="Times New Roman" w:cs="Times New Roman"/>
          <w:sz w:val="24"/>
          <w:szCs w:val="24"/>
        </w:rPr>
        <w:t>6</w:t>
      </w:r>
      <w:r w:rsidRPr="00853982">
        <w:rPr>
          <w:rFonts w:ascii="Times New Roman" w:hAnsi="Times New Roman" w:cs="Times New Roman"/>
          <w:sz w:val="24"/>
          <w:szCs w:val="24"/>
        </w:rPr>
        <w:t>)</w:t>
      </w:r>
      <w:r w:rsidR="00316A43" w:rsidRPr="00316A43">
        <w:rPr>
          <w:rFonts w:ascii="Times New Roman" w:hAnsi="Times New Roman" w:cs="Times New Roman"/>
          <w:sz w:val="24"/>
          <w:szCs w:val="24"/>
        </w:rPr>
        <w:t xml:space="preserve">. These compounds likely contributed to maintaining cellular stability through antioxidant activity and modulation of oxidative stress responses. Similar findings have been reported in recent metabolomic studies demonstrating that secondary metabolites function as major regulators of environmental adaptation and biomass persistence under drought conditions </w:t>
      </w:r>
      <w:r w:rsidR="00154129">
        <w:rPr>
          <w:rFonts w:ascii="Times New Roman" w:hAnsi="Times New Roman" w:cs="Times New Roman"/>
          <w:sz w:val="24"/>
          <w:szCs w:val="24"/>
        </w:rPr>
        <w:fldChar w:fldCharType="begin" w:fldLock="1"/>
      </w:r>
      <w:r w:rsidR="00154129">
        <w:rPr>
          <w:rFonts w:ascii="Times New Roman" w:hAnsi="Times New Roman" w:cs="Times New Roman"/>
          <w:sz w:val="24"/>
          <w:szCs w:val="24"/>
        </w:rPr>
        <w:instrText>ADDIN CSL_CITATION {"citationItems":[{"id":"ITEM-1","itemData":{"ISSN":"2218-1989","author":[{"dropping-particle":"","family":"Tinte","given":"Morena M","non-dropping-particle":"","parse-names":false,"suffix":""},{"dropping-particle":"","family":"Chele","given":"Kekeletso H","non-dropping-particle":"","parse-names":false,"suffix":""},{"dropping-particle":"","family":"Hooft","given":"Justin J J","non-dropping-particle":"van Der","parse-names":false,"suffix":""},{"dropping-particle":"","family":"Tugizimana","given":"Fidele","non-dropping-particle":"","parse-names":false,"suffix":""}],"container-title":"Metabolites","id":"ITEM-1","issue":"7","issued":{"date-parts":[["2021"]]},"page":"445","publisher":"MDPI","title":"Metabolomics-guided elucidation of plant abiotic stress responses in the 4IR era: An Overview","type":"article-journal","volume":"11"},"uris":["http://www.mendeley.com/documents/?uuid=be46f14f-61ff-4954-8344-a5b40d5c5b43"]},{"id":"ITEM-2","itemData":{"author":[{"dropping-particle":"","family":"Parida","given":"Asish K","non-dropping-particle":"","parse-names":false,"suffix":""},{"dropping-particle":"","family":"Panda","given":"Ashok","non-dropping-particle":"","parse-names":false,"suffix":""},{"dropping-particle":"","family":"Rangani","given":"Jaykumar","non-dropping-particle":"","parse-names":false,"suffix":""}],"container-title":"Plant metabolites and regulation under environmental stress","id":"ITEM-2","issued":{"date-parts":[["2018"]]},"page":"89-131","publisher":"Elsevier","title":"Metabolomics-guided elucidation of abiotic stress tolerance mechanisms in plants","type":"chapter"},"uris":["http://www.mendeley.com/documents/?uuid=d2922c68-bb0c-447f-9421-9a8dc3274dbd"]},{"id":"ITEM-3","itemData":{"ISSN":"1543-5008","author":[{"dropping-particle":"","family":"Li","given":"Dapeng","non-dropping-particle":"","parse-names":false,"suffix":""},{"dropping-particle":"","family":"Gaquerel","given":"Emmanuel","non-dropping-particle":"","parse-names":false,"suffix":""}],"container-title":"Annual Review of Plant Biology","id":"ITEM-3","issue":"1","issued":{"date-parts":[["2021"]]},"page":"867-891","publisher":"Annual Reviews","title":"Next-generation mass spectrometry metabolomics revives the functional analysis of plant metabolic diversity","type":"article-journal","volume":"72"},"uris":["http://www.mendeley.com/documents/?uuid=d07733f2-62ca-47d8-954e-4f3cf6f4d64b"]},{"id":"ITEM-4","itemData":{"ISSN":"0003-2700","author":[{"dropping-particle":"","family":"Poltash","given":"Michael L","non-dropping-particle":"","parse-names":false,"suffix":""},{"dropping-particle":"","family":"McCabe","given":"Jacob W","non-dropping-particle":"","parse-names":false,"suffix":""},{"dropping-particle":"","family":"Shirzadeh","given":"Mehdi","non-dropping-particle":"","parse-names":false,"suffix":""},{"dropping-particle":"","family":"Laganowsky","given":"Arthur","non-dropping-particle":"","parse-names":false,"suffix":""},{"dropping-particle":"","family":"Clowers","given":"Brian H","non-dropping-particle":"","parse-names":false,"suffix":""},{"dropping-particle":"","family":"Russell","given":"David H","non-dropping-particle":"","parse-names":false,"suffix":""}],"container-title":"Analytical chemistry","id":"ITEM-4","issue":"17","issued":{"date-parts":[["2018"]]},"page":"10472-10478","publisher":"ACS Publications","title":"Fourier transform-ion mobility-orbitrap mass spectrometer: a next-generation instrument for native mass spectrometry","type":"article-journal","volume":"90"},"uris":["http://www.mendeley.com/documents/?uuid=40976e9a-adfb-475b-ba5d-1e6d6c9d86e8"]}],"mendeley":{"formattedCitation":"(Li &amp; Gaquerel, 2021; Parida et al., 2018; Poltash et al., 2018; Tinte et al., 2021)","plainTextFormattedCitation":"(Li &amp; Gaquerel, 2021; Parida et al., 2018; Poltash et al., 2018; Tinte et al., 2021)","previouslyFormattedCitation":"(Li &amp; Gaquerel, 2021; Parida et al., 2018; Poltash et al., 2018; Tinte et al., 2021)"},"properties":{"noteIndex":0},"schema":"https://github.com/citation-style-language/schema/raw/master/csl-citation.json"}</w:instrText>
      </w:r>
      <w:r w:rsidR="00154129">
        <w:rPr>
          <w:rFonts w:ascii="Times New Roman" w:hAnsi="Times New Roman" w:cs="Times New Roman"/>
          <w:sz w:val="24"/>
          <w:szCs w:val="24"/>
        </w:rPr>
        <w:fldChar w:fldCharType="separate"/>
      </w:r>
      <w:r w:rsidR="00154129" w:rsidRPr="00154129">
        <w:rPr>
          <w:rFonts w:ascii="Times New Roman" w:hAnsi="Times New Roman" w:cs="Times New Roman"/>
          <w:noProof/>
          <w:sz w:val="24"/>
          <w:szCs w:val="24"/>
        </w:rPr>
        <w:t>(Li &amp; Gaquerel, 2021; Parida et al., 2018; Poltash et al., 2018; Tinte et al., 2021)</w:t>
      </w:r>
      <w:r w:rsidR="00154129">
        <w:rPr>
          <w:rFonts w:ascii="Times New Roman" w:hAnsi="Times New Roman" w:cs="Times New Roman"/>
          <w:sz w:val="24"/>
          <w:szCs w:val="24"/>
        </w:rPr>
        <w:fldChar w:fldCharType="end"/>
      </w:r>
      <w:r w:rsidR="00316A43" w:rsidRPr="00316A43">
        <w:rPr>
          <w:rFonts w:ascii="Times New Roman" w:hAnsi="Times New Roman" w:cs="Times New Roman"/>
          <w:sz w:val="24"/>
          <w:szCs w:val="24"/>
        </w:rPr>
        <w:t>.</w:t>
      </w:r>
    </w:p>
    <w:p w14:paraId="5DAC8CF2" w14:textId="7D3388FA" w:rsidR="00316A43" w:rsidRPr="00316A43" w:rsidRDefault="00316A43" w:rsidP="00316A43">
      <w:pPr>
        <w:spacing w:after="0" w:line="360" w:lineRule="auto"/>
        <w:jc w:val="both"/>
        <w:rPr>
          <w:rFonts w:ascii="Times New Roman" w:hAnsi="Times New Roman" w:cs="Times New Roman"/>
          <w:sz w:val="24"/>
          <w:szCs w:val="24"/>
        </w:rPr>
      </w:pPr>
      <w:r w:rsidRPr="00316A43">
        <w:rPr>
          <w:rFonts w:ascii="Times New Roman" w:hAnsi="Times New Roman" w:cs="Times New Roman"/>
          <w:sz w:val="24"/>
          <w:szCs w:val="24"/>
        </w:rPr>
        <w:t xml:space="preserve">Phenolic enrichment may also indicate activation of signaling pathways involved in acclimation processes and long-term environmental resilience. Metabolomic studies increasingly suggest that adaptive biochemical plasticity provides a stronger predictor of plant performance than individual productivity indicators alone </w:t>
      </w:r>
      <w:r w:rsidR="00154129">
        <w:rPr>
          <w:rFonts w:ascii="Times New Roman" w:hAnsi="Times New Roman" w:cs="Times New Roman"/>
          <w:sz w:val="24"/>
          <w:szCs w:val="24"/>
        </w:rPr>
        <w:fldChar w:fldCharType="begin" w:fldLock="1"/>
      </w:r>
      <w:r w:rsidR="00BF1A49">
        <w:rPr>
          <w:rFonts w:ascii="Times New Roman" w:hAnsi="Times New Roman" w:cs="Times New Roman"/>
          <w:sz w:val="24"/>
          <w:szCs w:val="24"/>
        </w:rPr>
        <w:instrText>ADDIN CSL_CITATION {"citationItems":[{"id":"ITEM-1","itemData":{"ISSN":"2073-4395","author":[{"dropping-particle":"","family":"Carrera","given":"Fredy P","non-dropping-particle":"","parse-names":false,"suffix":""},{"dropping-particle":"","family":"Noceda","given":"Carlos","non-dropping-particle":"","parse-names":false,"suffix":""},{"dropping-particle":"","family":"Maridueña-Zavala","given":"María G","non-dropping-particle":"","parse-names":false,"suffix":""},{"dropping-particle":"","family":"Cevallos-Cevallos","given":"Juan M","non-dropping-particle":"","parse-names":false,"suffix":""}],"container-title":"Agronomy","id":"ITEM-1","issue":"5","issued":{"date-parts":[["2021"]]},"page":"824","publisher":"MDPI","title":"Metabolomics, a powerful tool for understanding plant abiotic stress","type":"article-journal","volume":"11"},"uris":["http://www.mendeley.com/documents/?uuid=ea825d29-191c-4d18-a331-4e9268e76146"]},{"id":"ITEM-2","itemData":{"ISSN":"1568-7767","author":[{"dropping-particle":"","family":"Anzano","given":"Attilio","non-dropping-particle":"","parse-names":false,"suffix":""},{"dropping-particle":"","family":"Bonanomi","given":"Giuliano","non-dropping-particle":"","parse-names":false,"suffix":""},{"dropping-particle":"","family":"Mazzoleni","given":"Stefano","non-dropping-particle":"","parse-names":false,"suffix":""},{"dropping-particle":"","family":"Lanzotti","given":"Virginia","non-dropping-particle":"","parse-names":false,"suffix":""}],"container-title":"Phytochemistry Reviews","id":"ITEM-2","issue":"2","issued":{"date-parts":[["2022"]]},"page":"503-524","publisher":"Springer","title":"Plant metabolomics in biotic and abiotic stress: a critical overview","type":"article-journal","volume":"21"},"uris":["http://www.mendeley.com/documents/?uuid=34f6188e-4c4d-44ad-a4d1-d707f3192650"]}],"mendeley":{"formattedCitation":"(Anzano et al., 2022; Carrera et al., 2021)","plainTextFormattedCitation":"(Anzano et al., 2022; Carrera et al., 2021)","previouslyFormattedCitation":"(Anzano et al., 2022; Carrera et al., 2021)"},"properties":{"noteIndex":0},"schema":"https://github.com/citation-style-language/schema/raw/master/csl-citation.json"}</w:instrText>
      </w:r>
      <w:r w:rsidR="00154129">
        <w:rPr>
          <w:rFonts w:ascii="Times New Roman" w:hAnsi="Times New Roman" w:cs="Times New Roman"/>
          <w:sz w:val="24"/>
          <w:szCs w:val="24"/>
        </w:rPr>
        <w:fldChar w:fldCharType="separate"/>
      </w:r>
      <w:r w:rsidR="00154129" w:rsidRPr="00154129">
        <w:rPr>
          <w:rFonts w:ascii="Times New Roman" w:hAnsi="Times New Roman" w:cs="Times New Roman"/>
          <w:noProof/>
          <w:sz w:val="24"/>
          <w:szCs w:val="24"/>
        </w:rPr>
        <w:t>(Anzano et al., 2022; Carrera et al., 2021)</w:t>
      </w:r>
      <w:r w:rsidR="00154129">
        <w:rPr>
          <w:rFonts w:ascii="Times New Roman" w:hAnsi="Times New Roman" w:cs="Times New Roman"/>
          <w:sz w:val="24"/>
          <w:szCs w:val="24"/>
        </w:rPr>
        <w:fldChar w:fldCharType="end"/>
      </w:r>
      <w:r w:rsidRPr="00316A43">
        <w:rPr>
          <w:rFonts w:ascii="Times New Roman" w:hAnsi="Times New Roman" w:cs="Times New Roman"/>
          <w:sz w:val="24"/>
          <w:szCs w:val="24"/>
        </w:rPr>
        <w:t>.</w:t>
      </w:r>
    </w:p>
    <w:p w14:paraId="2C55B991" w14:textId="77777777" w:rsidR="00316A43" w:rsidRPr="00316A43" w:rsidRDefault="00316A43" w:rsidP="00316A43">
      <w:pPr>
        <w:spacing w:after="0" w:line="360" w:lineRule="auto"/>
        <w:jc w:val="both"/>
        <w:rPr>
          <w:rFonts w:ascii="Times New Roman" w:hAnsi="Times New Roman" w:cs="Times New Roman"/>
          <w:b/>
          <w:bCs/>
          <w:sz w:val="24"/>
          <w:szCs w:val="24"/>
        </w:rPr>
      </w:pPr>
      <w:r w:rsidRPr="00316A43">
        <w:rPr>
          <w:rFonts w:ascii="Times New Roman" w:hAnsi="Times New Roman" w:cs="Times New Roman"/>
          <w:b/>
          <w:bCs/>
          <w:sz w:val="24"/>
          <w:szCs w:val="24"/>
        </w:rPr>
        <w:t>Integrated metabolomic–phenotypic selection improved identification of climate-resilient biomass traits</w:t>
      </w:r>
    </w:p>
    <w:p w14:paraId="38C7FBE9" w14:textId="63CB759C" w:rsidR="00316A43" w:rsidRPr="00316A43" w:rsidRDefault="00316A43" w:rsidP="00316A43">
      <w:pPr>
        <w:spacing w:after="0" w:line="360" w:lineRule="auto"/>
        <w:jc w:val="both"/>
        <w:rPr>
          <w:rFonts w:ascii="Times New Roman" w:hAnsi="Times New Roman" w:cs="Times New Roman"/>
          <w:sz w:val="24"/>
          <w:szCs w:val="24"/>
        </w:rPr>
      </w:pPr>
      <w:r w:rsidRPr="00316A43">
        <w:rPr>
          <w:rFonts w:ascii="Times New Roman" w:hAnsi="Times New Roman" w:cs="Times New Roman"/>
          <w:sz w:val="24"/>
          <w:szCs w:val="24"/>
        </w:rPr>
        <w:t>Integration of metabolomic and phenotypic datasets generated clearer discrimination among environmental responses than either dataset alone.</w:t>
      </w:r>
      <w:r w:rsidR="003E4E32">
        <w:rPr>
          <w:rFonts w:ascii="Times New Roman" w:hAnsi="Times New Roman" w:cs="Times New Roman"/>
          <w:sz w:val="24"/>
          <w:szCs w:val="24"/>
        </w:rPr>
        <w:t xml:space="preserve"> </w:t>
      </w:r>
      <w:r w:rsidRPr="00316A43">
        <w:rPr>
          <w:rFonts w:ascii="Times New Roman" w:hAnsi="Times New Roman" w:cs="Times New Roman"/>
          <w:sz w:val="24"/>
          <w:szCs w:val="24"/>
        </w:rPr>
        <w:t>Correlation analysis identified strong positive associations between metabolite abundance and adaptive traits</w:t>
      </w:r>
      <w:r w:rsidR="003E4E32">
        <w:rPr>
          <w:rFonts w:ascii="Times New Roman" w:hAnsi="Times New Roman" w:cs="Times New Roman"/>
          <w:sz w:val="24"/>
          <w:szCs w:val="24"/>
        </w:rPr>
        <w:t xml:space="preserve"> (Figure 1)</w:t>
      </w:r>
      <w:r w:rsidRPr="00316A43">
        <w:rPr>
          <w:rFonts w:ascii="Times New Roman" w:hAnsi="Times New Roman" w:cs="Times New Roman"/>
          <w:sz w:val="24"/>
          <w:szCs w:val="24"/>
        </w:rPr>
        <w:t>.</w:t>
      </w:r>
    </w:p>
    <w:p w14:paraId="4E5420F9" w14:textId="02C9C258" w:rsidR="00AB19D7" w:rsidRPr="00AB19D7" w:rsidRDefault="00AB19D7" w:rsidP="00AB19D7">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02F1C162" wp14:editId="18CA6A4C">
            <wp:extent cx="4654432" cy="5815965"/>
            <wp:effectExtent l="0" t="0" r="0" b="0"/>
            <wp:docPr id="5053670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81155" cy="5849357"/>
                    </a:xfrm>
                    <a:prstGeom prst="rect">
                      <a:avLst/>
                    </a:prstGeom>
                    <a:noFill/>
                  </pic:spPr>
                </pic:pic>
              </a:graphicData>
            </a:graphic>
          </wp:inline>
        </w:drawing>
      </w:r>
    </w:p>
    <w:p w14:paraId="6B17E94A" w14:textId="1B4C0478" w:rsidR="00316A43" w:rsidRPr="00AB19D7" w:rsidRDefault="00316A43" w:rsidP="00AB19D7">
      <w:pPr>
        <w:spacing w:after="0" w:line="360" w:lineRule="auto"/>
        <w:jc w:val="center"/>
        <w:rPr>
          <w:rFonts w:ascii="Times New Roman" w:hAnsi="Times New Roman" w:cs="Times New Roman"/>
          <w:sz w:val="24"/>
          <w:szCs w:val="24"/>
        </w:rPr>
      </w:pPr>
      <w:r w:rsidRPr="00AB19D7">
        <w:rPr>
          <w:rFonts w:ascii="Times New Roman" w:hAnsi="Times New Roman" w:cs="Times New Roman"/>
          <w:sz w:val="24"/>
          <w:szCs w:val="24"/>
        </w:rPr>
        <w:t>Figure 1. Conceptual framework of integrated metabolomic–phenotypic selection for climate-resilient biomass identification</w:t>
      </w:r>
    </w:p>
    <w:p w14:paraId="4A4E8D8C" w14:textId="6A5B7AB2" w:rsidR="00316A43" w:rsidRPr="00316A43" w:rsidRDefault="00316A43" w:rsidP="00316A43">
      <w:pPr>
        <w:spacing w:after="0" w:line="360" w:lineRule="auto"/>
        <w:jc w:val="both"/>
        <w:rPr>
          <w:rFonts w:ascii="Times New Roman" w:hAnsi="Times New Roman" w:cs="Times New Roman"/>
          <w:sz w:val="24"/>
          <w:szCs w:val="24"/>
        </w:rPr>
      </w:pPr>
      <w:r w:rsidRPr="00316A43">
        <w:rPr>
          <w:rFonts w:ascii="Times New Roman" w:hAnsi="Times New Roman" w:cs="Times New Roman"/>
          <w:sz w:val="24"/>
          <w:szCs w:val="24"/>
        </w:rPr>
        <w:t xml:space="preserve">Positive correlations were observed between flavonoid accumulation and </w:t>
      </w:r>
      <w:r w:rsidR="00AD6371">
        <w:rPr>
          <w:rFonts w:ascii="Times New Roman" w:hAnsi="Times New Roman" w:cs="Times New Roman"/>
          <w:sz w:val="24"/>
          <w:szCs w:val="24"/>
        </w:rPr>
        <w:t>CBS</w:t>
      </w:r>
      <w:r w:rsidRPr="00316A43">
        <w:rPr>
          <w:rFonts w:ascii="Times New Roman" w:hAnsi="Times New Roman" w:cs="Times New Roman"/>
          <w:sz w:val="24"/>
          <w:szCs w:val="24"/>
        </w:rPr>
        <w:t xml:space="preserve"> (r = 0.84), and between phenolic abundance and WUE (r = 0.79), whereas severe metabolic disruption negatively affected biomass stability (r = −0.76).</w:t>
      </w:r>
      <w:r w:rsidR="00AB19D7">
        <w:rPr>
          <w:rFonts w:ascii="Times New Roman" w:hAnsi="Times New Roman" w:cs="Times New Roman"/>
          <w:sz w:val="24"/>
          <w:szCs w:val="24"/>
        </w:rPr>
        <w:t xml:space="preserve"> </w:t>
      </w:r>
      <w:r w:rsidRPr="00316A43">
        <w:rPr>
          <w:rFonts w:ascii="Times New Roman" w:hAnsi="Times New Roman" w:cs="Times New Roman"/>
          <w:sz w:val="24"/>
          <w:szCs w:val="24"/>
        </w:rPr>
        <w:t xml:space="preserve">These findings </w:t>
      </w:r>
      <w:r w:rsidR="00AD6371" w:rsidRPr="00AD6371">
        <w:rPr>
          <w:rFonts w:ascii="Times New Roman" w:hAnsi="Times New Roman" w:cs="Times New Roman"/>
          <w:sz w:val="24"/>
          <w:szCs w:val="24"/>
        </w:rPr>
        <w:t>may assist future hypothesis generation regarding adaptive responses and candidate trait associations</w:t>
      </w:r>
      <w:r w:rsidRPr="00316A43">
        <w:rPr>
          <w:rFonts w:ascii="Times New Roman" w:hAnsi="Times New Roman" w:cs="Times New Roman"/>
          <w:sz w:val="24"/>
          <w:szCs w:val="24"/>
        </w:rPr>
        <w:t>. Rather than selecting genotypes solely based on yield performance, metabolite-informed frameworks capture underlying adaptive mechanisms and improve prediction of climate resilience.</w:t>
      </w:r>
    </w:p>
    <w:p w14:paraId="0741AB8D" w14:textId="42E23DF5" w:rsidR="00316A43" w:rsidRPr="00316A43" w:rsidRDefault="00316A43" w:rsidP="00316A43">
      <w:pPr>
        <w:spacing w:after="0" w:line="360" w:lineRule="auto"/>
        <w:jc w:val="both"/>
        <w:rPr>
          <w:rFonts w:ascii="Times New Roman" w:hAnsi="Times New Roman" w:cs="Times New Roman"/>
          <w:sz w:val="24"/>
          <w:szCs w:val="24"/>
        </w:rPr>
      </w:pPr>
      <w:r w:rsidRPr="00316A43">
        <w:rPr>
          <w:rFonts w:ascii="Times New Roman" w:hAnsi="Times New Roman" w:cs="Times New Roman"/>
          <w:sz w:val="24"/>
          <w:szCs w:val="24"/>
        </w:rPr>
        <w:t xml:space="preserve">Recent advances in plant phenomics and metabolomics emphasize that future climate-resilient breeding should combine functional metabolic indicators with field-level performance to accelerate identification of adaptive traits </w:t>
      </w:r>
      <w:r w:rsidR="00BF1A49">
        <w:rPr>
          <w:rFonts w:ascii="Times New Roman" w:hAnsi="Times New Roman" w:cs="Times New Roman"/>
          <w:sz w:val="24"/>
          <w:szCs w:val="24"/>
        </w:rPr>
        <w:fldChar w:fldCharType="begin" w:fldLock="1"/>
      </w:r>
      <w:r w:rsidR="00BF1A49">
        <w:rPr>
          <w:rFonts w:ascii="Times New Roman" w:hAnsi="Times New Roman" w:cs="Times New Roman"/>
          <w:sz w:val="24"/>
          <w:szCs w:val="24"/>
        </w:rPr>
        <w:instrText>ADDIN CSL_CITATION {"citationItems":[{"id":"ITEM-1","itemData":{"ISSN":"1477-4054","author":[{"dropping-particle":"","family":"Cavill","given":"Rachel","non-dropping-particle":"","parse-names":false,"suffix":""},{"dropping-particle":"","family":"Jennen","given":"Danyel","non-dropping-particle":"","parse-names":false,"suffix":""},{"dropping-particle":"","family":"Kleinjans","given":"Jos","non-dropping-particle":"","parse-names":false,"suffix":""},{"dropping-particle":"","family":"Briedé","given":"Jacob Jan","non-dropping-particle":"","parse-names":false,"suffix":""}],"container-title":"Briefings in bioinformatics","id":"ITEM-1","issue":"5","issued":{"date-parts":[["2016"]]},"page":"891-901","publisher":"Oxford University Press","title":"Transcriptomic and metabolomic data integration","type":"article-journal","volume":"17"},"uris":["http://www.mendeley.com/documents/?uuid=38334e29-1626-4819-9724-4e8d5e060d6c"]},{"id":"ITEM-2","itemData":{"ISSN":"1543-5008","author":[{"dropping-particle":"","family":"Li","given":"Dapeng","non-dropping-particle":"","parse-names":false,"suffix":""},{"dropping-particle":"","family":"Gaquerel","given":"Emmanuel","non-dropping-particle":"","parse-names":false,"suffix":""}],"container-title":"Annual Review of Plant Biology","id":"ITEM-2","issue":"1","issued":{"date-parts":[["2021"]]},"page":"867-891","publisher":"Annual Reviews","title":"Next-generation mass spectrometry metabolomics revives the functional analysis of plant metabolic diversity","type":"article-journal","volume":"72"},"uris":["http://www.mendeley.com/documents/?uuid=d07733f2-62ca-47d8-954e-4f3cf6f4d64b"]},{"id":"ITEM-3","itemData":{"ISSN":"0003-2700","author":[{"dropping-particle":"","family":"Poltash","given":"Michael L","non-dropping-particle":"","parse-names":false,"suffix":""},{"dropping-particle":"","family":"McCabe","given":"Jacob W","non-dropping-particle":"","parse-names":false,"suffix":""},{"dropping-particle":"","family":"Shirzadeh","given":"Mehdi","non-dropping-particle":"","parse-names":false,"suffix":""},{"dropping-particle":"","family":"Laganowsky","given":"Arthur","non-dropping-particle":"","parse-names":false,"suffix":""},{"dropping-particle":"","family":"Clowers","given":"Brian H","non-dropping-particle":"","parse-names":false,"suffix":""},{"dropping-particle":"","family":"Russell","given":"David H","non-dropping-particle":"","parse-names":false,"suffix":""}],"container-title":"Analytical chemistry","id":"ITEM-3","issue":"17","issued":{"date-parts":[["2018"]]},"page":"10472-10478","publisher":"ACS Publications","title":"Fourier transform-ion mobility-orbitrap mass spectrometer: a next-generation instrument for native mass spectrometry","type":"article-journal","volume":"90"},"uris":["http://www.mendeley.com/documents/?uuid=40976e9a-adfb-475b-ba5d-1e6d6c9d86e8"]}],"mendeley":{"formattedCitation":"(Cavill et al., 2016; Li &amp; Gaquerel, 2021; Poltash et al., 2018)","plainTextFormattedCitation":"(Cavill et al., 2016; Li &amp; Gaquerel, 2021; Poltash et al., 2018)","previouslyFormattedCitation":"(Cavill et al., 2016; Li &amp; Gaquerel, 2021; Poltash et al., 2018)"},"properties":{"noteIndex":0},"schema":"https://github.com/citation-style-language/schema/raw/master/csl-citation.json"}</w:instrText>
      </w:r>
      <w:r w:rsidR="00BF1A49">
        <w:rPr>
          <w:rFonts w:ascii="Times New Roman" w:hAnsi="Times New Roman" w:cs="Times New Roman"/>
          <w:sz w:val="24"/>
          <w:szCs w:val="24"/>
        </w:rPr>
        <w:fldChar w:fldCharType="separate"/>
      </w:r>
      <w:r w:rsidR="00BF1A49" w:rsidRPr="00BF1A49">
        <w:rPr>
          <w:rFonts w:ascii="Times New Roman" w:hAnsi="Times New Roman" w:cs="Times New Roman"/>
          <w:noProof/>
          <w:sz w:val="24"/>
          <w:szCs w:val="24"/>
        </w:rPr>
        <w:t xml:space="preserve">(Cavill et al., 2016; Li &amp; Gaquerel, 2021; Poltash et </w:t>
      </w:r>
      <w:r w:rsidR="00BF1A49" w:rsidRPr="00BF1A49">
        <w:rPr>
          <w:rFonts w:ascii="Times New Roman" w:hAnsi="Times New Roman" w:cs="Times New Roman"/>
          <w:noProof/>
          <w:sz w:val="24"/>
          <w:szCs w:val="24"/>
        </w:rPr>
        <w:lastRenderedPageBreak/>
        <w:t>al., 2018)</w:t>
      </w:r>
      <w:r w:rsidR="00BF1A49">
        <w:rPr>
          <w:rFonts w:ascii="Times New Roman" w:hAnsi="Times New Roman" w:cs="Times New Roman"/>
          <w:sz w:val="24"/>
          <w:szCs w:val="24"/>
        </w:rPr>
        <w:fldChar w:fldCharType="end"/>
      </w:r>
      <w:r w:rsidRPr="00316A43">
        <w:rPr>
          <w:rFonts w:ascii="Times New Roman" w:hAnsi="Times New Roman" w:cs="Times New Roman"/>
          <w:sz w:val="24"/>
          <w:szCs w:val="24"/>
        </w:rPr>
        <w:t>.</w:t>
      </w:r>
      <w:r w:rsidR="00AB19D7">
        <w:rPr>
          <w:rFonts w:ascii="Times New Roman" w:hAnsi="Times New Roman" w:cs="Times New Roman"/>
          <w:sz w:val="24"/>
          <w:szCs w:val="24"/>
        </w:rPr>
        <w:t xml:space="preserve"> </w:t>
      </w:r>
      <w:r w:rsidRPr="00316A43">
        <w:rPr>
          <w:rFonts w:ascii="Times New Roman" w:hAnsi="Times New Roman" w:cs="Times New Roman"/>
          <w:sz w:val="24"/>
          <w:szCs w:val="24"/>
        </w:rPr>
        <w:t xml:space="preserve">Overall, the present findings suggest that </w:t>
      </w:r>
      <w:r w:rsidRPr="00316A43">
        <w:rPr>
          <w:rFonts w:ascii="Times New Roman" w:hAnsi="Times New Roman" w:cs="Times New Roman"/>
          <w:i/>
          <w:iCs/>
          <w:sz w:val="24"/>
          <w:szCs w:val="24"/>
        </w:rPr>
        <w:t>Nopalea cochenillifera</w:t>
      </w:r>
      <w:r w:rsidRPr="00316A43">
        <w:rPr>
          <w:rFonts w:ascii="Times New Roman" w:hAnsi="Times New Roman" w:cs="Times New Roman"/>
          <w:sz w:val="24"/>
          <w:szCs w:val="24"/>
        </w:rPr>
        <w:t xml:space="preserve"> possesses coordinated physiological and metabolic plasticity that supports stable biomass formation under moderate climate stress. The integration of metabolomic and phenotypic indicators therefore represents a promising strategy for developing climate-smart forage systems in tropical dryland regions such as Sumbawa.</w:t>
      </w:r>
    </w:p>
    <w:p w14:paraId="3F4C446E" w14:textId="19CBAB1E" w:rsidR="00A26D68" w:rsidRDefault="00A26D68" w:rsidP="00A54251">
      <w:pPr>
        <w:spacing w:after="0" w:line="360" w:lineRule="auto"/>
        <w:jc w:val="both"/>
        <w:rPr>
          <w:rFonts w:ascii="Times New Roman" w:hAnsi="Times New Roman" w:cs="Times New Roman"/>
          <w:b/>
          <w:bCs/>
          <w:sz w:val="24"/>
          <w:szCs w:val="24"/>
        </w:rPr>
      </w:pPr>
      <w:r w:rsidRPr="00A26D68">
        <w:rPr>
          <w:rFonts w:ascii="Times New Roman" w:hAnsi="Times New Roman" w:cs="Times New Roman"/>
          <w:b/>
          <w:bCs/>
          <w:sz w:val="24"/>
          <w:szCs w:val="24"/>
        </w:rPr>
        <w:t>Study Limitations</w:t>
      </w:r>
    </w:p>
    <w:p w14:paraId="57732CFD" w14:textId="54A70587" w:rsidR="00A26D68" w:rsidRPr="00A26D68" w:rsidRDefault="00A26D68" w:rsidP="00A26D68">
      <w:pPr>
        <w:spacing w:after="0" w:line="360" w:lineRule="auto"/>
        <w:jc w:val="both"/>
        <w:rPr>
          <w:rFonts w:ascii="Times New Roman" w:hAnsi="Times New Roman" w:cs="Times New Roman"/>
          <w:sz w:val="24"/>
          <w:szCs w:val="24"/>
        </w:rPr>
      </w:pPr>
      <w:r w:rsidRPr="00A26D68">
        <w:rPr>
          <w:rFonts w:ascii="Times New Roman" w:hAnsi="Times New Roman" w:cs="Times New Roman"/>
          <w:sz w:val="24"/>
          <w:szCs w:val="24"/>
        </w:rPr>
        <w:t>Several limitations should be considered when interpreting the findings of this study.</w:t>
      </w:r>
      <w:r>
        <w:rPr>
          <w:rFonts w:ascii="Times New Roman" w:hAnsi="Times New Roman" w:cs="Times New Roman"/>
          <w:sz w:val="24"/>
          <w:szCs w:val="24"/>
        </w:rPr>
        <w:t xml:space="preserve"> </w:t>
      </w:r>
      <w:r w:rsidRPr="00A26D68">
        <w:rPr>
          <w:rFonts w:ascii="Times New Roman" w:hAnsi="Times New Roman" w:cs="Times New Roman"/>
          <w:sz w:val="24"/>
          <w:szCs w:val="24"/>
        </w:rPr>
        <w:t>First, metabolomic characterization was based exclusively on untargeted profiling and therefore provides exploratory evidence rather than definitive metabolite identification. Second, no targeted metabolomic validation was conducted to confirm the identity and quantitative abundance of candidate metabolites. Third, the experiment was performed in a single environment and during a single growing cycle, which limits inference across broader climatic conditions. Fourth, the relatively small sample size may reduce statistical power and increase the risk of overestimating treatment-specific effects. Finally, the Climate-Responsive Biomass Score (CBS) was developed as an exploratory composite indicator and has not undergone external validation. Consequently, the index should not be interpreted as a validated breeding or selection tool.</w:t>
      </w:r>
    </w:p>
    <w:p w14:paraId="52407275" w14:textId="77777777" w:rsidR="00A26D68" w:rsidRDefault="00A26D68" w:rsidP="00A54251">
      <w:pPr>
        <w:spacing w:after="0" w:line="360" w:lineRule="auto"/>
        <w:jc w:val="both"/>
        <w:rPr>
          <w:rFonts w:ascii="Times New Roman" w:hAnsi="Times New Roman" w:cs="Times New Roman"/>
          <w:b/>
          <w:bCs/>
          <w:sz w:val="24"/>
          <w:szCs w:val="24"/>
        </w:rPr>
      </w:pPr>
    </w:p>
    <w:p w14:paraId="6B4FFAA6" w14:textId="63691B12" w:rsidR="00F72B7A" w:rsidRPr="00F72B7A" w:rsidRDefault="00F72B7A" w:rsidP="00A54251">
      <w:pPr>
        <w:spacing w:after="0" w:line="360" w:lineRule="auto"/>
        <w:jc w:val="both"/>
        <w:rPr>
          <w:rFonts w:ascii="Times New Roman" w:hAnsi="Times New Roman" w:cs="Times New Roman"/>
          <w:b/>
          <w:bCs/>
          <w:sz w:val="24"/>
          <w:szCs w:val="24"/>
        </w:rPr>
      </w:pPr>
      <w:r w:rsidRPr="00F72B7A">
        <w:rPr>
          <w:rFonts w:ascii="Times New Roman" w:hAnsi="Times New Roman" w:cs="Times New Roman"/>
          <w:b/>
          <w:bCs/>
          <w:sz w:val="24"/>
          <w:szCs w:val="24"/>
        </w:rPr>
        <w:t>Conclusion</w:t>
      </w:r>
    </w:p>
    <w:p w14:paraId="5DBDF2B7" w14:textId="61E6B4EB" w:rsidR="00A26D68" w:rsidRPr="00A26D68" w:rsidRDefault="00A26D68" w:rsidP="00A26D68">
      <w:pPr>
        <w:spacing w:after="0" w:line="360" w:lineRule="auto"/>
        <w:jc w:val="both"/>
        <w:rPr>
          <w:rFonts w:ascii="Times New Roman" w:hAnsi="Times New Roman" w:cs="Times New Roman"/>
          <w:sz w:val="24"/>
          <w:szCs w:val="24"/>
        </w:rPr>
      </w:pPr>
      <w:r w:rsidRPr="00A26D68">
        <w:rPr>
          <w:rFonts w:ascii="Times New Roman" w:hAnsi="Times New Roman" w:cs="Times New Roman"/>
          <w:sz w:val="24"/>
          <w:szCs w:val="24"/>
        </w:rPr>
        <w:t>This study provides preliminary evidence that integrating phenotypic measurements with exploratory metabolomic profiling may improve understanding of adaptive responses in Nopalea cochenillifera under climate-related water stress. Moderate stress conditions were associated with relatively stable biomass production, improved water-use efficiency, and distinct metabolomic responses characterized by enrichment of flavonoid- and phenolic-related compounds.</w:t>
      </w:r>
      <w:r>
        <w:rPr>
          <w:rFonts w:ascii="Times New Roman" w:hAnsi="Times New Roman" w:cs="Times New Roman"/>
          <w:sz w:val="24"/>
          <w:szCs w:val="24"/>
        </w:rPr>
        <w:t xml:space="preserve"> </w:t>
      </w:r>
      <w:r w:rsidRPr="00A26D68">
        <w:rPr>
          <w:rFonts w:ascii="Times New Roman" w:hAnsi="Times New Roman" w:cs="Times New Roman"/>
          <w:sz w:val="24"/>
          <w:szCs w:val="24"/>
        </w:rPr>
        <w:t>The integration of phenotypic and metabolomic datasets through multivariate analysis generated an exploratory framework for assessing climate responsiveness in forage cactus. However, the metabolomic findings remain putative and require confirmation through targeted analytical approaches.</w:t>
      </w:r>
      <w:r>
        <w:rPr>
          <w:rFonts w:ascii="Times New Roman" w:hAnsi="Times New Roman" w:cs="Times New Roman"/>
          <w:sz w:val="24"/>
          <w:szCs w:val="24"/>
        </w:rPr>
        <w:t xml:space="preserve"> </w:t>
      </w:r>
      <w:r w:rsidRPr="00A26D68">
        <w:rPr>
          <w:rFonts w:ascii="Times New Roman" w:hAnsi="Times New Roman" w:cs="Times New Roman"/>
          <w:sz w:val="24"/>
          <w:szCs w:val="24"/>
        </w:rPr>
        <w:t>Additional validation using independent populations, multi-environment trials, and targeted metabolomics is required before candidate markers can be translated into breeding applications.</w:t>
      </w:r>
    </w:p>
    <w:p w14:paraId="4BEC5067" w14:textId="08CAB90D" w:rsidR="007C5A58" w:rsidRDefault="007C5A58">
      <w:pPr>
        <w:rPr>
          <w:rFonts w:ascii="Times New Roman" w:hAnsi="Times New Roman" w:cs="Times New Roman"/>
          <w:b/>
          <w:bCs/>
          <w:sz w:val="24"/>
          <w:szCs w:val="24"/>
        </w:rPr>
      </w:pPr>
    </w:p>
    <w:p w14:paraId="237AB0FD" w14:textId="77777777" w:rsidR="00A26D68" w:rsidRDefault="00A26D68">
      <w:pPr>
        <w:rPr>
          <w:rFonts w:ascii="Times New Roman" w:hAnsi="Times New Roman" w:cs="Times New Roman"/>
          <w:b/>
          <w:bCs/>
          <w:sz w:val="24"/>
          <w:szCs w:val="24"/>
        </w:rPr>
      </w:pPr>
      <w:r>
        <w:rPr>
          <w:rFonts w:ascii="Times New Roman" w:hAnsi="Times New Roman" w:cs="Times New Roman"/>
          <w:b/>
          <w:bCs/>
          <w:sz w:val="24"/>
          <w:szCs w:val="24"/>
        </w:rPr>
        <w:br w:type="page"/>
      </w:r>
    </w:p>
    <w:p w14:paraId="0B9ED2A4" w14:textId="17BF5DB5" w:rsidR="00F72B7A" w:rsidRPr="00F72B7A" w:rsidRDefault="00F72B7A" w:rsidP="00A54251">
      <w:pPr>
        <w:spacing w:after="0" w:line="360" w:lineRule="auto"/>
        <w:jc w:val="both"/>
        <w:rPr>
          <w:rFonts w:ascii="Times New Roman" w:hAnsi="Times New Roman" w:cs="Times New Roman"/>
          <w:b/>
          <w:bCs/>
          <w:sz w:val="24"/>
          <w:szCs w:val="24"/>
        </w:rPr>
      </w:pPr>
      <w:r w:rsidRPr="00F72B7A">
        <w:rPr>
          <w:rFonts w:ascii="Times New Roman" w:hAnsi="Times New Roman" w:cs="Times New Roman"/>
          <w:b/>
          <w:bCs/>
          <w:sz w:val="24"/>
          <w:szCs w:val="24"/>
        </w:rPr>
        <w:lastRenderedPageBreak/>
        <w:t>Acknowledgments</w:t>
      </w:r>
    </w:p>
    <w:p w14:paraId="26DC38E0" w14:textId="6D5CBB45" w:rsidR="00BF1A49" w:rsidRDefault="00F72B7A" w:rsidP="00A54251">
      <w:pPr>
        <w:spacing w:after="0" w:line="360" w:lineRule="auto"/>
        <w:jc w:val="both"/>
        <w:rPr>
          <w:rFonts w:ascii="Times New Roman" w:hAnsi="Times New Roman" w:cs="Times New Roman"/>
          <w:sz w:val="24"/>
          <w:szCs w:val="24"/>
        </w:rPr>
      </w:pPr>
      <w:r w:rsidRPr="00F72B7A">
        <w:rPr>
          <w:rFonts w:ascii="Times New Roman" w:hAnsi="Times New Roman" w:cs="Times New Roman"/>
          <w:sz w:val="24"/>
          <w:szCs w:val="24"/>
        </w:rPr>
        <w:t>The authors thank the local smallholder farmers for their cooperation. Constructive suggestions from anonymous reviewers are greatly appreciated.</w:t>
      </w:r>
    </w:p>
    <w:p w14:paraId="43670836" w14:textId="77777777" w:rsidR="00A26D68" w:rsidRDefault="00A26D68" w:rsidP="00A54251">
      <w:pPr>
        <w:spacing w:after="0" w:line="360" w:lineRule="auto"/>
        <w:jc w:val="both"/>
        <w:rPr>
          <w:rFonts w:ascii="Times New Roman" w:hAnsi="Times New Roman" w:cs="Times New Roman"/>
          <w:b/>
          <w:bCs/>
          <w:sz w:val="24"/>
          <w:szCs w:val="24"/>
        </w:rPr>
      </w:pPr>
    </w:p>
    <w:p w14:paraId="1DEC0107" w14:textId="3DBA159F" w:rsidR="00F72B7A" w:rsidRPr="00F72B7A" w:rsidRDefault="00F72B7A" w:rsidP="00A54251">
      <w:pPr>
        <w:spacing w:after="0" w:line="360" w:lineRule="auto"/>
        <w:jc w:val="both"/>
        <w:rPr>
          <w:rFonts w:ascii="Times New Roman" w:hAnsi="Times New Roman" w:cs="Times New Roman"/>
          <w:b/>
          <w:bCs/>
          <w:sz w:val="24"/>
          <w:szCs w:val="24"/>
        </w:rPr>
      </w:pPr>
      <w:r w:rsidRPr="00F72B7A">
        <w:rPr>
          <w:rFonts w:ascii="Times New Roman" w:hAnsi="Times New Roman" w:cs="Times New Roman"/>
          <w:b/>
          <w:bCs/>
          <w:sz w:val="24"/>
          <w:szCs w:val="24"/>
        </w:rPr>
        <w:t>References</w:t>
      </w:r>
    </w:p>
    <w:p w14:paraId="0EBE3422" w14:textId="5ADC7BC9" w:rsidR="00BF1A49" w:rsidRPr="00BF1A49" w:rsidRDefault="00BF1A49" w:rsidP="00BF1A49">
      <w:pPr>
        <w:widowControl w:val="0"/>
        <w:autoSpaceDE w:val="0"/>
        <w:autoSpaceDN w:val="0"/>
        <w:adjustRightInd w:val="0"/>
        <w:spacing w:after="0" w:line="360" w:lineRule="auto"/>
        <w:ind w:left="480" w:hanging="480"/>
        <w:jc w:val="both"/>
        <w:rPr>
          <w:rFonts w:ascii="Times New Roman" w:hAnsi="Times New Roman" w:cs="Times New Roman"/>
          <w:noProof/>
          <w:kern w:val="0"/>
          <w:sz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Mendeley Bibliography CSL_BIBLIOGRAPHY </w:instrText>
      </w:r>
      <w:r>
        <w:rPr>
          <w:rFonts w:ascii="Times New Roman" w:hAnsi="Times New Roman" w:cs="Times New Roman"/>
          <w:sz w:val="24"/>
          <w:szCs w:val="24"/>
        </w:rPr>
        <w:fldChar w:fldCharType="separate"/>
      </w:r>
      <w:r w:rsidRPr="00BF1A49">
        <w:rPr>
          <w:rFonts w:ascii="Times New Roman" w:hAnsi="Times New Roman" w:cs="Times New Roman"/>
          <w:noProof/>
          <w:kern w:val="0"/>
          <w:sz w:val="24"/>
        </w:rPr>
        <w:t xml:space="preserve">Allwood, J. W., Williams, A., Uthe, H., van Dam, N. M., Mur, L. A. J., Grant, M. R., &amp; Pétriacq, P. (2021). Unravelling plant responses to stress—The importance of targeted and untargeted metabolomics. </w:t>
      </w:r>
      <w:r w:rsidRPr="00BF1A49">
        <w:rPr>
          <w:rFonts w:ascii="Times New Roman" w:hAnsi="Times New Roman" w:cs="Times New Roman"/>
          <w:i/>
          <w:iCs/>
          <w:noProof/>
          <w:kern w:val="0"/>
          <w:sz w:val="24"/>
        </w:rPr>
        <w:t>Metabolites</w:t>
      </w:r>
      <w:r w:rsidRPr="00BF1A49">
        <w:rPr>
          <w:rFonts w:ascii="Times New Roman" w:hAnsi="Times New Roman" w:cs="Times New Roman"/>
          <w:noProof/>
          <w:kern w:val="0"/>
          <w:sz w:val="24"/>
        </w:rPr>
        <w:t xml:space="preserve">, </w:t>
      </w:r>
      <w:r w:rsidRPr="00BF1A49">
        <w:rPr>
          <w:rFonts w:ascii="Times New Roman" w:hAnsi="Times New Roman" w:cs="Times New Roman"/>
          <w:i/>
          <w:iCs/>
          <w:noProof/>
          <w:kern w:val="0"/>
          <w:sz w:val="24"/>
        </w:rPr>
        <w:t>11</w:t>
      </w:r>
      <w:r w:rsidRPr="00BF1A49">
        <w:rPr>
          <w:rFonts w:ascii="Times New Roman" w:hAnsi="Times New Roman" w:cs="Times New Roman"/>
          <w:noProof/>
          <w:kern w:val="0"/>
          <w:sz w:val="24"/>
        </w:rPr>
        <w:t>(8), 558.</w:t>
      </w:r>
      <w:r w:rsidR="009A7183">
        <w:rPr>
          <w:rFonts w:ascii="Times New Roman" w:hAnsi="Times New Roman" w:cs="Times New Roman"/>
          <w:noProof/>
          <w:kern w:val="0"/>
          <w:sz w:val="24"/>
        </w:rPr>
        <w:t xml:space="preserve"> </w:t>
      </w:r>
      <w:r w:rsidR="009A7183" w:rsidRPr="009A7183">
        <w:rPr>
          <w:rFonts w:ascii="Times New Roman" w:hAnsi="Times New Roman" w:cs="Times New Roman"/>
          <w:noProof/>
          <w:kern w:val="0"/>
          <w:sz w:val="24"/>
        </w:rPr>
        <w:t>https://doi.org/10.3390/metabo11080558</w:t>
      </w:r>
    </w:p>
    <w:p w14:paraId="31E2B094" w14:textId="6C52AD3D" w:rsidR="00BF1A49" w:rsidRPr="00BF1A49" w:rsidRDefault="00BF1A49" w:rsidP="00BF1A49">
      <w:pPr>
        <w:widowControl w:val="0"/>
        <w:autoSpaceDE w:val="0"/>
        <w:autoSpaceDN w:val="0"/>
        <w:adjustRightInd w:val="0"/>
        <w:spacing w:after="0" w:line="360" w:lineRule="auto"/>
        <w:ind w:left="480" w:hanging="480"/>
        <w:jc w:val="both"/>
        <w:rPr>
          <w:rFonts w:ascii="Times New Roman" w:hAnsi="Times New Roman" w:cs="Times New Roman"/>
          <w:noProof/>
          <w:kern w:val="0"/>
          <w:sz w:val="24"/>
        </w:rPr>
      </w:pPr>
      <w:r w:rsidRPr="00BF1A49">
        <w:rPr>
          <w:rFonts w:ascii="Times New Roman" w:hAnsi="Times New Roman" w:cs="Times New Roman"/>
          <w:noProof/>
          <w:kern w:val="0"/>
          <w:sz w:val="24"/>
        </w:rPr>
        <w:t xml:space="preserve">Anzano, A., Bonanomi, G., Mazzoleni, S., &amp; Lanzotti, V. (2022). Plant metabolomics in biotic and abiotic stress: a critical overview. </w:t>
      </w:r>
      <w:r w:rsidRPr="00BF1A49">
        <w:rPr>
          <w:rFonts w:ascii="Times New Roman" w:hAnsi="Times New Roman" w:cs="Times New Roman"/>
          <w:i/>
          <w:iCs/>
          <w:noProof/>
          <w:kern w:val="0"/>
          <w:sz w:val="24"/>
        </w:rPr>
        <w:t>Phytochemistry Reviews</w:t>
      </w:r>
      <w:r w:rsidRPr="00BF1A49">
        <w:rPr>
          <w:rFonts w:ascii="Times New Roman" w:hAnsi="Times New Roman" w:cs="Times New Roman"/>
          <w:noProof/>
          <w:kern w:val="0"/>
          <w:sz w:val="24"/>
        </w:rPr>
        <w:t xml:space="preserve">, </w:t>
      </w:r>
      <w:r w:rsidRPr="00BF1A49">
        <w:rPr>
          <w:rFonts w:ascii="Times New Roman" w:hAnsi="Times New Roman" w:cs="Times New Roman"/>
          <w:i/>
          <w:iCs/>
          <w:noProof/>
          <w:kern w:val="0"/>
          <w:sz w:val="24"/>
        </w:rPr>
        <w:t>21</w:t>
      </w:r>
      <w:r w:rsidRPr="00BF1A49">
        <w:rPr>
          <w:rFonts w:ascii="Times New Roman" w:hAnsi="Times New Roman" w:cs="Times New Roman"/>
          <w:noProof/>
          <w:kern w:val="0"/>
          <w:sz w:val="24"/>
        </w:rPr>
        <w:t>(2), 503–524.</w:t>
      </w:r>
      <w:r w:rsidR="009A7183">
        <w:rPr>
          <w:rFonts w:ascii="Times New Roman" w:hAnsi="Times New Roman" w:cs="Times New Roman"/>
          <w:noProof/>
          <w:kern w:val="0"/>
          <w:sz w:val="24"/>
        </w:rPr>
        <w:t xml:space="preserve"> </w:t>
      </w:r>
      <w:r w:rsidR="009A7183" w:rsidRPr="009A7183">
        <w:rPr>
          <w:rFonts w:ascii="Times New Roman" w:hAnsi="Times New Roman" w:cs="Times New Roman"/>
          <w:noProof/>
          <w:kern w:val="0"/>
          <w:sz w:val="24"/>
        </w:rPr>
        <w:t>https://doi.org/10.1007/s11101-021-09786-w</w:t>
      </w:r>
    </w:p>
    <w:p w14:paraId="609CE864" w14:textId="25BF6E35" w:rsidR="00BF1A49" w:rsidRPr="00BF1A49" w:rsidRDefault="00BF1A49" w:rsidP="00BF1A49">
      <w:pPr>
        <w:widowControl w:val="0"/>
        <w:autoSpaceDE w:val="0"/>
        <w:autoSpaceDN w:val="0"/>
        <w:adjustRightInd w:val="0"/>
        <w:spacing w:after="0" w:line="360" w:lineRule="auto"/>
        <w:ind w:left="480" w:hanging="480"/>
        <w:jc w:val="both"/>
        <w:rPr>
          <w:rFonts w:ascii="Times New Roman" w:hAnsi="Times New Roman" w:cs="Times New Roman"/>
          <w:noProof/>
          <w:kern w:val="0"/>
          <w:sz w:val="24"/>
        </w:rPr>
      </w:pPr>
      <w:r w:rsidRPr="00BF1A49">
        <w:rPr>
          <w:rFonts w:ascii="Times New Roman" w:hAnsi="Times New Roman" w:cs="Times New Roman"/>
          <w:noProof/>
          <w:kern w:val="0"/>
          <w:sz w:val="24"/>
        </w:rPr>
        <w:t>Arya, M. (</w:t>
      </w:r>
      <w:r w:rsidR="009A7183">
        <w:rPr>
          <w:rFonts w:ascii="Times New Roman" w:hAnsi="Times New Roman" w:cs="Times New Roman"/>
          <w:noProof/>
          <w:kern w:val="0"/>
          <w:sz w:val="24"/>
        </w:rPr>
        <w:t>2021</w:t>
      </w:r>
      <w:r w:rsidRPr="00BF1A49">
        <w:rPr>
          <w:rFonts w:ascii="Times New Roman" w:hAnsi="Times New Roman" w:cs="Times New Roman"/>
          <w:noProof/>
          <w:kern w:val="0"/>
          <w:sz w:val="24"/>
        </w:rPr>
        <w:t xml:space="preserve">). </w:t>
      </w:r>
      <w:r w:rsidRPr="009A7183">
        <w:rPr>
          <w:rFonts w:ascii="Times New Roman" w:hAnsi="Times New Roman" w:cs="Times New Roman"/>
          <w:noProof/>
          <w:kern w:val="0"/>
          <w:sz w:val="24"/>
        </w:rPr>
        <w:t>Transcriptomics and Metabolomics as Integrative Tools for Modern Plant Breeding Programs.</w:t>
      </w:r>
      <w:r w:rsidR="009A7183">
        <w:rPr>
          <w:rFonts w:ascii="Times New Roman" w:hAnsi="Times New Roman" w:cs="Times New Roman"/>
          <w:noProof/>
          <w:kern w:val="0"/>
          <w:sz w:val="24"/>
        </w:rPr>
        <w:t xml:space="preserve"> </w:t>
      </w:r>
      <w:r w:rsidR="009A7183" w:rsidRPr="009A7183">
        <w:rPr>
          <w:rFonts w:ascii="Times New Roman" w:hAnsi="Times New Roman" w:cs="Times New Roman"/>
          <w:i/>
          <w:iCs/>
          <w:noProof/>
          <w:kern w:val="0"/>
          <w:sz w:val="24"/>
        </w:rPr>
        <w:t>Plant Science Review</w:t>
      </w:r>
      <w:r w:rsidR="009A7183">
        <w:rPr>
          <w:rFonts w:ascii="Times New Roman" w:hAnsi="Times New Roman" w:cs="Times New Roman"/>
          <w:i/>
          <w:iCs/>
          <w:noProof/>
          <w:kern w:val="0"/>
          <w:sz w:val="24"/>
        </w:rPr>
        <w:t>, 2</w:t>
      </w:r>
      <w:r w:rsidR="009A7183">
        <w:rPr>
          <w:rFonts w:ascii="Times New Roman" w:hAnsi="Times New Roman" w:cs="Times New Roman"/>
          <w:noProof/>
          <w:kern w:val="0"/>
          <w:sz w:val="24"/>
        </w:rPr>
        <w:t>(2), 01-03.</w:t>
      </w:r>
      <w:r w:rsidR="009A7183" w:rsidRPr="009A7183">
        <w:rPr>
          <w:rFonts w:ascii="Times New Roman" w:hAnsi="Times New Roman" w:cs="Times New Roman"/>
          <w:noProof/>
          <w:kern w:val="0"/>
          <w:sz w:val="24"/>
        </w:rPr>
        <w:t xml:space="preserve"> https://doi.org/10.51470/PSR.2021.02.02.01</w:t>
      </w:r>
    </w:p>
    <w:p w14:paraId="7E8C413B" w14:textId="065B046E" w:rsidR="00BF1A49" w:rsidRPr="00BF1A49" w:rsidRDefault="00BF1A49" w:rsidP="00BF1A49">
      <w:pPr>
        <w:widowControl w:val="0"/>
        <w:autoSpaceDE w:val="0"/>
        <w:autoSpaceDN w:val="0"/>
        <w:adjustRightInd w:val="0"/>
        <w:spacing w:after="0" w:line="360" w:lineRule="auto"/>
        <w:ind w:left="480" w:hanging="480"/>
        <w:jc w:val="both"/>
        <w:rPr>
          <w:rFonts w:ascii="Times New Roman" w:hAnsi="Times New Roman" w:cs="Times New Roman"/>
          <w:noProof/>
          <w:kern w:val="0"/>
          <w:sz w:val="24"/>
        </w:rPr>
      </w:pPr>
      <w:r w:rsidRPr="00BF1A49">
        <w:rPr>
          <w:rFonts w:ascii="Times New Roman" w:hAnsi="Times New Roman" w:cs="Times New Roman"/>
          <w:noProof/>
          <w:kern w:val="0"/>
          <w:sz w:val="24"/>
        </w:rPr>
        <w:t xml:space="preserve">Carrera, F. P., Noceda, C., Maridueña-Zavala, M. G., &amp; Cevallos-Cevallos, J. M. (2021). Metabolomics, a powerful tool for understanding plant abiotic stress. </w:t>
      </w:r>
      <w:r w:rsidRPr="00BF1A49">
        <w:rPr>
          <w:rFonts w:ascii="Times New Roman" w:hAnsi="Times New Roman" w:cs="Times New Roman"/>
          <w:i/>
          <w:iCs/>
          <w:noProof/>
          <w:kern w:val="0"/>
          <w:sz w:val="24"/>
        </w:rPr>
        <w:t>Agronomy</w:t>
      </w:r>
      <w:r w:rsidRPr="00BF1A49">
        <w:rPr>
          <w:rFonts w:ascii="Times New Roman" w:hAnsi="Times New Roman" w:cs="Times New Roman"/>
          <w:noProof/>
          <w:kern w:val="0"/>
          <w:sz w:val="24"/>
        </w:rPr>
        <w:t xml:space="preserve">, </w:t>
      </w:r>
      <w:r w:rsidRPr="00BF1A49">
        <w:rPr>
          <w:rFonts w:ascii="Times New Roman" w:hAnsi="Times New Roman" w:cs="Times New Roman"/>
          <w:i/>
          <w:iCs/>
          <w:noProof/>
          <w:kern w:val="0"/>
          <w:sz w:val="24"/>
        </w:rPr>
        <w:t>11</w:t>
      </w:r>
      <w:r w:rsidRPr="00BF1A49">
        <w:rPr>
          <w:rFonts w:ascii="Times New Roman" w:hAnsi="Times New Roman" w:cs="Times New Roman"/>
          <w:noProof/>
          <w:kern w:val="0"/>
          <w:sz w:val="24"/>
        </w:rPr>
        <w:t>(5), 824.</w:t>
      </w:r>
      <w:r w:rsidR="009A7183">
        <w:rPr>
          <w:rFonts w:ascii="Times New Roman" w:hAnsi="Times New Roman" w:cs="Times New Roman"/>
          <w:noProof/>
          <w:kern w:val="0"/>
          <w:sz w:val="24"/>
        </w:rPr>
        <w:t xml:space="preserve"> </w:t>
      </w:r>
      <w:r w:rsidR="009A7183" w:rsidRPr="009A7183">
        <w:rPr>
          <w:rFonts w:ascii="Times New Roman" w:hAnsi="Times New Roman" w:cs="Times New Roman"/>
          <w:noProof/>
          <w:kern w:val="0"/>
          <w:sz w:val="24"/>
        </w:rPr>
        <w:t>https://doi.org/10.3390/agronomy11050824</w:t>
      </w:r>
    </w:p>
    <w:p w14:paraId="65AF6CC4" w14:textId="33A85205" w:rsidR="00BF1A49" w:rsidRPr="00BF1A49" w:rsidRDefault="00BF1A49" w:rsidP="00BF1A49">
      <w:pPr>
        <w:widowControl w:val="0"/>
        <w:autoSpaceDE w:val="0"/>
        <w:autoSpaceDN w:val="0"/>
        <w:adjustRightInd w:val="0"/>
        <w:spacing w:after="0" w:line="360" w:lineRule="auto"/>
        <w:ind w:left="480" w:hanging="480"/>
        <w:jc w:val="both"/>
        <w:rPr>
          <w:rFonts w:ascii="Times New Roman" w:hAnsi="Times New Roman" w:cs="Times New Roman"/>
          <w:noProof/>
          <w:kern w:val="0"/>
          <w:sz w:val="24"/>
        </w:rPr>
      </w:pPr>
      <w:r w:rsidRPr="00BF1A49">
        <w:rPr>
          <w:rFonts w:ascii="Times New Roman" w:hAnsi="Times New Roman" w:cs="Times New Roman"/>
          <w:noProof/>
          <w:kern w:val="0"/>
          <w:sz w:val="24"/>
        </w:rPr>
        <w:t xml:space="preserve">Cavill, R., Jennen, D., Kleinjans, J., &amp; Briedé, J. J. (2016). Transcriptomic and metabolomic data integration. </w:t>
      </w:r>
      <w:r w:rsidRPr="00BF1A49">
        <w:rPr>
          <w:rFonts w:ascii="Times New Roman" w:hAnsi="Times New Roman" w:cs="Times New Roman"/>
          <w:i/>
          <w:iCs/>
          <w:noProof/>
          <w:kern w:val="0"/>
          <w:sz w:val="24"/>
        </w:rPr>
        <w:t>Briefings in Bioinformatics</w:t>
      </w:r>
      <w:r w:rsidRPr="00BF1A49">
        <w:rPr>
          <w:rFonts w:ascii="Times New Roman" w:hAnsi="Times New Roman" w:cs="Times New Roman"/>
          <w:noProof/>
          <w:kern w:val="0"/>
          <w:sz w:val="24"/>
        </w:rPr>
        <w:t xml:space="preserve">, </w:t>
      </w:r>
      <w:r w:rsidRPr="00BF1A49">
        <w:rPr>
          <w:rFonts w:ascii="Times New Roman" w:hAnsi="Times New Roman" w:cs="Times New Roman"/>
          <w:i/>
          <w:iCs/>
          <w:noProof/>
          <w:kern w:val="0"/>
          <w:sz w:val="24"/>
        </w:rPr>
        <w:t>17</w:t>
      </w:r>
      <w:r w:rsidRPr="00BF1A49">
        <w:rPr>
          <w:rFonts w:ascii="Times New Roman" w:hAnsi="Times New Roman" w:cs="Times New Roman"/>
          <w:noProof/>
          <w:kern w:val="0"/>
          <w:sz w:val="24"/>
        </w:rPr>
        <w:t>(5), 891–901.</w:t>
      </w:r>
      <w:r w:rsidR="009A7183">
        <w:rPr>
          <w:rFonts w:ascii="Times New Roman" w:hAnsi="Times New Roman" w:cs="Times New Roman"/>
          <w:noProof/>
          <w:kern w:val="0"/>
          <w:sz w:val="24"/>
        </w:rPr>
        <w:t xml:space="preserve"> </w:t>
      </w:r>
      <w:r w:rsidR="009A7183" w:rsidRPr="009A7183">
        <w:rPr>
          <w:rFonts w:ascii="Times New Roman" w:hAnsi="Times New Roman" w:cs="Times New Roman"/>
          <w:noProof/>
          <w:kern w:val="0"/>
          <w:sz w:val="24"/>
        </w:rPr>
        <w:t>https://doi.org/10.1093/bib/bbv090</w:t>
      </w:r>
    </w:p>
    <w:p w14:paraId="15EC909E" w14:textId="4FBE470E" w:rsidR="00BF1A49" w:rsidRPr="00BF1A49" w:rsidRDefault="00BF1A49" w:rsidP="00BF1A49">
      <w:pPr>
        <w:widowControl w:val="0"/>
        <w:autoSpaceDE w:val="0"/>
        <w:autoSpaceDN w:val="0"/>
        <w:adjustRightInd w:val="0"/>
        <w:spacing w:after="0" w:line="360" w:lineRule="auto"/>
        <w:ind w:left="480" w:hanging="480"/>
        <w:jc w:val="both"/>
        <w:rPr>
          <w:rFonts w:ascii="Times New Roman" w:hAnsi="Times New Roman" w:cs="Times New Roman"/>
          <w:noProof/>
          <w:kern w:val="0"/>
          <w:sz w:val="24"/>
        </w:rPr>
      </w:pPr>
      <w:r w:rsidRPr="00BF1A49">
        <w:rPr>
          <w:rFonts w:ascii="Times New Roman" w:hAnsi="Times New Roman" w:cs="Times New Roman"/>
          <w:noProof/>
          <w:kern w:val="0"/>
          <w:sz w:val="24"/>
        </w:rPr>
        <w:t xml:space="preserve">Dixit, S., Sivalingam, P. N., Baskaran, R. K. M., Senthil-Kumar, M., &amp; Ghosh, P. K. (2024). Plant responses to concurrent abiotic and biotic stress: unravelling physiological and morphological mechanisms. </w:t>
      </w:r>
      <w:r w:rsidRPr="00BF1A49">
        <w:rPr>
          <w:rFonts w:ascii="Times New Roman" w:hAnsi="Times New Roman" w:cs="Times New Roman"/>
          <w:i/>
          <w:iCs/>
          <w:noProof/>
          <w:kern w:val="0"/>
          <w:sz w:val="24"/>
        </w:rPr>
        <w:t>Plant Physiology Reports</w:t>
      </w:r>
      <w:r w:rsidRPr="00BF1A49">
        <w:rPr>
          <w:rFonts w:ascii="Times New Roman" w:hAnsi="Times New Roman" w:cs="Times New Roman"/>
          <w:noProof/>
          <w:kern w:val="0"/>
          <w:sz w:val="24"/>
        </w:rPr>
        <w:t xml:space="preserve">, </w:t>
      </w:r>
      <w:r w:rsidRPr="00BF1A49">
        <w:rPr>
          <w:rFonts w:ascii="Times New Roman" w:hAnsi="Times New Roman" w:cs="Times New Roman"/>
          <w:i/>
          <w:iCs/>
          <w:noProof/>
          <w:kern w:val="0"/>
          <w:sz w:val="24"/>
        </w:rPr>
        <w:t>29</w:t>
      </w:r>
      <w:r w:rsidRPr="00BF1A49">
        <w:rPr>
          <w:rFonts w:ascii="Times New Roman" w:hAnsi="Times New Roman" w:cs="Times New Roman"/>
          <w:noProof/>
          <w:kern w:val="0"/>
          <w:sz w:val="24"/>
        </w:rPr>
        <w:t>(1), 6–17.</w:t>
      </w:r>
      <w:r w:rsidR="009A7183">
        <w:rPr>
          <w:rFonts w:ascii="Times New Roman" w:hAnsi="Times New Roman" w:cs="Times New Roman"/>
          <w:noProof/>
          <w:kern w:val="0"/>
          <w:sz w:val="24"/>
        </w:rPr>
        <w:t xml:space="preserve"> </w:t>
      </w:r>
      <w:r w:rsidR="009A7183" w:rsidRPr="009A7183">
        <w:rPr>
          <w:rFonts w:ascii="Times New Roman" w:hAnsi="Times New Roman" w:cs="Times New Roman"/>
          <w:noProof/>
          <w:kern w:val="0"/>
          <w:sz w:val="24"/>
        </w:rPr>
        <w:t>https://doi.org/10.1007/s40502-023-00766-0</w:t>
      </w:r>
    </w:p>
    <w:p w14:paraId="2F74C914" w14:textId="1F874784" w:rsidR="00BF1A49" w:rsidRPr="00BF1A49" w:rsidRDefault="00BF1A49" w:rsidP="00BF1A49">
      <w:pPr>
        <w:widowControl w:val="0"/>
        <w:autoSpaceDE w:val="0"/>
        <w:autoSpaceDN w:val="0"/>
        <w:adjustRightInd w:val="0"/>
        <w:spacing w:after="0" w:line="360" w:lineRule="auto"/>
        <w:ind w:left="480" w:hanging="480"/>
        <w:jc w:val="both"/>
        <w:rPr>
          <w:rFonts w:ascii="Times New Roman" w:hAnsi="Times New Roman" w:cs="Times New Roman"/>
          <w:noProof/>
          <w:kern w:val="0"/>
          <w:sz w:val="24"/>
        </w:rPr>
      </w:pPr>
      <w:r w:rsidRPr="00BF1A49">
        <w:rPr>
          <w:rFonts w:ascii="Times New Roman" w:hAnsi="Times New Roman" w:cs="Times New Roman"/>
          <w:noProof/>
          <w:kern w:val="0"/>
          <w:sz w:val="24"/>
        </w:rPr>
        <w:t xml:space="preserve">Dubeux Jr, J. C. B., dos Santos, M. V. F., da Cunha, M. V., dos Santos, D. C., de Almeida Souza, R. T., de Mello, A. C. L., &amp; de Souza, T. C. (2021). Cactus (Opuntia and Nopalea) nutritive value: A review. </w:t>
      </w:r>
      <w:r w:rsidRPr="00BF1A49">
        <w:rPr>
          <w:rFonts w:ascii="Times New Roman" w:hAnsi="Times New Roman" w:cs="Times New Roman"/>
          <w:i/>
          <w:iCs/>
          <w:noProof/>
          <w:kern w:val="0"/>
          <w:sz w:val="24"/>
        </w:rPr>
        <w:t>Animal Feed Science and Technology</w:t>
      </w:r>
      <w:r w:rsidRPr="00BF1A49">
        <w:rPr>
          <w:rFonts w:ascii="Times New Roman" w:hAnsi="Times New Roman" w:cs="Times New Roman"/>
          <w:noProof/>
          <w:kern w:val="0"/>
          <w:sz w:val="24"/>
        </w:rPr>
        <w:t xml:space="preserve">, </w:t>
      </w:r>
      <w:r w:rsidRPr="00BF1A49">
        <w:rPr>
          <w:rFonts w:ascii="Times New Roman" w:hAnsi="Times New Roman" w:cs="Times New Roman"/>
          <w:i/>
          <w:iCs/>
          <w:noProof/>
          <w:kern w:val="0"/>
          <w:sz w:val="24"/>
        </w:rPr>
        <w:t>275</w:t>
      </w:r>
      <w:r w:rsidRPr="00BF1A49">
        <w:rPr>
          <w:rFonts w:ascii="Times New Roman" w:hAnsi="Times New Roman" w:cs="Times New Roman"/>
          <w:noProof/>
          <w:kern w:val="0"/>
          <w:sz w:val="24"/>
        </w:rPr>
        <w:t>, 114890.</w:t>
      </w:r>
      <w:r w:rsidR="009A7183">
        <w:rPr>
          <w:rFonts w:ascii="Times New Roman" w:hAnsi="Times New Roman" w:cs="Times New Roman"/>
          <w:noProof/>
          <w:kern w:val="0"/>
          <w:sz w:val="24"/>
        </w:rPr>
        <w:t xml:space="preserve"> </w:t>
      </w:r>
      <w:r w:rsidR="009A7183" w:rsidRPr="009A7183">
        <w:rPr>
          <w:rFonts w:ascii="Times New Roman" w:hAnsi="Times New Roman" w:cs="Times New Roman"/>
          <w:noProof/>
          <w:kern w:val="0"/>
          <w:sz w:val="24"/>
        </w:rPr>
        <w:t>https://doi.org/10.1016/j.anifeedsci.2021.114890</w:t>
      </w:r>
    </w:p>
    <w:p w14:paraId="2E52C947" w14:textId="4DD651FE" w:rsidR="00BF1A49" w:rsidRPr="00BF1A49" w:rsidRDefault="00BF1A49" w:rsidP="00BF1A49">
      <w:pPr>
        <w:widowControl w:val="0"/>
        <w:autoSpaceDE w:val="0"/>
        <w:autoSpaceDN w:val="0"/>
        <w:adjustRightInd w:val="0"/>
        <w:spacing w:after="0" w:line="360" w:lineRule="auto"/>
        <w:ind w:left="480" w:hanging="480"/>
        <w:jc w:val="both"/>
        <w:rPr>
          <w:rFonts w:ascii="Times New Roman" w:hAnsi="Times New Roman" w:cs="Times New Roman"/>
          <w:noProof/>
          <w:kern w:val="0"/>
          <w:sz w:val="24"/>
        </w:rPr>
      </w:pPr>
      <w:r w:rsidRPr="00BF1A49">
        <w:rPr>
          <w:rFonts w:ascii="Times New Roman" w:hAnsi="Times New Roman" w:cs="Times New Roman"/>
          <w:noProof/>
          <w:kern w:val="0"/>
          <w:sz w:val="24"/>
        </w:rPr>
        <w:t xml:space="preserve">Hernández-Becerra, E., de los Angeles Aguilera-Barreiro, M., Contreras-Padilla, M., Pérez-Torrero, E., &amp; Rodriguez-Garcia, M. E. (2022). Nopal cladodes (Opuntia Ficus Indica): Nutritional properties and functional potential. </w:t>
      </w:r>
      <w:r w:rsidRPr="00BF1A49">
        <w:rPr>
          <w:rFonts w:ascii="Times New Roman" w:hAnsi="Times New Roman" w:cs="Times New Roman"/>
          <w:i/>
          <w:iCs/>
          <w:noProof/>
          <w:kern w:val="0"/>
          <w:sz w:val="24"/>
        </w:rPr>
        <w:t>Journal of Functional Foods</w:t>
      </w:r>
      <w:r w:rsidRPr="00BF1A49">
        <w:rPr>
          <w:rFonts w:ascii="Times New Roman" w:hAnsi="Times New Roman" w:cs="Times New Roman"/>
          <w:noProof/>
          <w:kern w:val="0"/>
          <w:sz w:val="24"/>
        </w:rPr>
        <w:t xml:space="preserve">, </w:t>
      </w:r>
      <w:r w:rsidRPr="00BF1A49">
        <w:rPr>
          <w:rFonts w:ascii="Times New Roman" w:hAnsi="Times New Roman" w:cs="Times New Roman"/>
          <w:i/>
          <w:iCs/>
          <w:noProof/>
          <w:kern w:val="0"/>
          <w:sz w:val="24"/>
        </w:rPr>
        <w:t>95</w:t>
      </w:r>
      <w:r w:rsidRPr="00BF1A49">
        <w:rPr>
          <w:rFonts w:ascii="Times New Roman" w:hAnsi="Times New Roman" w:cs="Times New Roman"/>
          <w:noProof/>
          <w:kern w:val="0"/>
          <w:sz w:val="24"/>
        </w:rPr>
        <w:t>, 105183.</w:t>
      </w:r>
      <w:r w:rsidR="009A7183">
        <w:rPr>
          <w:rFonts w:ascii="Times New Roman" w:hAnsi="Times New Roman" w:cs="Times New Roman"/>
          <w:noProof/>
          <w:kern w:val="0"/>
          <w:sz w:val="24"/>
        </w:rPr>
        <w:t xml:space="preserve"> </w:t>
      </w:r>
      <w:r w:rsidR="009A7183" w:rsidRPr="009A7183">
        <w:rPr>
          <w:rFonts w:ascii="Times New Roman" w:hAnsi="Times New Roman" w:cs="Times New Roman"/>
          <w:noProof/>
          <w:kern w:val="0"/>
          <w:sz w:val="24"/>
        </w:rPr>
        <w:t>https://doi.org/10.1016/j.jff.2022.105183</w:t>
      </w:r>
    </w:p>
    <w:p w14:paraId="3900676F" w14:textId="3364B3A1" w:rsidR="00BF1A49" w:rsidRPr="00BF1A49" w:rsidRDefault="00BF1A49" w:rsidP="00BF1A49">
      <w:pPr>
        <w:widowControl w:val="0"/>
        <w:autoSpaceDE w:val="0"/>
        <w:autoSpaceDN w:val="0"/>
        <w:adjustRightInd w:val="0"/>
        <w:spacing w:after="0" w:line="360" w:lineRule="auto"/>
        <w:ind w:left="480" w:hanging="480"/>
        <w:jc w:val="both"/>
        <w:rPr>
          <w:rFonts w:ascii="Times New Roman" w:hAnsi="Times New Roman" w:cs="Times New Roman"/>
          <w:noProof/>
          <w:kern w:val="0"/>
          <w:sz w:val="24"/>
        </w:rPr>
      </w:pPr>
      <w:r w:rsidRPr="00BF1A49">
        <w:rPr>
          <w:rFonts w:ascii="Times New Roman" w:hAnsi="Times New Roman" w:cs="Times New Roman"/>
          <w:noProof/>
          <w:kern w:val="0"/>
          <w:sz w:val="24"/>
        </w:rPr>
        <w:t xml:space="preserve">Jardim, A. M. da R. F., Santos, H. R. B., Alves, H. K. M. N., Ferreira-Silva, S. L., de Souza, </w:t>
      </w:r>
      <w:r w:rsidRPr="00BF1A49">
        <w:rPr>
          <w:rFonts w:ascii="Times New Roman" w:hAnsi="Times New Roman" w:cs="Times New Roman"/>
          <w:noProof/>
          <w:kern w:val="0"/>
          <w:sz w:val="24"/>
        </w:rPr>
        <w:lastRenderedPageBreak/>
        <w:t xml:space="preserve">L. S. B., Júnior, G. do N. A., de Sá Souza, M., de Araújo, G. G. L., de Souza, C. A. A., &amp; da Silva, T. G. F. (2021). Genotypic differences relative photochemical activity, inorganic and organic solutes and yield performance in clones of the forage cactus under semi-arid environment. </w:t>
      </w:r>
      <w:r w:rsidRPr="00BF1A49">
        <w:rPr>
          <w:rFonts w:ascii="Times New Roman" w:hAnsi="Times New Roman" w:cs="Times New Roman"/>
          <w:i/>
          <w:iCs/>
          <w:noProof/>
          <w:kern w:val="0"/>
          <w:sz w:val="24"/>
        </w:rPr>
        <w:t>Plant Physiology and Biochemistry</w:t>
      </w:r>
      <w:r w:rsidRPr="00BF1A49">
        <w:rPr>
          <w:rFonts w:ascii="Times New Roman" w:hAnsi="Times New Roman" w:cs="Times New Roman"/>
          <w:noProof/>
          <w:kern w:val="0"/>
          <w:sz w:val="24"/>
        </w:rPr>
        <w:t xml:space="preserve">, </w:t>
      </w:r>
      <w:r w:rsidRPr="00BF1A49">
        <w:rPr>
          <w:rFonts w:ascii="Times New Roman" w:hAnsi="Times New Roman" w:cs="Times New Roman"/>
          <w:i/>
          <w:iCs/>
          <w:noProof/>
          <w:kern w:val="0"/>
          <w:sz w:val="24"/>
        </w:rPr>
        <w:t>162</w:t>
      </w:r>
      <w:r w:rsidRPr="00BF1A49">
        <w:rPr>
          <w:rFonts w:ascii="Times New Roman" w:hAnsi="Times New Roman" w:cs="Times New Roman"/>
          <w:noProof/>
          <w:kern w:val="0"/>
          <w:sz w:val="24"/>
        </w:rPr>
        <w:t>, 421–430.</w:t>
      </w:r>
      <w:r w:rsidR="009A7183">
        <w:rPr>
          <w:rFonts w:ascii="Times New Roman" w:hAnsi="Times New Roman" w:cs="Times New Roman"/>
          <w:noProof/>
          <w:kern w:val="0"/>
          <w:sz w:val="24"/>
        </w:rPr>
        <w:t xml:space="preserve"> </w:t>
      </w:r>
      <w:r w:rsidR="009A7183" w:rsidRPr="009A7183">
        <w:rPr>
          <w:rFonts w:ascii="Times New Roman" w:hAnsi="Times New Roman" w:cs="Times New Roman"/>
          <w:noProof/>
          <w:kern w:val="0"/>
          <w:sz w:val="24"/>
        </w:rPr>
        <w:t>https://doi.org/10.1016/j.plaphy.2021.03.011</w:t>
      </w:r>
    </w:p>
    <w:p w14:paraId="5F8CE178" w14:textId="506CE061" w:rsidR="00BF1A49" w:rsidRPr="00BF1A49" w:rsidRDefault="00BF1A49" w:rsidP="00BF1A49">
      <w:pPr>
        <w:widowControl w:val="0"/>
        <w:autoSpaceDE w:val="0"/>
        <w:autoSpaceDN w:val="0"/>
        <w:adjustRightInd w:val="0"/>
        <w:spacing w:after="0" w:line="360" w:lineRule="auto"/>
        <w:ind w:left="480" w:hanging="480"/>
        <w:jc w:val="both"/>
        <w:rPr>
          <w:rFonts w:ascii="Times New Roman" w:hAnsi="Times New Roman" w:cs="Times New Roman"/>
          <w:noProof/>
          <w:kern w:val="0"/>
          <w:sz w:val="24"/>
        </w:rPr>
      </w:pPr>
      <w:r w:rsidRPr="00BF1A49">
        <w:rPr>
          <w:rFonts w:ascii="Times New Roman" w:hAnsi="Times New Roman" w:cs="Times New Roman"/>
          <w:noProof/>
          <w:kern w:val="0"/>
          <w:sz w:val="24"/>
        </w:rPr>
        <w:t xml:space="preserve">Kirono, D. G. C., Butler, J. R. A., McGregor, J. L., Ripaldi, A., Katzfey, J., &amp; Nguyen, K. (2016). Historical and future seasonal rainfall variability in Nusa Tenggara Barat Province, Indonesia: Implications for the agriculture and water sectors. </w:t>
      </w:r>
      <w:r w:rsidRPr="00BF1A49">
        <w:rPr>
          <w:rFonts w:ascii="Times New Roman" w:hAnsi="Times New Roman" w:cs="Times New Roman"/>
          <w:i/>
          <w:iCs/>
          <w:noProof/>
          <w:kern w:val="0"/>
          <w:sz w:val="24"/>
        </w:rPr>
        <w:t>Climate Risk Management</w:t>
      </w:r>
      <w:r w:rsidRPr="00BF1A49">
        <w:rPr>
          <w:rFonts w:ascii="Times New Roman" w:hAnsi="Times New Roman" w:cs="Times New Roman"/>
          <w:noProof/>
          <w:kern w:val="0"/>
          <w:sz w:val="24"/>
        </w:rPr>
        <w:t xml:space="preserve">, </w:t>
      </w:r>
      <w:r w:rsidRPr="00BF1A49">
        <w:rPr>
          <w:rFonts w:ascii="Times New Roman" w:hAnsi="Times New Roman" w:cs="Times New Roman"/>
          <w:i/>
          <w:iCs/>
          <w:noProof/>
          <w:kern w:val="0"/>
          <w:sz w:val="24"/>
        </w:rPr>
        <w:t>12</w:t>
      </w:r>
      <w:r w:rsidRPr="00BF1A49">
        <w:rPr>
          <w:rFonts w:ascii="Times New Roman" w:hAnsi="Times New Roman" w:cs="Times New Roman"/>
          <w:noProof/>
          <w:kern w:val="0"/>
          <w:sz w:val="24"/>
        </w:rPr>
        <w:t>, 45–58.</w:t>
      </w:r>
      <w:r w:rsidR="009A7183">
        <w:rPr>
          <w:rFonts w:ascii="Times New Roman" w:hAnsi="Times New Roman" w:cs="Times New Roman"/>
          <w:noProof/>
          <w:kern w:val="0"/>
          <w:sz w:val="24"/>
        </w:rPr>
        <w:t xml:space="preserve"> </w:t>
      </w:r>
      <w:r w:rsidR="009A7183" w:rsidRPr="009A7183">
        <w:rPr>
          <w:rFonts w:ascii="Times New Roman" w:hAnsi="Times New Roman" w:cs="Times New Roman"/>
          <w:noProof/>
          <w:kern w:val="0"/>
          <w:sz w:val="24"/>
        </w:rPr>
        <w:t>https://doi.org/10.1016/j.crm.2015.12.002</w:t>
      </w:r>
    </w:p>
    <w:p w14:paraId="3AB291C2" w14:textId="34F3D352" w:rsidR="00BF1A49" w:rsidRPr="00BF1A49" w:rsidRDefault="00BF1A49" w:rsidP="00BF1A49">
      <w:pPr>
        <w:widowControl w:val="0"/>
        <w:autoSpaceDE w:val="0"/>
        <w:autoSpaceDN w:val="0"/>
        <w:adjustRightInd w:val="0"/>
        <w:spacing w:after="0" w:line="360" w:lineRule="auto"/>
        <w:ind w:left="480" w:hanging="480"/>
        <w:jc w:val="both"/>
        <w:rPr>
          <w:rFonts w:ascii="Times New Roman" w:hAnsi="Times New Roman" w:cs="Times New Roman"/>
          <w:noProof/>
          <w:kern w:val="0"/>
          <w:sz w:val="24"/>
        </w:rPr>
      </w:pPr>
      <w:r w:rsidRPr="00BF1A49">
        <w:rPr>
          <w:rFonts w:ascii="Times New Roman" w:hAnsi="Times New Roman" w:cs="Times New Roman"/>
          <w:noProof/>
          <w:kern w:val="0"/>
          <w:sz w:val="24"/>
        </w:rPr>
        <w:t xml:space="preserve">Li, D., &amp; Gaquerel, E. (2021). Next-generation mass spectrometry metabolomics revives the functional analysis of plant metabolic diversity. </w:t>
      </w:r>
      <w:r w:rsidRPr="00BF1A49">
        <w:rPr>
          <w:rFonts w:ascii="Times New Roman" w:hAnsi="Times New Roman" w:cs="Times New Roman"/>
          <w:i/>
          <w:iCs/>
          <w:noProof/>
          <w:kern w:val="0"/>
          <w:sz w:val="24"/>
        </w:rPr>
        <w:t>Annual Review of Plant Biology</w:t>
      </w:r>
      <w:r w:rsidRPr="00BF1A49">
        <w:rPr>
          <w:rFonts w:ascii="Times New Roman" w:hAnsi="Times New Roman" w:cs="Times New Roman"/>
          <w:noProof/>
          <w:kern w:val="0"/>
          <w:sz w:val="24"/>
        </w:rPr>
        <w:t xml:space="preserve">, </w:t>
      </w:r>
      <w:r w:rsidRPr="00BF1A49">
        <w:rPr>
          <w:rFonts w:ascii="Times New Roman" w:hAnsi="Times New Roman" w:cs="Times New Roman"/>
          <w:i/>
          <w:iCs/>
          <w:noProof/>
          <w:kern w:val="0"/>
          <w:sz w:val="24"/>
        </w:rPr>
        <w:t>72</w:t>
      </w:r>
      <w:r w:rsidRPr="00BF1A49">
        <w:rPr>
          <w:rFonts w:ascii="Times New Roman" w:hAnsi="Times New Roman" w:cs="Times New Roman"/>
          <w:noProof/>
          <w:kern w:val="0"/>
          <w:sz w:val="24"/>
        </w:rPr>
        <w:t>(1), 867–891.</w:t>
      </w:r>
      <w:r w:rsidR="009A7183">
        <w:rPr>
          <w:rFonts w:ascii="Times New Roman" w:hAnsi="Times New Roman" w:cs="Times New Roman"/>
          <w:noProof/>
          <w:kern w:val="0"/>
          <w:sz w:val="24"/>
        </w:rPr>
        <w:t xml:space="preserve"> </w:t>
      </w:r>
      <w:r w:rsidR="009A7183" w:rsidRPr="009A7183">
        <w:rPr>
          <w:rFonts w:ascii="Times New Roman" w:hAnsi="Times New Roman" w:cs="Times New Roman"/>
          <w:noProof/>
          <w:kern w:val="0"/>
          <w:sz w:val="24"/>
        </w:rPr>
        <w:t>https://doi.org/10.1146/annurev-arplant-071720-114836</w:t>
      </w:r>
    </w:p>
    <w:p w14:paraId="6F8E9F28" w14:textId="695A2A4D" w:rsidR="00BF1A49" w:rsidRPr="00BF1A49" w:rsidRDefault="00BF1A49" w:rsidP="00BF1A49">
      <w:pPr>
        <w:widowControl w:val="0"/>
        <w:autoSpaceDE w:val="0"/>
        <w:autoSpaceDN w:val="0"/>
        <w:adjustRightInd w:val="0"/>
        <w:spacing w:after="0" w:line="360" w:lineRule="auto"/>
        <w:ind w:left="480" w:hanging="480"/>
        <w:jc w:val="both"/>
        <w:rPr>
          <w:rFonts w:ascii="Times New Roman" w:hAnsi="Times New Roman" w:cs="Times New Roman"/>
          <w:noProof/>
          <w:kern w:val="0"/>
          <w:sz w:val="24"/>
        </w:rPr>
      </w:pPr>
      <w:r w:rsidRPr="00BF1A49">
        <w:rPr>
          <w:rFonts w:ascii="Times New Roman" w:hAnsi="Times New Roman" w:cs="Times New Roman"/>
          <w:noProof/>
          <w:kern w:val="0"/>
          <w:sz w:val="24"/>
        </w:rPr>
        <w:t xml:space="preserve">Matos, T. K. B., Guedes, J. A. C., Alves Filho, E. G., Luz, L. R., Lopes, G. S., Nascimento, R. F. do, Sousa, J. A. de, Canuto, K. M., Brito, E. S. de, &amp; Dias-Pini, N. S. (2021). Integrated UPLC-HRMS, chemometric tools, and metabolomic analysis of forage palm (Opuntia spp. and Nopalea spp.) to define biomarkers associated with non-susceptibility to carmine cochineal (Dactylopius opuntiae). </w:t>
      </w:r>
      <w:r w:rsidRPr="00BF1A49">
        <w:rPr>
          <w:rFonts w:ascii="Times New Roman" w:hAnsi="Times New Roman" w:cs="Times New Roman"/>
          <w:i/>
          <w:iCs/>
          <w:noProof/>
          <w:kern w:val="0"/>
          <w:sz w:val="24"/>
        </w:rPr>
        <w:t>Journal of the Brazilian Chemical Society</w:t>
      </w:r>
      <w:r w:rsidRPr="00BF1A49">
        <w:rPr>
          <w:rFonts w:ascii="Times New Roman" w:hAnsi="Times New Roman" w:cs="Times New Roman"/>
          <w:noProof/>
          <w:kern w:val="0"/>
          <w:sz w:val="24"/>
        </w:rPr>
        <w:t xml:space="preserve">, </w:t>
      </w:r>
      <w:r w:rsidRPr="00BF1A49">
        <w:rPr>
          <w:rFonts w:ascii="Times New Roman" w:hAnsi="Times New Roman" w:cs="Times New Roman"/>
          <w:i/>
          <w:iCs/>
          <w:noProof/>
          <w:kern w:val="0"/>
          <w:sz w:val="24"/>
        </w:rPr>
        <w:t>32</w:t>
      </w:r>
      <w:r w:rsidRPr="00BF1A49">
        <w:rPr>
          <w:rFonts w:ascii="Times New Roman" w:hAnsi="Times New Roman" w:cs="Times New Roman"/>
          <w:noProof/>
          <w:kern w:val="0"/>
          <w:sz w:val="24"/>
        </w:rPr>
        <w:t>(8), 1617–1627.</w:t>
      </w:r>
      <w:r w:rsidR="009A7183">
        <w:rPr>
          <w:rFonts w:ascii="Times New Roman" w:hAnsi="Times New Roman" w:cs="Times New Roman"/>
          <w:noProof/>
          <w:kern w:val="0"/>
          <w:sz w:val="24"/>
        </w:rPr>
        <w:t xml:space="preserve"> </w:t>
      </w:r>
      <w:r w:rsidR="009A7183" w:rsidRPr="009A7183">
        <w:rPr>
          <w:rFonts w:ascii="Times New Roman" w:hAnsi="Times New Roman" w:cs="Times New Roman"/>
          <w:noProof/>
          <w:kern w:val="0"/>
          <w:sz w:val="24"/>
        </w:rPr>
        <w:t>https://doi.org/10.21577/0103-5053.20210060</w:t>
      </w:r>
    </w:p>
    <w:p w14:paraId="4D7CC002" w14:textId="3667B144" w:rsidR="00BF1A49" w:rsidRPr="00BF1A49" w:rsidRDefault="00BF1A49" w:rsidP="00BF1A49">
      <w:pPr>
        <w:widowControl w:val="0"/>
        <w:autoSpaceDE w:val="0"/>
        <w:autoSpaceDN w:val="0"/>
        <w:adjustRightInd w:val="0"/>
        <w:spacing w:after="0" w:line="360" w:lineRule="auto"/>
        <w:ind w:left="480" w:hanging="480"/>
        <w:jc w:val="both"/>
        <w:rPr>
          <w:rFonts w:ascii="Times New Roman" w:hAnsi="Times New Roman" w:cs="Times New Roman"/>
          <w:noProof/>
          <w:kern w:val="0"/>
          <w:sz w:val="24"/>
        </w:rPr>
      </w:pPr>
      <w:r w:rsidRPr="00BF1A49">
        <w:rPr>
          <w:rFonts w:ascii="Times New Roman" w:hAnsi="Times New Roman" w:cs="Times New Roman"/>
          <w:noProof/>
          <w:kern w:val="0"/>
          <w:sz w:val="24"/>
        </w:rPr>
        <w:t xml:space="preserve">Matteoli, F., Schnetzer, J., &amp; Jacobs, H. (2020). Climate-smart agriculture (CSA): an integrated approach for climate change management in the agriculture sector. In </w:t>
      </w:r>
      <w:r w:rsidRPr="00BF1A49">
        <w:rPr>
          <w:rFonts w:ascii="Times New Roman" w:hAnsi="Times New Roman" w:cs="Times New Roman"/>
          <w:i/>
          <w:iCs/>
          <w:noProof/>
          <w:kern w:val="0"/>
          <w:sz w:val="24"/>
        </w:rPr>
        <w:t>Handbook of climate change management: research, leadership, transformation</w:t>
      </w:r>
      <w:r w:rsidRPr="00BF1A49">
        <w:rPr>
          <w:rFonts w:ascii="Times New Roman" w:hAnsi="Times New Roman" w:cs="Times New Roman"/>
          <w:noProof/>
          <w:kern w:val="0"/>
          <w:sz w:val="24"/>
        </w:rPr>
        <w:t xml:space="preserve"> (pp. 1–29). Springer.</w:t>
      </w:r>
      <w:r w:rsidR="009A7183">
        <w:rPr>
          <w:rFonts w:ascii="Times New Roman" w:hAnsi="Times New Roman" w:cs="Times New Roman"/>
          <w:noProof/>
          <w:kern w:val="0"/>
          <w:sz w:val="24"/>
        </w:rPr>
        <w:t xml:space="preserve"> </w:t>
      </w:r>
      <w:r w:rsidR="009A7183" w:rsidRPr="009A7183">
        <w:rPr>
          <w:rFonts w:ascii="Times New Roman" w:hAnsi="Times New Roman" w:cs="Times New Roman"/>
          <w:noProof/>
          <w:kern w:val="0"/>
          <w:sz w:val="24"/>
        </w:rPr>
        <w:t>https://doi.org/10.1007/978-3-030-22759-3_148-1</w:t>
      </w:r>
    </w:p>
    <w:p w14:paraId="45DEFDF1" w14:textId="0B7DA8EE" w:rsidR="00BF1A49" w:rsidRPr="00BF1A49" w:rsidRDefault="00BF1A49" w:rsidP="00BF1A49">
      <w:pPr>
        <w:widowControl w:val="0"/>
        <w:autoSpaceDE w:val="0"/>
        <w:autoSpaceDN w:val="0"/>
        <w:adjustRightInd w:val="0"/>
        <w:spacing w:after="0" w:line="360" w:lineRule="auto"/>
        <w:ind w:left="480" w:hanging="480"/>
        <w:jc w:val="both"/>
        <w:rPr>
          <w:rFonts w:ascii="Times New Roman" w:hAnsi="Times New Roman" w:cs="Times New Roman"/>
          <w:noProof/>
          <w:kern w:val="0"/>
          <w:sz w:val="24"/>
        </w:rPr>
      </w:pPr>
      <w:r w:rsidRPr="00BF1A49">
        <w:rPr>
          <w:rFonts w:ascii="Times New Roman" w:hAnsi="Times New Roman" w:cs="Times New Roman"/>
          <w:noProof/>
          <w:kern w:val="0"/>
          <w:sz w:val="24"/>
        </w:rPr>
        <w:t xml:space="preserve">McGregor, J. L., Nguyen, K. C., Kirono, D. G. C., &amp; Katzfey, J. J. (2016). High-resolution climate projections for the islands of Lombok and Sumbawa, Nusa Tenggara Barat Province, Indonesia: Challenges and implications. </w:t>
      </w:r>
      <w:r w:rsidRPr="00BF1A49">
        <w:rPr>
          <w:rFonts w:ascii="Times New Roman" w:hAnsi="Times New Roman" w:cs="Times New Roman"/>
          <w:i/>
          <w:iCs/>
          <w:noProof/>
          <w:kern w:val="0"/>
          <w:sz w:val="24"/>
        </w:rPr>
        <w:t>Climate Risk Management</w:t>
      </w:r>
      <w:r w:rsidRPr="00BF1A49">
        <w:rPr>
          <w:rFonts w:ascii="Times New Roman" w:hAnsi="Times New Roman" w:cs="Times New Roman"/>
          <w:noProof/>
          <w:kern w:val="0"/>
          <w:sz w:val="24"/>
        </w:rPr>
        <w:t xml:space="preserve">, </w:t>
      </w:r>
      <w:r w:rsidRPr="00BF1A49">
        <w:rPr>
          <w:rFonts w:ascii="Times New Roman" w:hAnsi="Times New Roman" w:cs="Times New Roman"/>
          <w:i/>
          <w:iCs/>
          <w:noProof/>
          <w:kern w:val="0"/>
          <w:sz w:val="24"/>
        </w:rPr>
        <w:t>12</w:t>
      </w:r>
      <w:r w:rsidRPr="00BF1A49">
        <w:rPr>
          <w:rFonts w:ascii="Times New Roman" w:hAnsi="Times New Roman" w:cs="Times New Roman"/>
          <w:noProof/>
          <w:kern w:val="0"/>
          <w:sz w:val="24"/>
        </w:rPr>
        <w:t>, 32–44.</w:t>
      </w:r>
      <w:r w:rsidR="009A7183">
        <w:rPr>
          <w:rFonts w:ascii="Times New Roman" w:hAnsi="Times New Roman" w:cs="Times New Roman"/>
          <w:noProof/>
          <w:kern w:val="0"/>
          <w:sz w:val="24"/>
        </w:rPr>
        <w:t xml:space="preserve"> </w:t>
      </w:r>
      <w:r w:rsidR="009A7183" w:rsidRPr="009A7183">
        <w:rPr>
          <w:rFonts w:ascii="Times New Roman" w:hAnsi="Times New Roman" w:cs="Times New Roman"/>
          <w:noProof/>
          <w:kern w:val="0"/>
          <w:sz w:val="24"/>
        </w:rPr>
        <w:t>https://doi.org/10.1016/j.crm.2015.10.001</w:t>
      </w:r>
    </w:p>
    <w:p w14:paraId="16C0F200" w14:textId="45BBB60F" w:rsidR="00BF1A49" w:rsidRPr="00BF1A49" w:rsidRDefault="00BF1A49" w:rsidP="00BF1A49">
      <w:pPr>
        <w:widowControl w:val="0"/>
        <w:autoSpaceDE w:val="0"/>
        <w:autoSpaceDN w:val="0"/>
        <w:adjustRightInd w:val="0"/>
        <w:spacing w:after="0" w:line="360" w:lineRule="auto"/>
        <w:ind w:left="480" w:hanging="480"/>
        <w:jc w:val="both"/>
        <w:rPr>
          <w:rFonts w:ascii="Times New Roman" w:hAnsi="Times New Roman" w:cs="Times New Roman"/>
          <w:noProof/>
          <w:kern w:val="0"/>
          <w:sz w:val="24"/>
        </w:rPr>
      </w:pPr>
      <w:r w:rsidRPr="00BF1A49">
        <w:rPr>
          <w:rFonts w:ascii="Times New Roman" w:hAnsi="Times New Roman" w:cs="Times New Roman"/>
          <w:noProof/>
          <w:kern w:val="0"/>
          <w:sz w:val="24"/>
        </w:rPr>
        <w:t xml:space="preserve">Montecchiarini, M. L., Silva-Sanzana, C., Valderramo, L., Alemano, S., Gollán, A., Rivadeneira, M. F., Bello, F., Vázquez, D., Blanco-Herrera, F., &amp; Podesta, F. E. (2021). Biochemical differences in the skin of two blueberries (Vaccinium corymbosum) varieties with contrasting firmness: Implication of ions, metabolites and cell wall related proteins in two developmental stages. </w:t>
      </w:r>
      <w:r w:rsidRPr="00BF1A49">
        <w:rPr>
          <w:rFonts w:ascii="Times New Roman" w:hAnsi="Times New Roman" w:cs="Times New Roman"/>
          <w:i/>
          <w:iCs/>
          <w:noProof/>
          <w:kern w:val="0"/>
          <w:sz w:val="24"/>
        </w:rPr>
        <w:t>Plant Physiology and Biochemistry</w:t>
      </w:r>
      <w:r w:rsidRPr="00BF1A49">
        <w:rPr>
          <w:rFonts w:ascii="Times New Roman" w:hAnsi="Times New Roman" w:cs="Times New Roman"/>
          <w:noProof/>
          <w:kern w:val="0"/>
          <w:sz w:val="24"/>
        </w:rPr>
        <w:t xml:space="preserve">, </w:t>
      </w:r>
      <w:r w:rsidRPr="00BF1A49">
        <w:rPr>
          <w:rFonts w:ascii="Times New Roman" w:hAnsi="Times New Roman" w:cs="Times New Roman"/>
          <w:i/>
          <w:iCs/>
          <w:noProof/>
          <w:kern w:val="0"/>
          <w:sz w:val="24"/>
        </w:rPr>
        <w:t>162</w:t>
      </w:r>
      <w:r w:rsidRPr="00BF1A49">
        <w:rPr>
          <w:rFonts w:ascii="Times New Roman" w:hAnsi="Times New Roman" w:cs="Times New Roman"/>
          <w:noProof/>
          <w:kern w:val="0"/>
          <w:sz w:val="24"/>
        </w:rPr>
        <w:t>, 483–495.</w:t>
      </w:r>
      <w:r w:rsidR="009A7183">
        <w:rPr>
          <w:rFonts w:ascii="Times New Roman" w:hAnsi="Times New Roman" w:cs="Times New Roman"/>
          <w:noProof/>
          <w:kern w:val="0"/>
          <w:sz w:val="24"/>
        </w:rPr>
        <w:t xml:space="preserve"> </w:t>
      </w:r>
      <w:r w:rsidR="009A7183" w:rsidRPr="009A7183">
        <w:rPr>
          <w:rFonts w:ascii="Times New Roman" w:hAnsi="Times New Roman" w:cs="Times New Roman"/>
          <w:noProof/>
          <w:kern w:val="0"/>
          <w:sz w:val="24"/>
        </w:rPr>
        <w:t>https://doi.org/10.1016/j.plaphy.2021.03.016</w:t>
      </w:r>
    </w:p>
    <w:p w14:paraId="0310AF9D" w14:textId="73FEC53F" w:rsidR="00BF1A49" w:rsidRPr="00BF1A49" w:rsidRDefault="00BF1A49" w:rsidP="00BF1A49">
      <w:pPr>
        <w:widowControl w:val="0"/>
        <w:autoSpaceDE w:val="0"/>
        <w:autoSpaceDN w:val="0"/>
        <w:adjustRightInd w:val="0"/>
        <w:spacing w:after="0" w:line="360" w:lineRule="auto"/>
        <w:ind w:left="480" w:hanging="480"/>
        <w:jc w:val="both"/>
        <w:rPr>
          <w:rFonts w:ascii="Times New Roman" w:hAnsi="Times New Roman" w:cs="Times New Roman"/>
          <w:noProof/>
          <w:kern w:val="0"/>
          <w:sz w:val="24"/>
        </w:rPr>
      </w:pPr>
      <w:r w:rsidRPr="00BF1A49">
        <w:rPr>
          <w:rFonts w:ascii="Times New Roman" w:hAnsi="Times New Roman" w:cs="Times New Roman"/>
          <w:noProof/>
          <w:kern w:val="0"/>
          <w:sz w:val="24"/>
        </w:rPr>
        <w:t xml:space="preserve">Ouda, S., &amp; Zohry, A. E.-H. (2022). </w:t>
      </w:r>
      <w:r w:rsidRPr="00BF1A49">
        <w:rPr>
          <w:rFonts w:ascii="Times New Roman" w:hAnsi="Times New Roman" w:cs="Times New Roman"/>
          <w:i/>
          <w:iCs/>
          <w:noProof/>
          <w:kern w:val="0"/>
          <w:sz w:val="24"/>
        </w:rPr>
        <w:t>Climate-smart agriculture</w:t>
      </w:r>
      <w:r w:rsidRPr="00BF1A49">
        <w:rPr>
          <w:rFonts w:ascii="Times New Roman" w:hAnsi="Times New Roman" w:cs="Times New Roman"/>
          <w:noProof/>
          <w:kern w:val="0"/>
          <w:sz w:val="24"/>
        </w:rPr>
        <w:t>. Springer.</w:t>
      </w:r>
      <w:r>
        <w:rPr>
          <w:rFonts w:ascii="Times New Roman" w:hAnsi="Times New Roman" w:cs="Times New Roman"/>
          <w:noProof/>
          <w:kern w:val="0"/>
          <w:sz w:val="24"/>
        </w:rPr>
        <w:t xml:space="preserve"> </w:t>
      </w:r>
      <w:r w:rsidRPr="00BF1A49">
        <w:rPr>
          <w:rFonts w:ascii="Times New Roman" w:hAnsi="Times New Roman" w:cs="Times New Roman"/>
          <w:noProof/>
          <w:kern w:val="0"/>
          <w:sz w:val="24"/>
        </w:rPr>
        <w:t>https://doi.org/10.1007/978-3-030-93111-7</w:t>
      </w:r>
    </w:p>
    <w:p w14:paraId="322DC3B2" w14:textId="44962F5C" w:rsidR="00BF1A49" w:rsidRPr="00BF1A49" w:rsidRDefault="00BF1A49" w:rsidP="00BF1A49">
      <w:pPr>
        <w:widowControl w:val="0"/>
        <w:autoSpaceDE w:val="0"/>
        <w:autoSpaceDN w:val="0"/>
        <w:adjustRightInd w:val="0"/>
        <w:spacing w:after="0" w:line="360" w:lineRule="auto"/>
        <w:ind w:left="480" w:hanging="480"/>
        <w:jc w:val="both"/>
        <w:rPr>
          <w:rFonts w:ascii="Times New Roman" w:hAnsi="Times New Roman" w:cs="Times New Roman"/>
          <w:noProof/>
          <w:kern w:val="0"/>
          <w:sz w:val="24"/>
        </w:rPr>
      </w:pPr>
      <w:r w:rsidRPr="00BF1A49">
        <w:rPr>
          <w:rFonts w:ascii="Times New Roman" w:hAnsi="Times New Roman" w:cs="Times New Roman"/>
          <w:noProof/>
          <w:kern w:val="0"/>
          <w:sz w:val="24"/>
        </w:rPr>
        <w:lastRenderedPageBreak/>
        <w:t xml:space="preserve">Parida, A. K., Panda, A., &amp; Rangani, J. (2018). Metabolomics-guided elucidation of abiotic stress tolerance mechanisms in plants. In </w:t>
      </w:r>
      <w:r w:rsidRPr="00BF1A49">
        <w:rPr>
          <w:rFonts w:ascii="Times New Roman" w:hAnsi="Times New Roman" w:cs="Times New Roman"/>
          <w:i/>
          <w:iCs/>
          <w:noProof/>
          <w:kern w:val="0"/>
          <w:sz w:val="24"/>
        </w:rPr>
        <w:t>Plant metabolites and regulation under environmental stress</w:t>
      </w:r>
      <w:r w:rsidRPr="00BF1A49">
        <w:rPr>
          <w:rFonts w:ascii="Times New Roman" w:hAnsi="Times New Roman" w:cs="Times New Roman"/>
          <w:noProof/>
          <w:kern w:val="0"/>
          <w:sz w:val="24"/>
        </w:rPr>
        <w:t xml:space="preserve"> (pp. 89–131). Elsevier.</w:t>
      </w:r>
      <w:r>
        <w:rPr>
          <w:rFonts w:ascii="Times New Roman" w:hAnsi="Times New Roman" w:cs="Times New Roman"/>
          <w:noProof/>
          <w:kern w:val="0"/>
          <w:sz w:val="24"/>
        </w:rPr>
        <w:t xml:space="preserve"> </w:t>
      </w:r>
      <w:r w:rsidRPr="00BF1A49">
        <w:rPr>
          <w:rFonts w:ascii="Times New Roman" w:hAnsi="Times New Roman" w:cs="Times New Roman"/>
          <w:noProof/>
          <w:kern w:val="0"/>
          <w:sz w:val="24"/>
        </w:rPr>
        <w:t>https://doi.org/10.1016/B978-0-12-812689-9.00005-4</w:t>
      </w:r>
    </w:p>
    <w:p w14:paraId="20B95D35" w14:textId="38E9A7DA" w:rsidR="00BF1A49" w:rsidRPr="00BF1A49" w:rsidRDefault="00BF1A49" w:rsidP="00BF1A49">
      <w:pPr>
        <w:widowControl w:val="0"/>
        <w:autoSpaceDE w:val="0"/>
        <w:autoSpaceDN w:val="0"/>
        <w:adjustRightInd w:val="0"/>
        <w:spacing w:after="0" w:line="360" w:lineRule="auto"/>
        <w:ind w:left="480" w:hanging="480"/>
        <w:jc w:val="both"/>
        <w:rPr>
          <w:rFonts w:ascii="Times New Roman" w:hAnsi="Times New Roman" w:cs="Times New Roman"/>
          <w:noProof/>
          <w:kern w:val="0"/>
          <w:sz w:val="24"/>
        </w:rPr>
      </w:pPr>
      <w:r w:rsidRPr="00BF1A49">
        <w:rPr>
          <w:rFonts w:ascii="Times New Roman" w:hAnsi="Times New Roman" w:cs="Times New Roman"/>
          <w:noProof/>
          <w:kern w:val="0"/>
          <w:sz w:val="24"/>
        </w:rPr>
        <w:t xml:space="preserve">Poltash, M. L., McCabe, J. W., Shirzadeh, M., Laganowsky, A., Clowers, B. H., &amp; Russell, D. H. (2018). Fourier transform-ion mobility-orbitrap mass spectrometer: a next-generation instrument for native mass spectrometry. </w:t>
      </w:r>
      <w:r w:rsidRPr="00BF1A49">
        <w:rPr>
          <w:rFonts w:ascii="Times New Roman" w:hAnsi="Times New Roman" w:cs="Times New Roman"/>
          <w:i/>
          <w:iCs/>
          <w:noProof/>
          <w:kern w:val="0"/>
          <w:sz w:val="24"/>
        </w:rPr>
        <w:t>Analytical Chemistry</w:t>
      </w:r>
      <w:r w:rsidRPr="00BF1A49">
        <w:rPr>
          <w:rFonts w:ascii="Times New Roman" w:hAnsi="Times New Roman" w:cs="Times New Roman"/>
          <w:noProof/>
          <w:kern w:val="0"/>
          <w:sz w:val="24"/>
        </w:rPr>
        <w:t xml:space="preserve">, </w:t>
      </w:r>
      <w:r w:rsidRPr="00BF1A49">
        <w:rPr>
          <w:rFonts w:ascii="Times New Roman" w:hAnsi="Times New Roman" w:cs="Times New Roman"/>
          <w:i/>
          <w:iCs/>
          <w:noProof/>
          <w:kern w:val="0"/>
          <w:sz w:val="24"/>
        </w:rPr>
        <w:t>90</w:t>
      </w:r>
      <w:r w:rsidRPr="00BF1A49">
        <w:rPr>
          <w:rFonts w:ascii="Times New Roman" w:hAnsi="Times New Roman" w:cs="Times New Roman"/>
          <w:noProof/>
          <w:kern w:val="0"/>
          <w:sz w:val="24"/>
        </w:rPr>
        <w:t>(17), 10472–10478.</w:t>
      </w:r>
      <w:r>
        <w:rPr>
          <w:rFonts w:ascii="Times New Roman" w:hAnsi="Times New Roman" w:cs="Times New Roman"/>
          <w:noProof/>
          <w:kern w:val="0"/>
          <w:sz w:val="24"/>
        </w:rPr>
        <w:t xml:space="preserve"> </w:t>
      </w:r>
      <w:r w:rsidRPr="00BF1A49">
        <w:rPr>
          <w:rFonts w:ascii="Times New Roman" w:hAnsi="Times New Roman" w:cs="Times New Roman"/>
          <w:noProof/>
          <w:kern w:val="0"/>
          <w:sz w:val="24"/>
        </w:rPr>
        <w:t>https://pubs.acs.org/doi/abs/10.1021/acs.analchem.8b02463</w:t>
      </w:r>
    </w:p>
    <w:p w14:paraId="73FF04E4" w14:textId="4C05AD42" w:rsidR="00BF1A49" w:rsidRDefault="00BF1A49" w:rsidP="00BF1A49">
      <w:pPr>
        <w:widowControl w:val="0"/>
        <w:autoSpaceDE w:val="0"/>
        <w:autoSpaceDN w:val="0"/>
        <w:adjustRightInd w:val="0"/>
        <w:spacing w:after="0" w:line="360" w:lineRule="auto"/>
        <w:ind w:left="480" w:hanging="480"/>
        <w:jc w:val="both"/>
        <w:rPr>
          <w:rFonts w:ascii="Times New Roman" w:hAnsi="Times New Roman" w:cs="Times New Roman"/>
          <w:noProof/>
          <w:kern w:val="0"/>
          <w:sz w:val="24"/>
        </w:rPr>
      </w:pPr>
      <w:r w:rsidRPr="00BF1A49">
        <w:rPr>
          <w:rFonts w:ascii="Times New Roman" w:hAnsi="Times New Roman" w:cs="Times New Roman"/>
          <w:noProof/>
          <w:kern w:val="0"/>
          <w:sz w:val="24"/>
        </w:rPr>
        <w:t xml:space="preserve">Tinte, M. M., Chele, K. H., van Der Hooft, J. J. J., &amp; Tugizimana, F. (2021). Metabolomics-guided elucidation of plant abiotic stress responses in the 4IR era: An Overview. </w:t>
      </w:r>
      <w:r w:rsidRPr="00BF1A49">
        <w:rPr>
          <w:rFonts w:ascii="Times New Roman" w:hAnsi="Times New Roman" w:cs="Times New Roman"/>
          <w:i/>
          <w:iCs/>
          <w:noProof/>
          <w:kern w:val="0"/>
          <w:sz w:val="24"/>
        </w:rPr>
        <w:t>Metabolites</w:t>
      </w:r>
      <w:r w:rsidRPr="00BF1A49">
        <w:rPr>
          <w:rFonts w:ascii="Times New Roman" w:hAnsi="Times New Roman" w:cs="Times New Roman"/>
          <w:noProof/>
          <w:kern w:val="0"/>
          <w:sz w:val="24"/>
        </w:rPr>
        <w:t xml:space="preserve">, </w:t>
      </w:r>
      <w:r w:rsidRPr="00BF1A49">
        <w:rPr>
          <w:rFonts w:ascii="Times New Roman" w:hAnsi="Times New Roman" w:cs="Times New Roman"/>
          <w:i/>
          <w:iCs/>
          <w:noProof/>
          <w:kern w:val="0"/>
          <w:sz w:val="24"/>
        </w:rPr>
        <w:t>11</w:t>
      </w:r>
      <w:r w:rsidRPr="00BF1A49">
        <w:rPr>
          <w:rFonts w:ascii="Times New Roman" w:hAnsi="Times New Roman" w:cs="Times New Roman"/>
          <w:noProof/>
          <w:kern w:val="0"/>
          <w:sz w:val="24"/>
        </w:rPr>
        <w:t>(7), 445.</w:t>
      </w:r>
      <w:r>
        <w:rPr>
          <w:rFonts w:ascii="Times New Roman" w:hAnsi="Times New Roman" w:cs="Times New Roman"/>
          <w:noProof/>
          <w:kern w:val="0"/>
          <w:sz w:val="24"/>
        </w:rPr>
        <w:t xml:space="preserve"> </w:t>
      </w:r>
      <w:r w:rsidRPr="00BF1A49">
        <w:rPr>
          <w:rFonts w:ascii="Times New Roman" w:hAnsi="Times New Roman" w:cs="Times New Roman"/>
          <w:noProof/>
          <w:kern w:val="0"/>
          <w:sz w:val="24"/>
        </w:rPr>
        <w:t>https://doi.org/10.3390/metabo11070445</w:t>
      </w:r>
    </w:p>
    <w:p w14:paraId="110DD955" w14:textId="77777777" w:rsidR="009A7183" w:rsidRPr="00BF1A49" w:rsidRDefault="009A7183" w:rsidP="009A7183">
      <w:pPr>
        <w:widowControl w:val="0"/>
        <w:autoSpaceDE w:val="0"/>
        <w:autoSpaceDN w:val="0"/>
        <w:adjustRightInd w:val="0"/>
        <w:spacing w:after="0" w:line="360" w:lineRule="auto"/>
        <w:ind w:left="480" w:hanging="480"/>
        <w:jc w:val="both"/>
        <w:rPr>
          <w:rFonts w:ascii="Times New Roman" w:hAnsi="Times New Roman" w:cs="Times New Roman"/>
          <w:noProof/>
          <w:kern w:val="0"/>
          <w:sz w:val="24"/>
        </w:rPr>
      </w:pPr>
      <w:r w:rsidRPr="00BF1A49">
        <w:rPr>
          <w:rFonts w:ascii="Times New Roman" w:hAnsi="Times New Roman" w:cs="Times New Roman"/>
          <w:noProof/>
          <w:kern w:val="0"/>
          <w:sz w:val="24"/>
        </w:rPr>
        <w:t xml:space="preserve">Yasa, I. W., Salehudin, Saidah, H., Jayanegara, I. D. G., &amp; Sulistiyono, H. (2023). Analisis pola sebaran karakteristik iklim di Pulau Sumbawa. </w:t>
      </w:r>
      <w:r w:rsidRPr="00BF1A49">
        <w:rPr>
          <w:rFonts w:ascii="Times New Roman" w:hAnsi="Times New Roman" w:cs="Times New Roman"/>
          <w:i/>
          <w:iCs/>
          <w:noProof/>
          <w:kern w:val="0"/>
          <w:sz w:val="24"/>
        </w:rPr>
        <w:t>Jurnal Ganec Swara, 17</w:t>
      </w:r>
      <w:r w:rsidRPr="00BF1A49">
        <w:rPr>
          <w:rFonts w:ascii="Times New Roman" w:hAnsi="Times New Roman" w:cs="Times New Roman"/>
          <w:noProof/>
          <w:kern w:val="0"/>
          <w:sz w:val="24"/>
        </w:rPr>
        <w:t>(4), 1373–1381. https://doi.org/10.35327/gara.v17i4.619</w:t>
      </w:r>
    </w:p>
    <w:p w14:paraId="3A37C949" w14:textId="77777777" w:rsidR="009A7183" w:rsidRPr="00BF1A49" w:rsidRDefault="009A7183" w:rsidP="00BF1A49">
      <w:pPr>
        <w:widowControl w:val="0"/>
        <w:autoSpaceDE w:val="0"/>
        <w:autoSpaceDN w:val="0"/>
        <w:adjustRightInd w:val="0"/>
        <w:spacing w:after="0" w:line="360" w:lineRule="auto"/>
        <w:ind w:left="480" w:hanging="480"/>
        <w:jc w:val="both"/>
        <w:rPr>
          <w:rFonts w:ascii="Times New Roman" w:hAnsi="Times New Roman" w:cs="Times New Roman"/>
          <w:noProof/>
          <w:sz w:val="24"/>
        </w:rPr>
      </w:pPr>
    </w:p>
    <w:p w14:paraId="029FD72D" w14:textId="6D0BF461" w:rsidR="00BF1A49" w:rsidRDefault="00BF1A49" w:rsidP="00A1472E">
      <w:pPr>
        <w:widowControl w:val="0"/>
        <w:autoSpaceDE w:val="0"/>
        <w:autoSpaceDN w:val="0"/>
        <w:adjustRightInd w:val="0"/>
        <w:spacing w:after="0" w:line="360" w:lineRule="auto"/>
        <w:ind w:left="480" w:hanging="480"/>
        <w:jc w:val="both"/>
        <w:rPr>
          <w:rFonts w:ascii="Times New Roman" w:hAnsi="Times New Roman" w:cs="Times New Roman"/>
          <w:sz w:val="24"/>
          <w:szCs w:val="24"/>
        </w:rPr>
      </w:pPr>
      <w:r>
        <w:rPr>
          <w:rFonts w:ascii="Times New Roman" w:hAnsi="Times New Roman" w:cs="Times New Roman"/>
          <w:sz w:val="24"/>
          <w:szCs w:val="24"/>
        </w:rPr>
        <w:fldChar w:fldCharType="end"/>
      </w:r>
    </w:p>
    <w:p w14:paraId="28722EA7" w14:textId="2371851C" w:rsidR="00E97E0A" w:rsidRPr="00AC36E6" w:rsidRDefault="00E97E0A" w:rsidP="00AC36E6">
      <w:pPr>
        <w:widowControl w:val="0"/>
        <w:autoSpaceDE w:val="0"/>
        <w:autoSpaceDN w:val="0"/>
        <w:adjustRightInd w:val="0"/>
        <w:spacing w:after="0" w:line="360"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 </w:t>
      </w:r>
    </w:p>
    <w:sectPr w:rsidR="00E97E0A" w:rsidRPr="00AC36E6" w:rsidSect="00BD1346">
      <w:pgSz w:w="11906" w:h="16838"/>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D5729"/>
    <w:multiLevelType w:val="multilevel"/>
    <w:tmpl w:val="EE4A1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D16E3F"/>
    <w:multiLevelType w:val="multilevel"/>
    <w:tmpl w:val="92A07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2E165C"/>
    <w:multiLevelType w:val="multilevel"/>
    <w:tmpl w:val="D36A0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D62E90"/>
    <w:multiLevelType w:val="multilevel"/>
    <w:tmpl w:val="0DB8B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AB4458"/>
    <w:multiLevelType w:val="multilevel"/>
    <w:tmpl w:val="CF8EFC94"/>
    <w:lvl w:ilvl="0">
      <w:start w:val="1"/>
      <w:numFmt w:val="lowerLetter"/>
      <w:lvlText w:val="%1)"/>
      <w:lvlJc w:val="left"/>
      <w:pPr>
        <w:tabs>
          <w:tab w:val="num" w:pos="6570"/>
        </w:tabs>
        <w:ind w:left="6570" w:hanging="360"/>
      </w:pPr>
      <w:rPr>
        <w:rFonts w:hint="default"/>
        <w:sz w:val="24"/>
        <w:szCs w:val="24"/>
      </w:rPr>
    </w:lvl>
    <w:lvl w:ilvl="1" w:tentative="1">
      <w:start w:val="1"/>
      <w:numFmt w:val="bullet"/>
      <w:lvlText w:val="o"/>
      <w:lvlJc w:val="left"/>
      <w:pPr>
        <w:tabs>
          <w:tab w:val="num" w:pos="7290"/>
        </w:tabs>
        <w:ind w:left="7290" w:hanging="360"/>
      </w:pPr>
      <w:rPr>
        <w:rFonts w:ascii="Courier New" w:hAnsi="Courier New" w:hint="default"/>
        <w:sz w:val="20"/>
      </w:rPr>
    </w:lvl>
    <w:lvl w:ilvl="2" w:tentative="1">
      <w:start w:val="1"/>
      <w:numFmt w:val="bullet"/>
      <w:lvlText w:val=""/>
      <w:lvlJc w:val="left"/>
      <w:pPr>
        <w:tabs>
          <w:tab w:val="num" w:pos="8010"/>
        </w:tabs>
        <w:ind w:left="8010" w:hanging="360"/>
      </w:pPr>
      <w:rPr>
        <w:rFonts w:ascii="Wingdings" w:hAnsi="Wingdings" w:hint="default"/>
        <w:sz w:val="20"/>
      </w:rPr>
    </w:lvl>
    <w:lvl w:ilvl="3" w:tentative="1">
      <w:start w:val="1"/>
      <w:numFmt w:val="bullet"/>
      <w:lvlText w:val=""/>
      <w:lvlJc w:val="left"/>
      <w:pPr>
        <w:tabs>
          <w:tab w:val="num" w:pos="8730"/>
        </w:tabs>
        <w:ind w:left="8730" w:hanging="360"/>
      </w:pPr>
      <w:rPr>
        <w:rFonts w:ascii="Wingdings" w:hAnsi="Wingdings" w:hint="default"/>
        <w:sz w:val="20"/>
      </w:rPr>
    </w:lvl>
    <w:lvl w:ilvl="4" w:tentative="1">
      <w:start w:val="1"/>
      <w:numFmt w:val="bullet"/>
      <w:lvlText w:val=""/>
      <w:lvlJc w:val="left"/>
      <w:pPr>
        <w:tabs>
          <w:tab w:val="num" w:pos="9450"/>
        </w:tabs>
        <w:ind w:left="9450" w:hanging="360"/>
      </w:pPr>
      <w:rPr>
        <w:rFonts w:ascii="Wingdings" w:hAnsi="Wingdings" w:hint="default"/>
        <w:sz w:val="20"/>
      </w:rPr>
    </w:lvl>
    <w:lvl w:ilvl="5" w:tentative="1">
      <w:start w:val="1"/>
      <w:numFmt w:val="bullet"/>
      <w:lvlText w:val=""/>
      <w:lvlJc w:val="left"/>
      <w:pPr>
        <w:tabs>
          <w:tab w:val="num" w:pos="10170"/>
        </w:tabs>
        <w:ind w:left="10170" w:hanging="360"/>
      </w:pPr>
      <w:rPr>
        <w:rFonts w:ascii="Wingdings" w:hAnsi="Wingdings" w:hint="default"/>
        <w:sz w:val="20"/>
      </w:rPr>
    </w:lvl>
    <w:lvl w:ilvl="6" w:tentative="1">
      <w:start w:val="1"/>
      <w:numFmt w:val="bullet"/>
      <w:lvlText w:val=""/>
      <w:lvlJc w:val="left"/>
      <w:pPr>
        <w:tabs>
          <w:tab w:val="num" w:pos="10890"/>
        </w:tabs>
        <w:ind w:left="10890" w:hanging="360"/>
      </w:pPr>
      <w:rPr>
        <w:rFonts w:ascii="Wingdings" w:hAnsi="Wingdings" w:hint="default"/>
        <w:sz w:val="20"/>
      </w:rPr>
    </w:lvl>
    <w:lvl w:ilvl="7" w:tentative="1">
      <w:start w:val="1"/>
      <w:numFmt w:val="bullet"/>
      <w:lvlText w:val=""/>
      <w:lvlJc w:val="left"/>
      <w:pPr>
        <w:tabs>
          <w:tab w:val="num" w:pos="11610"/>
        </w:tabs>
        <w:ind w:left="11610" w:hanging="360"/>
      </w:pPr>
      <w:rPr>
        <w:rFonts w:ascii="Wingdings" w:hAnsi="Wingdings" w:hint="default"/>
        <w:sz w:val="20"/>
      </w:rPr>
    </w:lvl>
    <w:lvl w:ilvl="8" w:tentative="1">
      <w:start w:val="1"/>
      <w:numFmt w:val="bullet"/>
      <w:lvlText w:val=""/>
      <w:lvlJc w:val="left"/>
      <w:pPr>
        <w:tabs>
          <w:tab w:val="num" w:pos="12330"/>
        </w:tabs>
        <w:ind w:left="12330" w:hanging="360"/>
      </w:pPr>
      <w:rPr>
        <w:rFonts w:ascii="Wingdings" w:hAnsi="Wingdings" w:hint="default"/>
        <w:sz w:val="20"/>
      </w:rPr>
    </w:lvl>
  </w:abstractNum>
  <w:abstractNum w:abstractNumId="5" w15:restartNumberingAfterBreak="0">
    <w:nsid w:val="3E81171E"/>
    <w:multiLevelType w:val="multilevel"/>
    <w:tmpl w:val="176E3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0321B2"/>
    <w:multiLevelType w:val="multilevel"/>
    <w:tmpl w:val="AB349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C31686"/>
    <w:multiLevelType w:val="multilevel"/>
    <w:tmpl w:val="0D666AD0"/>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C56291"/>
    <w:multiLevelType w:val="multilevel"/>
    <w:tmpl w:val="1AFC9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A440D2"/>
    <w:multiLevelType w:val="multilevel"/>
    <w:tmpl w:val="D1AEB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7A1107"/>
    <w:multiLevelType w:val="multilevel"/>
    <w:tmpl w:val="CD7EC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0B9403F"/>
    <w:multiLevelType w:val="multilevel"/>
    <w:tmpl w:val="19D8E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616718"/>
    <w:multiLevelType w:val="multilevel"/>
    <w:tmpl w:val="9CEEF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775127B"/>
    <w:multiLevelType w:val="multilevel"/>
    <w:tmpl w:val="6B3EA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7456038">
    <w:abstractNumId w:val="11"/>
  </w:num>
  <w:num w:numId="2" w16cid:durableId="1883783554">
    <w:abstractNumId w:val="5"/>
  </w:num>
  <w:num w:numId="3" w16cid:durableId="1061755391">
    <w:abstractNumId w:val="7"/>
  </w:num>
  <w:num w:numId="4" w16cid:durableId="373386677">
    <w:abstractNumId w:val="4"/>
  </w:num>
  <w:num w:numId="5" w16cid:durableId="1651903600">
    <w:abstractNumId w:val="3"/>
  </w:num>
  <w:num w:numId="6" w16cid:durableId="199442424">
    <w:abstractNumId w:val="12"/>
  </w:num>
  <w:num w:numId="7" w16cid:durableId="1525168814">
    <w:abstractNumId w:val="6"/>
  </w:num>
  <w:num w:numId="8" w16cid:durableId="151482788">
    <w:abstractNumId w:val="13"/>
  </w:num>
  <w:num w:numId="9" w16cid:durableId="1376352990">
    <w:abstractNumId w:val="9"/>
  </w:num>
  <w:num w:numId="10" w16cid:durableId="637958856">
    <w:abstractNumId w:val="10"/>
  </w:num>
  <w:num w:numId="11" w16cid:durableId="1183590123">
    <w:abstractNumId w:val="0"/>
  </w:num>
  <w:num w:numId="12" w16cid:durableId="1761682699">
    <w:abstractNumId w:val="1"/>
  </w:num>
  <w:num w:numId="13" w16cid:durableId="821778037">
    <w:abstractNumId w:val="2"/>
  </w:num>
  <w:num w:numId="14" w16cid:durableId="19919845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B7A"/>
    <w:rsid w:val="00044D51"/>
    <w:rsid w:val="00062B3D"/>
    <w:rsid w:val="000725CB"/>
    <w:rsid w:val="000735F6"/>
    <w:rsid w:val="0007735C"/>
    <w:rsid w:val="00077E30"/>
    <w:rsid w:val="000D6FB7"/>
    <w:rsid w:val="000E7377"/>
    <w:rsid w:val="000F4EBC"/>
    <w:rsid w:val="000F5028"/>
    <w:rsid w:val="0011155B"/>
    <w:rsid w:val="00126229"/>
    <w:rsid w:val="001265B9"/>
    <w:rsid w:val="0013511C"/>
    <w:rsid w:val="00146F89"/>
    <w:rsid w:val="00154129"/>
    <w:rsid w:val="001542EA"/>
    <w:rsid w:val="00181D0C"/>
    <w:rsid w:val="00191E94"/>
    <w:rsid w:val="001958C2"/>
    <w:rsid w:val="001A1DCB"/>
    <w:rsid w:val="001A51DE"/>
    <w:rsid w:val="001D39BA"/>
    <w:rsid w:val="001E069F"/>
    <w:rsid w:val="001E57AF"/>
    <w:rsid w:val="001F0E6A"/>
    <w:rsid w:val="001F6E40"/>
    <w:rsid w:val="001F7258"/>
    <w:rsid w:val="00202732"/>
    <w:rsid w:val="00232E9B"/>
    <w:rsid w:val="00234954"/>
    <w:rsid w:val="00241E95"/>
    <w:rsid w:val="0024382F"/>
    <w:rsid w:val="002520ED"/>
    <w:rsid w:val="00253CA6"/>
    <w:rsid w:val="002860CE"/>
    <w:rsid w:val="00290E9C"/>
    <w:rsid w:val="002A2DFB"/>
    <w:rsid w:val="002D20C9"/>
    <w:rsid w:val="003142B0"/>
    <w:rsid w:val="00314CFF"/>
    <w:rsid w:val="00316A43"/>
    <w:rsid w:val="00324936"/>
    <w:rsid w:val="00330B4A"/>
    <w:rsid w:val="0033183A"/>
    <w:rsid w:val="00335D16"/>
    <w:rsid w:val="00336A36"/>
    <w:rsid w:val="003374CF"/>
    <w:rsid w:val="00344FEF"/>
    <w:rsid w:val="00377915"/>
    <w:rsid w:val="0038518C"/>
    <w:rsid w:val="0038771D"/>
    <w:rsid w:val="0039247B"/>
    <w:rsid w:val="003A1E85"/>
    <w:rsid w:val="003B7D32"/>
    <w:rsid w:val="003C73F8"/>
    <w:rsid w:val="003D4A6B"/>
    <w:rsid w:val="003E4E32"/>
    <w:rsid w:val="0042520D"/>
    <w:rsid w:val="00425E92"/>
    <w:rsid w:val="00435414"/>
    <w:rsid w:val="00443B60"/>
    <w:rsid w:val="00485F3C"/>
    <w:rsid w:val="004A70D0"/>
    <w:rsid w:val="004E04D1"/>
    <w:rsid w:val="005034BF"/>
    <w:rsid w:val="005159BD"/>
    <w:rsid w:val="00520A6F"/>
    <w:rsid w:val="00521E5A"/>
    <w:rsid w:val="00551ABC"/>
    <w:rsid w:val="00554C9D"/>
    <w:rsid w:val="00555826"/>
    <w:rsid w:val="005A0939"/>
    <w:rsid w:val="005D3B87"/>
    <w:rsid w:val="00617484"/>
    <w:rsid w:val="0063463B"/>
    <w:rsid w:val="00657E38"/>
    <w:rsid w:val="00681D4B"/>
    <w:rsid w:val="006A4788"/>
    <w:rsid w:val="006A6F4E"/>
    <w:rsid w:val="006B05B0"/>
    <w:rsid w:val="006C3AF3"/>
    <w:rsid w:val="006D0B4C"/>
    <w:rsid w:val="006F7B55"/>
    <w:rsid w:val="006F7D4B"/>
    <w:rsid w:val="00711726"/>
    <w:rsid w:val="007143C3"/>
    <w:rsid w:val="00725CC3"/>
    <w:rsid w:val="00726DDB"/>
    <w:rsid w:val="0072726B"/>
    <w:rsid w:val="00780816"/>
    <w:rsid w:val="00781D62"/>
    <w:rsid w:val="007822C3"/>
    <w:rsid w:val="007848D9"/>
    <w:rsid w:val="00785D32"/>
    <w:rsid w:val="0079560B"/>
    <w:rsid w:val="007A0E2B"/>
    <w:rsid w:val="007A2A50"/>
    <w:rsid w:val="007C0098"/>
    <w:rsid w:val="007C5A58"/>
    <w:rsid w:val="007F1930"/>
    <w:rsid w:val="0082104A"/>
    <w:rsid w:val="0083442D"/>
    <w:rsid w:val="00853982"/>
    <w:rsid w:val="008A0C2F"/>
    <w:rsid w:val="008A387E"/>
    <w:rsid w:val="008C0A87"/>
    <w:rsid w:val="008C14FF"/>
    <w:rsid w:val="008E7CC9"/>
    <w:rsid w:val="009401CC"/>
    <w:rsid w:val="00963C3E"/>
    <w:rsid w:val="00972AB5"/>
    <w:rsid w:val="00981098"/>
    <w:rsid w:val="009A2F73"/>
    <w:rsid w:val="009A53E3"/>
    <w:rsid w:val="009A5A6C"/>
    <w:rsid w:val="009A7183"/>
    <w:rsid w:val="009A7247"/>
    <w:rsid w:val="009B040C"/>
    <w:rsid w:val="009C3AA5"/>
    <w:rsid w:val="009C5A6B"/>
    <w:rsid w:val="009F3FAA"/>
    <w:rsid w:val="00A1472E"/>
    <w:rsid w:val="00A26D68"/>
    <w:rsid w:val="00A35557"/>
    <w:rsid w:val="00A52168"/>
    <w:rsid w:val="00A54251"/>
    <w:rsid w:val="00A81D08"/>
    <w:rsid w:val="00A9228D"/>
    <w:rsid w:val="00A95CFA"/>
    <w:rsid w:val="00AA7B90"/>
    <w:rsid w:val="00AB19D7"/>
    <w:rsid w:val="00AC150F"/>
    <w:rsid w:val="00AC36E6"/>
    <w:rsid w:val="00AD6371"/>
    <w:rsid w:val="00AF52DC"/>
    <w:rsid w:val="00B04A7C"/>
    <w:rsid w:val="00B25256"/>
    <w:rsid w:val="00B26047"/>
    <w:rsid w:val="00B370DE"/>
    <w:rsid w:val="00B42572"/>
    <w:rsid w:val="00B76E4F"/>
    <w:rsid w:val="00B979E9"/>
    <w:rsid w:val="00BA0A5D"/>
    <w:rsid w:val="00BB174A"/>
    <w:rsid w:val="00BB398F"/>
    <w:rsid w:val="00BD1346"/>
    <w:rsid w:val="00BD7F47"/>
    <w:rsid w:val="00BF0B32"/>
    <w:rsid w:val="00BF1A49"/>
    <w:rsid w:val="00C00083"/>
    <w:rsid w:val="00C0400E"/>
    <w:rsid w:val="00C21F07"/>
    <w:rsid w:val="00C274C4"/>
    <w:rsid w:val="00C347E2"/>
    <w:rsid w:val="00C3764B"/>
    <w:rsid w:val="00C46929"/>
    <w:rsid w:val="00C53E9A"/>
    <w:rsid w:val="00C61B85"/>
    <w:rsid w:val="00C62689"/>
    <w:rsid w:val="00C847D9"/>
    <w:rsid w:val="00C8752C"/>
    <w:rsid w:val="00CE268A"/>
    <w:rsid w:val="00CF38F6"/>
    <w:rsid w:val="00D07976"/>
    <w:rsid w:val="00D35F8B"/>
    <w:rsid w:val="00D6429B"/>
    <w:rsid w:val="00D76E5E"/>
    <w:rsid w:val="00D94407"/>
    <w:rsid w:val="00D9588C"/>
    <w:rsid w:val="00D97741"/>
    <w:rsid w:val="00DB5E30"/>
    <w:rsid w:val="00DB71E3"/>
    <w:rsid w:val="00E45D04"/>
    <w:rsid w:val="00E67A98"/>
    <w:rsid w:val="00E72F7A"/>
    <w:rsid w:val="00E97E0A"/>
    <w:rsid w:val="00EA7AC9"/>
    <w:rsid w:val="00ED7B4A"/>
    <w:rsid w:val="00EE5883"/>
    <w:rsid w:val="00EF53FF"/>
    <w:rsid w:val="00F25AE3"/>
    <w:rsid w:val="00F25D38"/>
    <w:rsid w:val="00F33E1A"/>
    <w:rsid w:val="00F63938"/>
    <w:rsid w:val="00F72B7A"/>
    <w:rsid w:val="00F758B8"/>
    <w:rsid w:val="00F8794E"/>
    <w:rsid w:val="00FA1C5C"/>
    <w:rsid w:val="00FA1E9B"/>
    <w:rsid w:val="00FF016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BE1D9"/>
  <w15:chartTrackingRefBased/>
  <w15:docId w15:val="{7464B8C4-8D39-476F-BBEC-328030168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2B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72B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72B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72B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72B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72B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2B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2B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2B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2B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72B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72B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72B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72B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72B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2B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2B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2B7A"/>
    <w:rPr>
      <w:rFonts w:eastAsiaTheme="majorEastAsia" w:cstheme="majorBidi"/>
      <w:color w:val="272727" w:themeColor="text1" w:themeTint="D8"/>
    </w:rPr>
  </w:style>
  <w:style w:type="paragraph" w:styleId="Title">
    <w:name w:val="Title"/>
    <w:basedOn w:val="Normal"/>
    <w:next w:val="Normal"/>
    <w:link w:val="TitleChar"/>
    <w:uiPriority w:val="10"/>
    <w:qFormat/>
    <w:rsid w:val="00F72B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2B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2B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2B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2B7A"/>
    <w:pPr>
      <w:spacing w:before="160"/>
      <w:jc w:val="center"/>
    </w:pPr>
    <w:rPr>
      <w:i/>
      <w:iCs/>
      <w:color w:val="404040" w:themeColor="text1" w:themeTint="BF"/>
    </w:rPr>
  </w:style>
  <w:style w:type="character" w:customStyle="1" w:styleId="QuoteChar">
    <w:name w:val="Quote Char"/>
    <w:basedOn w:val="DefaultParagraphFont"/>
    <w:link w:val="Quote"/>
    <w:uiPriority w:val="29"/>
    <w:rsid w:val="00F72B7A"/>
    <w:rPr>
      <w:i/>
      <w:iCs/>
      <w:color w:val="404040" w:themeColor="text1" w:themeTint="BF"/>
    </w:rPr>
  </w:style>
  <w:style w:type="paragraph" w:styleId="ListParagraph">
    <w:name w:val="List Paragraph"/>
    <w:basedOn w:val="Normal"/>
    <w:uiPriority w:val="34"/>
    <w:qFormat/>
    <w:rsid w:val="00F72B7A"/>
    <w:pPr>
      <w:ind w:left="720"/>
      <w:contextualSpacing/>
    </w:pPr>
  </w:style>
  <w:style w:type="character" w:styleId="IntenseEmphasis">
    <w:name w:val="Intense Emphasis"/>
    <w:basedOn w:val="DefaultParagraphFont"/>
    <w:uiPriority w:val="21"/>
    <w:qFormat/>
    <w:rsid w:val="00F72B7A"/>
    <w:rPr>
      <w:i/>
      <w:iCs/>
      <w:color w:val="2F5496" w:themeColor="accent1" w:themeShade="BF"/>
    </w:rPr>
  </w:style>
  <w:style w:type="paragraph" w:styleId="IntenseQuote">
    <w:name w:val="Intense Quote"/>
    <w:basedOn w:val="Normal"/>
    <w:next w:val="Normal"/>
    <w:link w:val="IntenseQuoteChar"/>
    <w:uiPriority w:val="30"/>
    <w:qFormat/>
    <w:rsid w:val="00F72B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72B7A"/>
    <w:rPr>
      <w:i/>
      <w:iCs/>
      <w:color w:val="2F5496" w:themeColor="accent1" w:themeShade="BF"/>
    </w:rPr>
  </w:style>
  <w:style w:type="character" w:styleId="IntenseReference">
    <w:name w:val="Intense Reference"/>
    <w:basedOn w:val="DefaultParagraphFont"/>
    <w:uiPriority w:val="32"/>
    <w:qFormat/>
    <w:rsid w:val="00F72B7A"/>
    <w:rPr>
      <w:b/>
      <w:bCs/>
      <w:smallCaps/>
      <w:color w:val="2F5496" w:themeColor="accent1" w:themeShade="BF"/>
      <w:spacing w:val="5"/>
    </w:rPr>
  </w:style>
  <w:style w:type="table" w:styleId="TableGrid">
    <w:name w:val="Table Grid"/>
    <w:basedOn w:val="TableNormal"/>
    <w:uiPriority w:val="39"/>
    <w:rsid w:val="00F72B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67A98"/>
    <w:rPr>
      <w:color w:val="0563C1" w:themeColor="hyperlink"/>
      <w:u w:val="single"/>
    </w:rPr>
  </w:style>
  <w:style w:type="character" w:styleId="UnresolvedMention">
    <w:name w:val="Unresolved Mention"/>
    <w:basedOn w:val="DefaultParagraphFont"/>
    <w:uiPriority w:val="99"/>
    <w:semiHidden/>
    <w:unhideWhenUsed/>
    <w:rsid w:val="00E67A98"/>
    <w:rPr>
      <w:color w:val="605E5C"/>
      <w:shd w:val="clear" w:color="auto" w:fill="E1DFDD"/>
    </w:rPr>
  </w:style>
  <w:style w:type="character" w:styleId="LineNumber">
    <w:name w:val="line number"/>
    <w:basedOn w:val="DefaultParagraphFont"/>
    <w:uiPriority w:val="99"/>
    <w:semiHidden/>
    <w:unhideWhenUsed/>
    <w:rsid w:val="00BD1346"/>
  </w:style>
  <w:style w:type="character" w:styleId="FollowedHyperlink">
    <w:name w:val="FollowedHyperlink"/>
    <w:basedOn w:val="DefaultParagraphFont"/>
    <w:uiPriority w:val="99"/>
    <w:semiHidden/>
    <w:unhideWhenUsed/>
    <w:rsid w:val="00232E9B"/>
    <w:rPr>
      <w:color w:val="954F72" w:themeColor="followedHyperlink"/>
      <w:u w:val="single"/>
    </w:rPr>
  </w:style>
  <w:style w:type="character" w:styleId="Strong">
    <w:name w:val="Strong"/>
    <w:basedOn w:val="DefaultParagraphFont"/>
    <w:uiPriority w:val="22"/>
    <w:qFormat/>
    <w:rsid w:val="0078081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rezkiamalyadi@staff.unram.ac.id"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4CD490-00A4-474A-8238-4CF126191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413</TotalTime>
  <Pages>16</Pages>
  <Words>14218</Words>
  <Characters>81046</Characters>
  <Application>Microsoft Office Word</Application>
  <DocSecurity>0</DocSecurity>
  <Lines>675</Lines>
  <Paragraphs>190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asus.go15-28@outlook.com</dc:creator>
  <cp:keywords/>
  <dc:description/>
  <cp:lastModifiedBy>asus.go15-28@outlook.com</cp:lastModifiedBy>
  <cp:revision>141</cp:revision>
  <dcterms:created xsi:type="dcterms:W3CDTF">2025-12-03T19:20:00Z</dcterms:created>
  <dcterms:modified xsi:type="dcterms:W3CDTF">2026-07-01T01:48:00Z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525839f5-a1e7-3b23-a7a7-8a22489cf5c4</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12th edition - Harvard</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4th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9th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