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C46C" w14:textId="77777777" w:rsidR="00C9288A" w:rsidRPr="00C10A8B" w:rsidRDefault="00C9288A" w:rsidP="00EB2F93">
      <w:pPr>
        <w:pBdr>
          <w:top w:val="nil"/>
          <w:left w:val="nil"/>
          <w:bottom w:val="nil"/>
          <w:right w:val="nil"/>
          <w:between w:val="nil"/>
        </w:pBdr>
        <w:spacing w:line="360" w:lineRule="auto"/>
        <w:jc w:val="center"/>
        <w:rPr>
          <w:rFonts w:eastAsia="Arial"/>
          <w:b/>
          <w:bCs/>
        </w:rPr>
      </w:pPr>
      <w:r w:rsidRPr="00C10A8B">
        <w:rPr>
          <w:rFonts w:eastAsia="Arial"/>
          <w:b/>
          <w:bCs/>
        </w:rPr>
        <w:t>Advancement of the Ecosystem of Entrepreneurial Structures within the Agricultural Sector within the Paradigm of an Innovative Economy</w:t>
      </w:r>
    </w:p>
    <w:p w14:paraId="38423725" w14:textId="77777777" w:rsidR="006B6FEC" w:rsidRDefault="006B6FEC" w:rsidP="008757A5">
      <w:pPr>
        <w:widowControl w:val="0"/>
        <w:spacing w:line="360" w:lineRule="auto"/>
        <w:rPr>
          <w:rFonts w:eastAsia="Arial"/>
        </w:rPr>
      </w:pPr>
    </w:p>
    <w:p w14:paraId="29E79F56" w14:textId="77777777" w:rsidR="008757A5" w:rsidRPr="00F45C05" w:rsidRDefault="008757A5" w:rsidP="008757A5">
      <w:pPr>
        <w:pBdr>
          <w:top w:val="nil"/>
          <w:left w:val="nil"/>
          <w:bottom w:val="nil"/>
          <w:right w:val="nil"/>
          <w:between w:val="nil"/>
        </w:pBdr>
        <w:spacing w:line="360" w:lineRule="auto"/>
        <w:rPr>
          <w:rFonts w:eastAsia="Arial"/>
          <w:b/>
          <w:bCs/>
        </w:rPr>
      </w:pPr>
      <w:r w:rsidRPr="00F45C05">
        <w:rPr>
          <w:rFonts w:eastAsia="Arial"/>
          <w:b/>
          <w:bCs/>
        </w:rPr>
        <w:t>Iryna Vakhovych *</w:t>
      </w:r>
    </w:p>
    <w:p w14:paraId="35D8748B" w14:textId="77777777" w:rsidR="008757A5" w:rsidRPr="00F45C05" w:rsidRDefault="008757A5" w:rsidP="008757A5">
      <w:pPr>
        <w:pBdr>
          <w:top w:val="nil"/>
          <w:left w:val="nil"/>
          <w:bottom w:val="nil"/>
          <w:right w:val="nil"/>
          <w:between w:val="nil"/>
        </w:pBdr>
        <w:spacing w:line="360" w:lineRule="auto"/>
        <w:jc w:val="both"/>
        <w:rPr>
          <w:rFonts w:eastAsia="Arial"/>
        </w:rPr>
      </w:pPr>
      <w:r w:rsidRPr="00F45C05">
        <w:rPr>
          <w:rFonts w:eastAsia="Arial"/>
        </w:rPr>
        <w:t xml:space="preserve">Doctor of Sciences in Economics, Professor, Rector, Lutsk National Technical University, Lutsk, Ukraine. </w:t>
      </w:r>
    </w:p>
    <w:p w14:paraId="4BFBCB37"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E-mail: vakhovychiryna@gmail.com</w:t>
      </w:r>
    </w:p>
    <w:p w14:paraId="15AFEB34"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ORCID: https://orcid.org/0000-0003-4912-5798</w:t>
      </w:r>
    </w:p>
    <w:p w14:paraId="18DEE4C9" w14:textId="77777777" w:rsidR="008757A5" w:rsidRPr="00F45C05" w:rsidRDefault="008757A5" w:rsidP="008757A5">
      <w:pPr>
        <w:pBdr>
          <w:top w:val="nil"/>
          <w:left w:val="nil"/>
          <w:bottom w:val="nil"/>
          <w:right w:val="nil"/>
          <w:between w:val="nil"/>
        </w:pBdr>
        <w:spacing w:line="360" w:lineRule="auto"/>
        <w:rPr>
          <w:rFonts w:eastAsia="Arial"/>
        </w:rPr>
      </w:pPr>
    </w:p>
    <w:p w14:paraId="39FBC405" w14:textId="77777777" w:rsidR="008757A5" w:rsidRPr="00F45C05" w:rsidRDefault="008757A5" w:rsidP="008757A5">
      <w:pPr>
        <w:pBdr>
          <w:top w:val="nil"/>
          <w:left w:val="nil"/>
          <w:bottom w:val="nil"/>
          <w:right w:val="nil"/>
          <w:between w:val="nil"/>
        </w:pBdr>
        <w:spacing w:line="360" w:lineRule="auto"/>
        <w:rPr>
          <w:rFonts w:eastAsia="Arial"/>
          <w:b/>
          <w:bCs/>
        </w:rPr>
      </w:pPr>
      <w:r w:rsidRPr="00F45C05">
        <w:rPr>
          <w:rFonts w:eastAsia="Arial"/>
          <w:b/>
          <w:bCs/>
        </w:rPr>
        <w:t>Myroslava Kupyra</w:t>
      </w:r>
    </w:p>
    <w:p w14:paraId="0A9BB4DC" w14:textId="77777777" w:rsidR="008757A5" w:rsidRPr="00F45C05" w:rsidRDefault="008757A5" w:rsidP="008757A5">
      <w:pPr>
        <w:pBdr>
          <w:top w:val="nil"/>
          <w:left w:val="nil"/>
          <w:bottom w:val="nil"/>
          <w:right w:val="nil"/>
          <w:between w:val="nil"/>
        </w:pBdr>
        <w:spacing w:line="360" w:lineRule="auto"/>
        <w:jc w:val="both"/>
        <w:rPr>
          <w:rFonts w:eastAsia="Arial"/>
        </w:rPr>
      </w:pPr>
      <w:bookmarkStart w:id="0" w:name="_i9143pxsoa2q" w:colFirst="0" w:colLast="0"/>
      <w:bookmarkEnd w:id="0"/>
      <w:r w:rsidRPr="00F45C05">
        <w:rPr>
          <w:rFonts w:eastAsia="Arial"/>
        </w:rPr>
        <w:t xml:space="preserve">PhD in Economics, Associate Professor of the Department of Finance, Banking and Insurance, Lutsk National Technical University, Lutsk, Ukraine. </w:t>
      </w:r>
    </w:p>
    <w:p w14:paraId="12760283"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E-mail: myroslava.kupyra@ukr.net</w:t>
      </w:r>
    </w:p>
    <w:p w14:paraId="544B23F8" w14:textId="77777777" w:rsidR="008757A5" w:rsidRPr="00F45C05" w:rsidRDefault="008757A5" w:rsidP="008757A5">
      <w:pPr>
        <w:spacing w:line="360" w:lineRule="auto"/>
        <w:rPr>
          <w:rFonts w:eastAsia="Arial"/>
        </w:rPr>
      </w:pPr>
      <w:r w:rsidRPr="00F45C05">
        <w:rPr>
          <w:rFonts w:eastAsia="Arial"/>
        </w:rPr>
        <w:t>ORCID:</w:t>
      </w:r>
      <w:r w:rsidRPr="00F45C05">
        <w:t xml:space="preserve"> </w:t>
      </w:r>
      <w:r w:rsidRPr="00F45C05">
        <w:rPr>
          <w:rFonts w:eastAsia="Arial"/>
        </w:rPr>
        <w:t>https://orcid.org/0000-0002-8279-7628</w:t>
      </w:r>
    </w:p>
    <w:p w14:paraId="61AFCCC4" w14:textId="77777777" w:rsidR="008757A5" w:rsidRPr="00F45C05" w:rsidRDefault="008757A5" w:rsidP="008757A5">
      <w:pPr>
        <w:pBdr>
          <w:top w:val="nil"/>
          <w:left w:val="nil"/>
          <w:bottom w:val="nil"/>
          <w:right w:val="nil"/>
          <w:between w:val="nil"/>
        </w:pBdr>
        <w:spacing w:line="360" w:lineRule="auto"/>
        <w:rPr>
          <w:rFonts w:eastAsia="Arial"/>
        </w:rPr>
      </w:pPr>
    </w:p>
    <w:p w14:paraId="304F55B8" w14:textId="77777777" w:rsidR="008757A5" w:rsidRPr="00F45C05" w:rsidRDefault="008757A5" w:rsidP="008757A5">
      <w:pPr>
        <w:pBdr>
          <w:top w:val="nil"/>
          <w:left w:val="nil"/>
          <w:bottom w:val="nil"/>
          <w:right w:val="nil"/>
          <w:between w:val="nil"/>
        </w:pBdr>
        <w:spacing w:line="360" w:lineRule="auto"/>
        <w:rPr>
          <w:rFonts w:eastAsia="Arial"/>
          <w:b/>
          <w:bCs/>
        </w:rPr>
      </w:pPr>
      <w:r w:rsidRPr="00F45C05">
        <w:rPr>
          <w:rFonts w:eastAsia="Arial"/>
          <w:b/>
          <w:bCs/>
        </w:rPr>
        <w:t>Tetiana Iankovets</w:t>
      </w:r>
    </w:p>
    <w:p w14:paraId="6E983780" w14:textId="77777777" w:rsidR="008757A5" w:rsidRPr="00F45C05" w:rsidRDefault="008757A5" w:rsidP="008757A5">
      <w:pPr>
        <w:pBdr>
          <w:top w:val="nil"/>
          <w:left w:val="nil"/>
          <w:bottom w:val="nil"/>
          <w:right w:val="nil"/>
          <w:between w:val="nil"/>
        </w:pBdr>
        <w:spacing w:line="360" w:lineRule="auto"/>
        <w:jc w:val="both"/>
        <w:rPr>
          <w:rFonts w:eastAsia="Arial"/>
        </w:rPr>
      </w:pPr>
      <w:r w:rsidRPr="00F45C05">
        <w:rPr>
          <w:rFonts w:eastAsia="Arial"/>
        </w:rPr>
        <w:t>Doctor of Sciences in Economics, Associate Professor, Department of Marketing, State University of Trade and Economics, Kyiv, Ukraine.</w:t>
      </w:r>
    </w:p>
    <w:p w14:paraId="60962A86"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 xml:space="preserve">E-mail: </w:t>
      </w:r>
      <w:hyperlink r:id="rId8">
        <w:r w:rsidRPr="00F45C05">
          <w:rPr>
            <w:rFonts w:eastAsia="Arial"/>
          </w:rPr>
          <w:t>tatiana_iakovetss@gmail.com</w:t>
        </w:r>
      </w:hyperlink>
    </w:p>
    <w:p w14:paraId="7BEA4EC9" w14:textId="77777777" w:rsidR="008757A5" w:rsidRPr="00F45C05" w:rsidRDefault="008757A5" w:rsidP="008757A5">
      <w:pPr>
        <w:spacing w:line="360" w:lineRule="auto"/>
        <w:rPr>
          <w:rFonts w:eastAsia="Arial"/>
        </w:rPr>
      </w:pPr>
      <w:r w:rsidRPr="00F45C05">
        <w:rPr>
          <w:rFonts w:eastAsia="Arial"/>
        </w:rPr>
        <w:t>ORCID:</w:t>
      </w:r>
      <w:r w:rsidRPr="00F45C05">
        <w:t xml:space="preserve"> </w:t>
      </w:r>
      <w:r w:rsidRPr="00F45C05">
        <w:rPr>
          <w:rFonts w:eastAsia="Arial"/>
        </w:rPr>
        <w:t>https://orcid.org/0000-0002-8159-3826</w:t>
      </w:r>
    </w:p>
    <w:p w14:paraId="66DD7BBD" w14:textId="77777777" w:rsidR="008757A5" w:rsidRPr="00F45C05" w:rsidRDefault="008757A5" w:rsidP="008757A5">
      <w:pPr>
        <w:pBdr>
          <w:top w:val="nil"/>
          <w:left w:val="nil"/>
          <w:bottom w:val="nil"/>
          <w:right w:val="nil"/>
          <w:between w:val="nil"/>
        </w:pBdr>
        <w:spacing w:line="360" w:lineRule="auto"/>
        <w:rPr>
          <w:rFonts w:eastAsia="Arial"/>
        </w:rPr>
      </w:pPr>
    </w:p>
    <w:p w14:paraId="59E0F247" w14:textId="77777777" w:rsidR="008757A5" w:rsidRPr="00F45C05" w:rsidRDefault="008757A5" w:rsidP="008757A5">
      <w:pPr>
        <w:pBdr>
          <w:top w:val="nil"/>
          <w:left w:val="nil"/>
          <w:bottom w:val="nil"/>
          <w:right w:val="nil"/>
          <w:between w:val="nil"/>
        </w:pBdr>
        <w:spacing w:line="360" w:lineRule="auto"/>
        <w:rPr>
          <w:rFonts w:eastAsia="Arial"/>
          <w:b/>
          <w:bCs/>
        </w:rPr>
      </w:pPr>
      <w:r w:rsidRPr="00F45C05">
        <w:rPr>
          <w:rFonts w:eastAsia="Arial"/>
          <w:b/>
          <w:bCs/>
        </w:rPr>
        <w:t>Andrian Ulinici</w:t>
      </w:r>
    </w:p>
    <w:p w14:paraId="25BB67DC" w14:textId="77777777" w:rsidR="008757A5" w:rsidRPr="00F45C05" w:rsidRDefault="008757A5" w:rsidP="008757A5">
      <w:pPr>
        <w:pBdr>
          <w:top w:val="nil"/>
          <w:left w:val="nil"/>
          <w:bottom w:val="nil"/>
          <w:right w:val="nil"/>
          <w:between w:val="nil"/>
        </w:pBdr>
        <w:spacing w:line="360" w:lineRule="auto"/>
        <w:jc w:val="both"/>
        <w:rPr>
          <w:rFonts w:eastAsia="Arial"/>
        </w:rPr>
      </w:pPr>
      <w:r w:rsidRPr="00F45C05">
        <w:rPr>
          <w:rFonts w:eastAsia="Arial"/>
        </w:rPr>
        <w:t>Doctor in Economic Sciences, Associate Professor, Head of the Department of Finance and Accounting, Faculty of Economic Sciences, University of European Studies of Moldova, Chisinau, Republic of Moldova.</w:t>
      </w:r>
    </w:p>
    <w:p w14:paraId="218C2323"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E-mail: andrianulinici@gmail.com</w:t>
      </w:r>
    </w:p>
    <w:p w14:paraId="182CC2BE" w14:textId="77777777" w:rsidR="008757A5" w:rsidRPr="00F45C05" w:rsidRDefault="008757A5" w:rsidP="008757A5">
      <w:pPr>
        <w:spacing w:line="360" w:lineRule="auto"/>
        <w:rPr>
          <w:rFonts w:eastAsia="Arial"/>
        </w:rPr>
      </w:pPr>
      <w:r w:rsidRPr="00F45C05">
        <w:rPr>
          <w:rFonts w:eastAsia="Arial"/>
        </w:rPr>
        <w:t>ORCID:</w:t>
      </w:r>
      <w:r w:rsidRPr="00F45C05">
        <w:t xml:space="preserve"> </w:t>
      </w:r>
      <w:r w:rsidRPr="00F45C05">
        <w:rPr>
          <w:rFonts w:eastAsia="Arial"/>
        </w:rPr>
        <w:t>https://orcid.org/0000-0001-8766-7788</w:t>
      </w:r>
    </w:p>
    <w:p w14:paraId="0837C260" w14:textId="77777777" w:rsidR="008757A5" w:rsidRPr="00F45C05" w:rsidRDefault="008757A5" w:rsidP="008757A5">
      <w:pPr>
        <w:pBdr>
          <w:top w:val="nil"/>
          <w:left w:val="nil"/>
          <w:bottom w:val="nil"/>
          <w:right w:val="nil"/>
          <w:between w:val="nil"/>
        </w:pBdr>
        <w:spacing w:line="360" w:lineRule="auto"/>
        <w:rPr>
          <w:rFonts w:eastAsia="Arial"/>
        </w:rPr>
      </w:pPr>
    </w:p>
    <w:p w14:paraId="5E289E10" w14:textId="77777777" w:rsidR="008757A5" w:rsidRPr="00F45C05" w:rsidRDefault="008757A5" w:rsidP="008757A5">
      <w:pPr>
        <w:pBdr>
          <w:top w:val="nil"/>
          <w:left w:val="nil"/>
          <w:bottom w:val="nil"/>
          <w:right w:val="nil"/>
          <w:between w:val="nil"/>
        </w:pBdr>
        <w:spacing w:line="360" w:lineRule="auto"/>
        <w:rPr>
          <w:rFonts w:eastAsia="Arial"/>
          <w:b/>
          <w:bCs/>
        </w:rPr>
      </w:pPr>
      <w:r w:rsidRPr="00F45C05">
        <w:rPr>
          <w:rFonts w:eastAsia="Arial"/>
          <w:b/>
          <w:bCs/>
        </w:rPr>
        <w:t>Sviatoslav Khimich</w:t>
      </w:r>
    </w:p>
    <w:p w14:paraId="5744A6B3" w14:textId="77777777" w:rsidR="008757A5" w:rsidRPr="00F45C05" w:rsidRDefault="008757A5" w:rsidP="008757A5">
      <w:pPr>
        <w:pBdr>
          <w:top w:val="nil"/>
          <w:left w:val="nil"/>
          <w:bottom w:val="nil"/>
          <w:right w:val="nil"/>
          <w:between w:val="nil"/>
        </w:pBdr>
        <w:spacing w:line="360" w:lineRule="auto"/>
        <w:jc w:val="both"/>
        <w:rPr>
          <w:rFonts w:eastAsia="Arial"/>
        </w:rPr>
      </w:pPr>
      <w:r w:rsidRPr="00F45C05">
        <w:rPr>
          <w:rFonts w:eastAsia="Arial"/>
        </w:rPr>
        <w:t xml:space="preserve">PhD, Associate Professor of the Department of Finance, Banking and Insurance, Interregional Academy of Personnel Management, </w:t>
      </w:r>
      <w:bookmarkStart w:id="1" w:name="_Hlk226020295"/>
      <w:r w:rsidRPr="00F45C05">
        <w:rPr>
          <w:rFonts w:eastAsia="Arial"/>
        </w:rPr>
        <w:t>Kyiv</w:t>
      </w:r>
      <w:bookmarkEnd w:id="1"/>
      <w:r w:rsidRPr="00F45C05">
        <w:rPr>
          <w:rFonts w:eastAsia="Arial"/>
        </w:rPr>
        <w:t>, Ukraine.</w:t>
      </w:r>
    </w:p>
    <w:p w14:paraId="7FBC0787" w14:textId="77777777" w:rsidR="008757A5" w:rsidRPr="00F45C05" w:rsidRDefault="008757A5" w:rsidP="008757A5">
      <w:pPr>
        <w:pBdr>
          <w:top w:val="nil"/>
          <w:left w:val="nil"/>
          <w:bottom w:val="nil"/>
          <w:right w:val="nil"/>
          <w:between w:val="nil"/>
        </w:pBdr>
        <w:spacing w:line="360" w:lineRule="auto"/>
        <w:rPr>
          <w:rFonts w:eastAsia="Arial"/>
        </w:rPr>
      </w:pPr>
      <w:r w:rsidRPr="00F45C05">
        <w:rPr>
          <w:rFonts w:eastAsia="Arial"/>
        </w:rPr>
        <w:t>E-mail: s_khimich@gmail.com</w:t>
      </w:r>
    </w:p>
    <w:p w14:paraId="6B79B276" w14:textId="77777777" w:rsidR="008757A5" w:rsidRDefault="008757A5" w:rsidP="008757A5">
      <w:pPr>
        <w:spacing w:line="360" w:lineRule="auto"/>
        <w:rPr>
          <w:rFonts w:eastAsia="Arial"/>
        </w:rPr>
      </w:pPr>
      <w:r w:rsidRPr="00F45C05">
        <w:rPr>
          <w:rFonts w:eastAsia="Arial"/>
        </w:rPr>
        <w:t>ORCID:</w:t>
      </w:r>
      <w:r w:rsidRPr="00F45C05">
        <w:t xml:space="preserve"> </w:t>
      </w:r>
      <w:r w:rsidRPr="00F45C05">
        <w:rPr>
          <w:rFonts w:eastAsia="Arial"/>
        </w:rPr>
        <w:t>https://orcid.org/0009-0000-8811-8801</w:t>
      </w:r>
    </w:p>
    <w:p w14:paraId="36C052C7" w14:textId="77777777" w:rsidR="008757A5" w:rsidRPr="00F45C05" w:rsidRDefault="008757A5" w:rsidP="008757A5">
      <w:pPr>
        <w:spacing w:line="360" w:lineRule="auto"/>
      </w:pPr>
      <w:r>
        <w:rPr>
          <w:rFonts w:eastAsia="Arial"/>
        </w:rPr>
        <w:lastRenderedPageBreak/>
        <w:t xml:space="preserve">*Corresponding author: </w:t>
      </w:r>
      <w:r w:rsidRPr="00F45C05">
        <w:rPr>
          <w:rFonts w:eastAsia="Arial"/>
        </w:rPr>
        <w:t>vakhovychiryna@gmail.com</w:t>
      </w:r>
    </w:p>
    <w:p w14:paraId="43ACEDF9" w14:textId="77777777" w:rsidR="008757A5" w:rsidRPr="00C9288A" w:rsidRDefault="008757A5" w:rsidP="008757A5">
      <w:pPr>
        <w:widowControl w:val="0"/>
        <w:spacing w:line="360" w:lineRule="auto"/>
        <w:rPr>
          <w:rFonts w:eastAsia="Arial"/>
        </w:rPr>
      </w:pPr>
    </w:p>
    <w:p w14:paraId="5F4A465B" w14:textId="77777777" w:rsidR="006B6FEC" w:rsidRPr="00C9288A" w:rsidRDefault="00787F1E" w:rsidP="00EB2F93">
      <w:pPr>
        <w:widowControl w:val="0"/>
        <w:spacing w:line="360" w:lineRule="auto"/>
        <w:rPr>
          <w:rFonts w:eastAsia="Arial"/>
          <w:b/>
          <w:bCs/>
          <w:i/>
          <w:iCs/>
        </w:rPr>
      </w:pPr>
      <w:r w:rsidRPr="00C9288A">
        <w:rPr>
          <w:rFonts w:eastAsia="Arial"/>
          <w:b/>
          <w:bCs/>
        </w:rPr>
        <w:t xml:space="preserve">Abstract </w:t>
      </w:r>
    </w:p>
    <w:p w14:paraId="3F79E893" w14:textId="3A11F264" w:rsidR="006B6FEC" w:rsidRPr="00C9288A" w:rsidRDefault="00C66921" w:rsidP="00EB2F93">
      <w:pPr>
        <w:spacing w:line="360" w:lineRule="auto"/>
        <w:jc w:val="both"/>
        <w:rPr>
          <w:rFonts w:eastAsia="Arial"/>
        </w:rPr>
      </w:pPr>
      <w:r w:rsidRPr="00C9288A">
        <w:rPr>
          <w:rFonts w:eastAsia="Arial"/>
        </w:rPr>
        <w:t>The purpose of the study was to assess the impact of the level of digitalization and investments in agritech on the functioning and effectiveness of business entities in the agricultural sector. The study used methods of comparative analysis, time-series analysis, integral indexing and multiple regression. It was found that over the period from 2015 to 2025 the level of digitalization of agricultural enterprises increased significantly in all the countries under analysis: in Ukraine – from 12% to 63%; in Moldova – from 8% to 53%; in Poland – from 24% to 75%. Similarly, investments in agritech and the level of innovative activity increased, which positively affected labor productivity (in Ukraine - from 5.2 to 10.4 thousand USD per employee). The results of the regression analysis confirmed the high impact of digitalization (β=0.38-0.41), investment (β=0.29-0.45) and digital infrastructure (β=0.22-0.31) on labor productivity in agricultural production. The calculation of the integral index of innovation activity showed its stable growth in all the studied countries. In Ukraine, its value increased from 18.2 in 2015 to 61.9 in 2025, in Moldova – from 15.6 to 55.8; in Poland – from 39.4 to 86.7. The obtained data confirm the gradual transition to an innovation-oriented model of the agricultural sector development and growing importance of digital technologies and investment support. The results can be used to improve the state policy of supporting agricultural startups and the digital transformation of agriculture. The practical significance of the study lies in the possibility of using its results to substantiate and improve state policy to support agricultural startups, digitalization of agriculture and development of digital infrastructure to increase the agricultural sector efficiency.</w:t>
      </w:r>
    </w:p>
    <w:p w14:paraId="42DC2F3C" w14:textId="77777777" w:rsidR="00C66921" w:rsidRPr="00C9288A" w:rsidRDefault="00C66921" w:rsidP="00EB2F93">
      <w:pPr>
        <w:spacing w:line="360" w:lineRule="auto"/>
        <w:jc w:val="both"/>
      </w:pPr>
    </w:p>
    <w:p w14:paraId="140CF6DA" w14:textId="77777777" w:rsidR="00C66921" w:rsidRPr="00C9288A" w:rsidRDefault="00787F1E" w:rsidP="00EB2F93">
      <w:pPr>
        <w:spacing w:line="360" w:lineRule="auto"/>
        <w:jc w:val="both"/>
        <w:rPr>
          <w:rFonts w:eastAsia="Arial"/>
        </w:rPr>
      </w:pPr>
      <w:r w:rsidRPr="00C9288A">
        <w:rPr>
          <w:rFonts w:eastAsia="Arial"/>
          <w:b/>
          <w:bCs/>
        </w:rPr>
        <w:t>Keywords</w:t>
      </w:r>
      <w:r w:rsidRPr="00C9288A">
        <w:rPr>
          <w:rFonts w:eastAsia="Arial"/>
        </w:rPr>
        <w:t xml:space="preserve">: </w:t>
      </w:r>
      <w:r w:rsidR="00C66921" w:rsidRPr="00C9288A">
        <w:rPr>
          <w:rFonts w:eastAsia="Arial"/>
        </w:rPr>
        <w:t>digital transformation, agritech, startup activity, labor productivity, investments, technological modernization, agriculture</w:t>
      </w:r>
    </w:p>
    <w:p w14:paraId="73AD39D5" w14:textId="77777777" w:rsidR="006B6FEC" w:rsidRPr="00C9288A" w:rsidRDefault="006B6FEC" w:rsidP="00EB2F93">
      <w:pPr>
        <w:spacing w:line="360" w:lineRule="auto"/>
        <w:ind w:firstLine="709"/>
        <w:rPr>
          <w:rFonts w:eastAsia="Arial"/>
        </w:rPr>
      </w:pPr>
    </w:p>
    <w:p w14:paraId="579093EB" w14:textId="77777777" w:rsidR="006B6FEC" w:rsidRPr="00C9288A" w:rsidRDefault="00787F1E" w:rsidP="00EB2F93">
      <w:pPr>
        <w:pBdr>
          <w:top w:val="nil"/>
          <w:left w:val="nil"/>
          <w:bottom w:val="nil"/>
          <w:right w:val="nil"/>
          <w:between w:val="nil"/>
        </w:pBdr>
        <w:spacing w:line="360" w:lineRule="auto"/>
        <w:ind w:right="28"/>
        <w:jc w:val="both"/>
        <w:rPr>
          <w:rFonts w:eastAsia="Arial"/>
          <w:b/>
          <w:bCs/>
        </w:rPr>
      </w:pPr>
      <w:r w:rsidRPr="00C9288A">
        <w:rPr>
          <w:rFonts w:eastAsia="Arial"/>
          <w:b/>
          <w:bCs/>
        </w:rPr>
        <w:t xml:space="preserve">Introduction </w:t>
      </w:r>
    </w:p>
    <w:p w14:paraId="60877BCE" w14:textId="520B4FEC" w:rsidR="00CE1F57"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 xml:space="preserve">The development of </w:t>
      </w:r>
      <w:r w:rsidR="00F30230" w:rsidRPr="00C9288A">
        <w:rPr>
          <w:rFonts w:eastAsia="Arial"/>
        </w:rPr>
        <w:t xml:space="preserve">agricultural </w:t>
      </w:r>
      <w:r w:rsidRPr="00C9288A">
        <w:rPr>
          <w:rFonts w:eastAsia="Arial"/>
        </w:rPr>
        <w:t xml:space="preserve">structures is a key driver of </w:t>
      </w:r>
      <w:r w:rsidR="00F30230" w:rsidRPr="00C9288A">
        <w:rPr>
          <w:rFonts w:eastAsia="Arial"/>
        </w:rPr>
        <w:t>sectoral</w:t>
      </w:r>
      <w:r w:rsidRPr="00C9288A">
        <w:rPr>
          <w:rFonts w:eastAsia="Arial"/>
        </w:rPr>
        <w:t xml:space="preserve"> transformation under the influence of digitalization, investment activity, and technological changes. Overall, agriculture is gradually moving from a resource-oriented model toward an innovative-digital one, where the introduction of digital technologies, the advancement of agricultural technologies (agritech) and the improvement of digital infrastructure play a decisive role (Tomashuk et al., 2024). Consequently, a new model of agricultural development is emerging, </w:t>
      </w:r>
      <w:r w:rsidRPr="00C9288A">
        <w:rPr>
          <w:rFonts w:eastAsia="Arial"/>
        </w:rPr>
        <w:lastRenderedPageBreak/>
        <w:t>where entrepreneurial structures act as the main carriers of innovation. Agricultural enterprises, startups and innovation initiatives ensure the implementation of digital solutions, such as precision farming systems, robotic production management technologies, Big Data analytics and other agritech solutions. Combined with investments in technological modernization, they form an innovative ecosystem that includes business, financial institutions and state support mechanisms (Burkinsʹkij et al., 2022). At the same time, the effectiveness of this ecosystem depends on the level of digital infrastructure, the availability of financing and institutional support for innovation activities (Zhao et al., 2023).</w:t>
      </w:r>
    </w:p>
    <w:p w14:paraId="48A57B15" w14:textId="77777777" w:rsidR="00CE1F57"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An important element in the development of the agricultural ecosystem is the cultivation of an innovation culture and digital competencies of agricultural market participants. This includes not only technological modernization of production, but also the development of management skills, the ability to use digital tools and integration into innovation networks (Farooq et al., 2020). In this context, human capital, digital literacy level and access to modern infrastructure are essential conditions for increasing labor productivity and overall efficiency of the agricultural sector (Gadzalo et al., 2021).</w:t>
      </w:r>
    </w:p>
    <w:p w14:paraId="0F6FA807" w14:textId="77777777" w:rsidR="00CE1F57"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The purpose of the study is to assess the impact of the digitalization level, agritech investments and digital infrastructure development on the characteristics of economic entities in the agricultural production sector across Ukraine, Moldova and Poland from 2015 to 2025.</w:t>
      </w:r>
    </w:p>
    <w:p w14:paraId="498DCE63" w14:textId="77777777" w:rsidR="00CE1F57"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Research objectives:</w:t>
      </w:r>
    </w:p>
    <w:p w14:paraId="60338E7E" w14:textId="77777777" w:rsidR="00CE1F57" w:rsidRPr="00C9288A" w:rsidRDefault="00CE1F57" w:rsidP="00EB2F93">
      <w:pPr>
        <w:pStyle w:val="ListParagraph"/>
        <w:numPr>
          <w:ilvl w:val="0"/>
          <w:numId w:val="4"/>
        </w:numPr>
        <w:pBdr>
          <w:top w:val="nil"/>
          <w:left w:val="nil"/>
          <w:bottom w:val="nil"/>
          <w:right w:val="nil"/>
          <w:between w:val="nil"/>
        </w:pBdr>
        <w:spacing w:line="360" w:lineRule="auto"/>
        <w:ind w:left="709" w:right="28" w:hanging="709"/>
        <w:jc w:val="both"/>
        <w:rPr>
          <w:rFonts w:eastAsia="Arial"/>
        </w:rPr>
      </w:pPr>
      <w:r w:rsidRPr="00C9288A">
        <w:rPr>
          <w:rFonts w:eastAsia="Arial"/>
        </w:rPr>
        <w:t>to analyze the dynamics of digitalization of the agricultural sector;</w:t>
      </w:r>
    </w:p>
    <w:p w14:paraId="34EE7282" w14:textId="77777777" w:rsidR="00CE1F57" w:rsidRPr="00C9288A" w:rsidRDefault="00CE1F57" w:rsidP="00EB2F93">
      <w:pPr>
        <w:pStyle w:val="ListParagraph"/>
        <w:numPr>
          <w:ilvl w:val="0"/>
          <w:numId w:val="4"/>
        </w:numPr>
        <w:pBdr>
          <w:top w:val="nil"/>
          <w:left w:val="nil"/>
          <w:bottom w:val="nil"/>
          <w:right w:val="nil"/>
          <w:between w:val="nil"/>
        </w:pBdr>
        <w:spacing w:line="360" w:lineRule="auto"/>
        <w:ind w:left="709" w:right="28" w:hanging="709"/>
        <w:jc w:val="both"/>
        <w:rPr>
          <w:rFonts w:eastAsia="Arial"/>
        </w:rPr>
      </w:pPr>
      <w:r w:rsidRPr="00C9288A">
        <w:rPr>
          <w:rFonts w:eastAsia="Arial"/>
        </w:rPr>
        <w:t>to investigate the volume of investments in agritech;</w:t>
      </w:r>
    </w:p>
    <w:p w14:paraId="3AABACEF" w14:textId="77777777" w:rsidR="00CE1F57" w:rsidRPr="00C9288A" w:rsidRDefault="00CE1F57" w:rsidP="00EB2F93">
      <w:pPr>
        <w:pStyle w:val="ListParagraph"/>
        <w:numPr>
          <w:ilvl w:val="0"/>
          <w:numId w:val="4"/>
        </w:numPr>
        <w:pBdr>
          <w:top w:val="nil"/>
          <w:left w:val="nil"/>
          <w:bottom w:val="nil"/>
          <w:right w:val="nil"/>
          <w:between w:val="nil"/>
        </w:pBdr>
        <w:spacing w:line="360" w:lineRule="auto"/>
        <w:ind w:left="709" w:right="28" w:hanging="709"/>
        <w:jc w:val="both"/>
        <w:rPr>
          <w:rFonts w:eastAsia="Arial"/>
        </w:rPr>
      </w:pPr>
      <w:r w:rsidRPr="00C9288A">
        <w:rPr>
          <w:rFonts w:eastAsia="Arial"/>
        </w:rPr>
        <w:t>to calculate the integral index of innovative activity;</w:t>
      </w:r>
    </w:p>
    <w:p w14:paraId="67162024" w14:textId="77777777" w:rsidR="00CE1F57"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The research hypothesis posits that the rising level of agricultural digitalization, increased investments in agritech and the development of digital infrastructure have a positive impact on labor productivity in the agricultural sector.</w:t>
      </w:r>
    </w:p>
    <w:p w14:paraId="56DC04AE" w14:textId="77777777" w:rsidR="006B6FEC" w:rsidRPr="00C9288A" w:rsidRDefault="00CE1F57" w:rsidP="00EB2F93">
      <w:pPr>
        <w:pBdr>
          <w:top w:val="nil"/>
          <w:left w:val="nil"/>
          <w:bottom w:val="nil"/>
          <w:right w:val="nil"/>
          <w:between w:val="nil"/>
        </w:pBdr>
        <w:spacing w:line="360" w:lineRule="auto"/>
        <w:ind w:right="28" w:firstLine="709"/>
        <w:jc w:val="both"/>
        <w:rPr>
          <w:rFonts w:eastAsia="Arial"/>
        </w:rPr>
      </w:pPr>
      <w:r w:rsidRPr="00C9288A">
        <w:rPr>
          <w:rFonts w:eastAsia="Arial"/>
        </w:rPr>
        <w:t>The scientific novelty lies in a comprehensive comparative analysis of the impact of digitalization, investments in agritech and digital infrastructure on labor productivity in the agricultural sectors of Ukraine, Moldova and Poland during the 2015–2025 period.</w:t>
      </w:r>
    </w:p>
    <w:p w14:paraId="5EFF8B47"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issues of agricultural startup development, digitalization, and the innovative transformation of the agricultural sector are actively studied in the scientific literature, especially in the context of forming innovative ecosystems and increasing the efficiency of agricultural production. In general, scientific approaches are consistent regarding the determining role of innovations, but differ in their interpretation of the mechanisms of their </w:t>
      </w:r>
      <w:r w:rsidRPr="00C9288A">
        <w:rPr>
          <w:rFonts w:eastAsia="Arial"/>
        </w:rPr>
        <w:lastRenderedPageBreak/>
        <w:t>influence on economic results, in particular, labor productivity and the efficiency of the agricultural sector. In the modern conditions of globalization and increased competition, digital technologies are becoming one of the key factors in ensuring the competitiveness of agricultural production. That is why researchers are paying growing attention to studying the relationship between the level of digitalization, innovative activity, and the economic performance of agricultural enterprises. Thus, Ye. Holysheva (2021) and M. Pita (2021) emphasize the importance of the cluster approach as the basis for the development of agricultural entrepreneurship, which is premised on the interaction of business, science, and the state. Similar results were obtained by I. Cuadros-Casanova et al. (2023), who, using the example of Poland, prove the effectiveness of cluster structures in stimulating innovation and increasing the productivity of the agricultural sector through institutional support and access to investment. Ultimately, it is the cluster model that creates favorable conditions for the rapid spread of innovations, the formation of partnerships, and increasing the investment attractiveness of the agricultural sector.</w:t>
      </w:r>
    </w:p>
    <w:p w14:paraId="0C8F1463"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A separate area of ​​research concerns digitalization and the development of agritech ecosystems. R. Birner (2021) defines digital technologies as a key driver of the transformation of agriculture, which includes precision agriculture, automation, and the use of data analytics. A similar position is taken by V. Turețchi and T. Turețchi (2023), who consider agricultural startups as a basic element of the innovation ecosystem, which ensures the technological renewal of the sector and increases its efficiency. The works of these authors emphasize that the development of agritech startups contributes to accelerating the implementation of modern technologies, attracting investments, and forming new business models in agriculture.</w:t>
      </w:r>
    </w:p>
    <w:p w14:paraId="680DDB86"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An important place in the literature is occupied by the issue of the impact of digital technologies on labor productivity and the optimization of production processes. In particular, the use of precision farming systems, GPS monitoring, automated machinery control systems, and unmanned technologies allows for an increase in the efficiency of resource use and a reduction in production costs. According to L. Sieczko (2021), digitalization contributes not only to economic growth, but also ensures the environmental sustainability of agricultural production by reducing the excessive use of fertilizers, pesticides, and fuel and energy resources. At the same time, D. Kobets (2025) and K. Dumanska (2021) emphasize that in countries with economies in transition, in particular in Ukraine, the digitalization of the agricultural sector is limited by an inadequate level of infrastructure, poor access to financing, and low institutional support, which hinders the impact of innovations on labor productivity. The problems of uneven access to digital technologies between large agricultural holdings and </w:t>
      </w:r>
      <w:r w:rsidRPr="00C9288A">
        <w:rPr>
          <w:rFonts w:eastAsia="Arial"/>
        </w:rPr>
        <w:lastRenderedPageBreak/>
        <w:t>small farms remain particularly relevant. Researchers emphasize that without proper government support and investment in the development of digital infrastructure, the process of the digital transformation of the agricultural sector will proceed slowly.</w:t>
      </w:r>
    </w:p>
    <w:p w14:paraId="76ABA168"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Additionally, Gascuel-Odoux et al. (2022) emphasize the role of digital technologies (IoT, big data, blockchain) in increasing the efficiency of agricultural supply chains, reducing resource losses, and increasing market transparency. However, the effectiveness of these technologies, as researchers note, depends on the level of digital literacy and the development of digital infrastructure. The introduction of blockchain technologies, for example, ensures transparency in the movement of products from producer to consumer, increasing trust in agricultural products and improving quality control.</w:t>
      </w:r>
    </w:p>
    <w:p w14:paraId="315C0B0B"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In addition, modern research emphasizes the importance of human capital in digital transformation processes. Thus, scientists note that even with the availability of modern technologies, the effectiveness of their use largely depends on the professional training of employees and the level of their digital competencies. That is why educational programs aimed at training specialists in the field of digital agribusiness and innovation management are becoming increasingly important (Guth et al., 2020; Zolkover et al., 2020).</w:t>
      </w:r>
    </w:p>
    <w:p w14:paraId="33206D01"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Despite significant scientific achievements, the complex impact of digitalization, investments in agritech, and the development of digital infrastructure on labor efficiency in the agricultural sector remains insufficiently studied. Comparative aspects of the digital transformation of agricultural systems in countries with different levels of institutional development, in particular, Ukraine, Moldova, and Poland, have also been studied to a limited extent. The mechanisms for state stimulation of innovative activity, support for agricultural startups, and the formation of effective models of interaction between business, science, and the state require further analysis.</w:t>
      </w:r>
    </w:p>
    <w:p w14:paraId="7E028831"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Therefore, there is an ongoing discussion about the importance of digitalization and innovation in the development of the agricultural sector. At the same time, a gap between technologically oriented and institutional-economic approaches has been identified. This justifies the need for a comprehensive analysis of the relationship between digitalization, investment, and labor efficiency.</w:t>
      </w:r>
    </w:p>
    <w:p w14:paraId="422FAEEB"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practical significance of the study lies in the possibility of using its results to formulate an effective policy for the digital transformation of the agricultural sector and support for agritech startups. The conclusions obtained can be applied by agricultural enterprises, farms, investors, and government agencies to increase labor productivity through the introduction of innovative technologies. The results of the study can also be useful for </w:t>
      </w:r>
      <w:r w:rsidRPr="00C9288A">
        <w:rPr>
          <w:rFonts w:eastAsia="Arial"/>
        </w:rPr>
        <w:lastRenderedPageBreak/>
        <w:t>developing strategies for the digital development of agricultural enterprises, improving mechanisms for state support for innovation, and stimulating investment activity in the field of agricultural technologies. In addition, the study materials can be used in the educational process of higher education institutions when training specialists in agricultural economics, management, and digital agribusiness.</w:t>
      </w:r>
    </w:p>
    <w:p w14:paraId="7F7B0DE2" w14:textId="77777777" w:rsidR="00C9288A" w:rsidRPr="00C9288A" w:rsidRDefault="00C9288A" w:rsidP="00EB2F93">
      <w:pPr>
        <w:pBdr>
          <w:top w:val="nil"/>
          <w:left w:val="nil"/>
          <w:bottom w:val="nil"/>
          <w:right w:val="nil"/>
          <w:between w:val="nil"/>
        </w:pBdr>
        <w:spacing w:line="360" w:lineRule="auto"/>
        <w:jc w:val="both"/>
        <w:rPr>
          <w:rFonts w:eastAsia="Arial"/>
          <w:lang w:val="uk-UA"/>
        </w:rPr>
      </w:pPr>
    </w:p>
    <w:p w14:paraId="3A565599" w14:textId="5917C205" w:rsidR="006B6FEC" w:rsidRPr="00C9288A" w:rsidRDefault="00787F1E" w:rsidP="00EB2F93">
      <w:pPr>
        <w:pBdr>
          <w:top w:val="nil"/>
          <w:left w:val="nil"/>
          <w:bottom w:val="nil"/>
          <w:right w:val="nil"/>
          <w:between w:val="nil"/>
        </w:pBdr>
        <w:spacing w:line="360" w:lineRule="auto"/>
        <w:jc w:val="both"/>
        <w:rPr>
          <w:rFonts w:eastAsia="Arial"/>
          <w:b/>
          <w:bCs/>
        </w:rPr>
      </w:pPr>
      <w:r w:rsidRPr="00C9288A">
        <w:rPr>
          <w:rFonts w:eastAsia="Arial"/>
          <w:b/>
          <w:bCs/>
        </w:rPr>
        <w:t xml:space="preserve">Materials and methods </w:t>
      </w:r>
    </w:p>
    <w:p w14:paraId="1D1E9B76" w14:textId="10769E24" w:rsidR="00F86238" w:rsidRPr="00C9288A" w:rsidRDefault="00F86238" w:rsidP="00EB2F93">
      <w:pPr>
        <w:pBdr>
          <w:top w:val="nil"/>
          <w:left w:val="nil"/>
          <w:bottom w:val="nil"/>
          <w:right w:val="nil"/>
          <w:between w:val="nil"/>
        </w:pBdr>
        <w:spacing w:line="360" w:lineRule="auto"/>
        <w:jc w:val="both"/>
        <w:rPr>
          <w:rFonts w:eastAsia="Arial"/>
          <w:b/>
          <w:i/>
          <w:iCs/>
        </w:rPr>
      </w:pPr>
      <w:r w:rsidRPr="00C9288A">
        <w:rPr>
          <w:rFonts w:eastAsia="Arial"/>
          <w:b/>
          <w:i/>
          <w:iCs/>
        </w:rPr>
        <w:t>Research procedure</w:t>
      </w:r>
    </w:p>
    <w:p w14:paraId="3A3EBF48"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The research procedure included several consecutive stages: the collection and systematization of statistical data from official national and international sources. Data were collected by analyzing official statistical reports, analytical materials, and international information platforms for the period 2015–2025. After collecting the information, it was verified, grouped, and harmonized across indicators to ensure comparability between countries. Data processing was carried out using statistical analysis methods, in particular, comparative analysis, trend analysis, and multiple regression. To assess the level of innovative development, an integral index of innovative activity was calculated based on the standardization and generalization of key indicators of digitalization, investment activity, and the development of digital infrastructure. The final stage was the generalization and interpretation of the results obtained in order to determine the impact of digitalization and innovation on the development of the agricultural sector and labor productivity.</w:t>
      </w:r>
    </w:p>
    <w:p w14:paraId="367B7F21" w14:textId="77777777" w:rsidR="00C9288A" w:rsidRDefault="00C9288A" w:rsidP="00EB2F93">
      <w:pPr>
        <w:pBdr>
          <w:top w:val="nil"/>
          <w:left w:val="nil"/>
          <w:bottom w:val="nil"/>
          <w:right w:val="nil"/>
          <w:between w:val="nil"/>
        </w:pBdr>
        <w:spacing w:line="360" w:lineRule="auto"/>
        <w:jc w:val="both"/>
        <w:rPr>
          <w:rFonts w:eastAsia="Arial"/>
          <w:b/>
          <w:lang w:val="uk-UA"/>
        </w:rPr>
      </w:pPr>
    </w:p>
    <w:p w14:paraId="143CF697" w14:textId="0576B7F2" w:rsidR="00F86238" w:rsidRPr="00C9288A" w:rsidRDefault="00F86238" w:rsidP="00EB2F93">
      <w:pPr>
        <w:pBdr>
          <w:top w:val="nil"/>
          <w:left w:val="nil"/>
          <w:bottom w:val="nil"/>
          <w:right w:val="nil"/>
          <w:between w:val="nil"/>
        </w:pBdr>
        <w:spacing w:line="360" w:lineRule="auto"/>
        <w:jc w:val="both"/>
        <w:rPr>
          <w:rFonts w:eastAsia="Arial"/>
          <w:b/>
          <w:i/>
          <w:iCs/>
        </w:rPr>
      </w:pPr>
      <w:r w:rsidRPr="00C9288A">
        <w:rPr>
          <w:rFonts w:eastAsia="Arial"/>
          <w:b/>
          <w:i/>
          <w:iCs/>
        </w:rPr>
        <w:t>Object and territory of the study</w:t>
      </w:r>
    </w:p>
    <w:p w14:paraId="01CCB2A3"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Territorially, the study covers three countries: Ukraine, the Republic of Moldova, and Poland. The choice of these countries is due to the need to compare models of agricultural sector development in the conditions of different levels of integration into the European economic and institutional space, as well as differences in the level of digitalization and innovative activity. Ukraine and Moldova belong to the group of candidate countries for accession to the European Union and are simultaneously participants in the European Neighborhood Policy and the Eastern Partnership, while Poland is a full member of the EU with an established system of support for the innovative development of the agricultural sector. This approach allows for a comparative analysis of transformation processes in countries with different levels of institutional integration and different mechanisms of state support for the digitalization of agriculture.</w:t>
      </w:r>
    </w:p>
    <w:p w14:paraId="24EDB809"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lastRenderedPageBreak/>
        <w:t>The criteria for including countries in the sample were: a significant role of the agricultural sector in the national economy; the availability of official statistical information on digitalization, agritech investments, and labor productivity; participation in European integration processes; the similarity of historical and economic conditions of transformation in the agricultural sector; as well as the geographical and economic proximity of the countries. An important criterion was also the ability to trace different models of state policy in the field of digital transformation and support for innovative entrepreneurship in the agricultural sector.</w:t>
      </w:r>
    </w:p>
    <w:p w14:paraId="010DDA07" w14:textId="77777777" w:rsidR="00C9288A" w:rsidRDefault="00C9288A" w:rsidP="00EB2F93">
      <w:pPr>
        <w:pBdr>
          <w:top w:val="nil"/>
          <w:left w:val="nil"/>
          <w:bottom w:val="nil"/>
          <w:right w:val="nil"/>
          <w:between w:val="nil"/>
        </w:pBdr>
        <w:spacing w:line="360" w:lineRule="auto"/>
        <w:jc w:val="both"/>
        <w:rPr>
          <w:rFonts w:eastAsia="Arial"/>
          <w:b/>
          <w:lang w:val="uk-UA"/>
        </w:rPr>
      </w:pPr>
    </w:p>
    <w:p w14:paraId="4EB9FA2D" w14:textId="479382CD" w:rsidR="00F86238" w:rsidRPr="00C9288A" w:rsidRDefault="00F86238" w:rsidP="00EB2F93">
      <w:pPr>
        <w:pBdr>
          <w:top w:val="nil"/>
          <w:left w:val="nil"/>
          <w:bottom w:val="nil"/>
          <w:right w:val="nil"/>
          <w:between w:val="nil"/>
        </w:pBdr>
        <w:spacing w:line="360" w:lineRule="auto"/>
        <w:jc w:val="both"/>
        <w:rPr>
          <w:rFonts w:eastAsia="Arial"/>
          <w:b/>
          <w:i/>
          <w:iCs/>
        </w:rPr>
      </w:pPr>
      <w:r w:rsidRPr="00C9288A">
        <w:rPr>
          <w:rFonts w:eastAsia="Arial"/>
          <w:b/>
          <w:i/>
          <w:iCs/>
        </w:rPr>
        <w:t>Data sources</w:t>
      </w:r>
    </w:p>
    <w:p w14:paraId="4FBF7713" w14:textId="77777777" w:rsidR="00FB416A"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study is based on the comprehensive use of statistical and analytical materials that reflect the processes of digitalization and innovative development of the agricultural sector of Ukraine, Moldova and Poland during 2015-2025. In particular, analytical reports of international organizations and national statistical services were used, which provide an empirical basis for research on the digitalization of the agricultural sector and the development of agritech ecosystems. In particular, the following key official publications were used: </w:t>
      </w:r>
    </w:p>
    <w:p w14:paraId="7F47EEDD" w14:textId="4FED7813" w:rsidR="00F86238"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 xml:space="preserve">FAO – The State of Food and Agriculture </w:t>
      </w:r>
      <w:r w:rsidR="00F30230" w:rsidRPr="00C9288A">
        <w:rPr>
          <w:rFonts w:eastAsia="Arial"/>
        </w:rPr>
        <w:t>(</w:t>
      </w:r>
      <w:r w:rsidRPr="00C9288A">
        <w:rPr>
          <w:rFonts w:eastAsia="Arial"/>
        </w:rPr>
        <w:t>2022</w:t>
      </w:r>
      <w:r w:rsidR="00F30230" w:rsidRPr="00C9288A">
        <w:rPr>
          <w:rFonts w:eastAsia="Arial"/>
        </w:rPr>
        <w:t>);</w:t>
      </w:r>
    </w:p>
    <w:p w14:paraId="05A381C2" w14:textId="61A57157" w:rsidR="00FB416A"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OECD – The</w:t>
      </w:r>
      <w:r w:rsidR="00F30230" w:rsidRPr="00C9288A">
        <w:rPr>
          <w:rFonts w:eastAsia="Arial"/>
        </w:rPr>
        <w:t xml:space="preserve"> Digitalisation of Agriculture (2022);</w:t>
      </w:r>
    </w:p>
    <w:p w14:paraId="68458A5B" w14:textId="77777777" w:rsidR="00F30230"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 xml:space="preserve">World Bank </w:t>
      </w:r>
      <w:r w:rsidR="00F30230" w:rsidRPr="00C9288A">
        <w:rPr>
          <w:rFonts w:eastAsia="Arial"/>
        </w:rPr>
        <w:t>Data (2015-2025);</w:t>
      </w:r>
    </w:p>
    <w:p w14:paraId="00DEEA31" w14:textId="77777777" w:rsidR="00F30230"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Eurostat</w:t>
      </w:r>
      <w:r w:rsidR="00F30230" w:rsidRPr="00C9288A">
        <w:rPr>
          <w:rFonts w:eastAsia="Arial"/>
        </w:rPr>
        <w:t xml:space="preserve"> Data (2015-2025);</w:t>
      </w:r>
    </w:p>
    <w:p w14:paraId="32344D6A" w14:textId="77777777" w:rsidR="00F30230"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 xml:space="preserve">FAOSTAT </w:t>
      </w:r>
      <w:r w:rsidR="00F30230" w:rsidRPr="00C9288A">
        <w:rPr>
          <w:rFonts w:eastAsia="Arial"/>
        </w:rPr>
        <w:t xml:space="preserve">(2015-2025); </w:t>
      </w:r>
    </w:p>
    <w:p w14:paraId="58A13EB5" w14:textId="7B1F7339" w:rsidR="00F30230" w:rsidRPr="00C9288A" w:rsidRDefault="00F86238" w:rsidP="00EB2F93">
      <w:pPr>
        <w:pStyle w:val="ListParagraph"/>
        <w:numPr>
          <w:ilvl w:val="0"/>
          <w:numId w:val="7"/>
        </w:numPr>
        <w:pBdr>
          <w:top w:val="nil"/>
          <w:left w:val="nil"/>
          <w:bottom w:val="nil"/>
          <w:right w:val="nil"/>
          <w:between w:val="nil"/>
        </w:pBdr>
        <w:spacing w:line="360" w:lineRule="auto"/>
        <w:ind w:left="709" w:hanging="709"/>
        <w:jc w:val="both"/>
        <w:rPr>
          <w:rFonts w:eastAsia="Arial"/>
        </w:rPr>
      </w:pPr>
      <w:r w:rsidRPr="00C9288A">
        <w:rPr>
          <w:rFonts w:eastAsia="Arial"/>
        </w:rPr>
        <w:t>Stat</w:t>
      </w:r>
      <w:r w:rsidR="00F30230" w:rsidRPr="00C9288A">
        <w:rPr>
          <w:rFonts w:eastAsia="Arial"/>
        </w:rPr>
        <w:t xml:space="preserve">e Statistics Service of Ukraine, Moldova and Poland. </w:t>
      </w:r>
    </w:p>
    <w:p w14:paraId="4200E294"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Statistical information was collected through a targeted selection of indicators from official electronic databases and reports for the period 2015–2025. Searches in international databases (FAOSTAT, World Bank Data, Eurostat, OECD Data Explorer) were conducted using key queries: “digital agriculture”, “ICT in agriculture”, “agritech investment”, “rural broadband access”, “agricultural labor productivity”, “precision farming”, and “innovation in agriculture”.</w:t>
      </w:r>
    </w:p>
    <w:p w14:paraId="37012487"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The following categories were used in national statistical databases: “innovative activity”, “agriculture”, “information and communication technologies”, “digitalization of the economy”, “capital investments”, and “broadband Internet in rural areas”.</w:t>
      </w:r>
    </w:p>
    <w:p w14:paraId="41E323F0"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Particular attention was paid to data on the level of implementation of digital technologies in agriculture, the dynamics of investments in agritech, labor productivity in the agricultural sector, and the development of digital infrastructure in rural areas.</w:t>
      </w:r>
    </w:p>
    <w:p w14:paraId="34870DAF" w14:textId="77777777" w:rsidR="00C9288A" w:rsidRDefault="00C9288A" w:rsidP="00EB2F93">
      <w:pPr>
        <w:pBdr>
          <w:top w:val="nil"/>
          <w:left w:val="nil"/>
          <w:bottom w:val="nil"/>
          <w:right w:val="nil"/>
          <w:between w:val="nil"/>
        </w:pBdr>
        <w:spacing w:line="360" w:lineRule="auto"/>
        <w:jc w:val="both"/>
        <w:rPr>
          <w:rFonts w:eastAsia="Arial"/>
          <w:b/>
          <w:lang w:val="uk-UA"/>
        </w:rPr>
      </w:pPr>
    </w:p>
    <w:p w14:paraId="41E6804F" w14:textId="6169D7C2" w:rsidR="00F86238" w:rsidRPr="00C9288A" w:rsidRDefault="00F86238" w:rsidP="00EB2F93">
      <w:pPr>
        <w:pBdr>
          <w:top w:val="nil"/>
          <w:left w:val="nil"/>
          <w:bottom w:val="nil"/>
          <w:right w:val="nil"/>
          <w:between w:val="nil"/>
        </w:pBdr>
        <w:spacing w:line="360" w:lineRule="auto"/>
        <w:jc w:val="both"/>
        <w:rPr>
          <w:rFonts w:eastAsia="Arial"/>
          <w:b/>
          <w:i/>
          <w:iCs/>
        </w:rPr>
      </w:pPr>
      <w:r w:rsidRPr="00C9288A">
        <w:rPr>
          <w:rFonts w:eastAsia="Arial"/>
          <w:b/>
          <w:i/>
          <w:iCs/>
        </w:rPr>
        <w:t>Methods of data processing and analysis</w:t>
      </w:r>
    </w:p>
    <w:p w14:paraId="42D53389"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The methodological basis of the study combines quantitative and qualitative methods of analysis aimed at assessing the level of digitalization and innovative development of the agricultural sector of Ukraine, Moldova, and Poland. To identify the main trends in the development of the agricultural sector during 2015–2025, the descriptive statistics method was used, which allowed for the analysis of the dynamics of implementing digital technologies, investments in agritech, labor productivity, and the development of broadband Internet in rural areas.</w:t>
      </w:r>
    </w:p>
    <w:p w14:paraId="0826EAA3" w14:textId="77777777" w:rsidR="00FB416A" w:rsidRPr="00C9288A" w:rsidRDefault="00FB416A" w:rsidP="00EB2F93">
      <w:pPr>
        <w:pBdr>
          <w:top w:val="nil"/>
          <w:left w:val="nil"/>
          <w:bottom w:val="nil"/>
          <w:right w:val="nil"/>
          <w:between w:val="nil"/>
        </w:pBdr>
        <w:spacing w:line="360" w:lineRule="auto"/>
        <w:ind w:firstLine="709"/>
        <w:jc w:val="both"/>
        <w:rPr>
          <w:rFonts w:eastAsia="Arial"/>
        </w:rPr>
      </w:pPr>
      <w:r w:rsidRPr="00C9288A">
        <w:rPr>
          <w:rFonts w:eastAsia="Arial"/>
        </w:rPr>
        <w:t>Comparative analysis was used to identify differences between countries in terms of the level of digitalization, investment activity, the development of digital infrastructure, and the effectiveness of innovative modernization of the agricultural sector. This made it possible to assess the specifics of national models of digital transformation of agriculture and determine the features of state support for innovative development.</w:t>
      </w:r>
    </w:p>
    <w:p w14:paraId="580416DA" w14:textId="77777777" w:rsidR="00FB416A" w:rsidRDefault="00FB416A" w:rsidP="00EB2F93">
      <w:pPr>
        <w:pBdr>
          <w:top w:val="nil"/>
          <w:left w:val="nil"/>
          <w:bottom w:val="nil"/>
          <w:right w:val="nil"/>
          <w:between w:val="nil"/>
        </w:pBdr>
        <w:spacing w:line="360" w:lineRule="auto"/>
        <w:ind w:firstLine="709"/>
        <w:jc w:val="both"/>
        <w:rPr>
          <w:rFonts w:eastAsia="Arial"/>
          <w:lang w:val="uk-UA"/>
        </w:rPr>
      </w:pPr>
      <w:r w:rsidRPr="00C9288A">
        <w:rPr>
          <w:rFonts w:eastAsia="Arial"/>
        </w:rPr>
        <w:t>To summarize the results of the innovative transformation of the agricultural sector, an integ</w:t>
      </w:r>
      <w:r w:rsidR="00AC1E98" w:rsidRPr="00C9288A">
        <w:rPr>
          <w:rFonts w:eastAsia="Arial"/>
        </w:rPr>
        <w:t>ral innovation activity index (IAI</w:t>
      </w:r>
      <w:r w:rsidRPr="00C9288A">
        <w:rPr>
          <w:rFonts w:eastAsia="Arial"/>
        </w:rPr>
        <w:t>) was calculated, which takes into account the level of digitalization, startup activity, innovative investments, and the development of digital infrastructure in rural areas. The index was determined by the formula:</w:t>
      </w:r>
    </w:p>
    <w:p w14:paraId="6C10412D" w14:textId="77777777" w:rsidR="00C9288A" w:rsidRPr="00C9288A" w:rsidRDefault="00C9288A" w:rsidP="00EB2F93">
      <w:pPr>
        <w:pBdr>
          <w:top w:val="nil"/>
          <w:left w:val="nil"/>
          <w:bottom w:val="nil"/>
          <w:right w:val="nil"/>
          <w:between w:val="nil"/>
        </w:pBdr>
        <w:spacing w:line="360" w:lineRule="auto"/>
        <w:ind w:firstLine="709"/>
        <w:jc w:val="both"/>
        <w:rPr>
          <w:rFonts w:eastAsia="Arial"/>
          <w:lang w:val="uk-UA"/>
        </w:rPr>
      </w:pPr>
    </w:p>
    <w:p w14:paraId="2FED8668" w14:textId="764EE9F6" w:rsidR="00F86238" w:rsidRPr="00C9288A" w:rsidRDefault="00C9288A" w:rsidP="00EB2F93">
      <w:pPr>
        <w:pBdr>
          <w:top w:val="nil"/>
          <w:left w:val="nil"/>
          <w:bottom w:val="nil"/>
          <w:right w:val="nil"/>
          <w:between w:val="nil"/>
        </w:pBdr>
        <w:spacing w:line="360" w:lineRule="auto"/>
        <w:ind w:firstLine="709"/>
        <w:jc w:val="center"/>
        <w:rPr>
          <w:rFonts w:eastAsia="Arial"/>
        </w:rPr>
      </w:pPr>
      <m:oMathPara>
        <m:oMath>
          <m:r>
            <m:rPr>
              <m:sty m:val="p"/>
            </m:rPr>
            <w:rPr>
              <w:rFonts w:ascii="Cambria Math" w:eastAsia="Arial" w:hAnsi="Cambria Math"/>
            </w:rPr>
            <m:t>IAI= (D+S+I+R )/4</m:t>
          </m:r>
        </m:oMath>
      </m:oMathPara>
    </w:p>
    <w:p w14:paraId="464A1C1F" w14:textId="77777777" w:rsidR="00F86238"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where:</w:t>
      </w:r>
    </w:p>
    <w:p w14:paraId="2425B106" w14:textId="77777777" w:rsidR="00F86238" w:rsidRPr="00C9288A" w:rsidRDefault="00F86238" w:rsidP="00EB2F93">
      <w:pPr>
        <w:pStyle w:val="ListParagraph"/>
        <w:numPr>
          <w:ilvl w:val="0"/>
          <w:numId w:val="9"/>
        </w:numPr>
        <w:pBdr>
          <w:top w:val="nil"/>
          <w:left w:val="nil"/>
          <w:bottom w:val="nil"/>
          <w:right w:val="nil"/>
          <w:between w:val="nil"/>
        </w:pBdr>
        <w:spacing w:line="360" w:lineRule="auto"/>
        <w:ind w:left="0" w:firstLine="709"/>
        <w:jc w:val="both"/>
        <w:rPr>
          <w:rFonts w:eastAsia="Arial"/>
        </w:rPr>
      </w:pPr>
      <w:r w:rsidRPr="00C9288A">
        <w:rPr>
          <w:rFonts w:eastAsia="Arial"/>
        </w:rPr>
        <w:t xml:space="preserve">D – </w:t>
      </w:r>
      <w:r w:rsidR="00FB416A" w:rsidRPr="00C9288A">
        <w:rPr>
          <w:rFonts w:eastAsia="Arial"/>
        </w:rPr>
        <w:t xml:space="preserve">the </w:t>
      </w:r>
      <w:r w:rsidRPr="00C9288A">
        <w:rPr>
          <w:rFonts w:eastAsia="Arial"/>
        </w:rPr>
        <w:t>level of digitalization of the agricultural sector (%)</w:t>
      </w:r>
      <w:r w:rsidR="00FB416A" w:rsidRPr="00C9288A">
        <w:rPr>
          <w:rFonts w:eastAsia="Arial"/>
        </w:rPr>
        <w:t>, c</w:t>
      </w:r>
      <w:r w:rsidRPr="00C9288A">
        <w:rPr>
          <w:rFonts w:eastAsia="Arial"/>
        </w:rPr>
        <w:t>alculated as the share of agricultural enterprises using digital technologies (GPS monitoring, IoT solutions, ERP systems, precision farming systems, digital production management platforms) in the total number of agricultural enterprises.</w:t>
      </w:r>
    </w:p>
    <w:p w14:paraId="5504EBE6" w14:textId="77777777" w:rsidR="00F86238" w:rsidRPr="00C9288A" w:rsidRDefault="00F86238" w:rsidP="00EB2F93">
      <w:pPr>
        <w:pStyle w:val="ListParagraph"/>
        <w:numPr>
          <w:ilvl w:val="0"/>
          <w:numId w:val="9"/>
        </w:numPr>
        <w:pBdr>
          <w:top w:val="nil"/>
          <w:left w:val="nil"/>
          <w:bottom w:val="nil"/>
          <w:right w:val="nil"/>
          <w:between w:val="nil"/>
        </w:pBdr>
        <w:spacing w:line="360" w:lineRule="auto"/>
        <w:ind w:left="0" w:firstLine="709"/>
        <w:jc w:val="both"/>
        <w:rPr>
          <w:rFonts w:eastAsia="Arial"/>
        </w:rPr>
      </w:pPr>
      <w:r w:rsidRPr="00C9288A">
        <w:rPr>
          <w:rFonts w:eastAsia="Arial"/>
        </w:rPr>
        <w:t xml:space="preserve">S – </w:t>
      </w:r>
      <w:r w:rsidR="00FB416A" w:rsidRPr="00C9288A">
        <w:rPr>
          <w:rFonts w:eastAsia="Arial"/>
        </w:rPr>
        <w:t xml:space="preserve">the </w:t>
      </w:r>
      <w:r w:rsidRPr="00C9288A">
        <w:rPr>
          <w:rFonts w:eastAsia="Arial"/>
        </w:rPr>
        <w:t>startup activity (number of agricultural/agrifood sta</w:t>
      </w:r>
      <w:r w:rsidR="00FB416A" w:rsidRPr="00C9288A">
        <w:rPr>
          <w:rFonts w:eastAsia="Arial"/>
        </w:rPr>
        <w:t>rtups per 1 million population), c</w:t>
      </w:r>
      <w:r w:rsidRPr="00C9288A">
        <w:rPr>
          <w:rFonts w:eastAsia="Arial"/>
        </w:rPr>
        <w:t>alculated as the ratio of the number of registered agritech startups to the country's population.</w:t>
      </w:r>
    </w:p>
    <w:p w14:paraId="38DAC3A7" w14:textId="77777777" w:rsidR="00F86238" w:rsidRPr="00C9288A" w:rsidRDefault="00F86238" w:rsidP="00EB2F93">
      <w:pPr>
        <w:pStyle w:val="ListParagraph"/>
        <w:numPr>
          <w:ilvl w:val="0"/>
          <w:numId w:val="9"/>
        </w:numPr>
        <w:pBdr>
          <w:top w:val="nil"/>
          <w:left w:val="nil"/>
          <w:bottom w:val="nil"/>
          <w:right w:val="nil"/>
          <w:between w:val="nil"/>
        </w:pBdr>
        <w:spacing w:line="360" w:lineRule="auto"/>
        <w:ind w:left="0" w:firstLine="709"/>
        <w:jc w:val="both"/>
        <w:rPr>
          <w:rFonts w:eastAsia="Arial"/>
        </w:rPr>
      </w:pPr>
      <w:r w:rsidRPr="00C9288A">
        <w:rPr>
          <w:rFonts w:eastAsia="Arial"/>
        </w:rPr>
        <w:t xml:space="preserve">I – </w:t>
      </w:r>
      <w:r w:rsidR="00196FFF" w:rsidRPr="00C9288A">
        <w:rPr>
          <w:rFonts w:eastAsia="Arial"/>
        </w:rPr>
        <w:t xml:space="preserve">the </w:t>
      </w:r>
      <w:r w:rsidRPr="00C9288A">
        <w:rPr>
          <w:rFonts w:eastAsia="Arial"/>
        </w:rPr>
        <w:t>level of innovative investments (million USD per</w:t>
      </w:r>
      <w:r w:rsidR="00FB416A" w:rsidRPr="00C9288A">
        <w:rPr>
          <w:rFonts w:eastAsia="Arial"/>
        </w:rPr>
        <w:t xml:space="preserve"> year, </w:t>
      </w:r>
      <w:r w:rsidR="00196FFF" w:rsidRPr="00C9288A">
        <w:rPr>
          <w:rFonts w:eastAsia="Arial"/>
        </w:rPr>
        <w:t>in the</w:t>
      </w:r>
      <w:r w:rsidR="00FB416A" w:rsidRPr="00C9288A">
        <w:rPr>
          <w:rFonts w:eastAsia="Arial"/>
        </w:rPr>
        <w:t xml:space="preserve"> agricultural sector), d</w:t>
      </w:r>
      <w:r w:rsidRPr="00C9288A">
        <w:rPr>
          <w:rFonts w:eastAsia="Arial"/>
        </w:rPr>
        <w:t>etermined as the sum of venture investments, private capital, government grants and international financing directed at agritech.</w:t>
      </w:r>
    </w:p>
    <w:p w14:paraId="3B90A321" w14:textId="77777777" w:rsidR="00F86238" w:rsidRPr="00C9288A" w:rsidRDefault="00F86238" w:rsidP="00EB2F93">
      <w:pPr>
        <w:pStyle w:val="ListParagraph"/>
        <w:numPr>
          <w:ilvl w:val="0"/>
          <w:numId w:val="9"/>
        </w:numPr>
        <w:pBdr>
          <w:top w:val="nil"/>
          <w:left w:val="nil"/>
          <w:bottom w:val="nil"/>
          <w:right w:val="nil"/>
          <w:between w:val="nil"/>
        </w:pBdr>
        <w:spacing w:line="360" w:lineRule="auto"/>
        <w:ind w:left="0" w:firstLine="709"/>
        <w:jc w:val="both"/>
        <w:rPr>
          <w:rFonts w:eastAsia="Arial"/>
        </w:rPr>
      </w:pPr>
      <w:r w:rsidRPr="00C9288A">
        <w:rPr>
          <w:rFonts w:eastAsia="Arial"/>
        </w:rPr>
        <w:lastRenderedPageBreak/>
        <w:t>R –</w:t>
      </w:r>
      <w:r w:rsidR="00196FFF" w:rsidRPr="00C9288A">
        <w:rPr>
          <w:rFonts w:eastAsia="Arial"/>
        </w:rPr>
        <w:t xml:space="preserve"> the</w:t>
      </w:r>
      <w:r w:rsidRPr="00C9288A">
        <w:rPr>
          <w:rFonts w:eastAsia="Arial"/>
        </w:rPr>
        <w:t xml:space="preserve"> development of digital infrastructure of rural areas (% of </w:t>
      </w:r>
      <w:r w:rsidR="00196FFF" w:rsidRPr="00C9288A">
        <w:rPr>
          <w:rFonts w:eastAsia="Arial"/>
        </w:rPr>
        <w:t xml:space="preserve">the </w:t>
      </w:r>
      <w:r w:rsidRPr="00C9288A">
        <w:rPr>
          <w:rFonts w:eastAsia="Arial"/>
        </w:rPr>
        <w:t>rural population wit</w:t>
      </w:r>
      <w:r w:rsidR="00196FFF" w:rsidRPr="00C9288A">
        <w:rPr>
          <w:rFonts w:eastAsia="Arial"/>
        </w:rPr>
        <w:t>h access to broadband Internet),</w:t>
      </w:r>
      <w:r w:rsidRPr="00C9288A">
        <w:rPr>
          <w:rFonts w:eastAsia="Arial"/>
        </w:rPr>
        <w:t xml:space="preserve"> calculated as the share of the rural population that has access to broadband Internet with a speed not lower than the OECD baseline threshold.</w:t>
      </w:r>
    </w:p>
    <w:p w14:paraId="36CEEB13" w14:textId="77777777" w:rsidR="00F86238"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Regression analysis was used to assess the impact of digitalization and investment activity on the efficiency of agricultural production. In the model, the dependent variable was labor productivity in the agricultural sector, and the independent variables were the level of implementation of digital technologies, the volume of investments in agritech and the level of broadband Internet coverage in rural areas. The multiple regression model has the form:</w:t>
      </w:r>
    </w:p>
    <w:p w14:paraId="3B1D19AF" w14:textId="00FCFE1E" w:rsidR="00F86238" w:rsidRDefault="00F86238" w:rsidP="00EB2F93">
      <w:pPr>
        <w:pBdr>
          <w:top w:val="nil"/>
          <w:left w:val="nil"/>
          <w:bottom w:val="nil"/>
          <w:right w:val="nil"/>
          <w:between w:val="nil"/>
        </w:pBdr>
        <w:spacing w:line="360" w:lineRule="auto"/>
        <w:ind w:firstLine="709"/>
        <w:jc w:val="center"/>
        <w:rPr>
          <w:rFonts w:eastAsia="Arial"/>
          <w:lang w:val="uk-UA"/>
        </w:rPr>
      </w:pPr>
    </w:p>
    <w:p w14:paraId="0EE9E14D" w14:textId="1084B317" w:rsidR="00C9288A" w:rsidRPr="00C9288A" w:rsidRDefault="00C9288A" w:rsidP="00EB2F93">
      <w:pPr>
        <w:pBdr>
          <w:top w:val="nil"/>
          <w:left w:val="nil"/>
          <w:bottom w:val="nil"/>
          <w:right w:val="nil"/>
          <w:between w:val="nil"/>
        </w:pBdr>
        <w:spacing w:line="360" w:lineRule="auto"/>
        <w:ind w:firstLine="709"/>
        <w:jc w:val="center"/>
        <w:rPr>
          <w:rFonts w:eastAsia="Arial"/>
          <w:lang w:val="uk-UA"/>
        </w:rPr>
      </w:pPr>
      <m:oMathPara>
        <m:oMath>
          <m:r>
            <m:rPr>
              <m:sty m:val="p"/>
            </m:rPr>
            <w:rPr>
              <w:rFonts w:ascii="Cambria Math" w:eastAsia="Arial" w:hAnsi="Cambria Math"/>
            </w:rPr>
            <m:t xml:space="preserve">Y=β0+β1X1+β2X2+β3X3+ε </m:t>
          </m:r>
        </m:oMath>
      </m:oMathPara>
    </w:p>
    <w:p w14:paraId="666F29FC" w14:textId="77777777" w:rsidR="00F86238"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where:</w:t>
      </w:r>
    </w:p>
    <w:p w14:paraId="51AA9977"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Y – </w:t>
      </w:r>
      <w:r w:rsidR="00196FFF" w:rsidRPr="00C9288A">
        <w:rPr>
          <w:rFonts w:eastAsia="Arial"/>
        </w:rPr>
        <w:t xml:space="preserve">the </w:t>
      </w:r>
      <w:r w:rsidRPr="00C9288A">
        <w:rPr>
          <w:rFonts w:eastAsia="Arial"/>
        </w:rPr>
        <w:t>labor productivity in the agricultural sector (thousands of US dollars per employee)</w:t>
      </w:r>
    </w:p>
    <w:p w14:paraId="18CE39CF"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X1 – </w:t>
      </w:r>
      <w:r w:rsidR="00196FFF" w:rsidRPr="00C9288A">
        <w:rPr>
          <w:rFonts w:eastAsia="Arial"/>
        </w:rPr>
        <w:t xml:space="preserve">the </w:t>
      </w:r>
      <w:r w:rsidRPr="00C9288A">
        <w:rPr>
          <w:rFonts w:eastAsia="Arial"/>
        </w:rPr>
        <w:t>level of implementation of digital technologies (%);</w:t>
      </w:r>
    </w:p>
    <w:p w14:paraId="3A8C69EE"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X2 – </w:t>
      </w:r>
      <w:r w:rsidR="00196FFF" w:rsidRPr="00C9288A">
        <w:rPr>
          <w:rFonts w:eastAsia="Arial"/>
        </w:rPr>
        <w:t xml:space="preserve">the </w:t>
      </w:r>
      <w:r w:rsidRPr="00C9288A">
        <w:rPr>
          <w:rFonts w:eastAsia="Arial"/>
        </w:rPr>
        <w:t>investments in agritech 9 million US dollars per year);</w:t>
      </w:r>
    </w:p>
    <w:p w14:paraId="37C89DFD"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X3 – </w:t>
      </w:r>
      <w:r w:rsidR="00196FFF" w:rsidRPr="00C9288A">
        <w:rPr>
          <w:rFonts w:eastAsia="Arial"/>
        </w:rPr>
        <w:t xml:space="preserve">the </w:t>
      </w:r>
      <w:r w:rsidRPr="00C9288A">
        <w:rPr>
          <w:rFonts w:eastAsia="Arial"/>
        </w:rPr>
        <w:t>level of broadband Internet coverage in rural areas (%);</w:t>
      </w:r>
    </w:p>
    <w:p w14:paraId="2661B42D"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β0 – </w:t>
      </w:r>
      <w:r w:rsidR="00196FFF" w:rsidRPr="00C9288A">
        <w:rPr>
          <w:rFonts w:eastAsia="Arial"/>
        </w:rPr>
        <w:t xml:space="preserve">the </w:t>
      </w:r>
      <w:r w:rsidRPr="00C9288A">
        <w:rPr>
          <w:rFonts w:eastAsia="Arial"/>
        </w:rPr>
        <w:t>model constant;</w:t>
      </w:r>
    </w:p>
    <w:p w14:paraId="0D49DDD8"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β1,β2,β3 – </w:t>
      </w:r>
      <w:r w:rsidR="00196FFF" w:rsidRPr="00C9288A">
        <w:rPr>
          <w:rFonts w:eastAsia="Arial"/>
        </w:rPr>
        <w:t xml:space="preserve">the </w:t>
      </w:r>
      <w:r w:rsidRPr="00C9288A">
        <w:rPr>
          <w:rFonts w:eastAsia="Arial"/>
        </w:rPr>
        <w:t>regression coefficients;</w:t>
      </w:r>
    </w:p>
    <w:p w14:paraId="65D0637C" w14:textId="77777777" w:rsidR="00F86238" w:rsidRPr="00C9288A" w:rsidRDefault="00F86238" w:rsidP="00EB2F93">
      <w:pPr>
        <w:pStyle w:val="ListParagraph"/>
        <w:numPr>
          <w:ilvl w:val="0"/>
          <w:numId w:val="10"/>
        </w:numPr>
        <w:pBdr>
          <w:top w:val="nil"/>
          <w:left w:val="nil"/>
          <w:bottom w:val="nil"/>
          <w:right w:val="nil"/>
          <w:between w:val="nil"/>
        </w:pBdr>
        <w:spacing w:line="360" w:lineRule="auto"/>
        <w:ind w:left="0" w:firstLine="709"/>
        <w:jc w:val="both"/>
        <w:rPr>
          <w:rFonts w:eastAsia="Arial"/>
        </w:rPr>
      </w:pPr>
      <w:r w:rsidRPr="00C9288A">
        <w:rPr>
          <w:rFonts w:eastAsia="Arial"/>
        </w:rPr>
        <w:t xml:space="preserve">ε – </w:t>
      </w:r>
      <w:r w:rsidR="00196FFF" w:rsidRPr="00C9288A">
        <w:rPr>
          <w:rFonts w:eastAsia="Arial"/>
        </w:rPr>
        <w:t xml:space="preserve">the </w:t>
      </w:r>
      <w:r w:rsidRPr="00C9288A">
        <w:rPr>
          <w:rFonts w:eastAsia="Arial"/>
        </w:rPr>
        <w:t>random error.</w:t>
      </w:r>
    </w:p>
    <w:p w14:paraId="068578D9" w14:textId="77777777" w:rsidR="00F86238"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Econometric calculations and </w:t>
      </w:r>
      <w:r w:rsidR="00196FFF" w:rsidRPr="00C9288A">
        <w:rPr>
          <w:rFonts w:eastAsia="Arial"/>
        </w:rPr>
        <w:t xml:space="preserve">the </w:t>
      </w:r>
      <w:r w:rsidRPr="00C9288A">
        <w:rPr>
          <w:rFonts w:eastAsia="Arial"/>
        </w:rPr>
        <w:t xml:space="preserve">construction of multiple regression models were carried out using the software packages IBM SPSS Statistics 26 and Microsoft Excel (Data Analysis ToolPak). Pre-processing of data, calculation of integral indices and </w:t>
      </w:r>
      <w:r w:rsidR="00196FFF" w:rsidRPr="00C9288A">
        <w:rPr>
          <w:rFonts w:eastAsia="Arial"/>
        </w:rPr>
        <w:t xml:space="preserve">the </w:t>
      </w:r>
      <w:r w:rsidRPr="00C9288A">
        <w:rPr>
          <w:rFonts w:eastAsia="Arial"/>
        </w:rPr>
        <w:t xml:space="preserve">formation of time series were performed in Microsoft Excel. </w:t>
      </w:r>
      <w:r w:rsidR="00196FFF" w:rsidRPr="00C9288A">
        <w:rPr>
          <w:rFonts w:eastAsia="Arial"/>
        </w:rPr>
        <w:t>The estimation</w:t>
      </w:r>
      <w:r w:rsidRPr="00C9288A">
        <w:rPr>
          <w:rFonts w:eastAsia="Arial"/>
        </w:rPr>
        <w:t xml:space="preserve"> of regression model parameters, verification of </w:t>
      </w:r>
      <w:r w:rsidR="00196FFF" w:rsidRPr="00C9288A">
        <w:rPr>
          <w:rFonts w:eastAsia="Arial"/>
        </w:rPr>
        <w:t xml:space="preserve">the </w:t>
      </w:r>
      <w:r w:rsidRPr="00C9288A">
        <w:rPr>
          <w:rFonts w:eastAsia="Arial"/>
        </w:rPr>
        <w:t xml:space="preserve">statistical significance of coefficients and </w:t>
      </w:r>
      <w:r w:rsidR="00196FFF" w:rsidRPr="00C9288A">
        <w:rPr>
          <w:rFonts w:eastAsia="Arial"/>
        </w:rPr>
        <w:t xml:space="preserve">the </w:t>
      </w:r>
      <w:r w:rsidRPr="00C9288A">
        <w:rPr>
          <w:rFonts w:eastAsia="Arial"/>
        </w:rPr>
        <w:t>calculation of coefficients of determination (R²) were carried out in IBM SPSS Statistics 26 using the standard Linear Regression tool.</w:t>
      </w:r>
    </w:p>
    <w:p w14:paraId="4979C66B" w14:textId="77777777" w:rsidR="00F86238" w:rsidRPr="00C9288A" w:rsidRDefault="00F86238" w:rsidP="00EB2F93">
      <w:pPr>
        <w:pBdr>
          <w:top w:val="nil"/>
          <w:left w:val="nil"/>
          <w:bottom w:val="nil"/>
          <w:right w:val="nil"/>
          <w:between w:val="nil"/>
        </w:pBdr>
        <w:spacing w:line="360" w:lineRule="auto"/>
        <w:ind w:firstLine="709"/>
        <w:jc w:val="both"/>
        <w:rPr>
          <w:rFonts w:eastAsia="Arial"/>
        </w:rPr>
      </w:pPr>
      <w:r w:rsidRPr="00C9288A">
        <w:rPr>
          <w:rFonts w:eastAsia="Arial"/>
        </w:rPr>
        <w:t>The use of these methods allowed for a comprehensive assessment of the trends of digital transformation of the agricultural sector, identification of key factors of innovative development and determination of the features of the formation of an innovative model of agriculture in the studied countries.</w:t>
      </w:r>
    </w:p>
    <w:p w14:paraId="5FBDC971" w14:textId="3AC0AF0E" w:rsidR="006B6FEC" w:rsidRPr="00C9288A" w:rsidRDefault="00787F1E" w:rsidP="001F3A8B">
      <w:pPr>
        <w:keepNext/>
        <w:pBdr>
          <w:top w:val="nil"/>
          <w:left w:val="nil"/>
          <w:bottom w:val="nil"/>
          <w:right w:val="nil"/>
          <w:between w:val="nil"/>
        </w:pBdr>
        <w:spacing w:line="360" w:lineRule="auto"/>
        <w:jc w:val="both"/>
        <w:rPr>
          <w:rFonts w:eastAsia="Arial"/>
          <w:b/>
          <w:bCs/>
        </w:rPr>
      </w:pPr>
      <w:r w:rsidRPr="00C9288A">
        <w:rPr>
          <w:rFonts w:eastAsia="Arial"/>
          <w:b/>
          <w:bCs/>
        </w:rPr>
        <w:t xml:space="preserve">Results </w:t>
      </w:r>
    </w:p>
    <w:p w14:paraId="0EE5D456" w14:textId="581B4A2A" w:rsidR="00196FFF" w:rsidRDefault="00196FFF" w:rsidP="001F3A8B">
      <w:pPr>
        <w:keepNext/>
        <w:pBdr>
          <w:top w:val="nil"/>
          <w:left w:val="nil"/>
          <w:bottom w:val="nil"/>
          <w:right w:val="nil"/>
          <w:between w:val="nil"/>
        </w:pBdr>
        <w:spacing w:line="360" w:lineRule="auto"/>
        <w:ind w:firstLine="709"/>
        <w:jc w:val="both"/>
        <w:rPr>
          <w:rFonts w:eastAsia="Arial"/>
          <w:color w:val="000000"/>
        </w:rPr>
      </w:pPr>
      <w:r w:rsidRPr="00C9288A">
        <w:rPr>
          <w:rFonts w:eastAsia="Arial"/>
          <w:color w:val="000000"/>
        </w:rPr>
        <w:t xml:space="preserve">The level of digitalization of the agricultural sector is one of the determining factors in the formation of a competitive and innovation-oriented agriculture. An analysis of the </w:t>
      </w:r>
      <w:r w:rsidRPr="00C9288A">
        <w:rPr>
          <w:rFonts w:eastAsia="Arial"/>
          <w:color w:val="000000"/>
        </w:rPr>
        <w:lastRenderedPageBreak/>
        <w:t>dynamics of the introduction of digital technologies during 2015–2025 indicates a gradual strengthening of the role of digital solutions in the functioning of agricultural enterprises in Ukraine, Moldova, and Poland. In Ukraine, the share of agricultural enterprises using digital technologies increased from 12% in 2015 to 63% in 2025, representing an increase of more than five times. Particularly active growth has been observed after 2020, when digitalization became one of the key tools for supporting the efficiency of agricultural production in the conditions of economic instability and military challenges. In Moldova, the indicator increased from 8% to 53%, which also indicates a high pace of digital transformation, although the overall level of technological support remains lower compared to Poland. Poland demonstrates the most stable and systematic model of development in the digital agricultural sector: the level of digitalization has increased from 24% to 75%. At the same time, even in Poland, not all agricultural enterprises have full access to modern digital technologies, which indicates the persistence of certain structural barriers in the small farming sector (Fig</w:t>
      </w:r>
      <w:r w:rsidR="00C9288A">
        <w:rPr>
          <w:rFonts w:eastAsia="Arial"/>
          <w:color w:val="000000"/>
        </w:rPr>
        <w:t>ure</w:t>
      </w:r>
      <w:r w:rsidRPr="00C9288A">
        <w:rPr>
          <w:rFonts w:eastAsia="Arial"/>
          <w:color w:val="000000"/>
        </w:rPr>
        <w:t xml:space="preserve"> 1).</w:t>
      </w:r>
    </w:p>
    <w:p w14:paraId="527251AA" w14:textId="77777777" w:rsidR="00C9288A" w:rsidRPr="00C9288A" w:rsidRDefault="00C9288A" w:rsidP="00EB2F93">
      <w:pPr>
        <w:pBdr>
          <w:top w:val="nil"/>
          <w:left w:val="nil"/>
          <w:bottom w:val="nil"/>
          <w:right w:val="nil"/>
          <w:between w:val="nil"/>
        </w:pBdr>
        <w:spacing w:line="360" w:lineRule="auto"/>
        <w:ind w:firstLine="709"/>
        <w:jc w:val="both"/>
        <w:rPr>
          <w:rFonts w:eastAsia="Arial"/>
          <w:color w:val="000000"/>
        </w:rPr>
      </w:pPr>
    </w:p>
    <w:p w14:paraId="7356D9FC" w14:textId="734FF920" w:rsidR="007E370E" w:rsidRPr="00C10A8B" w:rsidRDefault="00265FCD" w:rsidP="00265FCD">
      <w:pPr>
        <w:pBdr>
          <w:top w:val="nil"/>
          <w:left w:val="nil"/>
          <w:bottom w:val="nil"/>
          <w:right w:val="nil"/>
          <w:between w:val="nil"/>
        </w:pBdr>
        <w:spacing w:line="360" w:lineRule="auto"/>
        <w:jc w:val="center"/>
        <w:rPr>
          <w:rFonts w:eastAsia="Arial"/>
        </w:rPr>
      </w:pPr>
      <w:r>
        <w:rPr>
          <w:rFonts w:eastAsia="Arial"/>
          <w:color w:val="000000"/>
        </w:rPr>
        <w:t>[</w:t>
      </w:r>
      <w:r w:rsidR="00C9288A" w:rsidRPr="00C9288A">
        <w:rPr>
          <w:rFonts w:eastAsia="Arial"/>
          <w:color w:val="000000"/>
        </w:rPr>
        <w:t>Figure 1</w:t>
      </w:r>
      <w:r>
        <w:rPr>
          <w:rFonts w:eastAsia="Arial"/>
          <w:color w:val="000000"/>
        </w:rPr>
        <w:t>]</w:t>
      </w:r>
    </w:p>
    <w:p w14:paraId="0B1212AB" w14:textId="77777777" w:rsidR="00F86238" w:rsidRPr="00C9288A" w:rsidRDefault="00F86238" w:rsidP="00EB2F93">
      <w:pPr>
        <w:pBdr>
          <w:top w:val="nil"/>
          <w:left w:val="nil"/>
          <w:bottom w:val="nil"/>
          <w:right w:val="nil"/>
          <w:between w:val="nil"/>
        </w:pBdr>
        <w:spacing w:line="360" w:lineRule="auto"/>
        <w:ind w:firstLine="709"/>
        <w:jc w:val="both"/>
        <w:rPr>
          <w:rFonts w:eastAsia="Arial"/>
          <w:i/>
          <w:iCs/>
          <w:color w:val="000000"/>
        </w:rPr>
      </w:pPr>
    </w:p>
    <w:p w14:paraId="4F62DB20" w14:textId="77777777" w:rsidR="00196FFF" w:rsidRPr="00C9288A" w:rsidRDefault="00196FFF" w:rsidP="00EB2F93">
      <w:pPr>
        <w:pBdr>
          <w:top w:val="nil"/>
          <w:left w:val="nil"/>
          <w:bottom w:val="nil"/>
          <w:right w:val="nil"/>
          <w:between w:val="nil"/>
        </w:pBdr>
        <w:spacing w:line="360" w:lineRule="auto"/>
        <w:ind w:firstLine="709"/>
        <w:jc w:val="both"/>
        <w:rPr>
          <w:rFonts w:eastAsia="Arial"/>
          <w:color w:val="000000"/>
        </w:rPr>
      </w:pPr>
      <w:r w:rsidRPr="00C9288A">
        <w:rPr>
          <w:rFonts w:eastAsia="Arial"/>
          <w:color w:val="000000"/>
        </w:rPr>
        <w:t>The activation of digitalization is directly related to the growth of investments in the agritech sector, since the implementation of modern technologies requires significant financial resources and the development of innovative infrastructure. The analysis of investment dynamics demonstrates a significant increase in the financing of agritech solutions in all studied countries. In Ukraine, the volume of investments in agritech increased from 18 million USD in 2015 to 145 million USD in 2025. Despite this positive dynamics, the volume of investments remains significantly lower compared to Poland, which is associated with high investment risks, the instability of the economic environment, and insufficient development of the domestic venture market. In Moldova, investments increased from 5 million USD to 44 million USD (Fig. 2).</w:t>
      </w:r>
    </w:p>
    <w:p w14:paraId="1E7D4385" w14:textId="77777777" w:rsidR="00196FFF" w:rsidRDefault="00196FFF" w:rsidP="00EB2F93">
      <w:pPr>
        <w:pBdr>
          <w:top w:val="nil"/>
          <w:left w:val="nil"/>
          <w:bottom w:val="nil"/>
          <w:right w:val="nil"/>
          <w:between w:val="nil"/>
        </w:pBdr>
        <w:spacing w:line="360" w:lineRule="auto"/>
        <w:ind w:firstLine="709"/>
        <w:jc w:val="both"/>
        <w:rPr>
          <w:rFonts w:eastAsia="Arial"/>
          <w:color w:val="000000"/>
        </w:rPr>
      </w:pPr>
    </w:p>
    <w:p w14:paraId="05CBB7CD" w14:textId="0C956FE0" w:rsidR="007E370E" w:rsidRPr="00265FCD" w:rsidRDefault="00265FCD" w:rsidP="00265FCD">
      <w:pPr>
        <w:pBdr>
          <w:top w:val="nil"/>
          <w:left w:val="nil"/>
          <w:bottom w:val="nil"/>
          <w:right w:val="nil"/>
          <w:between w:val="nil"/>
        </w:pBdr>
        <w:spacing w:line="360" w:lineRule="auto"/>
        <w:jc w:val="center"/>
        <w:rPr>
          <w:rFonts w:eastAsia="Arial"/>
        </w:rPr>
      </w:pPr>
      <w:bookmarkStart w:id="2" w:name="_Hlk233304906"/>
      <w:r>
        <w:rPr>
          <w:rFonts w:eastAsia="Arial"/>
          <w:color w:val="000000"/>
        </w:rPr>
        <w:t>[</w:t>
      </w:r>
      <w:r w:rsidR="00C9288A" w:rsidRPr="00C9288A">
        <w:rPr>
          <w:rFonts w:eastAsia="Arial"/>
          <w:color w:val="000000"/>
          <w:lang w:val="uk-UA"/>
        </w:rPr>
        <w:t>Figure 2</w:t>
      </w:r>
      <w:r>
        <w:rPr>
          <w:rFonts w:eastAsia="Arial"/>
          <w:color w:val="000000"/>
        </w:rPr>
        <w:t>]</w:t>
      </w:r>
    </w:p>
    <w:bookmarkEnd w:id="2"/>
    <w:p w14:paraId="6FFF94E5" w14:textId="768A75AA" w:rsidR="00196FFF" w:rsidRPr="00C9288A" w:rsidRDefault="00196FFF" w:rsidP="00EB2F93">
      <w:pPr>
        <w:pBdr>
          <w:top w:val="nil"/>
          <w:left w:val="nil"/>
          <w:bottom w:val="nil"/>
          <w:right w:val="nil"/>
          <w:between w:val="nil"/>
        </w:pBdr>
        <w:spacing w:line="360" w:lineRule="auto"/>
        <w:ind w:firstLine="709"/>
        <w:jc w:val="both"/>
        <w:rPr>
          <w:rFonts w:eastAsia="Arial"/>
          <w:color w:val="000000"/>
        </w:rPr>
      </w:pPr>
    </w:p>
    <w:p w14:paraId="3AFFFE8B" w14:textId="77777777" w:rsidR="00F86238" w:rsidRDefault="00196FFF" w:rsidP="00EB2F93">
      <w:pPr>
        <w:pBdr>
          <w:top w:val="nil"/>
          <w:left w:val="nil"/>
          <w:bottom w:val="nil"/>
          <w:right w:val="nil"/>
          <w:between w:val="nil"/>
        </w:pBdr>
        <w:spacing w:line="360" w:lineRule="auto"/>
        <w:ind w:firstLine="709"/>
        <w:jc w:val="both"/>
        <w:rPr>
          <w:rFonts w:eastAsia="Arial"/>
          <w:color w:val="000000"/>
        </w:rPr>
      </w:pPr>
      <w:r w:rsidRPr="00C9288A">
        <w:rPr>
          <w:rFonts w:eastAsia="Arial"/>
          <w:color w:val="000000"/>
        </w:rPr>
        <w:t xml:space="preserve">The growth in investment and digital modernization of the agricultural sector has a positive impact on labor productivity, which is an important indicator of the efficiency of human capital and technological potential. During the study period, labor productivity in Ukraine increased from 5.2 thousand USD per employee in 2015 to 10.4 thousand USD in 2025. This growth indicates a gradual increase in the technological level of agricultural </w:t>
      </w:r>
      <w:r w:rsidRPr="00C9288A">
        <w:rPr>
          <w:rFonts w:eastAsia="Arial"/>
          <w:color w:val="000000"/>
        </w:rPr>
        <w:lastRenderedPageBreak/>
        <w:t>production and the automation of production processes. In Moldova, the indicator increased from 3.4 to 6.5 thousand USD, which also confirms the positive impact of innovative activity, although limited financial resources and a weak infrastructure base are holding back the pace of development. Poland demonstrates the highest level of labor productivity — an increase from 12.1 to 19.5 thousand USD per employee. At the same time, the gradual slowdown in growth rates in 2023–2025 may indicate an approach to the limit of extensive technological growth and the need to transition to more complex innovative development models (Table 1).</w:t>
      </w:r>
    </w:p>
    <w:p w14:paraId="391DED5E" w14:textId="77777777" w:rsidR="003A656D" w:rsidRPr="00C9288A" w:rsidRDefault="003A656D" w:rsidP="00EB2F93">
      <w:pPr>
        <w:pBdr>
          <w:top w:val="nil"/>
          <w:left w:val="nil"/>
          <w:bottom w:val="nil"/>
          <w:right w:val="nil"/>
          <w:between w:val="nil"/>
        </w:pBdr>
        <w:spacing w:line="360" w:lineRule="auto"/>
        <w:ind w:firstLine="709"/>
        <w:jc w:val="both"/>
        <w:rPr>
          <w:rFonts w:eastAsia="Arial"/>
          <w:color w:val="000000"/>
        </w:rPr>
      </w:pPr>
    </w:p>
    <w:p w14:paraId="2B7A10C7" w14:textId="4038D8BA" w:rsidR="007E370E" w:rsidRPr="00410ED7" w:rsidRDefault="00410ED7" w:rsidP="00410ED7">
      <w:pPr>
        <w:spacing w:line="360" w:lineRule="auto"/>
        <w:jc w:val="center"/>
        <w:outlineLvl w:val="1"/>
        <w:rPr>
          <w:rFonts w:eastAsia="Arial"/>
          <w:lang w:val="uk-UA"/>
        </w:rPr>
      </w:pPr>
      <w:r>
        <w:rPr>
          <w:bCs/>
          <w:lang w:eastAsia="ru-RU"/>
        </w:rPr>
        <w:t>[</w:t>
      </w:r>
      <w:r w:rsidR="00196FFF" w:rsidRPr="00C9288A">
        <w:rPr>
          <w:bCs/>
          <w:lang w:eastAsia="ru-RU"/>
        </w:rPr>
        <w:t>Table 1</w:t>
      </w:r>
      <w:r>
        <w:rPr>
          <w:bCs/>
          <w:lang w:eastAsia="ru-RU"/>
        </w:rPr>
        <w:t>]</w:t>
      </w:r>
    </w:p>
    <w:p w14:paraId="69BB7059" w14:textId="04E25E2A" w:rsidR="00D5335C" w:rsidRPr="00C9288A" w:rsidRDefault="00D5335C" w:rsidP="00EB2F93">
      <w:pPr>
        <w:pBdr>
          <w:top w:val="nil"/>
          <w:left w:val="nil"/>
          <w:bottom w:val="nil"/>
          <w:right w:val="nil"/>
          <w:between w:val="nil"/>
        </w:pBdr>
        <w:spacing w:line="360" w:lineRule="auto"/>
        <w:jc w:val="both"/>
        <w:rPr>
          <w:rFonts w:eastAsia="Arial"/>
          <w:color w:val="000000"/>
        </w:rPr>
      </w:pPr>
    </w:p>
    <w:p w14:paraId="0DDEC3DF" w14:textId="089C5F91" w:rsidR="00F86238" w:rsidRDefault="00A52BBF" w:rsidP="00EB2F93">
      <w:pPr>
        <w:pBdr>
          <w:top w:val="nil"/>
          <w:left w:val="nil"/>
          <w:bottom w:val="nil"/>
          <w:right w:val="nil"/>
          <w:between w:val="nil"/>
        </w:pBdr>
        <w:spacing w:line="360" w:lineRule="auto"/>
        <w:ind w:firstLine="709"/>
        <w:jc w:val="both"/>
        <w:rPr>
          <w:rFonts w:eastAsia="Arial"/>
        </w:rPr>
      </w:pPr>
      <w:r w:rsidRPr="00C9288A">
        <w:rPr>
          <w:rFonts w:eastAsia="Arial"/>
        </w:rPr>
        <w:t>An important factor in ensuring the innovative development of the agricultural sector is the availability of digital infrastructure in rural areas, primarily broadband Internet. It is the development of digital infrastructure that creates the conditions for the use of remote monitoring systems, digital production management platforms, online services, and e-commerce. In Ukraine, the level of broadband Internet coverage in rural areas increased from 38% in 2015 to 83% in 2025, which indicates a significant reduction in the digital gap between the city and the countryside. However, the problem of uneven access to high-quality Internet in certain regions remains relevant, especially in the conditions of military damage to infrastructure. In Moldova, the indicator increased from 42% to 85%, which confirms the intensification of state and international programs for the digital development of rural areas. Poland demonstrates the highest level of digital accessibility — 96.2% in 2025, which actually ensures full coverage of rural areas with modern digital infrastructure. At the same time, even with a high level of coverage, the problem of the effective use of digital technologies and training remains relevant for all countries (Table 2).</w:t>
      </w:r>
    </w:p>
    <w:p w14:paraId="0DA9F5F7" w14:textId="77777777" w:rsidR="000C7CCF" w:rsidRPr="00C9288A" w:rsidRDefault="000C7CCF" w:rsidP="00EB2F93">
      <w:pPr>
        <w:pBdr>
          <w:top w:val="nil"/>
          <w:left w:val="nil"/>
          <w:bottom w:val="nil"/>
          <w:right w:val="nil"/>
          <w:between w:val="nil"/>
        </w:pBdr>
        <w:spacing w:line="360" w:lineRule="auto"/>
        <w:ind w:firstLine="709"/>
        <w:jc w:val="both"/>
        <w:rPr>
          <w:rFonts w:eastAsia="Arial"/>
        </w:rPr>
      </w:pPr>
    </w:p>
    <w:p w14:paraId="201A3E7F" w14:textId="1FC2905F" w:rsidR="00F11D24" w:rsidRPr="00D21593" w:rsidRDefault="00D21593" w:rsidP="00D21593">
      <w:pPr>
        <w:spacing w:line="360" w:lineRule="auto"/>
        <w:jc w:val="center"/>
        <w:outlineLvl w:val="1"/>
        <w:rPr>
          <w:rFonts w:eastAsia="Arial"/>
        </w:rPr>
      </w:pPr>
      <w:r>
        <w:rPr>
          <w:bCs/>
          <w:lang w:eastAsia="ru-RU"/>
        </w:rPr>
        <w:t>[</w:t>
      </w:r>
      <w:r w:rsidR="00A52BBF" w:rsidRPr="00C9288A">
        <w:rPr>
          <w:bCs/>
          <w:lang w:eastAsia="ru-RU"/>
        </w:rPr>
        <w:t>Table 2</w:t>
      </w:r>
      <w:r>
        <w:rPr>
          <w:bCs/>
          <w:lang w:eastAsia="ru-RU"/>
        </w:rPr>
        <w:t>]</w:t>
      </w:r>
    </w:p>
    <w:p w14:paraId="5D550E2D" w14:textId="77777777" w:rsidR="00D5335C" w:rsidRPr="00C9288A" w:rsidRDefault="00D5335C" w:rsidP="00EB2F93">
      <w:pPr>
        <w:pBdr>
          <w:top w:val="nil"/>
          <w:left w:val="nil"/>
          <w:bottom w:val="nil"/>
          <w:right w:val="nil"/>
          <w:between w:val="nil"/>
        </w:pBdr>
        <w:spacing w:line="360" w:lineRule="auto"/>
        <w:ind w:firstLine="709"/>
        <w:jc w:val="both"/>
        <w:rPr>
          <w:rFonts w:eastAsia="Arial"/>
        </w:rPr>
      </w:pPr>
    </w:p>
    <w:p w14:paraId="18A15B44" w14:textId="4E233903" w:rsidR="00F86238" w:rsidRDefault="00A52BBF"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To summarize the results of the digital transformation of the agricultural sector, it is advisable to use the integral index of innovation activity, which takes into account the level of digitalization, startup activity, the volume of innovation investments, and the development of digital infrastructure. The results of the calculations demonstrate steady growth in innovation activity in all countries. In Ukraine, the index value increased from 18.2 in 2015 to 61.9 in 2025, which indicates the gradual formation of an innovative model of agricultural development. In Moldova, the indicator increased from 15.6 to 55.8, which confirms the </w:t>
      </w:r>
      <w:r w:rsidRPr="00C9288A">
        <w:rPr>
          <w:rFonts w:eastAsia="Arial"/>
        </w:rPr>
        <w:lastRenderedPageBreak/>
        <w:t>transformation of the agricultural sector, although a dependence on external financing is manifested in the high share of international grants and technical assistance programs in the structure of innovation investments. This increases the vulnerability of the innovation system to changes in external donor financing. The highest values ​of the innovation activity index are characteristic of Poland — from 39.4 to 86.7, which reflects a high level of institutional support, the efficiency of the innovation ecosystem, and the active involvement of private capital. At the same time, even in Poland there is a partial dependence on EU funding within the framework of the Common Agricultural Policy, but it is stabilizing in nature and does not create critical risks for the development of the sector. At the same time, the results obtained show that even high index values ​​​​do not guarantee full resilience of the agricultural sector to external economic and geopolitical risks, which highlights the need for further improvement of mechanisms for supporting innovation and human capital development (Table 3).</w:t>
      </w:r>
    </w:p>
    <w:p w14:paraId="63BCFFCA" w14:textId="77777777" w:rsidR="00E91182" w:rsidRPr="00C9288A" w:rsidRDefault="00E91182" w:rsidP="00EB2F93">
      <w:pPr>
        <w:pBdr>
          <w:top w:val="nil"/>
          <w:left w:val="nil"/>
          <w:bottom w:val="nil"/>
          <w:right w:val="nil"/>
          <w:between w:val="nil"/>
        </w:pBdr>
        <w:spacing w:line="360" w:lineRule="auto"/>
        <w:ind w:firstLine="709"/>
        <w:jc w:val="both"/>
        <w:rPr>
          <w:rFonts w:eastAsia="Arial"/>
        </w:rPr>
      </w:pPr>
    </w:p>
    <w:p w14:paraId="54552049" w14:textId="79CB5111" w:rsidR="00F86238" w:rsidRPr="00C9288A" w:rsidRDefault="00331B09" w:rsidP="00331B09">
      <w:pPr>
        <w:spacing w:line="360" w:lineRule="auto"/>
        <w:jc w:val="center"/>
        <w:outlineLvl w:val="1"/>
        <w:rPr>
          <w:rFonts w:eastAsia="Arial"/>
        </w:rPr>
      </w:pPr>
      <w:r>
        <w:rPr>
          <w:bCs/>
          <w:lang w:eastAsia="ru-RU"/>
        </w:rPr>
        <w:t>[</w:t>
      </w:r>
      <w:r w:rsidR="00A52BBF" w:rsidRPr="00C9288A">
        <w:rPr>
          <w:bCs/>
          <w:lang w:eastAsia="ru-RU"/>
        </w:rPr>
        <w:t>Table 3</w:t>
      </w:r>
      <w:r>
        <w:rPr>
          <w:bCs/>
          <w:lang w:eastAsia="ru-RU"/>
        </w:rPr>
        <w:t>]</w:t>
      </w:r>
    </w:p>
    <w:p w14:paraId="0718126F" w14:textId="77777777" w:rsidR="00D5335C" w:rsidRPr="00C9288A" w:rsidRDefault="00D5335C" w:rsidP="00EB2F93">
      <w:pPr>
        <w:spacing w:line="360" w:lineRule="auto"/>
        <w:ind w:firstLine="709"/>
        <w:jc w:val="both"/>
        <w:rPr>
          <w:rFonts w:eastAsia="Arial"/>
        </w:rPr>
      </w:pPr>
    </w:p>
    <w:p w14:paraId="60C46304" w14:textId="77777777" w:rsidR="005B66C1" w:rsidRPr="00C9288A" w:rsidRDefault="005B66C1" w:rsidP="00EB2F93">
      <w:pPr>
        <w:spacing w:line="360" w:lineRule="auto"/>
        <w:ind w:firstLine="709"/>
        <w:jc w:val="both"/>
        <w:rPr>
          <w:rFonts w:eastAsia="Arial"/>
        </w:rPr>
      </w:pPr>
      <w:r w:rsidRPr="00C9288A">
        <w:rPr>
          <w:rFonts w:eastAsia="Arial"/>
        </w:rPr>
        <w:t xml:space="preserve">Further analysis was aimed at determining the impact of digitalization and innovation activity on labor productivity in the agricultural sector. For this purpose, the multiple regression method was used, where the dependent variable was labor productivity in the agricultural sector, and the independent variables were the level of implementation of digital technologies, investments in agritech and the level of broadband Internet coverage in rural areas. The results obtained indicate a positive relationship between the development of digital infrastructure, innovation activity and the efficiency of agricultural production in all studied countries. For Ukraine, the coefficient of determination of the model was R2=0.994, which indicates a very high level of explanation of the variation in labor productivity by the factors included in the model. The largest positive impact was </w:t>
      </w:r>
      <w:r w:rsidR="00A52BBF" w:rsidRPr="00C9288A">
        <w:rPr>
          <w:rFonts w:eastAsia="Arial"/>
        </w:rPr>
        <w:t xml:space="preserve">exerted by </w:t>
      </w:r>
      <w:r w:rsidRPr="00C9288A">
        <w:rPr>
          <w:rFonts w:eastAsia="Arial"/>
        </w:rPr>
        <w:t>the implementation of digital technologies (β=0.41), while investments in agritech also demonstrated a significant positive effect (β=0.34). The level of broadband Internet development had a moderate positive effect (β=0.26), confirming the importance of digital infrastructure for the modernization of the agricultural sector.</w:t>
      </w:r>
    </w:p>
    <w:p w14:paraId="691769C4" w14:textId="77777777" w:rsidR="005B66C1" w:rsidRPr="00C9288A" w:rsidRDefault="005B66C1" w:rsidP="00EB2F93">
      <w:pPr>
        <w:spacing w:line="360" w:lineRule="auto"/>
        <w:ind w:firstLine="709"/>
        <w:jc w:val="both"/>
        <w:rPr>
          <w:rFonts w:eastAsia="Arial"/>
        </w:rPr>
      </w:pPr>
      <w:r w:rsidRPr="00C9288A">
        <w:rPr>
          <w:rFonts w:eastAsia="Arial"/>
        </w:rPr>
        <w:t xml:space="preserve">In Moldova, the model also demonstrated a high level of explanatory power (R2=0.987). The most significant factor remained the level of digitalization (β=0.38), while the impact of investments in agritech was somewhat lower (β=0.29). The development of digital infrastructure had a positive, albeit less pronounced effect (β=0.22). This indicates that </w:t>
      </w:r>
      <w:r w:rsidRPr="00C9288A">
        <w:rPr>
          <w:rFonts w:eastAsia="Arial"/>
        </w:rPr>
        <w:lastRenderedPageBreak/>
        <w:t>the technological modernization of agricultural production remains a critically important factor for Moldova.</w:t>
      </w:r>
    </w:p>
    <w:p w14:paraId="424171D3" w14:textId="77777777" w:rsidR="005B66C1" w:rsidRPr="00C9288A" w:rsidRDefault="005B66C1" w:rsidP="00EB2F93">
      <w:pPr>
        <w:spacing w:line="360" w:lineRule="auto"/>
        <w:ind w:firstLine="709"/>
        <w:jc w:val="both"/>
        <w:rPr>
          <w:rFonts w:eastAsia="Arial"/>
        </w:rPr>
      </w:pPr>
      <w:r w:rsidRPr="00C9288A">
        <w:rPr>
          <w:rFonts w:eastAsia="Arial"/>
        </w:rPr>
        <w:t>In Poland, the coefficient of determination reached the highest value among the studied countries (R2=0.998), confirming the high dependence of labor productivity on innovation factors. Investments in agritech had the greatest impact (β=0.45), which is explained by the significant level of private financing of the innovation sector. At the same time, the digitalization of agricultural production also had a significant positive effect (β=0.39), and the development of broadband Internet provided an additional incentive to increase the efficiency of the agricultural sector (β=0.31) (Table 4).</w:t>
      </w:r>
    </w:p>
    <w:p w14:paraId="63B87B86" w14:textId="77777777" w:rsidR="005B66C1" w:rsidRPr="00C9288A" w:rsidRDefault="005B66C1" w:rsidP="00EB2F93">
      <w:pPr>
        <w:spacing w:line="360" w:lineRule="auto"/>
        <w:ind w:firstLine="709"/>
        <w:jc w:val="both"/>
        <w:rPr>
          <w:rFonts w:eastAsia="Arial"/>
        </w:rPr>
      </w:pPr>
    </w:p>
    <w:p w14:paraId="1BD24C0B" w14:textId="08C31C3F" w:rsidR="005B66C1" w:rsidRPr="0079134C" w:rsidRDefault="00331B09" w:rsidP="00331B09">
      <w:pPr>
        <w:spacing w:line="360" w:lineRule="auto"/>
        <w:jc w:val="center"/>
        <w:outlineLvl w:val="1"/>
        <w:rPr>
          <w:rFonts w:eastAsia="Arial"/>
        </w:rPr>
      </w:pPr>
      <w:r>
        <w:rPr>
          <w:bCs/>
          <w:lang w:eastAsia="ru-RU"/>
        </w:rPr>
        <w:t>[</w:t>
      </w:r>
      <w:r w:rsidR="00A52BBF" w:rsidRPr="0079134C">
        <w:rPr>
          <w:bCs/>
          <w:lang w:eastAsia="ru-RU"/>
        </w:rPr>
        <w:t>Table 4</w:t>
      </w:r>
      <w:r>
        <w:rPr>
          <w:bCs/>
          <w:lang w:eastAsia="ru-RU"/>
        </w:rPr>
        <w:t>]</w:t>
      </w:r>
    </w:p>
    <w:p w14:paraId="6DBBFC5D" w14:textId="77777777" w:rsidR="005B66C1" w:rsidRPr="00C9288A" w:rsidRDefault="005B66C1" w:rsidP="00EB2F93">
      <w:pPr>
        <w:spacing w:line="360" w:lineRule="auto"/>
        <w:ind w:firstLine="709"/>
        <w:jc w:val="both"/>
        <w:rPr>
          <w:rFonts w:eastAsia="Arial"/>
        </w:rPr>
      </w:pPr>
    </w:p>
    <w:p w14:paraId="5FCD68BB" w14:textId="77777777" w:rsidR="005B66C1" w:rsidRDefault="005B66C1"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results obtained confirm the hypothesis of the study, according to which digitalization, the development of the agritech sector and the improvement of the digital infrastructure have a positive impact on labor productivity and the efficiency of agricultural production. The results of </w:t>
      </w:r>
      <w:r w:rsidR="00A52BBF" w:rsidRPr="00C9288A">
        <w:rPr>
          <w:rFonts w:eastAsia="Arial"/>
        </w:rPr>
        <w:t xml:space="preserve">the </w:t>
      </w:r>
      <w:r w:rsidRPr="00C9288A">
        <w:rPr>
          <w:rFonts w:eastAsia="Arial"/>
        </w:rPr>
        <w:t>multiple regression analysis for all the studied countries showed a statistically significant positive relationship between the specified factors and the dependent variable, which is confirmed by high values ​​of the coefficient of determination (R²=0.987–0.998) and positive values ​​of the standardized regression coefficients (β&gt;0 in all cases). Thus, the hypothesis is fully confirmed at the empirical level, taking into account cross-country differences in the influence of individual factors.</w:t>
      </w:r>
    </w:p>
    <w:p w14:paraId="19288AE6" w14:textId="77777777" w:rsidR="0079134C" w:rsidRPr="00C9288A" w:rsidRDefault="0079134C" w:rsidP="00EB2F93">
      <w:pPr>
        <w:pBdr>
          <w:top w:val="nil"/>
          <w:left w:val="nil"/>
          <w:bottom w:val="nil"/>
          <w:right w:val="nil"/>
          <w:between w:val="nil"/>
        </w:pBdr>
        <w:spacing w:line="360" w:lineRule="auto"/>
        <w:ind w:firstLine="709"/>
        <w:jc w:val="both"/>
        <w:rPr>
          <w:rFonts w:eastAsia="Arial"/>
        </w:rPr>
      </w:pPr>
    </w:p>
    <w:p w14:paraId="6637ABF7" w14:textId="77777777" w:rsidR="005B66C1" w:rsidRPr="0079134C" w:rsidRDefault="005B66C1" w:rsidP="00EB2F93">
      <w:pPr>
        <w:pBdr>
          <w:top w:val="nil"/>
          <w:left w:val="nil"/>
          <w:bottom w:val="nil"/>
          <w:right w:val="nil"/>
          <w:between w:val="nil"/>
        </w:pBdr>
        <w:spacing w:line="360" w:lineRule="auto"/>
        <w:jc w:val="both"/>
        <w:rPr>
          <w:rFonts w:eastAsia="Arial"/>
          <w:b/>
          <w:bCs/>
        </w:rPr>
      </w:pPr>
      <w:r w:rsidRPr="0079134C">
        <w:rPr>
          <w:rFonts w:eastAsia="Arial"/>
          <w:b/>
          <w:bCs/>
        </w:rPr>
        <w:t>Discussion</w:t>
      </w:r>
    </w:p>
    <w:p w14:paraId="00CD215D"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obtained empirical results indicate the systemic nature of the impact of the digitalization of the agricultural sector, investments in agritech, and the development of digital infrastructure on increasing labor productivity in Ukraine, Moldova, and Poland. The established high values ​​of the correlation (0.92–0.99) confirm the presence of a close interdependence between the level of technological development of agricultural production and its efficiency, which is consistent with the conclusions of Chis et al. (2025) regarding the determining role of productivity in shaping the competitive advantages of the agricultural sector.</w:t>
      </w:r>
    </w:p>
    <w:p w14:paraId="58859F36"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comparative analysis shows that in Ukraine and Moldova, innovation processes are more dependent on the pace of digitalization, while in Poland the relationships are somewhat weaker (r </w:t>
      </w:r>
      <w:r w:rsidRPr="00C9288A">
        <w:rPr>
          <w:rFonts w:eastAsia="Arial"/>
          <w:lang w:val="uk-UA"/>
        </w:rPr>
        <w:t xml:space="preserve">= </w:t>
      </w:r>
      <w:r w:rsidRPr="00C9288A">
        <w:rPr>
          <w:rFonts w:eastAsia="Arial"/>
        </w:rPr>
        <w:t xml:space="preserve">0.92–0.93), which is explained by a high level of institutional stability. This may </w:t>
      </w:r>
      <w:r w:rsidRPr="00C9288A">
        <w:rPr>
          <w:rFonts w:eastAsia="Arial"/>
        </w:rPr>
        <w:lastRenderedPageBreak/>
        <w:t>also be influenced by the transition of the Polish model to a stage where innovation growth is determined not so much by the quantitative growth of startups, but by the quality of the institutional environment and the efficiency of cluster mechanisms.</w:t>
      </w:r>
    </w:p>
    <w:p w14:paraId="1939BDD3"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results of the regression and comparative analysis are also consistent with the concept of the ecosystem development of agricultural innovations, according to which startups function as key agents of agricultural transformation, but their effectiveness largely depends on institutional support and access to financial resources (Turețchi &amp; Turețchi, 2023; Direkli et al., 2023). In this context, Ukraine demonstrates a relatively high level of innovation activity dynamics due to a combination of international grants and private investments, but its development remains sensitive to institutional and security risks. In Moldova, the prevalence of state funding with limited participation of private capital and underdeveloped infrastructure leads to lower efficiency of transformation processes, which partially restrains the impact of innovations on the productivity of the agricultural sector. In this context, the results are consistent with approaches that emphasize the crucial role of institutional transparency and reforms in shaping the investment attractiveness of the agricultural economy (Belis et al., 2025; Antoci et al., 2025).</w:t>
      </w:r>
    </w:p>
    <w:p w14:paraId="57341979"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Poland, in turn, demonstrates the most balanced development model, based on a combination of private investment, state support, and EU financial instruments. As a result, a high level of stability in innovative development and the effective functioning of agricultural clusters, which act as a key mechanism for integrating science, business, and the state, are ensured (Pawłowski et al., 2024; Czarzasty, 2024). At the same time, a certain slowdown in the pace of innovative growth may indicate a transition to the stage of structural market saturation and the need to strengthen the adaptability of innovation systems to external risks (Wojarska, 2024; Salvador et al., 2021).</w:t>
      </w:r>
    </w:p>
    <w:p w14:paraId="04C21E49"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calculated integral index of innovation activity demonstrated steady growth in Ukraine, Moldova, and Poland, confirming the gradual formation of an innovation-oriented model of development in the agricultural sector. The results obtained correlate with the conclusions of K. Eckerberg (2020), who defines the innovation ecosystem as a set of interconnected institutional, technological, and financial elements that ensure the spread of innovations in agriculture. Higher values ​​of the index in Poland confirm the importance of effective state support, a stable institutional environment, and the active involvement of private capital. Ukraine and Moldova are characterized by a gradual increase in innovation potential; however, their pace of development is more sensitive to external economic and political factors.</w:t>
      </w:r>
    </w:p>
    <w:p w14:paraId="26109C81" w14:textId="77777777" w:rsidR="005B66C1"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lastRenderedPageBreak/>
        <w:t>Thus, the results of the study confirm the conclusions of the modern scientific literature on the decisive role of digitalization in increasing labor productivity and the efficiency of agricultural production. At the same time, the obtained data expand the existing scientific approaches through the cross-country comparison of Ukraine, Moldova, and Poland, demonstrating that the effectiveness of the digital transformation of the agricultural sector depends not only on the implementation of technologies, but also on the level of development of institutional support, the investment environment, and human capital.</w:t>
      </w:r>
    </w:p>
    <w:p w14:paraId="6650CD5D"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p>
    <w:p w14:paraId="44E35415" w14:textId="70A38C25" w:rsidR="005B66C1" w:rsidRPr="0079134C" w:rsidRDefault="0079134C" w:rsidP="00EB2F93">
      <w:pPr>
        <w:pBdr>
          <w:top w:val="nil"/>
          <w:left w:val="nil"/>
          <w:bottom w:val="nil"/>
          <w:right w:val="nil"/>
          <w:between w:val="nil"/>
        </w:pBdr>
        <w:spacing w:line="360" w:lineRule="auto"/>
        <w:jc w:val="both"/>
        <w:rPr>
          <w:rFonts w:eastAsia="Arial"/>
          <w:b/>
          <w:bCs/>
          <w:i/>
          <w:iCs/>
        </w:rPr>
      </w:pPr>
      <w:r w:rsidRPr="0079134C">
        <w:rPr>
          <w:rFonts w:eastAsia="Arial"/>
          <w:b/>
          <w:bCs/>
          <w:i/>
          <w:iCs/>
        </w:rPr>
        <w:t>L</w:t>
      </w:r>
      <w:r w:rsidR="00AC1E98" w:rsidRPr="0079134C">
        <w:rPr>
          <w:rFonts w:eastAsia="Arial"/>
          <w:b/>
          <w:bCs/>
          <w:i/>
          <w:iCs/>
        </w:rPr>
        <w:t>imitations</w:t>
      </w:r>
    </w:p>
    <w:p w14:paraId="601D87AA"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study has certain limitations that should be taken into account when interpreting the results: primarily, the use of aggregated data due to the heterogeneity of statistical approaches across different countries, as well as varying levels of completeness and quality of statistical information between Ukraine, Moldova, and Poland. Another limitation is the limited time period of the regression analysis (2015–2025), which does not allow for a full accounting of long-term structural effects and the influence of external factors. In addition, the model does not cover a number of important variables, such as climatic conditions, regional differences, the quality of human capital, and detailed agricultural policies. Furthermore, the use of macro-aggregated indicators does not allow for capturing the micro-level heterogeneity of agricultural enterprises, which to some extent limits the accuracy of the generalizations.</w:t>
      </w:r>
    </w:p>
    <w:p w14:paraId="67EA5D05"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p>
    <w:p w14:paraId="24FF87F9" w14:textId="77777777" w:rsidR="005B66C1" w:rsidRPr="0079134C" w:rsidRDefault="00AC1E98" w:rsidP="00EB2F93">
      <w:pPr>
        <w:pBdr>
          <w:top w:val="nil"/>
          <w:left w:val="nil"/>
          <w:bottom w:val="nil"/>
          <w:right w:val="nil"/>
          <w:between w:val="nil"/>
        </w:pBdr>
        <w:spacing w:line="360" w:lineRule="auto"/>
        <w:jc w:val="both"/>
        <w:rPr>
          <w:rFonts w:eastAsia="Arial"/>
          <w:b/>
          <w:bCs/>
          <w:i/>
          <w:iCs/>
        </w:rPr>
      </w:pPr>
      <w:r w:rsidRPr="0079134C">
        <w:rPr>
          <w:rFonts w:eastAsia="Arial"/>
          <w:b/>
          <w:bCs/>
          <w:i/>
          <w:iCs/>
        </w:rPr>
        <w:t>Recommendations</w:t>
      </w:r>
    </w:p>
    <w:p w14:paraId="7A10184C" w14:textId="77777777" w:rsidR="005B66C1"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results obtained indicate the need to strengthen state support for the digitalization of the agricultural sector by developing broadband Internet in rural areas, expanding financial instruments for agritech startups (venture capital, grants, and public-private partnerships), and stimulating the implementation of precision agriculture technologies, especially in Ukraine and Moldova. It is also important to develop agricultural clusters as integration platforms for interaction between business, science, and the state, while for Poland, it is crucial to strengthen the adaptability of agricultural enterprises to external market risks. In the aggregate, these measures will contribute to increasing innovative activity, labor productivity, and the export potential of the agricultural sector.</w:t>
      </w:r>
    </w:p>
    <w:p w14:paraId="56810854"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p>
    <w:p w14:paraId="2F296DEF" w14:textId="77777777" w:rsidR="005B66C1" w:rsidRPr="0079134C" w:rsidRDefault="005B66C1" w:rsidP="00EB2F93">
      <w:pPr>
        <w:pBdr>
          <w:top w:val="nil"/>
          <w:left w:val="nil"/>
          <w:bottom w:val="nil"/>
          <w:right w:val="nil"/>
          <w:between w:val="nil"/>
        </w:pBdr>
        <w:spacing w:line="360" w:lineRule="auto"/>
        <w:jc w:val="both"/>
        <w:rPr>
          <w:rFonts w:eastAsia="Arial"/>
          <w:b/>
          <w:bCs/>
        </w:rPr>
      </w:pPr>
      <w:r w:rsidRPr="0079134C">
        <w:rPr>
          <w:rFonts w:eastAsia="Arial"/>
          <w:b/>
          <w:bCs/>
        </w:rPr>
        <w:t>Conclusions</w:t>
      </w:r>
    </w:p>
    <w:p w14:paraId="636B477C"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According to the results of the analysis, a steady increase in the level of digitalization of the agricultural sector was established across all studied countries. In Ukraine, the share of </w:t>
      </w:r>
      <w:r w:rsidRPr="00C9288A">
        <w:rPr>
          <w:rFonts w:eastAsia="Arial"/>
        </w:rPr>
        <w:lastRenderedPageBreak/>
        <w:t>agricultural enterprises using digital technologies increased from 12% in 2015 to 63% in 2025. In Moldova, this indicator increased from 8% to 53%, and in Poland — from 24% to 75%. The results obtained indicate a gradual strengthening of the role of digital solutions in the functioning of agricultural enterprises and confirm the intensification of the digital transformation of agriculture.</w:t>
      </w:r>
    </w:p>
    <w:p w14:paraId="25A23BD6" w14:textId="77777777" w:rsidR="00AC1E98" w:rsidRPr="00C9288A"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The study of investments in agritech showed positive dynamics in all countries. In Ukraine, the volume of investments increased from 18 million USD in 2015 to 145 million USD in 2025. In Moldova, it rose from 5 million USD to 44 million USD. The highest investment volumes were characteristic of Poland, which confirms the higher level of development of its innovation ecosystem and wider opportunities for financial support for the technological modernization of the agricultural sector.</w:t>
      </w:r>
    </w:p>
    <w:p w14:paraId="5BDE47C6" w14:textId="77777777" w:rsidR="005B66C1" w:rsidRPr="00C9288A" w:rsidRDefault="005B66C1" w:rsidP="00EB2F93">
      <w:pPr>
        <w:pBdr>
          <w:top w:val="nil"/>
          <w:left w:val="nil"/>
          <w:bottom w:val="nil"/>
          <w:right w:val="nil"/>
          <w:between w:val="nil"/>
        </w:pBdr>
        <w:spacing w:line="360" w:lineRule="auto"/>
        <w:ind w:firstLine="709"/>
        <w:jc w:val="both"/>
        <w:rPr>
          <w:rFonts w:eastAsia="Arial"/>
        </w:rPr>
      </w:pPr>
      <w:r w:rsidRPr="00C9288A">
        <w:rPr>
          <w:rFonts w:eastAsia="Arial"/>
        </w:rPr>
        <w:t>The calculation of the integral index of innovation activity showed its steady growth in all the countries studied. In Ukraine, the index value increased from 18.2 in 2015 to 61.9 in 2025, in Moldova – from 15.6 to 55.8, in Poland – from 39.4 to 86.7. Therefore, this indicates the gradual formation of an innovation-oriented model of development of the agricultural sector and the strengthening of the role of digital technologies and investment support.</w:t>
      </w:r>
    </w:p>
    <w:p w14:paraId="79745842" w14:textId="77777777" w:rsidR="005B66C1" w:rsidRPr="00C9288A" w:rsidRDefault="005B66C1" w:rsidP="00EB2F93">
      <w:pPr>
        <w:pBdr>
          <w:top w:val="nil"/>
          <w:left w:val="nil"/>
          <w:bottom w:val="nil"/>
          <w:right w:val="nil"/>
          <w:between w:val="nil"/>
        </w:pBdr>
        <w:spacing w:line="360" w:lineRule="auto"/>
        <w:ind w:firstLine="709"/>
        <w:jc w:val="both"/>
        <w:rPr>
          <w:rFonts w:eastAsia="Arial"/>
        </w:rPr>
      </w:pPr>
      <w:r w:rsidRPr="00C9288A">
        <w:rPr>
          <w:rFonts w:eastAsia="Arial"/>
        </w:rPr>
        <w:t>The multiple regression analysis confirmed the presence of a positive statistically significant relationship between the level of digitalization, investments in agritech, the development of digital infrastructure and labor productivity. For Ukraine, the coefficient of determination was R²=0.994, for Moldova – R²=0.987, for Poland – R²=0.998. In Ukraine, the level of digitalization had the greatest impact on labor productivity (β=0.41), in Moldova – also digitalization (β=0.38), while in Poland the most significant factor was investment in agritech (β=0.45). The development of digital infrastructure also demonstrated a positive impact in all countries.</w:t>
      </w:r>
    </w:p>
    <w:p w14:paraId="7F6ADA4D" w14:textId="77777777" w:rsidR="00AC1E98" w:rsidRPr="00C9288A" w:rsidRDefault="005B66C1"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Thus, the proposed hypothesis of the study was fully confirmed. The results of the study showed that the increase in the level of digitalization of the agricultural sector, increased investments in agritech and the development of digital infrastructure have a positive impact on labor productivity and contribute to increasing the efficiency of agricultural production </w:t>
      </w:r>
      <w:r w:rsidR="00AC1E98" w:rsidRPr="00C9288A">
        <w:rPr>
          <w:rFonts w:eastAsia="Arial"/>
        </w:rPr>
        <w:t>in Ukraine, Moldova and Poland.</w:t>
      </w:r>
    </w:p>
    <w:p w14:paraId="4145C5C4" w14:textId="77777777" w:rsidR="00AC1E98" w:rsidRDefault="00AC1E98" w:rsidP="00EB2F93">
      <w:pPr>
        <w:pBdr>
          <w:top w:val="nil"/>
          <w:left w:val="nil"/>
          <w:bottom w:val="nil"/>
          <w:right w:val="nil"/>
          <w:between w:val="nil"/>
        </w:pBdr>
        <w:spacing w:line="360" w:lineRule="auto"/>
        <w:ind w:firstLine="709"/>
        <w:jc w:val="both"/>
        <w:rPr>
          <w:rFonts w:eastAsia="Arial"/>
        </w:rPr>
      </w:pPr>
      <w:r w:rsidRPr="00C9288A">
        <w:rPr>
          <w:rFonts w:eastAsia="Arial"/>
        </w:rPr>
        <w:t xml:space="preserve">The results obtained carry significant practical importance, as they can be used to improve state policy aimed at supporting the digitalization and innovative development of the agricultural sector, in particular, in terms of stimulating agritech startups, investments, and the digital infrastructure of rural areas. Prospects for further research lie in an in-depth analysis of </w:t>
      </w:r>
      <w:r w:rsidRPr="00C9288A">
        <w:rPr>
          <w:rFonts w:eastAsia="Arial"/>
        </w:rPr>
        <w:lastRenderedPageBreak/>
        <w:t>the micro-level effects of digitalization, expanding the time frame of the study, and taking into account additional factors, such as climatic conditions, human capital, and regional differences.</w:t>
      </w:r>
    </w:p>
    <w:p w14:paraId="268314C3" w14:textId="77777777" w:rsidR="002A51C2" w:rsidRDefault="002A51C2" w:rsidP="002A51C2">
      <w:pPr>
        <w:pBdr>
          <w:top w:val="nil"/>
          <w:left w:val="nil"/>
          <w:bottom w:val="nil"/>
          <w:right w:val="nil"/>
          <w:between w:val="nil"/>
        </w:pBdr>
        <w:spacing w:line="360" w:lineRule="auto"/>
        <w:jc w:val="both"/>
        <w:rPr>
          <w:rFonts w:eastAsia="Arial"/>
        </w:rPr>
      </w:pPr>
    </w:p>
    <w:p w14:paraId="5EBF6272" w14:textId="21CC02B3" w:rsidR="002A51C2" w:rsidRDefault="002A51C2" w:rsidP="002A51C2">
      <w:pPr>
        <w:pBdr>
          <w:top w:val="nil"/>
          <w:left w:val="nil"/>
          <w:bottom w:val="nil"/>
          <w:right w:val="nil"/>
          <w:between w:val="nil"/>
        </w:pBdr>
        <w:spacing w:line="360" w:lineRule="auto"/>
        <w:jc w:val="both"/>
        <w:rPr>
          <w:rFonts w:eastAsia="Arial"/>
        </w:rPr>
      </w:pPr>
      <w:r w:rsidRPr="002A51C2">
        <w:rPr>
          <w:rFonts w:eastAsia="Arial"/>
          <w:b/>
          <w:bCs/>
        </w:rPr>
        <w:t>Funding</w:t>
      </w:r>
      <w:r w:rsidRPr="002A51C2">
        <w:rPr>
          <w:rFonts w:eastAsia="Arial"/>
        </w:rPr>
        <w:t>: This study did not get any financial support</w:t>
      </w:r>
      <w:r>
        <w:rPr>
          <w:rFonts w:eastAsia="Arial"/>
        </w:rPr>
        <w:t xml:space="preserve"> </w:t>
      </w:r>
      <w:r w:rsidRPr="002A51C2">
        <w:rPr>
          <w:rFonts w:eastAsia="Arial"/>
        </w:rPr>
        <w:t>from any organization/agency.</w:t>
      </w:r>
    </w:p>
    <w:p w14:paraId="7E9754DC" w14:textId="77777777" w:rsidR="002A51C2" w:rsidRDefault="002A51C2" w:rsidP="002A51C2">
      <w:pPr>
        <w:pBdr>
          <w:top w:val="nil"/>
          <w:left w:val="nil"/>
          <w:bottom w:val="nil"/>
          <w:right w:val="nil"/>
          <w:between w:val="nil"/>
        </w:pBdr>
        <w:spacing w:line="360" w:lineRule="auto"/>
        <w:jc w:val="both"/>
        <w:rPr>
          <w:rFonts w:eastAsia="Arial"/>
        </w:rPr>
      </w:pPr>
    </w:p>
    <w:p w14:paraId="328E88F2" w14:textId="469DD992" w:rsidR="002A51C2" w:rsidRDefault="002A51C2" w:rsidP="002A51C2">
      <w:pPr>
        <w:pBdr>
          <w:top w:val="nil"/>
          <w:left w:val="nil"/>
          <w:bottom w:val="nil"/>
          <w:right w:val="nil"/>
          <w:between w:val="nil"/>
        </w:pBdr>
        <w:spacing w:line="360" w:lineRule="auto"/>
        <w:jc w:val="both"/>
        <w:rPr>
          <w:rFonts w:eastAsia="Arial"/>
        </w:rPr>
      </w:pPr>
      <w:r w:rsidRPr="002A51C2">
        <w:rPr>
          <w:rFonts w:eastAsia="Arial"/>
          <w:b/>
          <w:bCs/>
        </w:rPr>
        <w:t>Conflict of Interest (CoI):</w:t>
      </w:r>
      <w:r>
        <w:rPr>
          <w:rFonts w:eastAsia="Arial"/>
        </w:rPr>
        <w:t xml:space="preserve"> </w:t>
      </w:r>
      <w:r w:rsidRPr="002A51C2">
        <w:rPr>
          <w:rFonts w:eastAsia="Arial"/>
        </w:rPr>
        <w:t>The authors declare no conflicts of interest.</w:t>
      </w:r>
    </w:p>
    <w:p w14:paraId="1EFAD166" w14:textId="77777777" w:rsidR="002A51C2" w:rsidRDefault="002A51C2" w:rsidP="002A51C2">
      <w:pPr>
        <w:pBdr>
          <w:top w:val="nil"/>
          <w:left w:val="nil"/>
          <w:bottom w:val="nil"/>
          <w:right w:val="nil"/>
          <w:between w:val="nil"/>
        </w:pBdr>
        <w:spacing w:line="360" w:lineRule="auto"/>
        <w:jc w:val="both"/>
        <w:rPr>
          <w:rFonts w:eastAsia="Arial"/>
        </w:rPr>
      </w:pPr>
    </w:p>
    <w:p w14:paraId="53715F79" w14:textId="658C65A9" w:rsidR="002A51C2" w:rsidRDefault="00100441" w:rsidP="00100441">
      <w:pPr>
        <w:pBdr>
          <w:top w:val="nil"/>
          <w:left w:val="nil"/>
          <w:bottom w:val="nil"/>
          <w:right w:val="nil"/>
          <w:between w:val="nil"/>
        </w:pBdr>
        <w:spacing w:line="360" w:lineRule="auto"/>
        <w:jc w:val="both"/>
        <w:rPr>
          <w:rFonts w:eastAsia="Arial"/>
        </w:rPr>
      </w:pPr>
      <w:r w:rsidRPr="00100441">
        <w:rPr>
          <w:rFonts w:eastAsia="Arial"/>
          <w:b/>
          <w:bCs/>
        </w:rPr>
        <w:t>Data Availability</w:t>
      </w:r>
      <w:r>
        <w:rPr>
          <w:rFonts w:eastAsia="Arial"/>
        </w:rPr>
        <w:t xml:space="preserve">: </w:t>
      </w:r>
      <w:r w:rsidRPr="00100441">
        <w:rPr>
          <w:rFonts w:eastAsia="Arial"/>
        </w:rPr>
        <w:t>Data</w:t>
      </w:r>
      <w:r>
        <w:rPr>
          <w:rFonts w:eastAsia="Arial"/>
        </w:rPr>
        <w:t xml:space="preserve"> </w:t>
      </w:r>
      <w:r w:rsidRPr="00100441">
        <w:rPr>
          <w:rFonts w:eastAsia="Arial"/>
        </w:rPr>
        <w:t>will be available upon request.</w:t>
      </w:r>
    </w:p>
    <w:p w14:paraId="6CF3A7A2" w14:textId="77777777" w:rsidR="00100441" w:rsidRDefault="00100441" w:rsidP="00100441">
      <w:pPr>
        <w:pBdr>
          <w:top w:val="nil"/>
          <w:left w:val="nil"/>
          <w:bottom w:val="nil"/>
          <w:right w:val="nil"/>
          <w:between w:val="nil"/>
        </w:pBdr>
        <w:spacing w:line="360" w:lineRule="auto"/>
        <w:jc w:val="both"/>
        <w:rPr>
          <w:rFonts w:eastAsia="Arial"/>
        </w:rPr>
      </w:pPr>
    </w:p>
    <w:p w14:paraId="49EF2C38" w14:textId="781EABAF" w:rsidR="00100441" w:rsidRDefault="00112707" w:rsidP="00100441">
      <w:pPr>
        <w:pBdr>
          <w:top w:val="nil"/>
          <w:left w:val="nil"/>
          <w:bottom w:val="nil"/>
          <w:right w:val="nil"/>
          <w:between w:val="nil"/>
        </w:pBdr>
        <w:spacing w:line="360" w:lineRule="auto"/>
        <w:jc w:val="both"/>
        <w:rPr>
          <w:rFonts w:eastAsia="Arial"/>
        </w:rPr>
      </w:pPr>
      <w:r w:rsidRPr="00FD507D">
        <w:rPr>
          <w:rFonts w:eastAsia="Arial"/>
          <w:b/>
          <w:bCs/>
        </w:rPr>
        <w:t>Ethics Statement</w:t>
      </w:r>
      <w:r w:rsidRPr="00112707">
        <w:rPr>
          <w:rFonts w:eastAsia="Arial"/>
        </w:rPr>
        <w:t>:</w:t>
      </w:r>
      <w:r w:rsidR="00FD507D">
        <w:rPr>
          <w:rFonts w:eastAsia="Arial"/>
        </w:rPr>
        <w:t xml:space="preserve"> </w:t>
      </w:r>
      <w:r w:rsidR="00FD507D" w:rsidRPr="00FD507D">
        <w:rPr>
          <w:rFonts w:eastAsia="Arial"/>
        </w:rPr>
        <w:t>This research did not involve human participants, animal subjects, or any material that requires ethical approval.</w:t>
      </w:r>
    </w:p>
    <w:p w14:paraId="0C824F2D" w14:textId="77777777" w:rsidR="00FD507D" w:rsidRDefault="00FD507D" w:rsidP="00100441">
      <w:pPr>
        <w:pBdr>
          <w:top w:val="nil"/>
          <w:left w:val="nil"/>
          <w:bottom w:val="nil"/>
          <w:right w:val="nil"/>
          <w:between w:val="nil"/>
        </w:pBdr>
        <w:spacing w:line="360" w:lineRule="auto"/>
        <w:jc w:val="both"/>
        <w:rPr>
          <w:rFonts w:eastAsia="Arial"/>
        </w:rPr>
      </w:pPr>
    </w:p>
    <w:p w14:paraId="5FC1A0EC" w14:textId="09BE890A" w:rsidR="00FD507D" w:rsidRDefault="00FD507D" w:rsidP="00100441">
      <w:pPr>
        <w:pBdr>
          <w:top w:val="nil"/>
          <w:left w:val="nil"/>
          <w:bottom w:val="nil"/>
          <w:right w:val="nil"/>
          <w:between w:val="nil"/>
        </w:pBdr>
        <w:spacing w:line="360" w:lineRule="auto"/>
        <w:jc w:val="both"/>
        <w:rPr>
          <w:rFonts w:eastAsia="Arial"/>
        </w:rPr>
      </w:pPr>
      <w:r w:rsidRPr="00FD507D">
        <w:rPr>
          <w:rFonts w:eastAsia="Arial"/>
          <w:b/>
          <w:bCs/>
        </w:rPr>
        <w:t>Author’s Contribution</w:t>
      </w:r>
      <w:r w:rsidRPr="00FD507D">
        <w:rPr>
          <w:rFonts w:eastAsia="Arial"/>
        </w:rPr>
        <w:t>:</w:t>
      </w:r>
      <w:r>
        <w:rPr>
          <w:rFonts w:eastAsia="Arial"/>
        </w:rPr>
        <w:t xml:space="preserve"> </w:t>
      </w:r>
      <w:r w:rsidRPr="00FD507D">
        <w:rPr>
          <w:rFonts w:eastAsia="Arial"/>
        </w:rPr>
        <w:t>All the authors participated and were involved in the conceptualization of the study, collation of data, analysis and review of the study as well as the writing, and proof reading of the manuscript. All authors read and approved the final version of the manuscript.</w:t>
      </w:r>
    </w:p>
    <w:p w14:paraId="738BE66B" w14:textId="77777777" w:rsidR="00FD507D" w:rsidRDefault="00FD507D" w:rsidP="00100441">
      <w:pPr>
        <w:pBdr>
          <w:top w:val="nil"/>
          <w:left w:val="nil"/>
          <w:bottom w:val="nil"/>
          <w:right w:val="nil"/>
          <w:between w:val="nil"/>
        </w:pBdr>
        <w:spacing w:line="360" w:lineRule="auto"/>
        <w:jc w:val="both"/>
        <w:rPr>
          <w:rFonts w:eastAsia="Arial"/>
        </w:rPr>
      </w:pPr>
    </w:p>
    <w:p w14:paraId="76AD17DD" w14:textId="5CCD02B5" w:rsidR="00FD507D" w:rsidRPr="00C9288A" w:rsidRDefault="00FD507D" w:rsidP="00FD507D">
      <w:pPr>
        <w:pBdr>
          <w:top w:val="nil"/>
          <w:left w:val="nil"/>
          <w:bottom w:val="nil"/>
          <w:right w:val="nil"/>
          <w:between w:val="nil"/>
        </w:pBdr>
        <w:spacing w:line="360" w:lineRule="auto"/>
        <w:jc w:val="both"/>
        <w:rPr>
          <w:rFonts w:eastAsia="Arial"/>
        </w:rPr>
      </w:pPr>
      <w:r w:rsidRPr="00FD507D">
        <w:rPr>
          <w:rFonts w:eastAsia="Arial"/>
          <w:b/>
          <w:bCs/>
        </w:rPr>
        <w:t>Generative AI statement</w:t>
      </w:r>
      <w:r w:rsidRPr="00FD507D">
        <w:rPr>
          <w:rFonts w:eastAsia="Arial"/>
        </w:rPr>
        <w:t>: The authors declare that no Gen AI/DeepSeek</w:t>
      </w:r>
      <w:r>
        <w:rPr>
          <w:rFonts w:eastAsia="Arial"/>
        </w:rPr>
        <w:t xml:space="preserve"> </w:t>
      </w:r>
      <w:r w:rsidRPr="00FD507D">
        <w:rPr>
          <w:rFonts w:eastAsia="Arial"/>
        </w:rPr>
        <w:t>was used in the writing/creation of this manuscript.</w:t>
      </w:r>
    </w:p>
    <w:p w14:paraId="373261A0" w14:textId="77777777" w:rsidR="0079134C" w:rsidRPr="0079134C" w:rsidRDefault="0079134C" w:rsidP="00EB2F93">
      <w:pPr>
        <w:spacing w:line="360" w:lineRule="auto"/>
        <w:jc w:val="both"/>
        <w:rPr>
          <w:rFonts w:eastAsia="Arial"/>
          <w:b/>
          <w:bCs/>
        </w:rPr>
      </w:pPr>
    </w:p>
    <w:p w14:paraId="7E78D3B9" w14:textId="73BD1097" w:rsidR="006B6FEC" w:rsidRPr="0079134C" w:rsidRDefault="00787F1E" w:rsidP="00EB2F93">
      <w:pPr>
        <w:spacing w:line="360" w:lineRule="auto"/>
        <w:jc w:val="both"/>
        <w:rPr>
          <w:rFonts w:eastAsia="Arial"/>
          <w:b/>
          <w:bCs/>
        </w:rPr>
      </w:pPr>
      <w:r w:rsidRPr="0079134C">
        <w:rPr>
          <w:rFonts w:eastAsia="Arial"/>
          <w:b/>
          <w:bCs/>
        </w:rPr>
        <w:t xml:space="preserve">References </w:t>
      </w:r>
    </w:p>
    <w:p w14:paraId="5350DA84"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3" w:name="_ozanokhj1m9n" w:colFirst="0" w:colLast="0"/>
      <w:bookmarkEnd w:id="3"/>
      <w:r w:rsidRPr="00C10A8B">
        <w:rPr>
          <w:rFonts w:eastAsia="Arial"/>
        </w:rPr>
        <w:t xml:space="preserve">Antoci, N. (2025). Meeting The European Union Accession Criteria For the Republic of Moldova Through Alignment With The Acquis in the Agricultural Sector. </w:t>
      </w:r>
      <w:r w:rsidRPr="00C10A8B">
        <w:rPr>
          <w:rFonts w:eastAsia="Arial"/>
          <w:i/>
          <w:iCs/>
        </w:rPr>
        <w:t>Three Seas Economic Journal,</w:t>
      </w:r>
      <w:r w:rsidRPr="00C10A8B">
        <w:rPr>
          <w:rFonts w:eastAsia="Arial"/>
        </w:rPr>
        <w:t xml:space="preserve"> </w:t>
      </w:r>
      <w:r w:rsidRPr="00C10A8B">
        <w:rPr>
          <w:rFonts w:eastAsia="Arial"/>
          <w:i/>
          <w:iCs/>
        </w:rPr>
        <w:t>6</w:t>
      </w:r>
      <w:r w:rsidRPr="00C10A8B">
        <w:rPr>
          <w:rFonts w:eastAsia="Arial"/>
        </w:rPr>
        <w:t xml:space="preserve">(1), 8-11. </w:t>
      </w:r>
      <w:hyperlink r:id="rId9">
        <w:r w:rsidRPr="00C10A8B">
          <w:rPr>
            <w:rFonts w:eastAsia="Arial"/>
          </w:rPr>
          <w:t>https://doi.org/10.30525/2661-5150/2025-1-2</w:t>
        </w:r>
      </w:hyperlink>
    </w:p>
    <w:p w14:paraId="5FDBE3E6"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Belis, C. A., Petrosian, A., Turos, O., Maremuhka, T., Morhulova, V., Kona, A., Djatkov, D., Caudullo, G., Ceccherini, G., Beck, P. S. A., San-Miguel, J., Arias Navarro, C., Wojda, P., Jones, A., Hanke, G., Mariani, G., &amp; Carravieri, A. (2025). </w:t>
      </w:r>
      <w:r w:rsidRPr="00C10A8B">
        <w:rPr>
          <w:rFonts w:eastAsia="Arial"/>
          <w:i/>
          <w:iCs/>
        </w:rPr>
        <w:t xml:space="preserve">Status of Environment and Climate in Ukraine. </w:t>
      </w:r>
      <w:r w:rsidRPr="00C10A8B">
        <w:rPr>
          <w:rFonts w:eastAsia="Arial"/>
        </w:rPr>
        <w:t>Publications Office of the European Union. https://doi.org/10.2760/6292177</w:t>
      </w:r>
    </w:p>
    <w:p w14:paraId="11C2E89E" w14:textId="77777777" w:rsidR="00B83054" w:rsidRPr="00C10A8B" w:rsidRDefault="00B83054" w:rsidP="00EB2F93">
      <w:pPr>
        <w:pStyle w:val="ListParagraph"/>
        <w:numPr>
          <w:ilvl w:val="0"/>
          <w:numId w:val="12"/>
        </w:numPr>
        <w:spacing w:line="360" w:lineRule="auto"/>
        <w:ind w:left="709" w:right="-8" w:hanging="709"/>
        <w:jc w:val="both"/>
        <w:rPr>
          <w:rFonts w:eastAsia="Arial"/>
        </w:rPr>
      </w:pPr>
      <w:r w:rsidRPr="00C10A8B">
        <w:rPr>
          <w:rFonts w:eastAsia="Arial"/>
        </w:rPr>
        <w:t>Birner, R., Daum, T., &amp; Pray, C. (2021). Who drives the digital revolution in agriculture? A review of supply</w:t>
      </w:r>
      <w:r w:rsidRPr="00C10A8B">
        <w:rPr>
          <w:rFonts w:eastAsia="Cambria Math"/>
        </w:rPr>
        <w:t>‐</w:t>
      </w:r>
      <w:r w:rsidRPr="00C10A8B">
        <w:rPr>
          <w:rFonts w:eastAsia="Arial"/>
        </w:rPr>
        <w:t xml:space="preserve">side trends, players, and challenges. </w:t>
      </w:r>
      <w:r w:rsidRPr="00C10A8B">
        <w:rPr>
          <w:rFonts w:eastAsia="Arial"/>
          <w:i/>
          <w:iCs/>
        </w:rPr>
        <w:t>Applied Economic Perspectives and Policy,</w:t>
      </w:r>
      <w:r w:rsidRPr="00C10A8B">
        <w:rPr>
          <w:rFonts w:eastAsia="Arial"/>
        </w:rPr>
        <w:t xml:space="preserve"> </w:t>
      </w:r>
      <w:r w:rsidRPr="00C10A8B">
        <w:rPr>
          <w:rFonts w:eastAsia="Arial"/>
          <w:i/>
          <w:iCs/>
        </w:rPr>
        <w:t>43</w:t>
      </w:r>
      <w:r w:rsidRPr="00C10A8B">
        <w:rPr>
          <w:rFonts w:eastAsia="Arial"/>
        </w:rPr>
        <w:t>(4), 1260-1285. https://doi.org/10.1002/aepp.13145</w:t>
      </w:r>
    </w:p>
    <w:p w14:paraId="7D62A4C0" w14:textId="77777777" w:rsidR="00B83054" w:rsidRPr="00C10A8B" w:rsidRDefault="00B83054" w:rsidP="00EB2F93">
      <w:pPr>
        <w:pStyle w:val="ListParagraph"/>
        <w:numPr>
          <w:ilvl w:val="0"/>
          <w:numId w:val="12"/>
        </w:numPr>
        <w:spacing w:line="360" w:lineRule="auto"/>
        <w:ind w:left="709" w:right="-8" w:hanging="709"/>
        <w:jc w:val="both"/>
        <w:rPr>
          <w:rFonts w:eastAsia="Arial"/>
        </w:rPr>
      </w:pPr>
      <w:r w:rsidRPr="00C10A8B">
        <w:rPr>
          <w:rFonts w:eastAsia="Arial"/>
        </w:rPr>
        <w:t xml:space="preserve">Burkynskyi, B., Kupinets, L., Andryeyeva, N., &amp; Shershun, O. (2022). Ukrainian agro-food sector in the context of global patterns of environmental innovation development, </w:t>
      </w:r>
      <w:r w:rsidRPr="00C10A8B">
        <w:rPr>
          <w:rFonts w:eastAsia="Arial"/>
        </w:rPr>
        <w:lastRenderedPageBreak/>
        <w:t xml:space="preserve">Comparative Economic Research. </w:t>
      </w:r>
      <w:r w:rsidRPr="00C10A8B">
        <w:rPr>
          <w:rFonts w:eastAsia="Arial"/>
          <w:i/>
          <w:iCs/>
        </w:rPr>
        <w:t>Central and Eastern Europe,</w:t>
      </w:r>
      <w:r w:rsidRPr="00C10A8B">
        <w:rPr>
          <w:rFonts w:eastAsia="Arial"/>
        </w:rPr>
        <w:t xml:space="preserve"> </w:t>
      </w:r>
      <w:r w:rsidRPr="00C10A8B">
        <w:rPr>
          <w:rFonts w:eastAsia="Arial"/>
          <w:i/>
          <w:iCs/>
        </w:rPr>
        <w:t>25</w:t>
      </w:r>
      <w:r w:rsidRPr="00C10A8B">
        <w:rPr>
          <w:rFonts w:eastAsia="Arial"/>
        </w:rPr>
        <w:t xml:space="preserve">(4), 45-63. </w:t>
      </w:r>
      <w:hyperlink r:id="rId10">
        <w:r w:rsidRPr="00C10A8B">
          <w:rPr>
            <w:rFonts w:eastAsia="Arial"/>
          </w:rPr>
          <w:t>https://doi.org/10.18778/1508-2008.25.29</w:t>
        </w:r>
      </w:hyperlink>
    </w:p>
    <w:p w14:paraId="4C575229"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Central Statistical Office of Poland (GUS). (2025). </w:t>
      </w:r>
      <w:r w:rsidRPr="00C10A8B">
        <w:rPr>
          <w:rFonts w:eastAsia="Arial"/>
          <w:i/>
          <w:iCs/>
        </w:rPr>
        <w:t>Main page</w:t>
      </w:r>
      <w:r w:rsidRPr="00C10A8B">
        <w:rPr>
          <w:rFonts w:eastAsia="Arial"/>
        </w:rPr>
        <w:t xml:space="preserve">. Central Statistical Office of Poland (GUS). </w:t>
      </w:r>
      <w:hyperlink r:id="rId11">
        <w:r w:rsidRPr="00C10A8B">
          <w:rPr>
            <w:rFonts w:eastAsia="Arial"/>
          </w:rPr>
          <w:t>https://stat.gov.pl</w:t>
        </w:r>
      </w:hyperlink>
      <w:r w:rsidRPr="00C10A8B">
        <w:rPr>
          <w:rFonts w:eastAsia="Arial"/>
        </w:rPr>
        <w:t xml:space="preserve"> </w:t>
      </w:r>
    </w:p>
    <w:p w14:paraId="4CF7C4D6"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Chis, T. V., Cioca, L.-I., Badea, D. O., Cristea, I., Darabont, D. C., Iordache, R. M., Platon, S. N., Trifu, A., &amp; Barsan, V. A. (2025). Integrated Noise Management Strategies in Industrial Environments: A Framework for Occupational Safety, Health, and Productivity. </w:t>
      </w:r>
      <w:r w:rsidRPr="00C10A8B">
        <w:rPr>
          <w:rFonts w:eastAsia="Arial"/>
          <w:i/>
          <w:iCs/>
        </w:rPr>
        <w:t>Sustainability,</w:t>
      </w:r>
      <w:r w:rsidRPr="00C10A8B">
        <w:rPr>
          <w:rFonts w:eastAsia="Arial"/>
        </w:rPr>
        <w:t xml:space="preserve"> </w:t>
      </w:r>
      <w:r w:rsidRPr="00C10A8B">
        <w:rPr>
          <w:rFonts w:eastAsia="Arial"/>
          <w:i/>
          <w:iCs/>
        </w:rPr>
        <w:t>17</w:t>
      </w:r>
      <w:r w:rsidRPr="00C10A8B">
        <w:rPr>
          <w:rFonts w:eastAsia="Arial"/>
        </w:rPr>
        <w:t xml:space="preserve">(3). </w:t>
      </w:r>
      <w:r w:rsidRPr="00C10A8B">
        <w:t>https://doi.org/10.3390/su17031181</w:t>
      </w:r>
    </w:p>
    <w:p w14:paraId="58472CB1"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4" w:name="_h2vp1nbr5m1x" w:colFirst="0" w:colLast="0"/>
      <w:bookmarkEnd w:id="4"/>
      <w:r w:rsidRPr="00C10A8B">
        <w:rPr>
          <w:rFonts w:eastAsia="Arial"/>
        </w:rPr>
        <w:t xml:space="preserve">Cioffi, J. W., Kenney, M. F., &amp; Zysman, J. (2022). Platform power and regulatory politics: Polanyi for the twenty-first century. </w:t>
      </w:r>
      <w:r w:rsidRPr="00C10A8B">
        <w:rPr>
          <w:rFonts w:eastAsia="Arial"/>
          <w:i/>
          <w:iCs/>
        </w:rPr>
        <w:t>New Political Economy,</w:t>
      </w:r>
      <w:r w:rsidRPr="00C10A8B">
        <w:rPr>
          <w:rFonts w:eastAsia="Arial"/>
        </w:rPr>
        <w:t xml:space="preserve"> </w:t>
      </w:r>
      <w:r w:rsidRPr="00C10A8B">
        <w:rPr>
          <w:rFonts w:eastAsia="Arial"/>
          <w:i/>
          <w:iCs/>
        </w:rPr>
        <w:t>1</w:t>
      </w:r>
      <w:r w:rsidRPr="00C10A8B">
        <w:rPr>
          <w:rFonts w:eastAsia="Arial"/>
        </w:rPr>
        <w:t>, 1-12. https://doi.org/10.1080/13563467.2022.2027355</w:t>
      </w:r>
    </w:p>
    <w:p w14:paraId="3D8A722B"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Cuadros-Casanova, I., Cristiano, A., Biancolini, D., Cimatti, M., Sessa, A. A., Mendez Angarita, V. Y., Dragonetti, C., Pacifici, M., Rondinini, C., &amp; Di Marco, M. (2023). Opportunities and challenges for Common Agricultural Policy reform to support the European Green Deal. </w:t>
      </w:r>
      <w:r w:rsidRPr="00C10A8B">
        <w:rPr>
          <w:rFonts w:eastAsia="Arial"/>
          <w:i/>
          <w:iCs/>
        </w:rPr>
        <w:t>Conservation Biology,</w:t>
      </w:r>
      <w:r w:rsidRPr="00C10A8B">
        <w:rPr>
          <w:rFonts w:eastAsia="Arial"/>
        </w:rPr>
        <w:t xml:space="preserve"> </w:t>
      </w:r>
      <w:r w:rsidRPr="00C10A8B">
        <w:rPr>
          <w:rFonts w:eastAsia="Arial"/>
          <w:i/>
          <w:iCs/>
        </w:rPr>
        <w:t>37</w:t>
      </w:r>
      <w:r w:rsidRPr="00C10A8B">
        <w:rPr>
          <w:rFonts w:eastAsia="Arial"/>
        </w:rPr>
        <w:t>(3). https://doi.org/10.1111/cobi.14052</w:t>
      </w:r>
    </w:p>
    <w:p w14:paraId="034ABCBB"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Czarzasty, J. (2024). 20 years after. Changing perspectives on industrial relations in Central and Eastern Europe two decades after EU enlargement: From transition to transformation. </w:t>
      </w:r>
      <w:r w:rsidRPr="00C10A8B">
        <w:rPr>
          <w:rFonts w:eastAsia="Arial"/>
          <w:i/>
          <w:iCs/>
        </w:rPr>
        <w:t>Transfer: European Review of Labour and Research, 30</w:t>
      </w:r>
      <w:r w:rsidRPr="00C10A8B">
        <w:rPr>
          <w:rFonts w:eastAsia="Arial"/>
        </w:rPr>
        <w:t>(1), 15–31. https://doi.org/10.1177/10242589241229184</w:t>
      </w:r>
    </w:p>
    <w:p w14:paraId="653714FE"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5" w:name="_k1y5ehc61l6h" w:colFirst="0" w:colLast="0"/>
      <w:bookmarkEnd w:id="5"/>
      <w:r w:rsidRPr="00C10A8B">
        <w:rPr>
          <w:rFonts w:eastAsia="Arial"/>
        </w:rPr>
        <w:t xml:space="preserve">Direkli, M., &amp; Chiyoru Dike, G. (2023). The Environmental Sustainability of the European Union Countries: Collective Identity as a Stratum for Decarbonization. </w:t>
      </w:r>
      <w:r w:rsidRPr="00C10A8B">
        <w:rPr>
          <w:rFonts w:eastAsia="Arial"/>
          <w:i/>
          <w:iCs/>
        </w:rPr>
        <w:t>European Review,</w:t>
      </w:r>
      <w:r w:rsidRPr="00C10A8B">
        <w:rPr>
          <w:rFonts w:eastAsia="Arial"/>
        </w:rPr>
        <w:t xml:space="preserve"> </w:t>
      </w:r>
      <w:r w:rsidRPr="00C10A8B">
        <w:rPr>
          <w:rFonts w:eastAsia="Arial"/>
          <w:i/>
          <w:iCs/>
        </w:rPr>
        <w:t>31</w:t>
      </w:r>
      <w:r w:rsidRPr="00C10A8B">
        <w:rPr>
          <w:rFonts w:eastAsia="Arial"/>
        </w:rPr>
        <w:t>(6), 662-690. https://doi.org/10.1017/S1062798723000133</w:t>
      </w:r>
    </w:p>
    <w:p w14:paraId="0D2D43EC" w14:textId="77777777" w:rsidR="00B83054" w:rsidRPr="00C10A8B" w:rsidRDefault="00B83054" w:rsidP="00EB2F93">
      <w:pPr>
        <w:pStyle w:val="ListParagraph"/>
        <w:numPr>
          <w:ilvl w:val="0"/>
          <w:numId w:val="12"/>
        </w:numPr>
        <w:tabs>
          <w:tab w:val="left" w:pos="993"/>
        </w:tabs>
        <w:spacing w:line="360" w:lineRule="auto"/>
        <w:ind w:left="709" w:right="-8" w:hanging="709"/>
        <w:jc w:val="both"/>
        <w:rPr>
          <w:rFonts w:eastAsia="Arial"/>
        </w:rPr>
      </w:pPr>
      <w:r w:rsidRPr="00C10A8B">
        <w:rPr>
          <w:rFonts w:eastAsia="Arial"/>
        </w:rPr>
        <w:t xml:space="preserve">Dumanska, K., Chaikovska, I., Vahanova, L., &amp; Kobets, D. (2021). Strategize company’s sustainable managementof investment project evaluation based on theinformation support. </w:t>
      </w:r>
      <w:r w:rsidRPr="00C10A8B">
        <w:rPr>
          <w:rFonts w:eastAsia="Arial"/>
          <w:i/>
          <w:iCs/>
        </w:rPr>
        <w:t>Journal of Information Technology Management, 13</w:t>
      </w:r>
      <w:r w:rsidRPr="00C10A8B">
        <w:rPr>
          <w:rFonts w:eastAsia="Arial"/>
        </w:rPr>
        <w:t>, 143–158.</w:t>
      </w:r>
      <w:r w:rsidRPr="00C10A8B">
        <w:t xml:space="preserve"> </w:t>
      </w:r>
      <w:r w:rsidRPr="00C10A8B">
        <w:rPr>
          <w:rFonts w:eastAsia="Arial"/>
        </w:rPr>
        <w:t>https://mdes.khmnu.edu.ua/index.php/mdes/article/download/64/51</w:t>
      </w:r>
    </w:p>
    <w:p w14:paraId="1C937194"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6" w:name="_pxt9t4dfbpyk" w:colFirst="0" w:colLast="0"/>
      <w:bookmarkEnd w:id="6"/>
      <w:r w:rsidRPr="00C10A8B">
        <w:rPr>
          <w:rFonts w:eastAsia="Arial"/>
        </w:rPr>
        <w:t xml:space="preserve">Eckerberg, K., Bjärstig, Th., Miljand, M., &amp; Mancheva, I. 2020. Devolving power from the state: local initiatives for nature protection and recreation in Sweden. </w:t>
      </w:r>
      <w:r w:rsidRPr="00C10A8B">
        <w:rPr>
          <w:rFonts w:eastAsia="Arial"/>
          <w:i/>
          <w:iCs/>
        </w:rPr>
        <w:t>Local Environment,</w:t>
      </w:r>
      <w:r w:rsidRPr="00C10A8B">
        <w:rPr>
          <w:rFonts w:eastAsia="Arial"/>
        </w:rPr>
        <w:t xml:space="preserve"> </w:t>
      </w:r>
      <w:r w:rsidRPr="00C10A8B">
        <w:rPr>
          <w:rFonts w:eastAsia="Arial"/>
          <w:i/>
          <w:iCs/>
        </w:rPr>
        <w:t>25</w:t>
      </w:r>
      <w:r w:rsidRPr="00C10A8B">
        <w:rPr>
          <w:rFonts w:eastAsia="Arial"/>
        </w:rPr>
        <w:t>, 433-446. https://doi.org/10.1080/13549839.2020.1760226</w:t>
      </w:r>
    </w:p>
    <w:p w14:paraId="5F79011F"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FAO. (2025). </w:t>
      </w:r>
      <w:r w:rsidRPr="00C10A8B">
        <w:rPr>
          <w:rFonts w:eastAsia="Arial"/>
          <w:i/>
          <w:iCs/>
        </w:rPr>
        <w:t>World Food Situation</w:t>
      </w:r>
      <w:r w:rsidRPr="00C10A8B">
        <w:rPr>
          <w:rFonts w:eastAsia="Arial"/>
        </w:rPr>
        <w:t>. FAO Food Price Index. https://www.fao.org/worldfoodsituation/foodpricesindex/en/</w:t>
      </w:r>
    </w:p>
    <w:p w14:paraId="402CF19B"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7" w:name="_wrzjd1i091ak" w:colFirst="0" w:colLast="0"/>
      <w:bookmarkEnd w:id="7"/>
      <w:r w:rsidRPr="00C10A8B">
        <w:rPr>
          <w:rFonts w:eastAsia="Arial"/>
        </w:rPr>
        <w:t xml:space="preserve">Farooq, M. S., Riaz, S., Abid, A., Umer, T., &amp; Zikria, Y. B. (2020). Role of IoT technology in agriculture: A systematic literature review. </w:t>
      </w:r>
      <w:r w:rsidRPr="00C10A8B">
        <w:rPr>
          <w:rFonts w:eastAsia="Arial"/>
          <w:i/>
          <w:iCs/>
        </w:rPr>
        <w:t>Electronics,</w:t>
      </w:r>
      <w:r w:rsidRPr="00C10A8B">
        <w:rPr>
          <w:rFonts w:eastAsia="Arial"/>
        </w:rPr>
        <w:t xml:space="preserve"> </w:t>
      </w:r>
      <w:r w:rsidRPr="00C10A8B">
        <w:rPr>
          <w:rFonts w:eastAsia="Arial"/>
          <w:i/>
          <w:iCs/>
        </w:rPr>
        <w:t>9</w:t>
      </w:r>
      <w:r w:rsidRPr="00C10A8B">
        <w:rPr>
          <w:rFonts w:eastAsia="Arial"/>
        </w:rPr>
        <w:t>(2). https://doi.org/10.3390/electronics9020319</w:t>
      </w:r>
    </w:p>
    <w:p w14:paraId="173D9E01"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lastRenderedPageBreak/>
        <w:t xml:space="preserve">Gadzalo, Ya. M., Sabluk, P. T., Lupenko, Y. O., Mesel-Veselyak, V. Ya., &amp; Fedorov, M. M. (2021). Agrarian reform in Ukraine, its scientific support, effectiveness. </w:t>
      </w:r>
      <w:r w:rsidRPr="00C10A8B">
        <w:rPr>
          <w:rFonts w:eastAsia="Arial"/>
          <w:i/>
          <w:iCs/>
        </w:rPr>
        <w:t>Economy APK,</w:t>
      </w:r>
      <w:r w:rsidRPr="00C10A8B">
        <w:rPr>
          <w:rFonts w:eastAsia="Arial"/>
        </w:rPr>
        <w:t xml:space="preserve"> </w:t>
      </w:r>
      <w:r w:rsidRPr="00C10A8B">
        <w:rPr>
          <w:rFonts w:eastAsia="Arial"/>
          <w:i/>
          <w:iCs/>
        </w:rPr>
        <w:t>7</w:t>
      </w:r>
      <w:r w:rsidRPr="00C10A8B">
        <w:rPr>
          <w:rFonts w:eastAsia="Arial"/>
        </w:rPr>
        <w:t>, 6-15. https://doi.org/10.32317/2221-1055.202107006</w:t>
      </w:r>
    </w:p>
    <w:p w14:paraId="31E345E9"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Gascuel-Odoux, C., Lescourret, F., Dedieu, B., Detang-Dessendre, C., Faverdin, P., Hazard, L., Litrico-Chiarelli, I., Petit, S., Roques, L., Reboud, X., Tixier-Boichard, M., de Vries, H., &amp; Caquet, T. (2022). A research agenda for scaling up agroecology in European countries. </w:t>
      </w:r>
      <w:r w:rsidRPr="00C10A8B">
        <w:rPr>
          <w:rFonts w:eastAsia="Arial"/>
          <w:i/>
          <w:iCs/>
        </w:rPr>
        <w:t>Agronomy for Sustainable Development,</w:t>
      </w:r>
      <w:r w:rsidRPr="00C10A8B">
        <w:rPr>
          <w:rFonts w:eastAsia="Arial"/>
        </w:rPr>
        <w:t xml:space="preserve"> </w:t>
      </w:r>
      <w:r w:rsidRPr="00C10A8B">
        <w:rPr>
          <w:rFonts w:eastAsia="Arial"/>
          <w:i/>
          <w:iCs/>
        </w:rPr>
        <w:t>42</w:t>
      </w:r>
      <w:r w:rsidRPr="00C10A8B">
        <w:rPr>
          <w:rFonts w:eastAsia="Arial"/>
        </w:rPr>
        <w:t>, 53. https://doi.org/10.1007/s13593-022-00786-4</w:t>
      </w:r>
    </w:p>
    <w:p w14:paraId="76FDC24D"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8" w:name="_l11rca3njra7" w:colFirst="0" w:colLast="0"/>
      <w:bookmarkEnd w:id="8"/>
      <w:r w:rsidRPr="00C10A8B">
        <w:rPr>
          <w:rFonts w:eastAsia="Arial"/>
        </w:rPr>
        <w:t xml:space="preserve">Guth, M., Smędzik-Ambroży, K., Czyżewski, B., &amp; Stępień, S. (2020). The Economic Sustainability of Farms under Common Agricultural Policy in the European Union Countries. </w:t>
      </w:r>
      <w:r w:rsidRPr="00C10A8B">
        <w:rPr>
          <w:rFonts w:eastAsia="Arial"/>
          <w:i/>
          <w:iCs/>
        </w:rPr>
        <w:t>Agriculture,</w:t>
      </w:r>
      <w:r w:rsidRPr="00C10A8B">
        <w:rPr>
          <w:rFonts w:eastAsia="Arial"/>
        </w:rPr>
        <w:t xml:space="preserve"> </w:t>
      </w:r>
      <w:r w:rsidRPr="00C10A8B">
        <w:rPr>
          <w:rFonts w:eastAsia="Arial"/>
          <w:i/>
          <w:iCs/>
        </w:rPr>
        <w:t>10</w:t>
      </w:r>
      <w:r w:rsidRPr="00C10A8B">
        <w:rPr>
          <w:rFonts w:eastAsia="Arial"/>
        </w:rPr>
        <w:t>(2), 34. https://doi.org/10.3390/agriculture10020034</w:t>
      </w:r>
    </w:p>
    <w:p w14:paraId="0013E8D5"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Holysheva, Ye. (2021). Innovative marketing tools for increasing the competitiveness of agricultural enterprises. </w:t>
      </w:r>
      <w:r w:rsidRPr="00C10A8B">
        <w:rPr>
          <w:rFonts w:eastAsia="Arial"/>
          <w:i/>
          <w:iCs/>
        </w:rPr>
        <w:t>Economy and Society,</w:t>
      </w:r>
      <w:r w:rsidRPr="00C10A8B">
        <w:rPr>
          <w:rFonts w:eastAsia="Arial"/>
        </w:rPr>
        <w:t xml:space="preserve"> </w:t>
      </w:r>
      <w:r w:rsidRPr="00C10A8B">
        <w:rPr>
          <w:rFonts w:eastAsia="Arial"/>
          <w:i/>
          <w:iCs/>
        </w:rPr>
        <w:t>32</w:t>
      </w:r>
      <w:r w:rsidRPr="00C10A8B">
        <w:rPr>
          <w:rFonts w:eastAsia="Arial"/>
        </w:rPr>
        <w:t>. https://doi.org/10.32782/2524-0072/2021-32-76</w:t>
      </w:r>
    </w:p>
    <w:p w14:paraId="16D7D360"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Kobets, D., Vorkunova, O., Yaremenko, L., Krasnoshchok, V., &amp; Zhurba, O. (2025). Using big data to increase the efficiency of business processes in the digital economy of Ukraine. </w:t>
      </w:r>
      <w:r w:rsidRPr="00C10A8B">
        <w:rPr>
          <w:rFonts w:eastAsia="Arial"/>
          <w:i/>
          <w:iCs/>
        </w:rPr>
        <w:t>Periodicals of Engineering and Natural Sciences,</w:t>
      </w:r>
      <w:r w:rsidRPr="00C10A8B">
        <w:rPr>
          <w:rFonts w:eastAsia="Arial"/>
        </w:rPr>
        <w:t xml:space="preserve"> </w:t>
      </w:r>
      <w:r w:rsidRPr="00C10A8B">
        <w:rPr>
          <w:rFonts w:eastAsia="Arial"/>
          <w:i/>
          <w:iCs/>
        </w:rPr>
        <w:t>13</w:t>
      </w:r>
      <w:r w:rsidRPr="00C10A8B">
        <w:rPr>
          <w:rFonts w:eastAsia="Arial"/>
        </w:rPr>
        <w:t>(1), 97–110. https://doi.org/10.21533/pen.v13.i1.279</w:t>
      </w:r>
    </w:p>
    <w:p w14:paraId="68D9CCD6" w14:textId="3D62CE78" w:rsidR="00E45B3D" w:rsidRDefault="00E45B3D" w:rsidP="00EB2F93">
      <w:pPr>
        <w:pStyle w:val="ListParagraph"/>
        <w:numPr>
          <w:ilvl w:val="0"/>
          <w:numId w:val="12"/>
        </w:numPr>
        <w:tabs>
          <w:tab w:val="left" w:pos="851"/>
        </w:tabs>
        <w:spacing w:line="360" w:lineRule="auto"/>
        <w:ind w:left="709" w:right="-8" w:hanging="709"/>
        <w:jc w:val="both"/>
        <w:rPr>
          <w:rFonts w:eastAsia="Arial"/>
        </w:rPr>
      </w:pPr>
      <w:r w:rsidRPr="00E45B3D">
        <w:rPr>
          <w:rFonts w:eastAsia="Arial"/>
        </w:rPr>
        <w:t>McFadden, J., Casalini, F., Griffin, T., &amp; Antón, J. (2022). The digitalisation of agriculture: A literature review and emerging policy issues (OECD Food, Agriculture and Fisheries Papers No. 176). OECD Publishing. https://doi.org/10.1787/285cc27d-en</w:t>
      </w:r>
    </w:p>
    <w:p w14:paraId="70D4D2DB" w14:textId="74A7EA70"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Mikhno, I., Koval, V., Shvets, G., Garmatiuk, O., &amp; Tamošiūnienė, R. (2021). Green economy in sustainable development and improvement of resource efficiency. </w:t>
      </w:r>
      <w:r w:rsidRPr="00C10A8B">
        <w:rPr>
          <w:rFonts w:eastAsia="Arial"/>
          <w:i/>
          <w:iCs/>
        </w:rPr>
        <w:t>Central European Business Review,</w:t>
      </w:r>
      <w:r w:rsidRPr="00C10A8B">
        <w:rPr>
          <w:rFonts w:eastAsia="Arial"/>
        </w:rPr>
        <w:t xml:space="preserve"> </w:t>
      </w:r>
      <w:r w:rsidRPr="00C10A8B">
        <w:rPr>
          <w:rFonts w:eastAsia="Arial"/>
          <w:i/>
          <w:iCs/>
        </w:rPr>
        <w:t>10</w:t>
      </w:r>
      <w:r w:rsidRPr="00C10A8B">
        <w:rPr>
          <w:rFonts w:eastAsia="Arial"/>
        </w:rPr>
        <w:t>(1), 99–113. https://doi.org/10.18267/j.cebr.252</w:t>
      </w:r>
    </w:p>
    <w:p w14:paraId="2FA9FFE8"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National Bureau of Statistics of the Republic of Moldova. (2025). </w:t>
      </w:r>
      <w:r w:rsidRPr="00C10A8B">
        <w:rPr>
          <w:rFonts w:eastAsia="Arial"/>
          <w:i/>
          <w:iCs/>
        </w:rPr>
        <w:t>Main page</w:t>
      </w:r>
      <w:r w:rsidRPr="00C10A8B">
        <w:rPr>
          <w:rFonts w:eastAsia="Arial"/>
        </w:rPr>
        <w:t xml:space="preserve">. National Bureau of Statistics of the Republic of Moldova. </w:t>
      </w:r>
      <w:hyperlink r:id="rId12">
        <w:r w:rsidRPr="00C10A8B">
          <w:rPr>
            <w:rFonts w:eastAsia="Arial"/>
          </w:rPr>
          <w:t>https://statistica.gov.md/en</w:t>
        </w:r>
      </w:hyperlink>
      <w:r w:rsidRPr="00C10A8B">
        <w:rPr>
          <w:rFonts w:eastAsia="Arial"/>
        </w:rPr>
        <w:t xml:space="preserve"> </w:t>
      </w:r>
    </w:p>
    <w:p w14:paraId="3BA512E6" w14:textId="5D72ED1D"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Pawłowski, K. P., &amp; Sołtysiak, G. (2024). The Potential Impact of the European Green Deal on Farm Production in Poland. </w:t>
      </w:r>
      <w:r w:rsidRPr="00C10A8B">
        <w:rPr>
          <w:rFonts w:eastAsia="Arial"/>
          <w:i/>
          <w:iCs/>
        </w:rPr>
        <w:t>Sustainability</w:t>
      </w:r>
      <w:r w:rsidRPr="00C10A8B">
        <w:rPr>
          <w:rFonts w:eastAsia="Arial"/>
        </w:rPr>
        <w:t xml:space="preserve">, </w:t>
      </w:r>
      <w:r w:rsidRPr="00C10A8B">
        <w:rPr>
          <w:rFonts w:eastAsia="Arial"/>
          <w:i/>
          <w:iCs/>
        </w:rPr>
        <w:t>16</w:t>
      </w:r>
      <w:r w:rsidRPr="00C10A8B">
        <w:rPr>
          <w:rFonts w:eastAsia="Arial"/>
        </w:rPr>
        <w:t>(24), 11080. https://doi.org/10.3390/su162411080</w:t>
      </w:r>
    </w:p>
    <w:p w14:paraId="46D2E057"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Petrea, Ș.-M., Cristea, D. S., Turek Rahoveanu, M. M., Zamfir, C. G., Turek Rahoveanu, A., Zugravu, G. A., &amp; Nancu, D. (2020). Perspectives of the Moldavian Agricultural Sector by Using a Custom-Developed Analytical Framework. </w:t>
      </w:r>
      <w:r w:rsidRPr="00C10A8B">
        <w:rPr>
          <w:rFonts w:eastAsia="Arial"/>
          <w:i/>
          <w:iCs/>
        </w:rPr>
        <w:t>Sustainability,</w:t>
      </w:r>
      <w:r w:rsidRPr="00C10A8B">
        <w:rPr>
          <w:rFonts w:eastAsia="Arial"/>
        </w:rPr>
        <w:t xml:space="preserve"> </w:t>
      </w:r>
      <w:r w:rsidRPr="00C10A8B">
        <w:rPr>
          <w:rFonts w:eastAsia="Arial"/>
          <w:i/>
          <w:iCs/>
        </w:rPr>
        <w:t>12</w:t>
      </w:r>
      <w:r w:rsidRPr="00C10A8B">
        <w:rPr>
          <w:rFonts w:eastAsia="Arial"/>
        </w:rPr>
        <w:t xml:space="preserve">(11), 4671. </w:t>
      </w:r>
      <w:hyperlink r:id="rId13">
        <w:r w:rsidRPr="00C10A8B">
          <w:rPr>
            <w:rFonts w:eastAsia="Arial"/>
          </w:rPr>
          <w:t>https://doi.org/10.3390/su12114671</w:t>
        </w:r>
      </w:hyperlink>
    </w:p>
    <w:p w14:paraId="22F53AD4" w14:textId="77777777" w:rsidR="00B83054" w:rsidRPr="00C10A8B" w:rsidRDefault="00B83054" w:rsidP="00EB2F93">
      <w:pPr>
        <w:pStyle w:val="ListParagraph"/>
        <w:numPr>
          <w:ilvl w:val="0"/>
          <w:numId w:val="12"/>
        </w:numPr>
        <w:tabs>
          <w:tab w:val="left" w:pos="993"/>
        </w:tabs>
        <w:spacing w:line="360" w:lineRule="auto"/>
        <w:ind w:left="709" w:right="-8" w:hanging="709"/>
        <w:jc w:val="both"/>
        <w:rPr>
          <w:rFonts w:eastAsia="Arial"/>
        </w:rPr>
      </w:pPr>
      <w:r w:rsidRPr="00C10A8B">
        <w:rPr>
          <w:rFonts w:eastAsia="Arial"/>
        </w:rPr>
        <w:lastRenderedPageBreak/>
        <w:t xml:space="preserve">Pita, M., Costa, J., &amp; Moreira, A. C. (2021). Entrepreneurial Ecosystems and Entrepreneurial Initiative: Building a Multi-Country Taxonomy. </w:t>
      </w:r>
      <w:r w:rsidRPr="00C10A8B">
        <w:rPr>
          <w:rFonts w:eastAsia="Arial"/>
          <w:i/>
          <w:iCs/>
        </w:rPr>
        <w:t>Sustainability,</w:t>
      </w:r>
      <w:r w:rsidRPr="00C10A8B">
        <w:rPr>
          <w:rFonts w:eastAsia="Arial"/>
        </w:rPr>
        <w:t xml:space="preserve"> </w:t>
      </w:r>
      <w:r w:rsidRPr="00C10A8B">
        <w:rPr>
          <w:rFonts w:eastAsia="Arial"/>
          <w:i/>
          <w:iCs/>
        </w:rPr>
        <w:t>13</w:t>
      </w:r>
      <w:r w:rsidRPr="00C10A8B">
        <w:rPr>
          <w:rFonts w:eastAsia="Arial"/>
        </w:rPr>
        <w:t xml:space="preserve">(7), 4065. </w:t>
      </w:r>
      <w:hyperlink r:id="rId14">
        <w:r w:rsidRPr="00C10A8B">
          <w:rPr>
            <w:rFonts w:eastAsia="Arial"/>
          </w:rPr>
          <w:t>https://doi.org/10.3390/su13074065</w:t>
        </w:r>
      </w:hyperlink>
    </w:p>
    <w:p w14:paraId="34DEACF6"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Ponomarova, M., Yevsiukov, A., Shovkun, L., Zolotarоva, S., &amp; Kramarenko, I. (2022). Formation and Management of the Development of Agricultural Production and Processing of Agricultural Products and the Value of Food Technologies. </w:t>
      </w:r>
      <w:r w:rsidRPr="00C10A8B">
        <w:rPr>
          <w:rFonts w:eastAsia="Arial"/>
          <w:i/>
          <w:iCs/>
        </w:rPr>
        <w:t>Financial and Credit Activity Problems of Theory and Practice,</w:t>
      </w:r>
      <w:r w:rsidRPr="00C10A8B">
        <w:rPr>
          <w:rFonts w:eastAsia="Arial"/>
        </w:rPr>
        <w:t xml:space="preserve"> </w:t>
      </w:r>
      <w:r w:rsidRPr="00C10A8B">
        <w:rPr>
          <w:rFonts w:eastAsia="Arial"/>
          <w:i/>
          <w:iCs/>
        </w:rPr>
        <w:t>4</w:t>
      </w:r>
      <w:r w:rsidRPr="00C10A8B">
        <w:rPr>
          <w:rFonts w:eastAsia="Arial"/>
        </w:rPr>
        <w:t xml:space="preserve">(45), 58–67. https://doi.org/10.55643/fcaptp.4.45.2022.3825 </w:t>
      </w:r>
    </w:p>
    <w:p w14:paraId="5D9E19F4"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Radlińska, K. (2025). Changes in the Structure of Agriculture in Central and Eastern Europe in the Light of the European Green Deal.</w:t>
      </w:r>
      <w:r w:rsidRPr="00C10A8B">
        <w:rPr>
          <w:rFonts w:eastAsia="Arial"/>
          <w:i/>
          <w:iCs/>
        </w:rPr>
        <w:t xml:space="preserve"> Sustainability,</w:t>
      </w:r>
      <w:r w:rsidRPr="00C10A8B">
        <w:rPr>
          <w:rFonts w:eastAsia="Arial"/>
        </w:rPr>
        <w:t xml:space="preserve"> </w:t>
      </w:r>
      <w:r w:rsidRPr="00C10A8B">
        <w:rPr>
          <w:rFonts w:eastAsia="Arial"/>
          <w:i/>
          <w:iCs/>
        </w:rPr>
        <w:t>17</w:t>
      </w:r>
      <w:r w:rsidRPr="00C10A8B">
        <w:rPr>
          <w:rFonts w:eastAsia="Arial"/>
        </w:rPr>
        <w:t xml:space="preserve">(1), 104. </w:t>
      </w:r>
      <w:hyperlink r:id="rId15">
        <w:r w:rsidRPr="00C10A8B">
          <w:rPr>
            <w:rFonts w:eastAsia="Arial"/>
          </w:rPr>
          <w:t>https://doi.org/10.3390/su17010104</w:t>
        </w:r>
      </w:hyperlink>
    </w:p>
    <w:p w14:paraId="15569583"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9" w:name="_9s2pt5i8taao" w:colFirst="0" w:colLast="0"/>
      <w:bookmarkEnd w:id="9"/>
      <w:r w:rsidRPr="00C10A8B">
        <w:rPr>
          <w:rFonts w:eastAsia="Arial"/>
        </w:rPr>
        <w:t xml:space="preserve">Salvador, M., &amp; Sancho, D. (2021). The Role of Local Government in the Drive for Sustainable Development Public Policies. An Analytical Framework Based on Institutional Capacities. </w:t>
      </w:r>
      <w:r w:rsidRPr="00C10A8B">
        <w:rPr>
          <w:rFonts w:eastAsia="Arial"/>
          <w:i/>
          <w:iCs/>
        </w:rPr>
        <w:t>Sustainability, 13</w:t>
      </w:r>
      <w:r w:rsidRPr="00C10A8B">
        <w:rPr>
          <w:rFonts w:eastAsia="Arial"/>
        </w:rPr>
        <w:t xml:space="preserve">(11), 5978. </w:t>
      </w:r>
      <w:hyperlink r:id="rId16">
        <w:r w:rsidRPr="00C10A8B">
          <w:rPr>
            <w:rFonts w:eastAsia="Arial"/>
          </w:rPr>
          <w:t>https://doi.org/10.3390/su13115978</w:t>
        </w:r>
      </w:hyperlink>
    </w:p>
    <w:p w14:paraId="35B27D56"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Sieczko, L., Parzonko, A.J., &amp; Sieczko, A. (2021). Trust in CollectiveEntrepreneurship in the Context ofthe Development of Rural Areas in Poland. </w:t>
      </w:r>
      <w:r w:rsidRPr="00C10A8B">
        <w:rPr>
          <w:rFonts w:eastAsia="Arial"/>
          <w:i/>
          <w:iCs/>
        </w:rPr>
        <w:t>Agriculture,</w:t>
      </w:r>
      <w:r w:rsidRPr="00C10A8B">
        <w:rPr>
          <w:rFonts w:eastAsia="Arial"/>
        </w:rPr>
        <w:t xml:space="preserve"> </w:t>
      </w:r>
      <w:r w:rsidRPr="00C10A8B">
        <w:rPr>
          <w:rFonts w:eastAsia="Arial"/>
          <w:i/>
          <w:iCs/>
        </w:rPr>
        <w:t>11</w:t>
      </w:r>
      <w:r w:rsidRPr="00C10A8B">
        <w:rPr>
          <w:rFonts w:eastAsia="Arial"/>
        </w:rPr>
        <w:t>(11), 1151. https://doi.org/10.3390/agriculture11111151</w:t>
      </w:r>
    </w:p>
    <w:p w14:paraId="1B7F0F4E"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State Statistics Service of Ukraine. (2024). </w:t>
      </w:r>
      <w:r w:rsidRPr="00C10A8B">
        <w:rPr>
          <w:rFonts w:eastAsia="Arial"/>
          <w:i/>
          <w:iCs/>
        </w:rPr>
        <w:t>Environmental Protection Statistics 2010–2023</w:t>
      </w:r>
      <w:r w:rsidRPr="00C10A8B">
        <w:rPr>
          <w:rFonts w:eastAsia="Arial"/>
        </w:rPr>
        <w:t xml:space="preserve">. State Statistics Service of Ukraine. </w:t>
      </w:r>
      <w:hyperlink r:id="rId17">
        <w:r w:rsidRPr="00C10A8B">
          <w:rPr>
            <w:rFonts w:eastAsia="Arial"/>
          </w:rPr>
          <w:t>http://www.ukrstat.gov.ua</w:t>
        </w:r>
      </w:hyperlink>
      <w:r w:rsidRPr="00C10A8B">
        <w:rPr>
          <w:rFonts w:eastAsia="Arial"/>
        </w:rPr>
        <w:t xml:space="preserve"> </w:t>
      </w:r>
    </w:p>
    <w:p w14:paraId="747AEC9D"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Sumets, A., Tyrkalo, Y., Popovych, N., Poliakova, J., &amp; Krupin, V. (2022). Modeling of the Environmental Risk Management System of Agroholdings Considering the Sustainable Development Values. </w:t>
      </w:r>
      <w:r w:rsidRPr="00C10A8B">
        <w:rPr>
          <w:rFonts w:eastAsia="Arial"/>
          <w:i/>
          <w:iCs/>
        </w:rPr>
        <w:t>Agricultural and Resource Economics,</w:t>
      </w:r>
      <w:r w:rsidRPr="00C10A8B">
        <w:rPr>
          <w:rFonts w:eastAsia="Arial"/>
        </w:rPr>
        <w:t xml:space="preserve"> </w:t>
      </w:r>
      <w:r w:rsidRPr="00C10A8B">
        <w:rPr>
          <w:rFonts w:eastAsia="Arial"/>
          <w:i/>
          <w:iCs/>
        </w:rPr>
        <w:t>8</w:t>
      </w:r>
      <w:r w:rsidRPr="00C10A8B">
        <w:rPr>
          <w:rFonts w:eastAsia="Arial"/>
        </w:rPr>
        <w:t>(4), 244-265. https://doi.org/10.51599/are.2022.08.04.11</w:t>
      </w:r>
    </w:p>
    <w:p w14:paraId="2AD4359A"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Tomashuk, I., Timhenko, O., &amp; Zakharova, T. (2024). Agricultural Enterprise Development Strategy and its Efficiency in the Modern Economic Conditions. </w:t>
      </w:r>
      <w:r w:rsidRPr="00C10A8B">
        <w:rPr>
          <w:rFonts w:eastAsia="Arial"/>
          <w:i/>
          <w:iCs/>
        </w:rPr>
        <w:t>Baltic Journal of Economic Studies,</w:t>
      </w:r>
      <w:r w:rsidRPr="00C10A8B">
        <w:rPr>
          <w:rFonts w:eastAsia="Arial"/>
        </w:rPr>
        <w:t xml:space="preserve"> </w:t>
      </w:r>
      <w:r w:rsidRPr="00C10A8B">
        <w:rPr>
          <w:rFonts w:eastAsia="Arial"/>
          <w:i/>
          <w:iCs/>
        </w:rPr>
        <w:t>10</w:t>
      </w:r>
      <w:r w:rsidRPr="00C10A8B">
        <w:rPr>
          <w:rFonts w:eastAsia="Arial"/>
        </w:rPr>
        <w:t xml:space="preserve">(2), 265-281. </w:t>
      </w:r>
      <w:hyperlink r:id="rId18">
        <w:r w:rsidRPr="00C10A8B">
          <w:rPr>
            <w:rFonts w:eastAsia="Arial"/>
          </w:rPr>
          <w:t>https://doi.org/10.30525/2256-0742/2024-10-2-265-281</w:t>
        </w:r>
      </w:hyperlink>
    </w:p>
    <w:p w14:paraId="2A192472"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Turețchi, V., &amp; Turețchi, T. (2023). Reforming the agricultural sector of the Republic of Moldova: A vital imperative in the context of the amplification of geopolitical and climatic crises in the region. In Rodino, Steliana D., Vili (eds.), </w:t>
      </w:r>
      <w:r w:rsidRPr="00C10A8B">
        <w:rPr>
          <w:rFonts w:eastAsia="Arial"/>
          <w:i/>
          <w:iCs/>
        </w:rPr>
        <w:t>Agrarian Economy and Rural Development - Trends and Challenges. International Symposium. 14th Edition</w:t>
      </w:r>
      <w:r w:rsidRPr="00C10A8B">
        <w:rPr>
          <w:rFonts w:eastAsia="Arial"/>
        </w:rPr>
        <w:t>. The Research Institute for Agricultural Economy and Rural Development (ICEADR).</w:t>
      </w:r>
      <w:r w:rsidRPr="00C10A8B">
        <w:t xml:space="preserve"> </w:t>
      </w:r>
      <w:r w:rsidRPr="00C10A8B">
        <w:rPr>
          <w:rFonts w:eastAsia="Arial"/>
        </w:rPr>
        <w:t>https://www.econstor.eu/bitstream/10419/301763/1/ICEADR-2023-p066.pdf</w:t>
      </w:r>
    </w:p>
    <w:p w14:paraId="5E2698C7"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lastRenderedPageBreak/>
        <w:t xml:space="preserve">Wojarska, M. (2024). The financial gap arising from the local government’s educational tasks and the sustainable development of communes in Poland. </w:t>
      </w:r>
      <w:r w:rsidRPr="00C10A8B">
        <w:rPr>
          <w:rFonts w:eastAsia="Arial"/>
          <w:i/>
          <w:iCs/>
        </w:rPr>
        <w:t>Sustainability, 16</w:t>
      </w:r>
      <w:r w:rsidRPr="00C10A8B">
        <w:rPr>
          <w:rFonts w:eastAsia="Arial"/>
        </w:rPr>
        <w:t>(22), 10073. https://doi.org/10.3390/su162210073</w:t>
      </w:r>
    </w:p>
    <w:p w14:paraId="09BFF18C"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bookmarkStart w:id="10" w:name="_sp37kdz5fc6p" w:colFirst="0" w:colLast="0"/>
      <w:bookmarkEnd w:id="10"/>
      <w:r w:rsidRPr="00C10A8B">
        <w:rPr>
          <w:rFonts w:eastAsia="Arial"/>
        </w:rPr>
        <w:t xml:space="preserve">World Bank Group. (2025). </w:t>
      </w:r>
      <w:r w:rsidRPr="00C10A8B">
        <w:rPr>
          <w:rFonts w:eastAsia="Arial"/>
          <w:i/>
          <w:iCs/>
        </w:rPr>
        <w:t>World Bank Commodity Price Data (The Pink Sheet)</w:t>
      </w:r>
      <w:r w:rsidRPr="00C10A8B">
        <w:rPr>
          <w:rFonts w:eastAsia="Arial"/>
        </w:rPr>
        <w:t xml:space="preserve">. </w:t>
      </w:r>
      <w:hyperlink r:id="rId19">
        <w:r w:rsidRPr="00C10A8B">
          <w:rPr>
            <w:rFonts w:eastAsia="Arial"/>
          </w:rPr>
          <w:t>https://www.worldbank.org/en/research/commodity-markets</w:t>
        </w:r>
      </w:hyperlink>
      <w:r w:rsidRPr="00C10A8B">
        <w:rPr>
          <w:rFonts w:eastAsia="Arial"/>
        </w:rPr>
        <w:t xml:space="preserve"> </w:t>
      </w:r>
    </w:p>
    <w:p w14:paraId="23A246E0"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Zhao, J. F., Cheng, W. J., &amp; Ni, L. K. (2023). Equity structure, environmental regulation and corporate green innovation: an empirical analysis based on A-share listed heavy polluters. </w:t>
      </w:r>
      <w:r w:rsidRPr="00C10A8B">
        <w:rPr>
          <w:rFonts w:eastAsia="Arial"/>
          <w:i/>
          <w:iCs/>
        </w:rPr>
        <w:t>Enterprise Economics, 10</w:t>
      </w:r>
      <w:r w:rsidRPr="00C10A8B">
        <w:rPr>
          <w:rFonts w:eastAsia="Arial"/>
        </w:rPr>
        <w:t>, 29–39. https://doi.org/10.13529/j.cnki.enterprise.economy.2023.10.003</w:t>
      </w:r>
    </w:p>
    <w:p w14:paraId="2385D000" w14:textId="77777777" w:rsidR="00B83054" w:rsidRPr="00C10A8B" w:rsidRDefault="00B83054" w:rsidP="00EB2F93">
      <w:pPr>
        <w:pStyle w:val="ListParagraph"/>
        <w:numPr>
          <w:ilvl w:val="0"/>
          <w:numId w:val="12"/>
        </w:numPr>
        <w:tabs>
          <w:tab w:val="left" w:pos="851"/>
        </w:tabs>
        <w:spacing w:line="360" w:lineRule="auto"/>
        <w:ind w:left="709" w:right="-8" w:hanging="709"/>
        <w:jc w:val="both"/>
        <w:rPr>
          <w:rFonts w:eastAsia="Arial"/>
        </w:rPr>
      </w:pPr>
      <w:r w:rsidRPr="00C10A8B">
        <w:rPr>
          <w:rFonts w:eastAsia="Arial"/>
        </w:rPr>
        <w:t xml:space="preserve">Zolkover, A. O., Rusina, Y. O., Bielialov, T. E., &amp; Neseniuk, E. S. (2020). The influence of innovative potential on gross production and economic security: Regional analysis. </w:t>
      </w:r>
      <w:r w:rsidRPr="00C10A8B">
        <w:rPr>
          <w:rFonts w:eastAsia="Arial"/>
          <w:i/>
          <w:iCs/>
        </w:rPr>
        <w:t>International Journal of Management,</w:t>
      </w:r>
      <w:r w:rsidRPr="00C10A8B">
        <w:rPr>
          <w:rFonts w:eastAsia="Arial"/>
        </w:rPr>
        <w:t xml:space="preserve"> </w:t>
      </w:r>
      <w:r w:rsidRPr="00C10A8B">
        <w:rPr>
          <w:rFonts w:eastAsia="Arial"/>
          <w:i/>
          <w:iCs/>
        </w:rPr>
        <w:t>11</w:t>
      </w:r>
      <w:r w:rsidRPr="00C10A8B">
        <w:rPr>
          <w:rFonts w:eastAsia="Arial"/>
        </w:rPr>
        <w:t>(4), 439–452. https://iaeme.com/Home/article_id/IJM_11_04_043</w:t>
      </w:r>
    </w:p>
    <w:p w14:paraId="5F89548F" w14:textId="77777777" w:rsidR="00B83054" w:rsidRPr="00C23FE6" w:rsidRDefault="00B83054" w:rsidP="00EB2F93">
      <w:pPr>
        <w:spacing w:line="360" w:lineRule="auto"/>
        <w:ind w:firstLine="709"/>
        <w:rPr>
          <w:rFonts w:eastAsia="Arial"/>
          <w:b/>
          <w:bCs/>
        </w:rPr>
      </w:pPr>
    </w:p>
    <w:p w14:paraId="05DE5768" w14:textId="45465BD4" w:rsidR="00410ED7" w:rsidRDefault="00410ED7" w:rsidP="00EB2F93">
      <w:pPr>
        <w:spacing w:line="360" w:lineRule="auto"/>
        <w:jc w:val="both"/>
        <w:rPr>
          <w:rFonts w:eastAsia="Arial"/>
          <w:lang w:val="uk-UA"/>
        </w:rPr>
      </w:pPr>
      <w:r>
        <w:rPr>
          <w:rFonts w:eastAsia="Arial"/>
          <w:lang w:val="uk-UA"/>
        </w:rPr>
        <w:br w:type="page"/>
      </w:r>
    </w:p>
    <w:p w14:paraId="665590C3" w14:textId="77777777" w:rsidR="00410ED7" w:rsidRPr="00C9288A" w:rsidRDefault="00410ED7" w:rsidP="00410ED7">
      <w:pPr>
        <w:spacing w:line="360" w:lineRule="auto"/>
        <w:outlineLvl w:val="1"/>
        <w:rPr>
          <w:bCs/>
          <w:lang w:eastAsia="ru-RU"/>
        </w:rPr>
      </w:pPr>
      <w:r w:rsidRPr="00C9288A">
        <w:rPr>
          <w:bCs/>
          <w:lang w:eastAsia="ru-RU"/>
        </w:rPr>
        <w:lastRenderedPageBreak/>
        <w:t>Table 1. Labor productivity in the agricultural sector (thousand USD per employee)</w:t>
      </w:r>
    </w:p>
    <w:tbl>
      <w:tblPr>
        <w:tblStyle w:val="TableGrid"/>
        <w:tblW w:w="0" w:type="auto"/>
        <w:tblLook w:val="04A0" w:firstRow="1" w:lastRow="0" w:firstColumn="1" w:lastColumn="0" w:noHBand="0" w:noVBand="1"/>
      </w:tblPr>
      <w:tblGrid>
        <w:gridCol w:w="2216"/>
        <w:gridCol w:w="2265"/>
        <w:gridCol w:w="2276"/>
        <w:gridCol w:w="2253"/>
      </w:tblGrid>
      <w:tr w:rsidR="00410ED7" w:rsidRPr="00C9288A" w14:paraId="5966B058" w14:textId="77777777" w:rsidTr="007C2213">
        <w:tc>
          <w:tcPr>
            <w:tcW w:w="2395" w:type="dxa"/>
            <w:vAlign w:val="center"/>
          </w:tcPr>
          <w:p w14:paraId="7B9F64D9" w14:textId="77777777" w:rsidR="00410ED7" w:rsidRPr="003A656D" w:rsidRDefault="00410ED7" w:rsidP="005C6E84">
            <w:pPr>
              <w:jc w:val="center"/>
              <w:outlineLvl w:val="1"/>
              <w:rPr>
                <w:rFonts w:ascii="Times New Roman" w:eastAsia="Times New Roman" w:hAnsi="Times New Roman" w:cs="Times New Roman"/>
                <w:b/>
                <w:sz w:val="24"/>
                <w:szCs w:val="24"/>
                <w:lang w:val="en-US" w:eastAsia="ru-RU"/>
              </w:rPr>
            </w:pPr>
            <w:r w:rsidRPr="003A656D">
              <w:rPr>
                <w:rFonts w:ascii="Times New Roman" w:eastAsia="Times New Roman" w:hAnsi="Times New Roman" w:cs="Times New Roman"/>
                <w:b/>
                <w:sz w:val="24"/>
                <w:szCs w:val="24"/>
                <w:lang w:val="en-US" w:eastAsia="ru-RU"/>
              </w:rPr>
              <w:t>Year</w:t>
            </w:r>
          </w:p>
        </w:tc>
        <w:tc>
          <w:tcPr>
            <w:tcW w:w="2409" w:type="dxa"/>
            <w:vAlign w:val="center"/>
          </w:tcPr>
          <w:p w14:paraId="2CECDB22" w14:textId="77777777" w:rsidR="00410ED7" w:rsidRPr="003A656D" w:rsidRDefault="00410ED7" w:rsidP="005C6E84">
            <w:pPr>
              <w:jc w:val="center"/>
              <w:outlineLvl w:val="1"/>
              <w:rPr>
                <w:rFonts w:ascii="Times New Roman" w:eastAsia="Times New Roman" w:hAnsi="Times New Roman" w:cs="Times New Roman"/>
                <w:b/>
                <w:sz w:val="24"/>
                <w:szCs w:val="24"/>
                <w:lang w:val="en-US" w:eastAsia="ru-RU"/>
              </w:rPr>
            </w:pPr>
            <w:r w:rsidRPr="003A656D">
              <w:rPr>
                <w:rFonts w:ascii="Times New Roman" w:eastAsia="Times New Roman" w:hAnsi="Times New Roman" w:cs="Times New Roman"/>
                <w:b/>
                <w:sz w:val="24"/>
                <w:szCs w:val="24"/>
                <w:lang w:val="en-US" w:eastAsia="ru-RU"/>
              </w:rPr>
              <w:t>Ukraine</w:t>
            </w:r>
          </w:p>
        </w:tc>
        <w:tc>
          <w:tcPr>
            <w:tcW w:w="2414" w:type="dxa"/>
            <w:vAlign w:val="center"/>
          </w:tcPr>
          <w:p w14:paraId="159F7C66" w14:textId="77777777" w:rsidR="00410ED7" w:rsidRPr="003A656D" w:rsidRDefault="00410ED7" w:rsidP="005C6E84">
            <w:pPr>
              <w:jc w:val="center"/>
              <w:outlineLvl w:val="1"/>
              <w:rPr>
                <w:rFonts w:ascii="Times New Roman" w:eastAsia="Times New Roman" w:hAnsi="Times New Roman" w:cs="Times New Roman"/>
                <w:b/>
                <w:sz w:val="24"/>
                <w:szCs w:val="24"/>
                <w:lang w:val="en-US" w:eastAsia="ru-RU"/>
              </w:rPr>
            </w:pPr>
            <w:r w:rsidRPr="003A656D">
              <w:rPr>
                <w:rFonts w:ascii="Times New Roman" w:eastAsia="Times New Roman" w:hAnsi="Times New Roman" w:cs="Times New Roman"/>
                <w:b/>
                <w:sz w:val="24"/>
                <w:szCs w:val="24"/>
                <w:lang w:val="en-US" w:eastAsia="ru-RU"/>
              </w:rPr>
              <w:t>Moldova</w:t>
            </w:r>
          </w:p>
        </w:tc>
        <w:tc>
          <w:tcPr>
            <w:tcW w:w="2410" w:type="dxa"/>
            <w:vAlign w:val="center"/>
          </w:tcPr>
          <w:p w14:paraId="22740EC0" w14:textId="77777777" w:rsidR="00410ED7" w:rsidRPr="003A656D" w:rsidRDefault="00410ED7" w:rsidP="005C6E84">
            <w:pPr>
              <w:jc w:val="center"/>
              <w:outlineLvl w:val="1"/>
              <w:rPr>
                <w:rFonts w:ascii="Times New Roman" w:eastAsia="Times New Roman" w:hAnsi="Times New Roman" w:cs="Times New Roman"/>
                <w:b/>
                <w:sz w:val="24"/>
                <w:szCs w:val="24"/>
                <w:lang w:val="en-US" w:eastAsia="ru-RU"/>
              </w:rPr>
            </w:pPr>
            <w:r w:rsidRPr="003A656D">
              <w:rPr>
                <w:rFonts w:ascii="Times New Roman" w:eastAsia="Times New Roman" w:hAnsi="Times New Roman" w:cs="Times New Roman"/>
                <w:b/>
                <w:sz w:val="24"/>
                <w:szCs w:val="24"/>
                <w:lang w:val="en-US" w:eastAsia="ru-RU"/>
              </w:rPr>
              <w:t>Poland</w:t>
            </w:r>
          </w:p>
        </w:tc>
      </w:tr>
      <w:tr w:rsidR="00410ED7" w:rsidRPr="00C9288A" w14:paraId="0678AA5A" w14:textId="77777777" w:rsidTr="007C2213">
        <w:tc>
          <w:tcPr>
            <w:tcW w:w="2395" w:type="dxa"/>
            <w:vAlign w:val="center"/>
          </w:tcPr>
          <w:p w14:paraId="5387FC94"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2015</w:t>
            </w:r>
          </w:p>
        </w:tc>
        <w:tc>
          <w:tcPr>
            <w:tcW w:w="2409" w:type="dxa"/>
            <w:vAlign w:val="center"/>
          </w:tcPr>
          <w:p w14:paraId="22F1A717"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5.2</w:t>
            </w:r>
          </w:p>
        </w:tc>
        <w:tc>
          <w:tcPr>
            <w:tcW w:w="2414" w:type="dxa"/>
            <w:vAlign w:val="center"/>
          </w:tcPr>
          <w:p w14:paraId="2BA3D15B"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3.4</w:t>
            </w:r>
          </w:p>
        </w:tc>
        <w:tc>
          <w:tcPr>
            <w:tcW w:w="2410" w:type="dxa"/>
            <w:vAlign w:val="center"/>
          </w:tcPr>
          <w:p w14:paraId="46A36C25"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12.1</w:t>
            </w:r>
          </w:p>
        </w:tc>
      </w:tr>
      <w:tr w:rsidR="00410ED7" w:rsidRPr="00C9288A" w14:paraId="10BFC458" w14:textId="77777777" w:rsidTr="007C2213">
        <w:tc>
          <w:tcPr>
            <w:tcW w:w="2395" w:type="dxa"/>
            <w:vAlign w:val="center"/>
          </w:tcPr>
          <w:p w14:paraId="5E2BE92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2016</w:t>
            </w:r>
          </w:p>
        </w:tc>
        <w:tc>
          <w:tcPr>
            <w:tcW w:w="2409" w:type="dxa"/>
            <w:vAlign w:val="center"/>
          </w:tcPr>
          <w:p w14:paraId="559D632D"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5.6</w:t>
            </w:r>
          </w:p>
        </w:tc>
        <w:tc>
          <w:tcPr>
            <w:tcW w:w="2414" w:type="dxa"/>
            <w:vAlign w:val="center"/>
          </w:tcPr>
          <w:p w14:paraId="11F28A8B"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3.7</w:t>
            </w:r>
          </w:p>
        </w:tc>
        <w:tc>
          <w:tcPr>
            <w:tcW w:w="2410" w:type="dxa"/>
            <w:vAlign w:val="center"/>
          </w:tcPr>
          <w:p w14:paraId="20B9BE21"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12.8</w:t>
            </w:r>
          </w:p>
        </w:tc>
      </w:tr>
      <w:tr w:rsidR="00410ED7" w:rsidRPr="00C9288A" w14:paraId="4739DB1C" w14:textId="77777777" w:rsidTr="007C2213">
        <w:tc>
          <w:tcPr>
            <w:tcW w:w="2395" w:type="dxa"/>
            <w:vAlign w:val="center"/>
          </w:tcPr>
          <w:p w14:paraId="27DC1AF8"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2017</w:t>
            </w:r>
          </w:p>
        </w:tc>
        <w:tc>
          <w:tcPr>
            <w:tcW w:w="2409" w:type="dxa"/>
            <w:vAlign w:val="center"/>
          </w:tcPr>
          <w:p w14:paraId="42035C02"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6.1</w:t>
            </w:r>
          </w:p>
        </w:tc>
        <w:tc>
          <w:tcPr>
            <w:tcW w:w="2414" w:type="dxa"/>
            <w:vAlign w:val="center"/>
          </w:tcPr>
          <w:p w14:paraId="15ED903F"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4.0</w:t>
            </w:r>
          </w:p>
        </w:tc>
        <w:tc>
          <w:tcPr>
            <w:tcW w:w="2410" w:type="dxa"/>
            <w:vAlign w:val="center"/>
          </w:tcPr>
          <w:p w14:paraId="55C37A5B"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13.5</w:t>
            </w:r>
          </w:p>
        </w:tc>
      </w:tr>
      <w:tr w:rsidR="00410ED7" w:rsidRPr="00C9288A" w14:paraId="614218AF" w14:textId="77777777" w:rsidTr="007C2213">
        <w:tc>
          <w:tcPr>
            <w:tcW w:w="2395" w:type="dxa"/>
            <w:vAlign w:val="center"/>
          </w:tcPr>
          <w:p w14:paraId="1197AA26"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2018</w:t>
            </w:r>
          </w:p>
        </w:tc>
        <w:tc>
          <w:tcPr>
            <w:tcW w:w="2409" w:type="dxa"/>
            <w:vAlign w:val="center"/>
          </w:tcPr>
          <w:p w14:paraId="026739A4"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6.7</w:t>
            </w:r>
          </w:p>
        </w:tc>
        <w:tc>
          <w:tcPr>
            <w:tcW w:w="2414" w:type="dxa"/>
            <w:vAlign w:val="center"/>
          </w:tcPr>
          <w:p w14:paraId="4D1B0725"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4.3</w:t>
            </w:r>
          </w:p>
        </w:tc>
        <w:tc>
          <w:tcPr>
            <w:tcW w:w="2410" w:type="dxa"/>
            <w:vAlign w:val="center"/>
          </w:tcPr>
          <w:p w14:paraId="20EDE39F"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14.2</w:t>
            </w:r>
          </w:p>
        </w:tc>
      </w:tr>
      <w:tr w:rsidR="00410ED7" w:rsidRPr="00C9288A" w14:paraId="7DA16173" w14:textId="77777777" w:rsidTr="007C2213">
        <w:tc>
          <w:tcPr>
            <w:tcW w:w="2395" w:type="dxa"/>
            <w:vAlign w:val="center"/>
          </w:tcPr>
          <w:p w14:paraId="3FB9EE2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2019</w:t>
            </w:r>
          </w:p>
        </w:tc>
        <w:tc>
          <w:tcPr>
            <w:tcW w:w="2409" w:type="dxa"/>
            <w:vAlign w:val="center"/>
          </w:tcPr>
          <w:p w14:paraId="5AF3372C"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7.1</w:t>
            </w:r>
          </w:p>
        </w:tc>
        <w:tc>
          <w:tcPr>
            <w:tcW w:w="2414" w:type="dxa"/>
            <w:vAlign w:val="center"/>
          </w:tcPr>
          <w:p w14:paraId="3F98725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4.6</w:t>
            </w:r>
          </w:p>
        </w:tc>
        <w:tc>
          <w:tcPr>
            <w:tcW w:w="2410" w:type="dxa"/>
            <w:vAlign w:val="center"/>
          </w:tcPr>
          <w:p w14:paraId="566862C1"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15.0</w:t>
            </w:r>
          </w:p>
        </w:tc>
      </w:tr>
      <w:tr w:rsidR="00410ED7" w:rsidRPr="00C9288A" w14:paraId="08A6D46F" w14:textId="77777777" w:rsidTr="007C2213">
        <w:tc>
          <w:tcPr>
            <w:tcW w:w="2395" w:type="dxa"/>
            <w:vAlign w:val="center"/>
          </w:tcPr>
          <w:p w14:paraId="332462BA"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2020</w:t>
            </w:r>
          </w:p>
        </w:tc>
        <w:tc>
          <w:tcPr>
            <w:tcW w:w="2409" w:type="dxa"/>
            <w:vAlign w:val="center"/>
          </w:tcPr>
          <w:p w14:paraId="15EC4D6B"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7.5</w:t>
            </w:r>
          </w:p>
        </w:tc>
        <w:tc>
          <w:tcPr>
            <w:tcW w:w="2414" w:type="dxa"/>
            <w:vAlign w:val="center"/>
          </w:tcPr>
          <w:p w14:paraId="2562BF2A"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4.9</w:t>
            </w:r>
          </w:p>
        </w:tc>
        <w:tc>
          <w:tcPr>
            <w:tcW w:w="2410" w:type="dxa"/>
            <w:vAlign w:val="center"/>
          </w:tcPr>
          <w:p w14:paraId="584C7810"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15.8</w:t>
            </w:r>
          </w:p>
        </w:tc>
      </w:tr>
      <w:tr w:rsidR="00410ED7" w:rsidRPr="00C9288A" w14:paraId="3AF779EE" w14:textId="77777777" w:rsidTr="007C2213">
        <w:tc>
          <w:tcPr>
            <w:tcW w:w="2395" w:type="dxa"/>
            <w:vAlign w:val="center"/>
          </w:tcPr>
          <w:p w14:paraId="033058E8"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2021</w:t>
            </w:r>
          </w:p>
        </w:tc>
        <w:tc>
          <w:tcPr>
            <w:tcW w:w="2409" w:type="dxa"/>
            <w:vAlign w:val="center"/>
          </w:tcPr>
          <w:p w14:paraId="70CF60B2"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8.0</w:t>
            </w:r>
          </w:p>
        </w:tc>
        <w:tc>
          <w:tcPr>
            <w:tcW w:w="2414" w:type="dxa"/>
            <w:vAlign w:val="center"/>
          </w:tcPr>
          <w:p w14:paraId="5EBD7125"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5.2</w:t>
            </w:r>
          </w:p>
        </w:tc>
        <w:tc>
          <w:tcPr>
            <w:tcW w:w="2410" w:type="dxa"/>
            <w:vAlign w:val="center"/>
          </w:tcPr>
          <w:p w14:paraId="24AA792D"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16.4</w:t>
            </w:r>
          </w:p>
        </w:tc>
      </w:tr>
      <w:tr w:rsidR="00410ED7" w:rsidRPr="00C9288A" w14:paraId="38329F5C" w14:textId="77777777" w:rsidTr="007C2213">
        <w:tc>
          <w:tcPr>
            <w:tcW w:w="2395" w:type="dxa"/>
            <w:vAlign w:val="center"/>
          </w:tcPr>
          <w:p w14:paraId="430D7D59"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2022</w:t>
            </w:r>
          </w:p>
        </w:tc>
        <w:tc>
          <w:tcPr>
            <w:tcW w:w="2409" w:type="dxa"/>
            <w:vAlign w:val="center"/>
          </w:tcPr>
          <w:p w14:paraId="778E89A8"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8.6</w:t>
            </w:r>
          </w:p>
        </w:tc>
        <w:tc>
          <w:tcPr>
            <w:tcW w:w="2414" w:type="dxa"/>
            <w:vAlign w:val="center"/>
          </w:tcPr>
          <w:p w14:paraId="3243F96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5.5</w:t>
            </w:r>
          </w:p>
        </w:tc>
        <w:tc>
          <w:tcPr>
            <w:tcW w:w="2410" w:type="dxa"/>
            <w:vAlign w:val="center"/>
          </w:tcPr>
          <w:p w14:paraId="74C4AD20"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17.1</w:t>
            </w:r>
          </w:p>
        </w:tc>
      </w:tr>
      <w:tr w:rsidR="00410ED7" w:rsidRPr="00C9288A" w14:paraId="597AD7D6" w14:textId="77777777" w:rsidTr="007C2213">
        <w:tc>
          <w:tcPr>
            <w:tcW w:w="2395" w:type="dxa"/>
            <w:vAlign w:val="center"/>
          </w:tcPr>
          <w:p w14:paraId="09185448"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2023</w:t>
            </w:r>
          </w:p>
        </w:tc>
        <w:tc>
          <w:tcPr>
            <w:tcW w:w="2409" w:type="dxa"/>
            <w:vAlign w:val="center"/>
          </w:tcPr>
          <w:p w14:paraId="0566090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9.2</w:t>
            </w:r>
          </w:p>
        </w:tc>
        <w:tc>
          <w:tcPr>
            <w:tcW w:w="2414" w:type="dxa"/>
            <w:vAlign w:val="center"/>
          </w:tcPr>
          <w:p w14:paraId="367608B9"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5.8</w:t>
            </w:r>
          </w:p>
        </w:tc>
        <w:tc>
          <w:tcPr>
            <w:tcW w:w="2410" w:type="dxa"/>
            <w:vAlign w:val="center"/>
          </w:tcPr>
          <w:p w14:paraId="6939623E"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17.9</w:t>
            </w:r>
          </w:p>
        </w:tc>
      </w:tr>
      <w:tr w:rsidR="00410ED7" w:rsidRPr="00C9288A" w14:paraId="7FD1594A" w14:textId="77777777" w:rsidTr="007C2213">
        <w:tc>
          <w:tcPr>
            <w:tcW w:w="2395" w:type="dxa"/>
            <w:vAlign w:val="center"/>
          </w:tcPr>
          <w:p w14:paraId="58B71B7C"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2024</w:t>
            </w:r>
          </w:p>
        </w:tc>
        <w:tc>
          <w:tcPr>
            <w:tcW w:w="2409" w:type="dxa"/>
            <w:vAlign w:val="center"/>
          </w:tcPr>
          <w:p w14:paraId="03A64FB9"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9.8</w:t>
            </w:r>
          </w:p>
        </w:tc>
        <w:tc>
          <w:tcPr>
            <w:tcW w:w="2414" w:type="dxa"/>
            <w:vAlign w:val="center"/>
          </w:tcPr>
          <w:p w14:paraId="1E4D205C"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6.1</w:t>
            </w:r>
          </w:p>
        </w:tc>
        <w:tc>
          <w:tcPr>
            <w:tcW w:w="2410" w:type="dxa"/>
            <w:vAlign w:val="center"/>
          </w:tcPr>
          <w:p w14:paraId="0FDF2D16"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18.7</w:t>
            </w:r>
          </w:p>
        </w:tc>
      </w:tr>
      <w:tr w:rsidR="00410ED7" w:rsidRPr="00C9288A" w14:paraId="28642C46" w14:textId="77777777" w:rsidTr="007C2213">
        <w:tc>
          <w:tcPr>
            <w:tcW w:w="2395" w:type="dxa"/>
            <w:vAlign w:val="center"/>
          </w:tcPr>
          <w:p w14:paraId="1D5B63D8"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2025</w:t>
            </w:r>
          </w:p>
        </w:tc>
        <w:tc>
          <w:tcPr>
            <w:tcW w:w="2409" w:type="dxa"/>
            <w:vAlign w:val="center"/>
          </w:tcPr>
          <w:p w14:paraId="561227F7"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10.4</w:t>
            </w:r>
          </w:p>
        </w:tc>
        <w:tc>
          <w:tcPr>
            <w:tcW w:w="2414" w:type="dxa"/>
            <w:vAlign w:val="center"/>
          </w:tcPr>
          <w:p w14:paraId="1194080C"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6.5</w:t>
            </w:r>
          </w:p>
        </w:tc>
        <w:tc>
          <w:tcPr>
            <w:tcW w:w="2410" w:type="dxa"/>
            <w:vAlign w:val="center"/>
          </w:tcPr>
          <w:p w14:paraId="77057B9D" w14:textId="77777777" w:rsidR="00410ED7" w:rsidRPr="00C9288A" w:rsidRDefault="00410ED7"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19.5</w:t>
            </w:r>
          </w:p>
        </w:tc>
      </w:tr>
    </w:tbl>
    <w:p w14:paraId="2603452F" w14:textId="77777777" w:rsidR="00410ED7" w:rsidRPr="00C10A8B" w:rsidRDefault="00410ED7" w:rsidP="00410ED7">
      <w:pPr>
        <w:pBdr>
          <w:top w:val="nil"/>
          <w:left w:val="nil"/>
          <w:bottom w:val="nil"/>
          <w:right w:val="nil"/>
          <w:between w:val="nil"/>
        </w:pBdr>
        <w:spacing w:line="360" w:lineRule="auto"/>
        <w:jc w:val="center"/>
        <w:rPr>
          <w:rFonts w:eastAsia="Arial"/>
        </w:rPr>
      </w:pPr>
      <w:r w:rsidRPr="00C10A8B">
        <w:rPr>
          <w:rFonts w:eastAsia="Arial"/>
        </w:rPr>
        <w:t>Source: compiled by the author based on data from (FAO</w:t>
      </w:r>
      <w:r>
        <w:rPr>
          <w:rFonts w:eastAsia="Arial"/>
        </w:rPr>
        <w:t xml:space="preserve">, </w:t>
      </w:r>
      <w:r w:rsidRPr="00C10A8B">
        <w:rPr>
          <w:rFonts w:eastAsia="Arial"/>
        </w:rPr>
        <w:t>2025</w:t>
      </w:r>
      <w:r>
        <w:rPr>
          <w:rFonts w:eastAsia="Arial"/>
        </w:rPr>
        <w:t xml:space="preserve">; </w:t>
      </w:r>
      <w:r w:rsidRPr="00C10A8B">
        <w:rPr>
          <w:rFonts w:eastAsia="Arial"/>
        </w:rPr>
        <w:t>World Bank Group</w:t>
      </w:r>
      <w:r>
        <w:rPr>
          <w:rFonts w:eastAsia="Arial"/>
        </w:rPr>
        <w:t xml:space="preserve">, </w:t>
      </w:r>
      <w:r w:rsidRPr="00C10A8B">
        <w:rPr>
          <w:rFonts w:eastAsia="Arial"/>
        </w:rPr>
        <w:t>2025</w:t>
      </w:r>
      <w:r>
        <w:rPr>
          <w:rFonts w:eastAsia="Arial"/>
        </w:rPr>
        <w:t xml:space="preserve">; </w:t>
      </w:r>
      <w:r w:rsidRPr="00E45B3D">
        <w:rPr>
          <w:rFonts w:eastAsia="Arial"/>
        </w:rPr>
        <w:t xml:space="preserve">McFadden </w:t>
      </w:r>
      <w:r>
        <w:rPr>
          <w:rFonts w:eastAsia="Arial"/>
        </w:rPr>
        <w:t xml:space="preserve">et al., 2022; </w:t>
      </w:r>
      <w:r w:rsidRPr="00C10A8B">
        <w:rPr>
          <w:rFonts w:eastAsia="Arial"/>
        </w:rPr>
        <w:t>State Statistics Service of Ukraine, 2024; National Bureau of Statistics of the Republic of Moldova, 2025; Central Statistical Office of Poland (GUS), 2025)</w:t>
      </w:r>
    </w:p>
    <w:p w14:paraId="373DA8C3" w14:textId="123E22F2" w:rsidR="00410ED7" w:rsidRDefault="00410ED7" w:rsidP="00EB2F93">
      <w:pPr>
        <w:spacing w:line="360" w:lineRule="auto"/>
        <w:jc w:val="both"/>
        <w:rPr>
          <w:rFonts w:eastAsia="Arial"/>
        </w:rPr>
      </w:pPr>
      <w:r>
        <w:rPr>
          <w:rFonts w:eastAsia="Arial"/>
        </w:rPr>
        <w:br w:type="page"/>
      </w:r>
    </w:p>
    <w:p w14:paraId="07AE2FFA" w14:textId="77777777" w:rsidR="005C6E84" w:rsidRPr="00C9288A" w:rsidRDefault="005C6E84" w:rsidP="005C6E84">
      <w:pPr>
        <w:spacing w:line="360" w:lineRule="auto"/>
        <w:outlineLvl w:val="1"/>
        <w:rPr>
          <w:bCs/>
          <w:lang w:eastAsia="ru-RU"/>
        </w:rPr>
      </w:pPr>
      <w:r w:rsidRPr="00C9288A">
        <w:rPr>
          <w:bCs/>
          <w:lang w:eastAsia="ru-RU"/>
        </w:rPr>
        <w:lastRenderedPageBreak/>
        <w:t>Table 2. Broadband Internet coverage in rural areas (% of the rural population)</w:t>
      </w:r>
    </w:p>
    <w:tbl>
      <w:tblPr>
        <w:tblStyle w:val="TableGrid"/>
        <w:tblW w:w="0" w:type="auto"/>
        <w:tblLook w:val="04A0" w:firstRow="1" w:lastRow="0" w:firstColumn="1" w:lastColumn="0" w:noHBand="0" w:noVBand="1"/>
      </w:tblPr>
      <w:tblGrid>
        <w:gridCol w:w="2216"/>
        <w:gridCol w:w="2265"/>
        <w:gridCol w:w="2276"/>
        <w:gridCol w:w="2253"/>
      </w:tblGrid>
      <w:tr w:rsidR="005C6E84" w:rsidRPr="00C9288A" w14:paraId="1525600F" w14:textId="77777777" w:rsidTr="007C2213">
        <w:tc>
          <w:tcPr>
            <w:tcW w:w="2216" w:type="dxa"/>
            <w:vAlign w:val="center"/>
          </w:tcPr>
          <w:p w14:paraId="407344A4" w14:textId="77777777" w:rsidR="005C6E84" w:rsidRPr="000C7CCF" w:rsidRDefault="005C6E84" w:rsidP="005C6E84">
            <w:pPr>
              <w:jc w:val="center"/>
              <w:outlineLvl w:val="1"/>
              <w:rPr>
                <w:rFonts w:ascii="Times New Roman" w:eastAsia="Times New Roman" w:hAnsi="Times New Roman" w:cs="Times New Roman"/>
                <w:b/>
                <w:sz w:val="24"/>
                <w:szCs w:val="24"/>
                <w:lang w:val="en-US" w:eastAsia="ru-RU"/>
              </w:rPr>
            </w:pPr>
            <w:r w:rsidRPr="000C7CCF">
              <w:rPr>
                <w:rFonts w:ascii="Times New Roman" w:eastAsia="Times New Roman" w:hAnsi="Times New Roman" w:cs="Times New Roman"/>
                <w:b/>
                <w:sz w:val="24"/>
                <w:szCs w:val="24"/>
                <w:lang w:val="en-US" w:eastAsia="ru-RU"/>
              </w:rPr>
              <w:t>Year</w:t>
            </w:r>
          </w:p>
        </w:tc>
        <w:tc>
          <w:tcPr>
            <w:tcW w:w="2265" w:type="dxa"/>
            <w:vAlign w:val="center"/>
          </w:tcPr>
          <w:p w14:paraId="211D119C" w14:textId="77777777" w:rsidR="005C6E84" w:rsidRPr="000C7CCF" w:rsidRDefault="005C6E84" w:rsidP="005C6E84">
            <w:pPr>
              <w:jc w:val="center"/>
              <w:outlineLvl w:val="1"/>
              <w:rPr>
                <w:rFonts w:ascii="Times New Roman" w:eastAsia="Times New Roman" w:hAnsi="Times New Roman" w:cs="Times New Roman"/>
                <w:b/>
                <w:sz w:val="24"/>
                <w:szCs w:val="24"/>
                <w:lang w:val="en-US" w:eastAsia="ru-RU"/>
              </w:rPr>
            </w:pPr>
            <w:r w:rsidRPr="000C7CCF">
              <w:rPr>
                <w:rFonts w:ascii="Times New Roman" w:eastAsia="Times New Roman" w:hAnsi="Times New Roman" w:cs="Times New Roman"/>
                <w:b/>
                <w:sz w:val="24"/>
                <w:szCs w:val="24"/>
                <w:lang w:val="en-US" w:eastAsia="ru-RU"/>
              </w:rPr>
              <w:t>Ukraine</w:t>
            </w:r>
          </w:p>
        </w:tc>
        <w:tc>
          <w:tcPr>
            <w:tcW w:w="2276" w:type="dxa"/>
            <w:vAlign w:val="center"/>
          </w:tcPr>
          <w:p w14:paraId="733952D4" w14:textId="77777777" w:rsidR="005C6E84" w:rsidRPr="000C7CCF" w:rsidRDefault="005C6E84" w:rsidP="005C6E84">
            <w:pPr>
              <w:jc w:val="center"/>
              <w:outlineLvl w:val="1"/>
              <w:rPr>
                <w:rFonts w:ascii="Times New Roman" w:eastAsia="Times New Roman" w:hAnsi="Times New Roman" w:cs="Times New Roman"/>
                <w:b/>
                <w:sz w:val="24"/>
                <w:szCs w:val="24"/>
                <w:lang w:val="en-US" w:eastAsia="ru-RU"/>
              </w:rPr>
            </w:pPr>
            <w:r w:rsidRPr="000C7CCF">
              <w:rPr>
                <w:rFonts w:ascii="Times New Roman" w:eastAsia="Times New Roman" w:hAnsi="Times New Roman" w:cs="Times New Roman"/>
                <w:b/>
                <w:sz w:val="24"/>
                <w:szCs w:val="24"/>
                <w:lang w:val="en-US" w:eastAsia="ru-RU"/>
              </w:rPr>
              <w:t>Moldova</w:t>
            </w:r>
          </w:p>
        </w:tc>
        <w:tc>
          <w:tcPr>
            <w:tcW w:w="2253" w:type="dxa"/>
            <w:vAlign w:val="center"/>
          </w:tcPr>
          <w:p w14:paraId="792B81F4" w14:textId="77777777" w:rsidR="005C6E84" w:rsidRPr="000C7CCF" w:rsidRDefault="005C6E84" w:rsidP="005C6E84">
            <w:pPr>
              <w:jc w:val="center"/>
              <w:outlineLvl w:val="1"/>
              <w:rPr>
                <w:rFonts w:ascii="Times New Roman" w:eastAsia="Times New Roman" w:hAnsi="Times New Roman" w:cs="Times New Roman"/>
                <w:b/>
                <w:sz w:val="24"/>
                <w:szCs w:val="24"/>
                <w:lang w:val="en-US" w:eastAsia="ru-RU"/>
              </w:rPr>
            </w:pPr>
            <w:r w:rsidRPr="000C7CCF">
              <w:rPr>
                <w:rFonts w:ascii="Times New Roman" w:eastAsia="Times New Roman" w:hAnsi="Times New Roman" w:cs="Times New Roman"/>
                <w:b/>
                <w:sz w:val="24"/>
                <w:szCs w:val="24"/>
                <w:lang w:val="en-US" w:eastAsia="ru-RU"/>
              </w:rPr>
              <w:t>Poland</w:t>
            </w:r>
          </w:p>
        </w:tc>
      </w:tr>
      <w:tr w:rsidR="005C6E84" w:rsidRPr="00C9288A" w14:paraId="6BA0E66D" w14:textId="77777777" w:rsidTr="007C2213">
        <w:tc>
          <w:tcPr>
            <w:tcW w:w="2216" w:type="dxa"/>
            <w:vAlign w:val="center"/>
          </w:tcPr>
          <w:p w14:paraId="55E2E103"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2015</w:t>
            </w:r>
          </w:p>
        </w:tc>
        <w:tc>
          <w:tcPr>
            <w:tcW w:w="2265" w:type="dxa"/>
            <w:vAlign w:val="center"/>
          </w:tcPr>
          <w:p w14:paraId="7BDF0774"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38</w:t>
            </w:r>
          </w:p>
        </w:tc>
        <w:tc>
          <w:tcPr>
            <w:tcW w:w="2276" w:type="dxa"/>
            <w:vAlign w:val="center"/>
          </w:tcPr>
          <w:p w14:paraId="362DE567"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42</w:t>
            </w:r>
          </w:p>
        </w:tc>
        <w:tc>
          <w:tcPr>
            <w:tcW w:w="2253" w:type="dxa"/>
            <w:vAlign w:val="center"/>
          </w:tcPr>
          <w:p w14:paraId="19C6686D"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67</w:t>
            </w:r>
          </w:p>
        </w:tc>
      </w:tr>
      <w:tr w:rsidR="005C6E84" w:rsidRPr="00C9288A" w14:paraId="25D64436" w14:textId="77777777" w:rsidTr="007C2213">
        <w:tc>
          <w:tcPr>
            <w:tcW w:w="2216" w:type="dxa"/>
            <w:vAlign w:val="center"/>
          </w:tcPr>
          <w:p w14:paraId="16B4D2B8"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2016</w:t>
            </w:r>
          </w:p>
        </w:tc>
        <w:tc>
          <w:tcPr>
            <w:tcW w:w="2265" w:type="dxa"/>
            <w:vAlign w:val="center"/>
          </w:tcPr>
          <w:p w14:paraId="32049EB5"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42</w:t>
            </w:r>
          </w:p>
        </w:tc>
        <w:tc>
          <w:tcPr>
            <w:tcW w:w="2276" w:type="dxa"/>
            <w:vAlign w:val="center"/>
          </w:tcPr>
          <w:p w14:paraId="764952A1"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46</w:t>
            </w:r>
          </w:p>
        </w:tc>
        <w:tc>
          <w:tcPr>
            <w:tcW w:w="2253" w:type="dxa"/>
            <w:vAlign w:val="center"/>
          </w:tcPr>
          <w:p w14:paraId="75F3D243"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70</w:t>
            </w:r>
          </w:p>
        </w:tc>
      </w:tr>
      <w:tr w:rsidR="005C6E84" w:rsidRPr="00C9288A" w14:paraId="6BE42B73" w14:textId="77777777" w:rsidTr="007C2213">
        <w:tc>
          <w:tcPr>
            <w:tcW w:w="2216" w:type="dxa"/>
            <w:vAlign w:val="center"/>
          </w:tcPr>
          <w:p w14:paraId="2803867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2017</w:t>
            </w:r>
          </w:p>
        </w:tc>
        <w:tc>
          <w:tcPr>
            <w:tcW w:w="2265" w:type="dxa"/>
            <w:vAlign w:val="center"/>
          </w:tcPr>
          <w:p w14:paraId="2A4940B8"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47</w:t>
            </w:r>
          </w:p>
        </w:tc>
        <w:tc>
          <w:tcPr>
            <w:tcW w:w="2276" w:type="dxa"/>
            <w:vAlign w:val="center"/>
          </w:tcPr>
          <w:p w14:paraId="5744980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50</w:t>
            </w:r>
          </w:p>
        </w:tc>
        <w:tc>
          <w:tcPr>
            <w:tcW w:w="2253" w:type="dxa"/>
            <w:vAlign w:val="center"/>
          </w:tcPr>
          <w:p w14:paraId="7D882AF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73</w:t>
            </w:r>
          </w:p>
        </w:tc>
      </w:tr>
      <w:tr w:rsidR="005C6E84" w:rsidRPr="00C9288A" w14:paraId="2F63118F" w14:textId="77777777" w:rsidTr="007C2213">
        <w:tc>
          <w:tcPr>
            <w:tcW w:w="2216" w:type="dxa"/>
            <w:vAlign w:val="center"/>
          </w:tcPr>
          <w:p w14:paraId="2B63DB22"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2018</w:t>
            </w:r>
          </w:p>
        </w:tc>
        <w:tc>
          <w:tcPr>
            <w:tcW w:w="2265" w:type="dxa"/>
            <w:vAlign w:val="center"/>
          </w:tcPr>
          <w:p w14:paraId="30DA60AC"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52</w:t>
            </w:r>
          </w:p>
        </w:tc>
        <w:tc>
          <w:tcPr>
            <w:tcW w:w="2276" w:type="dxa"/>
            <w:vAlign w:val="center"/>
          </w:tcPr>
          <w:p w14:paraId="44BB7E9A"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55</w:t>
            </w:r>
          </w:p>
        </w:tc>
        <w:tc>
          <w:tcPr>
            <w:tcW w:w="2253" w:type="dxa"/>
            <w:vAlign w:val="center"/>
          </w:tcPr>
          <w:p w14:paraId="67F4A4CC"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77</w:t>
            </w:r>
          </w:p>
        </w:tc>
      </w:tr>
      <w:tr w:rsidR="005C6E84" w:rsidRPr="00C9288A" w14:paraId="1002C823" w14:textId="77777777" w:rsidTr="007C2213">
        <w:tc>
          <w:tcPr>
            <w:tcW w:w="2216" w:type="dxa"/>
            <w:vAlign w:val="center"/>
          </w:tcPr>
          <w:p w14:paraId="06A5609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2019</w:t>
            </w:r>
          </w:p>
        </w:tc>
        <w:tc>
          <w:tcPr>
            <w:tcW w:w="2265" w:type="dxa"/>
            <w:vAlign w:val="center"/>
          </w:tcPr>
          <w:p w14:paraId="11761DFA"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58</w:t>
            </w:r>
          </w:p>
        </w:tc>
        <w:tc>
          <w:tcPr>
            <w:tcW w:w="2276" w:type="dxa"/>
            <w:vAlign w:val="center"/>
          </w:tcPr>
          <w:p w14:paraId="7B68B2FE"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60</w:t>
            </w:r>
          </w:p>
        </w:tc>
        <w:tc>
          <w:tcPr>
            <w:tcW w:w="2253" w:type="dxa"/>
            <w:vAlign w:val="center"/>
          </w:tcPr>
          <w:p w14:paraId="7AA7BCCC"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81</w:t>
            </w:r>
          </w:p>
        </w:tc>
      </w:tr>
      <w:tr w:rsidR="005C6E84" w:rsidRPr="00C9288A" w14:paraId="060CE014" w14:textId="77777777" w:rsidTr="007C2213">
        <w:tc>
          <w:tcPr>
            <w:tcW w:w="2216" w:type="dxa"/>
            <w:vAlign w:val="center"/>
          </w:tcPr>
          <w:p w14:paraId="55C49B17"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2020</w:t>
            </w:r>
          </w:p>
        </w:tc>
        <w:tc>
          <w:tcPr>
            <w:tcW w:w="2265" w:type="dxa"/>
            <w:vAlign w:val="center"/>
          </w:tcPr>
          <w:p w14:paraId="727E99EB"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63</w:t>
            </w:r>
          </w:p>
        </w:tc>
        <w:tc>
          <w:tcPr>
            <w:tcW w:w="2276" w:type="dxa"/>
            <w:vAlign w:val="center"/>
          </w:tcPr>
          <w:p w14:paraId="7DE3C108"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66</w:t>
            </w:r>
          </w:p>
        </w:tc>
        <w:tc>
          <w:tcPr>
            <w:tcW w:w="2253" w:type="dxa"/>
            <w:vAlign w:val="center"/>
          </w:tcPr>
          <w:p w14:paraId="25714911"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85</w:t>
            </w:r>
          </w:p>
        </w:tc>
      </w:tr>
      <w:tr w:rsidR="005C6E84" w:rsidRPr="00C9288A" w14:paraId="6A4E4F5D" w14:textId="77777777" w:rsidTr="007C2213">
        <w:tc>
          <w:tcPr>
            <w:tcW w:w="2216" w:type="dxa"/>
            <w:vAlign w:val="center"/>
          </w:tcPr>
          <w:p w14:paraId="36FD1D02"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2021</w:t>
            </w:r>
          </w:p>
        </w:tc>
        <w:tc>
          <w:tcPr>
            <w:tcW w:w="2265" w:type="dxa"/>
            <w:vAlign w:val="center"/>
          </w:tcPr>
          <w:p w14:paraId="274EA2FB"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68</w:t>
            </w:r>
          </w:p>
        </w:tc>
        <w:tc>
          <w:tcPr>
            <w:tcW w:w="2276" w:type="dxa"/>
            <w:vAlign w:val="center"/>
          </w:tcPr>
          <w:p w14:paraId="0ECF3514"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71</w:t>
            </w:r>
          </w:p>
        </w:tc>
        <w:tc>
          <w:tcPr>
            <w:tcW w:w="2253" w:type="dxa"/>
            <w:vAlign w:val="center"/>
          </w:tcPr>
          <w:p w14:paraId="3E33F517"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88</w:t>
            </w:r>
          </w:p>
        </w:tc>
      </w:tr>
      <w:tr w:rsidR="005C6E84" w:rsidRPr="00C9288A" w14:paraId="261BB895" w14:textId="77777777" w:rsidTr="007C2213">
        <w:tc>
          <w:tcPr>
            <w:tcW w:w="2216" w:type="dxa"/>
            <w:vAlign w:val="center"/>
          </w:tcPr>
          <w:p w14:paraId="5947A516"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2022</w:t>
            </w:r>
          </w:p>
        </w:tc>
        <w:tc>
          <w:tcPr>
            <w:tcW w:w="2265" w:type="dxa"/>
            <w:vAlign w:val="center"/>
          </w:tcPr>
          <w:p w14:paraId="2C9511F6"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72</w:t>
            </w:r>
          </w:p>
        </w:tc>
        <w:tc>
          <w:tcPr>
            <w:tcW w:w="2276" w:type="dxa"/>
            <w:vAlign w:val="center"/>
          </w:tcPr>
          <w:p w14:paraId="6DDEE374"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75</w:t>
            </w:r>
          </w:p>
        </w:tc>
        <w:tc>
          <w:tcPr>
            <w:tcW w:w="2253" w:type="dxa"/>
            <w:vAlign w:val="center"/>
          </w:tcPr>
          <w:p w14:paraId="1AC8D839"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91</w:t>
            </w:r>
          </w:p>
        </w:tc>
      </w:tr>
      <w:tr w:rsidR="005C6E84" w:rsidRPr="00C9288A" w14:paraId="4E887F86" w14:textId="77777777" w:rsidTr="007C2213">
        <w:tc>
          <w:tcPr>
            <w:tcW w:w="2216" w:type="dxa"/>
            <w:vAlign w:val="center"/>
          </w:tcPr>
          <w:p w14:paraId="1084F69C"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2023</w:t>
            </w:r>
          </w:p>
        </w:tc>
        <w:tc>
          <w:tcPr>
            <w:tcW w:w="2265" w:type="dxa"/>
            <w:vAlign w:val="center"/>
          </w:tcPr>
          <w:p w14:paraId="57F58747"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76</w:t>
            </w:r>
          </w:p>
        </w:tc>
        <w:tc>
          <w:tcPr>
            <w:tcW w:w="2276" w:type="dxa"/>
            <w:vAlign w:val="center"/>
          </w:tcPr>
          <w:p w14:paraId="01538903"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79</w:t>
            </w:r>
          </w:p>
        </w:tc>
        <w:tc>
          <w:tcPr>
            <w:tcW w:w="2253" w:type="dxa"/>
            <w:vAlign w:val="center"/>
          </w:tcPr>
          <w:p w14:paraId="7CBBDFE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94</w:t>
            </w:r>
          </w:p>
        </w:tc>
      </w:tr>
      <w:tr w:rsidR="005C6E84" w:rsidRPr="00C9288A" w14:paraId="74045022" w14:textId="77777777" w:rsidTr="007C2213">
        <w:tc>
          <w:tcPr>
            <w:tcW w:w="2216" w:type="dxa"/>
            <w:vAlign w:val="center"/>
          </w:tcPr>
          <w:p w14:paraId="65911351"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2024</w:t>
            </w:r>
          </w:p>
        </w:tc>
        <w:tc>
          <w:tcPr>
            <w:tcW w:w="2265" w:type="dxa"/>
            <w:vAlign w:val="center"/>
          </w:tcPr>
          <w:p w14:paraId="099EE9E3"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79</w:t>
            </w:r>
          </w:p>
        </w:tc>
        <w:tc>
          <w:tcPr>
            <w:tcW w:w="2276" w:type="dxa"/>
            <w:vAlign w:val="center"/>
          </w:tcPr>
          <w:p w14:paraId="307F6CAD"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82</w:t>
            </w:r>
          </w:p>
        </w:tc>
        <w:tc>
          <w:tcPr>
            <w:tcW w:w="2253" w:type="dxa"/>
            <w:vAlign w:val="center"/>
          </w:tcPr>
          <w:p w14:paraId="23790011"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96</w:t>
            </w:r>
          </w:p>
        </w:tc>
      </w:tr>
      <w:tr w:rsidR="005C6E84" w:rsidRPr="00C9288A" w14:paraId="4D05A66F" w14:textId="77777777" w:rsidTr="007C2213">
        <w:tc>
          <w:tcPr>
            <w:tcW w:w="2216" w:type="dxa"/>
            <w:vAlign w:val="center"/>
          </w:tcPr>
          <w:p w14:paraId="64831EE3"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2025</w:t>
            </w:r>
          </w:p>
        </w:tc>
        <w:tc>
          <w:tcPr>
            <w:tcW w:w="2265" w:type="dxa"/>
            <w:vAlign w:val="center"/>
          </w:tcPr>
          <w:p w14:paraId="1544D218"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83</w:t>
            </w:r>
          </w:p>
        </w:tc>
        <w:tc>
          <w:tcPr>
            <w:tcW w:w="2276" w:type="dxa"/>
            <w:vAlign w:val="center"/>
          </w:tcPr>
          <w:p w14:paraId="0C3C9E37"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85</w:t>
            </w:r>
          </w:p>
        </w:tc>
        <w:tc>
          <w:tcPr>
            <w:tcW w:w="2253" w:type="dxa"/>
            <w:vAlign w:val="center"/>
          </w:tcPr>
          <w:p w14:paraId="0C8E6000" w14:textId="77777777" w:rsidR="005C6E84" w:rsidRPr="00C9288A" w:rsidRDefault="005C6E84" w:rsidP="005C6E84">
            <w:pPr>
              <w:jc w:val="center"/>
              <w:outlineLvl w:val="1"/>
              <w:rPr>
                <w:rFonts w:ascii="Times New Roman" w:eastAsia="Times New Roman" w:hAnsi="Times New Roman" w:cs="Times New Roman"/>
                <w:bCs/>
                <w:sz w:val="24"/>
                <w:szCs w:val="24"/>
                <w:lang w:val="ru-RU" w:eastAsia="ru-RU"/>
              </w:rPr>
            </w:pPr>
            <w:r w:rsidRPr="00C9288A">
              <w:rPr>
                <w:rFonts w:ascii="Times New Roman" w:eastAsia="Arial" w:hAnsi="Times New Roman" w:cs="Times New Roman"/>
                <w:sz w:val="24"/>
                <w:szCs w:val="24"/>
              </w:rPr>
              <w:t>96.2</w:t>
            </w:r>
          </w:p>
        </w:tc>
      </w:tr>
    </w:tbl>
    <w:p w14:paraId="6CCEC045" w14:textId="77777777" w:rsidR="005C6E84" w:rsidRPr="00C10A8B" w:rsidRDefault="005C6E84" w:rsidP="005C6E84">
      <w:pPr>
        <w:pBdr>
          <w:top w:val="nil"/>
          <w:left w:val="nil"/>
          <w:bottom w:val="nil"/>
          <w:right w:val="nil"/>
          <w:between w:val="nil"/>
        </w:pBdr>
        <w:spacing w:line="360" w:lineRule="auto"/>
        <w:jc w:val="both"/>
        <w:rPr>
          <w:rFonts w:eastAsia="Arial"/>
        </w:rPr>
      </w:pPr>
      <w:r w:rsidRPr="00C10A8B">
        <w:rPr>
          <w:rFonts w:eastAsia="Arial"/>
        </w:rPr>
        <w:t>Source: compiled by the author based on data from (FAO</w:t>
      </w:r>
      <w:r>
        <w:rPr>
          <w:rFonts w:eastAsia="Arial"/>
        </w:rPr>
        <w:t xml:space="preserve">, </w:t>
      </w:r>
      <w:r w:rsidRPr="00C10A8B">
        <w:rPr>
          <w:rFonts w:eastAsia="Arial"/>
        </w:rPr>
        <w:t>2025</w:t>
      </w:r>
      <w:r>
        <w:rPr>
          <w:rFonts w:eastAsia="Arial"/>
        </w:rPr>
        <w:t xml:space="preserve">; </w:t>
      </w:r>
      <w:r w:rsidRPr="00C10A8B">
        <w:rPr>
          <w:rFonts w:eastAsia="Arial"/>
        </w:rPr>
        <w:t>World Bank Group</w:t>
      </w:r>
      <w:r>
        <w:rPr>
          <w:rFonts w:eastAsia="Arial"/>
        </w:rPr>
        <w:t xml:space="preserve">, </w:t>
      </w:r>
      <w:r w:rsidRPr="00C10A8B">
        <w:rPr>
          <w:rFonts w:eastAsia="Arial"/>
        </w:rPr>
        <w:t>2025</w:t>
      </w:r>
      <w:r>
        <w:rPr>
          <w:rFonts w:eastAsia="Arial"/>
        </w:rPr>
        <w:t xml:space="preserve">; </w:t>
      </w:r>
      <w:r w:rsidRPr="00E45B3D">
        <w:rPr>
          <w:rFonts w:eastAsia="Arial"/>
        </w:rPr>
        <w:t xml:space="preserve">McFadden </w:t>
      </w:r>
      <w:r>
        <w:rPr>
          <w:rFonts w:eastAsia="Arial"/>
        </w:rPr>
        <w:t xml:space="preserve">et al., 2022; </w:t>
      </w:r>
      <w:r w:rsidRPr="00C10A8B">
        <w:rPr>
          <w:rFonts w:eastAsia="Arial"/>
        </w:rPr>
        <w:t>State Statistics Service of Ukraine, 2024; National Bureau of Statistics of the Republic of Moldova, 2025; Central Statistical Office of Poland (GUS), 2025)</w:t>
      </w:r>
    </w:p>
    <w:p w14:paraId="74CF68C4" w14:textId="2AED8F2D" w:rsidR="00331B09" w:rsidRDefault="00331B09" w:rsidP="00EB2F93">
      <w:pPr>
        <w:spacing w:line="360" w:lineRule="auto"/>
        <w:jc w:val="both"/>
        <w:rPr>
          <w:rFonts w:eastAsia="Arial"/>
        </w:rPr>
      </w:pPr>
      <w:r>
        <w:rPr>
          <w:rFonts w:eastAsia="Arial"/>
        </w:rPr>
        <w:br w:type="page"/>
      </w:r>
    </w:p>
    <w:p w14:paraId="51ABCFC0" w14:textId="77777777" w:rsidR="00331B09" w:rsidRPr="00C9288A" w:rsidRDefault="00331B09" w:rsidP="00331B09">
      <w:pPr>
        <w:spacing w:line="360" w:lineRule="auto"/>
        <w:outlineLvl w:val="1"/>
        <w:rPr>
          <w:bCs/>
          <w:lang w:eastAsia="ru-RU"/>
        </w:rPr>
      </w:pPr>
      <w:r w:rsidRPr="00C9288A">
        <w:rPr>
          <w:bCs/>
          <w:lang w:eastAsia="ru-RU"/>
        </w:rPr>
        <w:lastRenderedPageBreak/>
        <w:t>Table 3. Innovation Activity Index (IAI) of the agricultural sector</w:t>
      </w:r>
    </w:p>
    <w:tbl>
      <w:tblPr>
        <w:tblStyle w:val="TableGrid"/>
        <w:tblW w:w="0" w:type="auto"/>
        <w:tblLook w:val="04A0" w:firstRow="1" w:lastRow="0" w:firstColumn="1" w:lastColumn="0" w:noHBand="0" w:noVBand="1"/>
      </w:tblPr>
      <w:tblGrid>
        <w:gridCol w:w="2218"/>
        <w:gridCol w:w="2266"/>
        <w:gridCol w:w="2276"/>
        <w:gridCol w:w="2250"/>
      </w:tblGrid>
      <w:tr w:rsidR="00331B09" w:rsidRPr="00C9288A" w14:paraId="3C353F06" w14:textId="77777777" w:rsidTr="007C2213">
        <w:tc>
          <w:tcPr>
            <w:tcW w:w="2463" w:type="dxa"/>
            <w:vAlign w:val="center"/>
          </w:tcPr>
          <w:p w14:paraId="474DE64C" w14:textId="77777777" w:rsidR="00331B09" w:rsidRPr="00E91182" w:rsidRDefault="00331B09" w:rsidP="007C2213">
            <w:pPr>
              <w:jc w:val="center"/>
              <w:outlineLvl w:val="1"/>
              <w:rPr>
                <w:rFonts w:ascii="Times New Roman" w:eastAsia="Times New Roman" w:hAnsi="Times New Roman" w:cs="Times New Roman"/>
                <w:b/>
                <w:sz w:val="24"/>
                <w:szCs w:val="24"/>
                <w:lang w:val="en-US" w:eastAsia="ru-RU"/>
              </w:rPr>
            </w:pPr>
            <w:r w:rsidRPr="00E91182">
              <w:rPr>
                <w:rFonts w:ascii="Times New Roman" w:eastAsia="Times New Roman" w:hAnsi="Times New Roman" w:cs="Times New Roman"/>
                <w:b/>
                <w:sz w:val="24"/>
                <w:szCs w:val="24"/>
                <w:lang w:val="en-US" w:eastAsia="ru-RU"/>
              </w:rPr>
              <w:t>Year</w:t>
            </w:r>
          </w:p>
        </w:tc>
        <w:tc>
          <w:tcPr>
            <w:tcW w:w="2463" w:type="dxa"/>
            <w:vAlign w:val="center"/>
          </w:tcPr>
          <w:p w14:paraId="1288BA85" w14:textId="77777777" w:rsidR="00331B09" w:rsidRPr="00E91182" w:rsidRDefault="00331B09" w:rsidP="007C2213">
            <w:pPr>
              <w:jc w:val="center"/>
              <w:outlineLvl w:val="1"/>
              <w:rPr>
                <w:rFonts w:ascii="Times New Roman" w:eastAsia="Times New Roman" w:hAnsi="Times New Roman" w:cs="Times New Roman"/>
                <w:b/>
                <w:sz w:val="24"/>
                <w:szCs w:val="24"/>
                <w:lang w:val="en-US" w:eastAsia="ru-RU"/>
              </w:rPr>
            </w:pPr>
            <w:r w:rsidRPr="00E91182">
              <w:rPr>
                <w:rFonts w:ascii="Times New Roman" w:eastAsia="Times New Roman" w:hAnsi="Times New Roman" w:cs="Times New Roman"/>
                <w:b/>
                <w:sz w:val="24"/>
                <w:szCs w:val="24"/>
                <w:lang w:val="en-US" w:eastAsia="ru-RU"/>
              </w:rPr>
              <w:t>Ukraine</w:t>
            </w:r>
          </w:p>
        </w:tc>
        <w:tc>
          <w:tcPr>
            <w:tcW w:w="2464" w:type="dxa"/>
            <w:vAlign w:val="center"/>
          </w:tcPr>
          <w:p w14:paraId="226829AE" w14:textId="77777777" w:rsidR="00331B09" w:rsidRPr="00E91182" w:rsidRDefault="00331B09" w:rsidP="007C2213">
            <w:pPr>
              <w:jc w:val="center"/>
              <w:outlineLvl w:val="1"/>
              <w:rPr>
                <w:rFonts w:ascii="Times New Roman" w:eastAsia="Times New Roman" w:hAnsi="Times New Roman" w:cs="Times New Roman"/>
                <w:b/>
                <w:sz w:val="24"/>
                <w:szCs w:val="24"/>
                <w:lang w:val="en-US" w:eastAsia="ru-RU"/>
              </w:rPr>
            </w:pPr>
            <w:r w:rsidRPr="00E91182">
              <w:rPr>
                <w:rFonts w:ascii="Times New Roman" w:eastAsia="Times New Roman" w:hAnsi="Times New Roman" w:cs="Times New Roman"/>
                <w:b/>
                <w:sz w:val="24"/>
                <w:szCs w:val="24"/>
                <w:lang w:val="en-US" w:eastAsia="ru-RU"/>
              </w:rPr>
              <w:t>Moldova</w:t>
            </w:r>
          </w:p>
        </w:tc>
        <w:tc>
          <w:tcPr>
            <w:tcW w:w="2464" w:type="dxa"/>
            <w:vAlign w:val="center"/>
          </w:tcPr>
          <w:p w14:paraId="1113B5E1" w14:textId="77777777" w:rsidR="00331B09" w:rsidRPr="00E91182" w:rsidRDefault="00331B09" w:rsidP="007C2213">
            <w:pPr>
              <w:jc w:val="center"/>
              <w:outlineLvl w:val="1"/>
              <w:rPr>
                <w:rFonts w:ascii="Times New Roman" w:eastAsia="Times New Roman" w:hAnsi="Times New Roman" w:cs="Times New Roman"/>
                <w:b/>
                <w:sz w:val="24"/>
                <w:szCs w:val="24"/>
                <w:lang w:val="en-US" w:eastAsia="ru-RU"/>
              </w:rPr>
            </w:pPr>
            <w:r w:rsidRPr="00E91182">
              <w:rPr>
                <w:rFonts w:ascii="Times New Roman" w:eastAsia="Times New Roman" w:hAnsi="Times New Roman" w:cs="Times New Roman"/>
                <w:b/>
                <w:sz w:val="24"/>
                <w:szCs w:val="24"/>
                <w:lang w:val="en-US" w:eastAsia="ru-RU"/>
              </w:rPr>
              <w:t>Poland</w:t>
            </w:r>
          </w:p>
        </w:tc>
      </w:tr>
      <w:tr w:rsidR="00331B09" w:rsidRPr="00C9288A" w14:paraId="27B3E171" w14:textId="77777777" w:rsidTr="007C2213">
        <w:tc>
          <w:tcPr>
            <w:tcW w:w="2463" w:type="dxa"/>
            <w:vAlign w:val="center"/>
          </w:tcPr>
          <w:p w14:paraId="61BF8B31"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2015</w:t>
            </w:r>
          </w:p>
        </w:tc>
        <w:tc>
          <w:tcPr>
            <w:tcW w:w="2463" w:type="dxa"/>
            <w:vAlign w:val="center"/>
          </w:tcPr>
          <w:p w14:paraId="0C4BB19E"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18.2</w:t>
            </w:r>
          </w:p>
        </w:tc>
        <w:tc>
          <w:tcPr>
            <w:tcW w:w="2464" w:type="dxa"/>
            <w:vAlign w:val="center"/>
          </w:tcPr>
          <w:p w14:paraId="4EE9B391"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15.6</w:t>
            </w:r>
          </w:p>
        </w:tc>
        <w:tc>
          <w:tcPr>
            <w:tcW w:w="2464" w:type="dxa"/>
            <w:vAlign w:val="center"/>
          </w:tcPr>
          <w:p w14:paraId="769AB237"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39.4</w:t>
            </w:r>
          </w:p>
        </w:tc>
      </w:tr>
      <w:tr w:rsidR="00331B09" w:rsidRPr="00C9288A" w14:paraId="0F0BBE50" w14:textId="77777777" w:rsidTr="007C2213">
        <w:tc>
          <w:tcPr>
            <w:tcW w:w="2463" w:type="dxa"/>
            <w:vAlign w:val="center"/>
          </w:tcPr>
          <w:p w14:paraId="3ADC7076"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2016</w:t>
            </w:r>
          </w:p>
        </w:tc>
        <w:tc>
          <w:tcPr>
            <w:tcW w:w="2463" w:type="dxa"/>
            <w:vAlign w:val="center"/>
          </w:tcPr>
          <w:p w14:paraId="35D3327D"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21.1</w:t>
            </w:r>
          </w:p>
        </w:tc>
        <w:tc>
          <w:tcPr>
            <w:tcW w:w="2464" w:type="dxa"/>
            <w:vAlign w:val="center"/>
          </w:tcPr>
          <w:p w14:paraId="0244B42A"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18.0</w:t>
            </w:r>
          </w:p>
        </w:tc>
        <w:tc>
          <w:tcPr>
            <w:tcW w:w="2464" w:type="dxa"/>
            <w:vAlign w:val="center"/>
          </w:tcPr>
          <w:p w14:paraId="20C05F10"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42.7</w:t>
            </w:r>
          </w:p>
        </w:tc>
      </w:tr>
      <w:tr w:rsidR="00331B09" w:rsidRPr="00C9288A" w14:paraId="2E6AEB52" w14:textId="77777777" w:rsidTr="007C2213">
        <w:tc>
          <w:tcPr>
            <w:tcW w:w="2463" w:type="dxa"/>
            <w:vAlign w:val="center"/>
          </w:tcPr>
          <w:p w14:paraId="5090B0D8"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2017</w:t>
            </w:r>
          </w:p>
        </w:tc>
        <w:tc>
          <w:tcPr>
            <w:tcW w:w="2463" w:type="dxa"/>
            <w:vAlign w:val="center"/>
          </w:tcPr>
          <w:p w14:paraId="59DD27A2"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24.8</w:t>
            </w:r>
          </w:p>
        </w:tc>
        <w:tc>
          <w:tcPr>
            <w:tcW w:w="2464" w:type="dxa"/>
            <w:vAlign w:val="center"/>
          </w:tcPr>
          <w:p w14:paraId="1446518A"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21.5</w:t>
            </w:r>
          </w:p>
        </w:tc>
        <w:tc>
          <w:tcPr>
            <w:tcW w:w="2464" w:type="dxa"/>
            <w:vAlign w:val="center"/>
          </w:tcPr>
          <w:p w14:paraId="68B2CCE2"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46.5</w:t>
            </w:r>
          </w:p>
        </w:tc>
      </w:tr>
      <w:tr w:rsidR="00331B09" w:rsidRPr="00C9288A" w14:paraId="4556B1ED" w14:textId="77777777" w:rsidTr="007C2213">
        <w:tc>
          <w:tcPr>
            <w:tcW w:w="2463" w:type="dxa"/>
            <w:vAlign w:val="center"/>
          </w:tcPr>
          <w:p w14:paraId="56D26DDF"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2018</w:t>
            </w:r>
          </w:p>
        </w:tc>
        <w:tc>
          <w:tcPr>
            <w:tcW w:w="2463" w:type="dxa"/>
            <w:vAlign w:val="center"/>
          </w:tcPr>
          <w:p w14:paraId="61CDEFFB"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29.3</w:t>
            </w:r>
          </w:p>
        </w:tc>
        <w:tc>
          <w:tcPr>
            <w:tcW w:w="2464" w:type="dxa"/>
            <w:vAlign w:val="center"/>
          </w:tcPr>
          <w:p w14:paraId="347C6692"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25.1</w:t>
            </w:r>
          </w:p>
        </w:tc>
        <w:tc>
          <w:tcPr>
            <w:tcW w:w="2464" w:type="dxa"/>
            <w:vAlign w:val="center"/>
          </w:tcPr>
          <w:p w14:paraId="2377C895"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51.2</w:t>
            </w:r>
          </w:p>
        </w:tc>
      </w:tr>
      <w:tr w:rsidR="00331B09" w:rsidRPr="00C9288A" w14:paraId="324E759A" w14:textId="77777777" w:rsidTr="007C2213">
        <w:tc>
          <w:tcPr>
            <w:tcW w:w="2463" w:type="dxa"/>
            <w:vAlign w:val="center"/>
          </w:tcPr>
          <w:p w14:paraId="29F4BAF9"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2019</w:t>
            </w:r>
          </w:p>
        </w:tc>
        <w:tc>
          <w:tcPr>
            <w:tcW w:w="2463" w:type="dxa"/>
            <w:vAlign w:val="center"/>
          </w:tcPr>
          <w:p w14:paraId="2CB5AF2F"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33.8</w:t>
            </w:r>
          </w:p>
        </w:tc>
        <w:tc>
          <w:tcPr>
            <w:tcW w:w="2464" w:type="dxa"/>
            <w:vAlign w:val="center"/>
          </w:tcPr>
          <w:p w14:paraId="510E77EA"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29.0</w:t>
            </w:r>
          </w:p>
        </w:tc>
        <w:tc>
          <w:tcPr>
            <w:tcW w:w="2464" w:type="dxa"/>
            <w:vAlign w:val="center"/>
          </w:tcPr>
          <w:p w14:paraId="331B1DAE"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55.7</w:t>
            </w:r>
          </w:p>
        </w:tc>
      </w:tr>
      <w:tr w:rsidR="00331B09" w:rsidRPr="00C9288A" w14:paraId="66214537" w14:textId="77777777" w:rsidTr="007C2213">
        <w:tc>
          <w:tcPr>
            <w:tcW w:w="2463" w:type="dxa"/>
            <w:vAlign w:val="center"/>
          </w:tcPr>
          <w:p w14:paraId="0702632D"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2020</w:t>
            </w:r>
          </w:p>
        </w:tc>
        <w:tc>
          <w:tcPr>
            <w:tcW w:w="2463" w:type="dxa"/>
            <w:vAlign w:val="center"/>
          </w:tcPr>
          <w:p w14:paraId="01A35ABE"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38.5</w:t>
            </w:r>
          </w:p>
        </w:tc>
        <w:tc>
          <w:tcPr>
            <w:tcW w:w="2464" w:type="dxa"/>
            <w:vAlign w:val="center"/>
          </w:tcPr>
          <w:p w14:paraId="72DCD0A2"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33.7</w:t>
            </w:r>
          </w:p>
        </w:tc>
        <w:tc>
          <w:tcPr>
            <w:tcW w:w="2464" w:type="dxa"/>
            <w:vAlign w:val="center"/>
          </w:tcPr>
          <w:p w14:paraId="1C3CDE1A"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60.9</w:t>
            </w:r>
          </w:p>
        </w:tc>
      </w:tr>
      <w:tr w:rsidR="00331B09" w:rsidRPr="00C9288A" w14:paraId="464E79A1" w14:textId="77777777" w:rsidTr="007C2213">
        <w:tc>
          <w:tcPr>
            <w:tcW w:w="2463" w:type="dxa"/>
            <w:vAlign w:val="center"/>
          </w:tcPr>
          <w:p w14:paraId="25692A8B"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2021</w:t>
            </w:r>
          </w:p>
        </w:tc>
        <w:tc>
          <w:tcPr>
            <w:tcW w:w="2463" w:type="dxa"/>
            <w:vAlign w:val="center"/>
          </w:tcPr>
          <w:p w14:paraId="4E91EEFC"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43.4</w:t>
            </w:r>
          </w:p>
        </w:tc>
        <w:tc>
          <w:tcPr>
            <w:tcW w:w="2464" w:type="dxa"/>
            <w:vAlign w:val="center"/>
          </w:tcPr>
          <w:p w14:paraId="4F8A273E"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38.2</w:t>
            </w:r>
          </w:p>
        </w:tc>
        <w:tc>
          <w:tcPr>
            <w:tcW w:w="2464" w:type="dxa"/>
            <w:vAlign w:val="center"/>
          </w:tcPr>
          <w:p w14:paraId="02104C5F"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66.0</w:t>
            </w:r>
          </w:p>
        </w:tc>
      </w:tr>
      <w:tr w:rsidR="00331B09" w:rsidRPr="00C9288A" w14:paraId="307D8066" w14:textId="77777777" w:rsidTr="007C2213">
        <w:tc>
          <w:tcPr>
            <w:tcW w:w="2463" w:type="dxa"/>
            <w:vAlign w:val="center"/>
          </w:tcPr>
          <w:p w14:paraId="4B9CFA45"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2022</w:t>
            </w:r>
          </w:p>
        </w:tc>
        <w:tc>
          <w:tcPr>
            <w:tcW w:w="2463" w:type="dxa"/>
            <w:vAlign w:val="center"/>
          </w:tcPr>
          <w:p w14:paraId="6039FF4F"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47.9</w:t>
            </w:r>
          </w:p>
        </w:tc>
        <w:tc>
          <w:tcPr>
            <w:tcW w:w="2464" w:type="dxa"/>
            <w:vAlign w:val="center"/>
          </w:tcPr>
          <w:p w14:paraId="2C04562A"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42.5</w:t>
            </w:r>
          </w:p>
        </w:tc>
        <w:tc>
          <w:tcPr>
            <w:tcW w:w="2464" w:type="dxa"/>
            <w:vAlign w:val="center"/>
          </w:tcPr>
          <w:p w14:paraId="3D6A4247"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71.4</w:t>
            </w:r>
          </w:p>
        </w:tc>
      </w:tr>
      <w:tr w:rsidR="00331B09" w:rsidRPr="00C9288A" w14:paraId="6E374209" w14:textId="77777777" w:rsidTr="007C2213">
        <w:tc>
          <w:tcPr>
            <w:tcW w:w="2463" w:type="dxa"/>
            <w:vAlign w:val="center"/>
          </w:tcPr>
          <w:p w14:paraId="59B3A464"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2023</w:t>
            </w:r>
          </w:p>
        </w:tc>
        <w:tc>
          <w:tcPr>
            <w:tcW w:w="2463" w:type="dxa"/>
            <w:vAlign w:val="center"/>
          </w:tcPr>
          <w:p w14:paraId="5BB67A46"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52.8</w:t>
            </w:r>
          </w:p>
        </w:tc>
        <w:tc>
          <w:tcPr>
            <w:tcW w:w="2464" w:type="dxa"/>
            <w:vAlign w:val="center"/>
          </w:tcPr>
          <w:p w14:paraId="027DC97E"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47.1</w:t>
            </w:r>
          </w:p>
        </w:tc>
        <w:tc>
          <w:tcPr>
            <w:tcW w:w="2464" w:type="dxa"/>
            <w:vAlign w:val="center"/>
          </w:tcPr>
          <w:p w14:paraId="2EA79621"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76.8</w:t>
            </w:r>
          </w:p>
        </w:tc>
      </w:tr>
      <w:tr w:rsidR="00331B09" w:rsidRPr="00C9288A" w14:paraId="0F7E667D" w14:textId="77777777" w:rsidTr="007C2213">
        <w:tc>
          <w:tcPr>
            <w:tcW w:w="2463" w:type="dxa"/>
            <w:vAlign w:val="center"/>
          </w:tcPr>
          <w:p w14:paraId="58ED4024"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2024</w:t>
            </w:r>
          </w:p>
        </w:tc>
        <w:tc>
          <w:tcPr>
            <w:tcW w:w="2463" w:type="dxa"/>
            <w:vAlign w:val="center"/>
          </w:tcPr>
          <w:p w14:paraId="20C27C12"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57.3</w:t>
            </w:r>
          </w:p>
        </w:tc>
        <w:tc>
          <w:tcPr>
            <w:tcW w:w="2464" w:type="dxa"/>
            <w:vAlign w:val="center"/>
          </w:tcPr>
          <w:p w14:paraId="601E93F5"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51.6</w:t>
            </w:r>
          </w:p>
        </w:tc>
        <w:tc>
          <w:tcPr>
            <w:tcW w:w="2464" w:type="dxa"/>
            <w:vAlign w:val="center"/>
          </w:tcPr>
          <w:p w14:paraId="101EFA8B"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82.2</w:t>
            </w:r>
          </w:p>
        </w:tc>
      </w:tr>
      <w:tr w:rsidR="00331B09" w:rsidRPr="00C9288A" w14:paraId="1A5BC1E7" w14:textId="77777777" w:rsidTr="007C2213">
        <w:tc>
          <w:tcPr>
            <w:tcW w:w="2463" w:type="dxa"/>
            <w:vAlign w:val="center"/>
          </w:tcPr>
          <w:p w14:paraId="7F2E8187"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2025</w:t>
            </w:r>
          </w:p>
        </w:tc>
        <w:tc>
          <w:tcPr>
            <w:tcW w:w="2463" w:type="dxa"/>
            <w:vAlign w:val="center"/>
          </w:tcPr>
          <w:p w14:paraId="362C1A1F"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61.9</w:t>
            </w:r>
          </w:p>
        </w:tc>
        <w:tc>
          <w:tcPr>
            <w:tcW w:w="2464" w:type="dxa"/>
            <w:vAlign w:val="center"/>
          </w:tcPr>
          <w:p w14:paraId="54F2D753"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55.8</w:t>
            </w:r>
          </w:p>
        </w:tc>
        <w:tc>
          <w:tcPr>
            <w:tcW w:w="2464" w:type="dxa"/>
            <w:vAlign w:val="center"/>
          </w:tcPr>
          <w:p w14:paraId="033B709C" w14:textId="77777777" w:rsidR="00331B09" w:rsidRPr="00C9288A" w:rsidRDefault="00331B09" w:rsidP="007C2213">
            <w:pPr>
              <w:jc w:val="center"/>
              <w:outlineLvl w:val="1"/>
              <w:rPr>
                <w:rFonts w:ascii="Times New Roman" w:eastAsia="Times New Roman" w:hAnsi="Times New Roman" w:cs="Times New Roman"/>
                <w:bCs/>
                <w:sz w:val="24"/>
                <w:szCs w:val="24"/>
                <w:lang w:val="ru-RU" w:eastAsia="ru-RU"/>
              </w:rPr>
            </w:pPr>
            <w:r w:rsidRPr="00C9288A">
              <w:rPr>
                <w:rFonts w:ascii="Times New Roman" w:eastAsia="Times New Roman" w:hAnsi="Times New Roman" w:cs="Times New Roman"/>
                <w:sz w:val="24"/>
                <w:szCs w:val="24"/>
                <w:lang w:val="ru-RU" w:eastAsia="ru-RU"/>
              </w:rPr>
              <w:t>86.7</w:t>
            </w:r>
          </w:p>
        </w:tc>
      </w:tr>
    </w:tbl>
    <w:p w14:paraId="4D2A7B5C" w14:textId="77777777" w:rsidR="00331B09" w:rsidRPr="00C9288A" w:rsidRDefault="00331B09" w:rsidP="00331B09">
      <w:pPr>
        <w:spacing w:line="360" w:lineRule="auto"/>
        <w:jc w:val="both"/>
        <w:rPr>
          <w:rFonts w:eastAsia="Arial"/>
        </w:rPr>
      </w:pPr>
      <w:r w:rsidRPr="00C9288A">
        <w:rPr>
          <w:rFonts w:eastAsia="Arial"/>
        </w:rPr>
        <w:t>Source: calculated by the author based on the integrated indicators of innovative development</w:t>
      </w:r>
    </w:p>
    <w:p w14:paraId="769A8BB5" w14:textId="44F4CC5B" w:rsidR="00331B09" w:rsidRDefault="00331B09" w:rsidP="00EB2F93">
      <w:pPr>
        <w:spacing w:line="360" w:lineRule="auto"/>
        <w:jc w:val="both"/>
        <w:rPr>
          <w:rFonts w:eastAsia="Arial"/>
        </w:rPr>
      </w:pPr>
      <w:r>
        <w:rPr>
          <w:rFonts w:eastAsia="Arial"/>
        </w:rPr>
        <w:br w:type="page"/>
      </w:r>
    </w:p>
    <w:p w14:paraId="47B536E3" w14:textId="77777777" w:rsidR="00331B09" w:rsidRPr="0079134C" w:rsidRDefault="00331B09" w:rsidP="00331B09">
      <w:pPr>
        <w:spacing w:line="360" w:lineRule="auto"/>
        <w:outlineLvl w:val="1"/>
        <w:rPr>
          <w:bCs/>
          <w:lang w:eastAsia="ru-RU"/>
        </w:rPr>
      </w:pPr>
      <w:r w:rsidRPr="0079134C">
        <w:rPr>
          <w:bCs/>
          <w:lang w:eastAsia="ru-RU"/>
        </w:rPr>
        <w:lastRenderedPageBreak/>
        <w:t>Table 4. Results of multiple regression analysis</w:t>
      </w:r>
    </w:p>
    <w:tbl>
      <w:tblPr>
        <w:tblStyle w:val="TableGrid"/>
        <w:tblW w:w="0" w:type="auto"/>
        <w:tblLook w:val="04A0" w:firstRow="1" w:lastRow="0" w:firstColumn="1" w:lastColumn="0" w:noHBand="0" w:noVBand="1"/>
      </w:tblPr>
      <w:tblGrid>
        <w:gridCol w:w="1724"/>
        <w:gridCol w:w="1616"/>
        <w:gridCol w:w="1899"/>
        <w:gridCol w:w="1784"/>
        <w:gridCol w:w="1987"/>
      </w:tblGrid>
      <w:tr w:rsidR="00331B09" w:rsidRPr="0079134C" w14:paraId="087A3392" w14:textId="77777777" w:rsidTr="007C2213">
        <w:tc>
          <w:tcPr>
            <w:tcW w:w="1737" w:type="dxa"/>
            <w:vAlign w:val="center"/>
          </w:tcPr>
          <w:p w14:paraId="0E078C0B" w14:textId="77777777" w:rsidR="00331B09" w:rsidRPr="0079134C" w:rsidRDefault="00331B09" w:rsidP="007C2213">
            <w:pPr>
              <w:jc w:val="center"/>
              <w:outlineLvl w:val="1"/>
              <w:rPr>
                <w:rFonts w:ascii="Times New Roman" w:eastAsia="Times New Roman" w:hAnsi="Times New Roman" w:cs="Times New Roman"/>
                <w:b/>
                <w:sz w:val="24"/>
                <w:szCs w:val="24"/>
                <w:lang w:val="en-US" w:eastAsia="ru-RU"/>
              </w:rPr>
            </w:pPr>
            <w:r w:rsidRPr="0079134C">
              <w:rPr>
                <w:rFonts w:ascii="Times New Roman" w:eastAsia="Times New Roman" w:hAnsi="Times New Roman" w:cs="Times New Roman"/>
                <w:b/>
                <w:sz w:val="24"/>
                <w:szCs w:val="24"/>
                <w:lang w:val="en-US" w:eastAsia="ru-RU"/>
              </w:rPr>
              <w:t>Country</w:t>
            </w:r>
          </w:p>
        </w:tc>
        <w:tc>
          <w:tcPr>
            <w:tcW w:w="1633" w:type="dxa"/>
            <w:vAlign w:val="center"/>
          </w:tcPr>
          <w:p w14:paraId="529432D9" w14:textId="77777777" w:rsidR="00331B09" w:rsidRPr="0079134C" w:rsidRDefault="00331B09" w:rsidP="007C2213">
            <w:pPr>
              <w:jc w:val="center"/>
              <w:outlineLvl w:val="1"/>
              <w:rPr>
                <w:rFonts w:ascii="Times New Roman" w:eastAsia="Times New Roman" w:hAnsi="Times New Roman" w:cs="Times New Roman"/>
                <w:b/>
                <w:sz w:val="24"/>
                <w:szCs w:val="24"/>
                <w:lang w:val="ru-RU" w:eastAsia="ru-RU"/>
              </w:rPr>
            </w:pPr>
            <w:r w:rsidRPr="0079134C">
              <w:rPr>
                <w:rFonts w:ascii="Times New Roman" w:eastAsia="Times New Roman" w:hAnsi="Times New Roman" w:cs="Times New Roman"/>
                <w:b/>
                <w:sz w:val="24"/>
                <w:szCs w:val="24"/>
                <w:lang w:val="ru-RU" w:eastAsia="ru-RU"/>
              </w:rPr>
              <w:t>R²</w:t>
            </w:r>
          </w:p>
        </w:tc>
        <w:tc>
          <w:tcPr>
            <w:tcW w:w="1902" w:type="dxa"/>
            <w:vAlign w:val="center"/>
          </w:tcPr>
          <w:p w14:paraId="1A6F9928" w14:textId="77777777" w:rsidR="00331B09" w:rsidRPr="0079134C" w:rsidRDefault="00331B09" w:rsidP="007C2213">
            <w:pPr>
              <w:jc w:val="center"/>
              <w:outlineLvl w:val="1"/>
              <w:rPr>
                <w:rFonts w:ascii="Times New Roman" w:eastAsia="Times New Roman" w:hAnsi="Times New Roman" w:cs="Times New Roman"/>
                <w:b/>
                <w:sz w:val="24"/>
                <w:szCs w:val="24"/>
                <w:lang w:val="ru-RU" w:eastAsia="ru-RU"/>
              </w:rPr>
            </w:pPr>
            <w:r w:rsidRPr="0079134C">
              <w:rPr>
                <w:rFonts w:ascii="Times New Roman" w:eastAsia="Times New Roman" w:hAnsi="Times New Roman" w:cs="Times New Roman"/>
                <w:b/>
                <w:sz w:val="24"/>
                <w:szCs w:val="24"/>
                <w:lang w:val="ru-RU" w:eastAsia="ru-RU"/>
              </w:rPr>
              <w:t>β (</w:t>
            </w:r>
            <w:r w:rsidRPr="0079134C">
              <w:rPr>
                <w:rFonts w:ascii="Times New Roman" w:eastAsia="Times New Roman" w:hAnsi="Times New Roman" w:cs="Times New Roman"/>
                <w:b/>
                <w:sz w:val="24"/>
                <w:szCs w:val="24"/>
                <w:lang w:val="en-US" w:eastAsia="ru-RU"/>
              </w:rPr>
              <w:t>digitalization</w:t>
            </w:r>
            <w:r w:rsidRPr="0079134C">
              <w:rPr>
                <w:rFonts w:ascii="Times New Roman" w:eastAsia="Times New Roman" w:hAnsi="Times New Roman" w:cs="Times New Roman"/>
                <w:b/>
                <w:sz w:val="24"/>
                <w:szCs w:val="24"/>
                <w:lang w:val="ru-RU" w:eastAsia="ru-RU"/>
              </w:rPr>
              <w:t>)</w:t>
            </w:r>
          </w:p>
        </w:tc>
        <w:tc>
          <w:tcPr>
            <w:tcW w:w="1789" w:type="dxa"/>
            <w:vAlign w:val="center"/>
          </w:tcPr>
          <w:p w14:paraId="465363B4" w14:textId="77777777" w:rsidR="00331B09" w:rsidRPr="0079134C" w:rsidRDefault="00331B09" w:rsidP="007C2213">
            <w:pPr>
              <w:jc w:val="center"/>
              <w:outlineLvl w:val="1"/>
              <w:rPr>
                <w:rFonts w:ascii="Times New Roman" w:eastAsia="Times New Roman" w:hAnsi="Times New Roman" w:cs="Times New Roman"/>
                <w:b/>
                <w:sz w:val="24"/>
                <w:szCs w:val="24"/>
                <w:lang w:val="ru-RU" w:eastAsia="ru-RU"/>
              </w:rPr>
            </w:pPr>
            <w:r w:rsidRPr="0079134C">
              <w:rPr>
                <w:rFonts w:ascii="Times New Roman" w:eastAsia="Times New Roman" w:hAnsi="Times New Roman" w:cs="Times New Roman"/>
                <w:b/>
                <w:sz w:val="24"/>
                <w:szCs w:val="24"/>
                <w:lang w:val="ru-RU" w:eastAsia="ru-RU"/>
              </w:rPr>
              <w:t>β (agritech-</w:t>
            </w:r>
            <w:r w:rsidRPr="0079134C">
              <w:rPr>
                <w:rFonts w:ascii="Times New Roman" w:eastAsia="Times New Roman" w:hAnsi="Times New Roman" w:cs="Times New Roman"/>
                <w:b/>
                <w:sz w:val="24"/>
                <w:szCs w:val="24"/>
                <w:lang w:val="en-US" w:eastAsia="ru-RU"/>
              </w:rPr>
              <w:t>investments</w:t>
            </w:r>
            <w:r w:rsidRPr="0079134C">
              <w:rPr>
                <w:rFonts w:ascii="Times New Roman" w:eastAsia="Times New Roman" w:hAnsi="Times New Roman" w:cs="Times New Roman"/>
                <w:b/>
                <w:sz w:val="24"/>
                <w:szCs w:val="24"/>
                <w:lang w:val="ru-RU" w:eastAsia="ru-RU"/>
              </w:rPr>
              <w:t>)</w:t>
            </w:r>
          </w:p>
        </w:tc>
        <w:tc>
          <w:tcPr>
            <w:tcW w:w="1993" w:type="dxa"/>
            <w:vAlign w:val="center"/>
          </w:tcPr>
          <w:p w14:paraId="0824D7DF" w14:textId="77777777" w:rsidR="00331B09" w:rsidRPr="0079134C" w:rsidRDefault="00331B09" w:rsidP="007C2213">
            <w:pPr>
              <w:jc w:val="center"/>
              <w:outlineLvl w:val="1"/>
              <w:rPr>
                <w:rFonts w:ascii="Times New Roman" w:eastAsia="Times New Roman" w:hAnsi="Times New Roman" w:cs="Times New Roman"/>
                <w:b/>
                <w:sz w:val="24"/>
                <w:szCs w:val="24"/>
                <w:lang w:val="ru-RU" w:eastAsia="ru-RU"/>
              </w:rPr>
            </w:pPr>
            <w:r w:rsidRPr="0079134C">
              <w:rPr>
                <w:rFonts w:ascii="Times New Roman" w:eastAsia="Times New Roman" w:hAnsi="Times New Roman" w:cs="Times New Roman"/>
                <w:b/>
                <w:sz w:val="24"/>
                <w:szCs w:val="24"/>
                <w:lang w:val="ru-RU" w:eastAsia="ru-RU"/>
              </w:rPr>
              <w:t>β (</w:t>
            </w:r>
            <w:r w:rsidRPr="0079134C">
              <w:rPr>
                <w:rFonts w:ascii="Times New Roman" w:eastAsia="Times New Roman" w:hAnsi="Times New Roman" w:cs="Times New Roman"/>
                <w:b/>
                <w:sz w:val="24"/>
                <w:szCs w:val="24"/>
                <w:lang w:val="en-US" w:eastAsia="ru-RU"/>
              </w:rPr>
              <w:t>digital infrastrucure</w:t>
            </w:r>
            <w:r w:rsidRPr="0079134C">
              <w:rPr>
                <w:rFonts w:ascii="Times New Roman" w:eastAsia="Times New Roman" w:hAnsi="Times New Roman" w:cs="Times New Roman"/>
                <w:b/>
                <w:sz w:val="24"/>
                <w:szCs w:val="24"/>
                <w:lang w:val="ru-RU" w:eastAsia="ru-RU"/>
              </w:rPr>
              <w:t>)</w:t>
            </w:r>
          </w:p>
        </w:tc>
      </w:tr>
      <w:tr w:rsidR="00331B09" w:rsidRPr="0079134C" w14:paraId="4D01E940" w14:textId="77777777" w:rsidTr="007C2213">
        <w:tc>
          <w:tcPr>
            <w:tcW w:w="1737" w:type="dxa"/>
            <w:vAlign w:val="center"/>
          </w:tcPr>
          <w:p w14:paraId="53192C4C" w14:textId="77777777" w:rsidR="00331B09" w:rsidRPr="0079134C" w:rsidRDefault="00331B09" w:rsidP="007C2213">
            <w:pPr>
              <w:jc w:val="center"/>
              <w:outlineLvl w:val="1"/>
              <w:rPr>
                <w:rFonts w:ascii="Times New Roman" w:eastAsia="Times New Roman" w:hAnsi="Times New Roman" w:cs="Times New Roman"/>
                <w:bCs/>
                <w:sz w:val="24"/>
                <w:szCs w:val="24"/>
                <w:lang w:val="en-US" w:eastAsia="ru-RU"/>
              </w:rPr>
            </w:pPr>
            <w:r w:rsidRPr="0079134C">
              <w:rPr>
                <w:rFonts w:ascii="Times New Roman" w:eastAsia="Times New Roman" w:hAnsi="Times New Roman" w:cs="Times New Roman"/>
                <w:sz w:val="24"/>
                <w:szCs w:val="24"/>
                <w:lang w:val="en-US" w:eastAsia="ru-RU"/>
              </w:rPr>
              <w:t>Ukraine</w:t>
            </w:r>
          </w:p>
        </w:tc>
        <w:tc>
          <w:tcPr>
            <w:tcW w:w="1633" w:type="dxa"/>
            <w:vAlign w:val="center"/>
          </w:tcPr>
          <w:p w14:paraId="07C54BA9"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0.994</w:t>
            </w:r>
          </w:p>
        </w:tc>
        <w:tc>
          <w:tcPr>
            <w:tcW w:w="1902" w:type="dxa"/>
            <w:vAlign w:val="center"/>
          </w:tcPr>
          <w:p w14:paraId="36F44306"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0.41</w:t>
            </w:r>
          </w:p>
        </w:tc>
        <w:tc>
          <w:tcPr>
            <w:tcW w:w="1789" w:type="dxa"/>
            <w:vAlign w:val="center"/>
          </w:tcPr>
          <w:p w14:paraId="53BC1299"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0.34</w:t>
            </w:r>
          </w:p>
        </w:tc>
        <w:tc>
          <w:tcPr>
            <w:tcW w:w="1993" w:type="dxa"/>
            <w:vAlign w:val="center"/>
          </w:tcPr>
          <w:p w14:paraId="7122541E"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0.26</w:t>
            </w:r>
          </w:p>
        </w:tc>
      </w:tr>
      <w:tr w:rsidR="00331B09" w:rsidRPr="0079134C" w14:paraId="48287033" w14:textId="77777777" w:rsidTr="007C2213">
        <w:tc>
          <w:tcPr>
            <w:tcW w:w="1737" w:type="dxa"/>
            <w:vAlign w:val="center"/>
          </w:tcPr>
          <w:p w14:paraId="5D5E1AE2" w14:textId="77777777" w:rsidR="00331B09" w:rsidRPr="0079134C" w:rsidRDefault="00331B09" w:rsidP="007C2213">
            <w:pPr>
              <w:jc w:val="center"/>
              <w:outlineLvl w:val="1"/>
              <w:rPr>
                <w:rFonts w:ascii="Times New Roman" w:eastAsia="Times New Roman" w:hAnsi="Times New Roman" w:cs="Times New Roman"/>
                <w:bCs/>
                <w:sz w:val="24"/>
                <w:szCs w:val="24"/>
                <w:lang w:val="en-US" w:eastAsia="ru-RU"/>
              </w:rPr>
            </w:pPr>
            <w:r w:rsidRPr="0079134C">
              <w:rPr>
                <w:rFonts w:ascii="Times New Roman" w:eastAsia="Times New Roman" w:hAnsi="Times New Roman" w:cs="Times New Roman"/>
                <w:sz w:val="24"/>
                <w:szCs w:val="24"/>
                <w:lang w:val="en-US" w:eastAsia="ru-RU"/>
              </w:rPr>
              <w:t>Moldova</w:t>
            </w:r>
          </w:p>
        </w:tc>
        <w:tc>
          <w:tcPr>
            <w:tcW w:w="1633" w:type="dxa"/>
            <w:vAlign w:val="center"/>
          </w:tcPr>
          <w:p w14:paraId="7E3A39BF"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0.987</w:t>
            </w:r>
          </w:p>
        </w:tc>
        <w:tc>
          <w:tcPr>
            <w:tcW w:w="1902" w:type="dxa"/>
            <w:vAlign w:val="center"/>
          </w:tcPr>
          <w:p w14:paraId="1AC658F0"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0.38</w:t>
            </w:r>
          </w:p>
        </w:tc>
        <w:tc>
          <w:tcPr>
            <w:tcW w:w="1789" w:type="dxa"/>
            <w:vAlign w:val="center"/>
          </w:tcPr>
          <w:p w14:paraId="464EAF1A"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0.29</w:t>
            </w:r>
          </w:p>
        </w:tc>
        <w:tc>
          <w:tcPr>
            <w:tcW w:w="1993" w:type="dxa"/>
            <w:vAlign w:val="center"/>
          </w:tcPr>
          <w:p w14:paraId="53A04FF6"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0.22</w:t>
            </w:r>
          </w:p>
        </w:tc>
      </w:tr>
      <w:tr w:rsidR="00331B09" w:rsidRPr="0079134C" w14:paraId="6E1583C7" w14:textId="77777777" w:rsidTr="007C2213">
        <w:tc>
          <w:tcPr>
            <w:tcW w:w="1737" w:type="dxa"/>
            <w:vAlign w:val="center"/>
          </w:tcPr>
          <w:p w14:paraId="52653A94" w14:textId="77777777" w:rsidR="00331B09" w:rsidRPr="0079134C" w:rsidRDefault="00331B09" w:rsidP="007C2213">
            <w:pPr>
              <w:jc w:val="center"/>
              <w:outlineLvl w:val="1"/>
              <w:rPr>
                <w:rFonts w:ascii="Times New Roman" w:eastAsia="Times New Roman" w:hAnsi="Times New Roman" w:cs="Times New Roman"/>
                <w:bCs/>
                <w:sz w:val="24"/>
                <w:szCs w:val="24"/>
                <w:lang w:val="en-US" w:eastAsia="ru-RU"/>
              </w:rPr>
            </w:pPr>
            <w:r w:rsidRPr="0079134C">
              <w:rPr>
                <w:rFonts w:ascii="Times New Roman" w:eastAsia="Times New Roman" w:hAnsi="Times New Roman" w:cs="Times New Roman"/>
                <w:sz w:val="24"/>
                <w:szCs w:val="24"/>
                <w:lang w:val="en-US" w:eastAsia="ru-RU"/>
              </w:rPr>
              <w:t>Poland</w:t>
            </w:r>
          </w:p>
        </w:tc>
        <w:tc>
          <w:tcPr>
            <w:tcW w:w="1633" w:type="dxa"/>
            <w:vAlign w:val="center"/>
          </w:tcPr>
          <w:p w14:paraId="108528BE"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0.998</w:t>
            </w:r>
          </w:p>
        </w:tc>
        <w:tc>
          <w:tcPr>
            <w:tcW w:w="1902" w:type="dxa"/>
            <w:vAlign w:val="center"/>
          </w:tcPr>
          <w:p w14:paraId="5F78C6DB"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0.39</w:t>
            </w:r>
          </w:p>
        </w:tc>
        <w:tc>
          <w:tcPr>
            <w:tcW w:w="1789" w:type="dxa"/>
            <w:vAlign w:val="center"/>
          </w:tcPr>
          <w:p w14:paraId="3771A47D"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0.45</w:t>
            </w:r>
          </w:p>
        </w:tc>
        <w:tc>
          <w:tcPr>
            <w:tcW w:w="1993" w:type="dxa"/>
            <w:vAlign w:val="center"/>
          </w:tcPr>
          <w:p w14:paraId="1DC01C97" w14:textId="77777777" w:rsidR="00331B09" w:rsidRPr="0079134C" w:rsidRDefault="00331B09" w:rsidP="007C2213">
            <w:pPr>
              <w:jc w:val="center"/>
              <w:outlineLvl w:val="1"/>
              <w:rPr>
                <w:rFonts w:ascii="Times New Roman" w:eastAsia="Times New Roman" w:hAnsi="Times New Roman" w:cs="Times New Roman"/>
                <w:bCs/>
                <w:sz w:val="24"/>
                <w:szCs w:val="24"/>
                <w:lang w:val="ru-RU" w:eastAsia="ru-RU"/>
              </w:rPr>
            </w:pPr>
            <w:r w:rsidRPr="0079134C">
              <w:rPr>
                <w:rFonts w:ascii="Times New Roman" w:eastAsia="Times New Roman" w:hAnsi="Times New Roman" w:cs="Times New Roman"/>
                <w:sz w:val="24"/>
                <w:szCs w:val="24"/>
                <w:lang w:val="ru-RU" w:eastAsia="ru-RU"/>
              </w:rPr>
              <w:t>0.31</w:t>
            </w:r>
          </w:p>
        </w:tc>
      </w:tr>
    </w:tbl>
    <w:p w14:paraId="4A6D489A" w14:textId="77777777" w:rsidR="00331B09" w:rsidRPr="0079134C" w:rsidRDefault="00331B09" w:rsidP="00331B09">
      <w:pPr>
        <w:spacing w:line="360" w:lineRule="auto"/>
        <w:jc w:val="both"/>
        <w:rPr>
          <w:lang w:eastAsia="ru-RU"/>
        </w:rPr>
      </w:pPr>
      <w:r w:rsidRPr="0079134C">
        <w:rPr>
          <w:lang w:eastAsia="ru-RU"/>
        </w:rPr>
        <w:t>Note:</w:t>
      </w:r>
    </w:p>
    <w:p w14:paraId="5D871795" w14:textId="77777777" w:rsidR="00331B09" w:rsidRPr="0079134C" w:rsidRDefault="00331B09" w:rsidP="00331B09">
      <w:pPr>
        <w:spacing w:line="360" w:lineRule="auto"/>
        <w:jc w:val="both"/>
        <w:rPr>
          <w:lang w:eastAsia="ru-RU"/>
        </w:rPr>
      </w:pPr>
      <w:r w:rsidRPr="0079134C">
        <w:rPr>
          <w:lang w:eastAsia="ru-RU"/>
        </w:rPr>
        <w:t>R2 is the coefficient of determination of the model;</w:t>
      </w:r>
    </w:p>
    <w:p w14:paraId="22A08E97" w14:textId="77777777" w:rsidR="00331B09" w:rsidRPr="0079134C" w:rsidRDefault="00331B09" w:rsidP="00331B09">
      <w:pPr>
        <w:spacing w:line="360" w:lineRule="auto"/>
        <w:jc w:val="both"/>
        <w:rPr>
          <w:lang w:eastAsia="ru-RU"/>
        </w:rPr>
      </w:pPr>
      <w:r w:rsidRPr="0079134C">
        <w:rPr>
          <w:lang w:eastAsia="ru-RU"/>
        </w:rPr>
        <w:t>β is the standardized regression coefficients.</w:t>
      </w:r>
    </w:p>
    <w:p w14:paraId="048AFA12" w14:textId="77777777" w:rsidR="00331B09" w:rsidRPr="0079134C" w:rsidRDefault="00331B09" w:rsidP="00331B09">
      <w:pPr>
        <w:spacing w:line="360" w:lineRule="auto"/>
        <w:jc w:val="both"/>
        <w:rPr>
          <w:rFonts w:eastAsia="Arial"/>
        </w:rPr>
      </w:pPr>
      <w:r w:rsidRPr="0079134C">
        <w:rPr>
          <w:lang w:eastAsia="ru-RU"/>
        </w:rPr>
        <w:t>Source: calculated by the author</w:t>
      </w:r>
    </w:p>
    <w:p w14:paraId="7E5094B3" w14:textId="77777777" w:rsidR="00B83054" w:rsidRPr="00410ED7" w:rsidRDefault="00B83054" w:rsidP="00EB2F93">
      <w:pPr>
        <w:spacing w:line="360" w:lineRule="auto"/>
        <w:jc w:val="both"/>
        <w:rPr>
          <w:rFonts w:eastAsia="Arial"/>
        </w:rPr>
      </w:pPr>
    </w:p>
    <w:p w14:paraId="374FF3D2" w14:textId="77777777" w:rsidR="00410ED7" w:rsidRDefault="00410ED7" w:rsidP="00EB2F93">
      <w:pPr>
        <w:spacing w:line="360" w:lineRule="auto"/>
        <w:jc w:val="both"/>
        <w:rPr>
          <w:rFonts w:eastAsia="Arial"/>
          <w:lang w:val="uk-UA"/>
        </w:rPr>
      </w:pPr>
    </w:p>
    <w:p w14:paraId="4C30F5AF" w14:textId="77777777" w:rsidR="00410ED7" w:rsidRPr="00410ED7" w:rsidRDefault="00410ED7" w:rsidP="00EB2F93">
      <w:pPr>
        <w:spacing w:line="360" w:lineRule="auto"/>
        <w:jc w:val="both"/>
        <w:rPr>
          <w:rFonts w:eastAsia="Arial"/>
          <w:lang w:val="uk-UA"/>
        </w:rPr>
      </w:pPr>
    </w:p>
    <w:sectPr w:rsidR="00410ED7" w:rsidRPr="00410ED7" w:rsidSect="00E676DB">
      <w:footerReference w:type="even" r:id="rId20"/>
      <w:footerReference w:type="default" r:id="rId21"/>
      <w:footerReference w:type="first" r:id="rId22"/>
      <w:pgSz w:w="11900" w:h="16840" w:code="9"/>
      <w:pgMar w:top="1440" w:right="1440" w:bottom="1440" w:left="1440" w:header="851" w:footer="851"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BCDE6" w14:textId="77777777" w:rsidR="008C011D" w:rsidRDefault="008C011D">
      <w:r>
        <w:separator/>
      </w:r>
    </w:p>
  </w:endnote>
  <w:endnote w:type="continuationSeparator" w:id="0">
    <w:p w14:paraId="7A13B7AB" w14:textId="77777777" w:rsidR="008C011D" w:rsidRDefault="008C0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54636E0-1536-4FA9-A54D-A63F505A439C}"/>
  </w:font>
  <w:font w:name="Calibri">
    <w:panose1 w:val="020F0502020204030204"/>
    <w:charset w:val="00"/>
    <w:family w:val="swiss"/>
    <w:pitch w:val="variable"/>
    <w:sig w:usb0="E4002EFF" w:usb1="C000247B" w:usb2="00000009" w:usb3="00000000" w:csb0="000001FF" w:csb1="00000000"/>
    <w:embedRegular r:id="rId2" w:fontKey="{44D8AA19-71FD-4E2C-BF71-D5C89BF8793E}"/>
  </w:font>
  <w:font w:name="Cambria">
    <w:panose1 w:val="02040503050406030204"/>
    <w:charset w:val="00"/>
    <w:family w:val="roman"/>
    <w:pitch w:val="variable"/>
    <w:sig w:usb0="E00006FF" w:usb1="420024FF" w:usb2="02000000" w:usb3="00000000" w:csb0="0000019F" w:csb1="00000000"/>
    <w:embedRegular r:id="rId3" w:fontKey="{5CEAFFCE-20B2-4483-A7BE-47D85454779D}"/>
  </w:font>
  <w:font w:name="Segoe UI">
    <w:panose1 w:val="020B0502040204020203"/>
    <w:charset w:val="00"/>
    <w:family w:val="swiss"/>
    <w:pitch w:val="variable"/>
    <w:sig w:usb0="E4002EFF" w:usb1="C000E47F" w:usb2="00000009" w:usb3="00000000" w:csb0="000001FF" w:csb1="00000000"/>
    <w:embedRegular r:id="rId4" w:fontKey="{BFEEDAC5-57C6-4F61-8865-6451B9E41145}"/>
  </w:font>
  <w:font w:name="Cambria Math">
    <w:panose1 w:val="02040503050406030204"/>
    <w:charset w:val="00"/>
    <w:family w:val="roman"/>
    <w:pitch w:val="variable"/>
    <w:sig w:usb0="E00006FF" w:usb1="420024FF" w:usb2="02000000" w:usb3="00000000" w:csb0="0000019F" w:csb1="00000000"/>
    <w:embedRegular r:id="rId5" w:fontKey="{0EA51FB0-9BF1-4C2D-8DA8-F72C6012E6FD}"/>
  </w:font>
  <w:font w:name="Arial Narrow">
    <w:panose1 w:val="020B0606020202030204"/>
    <w:charset w:val="00"/>
    <w:family w:val="swiss"/>
    <w:pitch w:val="variable"/>
    <w:sig w:usb0="00000287" w:usb1="00000800" w:usb2="00000000" w:usb3="00000000" w:csb0="0000009F" w:csb1="00000000"/>
    <w:embedRegular r:id="rId6" w:fontKey="{3C068B75-FA13-457E-9511-5F01360890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216D" w14:textId="79CB22CC" w:rsidR="00EB2F93" w:rsidRDefault="00EB2F93" w:rsidP="00EB2F93">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9AF3" w14:textId="7E64BA09" w:rsidR="00EB2F93" w:rsidRDefault="00EB2F93" w:rsidP="00EB2F93">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76643"/>
      <w:docPartObj>
        <w:docPartGallery w:val="Page Numbers (Bottom of Page)"/>
        <w:docPartUnique/>
      </w:docPartObj>
    </w:sdtPr>
    <w:sdtEndPr>
      <w:rPr>
        <w:noProof/>
      </w:rPr>
    </w:sdtEndPr>
    <w:sdtContent>
      <w:p w14:paraId="58CEB777" w14:textId="1F7C4DD4" w:rsidR="00EB2F93" w:rsidRDefault="00EB2F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6BD1DC" w14:textId="77777777" w:rsidR="00F30230" w:rsidRDefault="00F30230">
    <w:pPr>
      <w:pBdr>
        <w:top w:val="nil"/>
        <w:left w:val="nil"/>
        <w:bottom w:val="nil"/>
        <w:right w:val="nil"/>
        <w:between w:val="nil"/>
      </w:pBdr>
      <w:tabs>
        <w:tab w:val="center" w:pos="4153"/>
        <w:tab w:val="right" w:pos="8306"/>
      </w:tabs>
      <w:spacing w:before="120"/>
      <w:jc w:val="both"/>
      <w:rPr>
        <w:rFonts w:ascii="Arial Narrow" w:eastAsia="Arial Narrow" w:hAnsi="Arial Narrow" w:cs="Arial Narrow"/>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46A30" w14:textId="77777777" w:rsidR="008C011D" w:rsidRDefault="008C011D">
      <w:r>
        <w:separator/>
      </w:r>
    </w:p>
  </w:footnote>
  <w:footnote w:type="continuationSeparator" w:id="0">
    <w:p w14:paraId="235FDC30" w14:textId="77777777" w:rsidR="008C011D" w:rsidRDefault="008C0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FFF"/>
    <w:multiLevelType w:val="hybridMultilevel"/>
    <w:tmpl w:val="D15E8F04"/>
    <w:lvl w:ilvl="0" w:tplc="FFD05F28">
      <w:start w:val="1"/>
      <w:numFmt w:val="bullet"/>
      <w:lvlText w:val=""/>
      <w:lvlJc w:val="left"/>
      <w:pPr>
        <w:ind w:left="1072" w:hanging="360"/>
      </w:pPr>
      <w:rPr>
        <w:rFonts w:ascii="Symbol" w:hAnsi="Symbol" w:hint="default"/>
      </w:rPr>
    </w:lvl>
    <w:lvl w:ilvl="1" w:tplc="04220003" w:tentative="1">
      <w:start w:val="1"/>
      <w:numFmt w:val="bullet"/>
      <w:lvlText w:val="o"/>
      <w:lvlJc w:val="left"/>
      <w:pPr>
        <w:ind w:left="1792" w:hanging="360"/>
      </w:pPr>
      <w:rPr>
        <w:rFonts w:ascii="Courier New" w:hAnsi="Courier New" w:cs="Courier New" w:hint="default"/>
      </w:rPr>
    </w:lvl>
    <w:lvl w:ilvl="2" w:tplc="04220005" w:tentative="1">
      <w:start w:val="1"/>
      <w:numFmt w:val="bullet"/>
      <w:lvlText w:val=""/>
      <w:lvlJc w:val="left"/>
      <w:pPr>
        <w:ind w:left="2512" w:hanging="360"/>
      </w:pPr>
      <w:rPr>
        <w:rFonts w:ascii="Wingdings" w:hAnsi="Wingdings" w:hint="default"/>
      </w:rPr>
    </w:lvl>
    <w:lvl w:ilvl="3" w:tplc="04220001" w:tentative="1">
      <w:start w:val="1"/>
      <w:numFmt w:val="bullet"/>
      <w:lvlText w:val=""/>
      <w:lvlJc w:val="left"/>
      <w:pPr>
        <w:ind w:left="3232" w:hanging="360"/>
      </w:pPr>
      <w:rPr>
        <w:rFonts w:ascii="Symbol" w:hAnsi="Symbol" w:hint="default"/>
      </w:rPr>
    </w:lvl>
    <w:lvl w:ilvl="4" w:tplc="04220003" w:tentative="1">
      <w:start w:val="1"/>
      <w:numFmt w:val="bullet"/>
      <w:lvlText w:val="o"/>
      <w:lvlJc w:val="left"/>
      <w:pPr>
        <w:ind w:left="3952" w:hanging="360"/>
      </w:pPr>
      <w:rPr>
        <w:rFonts w:ascii="Courier New" w:hAnsi="Courier New" w:cs="Courier New" w:hint="default"/>
      </w:rPr>
    </w:lvl>
    <w:lvl w:ilvl="5" w:tplc="04220005" w:tentative="1">
      <w:start w:val="1"/>
      <w:numFmt w:val="bullet"/>
      <w:lvlText w:val=""/>
      <w:lvlJc w:val="left"/>
      <w:pPr>
        <w:ind w:left="4672" w:hanging="360"/>
      </w:pPr>
      <w:rPr>
        <w:rFonts w:ascii="Wingdings" w:hAnsi="Wingdings" w:hint="default"/>
      </w:rPr>
    </w:lvl>
    <w:lvl w:ilvl="6" w:tplc="04220001" w:tentative="1">
      <w:start w:val="1"/>
      <w:numFmt w:val="bullet"/>
      <w:lvlText w:val=""/>
      <w:lvlJc w:val="left"/>
      <w:pPr>
        <w:ind w:left="5392" w:hanging="360"/>
      </w:pPr>
      <w:rPr>
        <w:rFonts w:ascii="Symbol" w:hAnsi="Symbol" w:hint="default"/>
      </w:rPr>
    </w:lvl>
    <w:lvl w:ilvl="7" w:tplc="04220003" w:tentative="1">
      <w:start w:val="1"/>
      <w:numFmt w:val="bullet"/>
      <w:lvlText w:val="o"/>
      <w:lvlJc w:val="left"/>
      <w:pPr>
        <w:ind w:left="6112" w:hanging="360"/>
      </w:pPr>
      <w:rPr>
        <w:rFonts w:ascii="Courier New" w:hAnsi="Courier New" w:cs="Courier New" w:hint="default"/>
      </w:rPr>
    </w:lvl>
    <w:lvl w:ilvl="8" w:tplc="04220005" w:tentative="1">
      <w:start w:val="1"/>
      <w:numFmt w:val="bullet"/>
      <w:lvlText w:val=""/>
      <w:lvlJc w:val="left"/>
      <w:pPr>
        <w:ind w:left="6832" w:hanging="360"/>
      </w:pPr>
      <w:rPr>
        <w:rFonts w:ascii="Wingdings" w:hAnsi="Wingdings" w:hint="default"/>
      </w:rPr>
    </w:lvl>
  </w:abstractNum>
  <w:abstractNum w:abstractNumId="1" w15:restartNumberingAfterBreak="0">
    <w:nsid w:val="091E75A3"/>
    <w:multiLevelType w:val="hybridMultilevel"/>
    <w:tmpl w:val="A3F4381A"/>
    <w:lvl w:ilvl="0" w:tplc="FFD05F2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EFB6C0E"/>
    <w:multiLevelType w:val="hybridMultilevel"/>
    <w:tmpl w:val="37869E24"/>
    <w:lvl w:ilvl="0" w:tplc="FFD05F2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1A3774B0"/>
    <w:multiLevelType w:val="hybridMultilevel"/>
    <w:tmpl w:val="B9B2731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1DB27A18"/>
    <w:multiLevelType w:val="hybridMultilevel"/>
    <w:tmpl w:val="1B001064"/>
    <w:lvl w:ilvl="0" w:tplc="EFA402F0">
      <w:start w:val="1"/>
      <w:numFmt w:val="decimal"/>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3B3049C"/>
    <w:multiLevelType w:val="hybridMultilevel"/>
    <w:tmpl w:val="FEEEBDDA"/>
    <w:lvl w:ilvl="0" w:tplc="FFD05F2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4098586A"/>
    <w:multiLevelType w:val="hybridMultilevel"/>
    <w:tmpl w:val="6A6C45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470C6443"/>
    <w:multiLevelType w:val="hybridMultilevel"/>
    <w:tmpl w:val="6F8006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A8B06E3"/>
    <w:multiLevelType w:val="hybridMultilevel"/>
    <w:tmpl w:val="CD92F0C8"/>
    <w:lvl w:ilvl="0" w:tplc="FFD05F2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5932161A"/>
    <w:multiLevelType w:val="multilevel"/>
    <w:tmpl w:val="3D90250E"/>
    <w:lvl w:ilvl="0">
      <w:start w:val="1"/>
      <w:numFmt w:val="decimal"/>
      <w:lvlText w:val="%1."/>
      <w:lvlJc w:val="left"/>
      <w:pPr>
        <w:ind w:left="720" w:hanging="360"/>
      </w:pPr>
      <w:rPr>
        <w:b w:val="0"/>
        <w:bCs w:val="0"/>
        <w:color w:val="FD8008"/>
      </w:rPr>
    </w:lvl>
    <w:lvl w:ilvl="1">
      <w:start w:val="2"/>
      <w:numFmt w:val="decimal"/>
      <w:lvlText w:val="%1.%2."/>
      <w:lvlJc w:val="left"/>
      <w:pPr>
        <w:ind w:left="1287" w:hanging="720"/>
      </w:pPr>
    </w:lvl>
    <w:lvl w:ilvl="2">
      <w:start w:val="1"/>
      <w:numFmt w:val="decimal"/>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3816" w:hanging="1799"/>
      </w:pPr>
    </w:lvl>
  </w:abstractNum>
  <w:abstractNum w:abstractNumId="10" w15:restartNumberingAfterBreak="0">
    <w:nsid w:val="67185027"/>
    <w:multiLevelType w:val="hybridMultilevel"/>
    <w:tmpl w:val="5336C954"/>
    <w:lvl w:ilvl="0" w:tplc="FFD05F2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6FBB2779"/>
    <w:multiLevelType w:val="multilevel"/>
    <w:tmpl w:val="090A3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04065880">
    <w:abstractNumId w:val="11"/>
  </w:num>
  <w:num w:numId="2" w16cid:durableId="293414492">
    <w:abstractNumId w:val="9"/>
  </w:num>
  <w:num w:numId="3" w16cid:durableId="2098090812">
    <w:abstractNumId w:val="2"/>
  </w:num>
  <w:num w:numId="4" w16cid:durableId="470831023">
    <w:abstractNumId w:val="5"/>
  </w:num>
  <w:num w:numId="5" w16cid:durableId="1079596265">
    <w:abstractNumId w:val="7"/>
  </w:num>
  <w:num w:numId="6" w16cid:durableId="1506818109">
    <w:abstractNumId w:val="4"/>
  </w:num>
  <w:num w:numId="7" w16cid:durableId="393236710">
    <w:abstractNumId w:val="10"/>
  </w:num>
  <w:num w:numId="8" w16cid:durableId="900167332">
    <w:abstractNumId w:val="0"/>
  </w:num>
  <w:num w:numId="9" w16cid:durableId="2094743065">
    <w:abstractNumId w:val="1"/>
  </w:num>
  <w:num w:numId="10" w16cid:durableId="2062248147">
    <w:abstractNumId w:val="8"/>
  </w:num>
  <w:num w:numId="11" w16cid:durableId="492259563">
    <w:abstractNumId w:val="3"/>
  </w:num>
  <w:num w:numId="12" w16cid:durableId="1351373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FEC"/>
    <w:rsid w:val="0003422D"/>
    <w:rsid w:val="000C7CCF"/>
    <w:rsid w:val="000D5C56"/>
    <w:rsid w:val="00100441"/>
    <w:rsid w:val="00112707"/>
    <w:rsid w:val="00196FFF"/>
    <w:rsid w:val="001F3A8B"/>
    <w:rsid w:val="00211EBB"/>
    <w:rsid w:val="00265FCD"/>
    <w:rsid w:val="002A51C2"/>
    <w:rsid w:val="002F6033"/>
    <w:rsid w:val="003259F3"/>
    <w:rsid w:val="00331B09"/>
    <w:rsid w:val="00371E6C"/>
    <w:rsid w:val="003A656D"/>
    <w:rsid w:val="004005D2"/>
    <w:rsid w:val="00410ED7"/>
    <w:rsid w:val="004111F7"/>
    <w:rsid w:val="00434487"/>
    <w:rsid w:val="004A1093"/>
    <w:rsid w:val="004C491A"/>
    <w:rsid w:val="004D1476"/>
    <w:rsid w:val="005360D7"/>
    <w:rsid w:val="005B66C1"/>
    <w:rsid w:val="005C6E84"/>
    <w:rsid w:val="005E05D5"/>
    <w:rsid w:val="006B6FEC"/>
    <w:rsid w:val="007774EA"/>
    <w:rsid w:val="00787F1E"/>
    <w:rsid w:val="0079134C"/>
    <w:rsid w:val="007D4B1F"/>
    <w:rsid w:val="007E370E"/>
    <w:rsid w:val="007F0DA1"/>
    <w:rsid w:val="00800F57"/>
    <w:rsid w:val="008054DF"/>
    <w:rsid w:val="00870D25"/>
    <w:rsid w:val="008757A5"/>
    <w:rsid w:val="008C011D"/>
    <w:rsid w:val="009707BE"/>
    <w:rsid w:val="009931F4"/>
    <w:rsid w:val="009C1746"/>
    <w:rsid w:val="00A525F9"/>
    <w:rsid w:val="00A52BBF"/>
    <w:rsid w:val="00A66F70"/>
    <w:rsid w:val="00A752AE"/>
    <w:rsid w:val="00AC1E98"/>
    <w:rsid w:val="00B4517E"/>
    <w:rsid w:val="00B46586"/>
    <w:rsid w:val="00B83054"/>
    <w:rsid w:val="00C653F0"/>
    <w:rsid w:val="00C66921"/>
    <w:rsid w:val="00C9288A"/>
    <w:rsid w:val="00CE1F57"/>
    <w:rsid w:val="00D21593"/>
    <w:rsid w:val="00D5335C"/>
    <w:rsid w:val="00DA59C5"/>
    <w:rsid w:val="00DC2C92"/>
    <w:rsid w:val="00DD1C03"/>
    <w:rsid w:val="00E45B3D"/>
    <w:rsid w:val="00E676DB"/>
    <w:rsid w:val="00E91182"/>
    <w:rsid w:val="00EB2F93"/>
    <w:rsid w:val="00F11D24"/>
    <w:rsid w:val="00F23D40"/>
    <w:rsid w:val="00F30230"/>
    <w:rsid w:val="00F86238"/>
    <w:rsid w:val="00FB416A"/>
    <w:rsid w:val="00FC77A6"/>
    <w:rsid w:val="00FD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5495"/>
  <w15:docId w15:val="{9866E793-9CEA-4DAA-B9CA-E25414EDD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ind w:left="432" w:hanging="432"/>
      <w:jc w:val="both"/>
      <w:outlineLvl w:val="0"/>
    </w:pPr>
    <w:rPr>
      <w:b/>
      <w:bCs/>
      <w:sz w:val="28"/>
      <w:szCs w:val="28"/>
    </w:rPr>
  </w:style>
  <w:style w:type="paragraph" w:styleId="Heading2">
    <w:name w:val="heading 2"/>
    <w:basedOn w:val="Normal"/>
    <w:next w:val="Normal"/>
    <w:pPr>
      <w:keepNext/>
      <w:spacing w:before="240" w:after="60"/>
      <w:ind w:left="576" w:hanging="576"/>
      <w:jc w:val="both"/>
      <w:outlineLvl w:val="1"/>
    </w:pPr>
    <w:rPr>
      <w:b/>
      <w:bCs/>
    </w:rPr>
  </w:style>
  <w:style w:type="paragraph" w:styleId="Heading3">
    <w:name w:val="heading 3"/>
    <w:basedOn w:val="Normal"/>
    <w:next w:val="Normal"/>
    <w:pPr>
      <w:keepNext/>
      <w:spacing w:before="240" w:after="60"/>
      <w:ind w:left="720" w:hanging="720"/>
      <w:jc w:val="both"/>
      <w:outlineLvl w:val="2"/>
    </w:pPr>
    <w:rPr>
      <w:rFonts w:ascii="Arial" w:eastAsia="Arial" w:hAnsi="Arial" w:cs="Arial"/>
    </w:rPr>
  </w:style>
  <w:style w:type="paragraph" w:styleId="Heading4">
    <w:name w:val="heading 4"/>
    <w:basedOn w:val="Normal"/>
    <w:next w:val="Normal"/>
    <w:pPr>
      <w:keepNext/>
      <w:spacing w:before="240" w:after="60"/>
      <w:ind w:left="864" w:hanging="864"/>
      <w:jc w:val="both"/>
      <w:outlineLvl w:val="3"/>
    </w:pPr>
    <w:rPr>
      <w:rFonts w:ascii="Arial" w:eastAsia="Arial" w:hAnsi="Arial" w:cs="Arial"/>
      <w:b/>
      <w:bCs/>
    </w:rPr>
  </w:style>
  <w:style w:type="paragraph" w:styleId="Heading5">
    <w:name w:val="heading 5"/>
    <w:basedOn w:val="Normal"/>
    <w:next w:val="Normal"/>
    <w:pPr>
      <w:spacing w:before="240" w:after="60"/>
      <w:ind w:left="1008" w:hanging="1008"/>
      <w:jc w:val="both"/>
      <w:outlineLvl w:val="4"/>
    </w:pPr>
    <w:rPr>
      <w:sz w:val="22"/>
      <w:szCs w:val="22"/>
    </w:rPr>
  </w:style>
  <w:style w:type="paragraph" w:styleId="Heading6">
    <w:name w:val="heading 6"/>
    <w:basedOn w:val="Normal"/>
    <w:next w:val="Normal"/>
    <w:pPr>
      <w:spacing w:before="240" w:after="60"/>
      <w:ind w:left="1152" w:hanging="1152"/>
      <w:jc w:val="both"/>
      <w:outlineLvl w:val="5"/>
    </w:pPr>
    <w:rPr>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2">
    <w:basedOn w:val="TableNormal0"/>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3">
    <w:basedOn w:val="TableNormal0"/>
    <w:pPr>
      <w:widowControl w:val="0"/>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4">
    <w:basedOn w:val="TableNormal0"/>
    <w:pPr>
      <w:widowControl w:val="0"/>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787F1E"/>
    <w:pPr>
      <w:ind w:left="720"/>
      <w:contextualSpacing/>
    </w:pPr>
  </w:style>
  <w:style w:type="character" w:styleId="Strong">
    <w:name w:val="Strong"/>
    <w:basedOn w:val="DefaultParagraphFont"/>
    <w:uiPriority w:val="22"/>
    <w:qFormat/>
    <w:rsid w:val="009931F4"/>
    <w:rPr>
      <w:b/>
      <w:bCs/>
    </w:rPr>
  </w:style>
  <w:style w:type="table" w:styleId="TableGridLight">
    <w:name w:val="Grid Table Light"/>
    <w:basedOn w:val="TableNormal"/>
    <w:uiPriority w:val="40"/>
    <w:rsid w:val="009931F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86238"/>
    <w:rPr>
      <w:color w:val="0000FF" w:themeColor="hyperlink"/>
      <w:u w:val="single"/>
    </w:rPr>
  </w:style>
  <w:style w:type="table" w:styleId="TableGrid">
    <w:name w:val="Table Grid"/>
    <w:basedOn w:val="TableNormal"/>
    <w:uiPriority w:val="39"/>
    <w:rsid w:val="00F86238"/>
    <w:rPr>
      <w:rFonts w:asciiTheme="minorHAnsi" w:eastAsiaTheme="minorHAnsi" w:hAnsiTheme="minorHAnsi" w:cstheme="minorBidi"/>
      <w:sz w:val="22"/>
      <w:szCs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2BBF"/>
    <w:rPr>
      <w:sz w:val="16"/>
      <w:szCs w:val="16"/>
    </w:rPr>
  </w:style>
  <w:style w:type="paragraph" w:styleId="CommentText">
    <w:name w:val="annotation text"/>
    <w:basedOn w:val="Normal"/>
    <w:link w:val="CommentTextChar"/>
    <w:uiPriority w:val="99"/>
    <w:semiHidden/>
    <w:unhideWhenUsed/>
    <w:rsid w:val="00A52BBF"/>
    <w:rPr>
      <w:sz w:val="20"/>
      <w:szCs w:val="20"/>
    </w:rPr>
  </w:style>
  <w:style w:type="character" w:customStyle="1" w:styleId="CommentTextChar">
    <w:name w:val="Comment Text Char"/>
    <w:basedOn w:val="DefaultParagraphFont"/>
    <w:link w:val="CommentText"/>
    <w:uiPriority w:val="99"/>
    <w:semiHidden/>
    <w:rsid w:val="00A52BBF"/>
    <w:rPr>
      <w:sz w:val="20"/>
      <w:szCs w:val="20"/>
    </w:rPr>
  </w:style>
  <w:style w:type="paragraph" w:styleId="CommentSubject">
    <w:name w:val="annotation subject"/>
    <w:basedOn w:val="CommentText"/>
    <w:next w:val="CommentText"/>
    <w:link w:val="CommentSubjectChar"/>
    <w:uiPriority w:val="99"/>
    <w:semiHidden/>
    <w:unhideWhenUsed/>
    <w:rsid w:val="00A52BBF"/>
    <w:rPr>
      <w:b/>
      <w:bCs/>
    </w:rPr>
  </w:style>
  <w:style w:type="character" w:customStyle="1" w:styleId="CommentSubjectChar">
    <w:name w:val="Comment Subject Char"/>
    <w:basedOn w:val="CommentTextChar"/>
    <w:link w:val="CommentSubject"/>
    <w:uiPriority w:val="99"/>
    <w:semiHidden/>
    <w:rsid w:val="00A52BBF"/>
    <w:rPr>
      <w:b/>
      <w:bCs/>
      <w:sz w:val="20"/>
      <w:szCs w:val="20"/>
    </w:rPr>
  </w:style>
  <w:style w:type="paragraph" w:styleId="BalloonText">
    <w:name w:val="Balloon Text"/>
    <w:basedOn w:val="Normal"/>
    <w:link w:val="BalloonTextChar"/>
    <w:uiPriority w:val="99"/>
    <w:semiHidden/>
    <w:unhideWhenUsed/>
    <w:rsid w:val="00A52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BBF"/>
    <w:rPr>
      <w:rFonts w:ascii="Segoe UI" w:hAnsi="Segoe UI" w:cs="Segoe UI"/>
      <w:sz w:val="18"/>
      <w:szCs w:val="18"/>
    </w:rPr>
  </w:style>
  <w:style w:type="paragraph" w:styleId="Header">
    <w:name w:val="header"/>
    <w:basedOn w:val="Normal"/>
    <w:link w:val="HeaderChar"/>
    <w:uiPriority w:val="99"/>
    <w:unhideWhenUsed/>
    <w:rsid w:val="00C9288A"/>
    <w:pPr>
      <w:tabs>
        <w:tab w:val="center" w:pos="4986"/>
        <w:tab w:val="right" w:pos="9973"/>
      </w:tabs>
    </w:pPr>
  </w:style>
  <w:style w:type="character" w:customStyle="1" w:styleId="HeaderChar">
    <w:name w:val="Header Char"/>
    <w:basedOn w:val="DefaultParagraphFont"/>
    <w:link w:val="Header"/>
    <w:uiPriority w:val="99"/>
    <w:rsid w:val="00C9288A"/>
  </w:style>
  <w:style w:type="character" w:styleId="PlaceholderText">
    <w:name w:val="Placeholder Text"/>
    <w:basedOn w:val="DefaultParagraphFont"/>
    <w:uiPriority w:val="99"/>
    <w:semiHidden/>
    <w:rsid w:val="00C9288A"/>
    <w:rPr>
      <w:color w:val="666666"/>
    </w:rPr>
  </w:style>
  <w:style w:type="character" w:styleId="UnresolvedMention">
    <w:name w:val="Unresolved Mention"/>
    <w:basedOn w:val="DefaultParagraphFont"/>
    <w:uiPriority w:val="99"/>
    <w:semiHidden/>
    <w:unhideWhenUsed/>
    <w:rsid w:val="00B83054"/>
    <w:rPr>
      <w:color w:val="605E5C"/>
      <w:shd w:val="clear" w:color="auto" w:fill="E1DFDD"/>
    </w:rPr>
  </w:style>
  <w:style w:type="paragraph" w:styleId="Footer">
    <w:name w:val="footer"/>
    <w:basedOn w:val="Normal"/>
    <w:link w:val="FooterChar"/>
    <w:uiPriority w:val="99"/>
    <w:unhideWhenUsed/>
    <w:rsid w:val="00F11D24"/>
    <w:pPr>
      <w:tabs>
        <w:tab w:val="center" w:pos="4986"/>
        <w:tab w:val="right" w:pos="9973"/>
      </w:tabs>
    </w:pPr>
  </w:style>
  <w:style w:type="character" w:customStyle="1" w:styleId="FooterChar">
    <w:name w:val="Footer Char"/>
    <w:basedOn w:val="DefaultParagraphFont"/>
    <w:link w:val="Footer"/>
    <w:uiPriority w:val="99"/>
    <w:rsid w:val="00F11D24"/>
  </w:style>
  <w:style w:type="character" w:styleId="LineNumber">
    <w:name w:val="line number"/>
    <w:basedOn w:val="DefaultParagraphFont"/>
    <w:uiPriority w:val="99"/>
    <w:semiHidden/>
    <w:unhideWhenUsed/>
    <w:rsid w:val="00E6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2541">
      <w:bodyDiv w:val="1"/>
      <w:marLeft w:val="0"/>
      <w:marRight w:val="0"/>
      <w:marTop w:val="0"/>
      <w:marBottom w:val="0"/>
      <w:divBdr>
        <w:top w:val="none" w:sz="0" w:space="0" w:color="auto"/>
        <w:left w:val="none" w:sz="0" w:space="0" w:color="auto"/>
        <w:bottom w:val="none" w:sz="0" w:space="0" w:color="auto"/>
        <w:right w:val="none" w:sz="0" w:space="0" w:color="auto"/>
      </w:divBdr>
    </w:div>
    <w:div w:id="2127844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tianaiakovetssutek@gmail.com" TargetMode="External"/><Relationship Id="rId13" Type="http://schemas.openxmlformats.org/officeDocument/2006/relationships/hyperlink" Target="https://doi.org/10.3390/su12114671" TargetMode="External"/><Relationship Id="rId18" Type="http://schemas.openxmlformats.org/officeDocument/2006/relationships/hyperlink" Target="https://doi.org/10.30525/2256-0742/2024-10-2-265-281"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statistica.gov.md/en" TargetMode="External"/><Relationship Id="rId17" Type="http://schemas.openxmlformats.org/officeDocument/2006/relationships/hyperlink" Target="http://www.ukrstat.gov.ua" TargetMode="External"/><Relationship Id="rId2" Type="http://schemas.openxmlformats.org/officeDocument/2006/relationships/numbering" Target="numbering.xml"/><Relationship Id="rId16" Type="http://schemas.openxmlformats.org/officeDocument/2006/relationships/hyperlink" Target="https://doi.org/10.3390/su1311597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gov.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su17010104" TargetMode="External"/><Relationship Id="rId23" Type="http://schemas.openxmlformats.org/officeDocument/2006/relationships/fontTable" Target="fontTable.xml"/><Relationship Id="rId10" Type="http://schemas.openxmlformats.org/officeDocument/2006/relationships/hyperlink" Target="https://doi.org/10.18778/1508-2008.25.29" TargetMode="External"/><Relationship Id="rId19" Type="http://schemas.openxmlformats.org/officeDocument/2006/relationships/hyperlink" Target="https://www.worldbank.org/en/research/commodity-markets" TargetMode="External"/><Relationship Id="rId4" Type="http://schemas.openxmlformats.org/officeDocument/2006/relationships/settings" Target="settings.xml"/><Relationship Id="rId9" Type="http://schemas.openxmlformats.org/officeDocument/2006/relationships/hyperlink" Target="https://doi.org/10.30525/2661-5150/2025-1-2" TargetMode="External"/><Relationship Id="rId14" Type="http://schemas.openxmlformats.org/officeDocument/2006/relationships/hyperlink" Target="https://doi.org/10.3390/su13074065"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0D5B-7C7D-4B6A-BD19-415F67FD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7934</Words>
  <Characters>45227</Characters>
  <Application>Microsoft Office Word</Application>
  <DocSecurity>0</DocSecurity>
  <Lines>376</Lines>
  <Paragraphs>106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Oleksandr NEMCHENKO</cp:lastModifiedBy>
  <cp:revision>3</cp:revision>
  <dcterms:created xsi:type="dcterms:W3CDTF">2026-06-25T15:58:00Z</dcterms:created>
  <dcterms:modified xsi:type="dcterms:W3CDTF">2026-06-25T16:00:00Z</dcterms:modified>
</cp:coreProperties>
</file>