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ECD5F" w14:textId="2A028ECA" w:rsidR="004B461B" w:rsidRPr="00B845F9" w:rsidRDefault="00AA3231" w:rsidP="00BB2249">
      <w:pPr>
        <w:pStyle w:val="MDPI13authornames"/>
        <w:spacing w:after="0" w:line="360" w:lineRule="auto"/>
        <w:jc w:val="center"/>
        <w:rPr>
          <w:rFonts w:ascii="Times New Roman" w:hAnsi="Times New Roman"/>
          <w:snapToGrid w:val="0"/>
          <w:color w:val="auto"/>
          <w:sz w:val="24"/>
          <w:szCs w:val="24"/>
        </w:rPr>
      </w:pPr>
      <w:r w:rsidRPr="00AA3231">
        <w:rPr>
          <w:rFonts w:ascii="Times New Roman" w:hAnsi="Times New Roman"/>
          <w:color w:val="auto"/>
          <w:sz w:val="24"/>
          <w:szCs w:val="24"/>
        </w:rPr>
        <w:t>APPLICATION OF EPIPHYTIC YEASTS FOR BIOCONTROL OF POST-HARVEST DISEASES IN GRAPES</w:t>
      </w:r>
    </w:p>
    <w:p w14:paraId="2639A4EA" w14:textId="77777777" w:rsidR="00BB2249" w:rsidRDefault="00BB2249" w:rsidP="00BB2249">
      <w:pPr>
        <w:pStyle w:val="MDPI13authornames"/>
        <w:spacing w:after="0" w:line="360" w:lineRule="auto"/>
        <w:jc w:val="both"/>
        <w:rPr>
          <w:rFonts w:ascii="Times New Roman" w:hAnsi="Times New Roman"/>
          <w:bCs/>
          <w:sz w:val="24"/>
          <w:szCs w:val="24"/>
        </w:rPr>
      </w:pPr>
    </w:p>
    <w:p w14:paraId="0C786706" w14:textId="0578F97B" w:rsidR="00BB2249" w:rsidRPr="003142CA" w:rsidRDefault="00033B75" w:rsidP="00B5071B">
      <w:pPr>
        <w:pStyle w:val="MDPI13authornames"/>
        <w:spacing w:after="0" w:line="360" w:lineRule="auto"/>
        <w:jc w:val="center"/>
        <w:rPr>
          <w:rFonts w:ascii="Times New Roman" w:hAnsi="Times New Roman"/>
          <w:sz w:val="24"/>
          <w:szCs w:val="24"/>
          <w:vertAlign w:val="superscript"/>
        </w:rPr>
      </w:pPr>
      <w:r w:rsidRPr="00125A2F">
        <w:rPr>
          <w:rFonts w:ascii="Times New Roman" w:hAnsi="Times New Roman"/>
          <w:bCs/>
          <w:color w:val="auto"/>
          <w:sz w:val="24"/>
          <w:szCs w:val="24"/>
          <w:lang w:val="kk-KZ"/>
        </w:rPr>
        <w:t>Serik Shaikhin</w:t>
      </w:r>
      <w:r w:rsidRPr="00125A2F">
        <w:rPr>
          <w:rFonts w:ascii="Times New Roman" w:hAnsi="Times New Roman"/>
          <w:bCs/>
          <w:color w:val="auto"/>
          <w:sz w:val="24"/>
          <w:szCs w:val="24"/>
          <w:vertAlign w:val="superscript"/>
          <w:lang w:val="kk-KZ"/>
        </w:rPr>
        <w:t xml:space="preserve">1 </w:t>
      </w:r>
      <w:r w:rsidRPr="00125A2F">
        <w:rPr>
          <w:rFonts w:ascii="Times New Roman" w:hAnsi="Times New Roman"/>
          <w:bCs/>
          <w:color w:val="auto"/>
          <w:sz w:val="24"/>
          <w:szCs w:val="24"/>
          <w:lang w:val="kk-KZ"/>
        </w:rPr>
        <w:t xml:space="preserve">, </w:t>
      </w:r>
      <w:r w:rsidRPr="00125A2F">
        <w:rPr>
          <w:rFonts w:ascii="Times New Roman" w:hAnsi="Times New Roman"/>
          <w:color w:val="auto"/>
          <w:sz w:val="24"/>
          <w:szCs w:val="24"/>
          <w:lang w:val="kk-KZ"/>
        </w:rPr>
        <w:t>Akbota Satenova</w:t>
      </w:r>
      <w:r w:rsidRPr="00125A2F">
        <w:rPr>
          <w:rFonts w:ascii="Times New Roman" w:hAnsi="Times New Roman"/>
          <w:color w:val="auto"/>
          <w:sz w:val="24"/>
          <w:szCs w:val="24"/>
          <w:vertAlign w:val="superscript"/>
          <w:lang w:val="kk-KZ"/>
        </w:rPr>
        <w:t>1,2</w:t>
      </w:r>
      <w:r w:rsidRPr="00125A2F">
        <w:rPr>
          <w:rFonts w:ascii="Times New Roman" w:hAnsi="Times New Roman"/>
          <w:color w:val="auto"/>
          <w:sz w:val="24"/>
          <w:szCs w:val="24"/>
          <w:lang w:val="kk-KZ"/>
        </w:rPr>
        <w:t xml:space="preserve">*, </w:t>
      </w:r>
      <w:r w:rsidRPr="00125A2F">
        <w:rPr>
          <w:rFonts w:ascii="Times New Roman" w:hAnsi="Times New Roman"/>
          <w:bCs/>
          <w:color w:val="auto"/>
          <w:sz w:val="24"/>
          <w:szCs w:val="24"/>
          <w:lang w:val="kk-KZ"/>
        </w:rPr>
        <w:t xml:space="preserve">Maira </w:t>
      </w:r>
      <w:r w:rsidRPr="00C01121">
        <w:rPr>
          <w:rFonts w:ascii="Times New Roman" w:hAnsi="Times New Roman"/>
          <w:bCs/>
          <w:color w:val="auto"/>
          <w:sz w:val="24"/>
          <w:szCs w:val="24"/>
          <w:lang w:val="kk-KZ"/>
        </w:rPr>
        <w:t>Urazova</w:t>
      </w:r>
      <w:r w:rsidRPr="00C01121">
        <w:rPr>
          <w:rFonts w:ascii="Times New Roman" w:hAnsi="Times New Roman"/>
          <w:bCs/>
          <w:color w:val="auto"/>
          <w:sz w:val="24"/>
          <w:szCs w:val="24"/>
          <w:vertAlign w:val="superscript"/>
          <w:lang w:val="kk-KZ"/>
        </w:rPr>
        <w:t>1</w:t>
      </w:r>
      <w:r w:rsidRPr="00C01121">
        <w:rPr>
          <w:rFonts w:ascii="Times New Roman" w:hAnsi="Times New Roman"/>
          <w:color w:val="auto"/>
          <w:sz w:val="24"/>
          <w:szCs w:val="24"/>
          <w:lang w:val="kk-KZ"/>
        </w:rPr>
        <w:t>*</w:t>
      </w:r>
      <w:r w:rsidRPr="00C01121">
        <w:rPr>
          <w:rFonts w:ascii="Times New Roman" w:hAnsi="Times New Roman"/>
          <w:bCs/>
          <w:color w:val="auto"/>
          <w:sz w:val="24"/>
          <w:szCs w:val="24"/>
          <w:lang w:val="kk-KZ"/>
        </w:rPr>
        <w:t>, Altynay</w:t>
      </w:r>
      <w:r w:rsidRPr="00C01121">
        <w:rPr>
          <w:rFonts w:ascii="Times New Roman" w:hAnsi="Times New Roman"/>
          <w:color w:val="auto"/>
          <w:sz w:val="24"/>
          <w:szCs w:val="24"/>
          <w:lang w:val="kk-KZ"/>
        </w:rPr>
        <w:t xml:space="preserve"> Tuyakova</w:t>
      </w:r>
      <w:r w:rsidRPr="00C01121">
        <w:rPr>
          <w:rFonts w:ascii="Times New Roman" w:hAnsi="Times New Roman"/>
          <w:color w:val="auto"/>
          <w:sz w:val="24"/>
          <w:szCs w:val="24"/>
          <w:vertAlign w:val="superscript"/>
          <w:lang w:val="kk-KZ"/>
        </w:rPr>
        <w:t>1</w:t>
      </w:r>
      <w:r w:rsidRPr="00C01121">
        <w:rPr>
          <w:rFonts w:ascii="Times New Roman" w:hAnsi="Times New Roman"/>
          <w:color w:val="auto"/>
          <w:sz w:val="24"/>
          <w:szCs w:val="24"/>
          <w:lang w:val="kk-KZ"/>
        </w:rPr>
        <w:t>, Аrman Аbilkhadirov</w:t>
      </w:r>
      <w:r w:rsidRPr="00C01121">
        <w:rPr>
          <w:rFonts w:ascii="Times New Roman" w:hAnsi="Times New Roman"/>
          <w:color w:val="auto"/>
          <w:sz w:val="24"/>
          <w:szCs w:val="24"/>
          <w:vertAlign w:val="superscript"/>
          <w:lang w:val="kk-KZ"/>
        </w:rPr>
        <w:t>1</w:t>
      </w:r>
      <w:r w:rsidRPr="00C01121">
        <w:rPr>
          <w:rFonts w:ascii="Times New Roman" w:hAnsi="Times New Roman"/>
          <w:color w:val="auto"/>
          <w:sz w:val="24"/>
          <w:szCs w:val="24"/>
          <w:lang w:val="kk-KZ"/>
        </w:rPr>
        <w:t xml:space="preserve"> </w:t>
      </w:r>
      <w:r w:rsidRPr="00C01121">
        <w:rPr>
          <w:rFonts w:ascii="Times New Roman" w:hAnsi="Times New Roman"/>
          <w:color w:val="auto"/>
          <w:sz w:val="24"/>
          <w:szCs w:val="24"/>
        </w:rPr>
        <w:t xml:space="preserve">and </w:t>
      </w:r>
      <w:r w:rsidRPr="00C01121">
        <w:rPr>
          <w:rFonts w:ascii="Times New Roman" w:hAnsi="Times New Roman"/>
          <w:color w:val="auto"/>
          <w:sz w:val="24"/>
          <w:szCs w:val="24"/>
          <w:lang w:val="kk-KZ"/>
        </w:rPr>
        <w:t>Zinigul Sarmurzina</w:t>
      </w:r>
      <w:r w:rsidRPr="00C01121">
        <w:rPr>
          <w:rFonts w:ascii="Times New Roman" w:hAnsi="Times New Roman"/>
          <w:color w:val="auto"/>
          <w:sz w:val="24"/>
          <w:szCs w:val="24"/>
          <w:vertAlign w:val="superscript"/>
          <w:lang w:val="kk-KZ"/>
        </w:rPr>
        <w:t>1</w:t>
      </w:r>
    </w:p>
    <w:p w14:paraId="021505A2" w14:textId="77777777" w:rsidR="00BB2249" w:rsidRPr="00BB2249" w:rsidRDefault="00BB2249" w:rsidP="00BB2249">
      <w:pPr>
        <w:spacing w:line="360" w:lineRule="auto"/>
        <w:rPr>
          <w:szCs w:val="24"/>
          <w:lang w:eastAsia="de-DE" w:bidi="en-US"/>
        </w:rPr>
      </w:pPr>
    </w:p>
    <w:p w14:paraId="63DE482A" w14:textId="39889B4B" w:rsidR="003142CA" w:rsidRDefault="003142CA" w:rsidP="00033B75">
      <w:pPr>
        <w:pStyle w:val="MDPI16affiliation"/>
        <w:spacing w:line="360" w:lineRule="auto"/>
        <w:ind w:left="0" w:firstLine="0"/>
        <w:jc w:val="center"/>
        <w:rPr>
          <w:rFonts w:ascii="Times New Roman" w:hAnsi="Times New Roman"/>
          <w:sz w:val="24"/>
          <w:szCs w:val="24"/>
        </w:rPr>
      </w:pPr>
      <w:r>
        <w:rPr>
          <w:rFonts w:ascii="Times New Roman" w:hAnsi="Times New Roman"/>
          <w:bCs/>
          <w:iCs/>
          <w:sz w:val="24"/>
          <w:szCs w:val="24"/>
          <w:vertAlign w:val="superscript"/>
          <w:lang w:val="kk-KZ" w:eastAsia="ru-RU"/>
        </w:rPr>
        <w:t>1</w:t>
      </w:r>
      <w:r w:rsidR="00033B75" w:rsidRPr="00033B75">
        <w:rPr>
          <w:rFonts w:ascii="Times New Roman" w:hAnsi="Times New Roman"/>
          <w:bCs/>
          <w:iCs/>
          <w:sz w:val="24"/>
          <w:szCs w:val="24"/>
          <w:lang w:val="kk-KZ" w:eastAsia="ru-RU"/>
        </w:rPr>
        <w:t>Laboratory of Genetics and Biochemistry of Microorganisms in the Republic Collection of Microorganisms of the Ministry of Healthcare of the Republic of Kazakhstan, Astana</w:t>
      </w:r>
      <w:r w:rsidR="00986758" w:rsidRPr="00986758">
        <w:rPr>
          <w:rFonts w:ascii="Times New Roman" w:hAnsi="Times New Roman"/>
          <w:sz w:val="24"/>
          <w:szCs w:val="24"/>
        </w:rPr>
        <w:t xml:space="preserve">, </w:t>
      </w:r>
      <w:r w:rsidR="00033B75" w:rsidRPr="00033B75">
        <w:rPr>
          <w:rFonts w:ascii="Times New Roman" w:hAnsi="Times New Roman"/>
          <w:bCs/>
          <w:iCs/>
          <w:sz w:val="24"/>
          <w:szCs w:val="24"/>
          <w:lang w:val="kk-KZ" w:eastAsia="ru-RU"/>
        </w:rPr>
        <w:t xml:space="preserve">Republic of </w:t>
      </w:r>
      <w:r w:rsidR="00986758" w:rsidRPr="00986758">
        <w:rPr>
          <w:rFonts w:ascii="Times New Roman" w:hAnsi="Times New Roman"/>
          <w:sz w:val="24"/>
          <w:szCs w:val="24"/>
        </w:rPr>
        <w:t>Kazakhstan</w:t>
      </w:r>
    </w:p>
    <w:p w14:paraId="7FF823B6" w14:textId="019084E5" w:rsidR="00986758" w:rsidRDefault="00033B75" w:rsidP="00986758">
      <w:pPr>
        <w:pStyle w:val="MDPI16affiliation"/>
        <w:spacing w:line="360" w:lineRule="auto"/>
        <w:ind w:left="0" w:firstLine="0"/>
        <w:jc w:val="center"/>
        <w:rPr>
          <w:rFonts w:ascii="Times New Roman" w:hAnsi="Times New Roman"/>
          <w:color w:val="auto"/>
          <w:sz w:val="24"/>
          <w:szCs w:val="24"/>
        </w:rPr>
      </w:pPr>
      <w:r>
        <w:rPr>
          <w:rFonts w:ascii="Times New Roman" w:hAnsi="Times New Roman"/>
          <w:color w:val="auto"/>
          <w:sz w:val="24"/>
          <w:szCs w:val="24"/>
          <w:vertAlign w:val="superscript"/>
        </w:rPr>
        <w:t>2</w:t>
      </w:r>
      <w:r w:rsidRPr="00033B75">
        <w:rPr>
          <w:rFonts w:ascii="Times New Roman" w:hAnsi="Times New Roman"/>
          <w:iCs/>
          <w:color w:val="auto"/>
          <w:sz w:val="24"/>
          <w:szCs w:val="24"/>
          <w:shd w:val="clear" w:color="auto" w:fill="FFFFFF"/>
        </w:rPr>
        <w:t xml:space="preserve">Department of General Biology and Genomics, L.N. </w:t>
      </w:r>
      <w:proofErr w:type="spellStart"/>
      <w:r w:rsidRPr="00033B75">
        <w:rPr>
          <w:rFonts w:ascii="Times New Roman" w:hAnsi="Times New Roman"/>
          <w:iCs/>
          <w:color w:val="auto"/>
          <w:sz w:val="24"/>
          <w:szCs w:val="24"/>
          <w:shd w:val="clear" w:color="auto" w:fill="FFFFFF"/>
        </w:rPr>
        <w:t>Gumilyov</w:t>
      </w:r>
      <w:proofErr w:type="spellEnd"/>
      <w:r w:rsidRPr="00033B75">
        <w:rPr>
          <w:rFonts w:ascii="Times New Roman" w:hAnsi="Times New Roman"/>
          <w:iCs/>
          <w:color w:val="auto"/>
          <w:sz w:val="24"/>
          <w:szCs w:val="24"/>
          <w:shd w:val="clear" w:color="auto" w:fill="FFFFFF"/>
        </w:rPr>
        <w:t xml:space="preserve"> Eurasian National University, Astana</w:t>
      </w:r>
      <w:r w:rsidR="00986758">
        <w:rPr>
          <w:rFonts w:ascii="Times New Roman" w:hAnsi="Times New Roman"/>
          <w:iCs/>
          <w:color w:val="auto"/>
          <w:sz w:val="24"/>
          <w:szCs w:val="24"/>
          <w:shd w:val="clear" w:color="auto" w:fill="FFFFFF"/>
        </w:rPr>
        <w:t xml:space="preserve">, </w:t>
      </w:r>
      <w:r w:rsidRPr="00033B75">
        <w:rPr>
          <w:rFonts w:ascii="Times New Roman" w:hAnsi="Times New Roman"/>
          <w:bCs/>
          <w:iCs/>
          <w:sz w:val="24"/>
          <w:szCs w:val="24"/>
          <w:lang w:val="kk-KZ" w:eastAsia="ru-RU"/>
        </w:rPr>
        <w:t xml:space="preserve">Republic of </w:t>
      </w:r>
      <w:r w:rsidR="00986758">
        <w:rPr>
          <w:rFonts w:ascii="Times New Roman" w:hAnsi="Times New Roman"/>
          <w:iCs/>
          <w:color w:val="auto"/>
          <w:sz w:val="24"/>
          <w:szCs w:val="24"/>
          <w:shd w:val="clear" w:color="auto" w:fill="FFFFFF"/>
        </w:rPr>
        <w:t>Kazakhstan</w:t>
      </w:r>
    </w:p>
    <w:p w14:paraId="57B09D5C" w14:textId="779C6788" w:rsidR="00BB2249" w:rsidRPr="003142CA" w:rsidRDefault="00BB2249" w:rsidP="00BB2249">
      <w:pPr>
        <w:pStyle w:val="MDPI16affiliation"/>
        <w:spacing w:line="360" w:lineRule="auto"/>
        <w:ind w:left="0" w:firstLine="0"/>
        <w:jc w:val="center"/>
        <w:rPr>
          <w:rFonts w:ascii="Times New Roman" w:hAnsi="Times New Roman"/>
          <w:color w:val="auto"/>
          <w:sz w:val="24"/>
          <w:szCs w:val="24"/>
        </w:rPr>
      </w:pPr>
      <w:r w:rsidRPr="003142CA">
        <w:rPr>
          <w:rFonts w:ascii="Times New Roman" w:hAnsi="Times New Roman"/>
          <w:i/>
          <w:color w:val="auto"/>
          <w:sz w:val="24"/>
          <w:szCs w:val="24"/>
        </w:rPr>
        <w:t>*Corresponding author:</w:t>
      </w:r>
      <w:r w:rsidR="003142CA" w:rsidRPr="003142CA">
        <w:rPr>
          <w:rFonts w:ascii="Times New Roman" w:hAnsi="Times New Roman"/>
          <w:i/>
          <w:color w:val="auto"/>
          <w:sz w:val="24"/>
          <w:szCs w:val="24"/>
        </w:rPr>
        <w:t xml:space="preserve"> </w:t>
      </w:r>
      <w:proofErr w:type="spellStart"/>
      <w:r w:rsidR="00E63C63" w:rsidRPr="00E63C63">
        <w:rPr>
          <w:rFonts w:ascii="Times New Roman" w:hAnsi="Times New Roman"/>
          <w:i/>
          <w:color w:val="auto"/>
          <w:sz w:val="24"/>
          <w:szCs w:val="24"/>
        </w:rPr>
        <w:t>asatenova@mymail.academy</w:t>
      </w:r>
      <w:proofErr w:type="spellEnd"/>
    </w:p>
    <w:p w14:paraId="2D91BC99" w14:textId="77777777" w:rsidR="00BB2249" w:rsidRPr="00287377" w:rsidRDefault="00BB2249" w:rsidP="00BB2249">
      <w:pPr>
        <w:pStyle w:val="MDPI16affiliation"/>
        <w:spacing w:line="360" w:lineRule="auto"/>
        <w:ind w:left="0" w:firstLine="0"/>
        <w:jc w:val="both"/>
        <w:rPr>
          <w:rFonts w:ascii="Times New Roman" w:hAnsi="Times New Roman"/>
          <w:color w:val="FF0000"/>
          <w:sz w:val="24"/>
          <w:szCs w:val="24"/>
        </w:rPr>
      </w:pPr>
    </w:p>
    <w:p w14:paraId="4AFCFBD1" w14:textId="77777777" w:rsidR="00BB2249" w:rsidRPr="00287377" w:rsidRDefault="00BB2249" w:rsidP="00BB2249">
      <w:pPr>
        <w:pStyle w:val="MDPI17abstract"/>
        <w:spacing w:before="0" w:line="360" w:lineRule="auto"/>
        <w:ind w:left="0"/>
        <w:jc w:val="center"/>
        <w:rPr>
          <w:rFonts w:ascii="Times New Roman" w:hAnsi="Times New Roman"/>
          <w:b/>
          <w:sz w:val="24"/>
          <w:szCs w:val="24"/>
        </w:rPr>
      </w:pPr>
      <w:r w:rsidRPr="006F7FDA">
        <w:rPr>
          <w:rFonts w:ascii="Times New Roman" w:hAnsi="Times New Roman"/>
          <w:b/>
          <w:sz w:val="24"/>
          <w:szCs w:val="24"/>
        </w:rPr>
        <w:t>ABSTRACT</w:t>
      </w:r>
    </w:p>
    <w:p w14:paraId="665570A4" w14:textId="05F9ADDD" w:rsidR="00BB2249" w:rsidRPr="00C85712" w:rsidRDefault="00297A99" w:rsidP="00024210">
      <w:pPr>
        <w:pStyle w:val="MDPI31text"/>
        <w:spacing w:line="360" w:lineRule="auto"/>
        <w:ind w:left="0" w:firstLine="0"/>
        <w:rPr>
          <w:rFonts w:ascii="Times New Roman" w:hAnsi="Times New Roman"/>
          <w:color w:val="auto"/>
          <w:sz w:val="24"/>
        </w:rPr>
      </w:pPr>
      <w:r w:rsidRPr="00297A99">
        <w:rPr>
          <w:rFonts w:asciiTheme="majorBidi" w:hAnsiTheme="majorBidi" w:cstheme="majorBidi"/>
          <w:sz w:val="24"/>
          <w:szCs w:val="24"/>
        </w:rPr>
        <w:t>Fungal pathogens can reduce fruit and vegetable yields by more than one-third. Sus-</w:t>
      </w:r>
      <w:proofErr w:type="spellStart"/>
      <w:r w:rsidRPr="00297A99">
        <w:rPr>
          <w:rFonts w:asciiTheme="majorBidi" w:hAnsiTheme="majorBidi" w:cstheme="majorBidi"/>
          <w:sz w:val="24"/>
          <w:szCs w:val="24"/>
        </w:rPr>
        <w:t>tainable</w:t>
      </w:r>
      <w:proofErr w:type="spellEnd"/>
      <w:r w:rsidRPr="00297A99">
        <w:rPr>
          <w:rFonts w:asciiTheme="majorBidi" w:hAnsiTheme="majorBidi" w:cstheme="majorBidi"/>
          <w:sz w:val="24"/>
          <w:szCs w:val="24"/>
        </w:rPr>
        <w:t xml:space="preserve"> control methods, particularly biological control agents (BCAs), have advanced to address this problem. This study aimed to isolate epiphytic yeast strains from the local grape variety Aisulu that exhibit biological control properties against postharvest grape diseases. A two-stage screening process was used. First, in vitro tests assessed the antagonistic and bio-film-forming activities of 34 yeast isolates, of which 23 were discarded for weak activity. In the second stage, 11 selected yeast isolates were tested as BCAs against three of the most damaging fungal pathogens to crops in model postharvest systems, specifically W and B, which involved microenvironments of artificially wounded grape berries and unwounded grape bunches. Two promising antagonists, </w:t>
      </w:r>
      <w:proofErr w:type="spellStart"/>
      <w:r w:rsidRPr="00297A99">
        <w:rPr>
          <w:rFonts w:asciiTheme="majorBidi" w:hAnsiTheme="majorBidi" w:cstheme="majorBidi"/>
          <w:sz w:val="24"/>
          <w:szCs w:val="24"/>
        </w:rPr>
        <w:t>Metschnikowia</w:t>
      </w:r>
      <w:proofErr w:type="spellEnd"/>
      <w:r w:rsidRPr="00297A99">
        <w:rPr>
          <w:rFonts w:asciiTheme="majorBidi" w:hAnsiTheme="majorBidi" w:cstheme="majorBidi"/>
          <w:sz w:val="24"/>
          <w:szCs w:val="24"/>
        </w:rPr>
        <w:t xml:space="preserve"> pulcherrima A2 and Han-</w:t>
      </w:r>
      <w:proofErr w:type="spellStart"/>
      <w:r w:rsidRPr="00297A99">
        <w:rPr>
          <w:rFonts w:asciiTheme="majorBidi" w:hAnsiTheme="majorBidi" w:cstheme="majorBidi"/>
          <w:sz w:val="24"/>
          <w:szCs w:val="24"/>
        </w:rPr>
        <w:t>seniaspora</w:t>
      </w:r>
      <w:proofErr w:type="spellEnd"/>
      <w:r w:rsidRPr="00297A99">
        <w:rPr>
          <w:rFonts w:asciiTheme="majorBidi" w:hAnsiTheme="majorBidi" w:cstheme="majorBidi"/>
          <w:sz w:val="24"/>
          <w:szCs w:val="24"/>
        </w:rPr>
        <w:t xml:space="preserve"> </w:t>
      </w:r>
      <w:proofErr w:type="spellStart"/>
      <w:r w:rsidRPr="00297A99">
        <w:rPr>
          <w:rFonts w:asciiTheme="majorBidi" w:hAnsiTheme="majorBidi" w:cstheme="majorBidi"/>
          <w:sz w:val="24"/>
          <w:szCs w:val="24"/>
        </w:rPr>
        <w:t>uvarum</w:t>
      </w:r>
      <w:proofErr w:type="spellEnd"/>
      <w:r w:rsidRPr="00297A99">
        <w:rPr>
          <w:rFonts w:asciiTheme="majorBidi" w:hAnsiTheme="majorBidi" w:cstheme="majorBidi"/>
          <w:sz w:val="24"/>
          <w:szCs w:val="24"/>
        </w:rPr>
        <w:t xml:space="preserve"> HU15, were identified as effective BCAs against the tested pathogens, demonstrating performance comparable to or better than previous results in the W and B systems. Future research should focus on understanding how these BCAs colonize and sur-</w:t>
      </w:r>
      <w:proofErr w:type="spellStart"/>
      <w:r w:rsidRPr="00297A99">
        <w:rPr>
          <w:rFonts w:asciiTheme="majorBidi" w:hAnsiTheme="majorBidi" w:cstheme="majorBidi"/>
          <w:sz w:val="24"/>
          <w:szCs w:val="24"/>
        </w:rPr>
        <w:t>vive</w:t>
      </w:r>
      <w:proofErr w:type="spellEnd"/>
      <w:r w:rsidRPr="00297A99">
        <w:rPr>
          <w:rFonts w:asciiTheme="majorBidi" w:hAnsiTheme="majorBidi" w:cstheme="majorBidi"/>
          <w:sz w:val="24"/>
          <w:szCs w:val="24"/>
        </w:rPr>
        <w:t xml:space="preserve"> in postharvest conditions, as well as on enhancing their effectiveness through potential combinations with phytohormones, yeast mixes, or genetic modifications</w:t>
      </w:r>
      <w:r w:rsidR="00BB2249" w:rsidRPr="00C85712">
        <w:rPr>
          <w:rFonts w:ascii="Times New Roman" w:hAnsi="Times New Roman"/>
          <w:color w:val="auto"/>
          <w:sz w:val="24"/>
        </w:rPr>
        <w:t>.</w:t>
      </w:r>
    </w:p>
    <w:p w14:paraId="76CF3D1C" w14:textId="77777777" w:rsidR="00BB2249" w:rsidRPr="00C85712" w:rsidRDefault="00BB2249" w:rsidP="00024210">
      <w:pPr>
        <w:pStyle w:val="MDPI31text"/>
        <w:spacing w:line="360" w:lineRule="auto"/>
        <w:ind w:left="0" w:firstLine="0"/>
        <w:rPr>
          <w:rFonts w:ascii="Times New Roman" w:hAnsi="Times New Roman"/>
          <w:sz w:val="24"/>
        </w:rPr>
      </w:pPr>
    </w:p>
    <w:p w14:paraId="07684CD8" w14:textId="09218CBE" w:rsidR="00BB2249" w:rsidRDefault="00BB2249" w:rsidP="00AE5B70">
      <w:pPr>
        <w:pStyle w:val="MDPI31text"/>
        <w:spacing w:line="360" w:lineRule="auto"/>
        <w:ind w:left="0" w:firstLine="0"/>
        <w:rPr>
          <w:rFonts w:ascii="Times New Roman" w:hAnsi="Times New Roman"/>
          <w:sz w:val="24"/>
          <w:szCs w:val="24"/>
          <w:lang w:eastAsia="ar-SA"/>
        </w:rPr>
      </w:pPr>
      <w:r w:rsidRPr="006F7FDA">
        <w:rPr>
          <w:rFonts w:ascii="Times New Roman" w:hAnsi="Times New Roman"/>
          <w:b/>
          <w:sz w:val="24"/>
          <w:szCs w:val="24"/>
        </w:rPr>
        <w:t>Keywords:</w:t>
      </w:r>
      <w:r>
        <w:rPr>
          <w:rFonts w:ascii="Times New Roman" w:hAnsi="Times New Roman"/>
          <w:b/>
          <w:sz w:val="24"/>
          <w:szCs w:val="24"/>
        </w:rPr>
        <w:t xml:space="preserve"> </w:t>
      </w:r>
      <w:r w:rsidR="00297A99" w:rsidRPr="00297A99">
        <w:rPr>
          <w:rFonts w:ascii="Times New Roman" w:hAnsi="Times New Roman"/>
          <w:sz w:val="24"/>
          <w:szCs w:val="24"/>
          <w:lang w:eastAsia="ar-SA"/>
        </w:rPr>
        <w:t xml:space="preserve">Local epiphytic yeast, Biocontrol agent, </w:t>
      </w:r>
      <w:r w:rsidR="00297A99" w:rsidRPr="00297A99">
        <w:rPr>
          <w:rFonts w:ascii="Times New Roman" w:hAnsi="Times New Roman"/>
          <w:i/>
          <w:sz w:val="24"/>
          <w:szCs w:val="24"/>
          <w:lang w:eastAsia="ar-SA"/>
        </w:rPr>
        <w:t>In vitro</w:t>
      </w:r>
      <w:r w:rsidR="00297A99" w:rsidRPr="00297A99">
        <w:rPr>
          <w:rFonts w:ascii="Times New Roman" w:hAnsi="Times New Roman"/>
          <w:sz w:val="24"/>
          <w:szCs w:val="24"/>
          <w:lang w:eastAsia="ar-SA"/>
        </w:rPr>
        <w:t xml:space="preserve">, </w:t>
      </w:r>
      <w:r w:rsidR="00297A99" w:rsidRPr="00297A99">
        <w:rPr>
          <w:rFonts w:ascii="Times New Roman" w:hAnsi="Times New Roman"/>
          <w:i/>
          <w:sz w:val="24"/>
          <w:szCs w:val="24"/>
          <w:lang w:eastAsia="ar-SA"/>
        </w:rPr>
        <w:t>In vivo</w:t>
      </w:r>
      <w:r w:rsidR="00297A99" w:rsidRPr="00297A99">
        <w:rPr>
          <w:rFonts w:ascii="Times New Roman" w:hAnsi="Times New Roman"/>
          <w:sz w:val="24"/>
          <w:szCs w:val="24"/>
          <w:lang w:eastAsia="ar-SA"/>
        </w:rPr>
        <w:t xml:space="preserve"> screening, Wound</w:t>
      </w:r>
      <w:r w:rsidR="00397A3C">
        <w:rPr>
          <w:rFonts w:ascii="Times New Roman" w:hAnsi="Times New Roman"/>
          <w:sz w:val="24"/>
          <w:szCs w:val="24"/>
          <w:lang w:eastAsia="ar-SA"/>
        </w:rPr>
        <w:t>.</w:t>
      </w:r>
    </w:p>
    <w:p w14:paraId="29C3ED42" w14:textId="77777777" w:rsidR="00397A3C" w:rsidRDefault="00397A3C" w:rsidP="00AE5B70">
      <w:pPr>
        <w:pStyle w:val="MDPI31text"/>
        <w:spacing w:line="360" w:lineRule="auto"/>
        <w:ind w:left="0" w:firstLine="0"/>
        <w:rPr>
          <w:rFonts w:ascii="Times New Roman" w:hAnsi="Times New Roman"/>
          <w:sz w:val="24"/>
          <w:szCs w:val="24"/>
        </w:rPr>
      </w:pPr>
    </w:p>
    <w:p w14:paraId="107930D9" w14:textId="3F586E28" w:rsidR="00397A3C" w:rsidRPr="006F7FDA" w:rsidRDefault="00397A3C" w:rsidP="00AE5B70">
      <w:pPr>
        <w:pStyle w:val="MDPI21heading1"/>
        <w:numPr>
          <w:ilvl w:val="0"/>
          <w:numId w:val="30"/>
        </w:numPr>
        <w:tabs>
          <w:tab w:val="left" w:pos="567"/>
        </w:tabs>
        <w:spacing w:before="0" w:after="0" w:line="360" w:lineRule="auto"/>
        <w:ind w:left="0" w:firstLine="0"/>
        <w:rPr>
          <w:rFonts w:ascii="Times New Roman" w:hAnsi="Times New Roman"/>
          <w:sz w:val="24"/>
          <w:szCs w:val="24"/>
          <w:lang w:eastAsia="zh-CN"/>
        </w:rPr>
      </w:pPr>
      <w:r w:rsidRPr="006F7FDA">
        <w:rPr>
          <w:rFonts w:ascii="Times New Roman" w:hAnsi="Times New Roman"/>
          <w:sz w:val="24"/>
          <w:szCs w:val="24"/>
          <w:lang w:eastAsia="zh-CN"/>
        </w:rPr>
        <w:t>INTRODUCTION</w:t>
      </w:r>
    </w:p>
    <w:p w14:paraId="24587316" w14:textId="124F759A" w:rsidR="008C283F" w:rsidRPr="00125A2F" w:rsidRDefault="008C283F" w:rsidP="008C283F">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More than one-third of harvested fruits and vegetables, known for their numerous benefits</w:t>
      </w:r>
      <w:r w:rsidR="006848CF">
        <w:rPr>
          <w:rFonts w:ascii="Times New Roman" w:hAnsi="Times New Roman"/>
          <w:color w:val="auto"/>
          <w:sz w:val="24"/>
          <w:szCs w:val="24"/>
        </w:rPr>
        <w:t xml:space="preserve"> (</w:t>
      </w:r>
      <w:r w:rsidR="006A5613" w:rsidRPr="006A5613">
        <w:rPr>
          <w:rFonts w:ascii="Times New Roman" w:hAnsi="Times New Roman"/>
          <w:color w:val="auto"/>
          <w:sz w:val="24"/>
          <w:szCs w:val="24"/>
        </w:rPr>
        <w:t>Aune</w:t>
      </w:r>
      <w:r w:rsidR="006A5613" w:rsidRPr="006A5613">
        <w:rPr>
          <w:rFonts w:ascii="Times New Roman" w:hAnsi="Times New Roman"/>
          <w:sz w:val="24"/>
          <w:szCs w:val="24"/>
        </w:rPr>
        <w:t xml:space="preserve"> et al. 2017;</w:t>
      </w:r>
      <w:r w:rsidR="006A5613">
        <w:rPr>
          <w:rFonts w:ascii="Times New Roman" w:hAnsi="Times New Roman"/>
          <w:sz w:val="24"/>
        </w:rPr>
        <w:t xml:space="preserve"> </w:t>
      </w:r>
      <w:r w:rsidR="006848CF" w:rsidRPr="006848CF">
        <w:rPr>
          <w:rFonts w:ascii="Times New Roman" w:hAnsi="Times New Roman"/>
          <w:sz w:val="24"/>
        </w:rPr>
        <w:t>Wang et al. 2016</w:t>
      </w:r>
      <w:r w:rsidR="006A5613" w:rsidRPr="006A5613">
        <w:rPr>
          <w:rFonts w:ascii="Times New Roman" w:hAnsi="Times New Roman"/>
          <w:sz w:val="24"/>
          <w:szCs w:val="24"/>
        </w:rPr>
        <w:t xml:space="preserve">; </w:t>
      </w:r>
      <w:proofErr w:type="spellStart"/>
      <w:r w:rsidR="006A5613" w:rsidRPr="006A5613">
        <w:rPr>
          <w:rFonts w:ascii="Times New Roman" w:hAnsi="Times New Roman"/>
          <w:color w:val="auto"/>
          <w:sz w:val="24"/>
          <w:szCs w:val="24"/>
        </w:rPr>
        <w:t>Zakrevskii</w:t>
      </w:r>
      <w:proofErr w:type="spellEnd"/>
      <w:r w:rsidR="006A5613" w:rsidRPr="006A5613">
        <w:rPr>
          <w:rFonts w:ascii="Times New Roman" w:hAnsi="Times New Roman"/>
          <w:color w:val="auto"/>
          <w:sz w:val="24"/>
          <w:szCs w:val="24"/>
        </w:rPr>
        <w:t xml:space="preserve"> 2018</w:t>
      </w:r>
      <w:r w:rsidR="006848CF" w:rsidRPr="006A5613">
        <w:rPr>
          <w:rFonts w:ascii="Times New Roman" w:hAnsi="Times New Roman"/>
          <w:color w:val="auto"/>
          <w:sz w:val="24"/>
          <w:szCs w:val="24"/>
        </w:rPr>
        <w:t>)</w:t>
      </w:r>
      <w:r w:rsidRPr="006A5613">
        <w:rPr>
          <w:rFonts w:ascii="Times New Roman" w:hAnsi="Times New Roman"/>
          <w:color w:val="auto"/>
          <w:sz w:val="24"/>
          <w:szCs w:val="24"/>
        </w:rPr>
        <w:t>, are</w:t>
      </w:r>
      <w:r w:rsidRPr="00125A2F">
        <w:rPr>
          <w:rFonts w:ascii="Times New Roman" w:hAnsi="Times New Roman"/>
          <w:color w:val="auto"/>
          <w:sz w:val="24"/>
          <w:szCs w:val="24"/>
        </w:rPr>
        <w:t xml:space="preserve"> lost and never reach consumers, mainly due to postharvest rot. The most common fungal agents responsible for this decay, both before and after harvest, include </w:t>
      </w:r>
      <w:r w:rsidRPr="00125A2F">
        <w:rPr>
          <w:rFonts w:ascii="Times New Roman" w:hAnsi="Times New Roman"/>
          <w:i/>
          <w:color w:val="auto"/>
          <w:sz w:val="24"/>
          <w:szCs w:val="24"/>
        </w:rPr>
        <w:t xml:space="preserve">Botrytis cinerea, Penicillium species, Aspergillus </w:t>
      </w:r>
      <w:r w:rsidRPr="00125A2F">
        <w:rPr>
          <w:rFonts w:ascii="Times New Roman" w:hAnsi="Times New Roman"/>
          <w:i/>
          <w:color w:val="auto"/>
          <w:sz w:val="24"/>
          <w:szCs w:val="24"/>
        </w:rPr>
        <w:lastRenderedPageBreak/>
        <w:t xml:space="preserve">species, Alternaria species, Rhizopus, and Cladosporium species. </w:t>
      </w:r>
      <w:r w:rsidRPr="00125A2F">
        <w:rPr>
          <w:rFonts w:ascii="Times New Roman" w:hAnsi="Times New Roman"/>
          <w:color w:val="auto"/>
          <w:sz w:val="24"/>
          <w:szCs w:val="24"/>
        </w:rPr>
        <w:t xml:space="preserve">These agents are the subject of ongoing research </w:t>
      </w:r>
      <w:r w:rsidR="006A5613">
        <w:rPr>
          <w:rFonts w:ascii="Times New Roman" w:hAnsi="Times New Roman"/>
          <w:color w:val="auto"/>
          <w:sz w:val="24"/>
          <w:szCs w:val="24"/>
        </w:rPr>
        <w:t>(</w:t>
      </w:r>
      <w:r w:rsidR="006D24A2" w:rsidRPr="006D24A2">
        <w:rPr>
          <w:rFonts w:ascii="Times New Roman" w:hAnsi="Times New Roman"/>
          <w:color w:val="auto"/>
          <w:sz w:val="24"/>
          <w:szCs w:val="24"/>
        </w:rPr>
        <w:t>De Simone</w:t>
      </w:r>
      <w:r w:rsidR="006D24A2" w:rsidRPr="006D24A2">
        <w:rPr>
          <w:rFonts w:ascii="Times New Roman" w:hAnsi="Times New Roman"/>
          <w:sz w:val="24"/>
          <w:szCs w:val="24"/>
        </w:rPr>
        <w:t xml:space="preserve"> et al. 2020</w:t>
      </w:r>
      <w:r w:rsidR="006D24A2">
        <w:rPr>
          <w:rFonts w:ascii="Times New Roman" w:hAnsi="Times New Roman"/>
          <w:sz w:val="24"/>
        </w:rPr>
        <w:t xml:space="preserve">; </w:t>
      </w:r>
      <w:r w:rsidR="00E9202D" w:rsidRPr="00E9202D">
        <w:rPr>
          <w:rFonts w:ascii="Times New Roman" w:hAnsi="Times New Roman"/>
          <w:color w:val="auto"/>
          <w:sz w:val="24"/>
          <w:szCs w:val="24"/>
        </w:rPr>
        <w:t>Freire</w:t>
      </w:r>
      <w:r w:rsidR="00E9202D" w:rsidRPr="00E9202D">
        <w:rPr>
          <w:rFonts w:ascii="Times New Roman" w:hAnsi="Times New Roman"/>
          <w:sz w:val="24"/>
          <w:szCs w:val="24"/>
        </w:rPr>
        <w:t xml:space="preserve"> et al. 2018;</w:t>
      </w:r>
      <w:r w:rsidR="00E9202D">
        <w:rPr>
          <w:rFonts w:ascii="Times New Roman" w:hAnsi="Times New Roman"/>
          <w:sz w:val="24"/>
        </w:rPr>
        <w:t xml:space="preserve"> </w:t>
      </w:r>
      <w:r w:rsidR="003567F0" w:rsidRPr="003567F0">
        <w:rPr>
          <w:rFonts w:ascii="Times New Roman" w:hAnsi="Times New Roman"/>
          <w:color w:val="auto"/>
          <w:sz w:val="24"/>
        </w:rPr>
        <w:t>Liu et al. 2024;</w:t>
      </w:r>
      <w:r w:rsidR="003567F0" w:rsidRPr="003567F0">
        <w:rPr>
          <w:color w:val="auto"/>
          <w:sz w:val="24"/>
        </w:rPr>
        <w:t xml:space="preserve"> </w:t>
      </w:r>
      <w:r w:rsidR="006A5613" w:rsidRPr="006A5613">
        <w:rPr>
          <w:rFonts w:ascii="Times New Roman" w:hAnsi="Times New Roman"/>
          <w:sz w:val="24"/>
        </w:rPr>
        <w:t>Lovato et al. 2019</w:t>
      </w:r>
      <w:r w:rsidR="00946F10">
        <w:rPr>
          <w:rFonts w:ascii="Times New Roman" w:hAnsi="Times New Roman"/>
          <w:sz w:val="24"/>
        </w:rPr>
        <w:t xml:space="preserve">; </w:t>
      </w:r>
      <w:proofErr w:type="spellStart"/>
      <w:r w:rsidR="00946F10" w:rsidRPr="00946F10">
        <w:rPr>
          <w:rFonts w:ascii="Times New Roman" w:hAnsi="Times New Roman"/>
          <w:color w:val="auto"/>
          <w:sz w:val="24"/>
        </w:rPr>
        <w:t>Tziros</w:t>
      </w:r>
      <w:proofErr w:type="spellEnd"/>
      <w:r w:rsidR="00946F10" w:rsidRPr="00946F10">
        <w:rPr>
          <w:rFonts w:ascii="Times New Roman" w:hAnsi="Times New Roman"/>
          <w:color w:val="auto"/>
          <w:sz w:val="24"/>
        </w:rPr>
        <w:t xml:space="preserve"> et al. 2022</w:t>
      </w:r>
      <w:r w:rsidR="004B507B">
        <w:rPr>
          <w:rFonts w:ascii="Times New Roman" w:hAnsi="Times New Roman"/>
          <w:color w:val="auto"/>
          <w:sz w:val="24"/>
        </w:rPr>
        <w:t xml:space="preserve">; </w:t>
      </w:r>
      <w:r w:rsidR="004B507B" w:rsidRPr="004B507B">
        <w:rPr>
          <w:rFonts w:ascii="Times New Roman" w:hAnsi="Times New Roman"/>
          <w:color w:val="auto"/>
          <w:sz w:val="24"/>
        </w:rPr>
        <w:t>Zhang et al. 2020b</w:t>
      </w:r>
      <w:r w:rsidR="006A5613">
        <w:rPr>
          <w:rFonts w:ascii="Times New Roman" w:hAnsi="Times New Roman"/>
          <w:color w:val="auto"/>
          <w:sz w:val="24"/>
          <w:szCs w:val="24"/>
        </w:rPr>
        <w:t>)</w:t>
      </w:r>
      <w:r w:rsidRPr="00125A2F">
        <w:rPr>
          <w:rFonts w:ascii="Times New Roman" w:hAnsi="Times New Roman"/>
          <w:color w:val="auto"/>
          <w:sz w:val="24"/>
          <w:szCs w:val="24"/>
        </w:rPr>
        <w:t>. Fruit rot can occur from wounds caused during harvesting, packaging, storage, and transportation. Additionally, conditions favorable to fungal pathogens—such as high moisture, nutrient levels, and low pH—can worsen the problem.</w:t>
      </w:r>
    </w:p>
    <w:p w14:paraId="7043D36E" w14:textId="4830F34F" w:rsidR="008C283F" w:rsidRPr="00125A2F" w:rsidRDefault="008C283F" w:rsidP="008C283F">
      <w:pPr>
        <w:pStyle w:val="MDPI31text"/>
        <w:spacing w:line="360" w:lineRule="auto"/>
        <w:ind w:left="0" w:firstLine="567"/>
        <w:rPr>
          <w:rFonts w:ascii="Times New Roman" w:hAnsi="Times New Roman"/>
          <w:color w:val="auto"/>
          <w:sz w:val="24"/>
          <w:szCs w:val="24"/>
        </w:rPr>
      </w:pPr>
      <w:r w:rsidRPr="00125A2F">
        <w:rPr>
          <w:rFonts w:ascii="Times New Roman" w:hAnsi="Times New Roman"/>
          <w:i/>
          <w:color w:val="auto"/>
          <w:sz w:val="24"/>
          <w:szCs w:val="24"/>
        </w:rPr>
        <w:t>Botrytis cinerea</w:t>
      </w:r>
      <w:r w:rsidRPr="00125A2F">
        <w:rPr>
          <w:rFonts w:ascii="Times New Roman" w:hAnsi="Times New Roman"/>
          <w:color w:val="auto"/>
          <w:sz w:val="24"/>
          <w:szCs w:val="24"/>
        </w:rPr>
        <w:t xml:space="preserve"> is a fungus that causes the common problem known as gray mold. This mold can damage many plants, causing them to appear dull and unhealthy. It infects over 200 major farm crops. This necrotrophic fungus kills plant cells by releasing toxins and reactive oxygen species, triggering an oxidative burst in the plant. Fungi can produce mycotoxins during infection, contaminating the food supply through both fresh and processed fruit products and posing health risks to humans. </w:t>
      </w:r>
      <w:r w:rsidRPr="00125A2F">
        <w:rPr>
          <w:rFonts w:ascii="Times New Roman" w:hAnsi="Times New Roman"/>
          <w:i/>
          <w:color w:val="auto"/>
          <w:sz w:val="24"/>
          <w:szCs w:val="24"/>
        </w:rPr>
        <w:t>Botrytis cinerea</w:t>
      </w:r>
      <w:r w:rsidRPr="00125A2F">
        <w:rPr>
          <w:rFonts w:ascii="Times New Roman" w:hAnsi="Times New Roman"/>
          <w:color w:val="auto"/>
          <w:sz w:val="24"/>
          <w:szCs w:val="24"/>
        </w:rPr>
        <w:t xml:space="preserve"> synthesizes two major phytotoxins: the sesquiterpene known as </w:t>
      </w:r>
      <w:proofErr w:type="spellStart"/>
      <w:r w:rsidRPr="00125A2F">
        <w:rPr>
          <w:rFonts w:ascii="Times New Roman" w:hAnsi="Times New Roman"/>
          <w:color w:val="auto"/>
          <w:sz w:val="24"/>
          <w:szCs w:val="24"/>
        </w:rPr>
        <w:t>botrydial</w:t>
      </w:r>
      <w:proofErr w:type="spellEnd"/>
      <w:r w:rsidRPr="00125A2F">
        <w:rPr>
          <w:rFonts w:ascii="Times New Roman" w:hAnsi="Times New Roman"/>
          <w:color w:val="auto"/>
          <w:sz w:val="24"/>
          <w:szCs w:val="24"/>
        </w:rPr>
        <w:t xml:space="preserve"> and the polyketide called </w:t>
      </w:r>
      <w:proofErr w:type="spellStart"/>
      <w:r w:rsidRPr="00125A2F">
        <w:rPr>
          <w:rFonts w:ascii="Times New Roman" w:hAnsi="Times New Roman"/>
          <w:color w:val="auto"/>
          <w:sz w:val="24"/>
          <w:szCs w:val="24"/>
        </w:rPr>
        <w:t>botcinic</w:t>
      </w:r>
      <w:proofErr w:type="spellEnd"/>
      <w:r w:rsidRPr="00125A2F">
        <w:rPr>
          <w:rFonts w:ascii="Times New Roman" w:hAnsi="Times New Roman"/>
          <w:color w:val="auto"/>
          <w:sz w:val="24"/>
          <w:szCs w:val="24"/>
        </w:rPr>
        <w:t xml:space="preserve"> acid. These compounds are crucial for the fungus's ability to damage host cells and effectively colonize plant tissues </w:t>
      </w:r>
      <w:r w:rsidR="006A5613">
        <w:rPr>
          <w:rFonts w:ascii="Times New Roman" w:hAnsi="Times New Roman"/>
          <w:color w:val="auto"/>
          <w:sz w:val="24"/>
          <w:szCs w:val="24"/>
        </w:rPr>
        <w:t>(</w:t>
      </w:r>
      <w:r w:rsidR="006A5613" w:rsidRPr="006A5613">
        <w:rPr>
          <w:rFonts w:ascii="Times New Roman" w:hAnsi="Times New Roman"/>
          <w:sz w:val="24"/>
        </w:rPr>
        <w:t>Lovato et al. 2019</w:t>
      </w:r>
      <w:r w:rsidR="006A5613">
        <w:rPr>
          <w:rFonts w:ascii="Times New Roman" w:hAnsi="Times New Roman"/>
          <w:color w:val="auto"/>
          <w:sz w:val="24"/>
          <w:szCs w:val="24"/>
        </w:rPr>
        <w:t>)</w:t>
      </w:r>
      <w:r w:rsidRPr="00125A2F">
        <w:rPr>
          <w:rFonts w:ascii="Times New Roman" w:hAnsi="Times New Roman"/>
          <w:color w:val="auto"/>
          <w:sz w:val="24"/>
          <w:szCs w:val="24"/>
        </w:rPr>
        <w:t xml:space="preserve">. </w:t>
      </w:r>
      <w:r w:rsidRPr="00125A2F">
        <w:rPr>
          <w:rFonts w:ascii="Times New Roman" w:hAnsi="Times New Roman"/>
          <w:i/>
          <w:color w:val="auto"/>
          <w:sz w:val="24"/>
          <w:szCs w:val="24"/>
        </w:rPr>
        <w:t>B. cinerea</w:t>
      </w:r>
      <w:r w:rsidRPr="00125A2F">
        <w:rPr>
          <w:rFonts w:ascii="Times New Roman" w:hAnsi="Times New Roman"/>
          <w:color w:val="auto"/>
          <w:sz w:val="24"/>
          <w:szCs w:val="24"/>
        </w:rPr>
        <w:t xml:space="preserve"> produces various cell wall-degrading enzymes and low-molecular-weight compounds such as oxalic acid when infecting plants. New evidence suggests that the pathogen triggers the host to initiate programmed cell death as a defensive strategy. B</w:t>
      </w:r>
      <w:r w:rsidRPr="00125A2F">
        <w:rPr>
          <w:rFonts w:ascii="Times New Roman" w:hAnsi="Times New Roman"/>
          <w:i/>
          <w:color w:val="auto"/>
          <w:sz w:val="24"/>
          <w:szCs w:val="24"/>
        </w:rPr>
        <w:t xml:space="preserve">. cinerea </w:t>
      </w:r>
      <w:r w:rsidRPr="00125A2F">
        <w:rPr>
          <w:rFonts w:ascii="Times New Roman" w:hAnsi="Times New Roman"/>
          <w:color w:val="auto"/>
          <w:sz w:val="24"/>
          <w:szCs w:val="24"/>
        </w:rPr>
        <w:t>causes significant yield losses in grapevines both before and after harvest. Despite extensive research on this pathogen in</w:t>
      </w:r>
      <w:r w:rsidRPr="00125A2F">
        <w:rPr>
          <w:rFonts w:ascii="Times New Roman" w:hAnsi="Times New Roman"/>
          <w:color w:val="auto"/>
          <w:sz w:val="24"/>
          <w:szCs w:val="24"/>
          <w:shd w:val="clear" w:color="auto" w:fill="FFFFFF"/>
        </w:rPr>
        <w:t xml:space="preserve"> </w:t>
      </w:r>
      <w:r w:rsidRPr="00125A2F">
        <w:rPr>
          <w:rFonts w:ascii="Times New Roman" w:hAnsi="Times New Roman"/>
          <w:color w:val="auto"/>
          <w:sz w:val="24"/>
          <w:szCs w:val="24"/>
        </w:rPr>
        <w:t xml:space="preserve">different plant species, there is limited information on how grape genotypes resist or are susceptible to </w:t>
      </w:r>
      <w:r w:rsidRPr="00125A2F">
        <w:rPr>
          <w:rFonts w:ascii="Times New Roman" w:hAnsi="Times New Roman"/>
          <w:i/>
          <w:color w:val="auto"/>
          <w:sz w:val="24"/>
          <w:szCs w:val="24"/>
        </w:rPr>
        <w:t>B. cinerea</w:t>
      </w:r>
      <w:r w:rsidRPr="00125A2F">
        <w:rPr>
          <w:rFonts w:ascii="Times New Roman" w:hAnsi="Times New Roman"/>
          <w:color w:val="auto"/>
          <w:sz w:val="24"/>
          <w:szCs w:val="24"/>
        </w:rPr>
        <w:t xml:space="preserve"> infection </w:t>
      </w:r>
      <w:r w:rsidR="006D24A2">
        <w:rPr>
          <w:rFonts w:ascii="Times New Roman" w:hAnsi="Times New Roman"/>
          <w:color w:val="auto"/>
          <w:sz w:val="24"/>
          <w:szCs w:val="24"/>
        </w:rPr>
        <w:t>(</w:t>
      </w:r>
      <w:r w:rsidR="006D24A2" w:rsidRPr="006D24A2">
        <w:rPr>
          <w:rFonts w:ascii="Times New Roman" w:hAnsi="Times New Roman"/>
          <w:color w:val="auto"/>
          <w:sz w:val="24"/>
          <w:szCs w:val="24"/>
        </w:rPr>
        <w:t>De Simone</w:t>
      </w:r>
      <w:r w:rsidR="006D24A2" w:rsidRPr="006D24A2">
        <w:rPr>
          <w:rFonts w:ascii="Times New Roman" w:hAnsi="Times New Roman"/>
          <w:sz w:val="24"/>
          <w:szCs w:val="24"/>
        </w:rPr>
        <w:t xml:space="preserve"> et al. 2020</w:t>
      </w:r>
      <w:r w:rsidR="00946F10">
        <w:rPr>
          <w:rFonts w:ascii="Times New Roman" w:hAnsi="Times New Roman"/>
          <w:sz w:val="24"/>
          <w:szCs w:val="24"/>
        </w:rPr>
        <w:t xml:space="preserve">; </w:t>
      </w:r>
      <w:proofErr w:type="spellStart"/>
      <w:r w:rsidR="00946F10" w:rsidRPr="00946F10">
        <w:rPr>
          <w:rFonts w:ascii="Times New Roman" w:hAnsi="Times New Roman"/>
          <w:color w:val="auto"/>
          <w:sz w:val="24"/>
        </w:rPr>
        <w:t>Tziros</w:t>
      </w:r>
      <w:proofErr w:type="spellEnd"/>
      <w:r w:rsidR="00946F10" w:rsidRPr="00946F10">
        <w:rPr>
          <w:rFonts w:ascii="Times New Roman" w:hAnsi="Times New Roman"/>
          <w:color w:val="auto"/>
          <w:sz w:val="24"/>
        </w:rPr>
        <w:t xml:space="preserve"> et al. 2022</w:t>
      </w:r>
      <w:r w:rsidR="006D24A2">
        <w:rPr>
          <w:rFonts w:ascii="Times New Roman" w:hAnsi="Times New Roman"/>
          <w:color w:val="auto"/>
          <w:sz w:val="24"/>
          <w:szCs w:val="24"/>
        </w:rPr>
        <w:t>)</w:t>
      </w:r>
      <w:r w:rsidRPr="00125A2F">
        <w:rPr>
          <w:rFonts w:ascii="Times New Roman" w:hAnsi="Times New Roman"/>
          <w:color w:val="auto"/>
          <w:sz w:val="24"/>
          <w:szCs w:val="24"/>
        </w:rPr>
        <w:t>.</w:t>
      </w:r>
    </w:p>
    <w:p w14:paraId="751304E4" w14:textId="5F63517A" w:rsidR="008C283F" w:rsidRPr="00125A2F" w:rsidRDefault="008C283F" w:rsidP="008C283F">
      <w:pPr>
        <w:pStyle w:val="MDPI31text"/>
        <w:spacing w:line="360" w:lineRule="auto"/>
        <w:ind w:left="0" w:firstLine="567"/>
        <w:rPr>
          <w:rFonts w:ascii="Times New Roman" w:hAnsi="Times New Roman"/>
          <w:color w:val="auto"/>
          <w:sz w:val="24"/>
          <w:szCs w:val="24"/>
        </w:rPr>
      </w:pPr>
      <w:r w:rsidRPr="00125A2F">
        <w:rPr>
          <w:rFonts w:ascii="Times New Roman" w:hAnsi="Times New Roman"/>
          <w:i/>
          <w:color w:val="auto"/>
          <w:sz w:val="24"/>
          <w:szCs w:val="24"/>
        </w:rPr>
        <w:t xml:space="preserve">Aspergillus </w:t>
      </w:r>
      <w:proofErr w:type="spellStart"/>
      <w:r w:rsidRPr="00125A2F">
        <w:rPr>
          <w:rFonts w:ascii="Times New Roman" w:hAnsi="Times New Roman"/>
          <w:i/>
          <w:color w:val="auto"/>
          <w:sz w:val="24"/>
          <w:szCs w:val="24"/>
        </w:rPr>
        <w:t>niger</w:t>
      </w:r>
      <w:proofErr w:type="spellEnd"/>
      <w:r w:rsidRPr="00125A2F">
        <w:rPr>
          <w:rFonts w:ascii="Times New Roman" w:hAnsi="Times New Roman"/>
          <w:color w:val="auto"/>
          <w:sz w:val="24"/>
          <w:szCs w:val="24"/>
        </w:rPr>
        <w:t xml:space="preserve"> is a harmful fungal pathogen known for producing ochratoxin A (OTA), a powerful mycotoxin primarily found in grapes, wine, and juice. OTA accumulates in various organs and tissues throughout the human body, including the bloodstream, liver, and kidneys, posing significant health risks. It is associated with immunosuppression, teratogenic effects (causing developmental problems in fetuses), neurotoxicity, genotoxicity, mutagenicity (damaging genetic material), and carcinogenicity (ability to cause cancer) </w:t>
      </w:r>
      <w:r w:rsidR="00E9202D">
        <w:rPr>
          <w:rFonts w:ascii="Times New Roman" w:hAnsi="Times New Roman"/>
          <w:color w:val="auto"/>
          <w:sz w:val="24"/>
          <w:szCs w:val="24"/>
        </w:rPr>
        <w:t>(</w:t>
      </w:r>
      <w:r w:rsidR="00E9202D" w:rsidRPr="00E9202D">
        <w:rPr>
          <w:rFonts w:ascii="Times New Roman" w:hAnsi="Times New Roman"/>
          <w:color w:val="auto"/>
          <w:sz w:val="24"/>
          <w:szCs w:val="24"/>
        </w:rPr>
        <w:t>Freire</w:t>
      </w:r>
      <w:r w:rsidR="00E9202D" w:rsidRPr="00E9202D">
        <w:rPr>
          <w:rFonts w:ascii="Times New Roman" w:hAnsi="Times New Roman"/>
          <w:sz w:val="24"/>
          <w:szCs w:val="24"/>
        </w:rPr>
        <w:t xml:space="preserve"> et al. 2018</w:t>
      </w:r>
      <w:r w:rsidR="00E9202D">
        <w:rPr>
          <w:rFonts w:ascii="Times New Roman" w:hAnsi="Times New Roman"/>
          <w:color w:val="auto"/>
          <w:sz w:val="24"/>
          <w:szCs w:val="24"/>
        </w:rPr>
        <w:t>)</w:t>
      </w:r>
      <w:r w:rsidRPr="00125A2F">
        <w:rPr>
          <w:rFonts w:ascii="Times New Roman" w:hAnsi="Times New Roman"/>
          <w:color w:val="auto"/>
          <w:sz w:val="24"/>
          <w:szCs w:val="24"/>
        </w:rPr>
        <w:t>.</w:t>
      </w:r>
    </w:p>
    <w:p w14:paraId="75AF8840" w14:textId="62E8C072" w:rsidR="008C283F" w:rsidRPr="00125A2F" w:rsidRDefault="008C283F" w:rsidP="008C283F">
      <w:pPr>
        <w:pStyle w:val="MDPI31text"/>
        <w:spacing w:line="360" w:lineRule="auto"/>
        <w:ind w:left="0" w:firstLine="567"/>
        <w:rPr>
          <w:rFonts w:ascii="Times New Roman" w:hAnsi="Times New Roman"/>
          <w:color w:val="auto"/>
          <w:sz w:val="24"/>
          <w:szCs w:val="24"/>
        </w:rPr>
      </w:pPr>
      <w:r w:rsidRPr="00125A2F">
        <w:rPr>
          <w:rFonts w:ascii="Times New Roman" w:hAnsi="Times New Roman"/>
          <w:i/>
          <w:color w:val="auto"/>
          <w:sz w:val="24"/>
          <w:szCs w:val="24"/>
        </w:rPr>
        <w:t xml:space="preserve">Rhizopus </w:t>
      </w:r>
      <w:proofErr w:type="spellStart"/>
      <w:r w:rsidRPr="00125A2F">
        <w:rPr>
          <w:rFonts w:ascii="Times New Roman" w:hAnsi="Times New Roman"/>
          <w:i/>
          <w:color w:val="auto"/>
          <w:sz w:val="24"/>
          <w:szCs w:val="24"/>
        </w:rPr>
        <w:t>stolonifer</w:t>
      </w:r>
      <w:proofErr w:type="spellEnd"/>
      <w:r w:rsidRPr="00125A2F">
        <w:rPr>
          <w:rFonts w:ascii="Times New Roman" w:hAnsi="Times New Roman"/>
          <w:i/>
          <w:color w:val="auto"/>
          <w:sz w:val="24"/>
          <w:szCs w:val="24"/>
        </w:rPr>
        <w:t xml:space="preserve">, </w:t>
      </w:r>
      <w:r w:rsidRPr="00125A2F">
        <w:rPr>
          <w:rFonts w:ascii="Times New Roman" w:hAnsi="Times New Roman"/>
          <w:color w:val="auto"/>
          <w:sz w:val="24"/>
          <w:szCs w:val="24"/>
        </w:rPr>
        <w:t xml:space="preserve">commonly known as black bread mold, is a harmful fungus that negatively affects the storage of various horticultural products. Its conidia readily become airborne and thrive in high humidity, leading to rapid growth and fruit decay. This fungus significantly decreases the shelf life and market value of affected items, creating challenges for agricultural storage and handling. To minimize its impact on crops, effective management strategies are essential </w:t>
      </w:r>
      <w:r w:rsidR="003567F0">
        <w:rPr>
          <w:rFonts w:ascii="Times New Roman" w:hAnsi="Times New Roman"/>
          <w:color w:val="auto"/>
          <w:sz w:val="24"/>
          <w:szCs w:val="24"/>
        </w:rPr>
        <w:t>(</w:t>
      </w:r>
      <w:r w:rsidR="003567F0" w:rsidRPr="003567F0">
        <w:rPr>
          <w:rFonts w:ascii="Times New Roman" w:hAnsi="Times New Roman"/>
          <w:color w:val="auto"/>
          <w:sz w:val="24"/>
        </w:rPr>
        <w:t>Liu et al. 2024</w:t>
      </w:r>
      <w:r w:rsidR="004B507B">
        <w:rPr>
          <w:rFonts w:ascii="Times New Roman" w:hAnsi="Times New Roman"/>
          <w:color w:val="auto"/>
          <w:sz w:val="24"/>
        </w:rPr>
        <w:t xml:space="preserve">; </w:t>
      </w:r>
      <w:r w:rsidR="004B507B" w:rsidRPr="004B507B">
        <w:rPr>
          <w:rFonts w:ascii="Times New Roman" w:hAnsi="Times New Roman"/>
          <w:color w:val="auto"/>
          <w:sz w:val="24"/>
        </w:rPr>
        <w:t>Zhang et al. 2020b</w:t>
      </w:r>
      <w:r w:rsidR="003567F0">
        <w:rPr>
          <w:rFonts w:ascii="Times New Roman" w:hAnsi="Times New Roman"/>
          <w:color w:val="auto"/>
          <w:sz w:val="24"/>
          <w:szCs w:val="24"/>
        </w:rPr>
        <w:t>)</w:t>
      </w:r>
      <w:r w:rsidRPr="00125A2F">
        <w:rPr>
          <w:rFonts w:ascii="Times New Roman" w:hAnsi="Times New Roman"/>
          <w:color w:val="auto"/>
          <w:sz w:val="24"/>
          <w:szCs w:val="24"/>
        </w:rPr>
        <w:t>.</w:t>
      </w:r>
    </w:p>
    <w:p w14:paraId="6A0AEEF7" w14:textId="66B8EDEF" w:rsidR="008C283F" w:rsidRPr="00125A2F" w:rsidRDefault="008C283F" w:rsidP="008C283F">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Chemical fungicides remain the primary tools for managing major pathogens after harvest. Currently, agrochemicals are mainly used before harvest, while sulfur dioxide (SO</w:t>
      </w:r>
      <w:r w:rsidRPr="00125A2F">
        <w:rPr>
          <w:rFonts w:ascii="Times New Roman" w:hAnsi="Times New Roman"/>
          <w:color w:val="auto"/>
          <w:sz w:val="24"/>
          <w:szCs w:val="24"/>
          <w:vertAlign w:val="subscript"/>
        </w:rPr>
        <w:t>2</w:t>
      </w:r>
      <w:r w:rsidRPr="00125A2F">
        <w:rPr>
          <w:rFonts w:ascii="Times New Roman" w:hAnsi="Times New Roman"/>
          <w:color w:val="auto"/>
          <w:sz w:val="24"/>
          <w:szCs w:val="24"/>
        </w:rPr>
        <w:t xml:space="preserve">) </w:t>
      </w:r>
      <w:r w:rsidRPr="00125A2F">
        <w:rPr>
          <w:rFonts w:ascii="Times New Roman" w:hAnsi="Times New Roman"/>
          <w:color w:val="auto"/>
          <w:sz w:val="24"/>
          <w:szCs w:val="24"/>
        </w:rPr>
        <w:lastRenderedPageBreak/>
        <w:t>is predominantly employed after harvest to control grape mildew. However, concerns about environmental pollution and health risks associated with synthetic fungicides have driven efforts to develop safer alternatives. Much of the current research focuses on biological control and the use of microorganisms as innovative pest-management strategies. Significant progress has been made in adopting more environmentally friendly control methods, such as biological control agents (BCAs). The criteria for selecting the ideal BCAs are summarized in scientific journals</w:t>
      </w:r>
      <w:r w:rsidR="00742148">
        <w:rPr>
          <w:rFonts w:ascii="Times New Roman" w:hAnsi="Times New Roman"/>
          <w:color w:val="auto"/>
          <w:sz w:val="24"/>
          <w:szCs w:val="24"/>
        </w:rPr>
        <w:t xml:space="preserve"> (</w:t>
      </w:r>
      <w:r w:rsidR="00742148" w:rsidRPr="00742148">
        <w:rPr>
          <w:rFonts w:ascii="Times New Roman" w:hAnsi="Times New Roman"/>
          <w:color w:val="auto"/>
          <w:sz w:val="24"/>
        </w:rPr>
        <w:t>Wilson and Wisniewski 1989</w:t>
      </w:r>
      <w:r w:rsidR="00742148">
        <w:rPr>
          <w:rFonts w:ascii="Times New Roman" w:hAnsi="Times New Roman"/>
          <w:color w:val="auto"/>
          <w:sz w:val="24"/>
          <w:szCs w:val="24"/>
        </w:rPr>
        <w:t>)</w:t>
      </w:r>
      <w:r w:rsidRPr="00125A2F">
        <w:rPr>
          <w:rFonts w:ascii="Times New Roman" w:hAnsi="Times New Roman"/>
          <w:color w:val="auto"/>
          <w:sz w:val="24"/>
          <w:szCs w:val="24"/>
        </w:rPr>
        <w:t>.</w:t>
      </w:r>
    </w:p>
    <w:p w14:paraId="407E7357" w14:textId="50E98919" w:rsidR="008C283F" w:rsidRPr="00125A2F" w:rsidRDefault="008C283F" w:rsidP="008C283F">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 xml:space="preserve">Among the antagonistic microorganisms used as BCA against fungal pathogens, specific antagonistic yeasts are the most commonly reported in scientific journals due to their traits </w:t>
      </w:r>
      <w:r w:rsidR="00742148">
        <w:rPr>
          <w:rFonts w:ascii="Times New Roman" w:hAnsi="Times New Roman"/>
          <w:color w:val="auto"/>
          <w:sz w:val="24"/>
          <w:szCs w:val="24"/>
        </w:rPr>
        <w:t>(</w:t>
      </w:r>
      <w:r w:rsidR="00742148" w:rsidRPr="00742148">
        <w:rPr>
          <w:rFonts w:ascii="Times New Roman" w:hAnsi="Times New Roman"/>
          <w:color w:val="auto"/>
          <w:sz w:val="24"/>
        </w:rPr>
        <w:t>Hernandez-Montiel et al. 2021</w:t>
      </w:r>
      <w:r w:rsidR="000F3BCD">
        <w:rPr>
          <w:rFonts w:ascii="Times New Roman" w:hAnsi="Times New Roman"/>
          <w:color w:val="auto"/>
          <w:sz w:val="24"/>
        </w:rPr>
        <w:t xml:space="preserve">; </w:t>
      </w:r>
      <w:proofErr w:type="spellStart"/>
      <w:r w:rsidR="000F3BCD" w:rsidRPr="000F3BCD">
        <w:rPr>
          <w:rFonts w:ascii="Times New Roman" w:hAnsi="Times New Roman"/>
          <w:color w:val="auto"/>
          <w:sz w:val="24"/>
        </w:rPr>
        <w:t>Oztekin</w:t>
      </w:r>
      <w:proofErr w:type="spellEnd"/>
      <w:r w:rsidR="000F3BCD" w:rsidRPr="000F3BCD">
        <w:rPr>
          <w:rFonts w:ascii="Times New Roman" w:hAnsi="Times New Roman"/>
          <w:color w:val="auto"/>
          <w:sz w:val="24"/>
        </w:rPr>
        <w:t xml:space="preserve"> et al. 2023</w:t>
      </w:r>
      <w:r w:rsidR="00742148">
        <w:rPr>
          <w:rFonts w:ascii="Times New Roman" w:hAnsi="Times New Roman"/>
          <w:color w:val="auto"/>
          <w:sz w:val="24"/>
          <w:szCs w:val="24"/>
        </w:rPr>
        <w:t>)</w:t>
      </w:r>
      <w:r w:rsidRPr="00125A2F">
        <w:rPr>
          <w:rFonts w:ascii="Times New Roman" w:hAnsi="Times New Roman"/>
          <w:color w:val="auto"/>
          <w:sz w:val="24"/>
          <w:szCs w:val="24"/>
        </w:rPr>
        <w:t xml:space="preserve">. They can withstand extreme environmental conditions that occur before and after harvest. They are especially suited to the high sugar levels, osmotic pressure, and low pH of the fruit microenvironment. Yeasts grow on inexpensive substrates and can therefore be produced in large quantities in fermenters. Unlike filamentous fungi, yeasts do not produce allergenic mycotoxins and have simple nutritional requirements, allowing them to colonize dry surfaces for long periods </w:t>
      </w:r>
      <w:r w:rsidR="000F3BCD">
        <w:rPr>
          <w:rFonts w:ascii="Times New Roman" w:hAnsi="Times New Roman"/>
          <w:color w:val="auto"/>
          <w:sz w:val="24"/>
          <w:szCs w:val="24"/>
        </w:rPr>
        <w:t>(</w:t>
      </w:r>
      <w:r w:rsidR="00E0793A" w:rsidRPr="00E0793A">
        <w:rPr>
          <w:rFonts w:ascii="Times New Roman" w:hAnsi="Times New Roman"/>
          <w:color w:val="auto"/>
          <w:sz w:val="24"/>
          <w:szCs w:val="24"/>
        </w:rPr>
        <w:t xml:space="preserve">Di </w:t>
      </w:r>
      <w:proofErr w:type="spellStart"/>
      <w:r w:rsidR="00E0793A" w:rsidRPr="00E0793A">
        <w:rPr>
          <w:rFonts w:ascii="Times New Roman" w:hAnsi="Times New Roman"/>
          <w:color w:val="auto"/>
          <w:sz w:val="24"/>
          <w:szCs w:val="24"/>
        </w:rPr>
        <w:t>Canito</w:t>
      </w:r>
      <w:proofErr w:type="spellEnd"/>
      <w:r w:rsidR="00E0793A" w:rsidRPr="00E0793A">
        <w:rPr>
          <w:rFonts w:ascii="Times New Roman" w:hAnsi="Times New Roman"/>
          <w:color w:val="auto"/>
          <w:sz w:val="24"/>
          <w:szCs w:val="24"/>
        </w:rPr>
        <w:t xml:space="preserve"> et al. 2021</w:t>
      </w:r>
      <w:r w:rsidR="00E0793A">
        <w:rPr>
          <w:rFonts w:ascii="Times New Roman" w:hAnsi="Times New Roman"/>
          <w:color w:val="auto"/>
          <w:sz w:val="24"/>
        </w:rPr>
        <w:t xml:space="preserve">; </w:t>
      </w:r>
      <w:r w:rsidR="000F3BCD" w:rsidRPr="000F3BCD">
        <w:rPr>
          <w:rFonts w:ascii="Times New Roman" w:hAnsi="Times New Roman"/>
          <w:color w:val="auto"/>
          <w:sz w:val="24"/>
        </w:rPr>
        <w:t>Reyes-Bravo et al. 2021</w:t>
      </w:r>
      <w:r w:rsidR="00F16EF8">
        <w:rPr>
          <w:rFonts w:ascii="Times New Roman" w:hAnsi="Times New Roman"/>
          <w:color w:val="auto"/>
          <w:sz w:val="24"/>
        </w:rPr>
        <w:t xml:space="preserve">; </w:t>
      </w:r>
      <w:r w:rsidR="00F16EF8" w:rsidRPr="00F16EF8">
        <w:rPr>
          <w:rFonts w:ascii="Times New Roman" w:hAnsi="Times New Roman"/>
          <w:color w:val="auto"/>
          <w:sz w:val="24"/>
        </w:rPr>
        <w:t>Salerno et al. 2024</w:t>
      </w:r>
      <w:r w:rsidR="000F3BCD">
        <w:rPr>
          <w:rFonts w:ascii="Times New Roman" w:hAnsi="Times New Roman"/>
          <w:color w:val="auto"/>
          <w:sz w:val="24"/>
          <w:szCs w:val="24"/>
        </w:rPr>
        <w:t>)</w:t>
      </w:r>
      <w:r w:rsidRPr="00125A2F">
        <w:rPr>
          <w:rFonts w:ascii="Times New Roman" w:hAnsi="Times New Roman"/>
          <w:color w:val="auto"/>
          <w:sz w:val="24"/>
          <w:szCs w:val="24"/>
        </w:rPr>
        <w:t>.</w:t>
      </w:r>
    </w:p>
    <w:p w14:paraId="4E1BA2E0" w14:textId="7C3A4876" w:rsidR="008C283F" w:rsidRPr="00125A2F" w:rsidRDefault="008C283F" w:rsidP="008C283F">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 xml:space="preserve">Extensive research on antagonistic yeasts has gradually refined the criteria for screening these yeasts as BCAs </w:t>
      </w:r>
      <w:r w:rsidR="00E0793A">
        <w:rPr>
          <w:rFonts w:ascii="Times New Roman" w:hAnsi="Times New Roman"/>
          <w:color w:val="auto"/>
          <w:sz w:val="24"/>
          <w:szCs w:val="24"/>
        </w:rPr>
        <w:t>(</w:t>
      </w:r>
      <w:r w:rsidR="00E0793A" w:rsidRPr="00E0793A">
        <w:rPr>
          <w:rFonts w:ascii="Times New Roman" w:hAnsi="Times New Roman"/>
          <w:sz w:val="24"/>
        </w:rPr>
        <w:t>Jimenez and Köhl 2020</w:t>
      </w:r>
      <w:r w:rsidR="00E0793A">
        <w:rPr>
          <w:rFonts w:ascii="Times New Roman" w:hAnsi="Times New Roman"/>
          <w:color w:val="auto"/>
          <w:sz w:val="24"/>
          <w:szCs w:val="24"/>
        </w:rPr>
        <w:t>)</w:t>
      </w:r>
      <w:r w:rsidRPr="00125A2F">
        <w:rPr>
          <w:rFonts w:ascii="Times New Roman" w:hAnsi="Times New Roman"/>
          <w:color w:val="auto"/>
          <w:sz w:val="24"/>
          <w:szCs w:val="24"/>
        </w:rPr>
        <w:t xml:space="preserve">. Ideally, antagonistic yeasts should be genetically stable, have simple nutrient requirements, perform effectively under challenging environmental conditions and at low concentrations, and target multiple fungal pathogens across different fruits </w:t>
      </w:r>
      <w:r w:rsidR="00DE6750">
        <w:rPr>
          <w:rFonts w:ascii="Times New Roman" w:hAnsi="Times New Roman"/>
          <w:color w:val="auto"/>
          <w:sz w:val="24"/>
          <w:szCs w:val="24"/>
        </w:rPr>
        <w:t>(</w:t>
      </w:r>
      <w:proofErr w:type="spellStart"/>
      <w:r w:rsidR="00DE6750" w:rsidRPr="00DE6750">
        <w:rPr>
          <w:rFonts w:ascii="Times New Roman" w:hAnsi="Times New Roman"/>
          <w:color w:val="auto"/>
          <w:sz w:val="24"/>
          <w:szCs w:val="24"/>
        </w:rPr>
        <w:t>Dukare</w:t>
      </w:r>
      <w:proofErr w:type="spellEnd"/>
      <w:r w:rsidR="00DE6750" w:rsidRPr="00DE6750">
        <w:rPr>
          <w:rFonts w:ascii="Times New Roman" w:hAnsi="Times New Roman"/>
          <w:color w:val="auto"/>
          <w:sz w:val="24"/>
          <w:szCs w:val="24"/>
        </w:rPr>
        <w:t xml:space="preserve"> et al. 2019</w:t>
      </w:r>
      <w:r w:rsidR="00DE6750">
        <w:rPr>
          <w:rFonts w:ascii="Times New Roman" w:hAnsi="Times New Roman"/>
          <w:color w:val="auto"/>
          <w:sz w:val="24"/>
        </w:rPr>
        <w:t xml:space="preserve">; </w:t>
      </w:r>
      <w:r w:rsidR="00DE6750" w:rsidRPr="00DE6750">
        <w:rPr>
          <w:rFonts w:ascii="Times New Roman" w:hAnsi="Times New Roman"/>
          <w:color w:val="auto"/>
          <w:sz w:val="24"/>
        </w:rPr>
        <w:t>Nunes 2012</w:t>
      </w:r>
      <w:r w:rsidR="00DE6750">
        <w:rPr>
          <w:rFonts w:ascii="Times New Roman" w:hAnsi="Times New Roman"/>
          <w:color w:val="auto"/>
          <w:sz w:val="24"/>
          <w:szCs w:val="24"/>
        </w:rPr>
        <w:t>)</w:t>
      </w:r>
      <w:r w:rsidRPr="00125A2F">
        <w:rPr>
          <w:rFonts w:ascii="Times New Roman" w:hAnsi="Times New Roman"/>
          <w:color w:val="auto"/>
          <w:sz w:val="24"/>
          <w:szCs w:val="24"/>
        </w:rPr>
        <w:t xml:space="preserve">. Using antagonistic yeasts as BCAs offers an innovative and environmentally friendly approach to pest control and provides a valuable alternative to synthetic fungicides. Yeasts show great promise as biocontrol agents for pre- and post-harvest diseases, with significant progress already made in their use </w:t>
      </w:r>
      <w:r w:rsidR="004B507B">
        <w:rPr>
          <w:rFonts w:ascii="Times New Roman" w:hAnsi="Times New Roman"/>
          <w:color w:val="auto"/>
          <w:sz w:val="24"/>
          <w:szCs w:val="24"/>
        </w:rPr>
        <w:t>(</w:t>
      </w:r>
      <w:r w:rsidR="00E0793A" w:rsidRPr="00E0793A">
        <w:rPr>
          <w:rFonts w:ascii="Times New Roman" w:hAnsi="Times New Roman"/>
          <w:color w:val="auto"/>
          <w:sz w:val="24"/>
          <w:szCs w:val="24"/>
        </w:rPr>
        <w:t xml:space="preserve">Di </w:t>
      </w:r>
      <w:proofErr w:type="spellStart"/>
      <w:r w:rsidR="00E0793A" w:rsidRPr="00E0793A">
        <w:rPr>
          <w:rFonts w:ascii="Times New Roman" w:hAnsi="Times New Roman"/>
          <w:color w:val="auto"/>
          <w:sz w:val="24"/>
          <w:szCs w:val="24"/>
        </w:rPr>
        <w:t>Canito</w:t>
      </w:r>
      <w:proofErr w:type="spellEnd"/>
      <w:r w:rsidR="00E0793A" w:rsidRPr="00E0793A">
        <w:rPr>
          <w:rFonts w:ascii="Times New Roman" w:hAnsi="Times New Roman"/>
          <w:color w:val="auto"/>
          <w:sz w:val="24"/>
          <w:szCs w:val="24"/>
        </w:rPr>
        <w:t xml:space="preserve"> et al. 2021</w:t>
      </w:r>
      <w:r w:rsidR="00E0793A">
        <w:rPr>
          <w:rFonts w:ascii="Times New Roman" w:hAnsi="Times New Roman"/>
          <w:color w:val="auto"/>
          <w:sz w:val="24"/>
          <w:szCs w:val="24"/>
        </w:rPr>
        <w:t xml:space="preserve">; </w:t>
      </w:r>
      <w:r w:rsidR="000F3BCD" w:rsidRPr="000F3BCD">
        <w:rPr>
          <w:rFonts w:ascii="Times New Roman" w:hAnsi="Times New Roman"/>
          <w:color w:val="auto"/>
          <w:sz w:val="24"/>
        </w:rPr>
        <w:t>Reyes-Bravo et al. 2021</w:t>
      </w:r>
      <w:r w:rsidR="000F3BCD">
        <w:rPr>
          <w:rFonts w:ascii="Times New Roman" w:hAnsi="Times New Roman"/>
          <w:color w:val="auto"/>
          <w:sz w:val="24"/>
        </w:rPr>
        <w:t xml:space="preserve">; </w:t>
      </w:r>
      <w:r w:rsidR="00F16EF8" w:rsidRPr="00F16EF8">
        <w:rPr>
          <w:rFonts w:ascii="Times New Roman" w:hAnsi="Times New Roman"/>
          <w:color w:val="auto"/>
          <w:sz w:val="24"/>
        </w:rPr>
        <w:t>Salerno et al. 2024</w:t>
      </w:r>
      <w:r w:rsidR="00F16EF8">
        <w:rPr>
          <w:rFonts w:ascii="Times New Roman" w:hAnsi="Times New Roman"/>
          <w:color w:val="auto"/>
          <w:sz w:val="24"/>
        </w:rPr>
        <w:t xml:space="preserve">; </w:t>
      </w:r>
      <w:r w:rsidR="004B507B" w:rsidRPr="004B507B">
        <w:rPr>
          <w:rFonts w:ascii="Times New Roman" w:hAnsi="Times New Roman"/>
          <w:color w:val="auto"/>
          <w:sz w:val="24"/>
        </w:rPr>
        <w:t>Zhang et al. 2020b</w:t>
      </w:r>
      <w:r w:rsidR="004B507B">
        <w:rPr>
          <w:rFonts w:ascii="Times New Roman" w:hAnsi="Times New Roman"/>
          <w:color w:val="auto"/>
          <w:sz w:val="24"/>
          <w:szCs w:val="24"/>
        </w:rPr>
        <w:t>)</w:t>
      </w:r>
      <w:r w:rsidRPr="00125A2F">
        <w:rPr>
          <w:rFonts w:ascii="Times New Roman" w:hAnsi="Times New Roman"/>
          <w:color w:val="auto"/>
          <w:sz w:val="24"/>
          <w:szCs w:val="24"/>
        </w:rPr>
        <w:t>.</w:t>
      </w:r>
    </w:p>
    <w:p w14:paraId="15445627" w14:textId="3D387B3D" w:rsidR="008C283F" w:rsidRPr="005E5A8A" w:rsidRDefault="008C283F" w:rsidP="008C283F">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 xml:space="preserve">However, using antagonistic yeasts alone still cannot fully replace synthetic fungicides. In most cases, postharvest biocontrol systems face challenges, including limited understanding of the complex interactions among components such as antagonistic yeast, pathogens, hosts, natural microbiomes, and the environment </w:t>
      </w:r>
      <w:r w:rsidR="00742148">
        <w:rPr>
          <w:rFonts w:ascii="Times New Roman" w:hAnsi="Times New Roman"/>
          <w:color w:val="auto"/>
          <w:sz w:val="24"/>
          <w:szCs w:val="24"/>
        </w:rPr>
        <w:t>(</w:t>
      </w:r>
      <w:r w:rsidR="00742148" w:rsidRPr="00742148">
        <w:rPr>
          <w:rFonts w:ascii="Times New Roman" w:hAnsi="Times New Roman"/>
          <w:color w:val="auto"/>
          <w:sz w:val="24"/>
        </w:rPr>
        <w:t>Zhang et al. 2020a</w:t>
      </w:r>
      <w:r w:rsidR="00742148">
        <w:rPr>
          <w:rFonts w:ascii="Times New Roman" w:hAnsi="Times New Roman"/>
          <w:color w:val="auto"/>
          <w:sz w:val="24"/>
          <w:szCs w:val="24"/>
        </w:rPr>
        <w:t>)</w:t>
      </w:r>
      <w:r w:rsidRPr="00125A2F">
        <w:rPr>
          <w:rFonts w:ascii="Times New Roman" w:hAnsi="Times New Roman"/>
          <w:color w:val="auto"/>
          <w:sz w:val="24"/>
          <w:szCs w:val="24"/>
        </w:rPr>
        <w:t xml:space="preserve">. Despite decades of research, our knowledge of these interactions remains limited. There is still a need for essential information about how BCA colonizes, survives, and differentiates in postharvest biocontrol systems, including its physiology, genetic traits, and molecular mechanisms. To date, several potential fungistatic mechanisms have been proposed to control postharvest fruit diseases, including biofilm formation and competition for space and nutrients with pathogens, secretion </w:t>
      </w:r>
      <w:r w:rsidRPr="00125A2F">
        <w:rPr>
          <w:rFonts w:ascii="Times New Roman" w:hAnsi="Times New Roman"/>
          <w:color w:val="auto"/>
          <w:sz w:val="24"/>
          <w:szCs w:val="24"/>
        </w:rPr>
        <w:lastRenderedPageBreak/>
        <w:t xml:space="preserve">of antifungal antibiotics, direct parasitism of pathogens, and induction of host resistance by microbial antagonists </w:t>
      </w:r>
      <w:r w:rsidR="00742148">
        <w:rPr>
          <w:rFonts w:ascii="Times New Roman" w:hAnsi="Times New Roman"/>
          <w:color w:val="auto"/>
          <w:sz w:val="24"/>
          <w:szCs w:val="24"/>
        </w:rPr>
        <w:t>(</w:t>
      </w:r>
      <w:proofErr w:type="spellStart"/>
      <w:r w:rsidR="00DE6750" w:rsidRPr="00DE6750">
        <w:rPr>
          <w:rFonts w:ascii="Times New Roman" w:hAnsi="Times New Roman"/>
          <w:color w:val="auto"/>
          <w:sz w:val="24"/>
          <w:szCs w:val="24"/>
        </w:rPr>
        <w:t>Dukare</w:t>
      </w:r>
      <w:proofErr w:type="spellEnd"/>
      <w:r w:rsidR="00DE6750" w:rsidRPr="00DE6750">
        <w:rPr>
          <w:rFonts w:ascii="Times New Roman" w:hAnsi="Times New Roman"/>
          <w:color w:val="auto"/>
          <w:sz w:val="24"/>
          <w:szCs w:val="24"/>
        </w:rPr>
        <w:t xml:space="preserve"> et al. 2019</w:t>
      </w:r>
      <w:r w:rsidR="00DE6750">
        <w:rPr>
          <w:rFonts w:ascii="Times New Roman" w:hAnsi="Times New Roman"/>
          <w:color w:val="auto"/>
          <w:sz w:val="24"/>
          <w:szCs w:val="24"/>
        </w:rPr>
        <w:t xml:space="preserve">; </w:t>
      </w:r>
      <w:r w:rsidR="00742148" w:rsidRPr="00742148">
        <w:rPr>
          <w:rFonts w:ascii="Times New Roman" w:hAnsi="Times New Roman"/>
          <w:color w:val="auto"/>
          <w:sz w:val="24"/>
        </w:rPr>
        <w:t>Zhang et al. 2020a</w:t>
      </w:r>
      <w:r w:rsidR="00742148">
        <w:rPr>
          <w:rFonts w:ascii="Times New Roman" w:hAnsi="Times New Roman"/>
          <w:color w:val="auto"/>
          <w:sz w:val="24"/>
          <w:szCs w:val="24"/>
        </w:rPr>
        <w:t>)</w:t>
      </w:r>
      <w:r w:rsidRPr="00125A2F">
        <w:rPr>
          <w:rFonts w:ascii="Times New Roman" w:hAnsi="Times New Roman"/>
          <w:color w:val="auto"/>
          <w:sz w:val="24"/>
          <w:szCs w:val="24"/>
        </w:rPr>
        <w:t xml:space="preserve">. Among these, the induction of host resistance by biological control agents is considered the primary method for enhancing fruit resistance to postharvest </w:t>
      </w:r>
      <w:r w:rsidRPr="005E5A8A">
        <w:rPr>
          <w:rFonts w:ascii="Times New Roman" w:hAnsi="Times New Roman"/>
          <w:color w:val="auto"/>
          <w:sz w:val="24"/>
          <w:szCs w:val="24"/>
        </w:rPr>
        <w:t xml:space="preserve">diseases </w:t>
      </w:r>
      <w:r w:rsidR="005E5A8A" w:rsidRPr="005E5A8A">
        <w:rPr>
          <w:rFonts w:ascii="Times New Roman" w:hAnsi="Times New Roman"/>
          <w:color w:val="auto"/>
          <w:sz w:val="24"/>
          <w:szCs w:val="24"/>
        </w:rPr>
        <w:t>(</w:t>
      </w:r>
      <w:proofErr w:type="spellStart"/>
      <w:r w:rsidR="005E5A8A" w:rsidRPr="005E5A8A">
        <w:rPr>
          <w:rFonts w:ascii="Times New Roman" w:hAnsi="Times New Roman"/>
          <w:color w:val="auto"/>
          <w:sz w:val="24"/>
          <w:szCs w:val="24"/>
        </w:rPr>
        <w:t>Romanazzi</w:t>
      </w:r>
      <w:proofErr w:type="spellEnd"/>
      <w:r w:rsidR="005E5A8A" w:rsidRPr="005E5A8A">
        <w:rPr>
          <w:rFonts w:ascii="Times New Roman" w:hAnsi="Times New Roman"/>
          <w:color w:val="auto"/>
          <w:sz w:val="24"/>
          <w:szCs w:val="24"/>
        </w:rPr>
        <w:t xml:space="preserve"> et al. 2016)</w:t>
      </w:r>
      <w:r w:rsidRPr="005E5A8A">
        <w:rPr>
          <w:rFonts w:ascii="Times New Roman" w:hAnsi="Times New Roman"/>
          <w:color w:val="auto"/>
          <w:sz w:val="24"/>
          <w:szCs w:val="24"/>
        </w:rPr>
        <w:t>.</w:t>
      </w:r>
    </w:p>
    <w:p w14:paraId="79A9C36C" w14:textId="3317AAD0" w:rsidR="008C283F" w:rsidRPr="00125A2F" w:rsidRDefault="008C283F" w:rsidP="008C283F">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 xml:space="preserve">Strategies to improve the efficacy of biocontrol have gradually advanced by combining antagonistic yeasts with plant hormones, which help trigger host resistance to disease by microbial antagonists </w:t>
      </w:r>
      <w:r w:rsidR="00EB2C85">
        <w:rPr>
          <w:rFonts w:ascii="Times New Roman" w:hAnsi="Times New Roman"/>
          <w:color w:val="auto"/>
          <w:sz w:val="24"/>
          <w:szCs w:val="24"/>
        </w:rPr>
        <w:t>(</w:t>
      </w:r>
      <w:r w:rsidR="00846DD9" w:rsidRPr="00846DD9">
        <w:rPr>
          <w:rFonts w:ascii="Times New Roman" w:hAnsi="Times New Roman"/>
          <w:color w:val="auto"/>
          <w:sz w:val="24"/>
          <w:szCs w:val="24"/>
        </w:rPr>
        <w:t>Cheng et al. 2019</w:t>
      </w:r>
      <w:r w:rsidR="00846DD9">
        <w:rPr>
          <w:rFonts w:ascii="Times New Roman" w:hAnsi="Times New Roman"/>
          <w:color w:val="auto"/>
          <w:sz w:val="24"/>
        </w:rPr>
        <w:t xml:space="preserve">; </w:t>
      </w:r>
      <w:r w:rsidR="000D3BD4" w:rsidRPr="000D3BD4">
        <w:rPr>
          <w:rFonts w:ascii="Times New Roman" w:hAnsi="Times New Roman"/>
          <w:color w:val="auto"/>
          <w:sz w:val="24"/>
        </w:rPr>
        <w:t xml:space="preserve">Farahani and </w:t>
      </w:r>
      <w:proofErr w:type="spellStart"/>
      <w:r w:rsidR="000D3BD4" w:rsidRPr="000D3BD4">
        <w:rPr>
          <w:rFonts w:ascii="Times New Roman" w:hAnsi="Times New Roman"/>
          <w:color w:val="auto"/>
          <w:sz w:val="24"/>
        </w:rPr>
        <w:t>Etebarian</w:t>
      </w:r>
      <w:proofErr w:type="spellEnd"/>
      <w:r w:rsidR="000D3BD4" w:rsidRPr="000D3BD4">
        <w:rPr>
          <w:rFonts w:ascii="Times New Roman" w:hAnsi="Times New Roman"/>
          <w:color w:val="auto"/>
          <w:sz w:val="24"/>
        </w:rPr>
        <w:t xml:space="preserve"> 2012;</w:t>
      </w:r>
      <w:r w:rsidR="000D3BD4" w:rsidRPr="000D3BD4">
        <w:rPr>
          <w:color w:val="auto"/>
          <w:sz w:val="24"/>
        </w:rPr>
        <w:t xml:space="preserve"> </w:t>
      </w:r>
      <w:r w:rsidR="00EB2C85" w:rsidRPr="00EB2C85">
        <w:rPr>
          <w:rFonts w:ascii="Times New Roman" w:hAnsi="Times New Roman"/>
          <w:color w:val="auto"/>
          <w:sz w:val="24"/>
        </w:rPr>
        <w:t>Qin et al. 2003</w:t>
      </w:r>
      <w:r w:rsidR="000D3BD4">
        <w:rPr>
          <w:rFonts w:ascii="Times New Roman" w:hAnsi="Times New Roman"/>
          <w:color w:val="auto"/>
          <w:sz w:val="24"/>
        </w:rPr>
        <w:t xml:space="preserve">; </w:t>
      </w:r>
      <w:r w:rsidR="000D3BD4" w:rsidRPr="000D3BD4">
        <w:rPr>
          <w:rFonts w:ascii="Times New Roman" w:hAnsi="Times New Roman"/>
          <w:color w:val="auto"/>
          <w:sz w:val="24"/>
        </w:rPr>
        <w:t>Xu et al. 2008</w:t>
      </w:r>
      <w:r w:rsidR="00EB2C85">
        <w:rPr>
          <w:rFonts w:ascii="Times New Roman" w:hAnsi="Times New Roman"/>
          <w:color w:val="auto"/>
          <w:sz w:val="24"/>
          <w:szCs w:val="24"/>
        </w:rPr>
        <w:t>)</w:t>
      </w:r>
      <w:r w:rsidRPr="00125A2F">
        <w:rPr>
          <w:rFonts w:ascii="Times New Roman" w:hAnsi="Times New Roman"/>
          <w:color w:val="auto"/>
          <w:sz w:val="24"/>
          <w:szCs w:val="24"/>
        </w:rPr>
        <w:t xml:space="preserve">, with chemicals </w:t>
      </w:r>
      <w:r w:rsidR="00EB2C85" w:rsidRPr="005E6E9F">
        <w:rPr>
          <w:rFonts w:ascii="Times New Roman" w:hAnsi="Times New Roman"/>
          <w:color w:val="auto"/>
          <w:sz w:val="24"/>
          <w:szCs w:val="24"/>
        </w:rPr>
        <w:t>(</w:t>
      </w:r>
      <w:proofErr w:type="spellStart"/>
      <w:r w:rsidR="005E6E9F" w:rsidRPr="005E6E9F">
        <w:rPr>
          <w:rFonts w:ascii="Times New Roman" w:hAnsi="Times New Roman"/>
          <w:color w:val="auto"/>
          <w:sz w:val="24"/>
          <w:szCs w:val="24"/>
        </w:rPr>
        <w:t>Gramisci</w:t>
      </w:r>
      <w:proofErr w:type="spellEnd"/>
      <w:r w:rsidR="005E6E9F" w:rsidRPr="005E6E9F">
        <w:rPr>
          <w:rFonts w:ascii="Times New Roman" w:hAnsi="Times New Roman"/>
          <w:color w:val="auto"/>
          <w:sz w:val="24"/>
          <w:szCs w:val="24"/>
        </w:rPr>
        <w:t xml:space="preserve"> et al. 2018;</w:t>
      </w:r>
      <w:r w:rsidR="005E6E9F">
        <w:rPr>
          <w:rFonts w:ascii="Times New Roman" w:hAnsi="Times New Roman"/>
          <w:color w:val="auto"/>
          <w:sz w:val="24"/>
          <w:szCs w:val="24"/>
        </w:rPr>
        <w:t xml:space="preserve"> </w:t>
      </w:r>
      <w:r w:rsidR="005E6E9F" w:rsidRPr="005E6E9F">
        <w:rPr>
          <w:rFonts w:ascii="Times New Roman" w:hAnsi="Times New Roman"/>
          <w:color w:val="auto"/>
          <w:sz w:val="24"/>
          <w:szCs w:val="24"/>
        </w:rPr>
        <w:t>Shao et al. 2019</w:t>
      </w:r>
      <w:r w:rsidR="005E6E9F">
        <w:rPr>
          <w:rFonts w:ascii="Times New Roman" w:hAnsi="Times New Roman"/>
          <w:color w:val="auto"/>
          <w:sz w:val="24"/>
          <w:szCs w:val="24"/>
        </w:rPr>
        <w:t xml:space="preserve">; </w:t>
      </w:r>
      <w:r w:rsidR="005E6E9F" w:rsidRPr="005E6E9F">
        <w:rPr>
          <w:rFonts w:ascii="Times New Roman" w:hAnsi="Times New Roman"/>
          <w:color w:val="auto"/>
          <w:sz w:val="24"/>
          <w:szCs w:val="24"/>
        </w:rPr>
        <w:t>Zheng et al. 2019</w:t>
      </w:r>
      <w:r w:rsidR="005E6E9F">
        <w:rPr>
          <w:rFonts w:ascii="Times New Roman" w:hAnsi="Times New Roman"/>
          <w:color w:val="auto"/>
          <w:sz w:val="24"/>
        </w:rPr>
        <w:t xml:space="preserve">; </w:t>
      </w:r>
      <w:r w:rsidR="00EB2C85" w:rsidRPr="00EB2C85">
        <w:rPr>
          <w:rFonts w:ascii="Times New Roman" w:hAnsi="Times New Roman"/>
          <w:color w:val="auto"/>
          <w:sz w:val="24"/>
        </w:rPr>
        <w:t>Zhou et al. 2016</w:t>
      </w:r>
      <w:r w:rsidR="00EB2C85">
        <w:rPr>
          <w:rFonts w:ascii="Times New Roman" w:hAnsi="Times New Roman"/>
          <w:color w:val="auto"/>
          <w:sz w:val="24"/>
          <w:szCs w:val="24"/>
        </w:rPr>
        <w:t>)</w:t>
      </w:r>
      <w:r w:rsidRPr="00125A2F">
        <w:rPr>
          <w:rFonts w:ascii="Times New Roman" w:hAnsi="Times New Roman"/>
          <w:color w:val="auto"/>
          <w:sz w:val="24"/>
          <w:szCs w:val="24"/>
        </w:rPr>
        <w:t xml:space="preserve">, or physical treatments </w:t>
      </w:r>
      <w:r w:rsidR="00BF3507">
        <w:rPr>
          <w:rFonts w:ascii="Times New Roman" w:hAnsi="Times New Roman"/>
          <w:color w:val="auto"/>
          <w:sz w:val="24"/>
          <w:szCs w:val="24"/>
        </w:rPr>
        <w:t>(</w:t>
      </w:r>
      <w:r w:rsidR="00BF3507" w:rsidRPr="00BF3507">
        <w:rPr>
          <w:rFonts w:ascii="Times New Roman" w:hAnsi="Times New Roman"/>
          <w:color w:val="auto"/>
          <w:sz w:val="24"/>
          <w:szCs w:val="24"/>
        </w:rPr>
        <w:t>Zong et al. 2010)</w:t>
      </w:r>
      <w:r w:rsidRPr="00BF3507">
        <w:rPr>
          <w:rFonts w:ascii="Times New Roman" w:hAnsi="Times New Roman"/>
          <w:color w:val="auto"/>
          <w:sz w:val="24"/>
          <w:szCs w:val="24"/>
        </w:rPr>
        <w:t>;</w:t>
      </w:r>
      <w:r w:rsidRPr="00125A2F">
        <w:rPr>
          <w:rFonts w:ascii="Times New Roman" w:hAnsi="Times New Roman"/>
          <w:color w:val="auto"/>
          <w:sz w:val="24"/>
          <w:szCs w:val="24"/>
        </w:rPr>
        <w:t xml:space="preserve"> using a mix of antagonistic </w:t>
      </w:r>
      <w:r w:rsidRPr="008B4EA3">
        <w:rPr>
          <w:rFonts w:ascii="Times New Roman" w:hAnsi="Times New Roman"/>
          <w:color w:val="auto"/>
          <w:sz w:val="24"/>
          <w:szCs w:val="24"/>
        </w:rPr>
        <w:t xml:space="preserve">yeasts </w:t>
      </w:r>
      <w:r w:rsidR="00A7073B" w:rsidRPr="008B4EA3">
        <w:rPr>
          <w:rFonts w:ascii="Times New Roman" w:hAnsi="Times New Roman"/>
          <w:color w:val="auto"/>
          <w:sz w:val="24"/>
          <w:szCs w:val="24"/>
        </w:rPr>
        <w:t>(</w:t>
      </w:r>
      <w:r w:rsidR="008B4EA3" w:rsidRPr="008B4EA3">
        <w:rPr>
          <w:rFonts w:ascii="Times New Roman" w:hAnsi="Times New Roman"/>
          <w:color w:val="auto"/>
          <w:sz w:val="24"/>
          <w:szCs w:val="24"/>
        </w:rPr>
        <w:t xml:space="preserve">Maciag et al. 2023; </w:t>
      </w:r>
      <w:r w:rsidR="00A7073B" w:rsidRPr="008B4EA3">
        <w:rPr>
          <w:rFonts w:ascii="Times New Roman" w:hAnsi="Times New Roman"/>
          <w:color w:val="auto"/>
          <w:sz w:val="24"/>
          <w:szCs w:val="24"/>
        </w:rPr>
        <w:t xml:space="preserve">Öztekin and </w:t>
      </w:r>
      <w:proofErr w:type="spellStart"/>
      <w:r w:rsidR="00A7073B" w:rsidRPr="008B4EA3">
        <w:rPr>
          <w:rFonts w:ascii="Times New Roman" w:hAnsi="Times New Roman"/>
          <w:color w:val="auto"/>
          <w:sz w:val="24"/>
          <w:szCs w:val="24"/>
        </w:rPr>
        <w:t>Kar</w:t>
      </w:r>
      <w:r w:rsidR="00A7073B" w:rsidRPr="00A7073B">
        <w:rPr>
          <w:rFonts w:ascii="Times New Roman" w:hAnsi="Times New Roman"/>
          <w:color w:val="auto"/>
          <w:sz w:val="24"/>
        </w:rPr>
        <w:t>bancioglu</w:t>
      </w:r>
      <w:proofErr w:type="spellEnd"/>
      <w:r w:rsidR="00A7073B" w:rsidRPr="00A7073B">
        <w:rPr>
          <w:rFonts w:ascii="Times New Roman" w:hAnsi="Times New Roman"/>
          <w:color w:val="auto"/>
          <w:sz w:val="24"/>
        </w:rPr>
        <w:t>-Guler 2023</w:t>
      </w:r>
      <w:r w:rsidR="00A7073B">
        <w:rPr>
          <w:rFonts w:ascii="Times New Roman" w:hAnsi="Times New Roman"/>
          <w:color w:val="auto"/>
          <w:sz w:val="24"/>
          <w:szCs w:val="24"/>
        </w:rPr>
        <w:t>)</w:t>
      </w:r>
      <w:r w:rsidRPr="00125A2F">
        <w:rPr>
          <w:rFonts w:ascii="Times New Roman" w:hAnsi="Times New Roman"/>
          <w:color w:val="auto"/>
          <w:sz w:val="24"/>
          <w:szCs w:val="24"/>
        </w:rPr>
        <w:t xml:space="preserve">; developing composite microorganisms </w:t>
      </w:r>
      <w:r w:rsidR="008B4EA3">
        <w:rPr>
          <w:rFonts w:ascii="Times New Roman" w:hAnsi="Times New Roman"/>
          <w:color w:val="auto"/>
          <w:sz w:val="24"/>
          <w:szCs w:val="24"/>
        </w:rPr>
        <w:t>(</w:t>
      </w:r>
      <w:r w:rsidR="008B4EA3" w:rsidRPr="008B4EA3">
        <w:rPr>
          <w:rFonts w:ascii="Times New Roman" w:hAnsi="Times New Roman"/>
          <w:color w:val="auto"/>
          <w:sz w:val="24"/>
        </w:rPr>
        <w:t>Chen et al. 2025</w:t>
      </w:r>
      <w:r w:rsidR="008B4EA3">
        <w:rPr>
          <w:rFonts w:ascii="Times New Roman" w:hAnsi="Times New Roman"/>
          <w:color w:val="auto"/>
          <w:sz w:val="24"/>
          <w:szCs w:val="24"/>
        </w:rPr>
        <w:t>)</w:t>
      </w:r>
      <w:r w:rsidRPr="00125A2F">
        <w:rPr>
          <w:rFonts w:ascii="Times New Roman" w:hAnsi="Times New Roman"/>
          <w:color w:val="auto"/>
          <w:sz w:val="24"/>
          <w:szCs w:val="24"/>
        </w:rPr>
        <w:t xml:space="preserve">; and genetically modifying antagonistic yeasts </w:t>
      </w:r>
      <w:r w:rsidR="00205408">
        <w:rPr>
          <w:rFonts w:ascii="Times New Roman" w:hAnsi="Times New Roman"/>
          <w:color w:val="auto"/>
          <w:sz w:val="24"/>
          <w:szCs w:val="24"/>
        </w:rPr>
        <w:t>(</w:t>
      </w:r>
      <w:r w:rsidR="00205408" w:rsidRPr="00205408">
        <w:rPr>
          <w:rFonts w:ascii="Times New Roman" w:hAnsi="Times New Roman"/>
          <w:color w:val="auto"/>
          <w:sz w:val="24"/>
        </w:rPr>
        <w:t>Zhao et al. 2020</w:t>
      </w:r>
      <w:r w:rsidR="00205408">
        <w:rPr>
          <w:rFonts w:ascii="Times New Roman" w:hAnsi="Times New Roman"/>
          <w:color w:val="auto"/>
          <w:sz w:val="24"/>
          <w:szCs w:val="24"/>
        </w:rPr>
        <w:t>)</w:t>
      </w:r>
      <w:r w:rsidRPr="00125A2F">
        <w:rPr>
          <w:rFonts w:ascii="Times New Roman" w:hAnsi="Times New Roman"/>
          <w:color w:val="auto"/>
          <w:sz w:val="24"/>
          <w:szCs w:val="24"/>
        </w:rPr>
        <w:t>.</w:t>
      </w:r>
    </w:p>
    <w:p w14:paraId="00BAFB5A" w14:textId="62FB468A" w:rsidR="008C283F" w:rsidRPr="00125A2F" w:rsidRDefault="008C283F" w:rsidP="008C283F">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 xml:space="preserve">The combination of </w:t>
      </w:r>
      <w:r w:rsidRPr="00125A2F">
        <w:rPr>
          <w:rFonts w:ascii="Times New Roman" w:hAnsi="Times New Roman"/>
          <w:i/>
          <w:color w:val="auto"/>
          <w:sz w:val="24"/>
          <w:szCs w:val="24"/>
        </w:rPr>
        <w:t xml:space="preserve">H. </w:t>
      </w:r>
      <w:proofErr w:type="spellStart"/>
      <w:r w:rsidRPr="00125A2F">
        <w:rPr>
          <w:rFonts w:ascii="Times New Roman" w:hAnsi="Times New Roman"/>
          <w:i/>
          <w:color w:val="auto"/>
          <w:sz w:val="24"/>
          <w:szCs w:val="24"/>
        </w:rPr>
        <w:t>uvarum</w:t>
      </w:r>
      <w:proofErr w:type="spellEnd"/>
      <w:r w:rsidRPr="00125A2F">
        <w:rPr>
          <w:rFonts w:ascii="Times New Roman" w:hAnsi="Times New Roman"/>
          <w:color w:val="auto"/>
          <w:sz w:val="24"/>
          <w:szCs w:val="24"/>
        </w:rPr>
        <w:t xml:space="preserve"> and β-aminobutyric acid (BABA) provided better control of postharvest disease than either treatment alone. </w:t>
      </w:r>
      <w:r w:rsidRPr="00125A2F">
        <w:rPr>
          <w:rFonts w:ascii="Times New Roman" w:hAnsi="Times New Roman"/>
          <w:i/>
          <w:color w:val="auto"/>
          <w:sz w:val="24"/>
          <w:szCs w:val="24"/>
        </w:rPr>
        <w:t xml:space="preserve">H. </w:t>
      </w:r>
      <w:proofErr w:type="spellStart"/>
      <w:r w:rsidRPr="00125A2F">
        <w:rPr>
          <w:rFonts w:ascii="Times New Roman" w:hAnsi="Times New Roman"/>
          <w:i/>
          <w:color w:val="auto"/>
          <w:sz w:val="24"/>
          <w:szCs w:val="24"/>
        </w:rPr>
        <w:t>uvarum</w:t>
      </w:r>
      <w:proofErr w:type="spellEnd"/>
      <w:r w:rsidRPr="00125A2F">
        <w:rPr>
          <w:rFonts w:ascii="Times New Roman" w:hAnsi="Times New Roman"/>
          <w:color w:val="auto"/>
          <w:sz w:val="24"/>
          <w:szCs w:val="24"/>
        </w:rPr>
        <w:t xml:space="preserve"> growth in kiwifruit wounds was unaffected by BABA. Treating kiwifruit with </w:t>
      </w:r>
      <w:r w:rsidRPr="00125A2F">
        <w:rPr>
          <w:rFonts w:ascii="Times New Roman" w:hAnsi="Times New Roman"/>
          <w:i/>
          <w:color w:val="auto"/>
          <w:sz w:val="24"/>
          <w:szCs w:val="24"/>
        </w:rPr>
        <w:t xml:space="preserve">H. </w:t>
      </w:r>
      <w:proofErr w:type="spellStart"/>
      <w:r w:rsidRPr="00125A2F">
        <w:rPr>
          <w:rFonts w:ascii="Times New Roman" w:hAnsi="Times New Roman"/>
          <w:i/>
          <w:color w:val="auto"/>
          <w:sz w:val="24"/>
          <w:szCs w:val="24"/>
        </w:rPr>
        <w:t>uvarum</w:t>
      </w:r>
      <w:proofErr w:type="spellEnd"/>
      <w:r w:rsidRPr="00125A2F">
        <w:rPr>
          <w:rFonts w:ascii="Times New Roman" w:hAnsi="Times New Roman"/>
          <w:color w:val="auto"/>
          <w:sz w:val="24"/>
          <w:szCs w:val="24"/>
        </w:rPr>
        <w:t xml:space="preserve">, BABA, or both increased the gene expression and enzyme activity of chitinase and β-1,3-glucanase in the fruit. BABA's ability to enhance the biological control efficacy of </w:t>
      </w:r>
      <w:r w:rsidRPr="00125A2F">
        <w:rPr>
          <w:rFonts w:ascii="Times New Roman" w:hAnsi="Times New Roman"/>
          <w:i/>
          <w:color w:val="auto"/>
          <w:sz w:val="24"/>
          <w:szCs w:val="24"/>
        </w:rPr>
        <w:t xml:space="preserve">H. </w:t>
      </w:r>
      <w:proofErr w:type="spellStart"/>
      <w:r w:rsidRPr="00125A2F">
        <w:rPr>
          <w:rFonts w:ascii="Times New Roman" w:hAnsi="Times New Roman"/>
          <w:i/>
          <w:color w:val="auto"/>
          <w:sz w:val="24"/>
          <w:szCs w:val="24"/>
        </w:rPr>
        <w:t>uvarum</w:t>
      </w:r>
      <w:proofErr w:type="spellEnd"/>
      <w:r w:rsidRPr="00125A2F">
        <w:rPr>
          <w:rFonts w:ascii="Times New Roman" w:hAnsi="Times New Roman"/>
          <w:color w:val="auto"/>
          <w:sz w:val="24"/>
          <w:szCs w:val="24"/>
        </w:rPr>
        <w:t xml:space="preserve"> may partly result from triggering a defense response in kiwifruit. Using </w:t>
      </w:r>
      <w:r w:rsidRPr="00125A2F">
        <w:rPr>
          <w:rFonts w:ascii="Times New Roman" w:hAnsi="Times New Roman"/>
          <w:i/>
          <w:color w:val="auto"/>
          <w:sz w:val="24"/>
          <w:szCs w:val="24"/>
        </w:rPr>
        <w:t xml:space="preserve">H. </w:t>
      </w:r>
      <w:proofErr w:type="spellStart"/>
      <w:r w:rsidRPr="00125A2F">
        <w:rPr>
          <w:rFonts w:ascii="Times New Roman" w:hAnsi="Times New Roman"/>
          <w:i/>
          <w:color w:val="auto"/>
          <w:sz w:val="24"/>
          <w:szCs w:val="24"/>
        </w:rPr>
        <w:t>uvarum</w:t>
      </w:r>
      <w:proofErr w:type="spellEnd"/>
      <w:r w:rsidRPr="00125A2F">
        <w:rPr>
          <w:rFonts w:ascii="Times New Roman" w:hAnsi="Times New Roman"/>
          <w:color w:val="auto"/>
          <w:sz w:val="24"/>
          <w:szCs w:val="24"/>
        </w:rPr>
        <w:t xml:space="preserve"> with BABA offers a promising alternative to synthetic fungicides for managing postharvest diseases in kiwifruit </w:t>
      </w:r>
      <w:r w:rsidR="00846DD9">
        <w:rPr>
          <w:rFonts w:ascii="Times New Roman" w:hAnsi="Times New Roman"/>
          <w:color w:val="auto"/>
          <w:sz w:val="24"/>
          <w:szCs w:val="24"/>
        </w:rPr>
        <w:t>(</w:t>
      </w:r>
      <w:r w:rsidR="00846DD9" w:rsidRPr="00846DD9">
        <w:rPr>
          <w:rFonts w:ascii="Times New Roman" w:hAnsi="Times New Roman"/>
          <w:color w:val="auto"/>
          <w:sz w:val="24"/>
          <w:szCs w:val="24"/>
        </w:rPr>
        <w:t>Cheng et al. 2019</w:t>
      </w:r>
      <w:r w:rsidR="00846DD9">
        <w:rPr>
          <w:rFonts w:ascii="Times New Roman" w:hAnsi="Times New Roman"/>
          <w:color w:val="auto"/>
          <w:sz w:val="24"/>
          <w:szCs w:val="24"/>
        </w:rPr>
        <w:t>)</w:t>
      </w:r>
      <w:r w:rsidRPr="00125A2F">
        <w:rPr>
          <w:rFonts w:ascii="Times New Roman" w:hAnsi="Times New Roman"/>
          <w:color w:val="auto"/>
          <w:sz w:val="24"/>
          <w:szCs w:val="24"/>
        </w:rPr>
        <w:t>.</w:t>
      </w:r>
    </w:p>
    <w:p w14:paraId="20495B94" w14:textId="0C0CF5E8" w:rsidR="008C283F" w:rsidRPr="00125A2F" w:rsidRDefault="008C283F" w:rsidP="008C283F">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 xml:space="preserve">Microbial control, while promising, faces challenges in practical application. Antifungal activity of microorganisms depends on growth conditions, leading to variability in postharvest biocontrol success. Additionally, biosafety concerns and registration procedures limit large-scale adoption in production settings. From a commercial standpoint, the complex interactions among components of a postharvest biocontrol system make its success more reliant on production, formulation, packaging, application, and storage. Understanding how such a system functions is crucial for developing effective formulations and application methods, as well as securing registration </w:t>
      </w:r>
      <w:r w:rsidR="00742148">
        <w:rPr>
          <w:rFonts w:ascii="Times New Roman" w:hAnsi="Times New Roman"/>
          <w:color w:val="auto"/>
          <w:sz w:val="24"/>
          <w:szCs w:val="24"/>
        </w:rPr>
        <w:t>(</w:t>
      </w:r>
      <w:r w:rsidR="00742148" w:rsidRPr="00742148">
        <w:rPr>
          <w:rFonts w:ascii="Times New Roman" w:hAnsi="Times New Roman"/>
          <w:color w:val="auto"/>
          <w:sz w:val="24"/>
        </w:rPr>
        <w:t>Zhang et al. 2020a</w:t>
      </w:r>
      <w:r w:rsidR="00742148">
        <w:rPr>
          <w:rFonts w:ascii="Times New Roman" w:hAnsi="Times New Roman"/>
          <w:color w:val="auto"/>
          <w:sz w:val="24"/>
          <w:szCs w:val="24"/>
        </w:rPr>
        <w:t>)</w:t>
      </w:r>
      <w:r w:rsidRPr="00125A2F">
        <w:rPr>
          <w:rFonts w:ascii="Times New Roman" w:hAnsi="Times New Roman"/>
          <w:color w:val="auto"/>
          <w:sz w:val="24"/>
          <w:szCs w:val="24"/>
        </w:rPr>
        <w:t>.</w:t>
      </w:r>
    </w:p>
    <w:p w14:paraId="74F39E19" w14:textId="4465A4BA" w:rsidR="00397A3C" w:rsidRPr="008C283F" w:rsidRDefault="008C283F" w:rsidP="008C283F">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 xml:space="preserve">The growth of molecular biotechnology and the rise of “omics” technologies provide powerful tools for developing and applying antagonistic yeasts </w:t>
      </w:r>
      <w:r w:rsidR="008B4EA3">
        <w:rPr>
          <w:rFonts w:ascii="Times New Roman" w:hAnsi="Times New Roman"/>
          <w:color w:val="auto"/>
          <w:sz w:val="24"/>
          <w:szCs w:val="24"/>
        </w:rPr>
        <w:t>(</w:t>
      </w:r>
      <w:r w:rsidR="00F277D9" w:rsidRPr="00F277D9">
        <w:rPr>
          <w:rFonts w:ascii="Times New Roman" w:hAnsi="Times New Roman"/>
          <w:color w:val="auto"/>
          <w:sz w:val="24"/>
          <w:szCs w:val="24"/>
        </w:rPr>
        <w:t>Blanco-Ulate et al.</w:t>
      </w:r>
      <w:r w:rsidR="00F277D9">
        <w:rPr>
          <w:rFonts w:ascii="Times New Roman" w:hAnsi="Times New Roman"/>
          <w:color w:val="auto"/>
          <w:sz w:val="24"/>
        </w:rPr>
        <w:t xml:space="preserve"> 2015</w:t>
      </w:r>
      <w:r w:rsidR="001C11E0">
        <w:rPr>
          <w:rFonts w:ascii="Times New Roman" w:hAnsi="Times New Roman"/>
          <w:color w:val="auto"/>
          <w:sz w:val="24"/>
        </w:rPr>
        <w:t>, 2017</w:t>
      </w:r>
      <w:r w:rsidR="00F277D9">
        <w:rPr>
          <w:rFonts w:ascii="Times New Roman" w:hAnsi="Times New Roman"/>
          <w:color w:val="auto"/>
          <w:sz w:val="24"/>
        </w:rPr>
        <w:t xml:space="preserve">; </w:t>
      </w:r>
      <w:r w:rsidR="008B4EA3" w:rsidRPr="008B4EA3">
        <w:rPr>
          <w:rFonts w:ascii="Times New Roman" w:hAnsi="Times New Roman"/>
          <w:color w:val="auto"/>
          <w:sz w:val="24"/>
        </w:rPr>
        <w:t>Crandall et al. 2020</w:t>
      </w:r>
      <w:r w:rsidR="00205408">
        <w:rPr>
          <w:rFonts w:ascii="Times New Roman" w:hAnsi="Times New Roman"/>
          <w:color w:val="auto"/>
          <w:sz w:val="24"/>
        </w:rPr>
        <w:t xml:space="preserve">; </w:t>
      </w:r>
      <w:r w:rsidR="00205408" w:rsidRPr="00205408">
        <w:rPr>
          <w:rFonts w:ascii="Times New Roman" w:hAnsi="Times New Roman"/>
          <w:color w:val="auto"/>
          <w:sz w:val="24"/>
        </w:rPr>
        <w:t>Fernandez-San Millan et al. 2023</w:t>
      </w:r>
      <w:r w:rsidR="007627FE">
        <w:rPr>
          <w:rFonts w:ascii="Times New Roman" w:hAnsi="Times New Roman"/>
          <w:color w:val="auto"/>
          <w:sz w:val="24"/>
        </w:rPr>
        <w:t xml:space="preserve">; </w:t>
      </w:r>
      <w:proofErr w:type="spellStart"/>
      <w:r w:rsidR="007627FE" w:rsidRPr="007627FE">
        <w:rPr>
          <w:rFonts w:ascii="Times New Roman" w:hAnsi="Times New Roman"/>
          <w:color w:val="auto"/>
          <w:sz w:val="24"/>
        </w:rPr>
        <w:t>Sarethy</w:t>
      </w:r>
      <w:proofErr w:type="spellEnd"/>
      <w:r w:rsidR="007627FE" w:rsidRPr="007627FE">
        <w:rPr>
          <w:rFonts w:ascii="Times New Roman" w:hAnsi="Times New Roman"/>
          <w:color w:val="auto"/>
          <w:sz w:val="24"/>
        </w:rPr>
        <w:t xml:space="preserve"> and Saharan 2021</w:t>
      </w:r>
      <w:r w:rsidR="008B4EA3">
        <w:rPr>
          <w:rFonts w:ascii="Times New Roman" w:hAnsi="Times New Roman"/>
          <w:color w:val="auto"/>
          <w:sz w:val="24"/>
          <w:szCs w:val="24"/>
        </w:rPr>
        <w:t>)</w:t>
      </w:r>
      <w:r w:rsidRPr="00125A2F">
        <w:rPr>
          <w:rFonts w:ascii="Times New Roman" w:hAnsi="Times New Roman"/>
          <w:color w:val="auto"/>
          <w:sz w:val="24"/>
          <w:szCs w:val="24"/>
        </w:rPr>
        <w:t xml:space="preserve">. Using yeasts as BCAs offers a vital alternative to synthetic fungicides, and their potential as biocontrol agents for postharvest diseases deserves further investigation using the strategies discussed earlier. In this context, it is important to continue </w:t>
      </w:r>
      <w:r w:rsidRPr="008C283F">
        <w:rPr>
          <w:rFonts w:ascii="Times New Roman" w:hAnsi="Times New Roman"/>
          <w:color w:val="auto"/>
          <w:sz w:val="24"/>
          <w:szCs w:val="24"/>
        </w:rPr>
        <w:t>exploring new antagonistic yeasts and to assess their effectiveness in postharvest biocontrol systems</w:t>
      </w:r>
      <w:r w:rsidR="00397A3C" w:rsidRPr="008C283F">
        <w:rPr>
          <w:rFonts w:ascii="Times New Roman" w:hAnsi="Times New Roman"/>
          <w:color w:val="auto"/>
          <w:sz w:val="24"/>
          <w:szCs w:val="24"/>
        </w:rPr>
        <w:t>.</w:t>
      </w:r>
    </w:p>
    <w:p w14:paraId="41052CB4" w14:textId="77777777" w:rsidR="00397A3C" w:rsidRPr="008C283F" w:rsidRDefault="00397A3C" w:rsidP="008C283F">
      <w:pPr>
        <w:pStyle w:val="MDPI31text"/>
        <w:spacing w:line="360" w:lineRule="auto"/>
        <w:ind w:left="0" w:firstLine="567"/>
        <w:rPr>
          <w:rFonts w:ascii="Times New Roman" w:hAnsi="Times New Roman"/>
          <w:b/>
          <w:color w:val="auto"/>
          <w:sz w:val="24"/>
          <w:szCs w:val="24"/>
          <w:lang w:eastAsia="zh-CN"/>
        </w:rPr>
      </w:pPr>
    </w:p>
    <w:p w14:paraId="7E90C689" w14:textId="0664F94D" w:rsidR="00397A3C" w:rsidRPr="008C283F" w:rsidRDefault="00397A3C"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rPr>
      </w:pPr>
      <w:r w:rsidRPr="008C283F">
        <w:rPr>
          <w:rFonts w:ascii="Times New Roman" w:hAnsi="Times New Roman"/>
          <w:color w:val="auto"/>
          <w:sz w:val="24"/>
          <w:szCs w:val="24"/>
        </w:rPr>
        <w:lastRenderedPageBreak/>
        <w:t>MATERIALS AND METHODS</w:t>
      </w:r>
    </w:p>
    <w:p w14:paraId="431B1BB8" w14:textId="03696707" w:rsidR="008C283F" w:rsidRPr="008C283F" w:rsidRDefault="008C283F" w:rsidP="008C283F">
      <w:pPr>
        <w:pStyle w:val="MDPI31text"/>
        <w:numPr>
          <w:ilvl w:val="1"/>
          <w:numId w:val="30"/>
        </w:numPr>
        <w:tabs>
          <w:tab w:val="left" w:pos="567"/>
        </w:tabs>
        <w:spacing w:line="360" w:lineRule="auto"/>
        <w:ind w:left="0" w:firstLine="0"/>
        <w:rPr>
          <w:rFonts w:ascii="Times New Roman" w:hAnsi="Times New Roman"/>
          <w:b/>
          <w:color w:val="auto"/>
          <w:sz w:val="24"/>
          <w:szCs w:val="24"/>
        </w:rPr>
      </w:pPr>
      <w:r w:rsidRPr="008C283F">
        <w:rPr>
          <w:rFonts w:ascii="Times New Roman" w:hAnsi="Times New Roman"/>
          <w:b/>
          <w:color w:val="auto"/>
          <w:sz w:val="24"/>
          <w:szCs w:val="24"/>
        </w:rPr>
        <w:t>Yeast Isolation</w:t>
      </w:r>
    </w:p>
    <w:p w14:paraId="02033AB6" w14:textId="77777777" w:rsidR="008C283F" w:rsidRPr="00AD0D0A" w:rsidRDefault="008C283F" w:rsidP="008C283F">
      <w:pPr>
        <w:pStyle w:val="MDPI31text"/>
        <w:spacing w:line="360" w:lineRule="auto"/>
        <w:ind w:left="0" w:firstLine="567"/>
        <w:rPr>
          <w:rFonts w:ascii="Times New Roman" w:hAnsi="Times New Roman"/>
          <w:color w:val="auto"/>
          <w:sz w:val="24"/>
          <w:szCs w:val="24"/>
        </w:rPr>
      </w:pPr>
      <w:r w:rsidRPr="00AD0D0A">
        <w:rPr>
          <w:rFonts w:ascii="Times New Roman" w:hAnsi="Times New Roman"/>
          <w:color w:val="auto"/>
          <w:sz w:val="24"/>
          <w:szCs w:val="24"/>
        </w:rPr>
        <w:t>We collected berries of the Aisulu table grape variety (</w:t>
      </w:r>
      <w:r w:rsidRPr="00AD0D0A">
        <w:rPr>
          <w:rFonts w:ascii="Times New Roman" w:hAnsi="Times New Roman"/>
          <w:i/>
          <w:color w:val="auto"/>
          <w:sz w:val="24"/>
          <w:szCs w:val="24"/>
        </w:rPr>
        <w:t>Vitis vinifera</w:t>
      </w:r>
      <w:r w:rsidRPr="00AD0D0A">
        <w:rPr>
          <w:rFonts w:ascii="Times New Roman" w:hAnsi="Times New Roman"/>
          <w:color w:val="auto"/>
          <w:sz w:val="24"/>
          <w:szCs w:val="24"/>
        </w:rPr>
        <w:t xml:space="preserve">) from the </w:t>
      </w:r>
      <w:proofErr w:type="spellStart"/>
      <w:r w:rsidRPr="00AD0D0A">
        <w:rPr>
          <w:rFonts w:ascii="Times New Roman" w:hAnsi="Times New Roman"/>
          <w:color w:val="auto"/>
          <w:sz w:val="24"/>
          <w:szCs w:val="24"/>
        </w:rPr>
        <w:t>Talgar</w:t>
      </w:r>
      <w:proofErr w:type="spellEnd"/>
      <w:r w:rsidRPr="00AD0D0A">
        <w:rPr>
          <w:rFonts w:ascii="Times New Roman" w:hAnsi="Times New Roman"/>
          <w:color w:val="auto"/>
          <w:sz w:val="24"/>
          <w:szCs w:val="24"/>
        </w:rPr>
        <w:t xml:space="preserve"> district of the Almaty region, specifically from the village of </w:t>
      </w:r>
      <w:proofErr w:type="spellStart"/>
      <w:r w:rsidRPr="00AD0D0A">
        <w:rPr>
          <w:rFonts w:ascii="Times New Roman" w:hAnsi="Times New Roman"/>
          <w:color w:val="auto"/>
          <w:sz w:val="24"/>
          <w:szCs w:val="24"/>
        </w:rPr>
        <w:t>Almalyk</w:t>
      </w:r>
      <w:proofErr w:type="spellEnd"/>
      <w:r w:rsidRPr="00AD0D0A">
        <w:rPr>
          <w:rFonts w:ascii="Times New Roman" w:hAnsi="Times New Roman"/>
          <w:color w:val="auto"/>
          <w:sz w:val="24"/>
          <w:szCs w:val="24"/>
        </w:rPr>
        <w:t xml:space="preserve">. The collection took place at the experimental site of the </w:t>
      </w:r>
      <w:proofErr w:type="spellStart"/>
      <w:r w:rsidRPr="00AD0D0A">
        <w:rPr>
          <w:rFonts w:ascii="Times New Roman" w:hAnsi="Times New Roman"/>
          <w:color w:val="auto"/>
          <w:sz w:val="24"/>
          <w:szCs w:val="24"/>
        </w:rPr>
        <w:t>Talgar</w:t>
      </w:r>
      <w:proofErr w:type="spellEnd"/>
      <w:r w:rsidRPr="00AD0D0A">
        <w:rPr>
          <w:rFonts w:ascii="Times New Roman" w:hAnsi="Times New Roman"/>
          <w:color w:val="auto"/>
          <w:sz w:val="24"/>
          <w:szCs w:val="24"/>
        </w:rPr>
        <w:t xml:space="preserve"> branch of the Kazakh Research Institute of Fruit and Vegetable Growing, located within a pomological garden in southeastern Kazakhstan.</w:t>
      </w:r>
    </w:p>
    <w:p w14:paraId="50F01BED" w14:textId="77777777" w:rsidR="008C283F" w:rsidRPr="00AD0D0A" w:rsidRDefault="008C283F" w:rsidP="008C283F">
      <w:pPr>
        <w:pStyle w:val="MDPI31text"/>
        <w:spacing w:line="360" w:lineRule="auto"/>
        <w:ind w:left="0" w:firstLine="567"/>
        <w:rPr>
          <w:rFonts w:ascii="Times New Roman" w:hAnsi="Times New Roman"/>
          <w:color w:val="auto"/>
          <w:sz w:val="24"/>
          <w:szCs w:val="24"/>
        </w:rPr>
      </w:pPr>
      <w:r w:rsidRPr="00AD0D0A">
        <w:rPr>
          <w:rFonts w:ascii="Times New Roman" w:hAnsi="Times New Roman"/>
          <w:color w:val="auto"/>
          <w:sz w:val="24"/>
          <w:szCs w:val="24"/>
        </w:rPr>
        <w:t>Four berries were placed in each of five Erlenmeyer flasks containing 125 mL of sterile water. The samples were incubated in an incubator shaker (New Brunswick Scientific Innova 44, Eppendorf) at 200 rpm for 30 minutes. After shaking, the wash solution was transferred to 50 mL Falcon tubes and centrifuged at 3000 × g for 15 minutes in a refrigerated centrifuge (5810 R, Eppendorf) with a swing-bucket rotor (A-4-62). The pellets were resuspended in a liquid medium composed of yeast extract, peptone, and dextrose (YPD). This suspension was serially diluted in YPD, from 10^-1 to 10^-6. Next, 0.1 mL of each dilution was plated onto nutrient yeast dextrose agar (NYDA) (Sigma-Aldrich, US) using a sterile glass spatula. All plates were incubated at 28 ± 2 °C for 48 hours. After incubation, the plates with higher dilutions were examined under a microscope (OPTIKA B-510LD4) to identify the yeast.</w:t>
      </w:r>
    </w:p>
    <w:p w14:paraId="266C3BB4" w14:textId="77777777" w:rsidR="008C283F" w:rsidRPr="00AD0D0A" w:rsidRDefault="008C283F" w:rsidP="008C283F">
      <w:pPr>
        <w:pStyle w:val="MDPI31text"/>
        <w:spacing w:line="360" w:lineRule="auto"/>
        <w:ind w:left="0" w:firstLine="567"/>
        <w:rPr>
          <w:rFonts w:ascii="Times New Roman" w:hAnsi="Times New Roman"/>
          <w:color w:val="auto"/>
          <w:sz w:val="24"/>
          <w:szCs w:val="24"/>
        </w:rPr>
      </w:pPr>
      <w:r w:rsidRPr="00AD0D0A">
        <w:rPr>
          <w:rFonts w:ascii="Times New Roman" w:hAnsi="Times New Roman"/>
          <w:color w:val="auto"/>
          <w:sz w:val="24"/>
          <w:szCs w:val="24"/>
        </w:rPr>
        <w:t xml:space="preserve">The isolates were </w:t>
      </w:r>
      <w:proofErr w:type="spellStart"/>
      <w:r w:rsidRPr="00AD0D0A">
        <w:rPr>
          <w:rFonts w:ascii="Times New Roman" w:hAnsi="Times New Roman"/>
          <w:color w:val="auto"/>
          <w:sz w:val="24"/>
          <w:szCs w:val="24"/>
        </w:rPr>
        <w:t>recultured</w:t>
      </w:r>
      <w:proofErr w:type="spellEnd"/>
      <w:r w:rsidRPr="00AD0D0A">
        <w:rPr>
          <w:rFonts w:ascii="Times New Roman" w:hAnsi="Times New Roman"/>
          <w:color w:val="auto"/>
          <w:sz w:val="24"/>
          <w:szCs w:val="24"/>
        </w:rPr>
        <w:t xml:space="preserve"> on fresh NYDA agar to obtain pure cultures. These pure cultures were then incubated in YPD medium at 28 ± 2 °C for 48 hours. After incubation, the cultures were stored at -80 °C in liquid YPD containing 30% (v/v) glycerol (Sigma-Aldrich, USA). </w:t>
      </w:r>
    </w:p>
    <w:p w14:paraId="213B2263" w14:textId="77777777" w:rsidR="008C283F" w:rsidRPr="00AD0D0A" w:rsidRDefault="008C283F" w:rsidP="008C283F">
      <w:pPr>
        <w:pStyle w:val="MDPI31text"/>
        <w:spacing w:line="360" w:lineRule="auto"/>
        <w:ind w:left="0" w:firstLine="567"/>
        <w:rPr>
          <w:rFonts w:ascii="Times New Roman" w:hAnsi="Times New Roman"/>
          <w:color w:val="auto"/>
          <w:sz w:val="24"/>
          <w:szCs w:val="24"/>
        </w:rPr>
      </w:pPr>
    </w:p>
    <w:p w14:paraId="74A2FA11" w14:textId="33ED17DA" w:rsidR="008C283F" w:rsidRPr="008C283F" w:rsidRDefault="008C283F" w:rsidP="008C283F">
      <w:pPr>
        <w:pStyle w:val="MDPI31text"/>
        <w:numPr>
          <w:ilvl w:val="1"/>
          <w:numId w:val="30"/>
        </w:numPr>
        <w:tabs>
          <w:tab w:val="left" w:pos="567"/>
        </w:tabs>
        <w:spacing w:line="360" w:lineRule="auto"/>
        <w:ind w:left="0" w:firstLine="0"/>
        <w:rPr>
          <w:rFonts w:ascii="Times New Roman" w:hAnsi="Times New Roman"/>
          <w:b/>
          <w:color w:val="auto"/>
          <w:sz w:val="24"/>
          <w:szCs w:val="24"/>
        </w:rPr>
      </w:pPr>
      <w:r w:rsidRPr="008C283F">
        <w:rPr>
          <w:rFonts w:ascii="Times New Roman" w:hAnsi="Times New Roman"/>
          <w:b/>
          <w:color w:val="auto"/>
          <w:sz w:val="24"/>
          <w:szCs w:val="24"/>
        </w:rPr>
        <w:t xml:space="preserve">Preparation of Yeasts for Experiments </w:t>
      </w:r>
    </w:p>
    <w:p w14:paraId="2B6050AB" w14:textId="77777777" w:rsidR="008C283F" w:rsidRPr="00AD0D0A" w:rsidRDefault="008C283F" w:rsidP="008C283F">
      <w:pPr>
        <w:pStyle w:val="MDPI31text"/>
        <w:spacing w:line="360" w:lineRule="auto"/>
        <w:ind w:left="0" w:firstLine="567"/>
        <w:rPr>
          <w:rFonts w:ascii="Times New Roman" w:hAnsi="Times New Roman"/>
          <w:color w:val="auto"/>
          <w:sz w:val="24"/>
          <w:szCs w:val="24"/>
        </w:rPr>
      </w:pPr>
      <w:r w:rsidRPr="00AD0D0A">
        <w:rPr>
          <w:rFonts w:ascii="Times New Roman" w:hAnsi="Times New Roman"/>
          <w:color w:val="auto"/>
          <w:sz w:val="24"/>
          <w:szCs w:val="24"/>
        </w:rPr>
        <w:t xml:space="preserve">One hundred microliters of the stock frozen yeast culture were </w:t>
      </w:r>
      <w:proofErr w:type="spellStart"/>
      <w:r w:rsidRPr="00AD0D0A">
        <w:rPr>
          <w:rFonts w:ascii="Times New Roman" w:hAnsi="Times New Roman"/>
          <w:color w:val="auto"/>
          <w:sz w:val="24"/>
          <w:szCs w:val="24"/>
        </w:rPr>
        <w:t>subcultured</w:t>
      </w:r>
      <w:proofErr w:type="spellEnd"/>
      <w:r w:rsidRPr="00AD0D0A">
        <w:rPr>
          <w:rFonts w:ascii="Times New Roman" w:hAnsi="Times New Roman"/>
          <w:color w:val="auto"/>
          <w:sz w:val="24"/>
          <w:szCs w:val="24"/>
        </w:rPr>
        <w:t xml:space="preserve"> twice in 10 mL of YPD medium at 28 ± 2 °C for 48 hours in a test tube. Subsequently, we inoculated 0.5 mL of this culture into 50 mL of nutrient yeast extract dextrose broth (NYDB) in 125 mL Erlenmeyer flasks. This culture was incubated in an Innova 44 Incubator Shaker (Eppendorf) at 150 rpm for an additional 48 hours at 28 ± 2 °C. The yeast cells were then collected by centrifugation at 3000 × g for 15 minutes using a refrigerated Centrifuge 5810 R with a swing-bucket rotor A-4-62 (Eppendorf). After centrifugation, the cells were washed twice with sterile deionized water and resuspended in distilled water to reach an initial concentration of approximately 5 × 10^</w:t>
      </w:r>
      <w:r w:rsidRPr="00AD0D0A">
        <w:rPr>
          <w:rFonts w:ascii="Times New Roman" w:hAnsi="Times New Roman"/>
          <w:color w:val="auto"/>
          <w:sz w:val="24"/>
          <w:szCs w:val="24"/>
          <w:vertAlign w:val="superscript"/>
        </w:rPr>
        <w:t>8</w:t>
      </w:r>
      <w:r w:rsidRPr="00AD0D0A">
        <w:rPr>
          <w:rFonts w:ascii="Times New Roman" w:hAnsi="Times New Roman"/>
          <w:color w:val="auto"/>
          <w:sz w:val="24"/>
          <w:szCs w:val="24"/>
        </w:rPr>
        <w:t xml:space="preserve"> cells/</w:t>
      </w:r>
      <w:proofErr w:type="spellStart"/>
      <w:r w:rsidRPr="00AD0D0A">
        <w:rPr>
          <w:rFonts w:ascii="Times New Roman" w:hAnsi="Times New Roman"/>
          <w:color w:val="auto"/>
          <w:sz w:val="24"/>
          <w:szCs w:val="24"/>
        </w:rPr>
        <w:t>mL.</w:t>
      </w:r>
      <w:proofErr w:type="spellEnd"/>
      <w:r w:rsidRPr="00AD0D0A">
        <w:rPr>
          <w:rFonts w:ascii="Times New Roman" w:hAnsi="Times New Roman"/>
          <w:color w:val="auto"/>
          <w:sz w:val="24"/>
          <w:szCs w:val="24"/>
        </w:rPr>
        <w:t xml:space="preserve"> The yeast cell count in the suspension was determined using a hemocytometer.</w:t>
      </w:r>
    </w:p>
    <w:p w14:paraId="29037894" w14:textId="77777777" w:rsidR="008C283F" w:rsidRPr="00AD0D0A" w:rsidRDefault="008C283F" w:rsidP="008C283F">
      <w:pPr>
        <w:pStyle w:val="MDPI31text"/>
        <w:spacing w:line="360" w:lineRule="auto"/>
        <w:ind w:left="0" w:firstLine="567"/>
        <w:rPr>
          <w:rFonts w:ascii="Times New Roman" w:hAnsi="Times New Roman"/>
          <w:color w:val="auto"/>
          <w:sz w:val="24"/>
          <w:szCs w:val="24"/>
        </w:rPr>
      </w:pPr>
    </w:p>
    <w:p w14:paraId="0535920C" w14:textId="36635887" w:rsidR="008C283F" w:rsidRPr="008C283F" w:rsidRDefault="008C283F" w:rsidP="008C283F">
      <w:pPr>
        <w:pStyle w:val="MDPI31text"/>
        <w:numPr>
          <w:ilvl w:val="1"/>
          <w:numId w:val="30"/>
        </w:numPr>
        <w:tabs>
          <w:tab w:val="left" w:pos="567"/>
        </w:tabs>
        <w:spacing w:line="360" w:lineRule="auto"/>
        <w:ind w:left="0" w:firstLine="0"/>
        <w:rPr>
          <w:rFonts w:ascii="Times New Roman" w:hAnsi="Times New Roman"/>
          <w:b/>
          <w:color w:val="auto"/>
          <w:sz w:val="24"/>
          <w:szCs w:val="24"/>
        </w:rPr>
      </w:pPr>
      <w:r w:rsidRPr="008C283F">
        <w:rPr>
          <w:rFonts w:ascii="Times New Roman" w:hAnsi="Times New Roman"/>
          <w:b/>
          <w:color w:val="auto"/>
          <w:sz w:val="24"/>
          <w:szCs w:val="24"/>
        </w:rPr>
        <w:t xml:space="preserve">Preparation of Fungal Pathogens for Experiments </w:t>
      </w:r>
    </w:p>
    <w:p w14:paraId="73308663" w14:textId="77777777" w:rsidR="008C283F" w:rsidRPr="00AD0D0A" w:rsidRDefault="008C283F" w:rsidP="008C283F">
      <w:pPr>
        <w:pStyle w:val="MDPI31text"/>
        <w:spacing w:line="360" w:lineRule="auto"/>
        <w:ind w:left="0" w:firstLine="567"/>
        <w:rPr>
          <w:rFonts w:ascii="Times New Roman" w:hAnsi="Times New Roman"/>
          <w:color w:val="auto"/>
          <w:sz w:val="24"/>
          <w:szCs w:val="24"/>
        </w:rPr>
      </w:pPr>
      <w:r w:rsidRPr="00AD0D0A">
        <w:rPr>
          <w:rFonts w:ascii="Times New Roman" w:hAnsi="Times New Roman"/>
          <w:color w:val="auto"/>
          <w:sz w:val="24"/>
          <w:szCs w:val="24"/>
        </w:rPr>
        <w:lastRenderedPageBreak/>
        <w:t xml:space="preserve">In this study, we used several fungal pathogen strains: </w:t>
      </w:r>
      <w:r w:rsidRPr="00AD0D0A">
        <w:rPr>
          <w:rFonts w:ascii="Times New Roman" w:hAnsi="Times New Roman"/>
          <w:i/>
          <w:color w:val="auto"/>
          <w:sz w:val="24"/>
          <w:szCs w:val="24"/>
        </w:rPr>
        <w:t>B. cinerea</w:t>
      </w:r>
      <w:r w:rsidRPr="00AD0D0A">
        <w:rPr>
          <w:rFonts w:ascii="Times New Roman" w:hAnsi="Times New Roman"/>
          <w:color w:val="auto"/>
          <w:sz w:val="24"/>
          <w:szCs w:val="24"/>
        </w:rPr>
        <w:t xml:space="preserve"> (F-RKM 1032) from the Republican Collection of Microorganisms LLC, </w:t>
      </w:r>
      <w:r w:rsidRPr="00AD0D0A">
        <w:rPr>
          <w:rFonts w:ascii="Times New Roman" w:hAnsi="Times New Roman"/>
          <w:i/>
          <w:color w:val="auto"/>
          <w:sz w:val="24"/>
          <w:szCs w:val="24"/>
        </w:rPr>
        <w:t xml:space="preserve">A. </w:t>
      </w:r>
      <w:proofErr w:type="spellStart"/>
      <w:r w:rsidRPr="00AD0D0A">
        <w:rPr>
          <w:rFonts w:ascii="Times New Roman" w:hAnsi="Times New Roman"/>
          <w:i/>
          <w:color w:val="auto"/>
          <w:sz w:val="24"/>
          <w:szCs w:val="24"/>
        </w:rPr>
        <w:t>niger</w:t>
      </w:r>
      <w:proofErr w:type="spellEnd"/>
      <w:r w:rsidRPr="00AD0D0A">
        <w:rPr>
          <w:rFonts w:ascii="Times New Roman" w:hAnsi="Times New Roman"/>
          <w:color w:val="auto"/>
          <w:sz w:val="24"/>
          <w:szCs w:val="24"/>
        </w:rPr>
        <w:t xml:space="preserve"> (ATCC 6275), and </w:t>
      </w:r>
      <w:r w:rsidRPr="00AD0D0A">
        <w:rPr>
          <w:rFonts w:ascii="Times New Roman" w:hAnsi="Times New Roman"/>
          <w:i/>
          <w:color w:val="auto"/>
          <w:sz w:val="24"/>
          <w:szCs w:val="24"/>
        </w:rPr>
        <w:t xml:space="preserve">R. </w:t>
      </w:r>
      <w:proofErr w:type="spellStart"/>
      <w:r w:rsidRPr="00AD0D0A">
        <w:rPr>
          <w:rFonts w:ascii="Times New Roman" w:hAnsi="Times New Roman"/>
          <w:i/>
          <w:color w:val="auto"/>
          <w:sz w:val="24"/>
          <w:szCs w:val="24"/>
        </w:rPr>
        <w:t>stolonifer</w:t>
      </w:r>
      <w:proofErr w:type="spellEnd"/>
      <w:r w:rsidRPr="00AD0D0A">
        <w:rPr>
          <w:rFonts w:ascii="Times New Roman" w:hAnsi="Times New Roman"/>
          <w:color w:val="auto"/>
          <w:sz w:val="24"/>
          <w:szCs w:val="24"/>
        </w:rPr>
        <w:t xml:space="preserve"> (ATCC 6227b) from the American Type Culture Collection. We grew the pathogen cultures on Potato Dextrose Agar (PDA, Sigma-Aldrich, US), supplemented with streptomycin sulfate at a concentration of 300 mg/L (Sigma-Aldrich, US). These cultures were incubated in the dark at 22°C to 25°C for 7 to 10 days before use. To prepare the spore suspension, we washed the Petri dish surfaces with sterile distilled water containing 0.05% Tween 80. The suspension was then filtered through eight layers of sterile cheesecloth and shaken to ensure uniform mixing. Finally, we diluted the suspension to a final concentration of 1 × 10^5 conidia/</w:t>
      </w:r>
      <w:proofErr w:type="spellStart"/>
      <w:r w:rsidRPr="00AD0D0A">
        <w:rPr>
          <w:rFonts w:ascii="Times New Roman" w:hAnsi="Times New Roman"/>
          <w:color w:val="auto"/>
          <w:sz w:val="24"/>
          <w:szCs w:val="24"/>
        </w:rPr>
        <w:t>mL.</w:t>
      </w:r>
      <w:proofErr w:type="spellEnd"/>
      <w:r w:rsidRPr="00AD0D0A">
        <w:rPr>
          <w:rFonts w:ascii="Times New Roman" w:hAnsi="Times New Roman"/>
          <w:color w:val="auto"/>
          <w:sz w:val="24"/>
          <w:szCs w:val="24"/>
        </w:rPr>
        <w:t xml:space="preserve"> The number of conidia in the suspension was determined using a hemocytometer.</w:t>
      </w:r>
    </w:p>
    <w:p w14:paraId="27A06E5D" w14:textId="77777777" w:rsidR="008C283F" w:rsidRPr="00AD0D0A" w:rsidRDefault="008C283F" w:rsidP="008C283F">
      <w:pPr>
        <w:pStyle w:val="MDPI31text"/>
        <w:spacing w:line="360" w:lineRule="auto"/>
        <w:ind w:left="0" w:firstLine="567"/>
        <w:rPr>
          <w:rFonts w:ascii="Times New Roman" w:hAnsi="Times New Roman"/>
          <w:color w:val="auto"/>
          <w:sz w:val="24"/>
          <w:szCs w:val="24"/>
        </w:rPr>
      </w:pPr>
    </w:p>
    <w:p w14:paraId="50B6BCED" w14:textId="4B4011AD" w:rsidR="008C283F" w:rsidRPr="008C283F" w:rsidRDefault="008C283F" w:rsidP="008C283F">
      <w:pPr>
        <w:pStyle w:val="MDPI31text"/>
        <w:numPr>
          <w:ilvl w:val="1"/>
          <w:numId w:val="30"/>
        </w:numPr>
        <w:tabs>
          <w:tab w:val="left" w:pos="567"/>
        </w:tabs>
        <w:spacing w:line="360" w:lineRule="auto"/>
        <w:ind w:left="0" w:firstLine="0"/>
        <w:rPr>
          <w:rFonts w:ascii="Times New Roman" w:hAnsi="Times New Roman"/>
          <w:b/>
          <w:color w:val="auto"/>
          <w:sz w:val="24"/>
          <w:szCs w:val="24"/>
        </w:rPr>
      </w:pPr>
      <w:r w:rsidRPr="008C283F">
        <w:rPr>
          <w:rFonts w:ascii="Times New Roman" w:hAnsi="Times New Roman"/>
          <w:b/>
          <w:i/>
          <w:color w:val="auto"/>
          <w:sz w:val="24"/>
          <w:szCs w:val="24"/>
        </w:rPr>
        <w:t>In Vitro</w:t>
      </w:r>
      <w:r w:rsidRPr="008C283F">
        <w:rPr>
          <w:rFonts w:ascii="Times New Roman" w:hAnsi="Times New Roman"/>
          <w:b/>
          <w:color w:val="auto"/>
          <w:sz w:val="24"/>
          <w:szCs w:val="24"/>
        </w:rPr>
        <w:t xml:space="preserve"> Screening of Yeast Isolates for Antagonistic Activity against </w:t>
      </w:r>
      <w:r w:rsidRPr="008C283F">
        <w:rPr>
          <w:rFonts w:ascii="Times New Roman" w:hAnsi="Times New Roman"/>
          <w:b/>
          <w:i/>
          <w:color w:val="auto"/>
          <w:sz w:val="24"/>
          <w:szCs w:val="24"/>
        </w:rPr>
        <w:t>B. cinerea</w:t>
      </w:r>
      <w:r w:rsidRPr="008C283F">
        <w:rPr>
          <w:rFonts w:ascii="Times New Roman" w:hAnsi="Times New Roman"/>
          <w:b/>
          <w:color w:val="auto"/>
          <w:sz w:val="24"/>
          <w:szCs w:val="24"/>
        </w:rPr>
        <w:t xml:space="preserve"> using the Dual-Culture Method</w:t>
      </w:r>
    </w:p>
    <w:p w14:paraId="0D7AB375" w14:textId="72C4C4B8" w:rsidR="008C283F" w:rsidRDefault="008C283F" w:rsidP="008C283F">
      <w:pPr>
        <w:pStyle w:val="MDPI31text"/>
        <w:spacing w:line="360" w:lineRule="auto"/>
        <w:ind w:left="0" w:firstLine="567"/>
        <w:rPr>
          <w:rFonts w:ascii="Times New Roman" w:hAnsi="Times New Roman"/>
          <w:color w:val="auto"/>
          <w:sz w:val="24"/>
          <w:szCs w:val="24"/>
        </w:rPr>
      </w:pPr>
      <w:r w:rsidRPr="00AD0D0A">
        <w:rPr>
          <w:rFonts w:ascii="Times New Roman" w:hAnsi="Times New Roman"/>
          <w:color w:val="auto"/>
          <w:sz w:val="24"/>
          <w:szCs w:val="24"/>
        </w:rPr>
        <w:t xml:space="preserve">The experiments used a dual-culture method with slight modifications </w:t>
      </w:r>
      <w:r w:rsidR="00075F16">
        <w:rPr>
          <w:rFonts w:ascii="Times New Roman" w:hAnsi="Times New Roman"/>
          <w:color w:val="auto"/>
          <w:sz w:val="24"/>
          <w:szCs w:val="24"/>
        </w:rPr>
        <w:t>(</w:t>
      </w:r>
      <w:r w:rsidR="00075F16" w:rsidRPr="00075F16">
        <w:rPr>
          <w:rFonts w:ascii="Times New Roman" w:hAnsi="Times New Roman"/>
          <w:color w:val="auto"/>
          <w:sz w:val="24"/>
          <w:szCs w:val="24"/>
        </w:rPr>
        <w:t>Hassan et al. 2021</w:t>
      </w:r>
      <w:r w:rsidR="00075F16">
        <w:rPr>
          <w:rFonts w:ascii="Times New Roman" w:hAnsi="Times New Roman"/>
          <w:color w:val="auto"/>
          <w:sz w:val="24"/>
          <w:szCs w:val="24"/>
        </w:rPr>
        <w:t>)</w:t>
      </w:r>
      <w:r w:rsidRPr="00AD0D0A">
        <w:rPr>
          <w:rFonts w:ascii="Times New Roman" w:hAnsi="Times New Roman"/>
          <w:color w:val="auto"/>
          <w:sz w:val="24"/>
          <w:szCs w:val="24"/>
        </w:rPr>
        <w:t xml:space="preserve">. To assess the effectiveness of yeast isolates against a pathogen, we cultured them together on potato dextrose agar (PDA). We took a 6 mm mycelial plug from a seven-day-old culture of </w:t>
      </w:r>
      <w:r w:rsidRPr="00AD0D0A">
        <w:rPr>
          <w:rFonts w:ascii="Times New Roman" w:hAnsi="Times New Roman"/>
          <w:i/>
          <w:color w:val="auto"/>
          <w:sz w:val="24"/>
          <w:szCs w:val="24"/>
        </w:rPr>
        <w:t>B. cinerea</w:t>
      </w:r>
      <w:r w:rsidRPr="00AD0D0A">
        <w:rPr>
          <w:rFonts w:ascii="Times New Roman" w:hAnsi="Times New Roman"/>
          <w:color w:val="auto"/>
          <w:sz w:val="24"/>
          <w:szCs w:val="24"/>
        </w:rPr>
        <w:t xml:space="preserve"> (F-RKM 1032) and placed it at the center of an agar plate. Then we streaked a 2-day-old yeast culture onto the same plate, positioning it 1.0 cm from the edge. We also prepared a separate plate with only the fungus as a control. All plates were incubated at 28 ± 2 °C in a thermostat (BINDER RI 115, Germany) for seven days. Finally, we measured the percent inhibition of radial growth (PIRG) using the formula provided in equation (1).</w:t>
      </w:r>
    </w:p>
    <w:p w14:paraId="6F57EAFA" w14:textId="77777777" w:rsidR="008C283F" w:rsidRPr="00AD0D0A" w:rsidRDefault="008C283F" w:rsidP="008C283F">
      <w:pPr>
        <w:pStyle w:val="MDPI31text"/>
        <w:spacing w:line="360" w:lineRule="auto"/>
        <w:ind w:left="0" w:firstLine="567"/>
        <w:rPr>
          <w:rFonts w:ascii="Times New Roman" w:hAnsi="Times New Roman"/>
          <w:color w:val="auto"/>
          <w:sz w:val="24"/>
          <w:szCs w:val="24"/>
        </w:rPr>
      </w:pPr>
    </w:p>
    <w:tbl>
      <w:tblPr>
        <w:tblW w:w="8505" w:type="dxa"/>
        <w:jc w:val="center"/>
        <w:tblLook w:val="04A0" w:firstRow="1" w:lastRow="0" w:firstColumn="1" w:lastColumn="0" w:noHBand="0" w:noVBand="1"/>
      </w:tblPr>
      <w:tblGrid>
        <w:gridCol w:w="6957"/>
        <w:gridCol w:w="1548"/>
      </w:tblGrid>
      <w:tr w:rsidR="008C283F" w:rsidRPr="003D614B" w14:paraId="64E55D0B" w14:textId="77777777" w:rsidTr="008C283F">
        <w:trPr>
          <w:jc w:val="center"/>
        </w:trPr>
        <w:tc>
          <w:tcPr>
            <w:tcW w:w="6374" w:type="dxa"/>
            <w:vAlign w:val="center"/>
          </w:tcPr>
          <w:p w14:paraId="4CEF4BF6" w14:textId="5D855790" w:rsidR="008C283F" w:rsidRPr="008C283F" w:rsidRDefault="008C283F" w:rsidP="00BA29ED">
            <w:pPr>
              <w:spacing w:line="360" w:lineRule="auto"/>
              <w:jc w:val="center"/>
              <w:rPr>
                <w:rFonts w:eastAsia="Cambria Math"/>
                <w:i/>
                <w:szCs w:val="24"/>
              </w:rPr>
            </w:pPr>
            <w:r w:rsidRPr="008C283F">
              <w:rPr>
                <w:i/>
                <w:color w:val="auto"/>
                <w:szCs w:val="24"/>
              </w:rPr>
              <w:t>PIRG = [(R1 − R2) / 1] × 100</w:t>
            </w:r>
          </w:p>
        </w:tc>
        <w:tc>
          <w:tcPr>
            <w:tcW w:w="1418" w:type="dxa"/>
            <w:vAlign w:val="center"/>
          </w:tcPr>
          <w:p w14:paraId="1341F875" w14:textId="77777777" w:rsidR="008C283F" w:rsidRPr="003D614B" w:rsidRDefault="008C283F" w:rsidP="00BA29ED">
            <w:pPr>
              <w:spacing w:line="360" w:lineRule="auto"/>
              <w:jc w:val="right"/>
              <w:rPr>
                <w:color w:val="000000" w:themeColor="text1"/>
                <w:szCs w:val="24"/>
                <w:lang w:val="ru-RU"/>
              </w:rPr>
            </w:pPr>
            <w:r w:rsidRPr="003D614B">
              <w:rPr>
                <w:color w:val="000000" w:themeColor="text1"/>
                <w:szCs w:val="24"/>
                <w:lang w:val="ru-RU"/>
              </w:rPr>
              <w:t>(1)</w:t>
            </w:r>
          </w:p>
        </w:tc>
      </w:tr>
    </w:tbl>
    <w:p w14:paraId="4892B94F" w14:textId="77777777" w:rsidR="008C283F" w:rsidRPr="00AD0D0A" w:rsidRDefault="008C283F" w:rsidP="008C283F">
      <w:pPr>
        <w:pStyle w:val="MDPI31text"/>
        <w:spacing w:line="360" w:lineRule="auto"/>
        <w:ind w:left="0" w:firstLine="567"/>
        <w:rPr>
          <w:rFonts w:ascii="Times New Roman" w:hAnsi="Times New Roman"/>
          <w:color w:val="auto"/>
          <w:sz w:val="24"/>
          <w:szCs w:val="24"/>
        </w:rPr>
      </w:pPr>
    </w:p>
    <w:p w14:paraId="3FDBF460" w14:textId="77777777" w:rsidR="008C283F" w:rsidRPr="00AD0D0A" w:rsidRDefault="008C283F" w:rsidP="008C283F">
      <w:pPr>
        <w:pStyle w:val="MDPI31text"/>
        <w:spacing w:line="360" w:lineRule="auto"/>
        <w:ind w:left="0" w:firstLine="567"/>
        <w:rPr>
          <w:rFonts w:ascii="Times New Roman" w:hAnsi="Times New Roman"/>
          <w:color w:val="auto"/>
          <w:sz w:val="24"/>
          <w:szCs w:val="24"/>
        </w:rPr>
      </w:pPr>
      <w:r w:rsidRPr="00AD0D0A">
        <w:rPr>
          <w:rFonts w:ascii="Times New Roman" w:hAnsi="Times New Roman"/>
          <w:color w:val="auto"/>
          <w:sz w:val="24"/>
          <w:szCs w:val="24"/>
        </w:rPr>
        <w:t>R1 indicates the fungus's radial growth in the control group without yeast, while R2 shows the radial growth in samples with yeast.</w:t>
      </w:r>
    </w:p>
    <w:p w14:paraId="743AD732" w14:textId="77777777" w:rsidR="008C283F" w:rsidRPr="00AD0D0A" w:rsidRDefault="008C283F" w:rsidP="008C283F">
      <w:pPr>
        <w:pStyle w:val="MDPI31text"/>
        <w:spacing w:line="360" w:lineRule="auto"/>
        <w:ind w:left="0" w:firstLine="567"/>
        <w:rPr>
          <w:rFonts w:ascii="Times New Roman" w:hAnsi="Times New Roman"/>
          <w:color w:val="auto"/>
          <w:sz w:val="24"/>
          <w:szCs w:val="24"/>
        </w:rPr>
      </w:pPr>
      <w:r w:rsidRPr="00AD0D0A">
        <w:rPr>
          <w:rFonts w:ascii="Times New Roman" w:hAnsi="Times New Roman"/>
          <w:color w:val="auto"/>
          <w:sz w:val="24"/>
          <w:szCs w:val="24"/>
        </w:rPr>
        <w:t>This study was conducted in triplicate for each treatment.</w:t>
      </w:r>
    </w:p>
    <w:p w14:paraId="105E8E94" w14:textId="77777777" w:rsidR="008C283F" w:rsidRPr="00AD0D0A" w:rsidRDefault="008C283F" w:rsidP="008C283F">
      <w:pPr>
        <w:pStyle w:val="MDPI31text"/>
        <w:spacing w:line="360" w:lineRule="auto"/>
        <w:ind w:left="0" w:firstLine="567"/>
        <w:rPr>
          <w:rFonts w:ascii="Times New Roman" w:hAnsi="Times New Roman"/>
          <w:color w:val="auto"/>
          <w:sz w:val="24"/>
          <w:szCs w:val="24"/>
        </w:rPr>
      </w:pPr>
    </w:p>
    <w:p w14:paraId="16908F85" w14:textId="7A103766" w:rsidR="008C283F" w:rsidRPr="008C283F" w:rsidRDefault="008C283F" w:rsidP="008C283F">
      <w:pPr>
        <w:pStyle w:val="MDPI31text"/>
        <w:numPr>
          <w:ilvl w:val="1"/>
          <w:numId w:val="30"/>
        </w:numPr>
        <w:spacing w:line="360" w:lineRule="auto"/>
        <w:ind w:left="0" w:firstLine="0"/>
        <w:rPr>
          <w:rFonts w:ascii="Times New Roman" w:hAnsi="Times New Roman"/>
          <w:b/>
          <w:color w:val="auto"/>
          <w:sz w:val="24"/>
          <w:szCs w:val="24"/>
        </w:rPr>
      </w:pPr>
      <w:r w:rsidRPr="008C283F">
        <w:rPr>
          <w:rFonts w:ascii="Times New Roman" w:hAnsi="Times New Roman"/>
          <w:b/>
          <w:i/>
          <w:color w:val="auto"/>
          <w:sz w:val="24"/>
          <w:szCs w:val="24"/>
        </w:rPr>
        <w:t>In Vitro</w:t>
      </w:r>
      <w:r w:rsidRPr="008C283F">
        <w:rPr>
          <w:rFonts w:ascii="Times New Roman" w:hAnsi="Times New Roman"/>
          <w:b/>
          <w:color w:val="auto"/>
          <w:sz w:val="24"/>
          <w:szCs w:val="24"/>
        </w:rPr>
        <w:t xml:space="preserve"> Screening of Yeast Isolates for Biofilm Formation Activity</w:t>
      </w:r>
    </w:p>
    <w:p w14:paraId="42DEAD4B" w14:textId="6B3BB87F" w:rsidR="008C283F" w:rsidRPr="00AD0D0A" w:rsidRDefault="008C283F" w:rsidP="008C283F">
      <w:pPr>
        <w:pStyle w:val="MDPI31text"/>
        <w:spacing w:line="360" w:lineRule="auto"/>
        <w:ind w:left="0" w:firstLine="567"/>
        <w:rPr>
          <w:rFonts w:ascii="Times New Roman" w:hAnsi="Times New Roman"/>
          <w:color w:val="auto"/>
          <w:sz w:val="24"/>
          <w:szCs w:val="24"/>
        </w:rPr>
      </w:pPr>
      <w:r w:rsidRPr="00AD0D0A">
        <w:rPr>
          <w:rFonts w:ascii="Times New Roman" w:hAnsi="Times New Roman"/>
          <w:color w:val="auto"/>
          <w:sz w:val="24"/>
          <w:szCs w:val="24"/>
        </w:rPr>
        <w:t xml:space="preserve">We used a standard method with slight modifications </w:t>
      </w:r>
      <w:r w:rsidR="002808EF">
        <w:rPr>
          <w:rFonts w:ascii="Times New Roman" w:hAnsi="Times New Roman"/>
          <w:color w:val="auto"/>
          <w:sz w:val="24"/>
          <w:szCs w:val="24"/>
        </w:rPr>
        <w:t>(</w:t>
      </w:r>
      <w:r w:rsidR="002808EF" w:rsidRPr="002808EF">
        <w:rPr>
          <w:rFonts w:ascii="Times New Roman" w:hAnsi="Times New Roman"/>
          <w:color w:val="auto"/>
          <w:sz w:val="24"/>
        </w:rPr>
        <w:t>Wang et al. 2023</w:t>
      </w:r>
      <w:r w:rsidR="002808EF">
        <w:rPr>
          <w:rFonts w:ascii="Times New Roman" w:hAnsi="Times New Roman"/>
          <w:color w:val="auto"/>
          <w:sz w:val="24"/>
          <w:szCs w:val="24"/>
        </w:rPr>
        <w:t>)</w:t>
      </w:r>
      <w:r w:rsidRPr="00AD0D0A">
        <w:rPr>
          <w:rFonts w:ascii="Times New Roman" w:hAnsi="Times New Roman"/>
          <w:color w:val="auto"/>
          <w:sz w:val="24"/>
          <w:szCs w:val="24"/>
        </w:rPr>
        <w:t xml:space="preserve">. Yeasts were cultured in 1 mL of YPD medium containing 1% yeast extract, 2% peptone, and 2% glucose. The culture was incubated for 20 hours at 30°C in a BINDER RI 115 incubator (Germany), and the cell concentration was adjusted to a final optical density (OD600) of approximately 1.0 (approximately 3 × 10^7 cells/mL). After incubation, we mixed 20 </w:t>
      </w:r>
      <w:proofErr w:type="spellStart"/>
      <w:r w:rsidRPr="00AD0D0A">
        <w:rPr>
          <w:rFonts w:ascii="Times New Roman" w:hAnsi="Times New Roman"/>
          <w:color w:val="auto"/>
          <w:sz w:val="24"/>
          <w:szCs w:val="24"/>
        </w:rPr>
        <w:t>μL</w:t>
      </w:r>
      <w:proofErr w:type="spellEnd"/>
      <w:r w:rsidRPr="00AD0D0A">
        <w:rPr>
          <w:rFonts w:ascii="Times New Roman" w:hAnsi="Times New Roman"/>
          <w:color w:val="auto"/>
          <w:sz w:val="24"/>
          <w:szCs w:val="24"/>
        </w:rPr>
        <w:t xml:space="preserve"> of the yeast cell </w:t>
      </w:r>
      <w:r w:rsidRPr="00AD0D0A">
        <w:rPr>
          <w:rFonts w:ascii="Times New Roman" w:hAnsi="Times New Roman"/>
          <w:color w:val="auto"/>
          <w:sz w:val="24"/>
          <w:szCs w:val="24"/>
        </w:rPr>
        <w:lastRenderedPageBreak/>
        <w:t xml:space="preserve">suspension with 180 </w:t>
      </w:r>
      <w:proofErr w:type="spellStart"/>
      <w:r w:rsidRPr="00AD0D0A">
        <w:rPr>
          <w:rFonts w:ascii="Times New Roman" w:hAnsi="Times New Roman"/>
          <w:color w:val="auto"/>
          <w:sz w:val="24"/>
          <w:szCs w:val="24"/>
        </w:rPr>
        <w:t>μL</w:t>
      </w:r>
      <w:proofErr w:type="spellEnd"/>
      <w:r w:rsidRPr="00AD0D0A">
        <w:rPr>
          <w:rFonts w:ascii="Times New Roman" w:hAnsi="Times New Roman"/>
          <w:color w:val="auto"/>
          <w:sz w:val="24"/>
          <w:szCs w:val="24"/>
        </w:rPr>
        <w:t xml:space="preserve"> of YPD medium in the wells of a sterile 96-well plate (Corning, Sigma-Aldrich, US). This mixture was incubated for 72 hours at 28°C. We then removed the medium and washed the wells twice with 200 </w:t>
      </w:r>
      <w:proofErr w:type="spellStart"/>
      <w:r w:rsidRPr="00AD0D0A">
        <w:rPr>
          <w:rFonts w:ascii="Times New Roman" w:hAnsi="Times New Roman"/>
          <w:color w:val="auto"/>
          <w:sz w:val="24"/>
          <w:szCs w:val="24"/>
        </w:rPr>
        <w:t>μL</w:t>
      </w:r>
      <w:proofErr w:type="spellEnd"/>
      <w:r w:rsidRPr="00AD0D0A">
        <w:rPr>
          <w:rFonts w:ascii="Times New Roman" w:hAnsi="Times New Roman"/>
          <w:color w:val="auto"/>
          <w:sz w:val="24"/>
          <w:szCs w:val="24"/>
        </w:rPr>
        <w:t xml:space="preserve"> of phosphate-buffered saline (PBS) to remove any free cells. To stain biofilm-forming cells, we added 200 </w:t>
      </w:r>
      <w:proofErr w:type="spellStart"/>
      <w:r w:rsidRPr="00AD0D0A">
        <w:rPr>
          <w:rFonts w:ascii="Times New Roman" w:hAnsi="Times New Roman"/>
          <w:color w:val="auto"/>
          <w:sz w:val="24"/>
          <w:szCs w:val="24"/>
        </w:rPr>
        <w:t>μL</w:t>
      </w:r>
      <w:proofErr w:type="spellEnd"/>
      <w:r w:rsidRPr="00AD0D0A">
        <w:rPr>
          <w:rFonts w:ascii="Times New Roman" w:hAnsi="Times New Roman"/>
          <w:color w:val="auto"/>
          <w:sz w:val="24"/>
          <w:szCs w:val="24"/>
        </w:rPr>
        <w:t xml:space="preserve"> of 0.1% crystal violet and incubated for 10 minutes at room temperature. The wells were then rinsed three times with PBS and air-dried. We added 200 </w:t>
      </w:r>
      <w:proofErr w:type="spellStart"/>
      <w:r w:rsidRPr="00AD0D0A">
        <w:rPr>
          <w:rFonts w:ascii="Times New Roman" w:hAnsi="Times New Roman"/>
          <w:color w:val="auto"/>
          <w:sz w:val="24"/>
          <w:szCs w:val="24"/>
        </w:rPr>
        <w:t>μL</w:t>
      </w:r>
      <w:proofErr w:type="spellEnd"/>
      <w:r w:rsidRPr="00AD0D0A">
        <w:rPr>
          <w:rFonts w:ascii="Times New Roman" w:hAnsi="Times New Roman"/>
          <w:color w:val="auto"/>
          <w:sz w:val="24"/>
          <w:szCs w:val="24"/>
        </w:rPr>
        <w:t xml:space="preserve"> of 33% acetic acid to each well and incubated for 30 minutes at room temperature with shaking at 150 rpm using an Innova 44 Shaker-incubator (Germany). OD550 readings for the sample and control were obtained with a reader (EZ-Read 400, </w:t>
      </w:r>
      <w:proofErr w:type="spellStart"/>
      <w:r w:rsidRPr="00AD0D0A">
        <w:rPr>
          <w:rFonts w:ascii="Times New Roman" w:hAnsi="Times New Roman"/>
          <w:color w:val="auto"/>
          <w:sz w:val="24"/>
          <w:szCs w:val="24"/>
        </w:rPr>
        <w:t>Biochrom</w:t>
      </w:r>
      <w:proofErr w:type="spellEnd"/>
      <w:r w:rsidRPr="00AD0D0A">
        <w:rPr>
          <w:rFonts w:ascii="Times New Roman" w:hAnsi="Times New Roman"/>
          <w:color w:val="auto"/>
          <w:sz w:val="24"/>
          <w:szCs w:val="24"/>
        </w:rPr>
        <w:t>, USA). YPD medium without yeast cells served as a negative control. This study was performed in triplicate for each treatment.</w:t>
      </w:r>
    </w:p>
    <w:p w14:paraId="73AAF720" w14:textId="77777777" w:rsidR="008C283F" w:rsidRPr="00AD0D0A" w:rsidRDefault="008C283F" w:rsidP="008C283F">
      <w:pPr>
        <w:pStyle w:val="MDPI31text"/>
        <w:spacing w:line="360" w:lineRule="auto"/>
        <w:ind w:left="0" w:firstLine="567"/>
        <w:rPr>
          <w:rFonts w:ascii="Times New Roman" w:hAnsi="Times New Roman"/>
          <w:color w:val="auto"/>
          <w:sz w:val="24"/>
          <w:szCs w:val="24"/>
        </w:rPr>
      </w:pPr>
    </w:p>
    <w:p w14:paraId="00D78183" w14:textId="38A5F5BF" w:rsidR="008C283F" w:rsidRPr="008C283F" w:rsidRDefault="008C283F" w:rsidP="008C283F">
      <w:pPr>
        <w:pStyle w:val="MDPI31text"/>
        <w:numPr>
          <w:ilvl w:val="1"/>
          <w:numId w:val="30"/>
        </w:numPr>
        <w:tabs>
          <w:tab w:val="left" w:pos="567"/>
        </w:tabs>
        <w:spacing w:line="360" w:lineRule="auto"/>
        <w:ind w:left="0" w:firstLine="0"/>
        <w:rPr>
          <w:rFonts w:ascii="Times New Roman" w:hAnsi="Times New Roman"/>
          <w:b/>
          <w:color w:val="auto"/>
          <w:sz w:val="24"/>
          <w:szCs w:val="24"/>
        </w:rPr>
      </w:pPr>
      <w:r w:rsidRPr="008C283F">
        <w:rPr>
          <w:rFonts w:ascii="Times New Roman" w:hAnsi="Times New Roman"/>
          <w:b/>
          <w:color w:val="auto"/>
          <w:sz w:val="24"/>
          <w:szCs w:val="24"/>
        </w:rPr>
        <w:t>Identification of Antagonistic Yeasts Using Molecular Taxonomy and Phylogenetic Analysis</w:t>
      </w:r>
    </w:p>
    <w:p w14:paraId="66902DDE" w14:textId="6D387E08" w:rsidR="008C283F" w:rsidRPr="00AD0D0A" w:rsidRDefault="008C283F" w:rsidP="008C283F">
      <w:pPr>
        <w:spacing w:line="360" w:lineRule="auto"/>
        <w:ind w:firstLine="567"/>
        <w:rPr>
          <w:color w:val="auto"/>
          <w:szCs w:val="24"/>
        </w:rPr>
      </w:pPr>
      <w:r w:rsidRPr="00AD0D0A">
        <w:rPr>
          <w:color w:val="auto"/>
          <w:szCs w:val="24"/>
        </w:rPr>
        <w:t xml:space="preserve">We identified yeast isolates with the highest antagonistic activity and strong biofilm- forming abilities at the species level. Following the manufacturer's protocol, DNA was extracted from the yeasts using the Thermo Scientific GeneJET Genomic DNA Purification Kit (Thermo Fisher Scientific, USA). All reagents were from Thermo Fisher Scientific, USA. We amplified the ITS 1 - 5. 8 S - ITS 2 region of nuclear ribosomal DNA (nrDNA) from yeast isolates using the method described by White et al. </w:t>
      </w:r>
      <w:r w:rsidR="0087763F">
        <w:rPr>
          <w:color w:val="auto"/>
          <w:szCs w:val="24"/>
        </w:rPr>
        <w:t>(1990)</w:t>
      </w:r>
      <w:r w:rsidRPr="00AD0D0A">
        <w:rPr>
          <w:color w:val="auto"/>
          <w:szCs w:val="24"/>
        </w:rPr>
        <w:t xml:space="preserve">. Amplification was performed with universal primers, "ITS 1" (5’- TCCGTAGGTGAACCTGCGG- 3’) as the forward primer and "ITS 4" (5’- TCCTCCGCTTAATTGATATGC- 3’) as the reverse primer, in a total reaction volume of 30 μl. The PCR mixture contained 5 μl of DNA (57.5 ng), 1 U of Taq DNA Polymerase, 0.2 mM of each dNTP, 10 × KCl buffer, 2.5 mM MgCl2, and 10 pmol of each primer. The PCR program was as follows: an initial denaturation at 94 °C for 5 minutes, followed by 30 cycles of 95 °C for 30 seconds, 55 °C for 40 seconds, and 72 °C for 50 seconds. We performed a final elongation step at 72 ° C for 7 minutes during PCR using a Proflex amplifier (Applied Biosystems). After amplification, the PCR products were purified following the ExoSAP- IT ™ PCR Product Cleanup protocol. For sequencing, we prepared a 10 μL reaction mixture containing 6 μL of Master Mix, 1 μL of primer, and 3 μL of PCR product. The Master Mix consisted of 2 μL of BigDye Terminator v3.1; 1 μL of BigDye sequencing buffer, and 3 μL of nuclease- free water. The sequencing protocol involved heating the mixture to 94 ° C for 1 minute, followed by 25 cycles of 10 seconds at 96 ° C, 5 seconds at 50 ° C, and 4 minutes at 60 ° C. We purified the PCR products according to the manufacturer' s instructions using the BigDye XTerminator Purification Kit. We then performed sequencing on an Applied </w:t>
      </w:r>
      <w:r w:rsidRPr="00AD0D0A">
        <w:rPr>
          <w:color w:val="auto"/>
          <w:szCs w:val="24"/>
        </w:rPr>
        <w:lastRenderedPageBreak/>
        <w:t>Biosystems 3500 Genetic Analyzer. The sequences obtained were aligned and identified with BLAST from the National Center for Biotechnology Information (NCBI). For multiple sequence alignment, ClustalW was used, and we conducted phylogenetic analysis using the Neighbor- Joining method in MEGA 11 software. Bootstrap support values for the phylogenetic tree were calculated from 1000 replicates.</w:t>
      </w:r>
    </w:p>
    <w:p w14:paraId="443C8F17" w14:textId="77777777" w:rsidR="008C283F" w:rsidRPr="00AD0D0A" w:rsidRDefault="008C283F" w:rsidP="008C283F">
      <w:pPr>
        <w:pStyle w:val="MDPI31text"/>
        <w:spacing w:line="360" w:lineRule="auto"/>
        <w:ind w:left="0" w:firstLine="567"/>
        <w:rPr>
          <w:rFonts w:ascii="Times New Roman" w:hAnsi="Times New Roman"/>
          <w:color w:val="auto"/>
          <w:sz w:val="24"/>
          <w:szCs w:val="24"/>
        </w:rPr>
      </w:pPr>
    </w:p>
    <w:p w14:paraId="624A4ACE" w14:textId="2305BBC2" w:rsidR="008C283F" w:rsidRPr="008C283F" w:rsidRDefault="008C283F" w:rsidP="008C283F">
      <w:pPr>
        <w:pStyle w:val="MDPI31text"/>
        <w:numPr>
          <w:ilvl w:val="1"/>
          <w:numId w:val="30"/>
        </w:numPr>
        <w:tabs>
          <w:tab w:val="left" w:pos="567"/>
        </w:tabs>
        <w:spacing w:line="360" w:lineRule="auto"/>
        <w:ind w:left="0" w:firstLine="0"/>
        <w:rPr>
          <w:rFonts w:ascii="Times New Roman" w:hAnsi="Times New Roman"/>
          <w:b/>
          <w:color w:val="auto"/>
          <w:sz w:val="24"/>
          <w:szCs w:val="24"/>
        </w:rPr>
      </w:pPr>
      <w:r w:rsidRPr="008C283F">
        <w:rPr>
          <w:rFonts w:ascii="Times New Roman" w:hAnsi="Times New Roman"/>
          <w:b/>
          <w:i/>
          <w:color w:val="auto"/>
          <w:sz w:val="24"/>
          <w:szCs w:val="24"/>
        </w:rPr>
        <w:t>In Vivo</w:t>
      </w:r>
      <w:r w:rsidRPr="008C283F">
        <w:rPr>
          <w:rFonts w:ascii="Times New Roman" w:hAnsi="Times New Roman"/>
          <w:b/>
          <w:color w:val="auto"/>
          <w:sz w:val="24"/>
          <w:szCs w:val="24"/>
        </w:rPr>
        <w:t xml:space="preserve"> Screening of Antagonistic Yeast Strains for the Percentage of Infected Artificial Wounds in Grape Berries within Postharvest Biocontrol Models: W Systems </w:t>
      </w:r>
    </w:p>
    <w:p w14:paraId="5724BECA" w14:textId="05E16E8D" w:rsidR="008C283F" w:rsidRPr="00AD0D0A" w:rsidRDefault="008C283F" w:rsidP="008C283F">
      <w:pPr>
        <w:pStyle w:val="MDPI31text"/>
        <w:spacing w:line="360" w:lineRule="auto"/>
        <w:ind w:left="0" w:firstLine="567"/>
        <w:rPr>
          <w:rFonts w:ascii="Times New Roman" w:hAnsi="Times New Roman"/>
          <w:color w:val="auto"/>
          <w:sz w:val="24"/>
          <w:szCs w:val="24"/>
        </w:rPr>
      </w:pPr>
      <w:r w:rsidRPr="00AD0D0A">
        <w:rPr>
          <w:rFonts w:ascii="Times New Roman" w:hAnsi="Times New Roman"/>
          <w:color w:val="auto"/>
          <w:sz w:val="24"/>
          <w:szCs w:val="24"/>
        </w:rPr>
        <w:t xml:space="preserve">The </w:t>
      </w:r>
      <w:proofErr w:type="spellStart"/>
      <w:r w:rsidRPr="00AD0D0A">
        <w:rPr>
          <w:rFonts w:ascii="Times New Roman" w:hAnsi="Times New Roman"/>
          <w:color w:val="auto"/>
          <w:sz w:val="24"/>
          <w:szCs w:val="24"/>
        </w:rPr>
        <w:t>tritrophic</w:t>
      </w:r>
      <w:proofErr w:type="spellEnd"/>
      <w:r w:rsidRPr="00AD0D0A">
        <w:rPr>
          <w:rFonts w:ascii="Times New Roman" w:hAnsi="Times New Roman"/>
          <w:color w:val="auto"/>
          <w:sz w:val="24"/>
          <w:szCs w:val="24"/>
        </w:rPr>
        <w:t xml:space="preserve"> W System is a model postharvest biological control system in which the host component is an artificially wounded grape berry. The host organism was prepared by first depriving a whole, healthy grape berry of its natural epiphytic microbiota by treating it with a sodium hypochlorite solution, then applying an artificial wound. The other two components were yeast and a fungal pathogen. We used the method, with some modifications, as outlined in reference </w:t>
      </w:r>
      <w:r w:rsidR="007627FE">
        <w:rPr>
          <w:rFonts w:ascii="Times New Roman" w:hAnsi="Times New Roman"/>
          <w:color w:val="auto"/>
          <w:sz w:val="24"/>
          <w:szCs w:val="24"/>
        </w:rPr>
        <w:t>(</w:t>
      </w:r>
      <w:r w:rsidR="007627FE" w:rsidRPr="007627FE">
        <w:rPr>
          <w:rFonts w:ascii="Times New Roman" w:hAnsi="Times New Roman"/>
          <w:color w:val="auto"/>
          <w:sz w:val="24"/>
        </w:rPr>
        <w:t>Schena et al. 2000</w:t>
      </w:r>
      <w:r w:rsidR="007627FE">
        <w:rPr>
          <w:rFonts w:ascii="Times New Roman" w:hAnsi="Times New Roman"/>
          <w:color w:val="auto"/>
          <w:sz w:val="24"/>
          <w:szCs w:val="24"/>
        </w:rPr>
        <w:t>)</w:t>
      </w:r>
      <w:r w:rsidRPr="00AD0D0A">
        <w:rPr>
          <w:rFonts w:ascii="Times New Roman" w:hAnsi="Times New Roman"/>
          <w:color w:val="auto"/>
          <w:sz w:val="24"/>
          <w:szCs w:val="24"/>
        </w:rPr>
        <w:t xml:space="preserve">. We purchased ripe Bull's Eye (Vitis Sensation) table grapes from a local market. Each of the 864 berries was carefully separated from the bunches to prevent mechanical damage or spoilage and to ensure uniformity in size, color, and shape. We then soaked the berries in a 2% sodium hypochlorite solution for two minutes to eliminate natural epiphytic microflora. After thoroughly rinsing the berries with sterile water in a laminar flow cabinet, we dried them. Using a sterile dissecting needle, we punctured the surface of each berry once, creating a two-millimeter-deep wound in the equatorial zone. We then inoculated each wound with 20 </w:t>
      </w:r>
      <w:proofErr w:type="spellStart"/>
      <w:r w:rsidRPr="00AD0D0A">
        <w:rPr>
          <w:rFonts w:ascii="Times New Roman" w:hAnsi="Times New Roman"/>
          <w:color w:val="auto"/>
          <w:sz w:val="24"/>
          <w:szCs w:val="24"/>
        </w:rPr>
        <w:t>μl</w:t>
      </w:r>
      <w:proofErr w:type="spellEnd"/>
      <w:r w:rsidRPr="00AD0D0A">
        <w:rPr>
          <w:rFonts w:ascii="Times New Roman" w:hAnsi="Times New Roman"/>
          <w:color w:val="auto"/>
          <w:sz w:val="24"/>
          <w:szCs w:val="24"/>
        </w:rPr>
        <w:t xml:space="preserve"> of an antagonistic yeast cell suspension containing 1.0 × 10^7 cells/ml. After two hours, we added a 20 </w:t>
      </w:r>
      <w:proofErr w:type="spellStart"/>
      <w:r w:rsidRPr="00AD0D0A">
        <w:rPr>
          <w:rFonts w:ascii="Times New Roman" w:hAnsi="Times New Roman"/>
          <w:color w:val="auto"/>
          <w:sz w:val="24"/>
          <w:szCs w:val="24"/>
        </w:rPr>
        <w:t>μl</w:t>
      </w:r>
      <w:proofErr w:type="spellEnd"/>
      <w:r w:rsidRPr="00AD0D0A">
        <w:rPr>
          <w:rFonts w:ascii="Times New Roman" w:hAnsi="Times New Roman"/>
          <w:color w:val="auto"/>
          <w:sz w:val="24"/>
          <w:szCs w:val="24"/>
        </w:rPr>
        <w:t xml:space="preserve"> aliquot of a fungal spore suspension containing 5.0 × 10^4 conidia/ml to the same wound. For the control, we used sterile distilled water instead of the yeast suspension.</w:t>
      </w:r>
    </w:p>
    <w:p w14:paraId="37B8322F" w14:textId="77777777" w:rsidR="008C283F" w:rsidRPr="00AD0D0A" w:rsidRDefault="008C283F" w:rsidP="008C283F">
      <w:pPr>
        <w:pStyle w:val="MDPI31text"/>
        <w:spacing w:line="360" w:lineRule="auto"/>
        <w:ind w:left="0" w:firstLine="567"/>
        <w:rPr>
          <w:rFonts w:ascii="Times New Roman" w:hAnsi="Times New Roman"/>
          <w:color w:val="auto"/>
          <w:sz w:val="24"/>
          <w:szCs w:val="24"/>
        </w:rPr>
      </w:pPr>
      <w:r w:rsidRPr="00AD0D0A">
        <w:rPr>
          <w:rFonts w:ascii="Times New Roman" w:hAnsi="Times New Roman"/>
          <w:color w:val="auto"/>
          <w:sz w:val="24"/>
          <w:szCs w:val="24"/>
        </w:rPr>
        <w:t>To prevent contamination, we securely attached nine berries to the bottoms of plastic boxes using adhesive tape. For each yeast isolate, we prepared two boxes, each containing water-soaked paper to maintain high humidity, and then sealed them with lids. We stored the boxes at 20°C and measured the percentage of infected wounds after five days. Our experiments included four replicates, each with eighteen berries placed in two plastic containers with lids. Before conducting the variance analysis, we applied an arcsine transformation to the data.</w:t>
      </w:r>
    </w:p>
    <w:p w14:paraId="306A1702" w14:textId="77777777" w:rsidR="008C283F" w:rsidRPr="00AD0D0A" w:rsidRDefault="008C283F" w:rsidP="008C283F">
      <w:pPr>
        <w:pStyle w:val="MDPI31text"/>
        <w:spacing w:line="360" w:lineRule="auto"/>
        <w:ind w:left="0" w:firstLine="567"/>
        <w:rPr>
          <w:rFonts w:ascii="Times New Roman" w:hAnsi="Times New Roman"/>
          <w:color w:val="auto"/>
          <w:sz w:val="24"/>
          <w:szCs w:val="24"/>
        </w:rPr>
      </w:pPr>
    </w:p>
    <w:p w14:paraId="71016AB6" w14:textId="5E7C1B57" w:rsidR="008C283F" w:rsidRPr="008C283F" w:rsidRDefault="008C283F" w:rsidP="008C283F">
      <w:pPr>
        <w:pStyle w:val="MDPI31text"/>
        <w:numPr>
          <w:ilvl w:val="1"/>
          <w:numId w:val="30"/>
        </w:numPr>
        <w:tabs>
          <w:tab w:val="left" w:pos="567"/>
        </w:tabs>
        <w:spacing w:line="360" w:lineRule="auto"/>
        <w:ind w:left="0" w:firstLine="0"/>
        <w:rPr>
          <w:rFonts w:ascii="Times New Roman" w:hAnsi="Times New Roman"/>
          <w:b/>
          <w:color w:val="auto"/>
          <w:sz w:val="24"/>
          <w:szCs w:val="24"/>
        </w:rPr>
      </w:pPr>
      <w:r w:rsidRPr="008C283F">
        <w:rPr>
          <w:rFonts w:ascii="Times New Roman" w:hAnsi="Times New Roman"/>
          <w:b/>
          <w:color w:val="auto"/>
          <w:sz w:val="24"/>
          <w:szCs w:val="24"/>
        </w:rPr>
        <w:t>Evaluation of Biological Control Efficacy against Pathogens in the W System</w:t>
      </w:r>
    </w:p>
    <w:p w14:paraId="5E67B0CA" w14:textId="77777777" w:rsidR="008C283F" w:rsidRPr="00AD0D0A" w:rsidRDefault="008C283F" w:rsidP="008C283F">
      <w:pPr>
        <w:pStyle w:val="MDPI31text"/>
        <w:spacing w:line="360" w:lineRule="auto"/>
        <w:ind w:left="0" w:firstLine="567"/>
        <w:rPr>
          <w:rFonts w:ascii="Times New Roman" w:hAnsi="Times New Roman"/>
          <w:color w:val="auto"/>
          <w:sz w:val="24"/>
          <w:szCs w:val="24"/>
        </w:rPr>
      </w:pPr>
      <w:r w:rsidRPr="00AD0D0A">
        <w:rPr>
          <w:rFonts w:ascii="Times New Roman" w:hAnsi="Times New Roman"/>
          <w:color w:val="auto"/>
          <w:sz w:val="24"/>
          <w:szCs w:val="24"/>
        </w:rPr>
        <w:lastRenderedPageBreak/>
        <w:t>We converted the percentage of infected grape berries in the W system into biological control efficacy, BEW(pat), against fungal pathogens using formula (2).</w:t>
      </w:r>
    </w:p>
    <w:p w14:paraId="4AF62C25" w14:textId="77777777" w:rsidR="008C283F" w:rsidRDefault="008C283F" w:rsidP="008C283F">
      <w:pPr>
        <w:pStyle w:val="MDPI31text"/>
        <w:spacing w:line="360" w:lineRule="auto"/>
        <w:ind w:left="0" w:firstLine="567"/>
        <w:rPr>
          <w:rFonts w:ascii="Times New Roman" w:hAnsi="Times New Roman"/>
          <w:color w:val="auto"/>
          <w:sz w:val="24"/>
          <w:szCs w:val="24"/>
        </w:rPr>
      </w:pPr>
    </w:p>
    <w:tbl>
      <w:tblPr>
        <w:tblW w:w="8505" w:type="dxa"/>
        <w:jc w:val="center"/>
        <w:tblLook w:val="04A0" w:firstRow="1" w:lastRow="0" w:firstColumn="1" w:lastColumn="0" w:noHBand="0" w:noVBand="1"/>
      </w:tblPr>
      <w:tblGrid>
        <w:gridCol w:w="6957"/>
        <w:gridCol w:w="1548"/>
      </w:tblGrid>
      <w:tr w:rsidR="008C283F" w:rsidRPr="003D614B" w14:paraId="097D4E01" w14:textId="77777777" w:rsidTr="008C283F">
        <w:trPr>
          <w:jc w:val="center"/>
        </w:trPr>
        <w:tc>
          <w:tcPr>
            <w:tcW w:w="6374" w:type="dxa"/>
            <w:vAlign w:val="center"/>
          </w:tcPr>
          <w:p w14:paraId="61FE700F" w14:textId="0D60CE82" w:rsidR="008C283F" w:rsidRPr="008C283F" w:rsidRDefault="008C283F" w:rsidP="00BA29ED">
            <w:pPr>
              <w:spacing w:line="360" w:lineRule="auto"/>
              <w:jc w:val="center"/>
              <w:rPr>
                <w:rFonts w:eastAsia="Cambria Math"/>
                <w:i/>
                <w:szCs w:val="24"/>
              </w:rPr>
            </w:pPr>
            <w:r w:rsidRPr="008C283F">
              <w:rPr>
                <w:i/>
                <w:color w:val="auto"/>
                <w:szCs w:val="24"/>
              </w:rPr>
              <w:t>BEW(pat) = (PIWC – PIWS) / PIWC</w:t>
            </w:r>
          </w:p>
        </w:tc>
        <w:tc>
          <w:tcPr>
            <w:tcW w:w="1418" w:type="dxa"/>
            <w:vAlign w:val="center"/>
          </w:tcPr>
          <w:p w14:paraId="791DDB91" w14:textId="5D0C5890" w:rsidR="008C283F" w:rsidRPr="003D614B" w:rsidRDefault="008C283F" w:rsidP="008C283F">
            <w:pPr>
              <w:spacing w:line="360" w:lineRule="auto"/>
              <w:jc w:val="right"/>
              <w:rPr>
                <w:color w:val="000000" w:themeColor="text1"/>
                <w:szCs w:val="24"/>
                <w:lang w:val="ru-RU"/>
              </w:rPr>
            </w:pPr>
            <w:r w:rsidRPr="003D614B">
              <w:rPr>
                <w:color w:val="000000" w:themeColor="text1"/>
                <w:szCs w:val="24"/>
                <w:lang w:val="ru-RU"/>
              </w:rPr>
              <w:t>(</w:t>
            </w:r>
            <w:r>
              <w:rPr>
                <w:color w:val="000000" w:themeColor="text1"/>
                <w:szCs w:val="24"/>
              </w:rPr>
              <w:t>2</w:t>
            </w:r>
            <w:r w:rsidRPr="003D614B">
              <w:rPr>
                <w:color w:val="000000" w:themeColor="text1"/>
                <w:szCs w:val="24"/>
                <w:lang w:val="ru-RU"/>
              </w:rPr>
              <w:t>)</w:t>
            </w:r>
          </w:p>
        </w:tc>
      </w:tr>
    </w:tbl>
    <w:p w14:paraId="72752A07" w14:textId="77777777" w:rsidR="008C283F" w:rsidRDefault="008C283F" w:rsidP="008C283F">
      <w:pPr>
        <w:pStyle w:val="MDPI31text"/>
        <w:spacing w:line="360" w:lineRule="auto"/>
        <w:ind w:left="0" w:firstLine="567"/>
        <w:rPr>
          <w:rFonts w:ascii="Times New Roman" w:hAnsi="Times New Roman"/>
          <w:color w:val="auto"/>
          <w:sz w:val="24"/>
          <w:szCs w:val="24"/>
        </w:rPr>
      </w:pPr>
    </w:p>
    <w:p w14:paraId="7244CAA8" w14:textId="311CF4F8" w:rsidR="008C283F" w:rsidRPr="00AD0D0A" w:rsidRDefault="008C283F" w:rsidP="00F30585">
      <w:pPr>
        <w:pStyle w:val="MDPI31text"/>
        <w:spacing w:line="360" w:lineRule="auto"/>
        <w:ind w:left="0" w:firstLine="567"/>
        <w:rPr>
          <w:rFonts w:ascii="Times New Roman" w:hAnsi="Times New Roman"/>
          <w:color w:val="auto"/>
          <w:sz w:val="24"/>
          <w:szCs w:val="24"/>
        </w:rPr>
      </w:pPr>
      <w:r w:rsidRPr="00AD0D0A">
        <w:rPr>
          <w:rFonts w:ascii="Times New Roman" w:hAnsi="Times New Roman"/>
          <w:color w:val="auto"/>
          <w:sz w:val="24"/>
          <w:szCs w:val="24"/>
        </w:rPr>
        <w:t>BEW(pat) indicates the biological control efficacy against the pathogen in the W system</w:t>
      </w:r>
      <w:r w:rsidR="00F30585">
        <w:rPr>
          <w:rFonts w:ascii="Times New Roman" w:hAnsi="Times New Roman"/>
          <w:color w:val="auto"/>
          <w:sz w:val="24"/>
          <w:szCs w:val="24"/>
        </w:rPr>
        <w:t>.</w:t>
      </w:r>
    </w:p>
    <w:p w14:paraId="541F906E" w14:textId="23EDB516" w:rsidR="008C283F" w:rsidRPr="00AD0D0A" w:rsidRDefault="008C283F" w:rsidP="00F30585">
      <w:pPr>
        <w:pStyle w:val="MDPI31text"/>
        <w:spacing w:line="360" w:lineRule="auto"/>
        <w:ind w:left="0" w:firstLine="567"/>
        <w:rPr>
          <w:rFonts w:ascii="Times New Roman" w:hAnsi="Times New Roman"/>
          <w:color w:val="auto"/>
          <w:sz w:val="24"/>
          <w:szCs w:val="24"/>
        </w:rPr>
      </w:pPr>
      <w:r w:rsidRPr="00AD0D0A">
        <w:rPr>
          <w:rFonts w:ascii="Times New Roman" w:hAnsi="Times New Roman"/>
          <w:color w:val="auto"/>
          <w:sz w:val="24"/>
          <w:szCs w:val="24"/>
        </w:rPr>
        <w:t xml:space="preserve">PIWC indicates the percentage of infected artificial wounds in the </w:t>
      </w:r>
      <w:proofErr w:type="spellStart"/>
      <w:r w:rsidRPr="00AD0D0A">
        <w:rPr>
          <w:rFonts w:ascii="Times New Roman" w:hAnsi="Times New Roman"/>
          <w:color w:val="auto"/>
          <w:sz w:val="24"/>
          <w:szCs w:val="24"/>
        </w:rPr>
        <w:t>bitrophic</w:t>
      </w:r>
      <w:proofErr w:type="spellEnd"/>
      <w:r w:rsidRPr="00AD0D0A">
        <w:rPr>
          <w:rFonts w:ascii="Times New Roman" w:hAnsi="Times New Roman"/>
          <w:color w:val="auto"/>
          <w:sz w:val="24"/>
          <w:szCs w:val="24"/>
        </w:rPr>
        <w:t xml:space="preserve"> “host-pathogen” </w:t>
      </w:r>
      <w:r w:rsidR="00F30585">
        <w:rPr>
          <w:rFonts w:ascii="Times New Roman" w:hAnsi="Times New Roman"/>
          <w:color w:val="auto"/>
          <w:sz w:val="24"/>
          <w:szCs w:val="24"/>
        </w:rPr>
        <w:t>system within the control group.</w:t>
      </w:r>
    </w:p>
    <w:p w14:paraId="59F4C079" w14:textId="77777777" w:rsidR="008C283F" w:rsidRPr="00AD0D0A" w:rsidRDefault="008C283F" w:rsidP="00F30585">
      <w:pPr>
        <w:pStyle w:val="MDPI31text"/>
        <w:spacing w:line="360" w:lineRule="auto"/>
        <w:ind w:left="0" w:firstLine="567"/>
        <w:rPr>
          <w:rFonts w:ascii="Times New Roman" w:hAnsi="Times New Roman"/>
          <w:color w:val="auto"/>
          <w:sz w:val="24"/>
          <w:szCs w:val="24"/>
        </w:rPr>
      </w:pPr>
      <w:r w:rsidRPr="00AD0D0A">
        <w:rPr>
          <w:rFonts w:ascii="Times New Roman" w:hAnsi="Times New Roman"/>
          <w:color w:val="auto"/>
          <w:sz w:val="24"/>
          <w:szCs w:val="24"/>
        </w:rPr>
        <w:t xml:space="preserve">PIWS indicates the percentage of infected artificial wounds in the </w:t>
      </w:r>
      <w:proofErr w:type="spellStart"/>
      <w:r w:rsidRPr="00AD0D0A">
        <w:rPr>
          <w:rFonts w:ascii="Times New Roman" w:hAnsi="Times New Roman"/>
          <w:color w:val="auto"/>
          <w:sz w:val="24"/>
          <w:szCs w:val="24"/>
        </w:rPr>
        <w:t>tritrophic</w:t>
      </w:r>
      <w:proofErr w:type="spellEnd"/>
      <w:r w:rsidRPr="00AD0D0A">
        <w:rPr>
          <w:rFonts w:ascii="Times New Roman" w:hAnsi="Times New Roman"/>
          <w:color w:val="auto"/>
          <w:sz w:val="24"/>
          <w:szCs w:val="24"/>
        </w:rPr>
        <w:t xml:space="preserve"> W system (i.e., the “host-pathogen-antagonist” relationship) within the sample group.</w:t>
      </w:r>
    </w:p>
    <w:p w14:paraId="1D88CD1B" w14:textId="77777777" w:rsidR="008C283F" w:rsidRPr="00AD0D0A" w:rsidRDefault="008C283F" w:rsidP="008C283F">
      <w:pPr>
        <w:pStyle w:val="MDPI31text"/>
        <w:spacing w:line="360" w:lineRule="auto"/>
        <w:ind w:left="0" w:firstLine="567"/>
        <w:rPr>
          <w:rFonts w:ascii="Times New Roman" w:hAnsi="Times New Roman"/>
          <w:color w:val="auto"/>
          <w:sz w:val="24"/>
          <w:szCs w:val="24"/>
        </w:rPr>
      </w:pPr>
    </w:p>
    <w:p w14:paraId="243154E9" w14:textId="6F40A7AF" w:rsidR="008C283F" w:rsidRPr="008C283F" w:rsidRDefault="008C283F" w:rsidP="008C283F">
      <w:pPr>
        <w:pStyle w:val="MDPI31text"/>
        <w:numPr>
          <w:ilvl w:val="1"/>
          <w:numId w:val="30"/>
        </w:numPr>
        <w:spacing w:line="360" w:lineRule="auto"/>
        <w:ind w:left="0" w:firstLine="0"/>
        <w:rPr>
          <w:rFonts w:ascii="Times New Roman" w:hAnsi="Times New Roman"/>
          <w:b/>
          <w:color w:val="auto"/>
          <w:sz w:val="24"/>
          <w:szCs w:val="24"/>
        </w:rPr>
      </w:pPr>
      <w:r w:rsidRPr="008C283F">
        <w:rPr>
          <w:rFonts w:ascii="Times New Roman" w:hAnsi="Times New Roman"/>
          <w:b/>
          <w:i/>
          <w:color w:val="auto"/>
          <w:sz w:val="24"/>
          <w:szCs w:val="24"/>
        </w:rPr>
        <w:t>In Vivo</w:t>
      </w:r>
      <w:r w:rsidRPr="008C283F">
        <w:rPr>
          <w:rFonts w:ascii="Times New Roman" w:hAnsi="Times New Roman"/>
          <w:b/>
          <w:color w:val="auto"/>
          <w:sz w:val="24"/>
          <w:szCs w:val="24"/>
        </w:rPr>
        <w:t xml:space="preserve"> Screening of Antagonistic Yeast Strains for the Percentage of Infected Unwounded Berries in Grape Bunches within Postharvest Biocontrol Models: B Systems</w:t>
      </w:r>
    </w:p>
    <w:p w14:paraId="139328CB" w14:textId="74D8E133" w:rsidR="008C283F" w:rsidRPr="00AD0D0A" w:rsidRDefault="008C283F" w:rsidP="008C283F">
      <w:pPr>
        <w:pStyle w:val="MDPI31text"/>
        <w:spacing w:line="360" w:lineRule="auto"/>
        <w:ind w:left="0" w:firstLine="567"/>
        <w:rPr>
          <w:rFonts w:ascii="Times New Roman" w:hAnsi="Times New Roman"/>
          <w:color w:val="auto"/>
          <w:sz w:val="24"/>
          <w:szCs w:val="24"/>
        </w:rPr>
      </w:pPr>
      <w:r w:rsidRPr="00AD0D0A">
        <w:rPr>
          <w:rFonts w:ascii="Times New Roman" w:hAnsi="Times New Roman"/>
          <w:color w:val="auto"/>
          <w:sz w:val="24"/>
          <w:szCs w:val="24"/>
        </w:rPr>
        <w:t xml:space="preserve">By our definition, a </w:t>
      </w:r>
      <w:proofErr w:type="spellStart"/>
      <w:r w:rsidRPr="00AD0D0A">
        <w:rPr>
          <w:rFonts w:ascii="Times New Roman" w:hAnsi="Times New Roman"/>
          <w:color w:val="auto"/>
          <w:sz w:val="24"/>
          <w:szCs w:val="24"/>
        </w:rPr>
        <w:t>tritrophic</w:t>
      </w:r>
      <w:proofErr w:type="spellEnd"/>
      <w:r w:rsidRPr="00AD0D0A">
        <w:rPr>
          <w:rFonts w:ascii="Times New Roman" w:hAnsi="Times New Roman"/>
          <w:color w:val="auto"/>
          <w:sz w:val="24"/>
          <w:szCs w:val="24"/>
        </w:rPr>
        <w:t xml:space="preserve"> System B is a model postharvest biological control system that uses bunches of grapes as the host component, which have been previously stripped of their natural epiphytic microbiota by treatment with sodium hypochlorite. The antagonistic yeast and fungal pathogen are the second and third components of this </w:t>
      </w:r>
      <w:proofErr w:type="spellStart"/>
      <w:r w:rsidRPr="00AD0D0A">
        <w:rPr>
          <w:rFonts w:ascii="Times New Roman" w:hAnsi="Times New Roman"/>
          <w:color w:val="auto"/>
          <w:sz w:val="24"/>
          <w:szCs w:val="24"/>
        </w:rPr>
        <w:t>tritrophic</w:t>
      </w:r>
      <w:proofErr w:type="spellEnd"/>
      <w:r w:rsidRPr="00AD0D0A">
        <w:rPr>
          <w:rFonts w:ascii="Times New Roman" w:hAnsi="Times New Roman"/>
          <w:color w:val="auto"/>
          <w:sz w:val="24"/>
          <w:szCs w:val="24"/>
        </w:rPr>
        <w:t xml:space="preserve"> System B. Here, we used, with minor modifications, the method described in the other article </w:t>
      </w:r>
      <w:r w:rsidR="007627FE">
        <w:rPr>
          <w:rFonts w:ascii="Times New Roman" w:hAnsi="Times New Roman"/>
          <w:color w:val="auto"/>
          <w:sz w:val="24"/>
          <w:szCs w:val="24"/>
        </w:rPr>
        <w:t>(</w:t>
      </w:r>
      <w:r w:rsidR="007627FE" w:rsidRPr="007627FE">
        <w:rPr>
          <w:rFonts w:ascii="Times New Roman" w:hAnsi="Times New Roman"/>
          <w:color w:val="auto"/>
          <w:sz w:val="24"/>
        </w:rPr>
        <w:t>Schena et al. 2000</w:t>
      </w:r>
      <w:r w:rsidR="007627FE">
        <w:rPr>
          <w:rFonts w:ascii="Times New Roman" w:hAnsi="Times New Roman"/>
          <w:color w:val="auto"/>
          <w:sz w:val="24"/>
          <w:szCs w:val="24"/>
        </w:rPr>
        <w:t>)</w:t>
      </w:r>
      <w:r w:rsidRPr="00AD0D0A">
        <w:rPr>
          <w:rFonts w:ascii="Times New Roman" w:hAnsi="Times New Roman"/>
          <w:color w:val="auto"/>
          <w:sz w:val="24"/>
          <w:szCs w:val="24"/>
        </w:rPr>
        <w:t xml:space="preserve">. For the experiment, 324 bunches of 10 healthy table grape berries of the Aisulu variety (Vitis vinifera) were selected and provided by the Kazakh Research Institute of Fruit and Vegetable Growing. </w:t>
      </w:r>
    </w:p>
    <w:p w14:paraId="0F90A56D" w14:textId="77777777" w:rsidR="008C283F" w:rsidRPr="00AD0D0A" w:rsidRDefault="008C283F" w:rsidP="008C283F">
      <w:pPr>
        <w:pStyle w:val="MDPI31text"/>
        <w:spacing w:line="360" w:lineRule="auto"/>
        <w:ind w:left="0" w:firstLine="567"/>
        <w:rPr>
          <w:rFonts w:ascii="Times New Roman" w:hAnsi="Times New Roman"/>
          <w:color w:val="auto"/>
          <w:sz w:val="24"/>
          <w:szCs w:val="24"/>
        </w:rPr>
      </w:pPr>
      <w:r w:rsidRPr="00AD0D0A">
        <w:rPr>
          <w:rFonts w:ascii="Times New Roman" w:hAnsi="Times New Roman"/>
          <w:color w:val="auto"/>
          <w:sz w:val="24"/>
          <w:szCs w:val="24"/>
        </w:rPr>
        <w:t xml:space="preserve">We selected bunches that were similar in size and weight. We surface-sterilized them by soaking them in a 2% sodium hypochlorite solution for two minutes to eliminate natural epiphytic microflora. After thoroughly rinsing the bunches with sterile water in a laminar flow cabinet, we dried them. We immersed them for two hours in a suspension of antagonistic yeasts at a concentration of 1.0 × 10^7 cells/mL or in sterile distilled water for the control group. </w:t>
      </w:r>
    </w:p>
    <w:p w14:paraId="3B270A7C" w14:textId="77777777" w:rsidR="008C283F" w:rsidRPr="00AD0D0A" w:rsidRDefault="008C283F" w:rsidP="008C283F">
      <w:pPr>
        <w:pStyle w:val="MDPI31text"/>
        <w:spacing w:line="360" w:lineRule="auto"/>
        <w:ind w:left="0" w:firstLine="567"/>
        <w:rPr>
          <w:rFonts w:ascii="Times New Roman" w:hAnsi="Times New Roman"/>
          <w:color w:val="auto"/>
          <w:sz w:val="24"/>
          <w:szCs w:val="24"/>
        </w:rPr>
      </w:pPr>
      <w:r w:rsidRPr="00AD0D0A">
        <w:rPr>
          <w:rFonts w:ascii="Times New Roman" w:hAnsi="Times New Roman"/>
          <w:color w:val="auto"/>
          <w:sz w:val="24"/>
          <w:szCs w:val="24"/>
        </w:rPr>
        <w:t xml:space="preserve">Two hours later, we inoculated the bunches by spraying them with pathogen spore suspensions of B. cinerea, A. </w:t>
      </w:r>
      <w:proofErr w:type="spellStart"/>
      <w:r w:rsidRPr="00AD0D0A">
        <w:rPr>
          <w:rFonts w:ascii="Times New Roman" w:hAnsi="Times New Roman"/>
          <w:color w:val="auto"/>
          <w:sz w:val="24"/>
          <w:szCs w:val="24"/>
        </w:rPr>
        <w:t>niger</w:t>
      </w:r>
      <w:proofErr w:type="spellEnd"/>
      <w:r w:rsidRPr="00AD0D0A">
        <w:rPr>
          <w:rFonts w:ascii="Times New Roman" w:hAnsi="Times New Roman"/>
          <w:color w:val="auto"/>
          <w:sz w:val="24"/>
          <w:szCs w:val="24"/>
        </w:rPr>
        <w:t xml:space="preserve">, and R. </w:t>
      </w:r>
      <w:proofErr w:type="spellStart"/>
      <w:r w:rsidRPr="00AD0D0A">
        <w:rPr>
          <w:rFonts w:ascii="Times New Roman" w:hAnsi="Times New Roman"/>
          <w:color w:val="auto"/>
          <w:sz w:val="24"/>
          <w:szCs w:val="24"/>
        </w:rPr>
        <w:t>stolonifer</w:t>
      </w:r>
      <w:proofErr w:type="spellEnd"/>
      <w:r w:rsidRPr="00AD0D0A">
        <w:rPr>
          <w:rFonts w:ascii="Times New Roman" w:hAnsi="Times New Roman"/>
          <w:color w:val="auto"/>
          <w:sz w:val="24"/>
          <w:szCs w:val="24"/>
        </w:rPr>
        <w:t xml:space="preserve"> at a concentration of 5.0 × 10^4 conidia/</w:t>
      </w:r>
      <w:proofErr w:type="spellStart"/>
      <w:r w:rsidRPr="00AD0D0A">
        <w:rPr>
          <w:rFonts w:ascii="Times New Roman" w:hAnsi="Times New Roman"/>
          <w:color w:val="auto"/>
          <w:sz w:val="24"/>
          <w:szCs w:val="24"/>
        </w:rPr>
        <w:t>mL.</w:t>
      </w:r>
      <w:proofErr w:type="spellEnd"/>
      <w:r w:rsidRPr="00AD0D0A">
        <w:rPr>
          <w:rFonts w:ascii="Times New Roman" w:hAnsi="Times New Roman"/>
          <w:color w:val="auto"/>
          <w:sz w:val="24"/>
          <w:szCs w:val="24"/>
        </w:rPr>
        <w:t xml:space="preserve"> We replicated each treatment three times, with each replicate consisting of six bunches placed in a plastic box lined with water-soaked paper to maintain high humidity and covered with a lid. Inside each box, the bunches were arranged to ensure adequate spacing to prevent contact between them. The treated bunches were stored at 20°C, and the percentage of infected berries was assessed after five days. The data were subjected to an arcsine transformation before analysis of variance.</w:t>
      </w:r>
    </w:p>
    <w:p w14:paraId="63CA0040" w14:textId="77777777" w:rsidR="008C283F" w:rsidRPr="008C283F" w:rsidRDefault="008C283F" w:rsidP="008C283F">
      <w:pPr>
        <w:pStyle w:val="MDPI31text"/>
        <w:spacing w:line="360" w:lineRule="auto"/>
        <w:ind w:left="0" w:firstLine="567"/>
        <w:rPr>
          <w:rFonts w:ascii="Times New Roman" w:hAnsi="Times New Roman"/>
          <w:b/>
          <w:color w:val="auto"/>
          <w:sz w:val="24"/>
          <w:szCs w:val="24"/>
        </w:rPr>
      </w:pPr>
    </w:p>
    <w:p w14:paraId="577882D9" w14:textId="51AE41AB" w:rsidR="008C283F" w:rsidRPr="008C283F" w:rsidRDefault="008C283F" w:rsidP="008C283F">
      <w:pPr>
        <w:pStyle w:val="MDPI31text"/>
        <w:numPr>
          <w:ilvl w:val="1"/>
          <w:numId w:val="30"/>
        </w:numPr>
        <w:spacing w:line="360" w:lineRule="auto"/>
        <w:ind w:left="0" w:firstLine="0"/>
        <w:rPr>
          <w:rFonts w:ascii="Times New Roman" w:hAnsi="Times New Roman"/>
          <w:b/>
          <w:color w:val="auto"/>
          <w:sz w:val="24"/>
          <w:szCs w:val="24"/>
        </w:rPr>
      </w:pPr>
      <w:r w:rsidRPr="008C283F">
        <w:rPr>
          <w:rFonts w:ascii="Times New Roman" w:hAnsi="Times New Roman"/>
          <w:b/>
          <w:color w:val="auto"/>
          <w:sz w:val="24"/>
          <w:szCs w:val="24"/>
        </w:rPr>
        <w:t xml:space="preserve">Evaluation of Biological Control Efficacy against Pathogens in the B Systems </w:t>
      </w:r>
    </w:p>
    <w:p w14:paraId="45409261" w14:textId="77777777" w:rsidR="008C283F" w:rsidRPr="00AD0D0A" w:rsidRDefault="008C283F" w:rsidP="008C283F">
      <w:pPr>
        <w:pStyle w:val="MDPI31text"/>
        <w:spacing w:line="360" w:lineRule="auto"/>
        <w:ind w:left="0" w:firstLine="567"/>
        <w:rPr>
          <w:rFonts w:ascii="Times New Roman" w:hAnsi="Times New Roman"/>
          <w:color w:val="auto"/>
          <w:sz w:val="24"/>
          <w:szCs w:val="24"/>
        </w:rPr>
      </w:pPr>
      <w:r w:rsidRPr="00AD0D0A">
        <w:rPr>
          <w:rFonts w:ascii="Times New Roman" w:hAnsi="Times New Roman"/>
          <w:color w:val="auto"/>
          <w:sz w:val="24"/>
          <w:szCs w:val="24"/>
        </w:rPr>
        <w:t>We converted the percentage of infected grape berries in system B into biological control efficacy (BEB; pat) against fungal pathogens using the standard formula (3).</w:t>
      </w:r>
    </w:p>
    <w:p w14:paraId="593C5B05" w14:textId="77777777" w:rsidR="008C283F" w:rsidRDefault="008C283F" w:rsidP="008C283F">
      <w:pPr>
        <w:pStyle w:val="MDPI31text"/>
        <w:spacing w:line="360" w:lineRule="auto"/>
        <w:ind w:left="0" w:firstLine="567"/>
        <w:rPr>
          <w:rFonts w:ascii="Times New Roman" w:hAnsi="Times New Roman"/>
          <w:color w:val="auto"/>
          <w:sz w:val="24"/>
          <w:szCs w:val="24"/>
        </w:rPr>
      </w:pPr>
    </w:p>
    <w:tbl>
      <w:tblPr>
        <w:tblW w:w="8505" w:type="dxa"/>
        <w:jc w:val="center"/>
        <w:tblLook w:val="04A0" w:firstRow="1" w:lastRow="0" w:firstColumn="1" w:lastColumn="0" w:noHBand="0" w:noVBand="1"/>
      </w:tblPr>
      <w:tblGrid>
        <w:gridCol w:w="6957"/>
        <w:gridCol w:w="1548"/>
      </w:tblGrid>
      <w:tr w:rsidR="008C283F" w:rsidRPr="003D614B" w14:paraId="6B41F229" w14:textId="77777777" w:rsidTr="008C283F">
        <w:trPr>
          <w:jc w:val="center"/>
        </w:trPr>
        <w:tc>
          <w:tcPr>
            <w:tcW w:w="6374" w:type="dxa"/>
            <w:vAlign w:val="center"/>
          </w:tcPr>
          <w:p w14:paraId="205FAA09" w14:textId="3271987A" w:rsidR="008C283F" w:rsidRPr="008C283F" w:rsidRDefault="008C283F" w:rsidP="00BA29ED">
            <w:pPr>
              <w:spacing w:line="360" w:lineRule="auto"/>
              <w:jc w:val="center"/>
              <w:rPr>
                <w:rFonts w:eastAsia="Cambria Math"/>
                <w:i/>
                <w:szCs w:val="24"/>
              </w:rPr>
            </w:pPr>
            <w:r w:rsidRPr="008C283F">
              <w:rPr>
                <w:i/>
                <w:color w:val="auto"/>
                <w:szCs w:val="24"/>
              </w:rPr>
              <w:t>BEB(pat) = (PIBC – PIBS)/ PIBC</w:t>
            </w:r>
          </w:p>
        </w:tc>
        <w:tc>
          <w:tcPr>
            <w:tcW w:w="1418" w:type="dxa"/>
            <w:vAlign w:val="center"/>
          </w:tcPr>
          <w:p w14:paraId="110AED65" w14:textId="3A5C1758" w:rsidR="008C283F" w:rsidRPr="003D614B" w:rsidRDefault="008C283F" w:rsidP="008C283F">
            <w:pPr>
              <w:spacing w:line="360" w:lineRule="auto"/>
              <w:jc w:val="right"/>
              <w:rPr>
                <w:color w:val="000000" w:themeColor="text1"/>
                <w:szCs w:val="24"/>
                <w:lang w:val="ru-RU"/>
              </w:rPr>
            </w:pPr>
            <w:r w:rsidRPr="003D614B">
              <w:rPr>
                <w:color w:val="000000" w:themeColor="text1"/>
                <w:szCs w:val="24"/>
                <w:lang w:val="ru-RU"/>
              </w:rPr>
              <w:t>(</w:t>
            </w:r>
            <w:r>
              <w:rPr>
                <w:color w:val="000000" w:themeColor="text1"/>
                <w:szCs w:val="24"/>
              </w:rPr>
              <w:t>3</w:t>
            </w:r>
            <w:r w:rsidRPr="003D614B">
              <w:rPr>
                <w:color w:val="000000" w:themeColor="text1"/>
                <w:szCs w:val="24"/>
                <w:lang w:val="ru-RU"/>
              </w:rPr>
              <w:t>)</w:t>
            </w:r>
          </w:p>
        </w:tc>
      </w:tr>
    </w:tbl>
    <w:p w14:paraId="19A1A82D" w14:textId="77777777" w:rsidR="008C283F" w:rsidRPr="00AD0D0A" w:rsidRDefault="008C283F" w:rsidP="008C283F">
      <w:pPr>
        <w:pStyle w:val="MDPI31text"/>
        <w:spacing w:line="360" w:lineRule="auto"/>
        <w:ind w:left="0" w:firstLine="567"/>
        <w:rPr>
          <w:rFonts w:ascii="Times New Roman" w:hAnsi="Times New Roman"/>
          <w:color w:val="auto"/>
          <w:sz w:val="24"/>
          <w:szCs w:val="24"/>
        </w:rPr>
      </w:pPr>
    </w:p>
    <w:p w14:paraId="69BD83F0" w14:textId="77777777" w:rsidR="008C283F" w:rsidRPr="00AD0D0A" w:rsidRDefault="008C283F" w:rsidP="008C283F">
      <w:pPr>
        <w:pStyle w:val="MDPI31text"/>
        <w:spacing w:line="360" w:lineRule="auto"/>
        <w:ind w:left="0" w:firstLine="567"/>
        <w:rPr>
          <w:rFonts w:ascii="Times New Roman" w:hAnsi="Times New Roman"/>
          <w:color w:val="auto"/>
          <w:sz w:val="24"/>
          <w:szCs w:val="24"/>
        </w:rPr>
      </w:pPr>
      <w:r w:rsidRPr="00AD0D0A">
        <w:rPr>
          <w:rFonts w:ascii="Times New Roman" w:hAnsi="Times New Roman"/>
          <w:color w:val="auto"/>
          <w:sz w:val="24"/>
          <w:szCs w:val="24"/>
        </w:rPr>
        <w:t>BEB</w:t>
      </w:r>
      <w:r w:rsidRPr="00AD0D0A">
        <w:rPr>
          <w:rFonts w:ascii="Times New Roman" w:hAnsi="Times New Roman"/>
          <w:color w:val="auto"/>
          <w:sz w:val="24"/>
          <w:szCs w:val="24"/>
          <w:lang w:val="kk-KZ"/>
        </w:rPr>
        <w:t xml:space="preserve"> </w:t>
      </w:r>
      <w:r w:rsidRPr="00AD0D0A">
        <w:rPr>
          <w:rFonts w:ascii="Times New Roman" w:hAnsi="Times New Roman"/>
          <w:color w:val="auto"/>
          <w:sz w:val="24"/>
          <w:szCs w:val="24"/>
        </w:rPr>
        <w:t>(pat) indicates the biological control efficacy against the pathogen in the B system.</w:t>
      </w:r>
    </w:p>
    <w:p w14:paraId="267B73DE" w14:textId="77777777" w:rsidR="008C283F" w:rsidRPr="00AD0D0A" w:rsidRDefault="008C283F" w:rsidP="008C283F">
      <w:pPr>
        <w:pStyle w:val="MDPI31text"/>
        <w:spacing w:line="360" w:lineRule="auto"/>
        <w:ind w:left="0" w:firstLine="567"/>
        <w:rPr>
          <w:rFonts w:ascii="Times New Roman" w:hAnsi="Times New Roman"/>
          <w:color w:val="auto"/>
          <w:sz w:val="24"/>
          <w:szCs w:val="24"/>
        </w:rPr>
      </w:pPr>
      <w:r w:rsidRPr="00AD0D0A">
        <w:rPr>
          <w:rFonts w:ascii="Times New Roman" w:hAnsi="Times New Roman"/>
          <w:color w:val="auto"/>
          <w:sz w:val="24"/>
          <w:szCs w:val="24"/>
        </w:rPr>
        <w:t xml:space="preserve">PIBC indicates the percentage of infected berries in the </w:t>
      </w:r>
      <w:proofErr w:type="spellStart"/>
      <w:r w:rsidRPr="00AD0D0A">
        <w:rPr>
          <w:rFonts w:ascii="Times New Roman" w:hAnsi="Times New Roman"/>
          <w:color w:val="auto"/>
          <w:sz w:val="24"/>
          <w:szCs w:val="24"/>
        </w:rPr>
        <w:t>bitrophic</w:t>
      </w:r>
      <w:proofErr w:type="spellEnd"/>
      <w:r w:rsidRPr="00AD0D0A">
        <w:rPr>
          <w:rFonts w:ascii="Times New Roman" w:hAnsi="Times New Roman"/>
          <w:color w:val="auto"/>
          <w:sz w:val="24"/>
          <w:szCs w:val="24"/>
        </w:rPr>
        <w:t xml:space="preserve"> “host-pathogen” system within control groups.</w:t>
      </w:r>
    </w:p>
    <w:p w14:paraId="6918D1C7" w14:textId="77777777" w:rsidR="008C283F" w:rsidRPr="00AD0D0A" w:rsidRDefault="008C283F" w:rsidP="008C283F">
      <w:pPr>
        <w:pStyle w:val="MDPI31text"/>
        <w:spacing w:line="360" w:lineRule="auto"/>
        <w:ind w:left="0" w:firstLine="567"/>
        <w:rPr>
          <w:rFonts w:ascii="Times New Roman" w:hAnsi="Times New Roman"/>
          <w:color w:val="auto"/>
          <w:sz w:val="24"/>
          <w:szCs w:val="24"/>
        </w:rPr>
      </w:pPr>
      <w:r w:rsidRPr="00AD0D0A">
        <w:rPr>
          <w:rFonts w:ascii="Times New Roman" w:hAnsi="Times New Roman"/>
          <w:color w:val="auto"/>
          <w:sz w:val="24"/>
          <w:szCs w:val="24"/>
        </w:rPr>
        <w:t xml:space="preserve">PIBS shows the percentage of infected berries in the </w:t>
      </w:r>
      <w:proofErr w:type="spellStart"/>
      <w:r w:rsidRPr="00AD0D0A">
        <w:rPr>
          <w:rFonts w:ascii="Times New Roman" w:hAnsi="Times New Roman"/>
          <w:color w:val="auto"/>
          <w:sz w:val="24"/>
          <w:szCs w:val="24"/>
        </w:rPr>
        <w:t>tritrophic</w:t>
      </w:r>
      <w:proofErr w:type="spellEnd"/>
      <w:r w:rsidRPr="00AD0D0A">
        <w:rPr>
          <w:rFonts w:ascii="Times New Roman" w:hAnsi="Times New Roman"/>
          <w:color w:val="auto"/>
          <w:sz w:val="24"/>
          <w:szCs w:val="24"/>
        </w:rPr>
        <w:t xml:space="preserve"> B system, which includes “host-pathogen-antagonist” within the sampled group.</w:t>
      </w:r>
    </w:p>
    <w:p w14:paraId="7834C017" w14:textId="77777777" w:rsidR="008C283F" w:rsidRPr="00AD0D0A" w:rsidRDefault="008C283F" w:rsidP="008C283F">
      <w:pPr>
        <w:pStyle w:val="MDPI31text"/>
        <w:spacing w:line="360" w:lineRule="auto"/>
        <w:ind w:left="0" w:firstLine="567"/>
        <w:rPr>
          <w:rFonts w:ascii="Times New Roman" w:hAnsi="Times New Roman"/>
          <w:color w:val="auto"/>
          <w:sz w:val="24"/>
          <w:szCs w:val="24"/>
        </w:rPr>
      </w:pPr>
    </w:p>
    <w:p w14:paraId="1ABA3BC7" w14:textId="0F60824D" w:rsidR="008C283F" w:rsidRPr="008C283F" w:rsidRDefault="008C283F" w:rsidP="008C283F">
      <w:pPr>
        <w:pStyle w:val="MDPI31text"/>
        <w:numPr>
          <w:ilvl w:val="1"/>
          <w:numId w:val="30"/>
        </w:numPr>
        <w:tabs>
          <w:tab w:val="left" w:pos="567"/>
        </w:tabs>
        <w:spacing w:line="360" w:lineRule="auto"/>
        <w:ind w:left="0" w:firstLine="0"/>
        <w:rPr>
          <w:rFonts w:ascii="Times New Roman" w:hAnsi="Times New Roman"/>
          <w:b/>
          <w:color w:val="auto"/>
          <w:sz w:val="24"/>
          <w:szCs w:val="24"/>
        </w:rPr>
      </w:pPr>
      <w:r w:rsidRPr="008C283F">
        <w:rPr>
          <w:rFonts w:ascii="Times New Roman" w:hAnsi="Times New Roman"/>
          <w:b/>
          <w:color w:val="auto"/>
          <w:sz w:val="24"/>
          <w:szCs w:val="24"/>
        </w:rPr>
        <w:t>Evaluation of the B and W Systems’ Selectivity for Protection Against Fungal Pathogens</w:t>
      </w:r>
    </w:p>
    <w:p w14:paraId="7593F9DC" w14:textId="7F8DE498" w:rsidR="008C283F" w:rsidRPr="00AD0D0A" w:rsidRDefault="008C283F" w:rsidP="008C283F">
      <w:pPr>
        <w:pStyle w:val="MDPI31text"/>
        <w:spacing w:line="360" w:lineRule="auto"/>
        <w:ind w:left="0" w:firstLine="567"/>
        <w:rPr>
          <w:rFonts w:ascii="Times New Roman" w:hAnsi="Times New Roman"/>
          <w:color w:val="auto"/>
          <w:sz w:val="24"/>
          <w:szCs w:val="24"/>
        </w:rPr>
      </w:pPr>
      <w:r w:rsidRPr="00AD0D0A">
        <w:rPr>
          <w:rFonts w:ascii="Times New Roman" w:hAnsi="Times New Roman"/>
          <w:color w:val="auto"/>
          <w:sz w:val="24"/>
          <w:szCs w:val="24"/>
        </w:rPr>
        <w:t xml:space="preserve">We evaluated the selectivity for protection against one of the two fungal pathogens (pat) in B and W systems by using a statistical method called the “overlap rule for standard error (SE) columns” </w:t>
      </w:r>
      <w:r w:rsidR="008B4EA3">
        <w:rPr>
          <w:rFonts w:ascii="Times New Roman" w:hAnsi="Times New Roman"/>
          <w:color w:val="auto"/>
          <w:sz w:val="24"/>
          <w:szCs w:val="24"/>
        </w:rPr>
        <w:t>(</w:t>
      </w:r>
      <w:r w:rsidR="008B4EA3" w:rsidRPr="008B4EA3">
        <w:rPr>
          <w:rFonts w:ascii="Times New Roman" w:hAnsi="Times New Roman"/>
          <w:color w:val="auto"/>
          <w:sz w:val="24"/>
        </w:rPr>
        <w:t>Cumming et al. 2007</w:t>
      </w:r>
      <w:r w:rsidR="008B4EA3">
        <w:rPr>
          <w:rFonts w:ascii="Times New Roman" w:hAnsi="Times New Roman"/>
          <w:color w:val="auto"/>
          <w:sz w:val="24"/>
          <w:szCs w:val="24"/>
        </w:rPr>
        <w:t>)</w:t>
      </w:r>
      <w:r w:rsidRPr="00AD0D0A">
        <w:rPr>
          <w:rFonts w:ascii="Times New Roman" w:hAnsi="Times New Roman"/>
          <w:color w:val="auto"/>
          <w:sz w:val="24"/>
          <w:szCs w:val="24"/>
        </w:rPr>
        <w:t xml:space="preserve"> (see paragraph 2.12). </w:t>
      </w:r>
    </w:p>
    <w:p w14:paraId="48E57272" w14:textId="77777777" w:rsidR="008C283F" w:rsidRPr="00AD0D0A" w:rsidRDefault="008C283F" w:rsidP="008C283F">
      <w:pPr>
        <w:pStyle w:val="MDPI31text"/>
        <w:spacing w:line="360" w:lineRule="auto"/>
        <w:ind w:left="0" w:firstLine="567"/>
        <w:rPr>
          <w:rFonts w:ascii="Times New Roman" w:hAnsi="Times New Roman"/>
          <w:color w:val="auto"/>
          <w:sz w:val="24"/>
          <w:szCs w:val="24"/>
        </w:rPr>
      </w:pPr>
    </w:p>
    <w:p w14:paraId="25644D44" w14:textId="54974DC2" w:rsidR="008C283F" w:rsidRPr="008C283F" w:rsidRDefault="008C283F" w:rsidP="008C283F">
      <w:pPr>
        <w:pStyle w:val="MDPI31text"/>
        <w:numPr>
          <w:ilvl w:val="1"/>
          <w:numId w:val="30"/>
        </w:numPr>
        <w:tabs>
          <w:tab w:val="left" w:pos="567"/>
        </w:tabs>
        <w:spacing w:line="360" w:lineRule="auto"/>
        <w:ind w:left="0" w:firstLine="0"/>
        <w:rPr>
          <w:rFonts w:ascii="Times New Roman" w:hAnsi="Times New Roman"/>
          <w:b/>
          <w:color w:val="auto"/>
          <w:sz w:val="24"/>
          <w:szCs w:val="24"/>
        </w:rPr>
      </w:pPr>
      <w:r w:rsidRPr="008C283F">
        <w:rPr>
          <w:rFonts w:ascii="Times New Roman" w:hAnsi="Times New Roman"/>
          <w:b/>
          <w:color w:val="auto"/>
          <w:sz w:val="24"/>
          <w:szCs w:val="24"/>
        </w:rPr>
        <w:t xml:space="preserve">Data Analysis and Statistical Assessment of Results </w:t>
      </w:r>
    </w:p>
    <w:p w14:paraId="13F4F8FB" w14:textId="62069F97" w:rsidR="008C283F" w:rsidRPr="008C283F" w:rsidRDefault="008C283F" w:rsidP="008C283F">
      <w:pPr>
        <w:pStyle w:val="MDPI31text"/>
        <w:spacing w:line="360" w:lineRule="auto"/>
        <w:ind w:left="0" w:firstLine="567"/>
        <w:rPr>
          <w:rFonts w:ascii="Times New Roman" w:hAnsi="Times New Roman"/>
          <w:color w:val="auto"/>
          <w:sz w:val="24"/>
          <w:szCs w:val="24"/>
        </w:rPr>
      </w:pPr>
      <w:r w:rsidRPr="008C283F">
        <w:rPr>
          <w:rFonts w:ascii="Times New Roman" w:hAnsi="Times New Roman"/>
          <w:color w:val="auto"/>
          <w:sz w:val="24"/>
          <w:szCs w:val="24"/>
        </w:rPr>
        <w:t xml:space="preserve">We presented the numerical data as means and standard errors. To normalize the distribution before statistical analysis, we transformed percentage data from yeast screening, both in vitro and in vivo, to arcsine-square root values. We assessed the significance of differences among treatments using one-way ANOVA, followed by Tukey's HSD (Honestly Significant Difference) post hoc test, with a significance level set at P &lt; 0.01 </w:t>
      </w:r>
      <w:r w:rsidR="00BD24B1">
        <w:rPr>
          <w:rFonts w:ascii="Times New Roman" w:hAnsi="Times New Roman"/>
          <w:color w:val="auto"/>
          <w:sz w:val="24"/>
          <w:szCs w:val="24"/>
        </w:rPr>
        <w:t>(</w:t>
      </w:r>
      <w:r w:rsidR="00BD24B1" w:rsidRPr="00BD24B1">
        <w:rPr>
          <w:rFonts w:ascii="Times New Roman" w:hAnsi="Times New Roman"/>
          <w:color w:val="auto"/>
          <w:sz w:val="24"/>
          <w:szCs w:val="24"/>
        </w:rPr>
        <w:t>One-Way ANOVA n.d.)</w:t>
      </w:r>
      <w:r w:rsidRPr="00BD24B1">
        <w:rPr>
          <w:rFonts w:ascii="Times New Roman" w:hAnsi="Times New Roman"/>
          <w:color w:val="auto"/>
          <w:sz w:val="24"/>
          <w:szCs w:val="24"/>
        </w:rPr>
        <w:t xml:space="preserve"> (see the</w:t>
      </w:r>
      <w:r w:rsidRPr="008C283F">
        <w:rPr>
          <w:rFonts w:ascii="Times New Roman" w:hAnsi="Times New Roman"/>
          <w:color w:val="auto"/>
          <w:sz w:val="24"/>
          <w:szCs w:val="24"/>
        </w:rPr>
        <w:t xml:space="preserve"> Supplementary Materials).</w:t>
      </w:r>
    </w:p>
    <w:p w14:paraId="38006F67" w14:textId="2F41F0C4" w:rsidR="008C283F" w:rsidRPr="008C283F" w:rsidRDefault="008C283F" w:rsidP="008C283F">
      <w:pPr>
        <w:pStyle w:val="MDPI31text"/>
        <w:spacing w:line="360" w:lineRule="auto"/>
        <w:ind w:left="0" w:firstLine="567"/>
        <w:rPr>
          <w:rFonts w:ascii="Times New Roman" w:hAnsi="Times New Roman"/>
          <w:color w:val="auto"/>
          <w:sz w:val="24"/>
          <w:szCs w:val="24"/>
        </w:rPr>
      </w:pPr>
      <w:r w:rsidRPr="008C283F">
        <w:rPr>
          <w:rFonts w:ascii="Times New Roman" w:hAnsi="Times New Roman"/>
          <w:color w:val="auto"/>
          <w:sz w:val="24"/>
          <w:szCs w:val="24"/>
        </w:rPr>
        <w:t xml:space="preserve">We assessed the statistical significance of selectivity for protection against fungal pathogens in the B and W systems using the overlap rule for standard error (SE) bars </w:t>
      </w:r>
      <w:r w:rsidR="008B4EA3">
        <w:rPr>
          <w:rFonts w:ascii="Times New Roman" w:hAnsi="Times New Roman"/>
          <w:color w:val="auto"/>
          <w:sz w:val="24"/>
          <w:szCs w:val="24"/>
        </w:rPr>
        <w:t>(</w:t>
      </w:r>
      <w:r w:rsidR="008B4EA3" w:rsidRPr="008B4EA3">
        <w:rPr>
          <w:rFonts w:ascii="Times New Roman" w:hAnsi="Times New Roman"/>
          <w:color w:val="auto"/>
          <w:sz w:val="24"/>
        </w:rPr>
        <w:t>Cumming et al. 2007</w:t>
      </w:r>
      <w:r w:rsidR="008B4EA3">
        <w:rPr>
          <w:rFonts w:ascii="Times New Roman" w:hAnsi="Times New Roman"/>
          <w:color w:val="auto"/>
          <w:sz w:val="24"/>
          <w:szCs w:val="24"/>
        </w:rPr>
        <w:t>)</w:t>
      </w:r>
      <w:r w:rsidRPr="008C283F">
        <w:rPr>
          <w:rFonts w:ascii="Times New Roman" w:hAnsi="Times New Roman"/>
          <w:color w:val="auto"/>
          <w:sz w:val="24"/>
          <w:szCs w:val="24"/>
        </w:rPr>
        <w:t xml:space="preserve">. This method was applied using the percentage of infected berries in grape bunches (PIBS) in the B system and the percentage of infected wounds in grape berries (PIWS) in the W system (see Tables 1A and 2A). According to this rule, a “Gap” is </w:t>
      </w:r>
      <w:r w:rsidRPr="008C283F">
        <w:rPr>
          <w:rFonts w:ascii="Times New Roman" w:hAnsi="Times New Roman"/>
          <w:color w:val="auto"/>
          <w:sz w:val="24"/>
          <w:szCs w:val="24"/>
          <w:lang w:val="kk-KZ"/>
        </w:rPr>
        <w:t xml:space="preserve">the number of arms of the average SE bar that would fit </w:t>
      </w:r>
      <w:r w:rsidRPr="008C283F">
        <w:rPr>
          <w:rFonts w:ascii="Times New Roman" w:hAnsi="Times New Roman"/>
          <w:color w:val="auto"/>
          <w:sz w:val="24"/>
          <w:szCs w:val="24"/>
        </w:rPr>
        <w:t xml:space="preserve">between the bottom of the error bar of the sample with the higher (H) mean value and the top of the error bar of the sample with the lower (L) mean value. A gap of 2 means that the distance between the H and L error bars equals twice the average </w:t>
      </w:r>
      <w:r w:rsidRPr="008C283F">
        <w:rPr>
          <w:rFonts w:ascii="Times New Roman" w:hAnsi="Times New Roman"/>
          <w:color w:val="auto"/>
          <w:sz w:val="24"/>
          <w:szCs w:val="24"/>
        </w:rPr>
        <w:lastRenderedPageBreak/>
        <w:t xml:space="preserve">length of the error bar arms for both samples, and the probability (P) is roughly 0.05. For example, a Gap of 2 indicates that the distance between the SE bars is equal to twice the length of the average SE bar arms for the two samples. When n = 3 or 4 and twice the lengths of the SE bar arms touch (meaning the Gap distance is two average SE bar arms), P is approximately 0.05. Suppose the Gap distance exceeds two, and n equals 3 or 4. In that case, the infection rate of grape berries after treatment with one yeast against two fungal pathogens differs significantly (P &lt; 0.05). </w:t>
      </w:r>
    </w:p>
    <w:p w14:paraId="6C2BA59D" w14:textId="41911139" w:rsidR="00397A3C" w:rsidRPr="008C283F" w:rsidRDefault="008C283F" w:rsidP="008C283F">
      <w:pPr>
        <w:pStyle w:val="MDPI31text"/>
        <w:spacing w:line="360" w:lineRule="auto"/>
        <w:ind w:left="0" w:firstLine="567"/>
        <w:rPr>
          <w:rFonts w:ascii="Times New Roman" w:hAnsi="Times New Roman"/>
          <w:color w:val="auto"/>
          <w:sz w:val="24"/>
          <w:szCs w:val="24"/>
        </w:rPr>
      </w:pPr>
      <w:r w:rsidRPr="008C283F">
        <w:rPr>
          <w:rFonts w:ascii="Times New Roman" w:hAnsi="Times New Roman"/>
          <w:color w:val="auto"/>
          <w:sz w:val="24"/>
          <w:szCs w:val="24"/>
        </w:rPr>
        <w:t>Tables 4, as well as Tables 5, illustrate the method for calculating the gap distance</w:t>
      </w:r>
      <w:r w:rsidR="00397A3C" w:rsidRPr="008C283F">
        <w:rPr>
          <w:rFonts w:ascii="Times New Roman" w:hAnsi="Times New Roman"/>
          <w:color w:val="auto"/>
          <w:sz w:val="24"/>
          <w:szCs w:val="24"/>
        </w:rPr>
        <w:t>.</w:t>
      </w:r>
    </w:p>
    <w:p w14:paraId="617D5911" w14:textId="77777777" w:rsidR="00397A3C" w:rsidRPr="008C283F" w:rsidRDefault="00397A3C" w:rsidP="008C283F">
      <w:pPr>
        <w:pStyle w:val="MDPI31text"/>
        <w:spacing w:line="360" w:lineRule="auto"/>
        <w:ind w:left="0" w:firstLine="567"/>
        <w:rPr>
          <w:rFonts w:ascii="Times New Roman" w:eastAsia="Batang" w:hAnsi="Times New Roman"/>
          <w:color w:val="FF0000"/>
          <w:sz w:val="24"/>
          <w:szCs w:val="24"/>
        </w:rPr>
      </w:pPr>
    </w:p>
    <w:p w14:paraId="20CEC3B5" w14:textId="7EE7DB1E" w:rsidR="00397A3C" w:rsidRPr="008C283F" w:rsidRDefault="00397A3C"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rPr>
      </w:pPr>
      <w:r w:rsidRPr="008C283F">
        <w:rPr>
          <w:rFonts w:ascii="Times New Roman" w:hAnsi="Times New Roman"/>
          <w:color w:val="auto"/>
          <w:sz w:val="24"/>
          <w:szCs w:val="24"/>
        </w:rPr>
        <w:t>RESULTS</w:t>
      </w:r>
      <w:r w:rsidR="00DE5A5B" w:rsidRPr="008C283F">
        <w:rPr>
          <w:rFonts w:ascii="Times New Roman" w:hAnsi="Times New Roman"/>
          <w:color w:val="auto"/>
          <w:sz w:val="24"/>
          <w:szCs w:val="24"/>
        </w:rPr>
        <w:t xml:space="preserve"> </w:t>
      </w:r>
    </w:p>
    <w:p w14:paraId="05C3E676" w14:textId="7E46DC6D" w:rsidR="006958D4" w:rsidRPr="006958D4" w:rsidRDefault="006958D4" w:rsidP="00175FF0">
      <w:pPr>
        <w:pStyle w:val="MDPI31text"/>
        <w:numPr>
          <w:ilvl w:val="1"/>
          <w:numId w:val="30"/>
        </w:numPr>
        <w:tabs>
          <w:tab w:val="left" w:pos="567"/>
        </w:tabs>
        <w:spacing w:line="360" w:lineRule="auto"/>
        <w:ind w:left="0" w:firstLine="0"/>
        <w:rPr>
          <w:rFonts w:ascii="Times New Roman" w:hAnsi="Times New Roman"/>
          <w:b/>
          <w:color w:val="auto"/>
          <w:sz w:val="24"/>
          <w:szCs w:val="24"/>
        </w:rPr>
      </w:pPr>
      <w:r w:rsidRPr="006958D4">
        <w:rPr>
          <w:rFonts w:ascii="Times New Roman" w:hAnsi="Times New Roman"/>
          <w:b/>
          <w:color w:val="auto"/>
          <w:sz w:val="24"/>
          <w:szCs w:val="24"/>
        </w:rPr>
        <w:t xml:space="preserve">Objects of Study </w:t>
      </w:r>
    </w:p>
    <w:p w14:paraId="476CFBF5" w14:textId="77777777" w:rsidR="006958D4" w:rsidRPr="00125A2F" w:rsidRDefault="006958D4" w:rsidP="006958D4">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The objects of this study were isolates of epiphytic yeasts collected from the surface of berries of the local Kazakh table grape variety, Aisulu. The yeast cultures formed large, round colonies with a shiny surface, ranging from beige to white, and had a pasty consistency when grown on potato dextrose agar (PDA). In the broth medium, yeast growth formed a significant sediment at the bottom of the test tube. We selected thirty-four yeast isolates based on their cultural and morphological characteristics.</w:t>
      </w:r>
    </w:p>
    <w:p w14:paraId="3B0ABD99" w14:textId="77777777" w:rsidR="006958D4" w:rsidRPr="00125A2F" w:rsidRDefault="006958D4" w:rsidP="006958D4">
      <w:pPr>
        <w:pStyle w:val="MDPI31text"/>
        <w:spacing w:line="360" w:lineRule="auto"/>
        <w:ind w:left="0" w:firstLine="567"/>
        <w:rPr>
          <w:rFonts w:ascii="Times New Roman" w:hAnsi="Times New Roman"/>
          <w:i/>
          <w:color w:val="auto"/>
          <w:sz w:val="24"/>
          <w:szCs w:val="24"/>
        </w:rPr>
      </w:pPr>
    </w:p>
    <w:p w14:paraId="26185706" w14:textId="6C956858" w:rsidR="006958D4" w:rsidRPr="006958D4" w:rsidRDefault="006958D4" w:rsidP="006958D4">
      <w:pPr>
        <w:pStyle w:val="MDPI31text"/>
        <w:numPr>
          <w:ilvl w:val="1"/>
          <w:numId w:val="30"/>
        </w:numPr>
        <w:tabs>
          <w:tab w:val="left" w:pos="567"/>
        </w:tabs>
        <w:spacing w:line="360" w:lineRule="auto"/>
        <w:ind w:left="0" w:firstLine="0"/>
        <w:rPr>
          <w:rFonts w:ascii="Times New Roman" w:hAnsi="Times New Roman"/>
          <w:b/>
          <w:color w:val="auto"/>
          <w:sz w:val="24"/>
          <w:szCs w:val="24"/>
        </w:rPr>
      </w:pPr>
      <w:r w:rsidRPr="006958D4">
        <w:rPr>
          <w:rFonts w:ascii="Times New Roman" w:hAnsi="Times New Roman"/>
          <w:b/>
          <w:i/>
          <w:color w:val="auto"/>
          <w:sz w:val="24"/>
          <w:szCs w:val="24"/>
        </w:rPr>
        <w:t>In Vitro</w:t>
      </w:r>
      <w:r w:rsidRPr="006958D4">
        <w:rPr>
          <w:rFonts w:ascii="Times New Roman" w:hAnsi="Times New Roman"/>
          <w:b/>
          <w:color w:val="auto"/>
          <w:sz w:val="24"/>
          <w:szCs w:val="24"/>
        </w:rPr>
        <w:t xml:space="preserve"> Screening of Yeast Isolates for Antagonistic Activity Against </w:t>
      </w:r>
      <w:r w:rsidRPr="006958D4">
        <w:rPr>
          <w:rFonts w:ascii="Times New Roman" w:hAnsi="Times New Roman"/>
          <w:b/>
          <w:i/>
          <w:color w:val="auto"/>
          <w:sz w:val="24"/>
          <w:szCs w:val="24"/>
        </w:rPr>
        <w:t xml:space="preserve">Botrytis cinerea </w:t>
      </w:r>
      <w:r w:rsidRPr="006958D4">
        <w:rPr>
          <w:rFonts w:ascii="Times New Roman" w:hAnsi="Times New Roman"/>
          <w:b/>
          <w:color w:val="auto"/>
          <w:sz w:val="24"/>
          <w:szCs w:val="24"/>
        </w:rPr>
        <w:t>Using the Dual-Culture Method</w:t>
      </w:r>
    </w:p>
    <w:p w14:paraId="754FC2E1" w14:textId="684555AF" w:rsidR="003C2865" w:rsidRPr="006958D4" w:rsidRDefault="006958D4" w:rsidP="00563D88">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Fig</w:t>
      </w:r>
      <w:r>
        <w:rPr>
          <w:rFonts w:ascii="Times New Roman" w:hAnsi="Times New Roman"/>
          <w:color w:val="auto"/>
          <w:sz w:val="24"/>
          <w:szCs w:val="24"/>
        </w:rPr>
        <w:t>.</w:t>
      </w:r>
      <w:r w:rsidRPr="00125A2F">
        <w:rPr>
          <w:rFonts w:ascii="Times New Roman" w:hAnsi="Times New Roman"/>
          <w:color w:val="auto"/>
          <w:sz w:val="24"/>
          <w:szCs w:val="24"/>
        </w:rPr>
        <w:t xml:space="preserve"> 1 shows the antagonistic activity profile of 34 epiphytic yeast isolates collected from the surface of local Kazakh table grape </w:t>
      </w:r>
      <w:r w:rsidRPr="006958D4">
        <w:rPr>
          <w:rFonts w:ascii="Times New Roman" w:hAnsi="Times New Roman"/>
          <w:color w:val="auto"/>
          <w:sz w:val="24"/>
          <w:szCs w:val="24"/>
        </w:rPr>
        <w:t>berries</w:t>
      </w:r>
      <w:r w:rsidR="003C2865" w:rsidRPr="006958D4">
        <w:rPr>
          <w:rFonts w:ascii="Times New Roman" w:hAnsi="Times New Roman"/>
          <w:color w:val="auto"/>
          <w:sz w:val="24"/>
          <w:szCs w:val="24"/>
        </w:rPr>
        <w:t xml:space="preserve">. </w:t>
      </w:r>
    </w:p>
    <w:p w14:paraId="31BBC016" w14:textId="77777777" w:rsidR="00563D88" w:rsidRPr="00125A2F" w:rsidRDefault="00563D88" w:rsidP="00563D88">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 xml:space="preserve">Yeast isolates exhibited varying levels of antagonistic activity against the gray mold pathogen (see Fig. 1 and Table S1). Some isolates were highly effective at inhibiting mycelial growth, with the highest fungal radial growth inhibition percentage (PIRG) of 71.76% achieved by isolate #29. Others showed moderate or low inhibition, with the lowest PIRG being 23.76% for isolate #10. </w:t>
      </w:r>
    </w:p>
    <w:p w14:paraId="0AC4D893" w14:textId="45ED30F7" w:rsidR="00563D88" w:rsidRPr="00125A2F" w:rsidRDefault="00563D88" w:rsidP="00563D88">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We classified the yeast isolates into four groups, designated as A, B, C, and D, based on their PIRG values (see Fig. 1). We then examined the differences in PIRG values to determine their statistical significance. From this, we selected 19 isolates with relatively higher antagonistic activity from groups A and B</w:t>
      </w:r>
      <w:r w:rsidR="00C01121">
        <w:rPr>
          <w:rFonts w:ascii="Times New Roman" w:hAnsi="Times New Roman"/>
          <w:color w:val="auto"/>
          <w:sz w:val="24"/>
          <w:szCs w:val="24"/>
        </w:rPr>
        <w:t>.</w:t>
      </w:r>
    </w:p>
    <w:p w14:paraId="3CB524F1" w14:textId="77777777" w:rsidR="00563D88" w:rsidRPr="00125A2F" w:rsidRDefault="00563D88" w:rsidP="00563D88">
      <w:pPr>
        <w:pStyle w:val="MDPI31text"/>
        <w:spacing w:line="360" w:lineRule="auto"/>
        <w:ind w:left="0" w:firstLine="567"/>
        <w:rPr>
          <w:rFonts w:ascii="Times New Roman" w:hAnsi="Times New Roman"/>
          <w:color w:val="auto"/>
          <w:sz w:val="24"/>
          <w:szCs w:val="24"/>
        </w:rPr>
      </w:pPr>
    </w:p>
    <w:p w14:paraId="0C570B78" w14:textId="62FCC919" w:rsidR="00563D88" w:rsidRPr="00563D88" w:rsidRDefault="00563D88" w:rsidP="00563D88">
      <w:pPr>
        <w:pStyle w:val="MDPI31text"/>
        <w:numPr>
          <w:ilvl w:val="1"/>
          <w:numId w:val="30"/>
        </w:numPr>
        <w:tabs>
          <w:tab w:val="left" w:pos="567"/>
        </w:tabs>
        <w:spacing w:line="360" w:lineRule="auto"/>
        <w:ind w:left="0" w:firstLine="0"/>
        <w:rPr>
          <w:rFonts w:ascii="Times New Roman" w:hAnsi="Times New Roman"/>
          <w:b/>
          <w:color w:val="auto"/>
          <w:sz w:val="24"/>
          <w:szCs w:val="24"/>
        </w:rPr>
      </w:pPr>
      <w:r w:rsidRPr="00563D88">
        <w:rPr>
          <w:rFonts w:ascii="Times New Roman" w:hAnsi="Times New Roman"/>
          <w:b/>
          <w:i/>
          <w:color w:val="auto"/>
          <w:sz w:val="24"/>
          <w:szCs w:val="24"/>
        </w:rPr>
        <w:t>In Vitro</w:t>
      </w:r>
      <w:r w:rsidRPr="00563D88">
        <w:rPr>
          <w:rFonts w:ascii="Times New Roman" w:hAnsi="Times New Roman"/>
          <w:b/>
          <w:color w:val="auto"/>
          <w:sz w:val="24"/>
          <w:szCs w:val="24"/>
        </w:rPr>
        <w:t xml:space="preserve"> Screening of Yeast Isolates for Biofilm Formation Activity</w:t>
      </w:r>
    </w:p>
    <w:p w14:paraId="0FF41865" w14:textId="33ADEDB9" w:rsidR="003C2865" w:rsidRDefault="00563D88" w:rsidP="00563D88">
      <w:pPr>
        <w:pStyle w:val="MDPI31text"/>
        <w:spacing w:line="360" w:lineRule="auto"/>
        <w:ind w:left="0" w:firstLine="567"/>
        <w:rPr>
          <w:rFonts w:ascii="Times New Roman" w:hAnsi="Times New Roman"/>
          <w:color w:val="auto"/>
          <w:sz w:val="24"/>
        </w:rPr>
      </w:pPr>
      <w:r w:rsidRPr="00125A2F">
        <w:rPr>
          <w:rFonts w:ascii="Times New Roman" w:hAnsi="Times New Roman"/>
          <w:color w:val="auto"/>
          <w:sz w:val="24"/>
          <w:szCs w:val="24"/>
        </w:rPr>
        <w:lastRenderedPageBreak/>
        <w:t>After screening 34 epiphytic yeast isolates from local grape berries for antagonistic activity, we excluded 15 isolates for their lower effectiveness. The next step in identifying BCAs was to test whether the 19 selected antagonistic yeast isolates could form biofilms in vitro. Fig</w:t>
      </w:r>
      <w:r w:rsidR="00662899">
        <w:rPr>
          <w:rFonts w:ascii="Times New Roman" w:hAnsi="Times New Roman"/>
          <w:color w:val="auto"/>
          <w:sz w:val="24"/>
          <w:szCs w:val="24"/>
        </w:rPr>
        <w:t>.</w:t>
      </w:r>
      <w:r w:rsidRPr="00125A2F">
        <w:rPr>
          <w:rFonts w:ascii="Times New Roman" w:hAnsi="Times New Roman"/>
          <w:color w:val="auto"/>
          <w:sz w:val="24"/>
          <w:szCs w:val="24"/>
        </w:rPr>
        <w:t xml:space="preserve"> 2 shows the results of testing these 19 isolates for biofilm formation. After 72 hours of incubation, most yeast isolates adhered well to the wells of the microtiter plate, even after two washes with sterile water. The stained biofilms from 11 isolates had significantly higher optical density than the controls, which had an average OD550 of 0.245. Isolates #1 and #34 showed the highest optical density values (see Fig</w:t>
      </w:r>
      <w:r w:rsidRPr="00563D88">
        <w:rPr>
          <w:rFonts w:ascii="Times New Roman" w:hAnsi="Times New Roman"/>
          <w:color w:val="auto"/>
          <w:sz w:val="24"/>
          <w:szCs w:val="24"/>
        </w:rPr>
        <w:t>. 2)</w:t>
      </w:r>
      <w:r w:rsidR="003C2865" w:rsidRPr="00563D88">
        <w:rPr>
          <w:rFonts w:ascii="Times New Roman" w:hAnsi="Times New Roman"/>
          <w:color w:val="auto"/>
          <w:sz w:val="24"/>
        </w:rPr>
        <w:t>.</w:t>
      </w:r>
    </w:p>
    <w:p w14:paraId="724417CD" w14:textId="77777777" w:rsidR="00563D88" w:rsidRDefault="00563D88" w:rsidP="00563D88">
      <w:pPr>
        <w:pStyle w:val="MDPI31text"/>
        <w:spacing w:line="360" w:lineRule="auto"/>
        <w:ind w:left="0" w:firstLine="567"/>
        <w:rPr>
          <w:rFonts w:ascii="Times New Roman" w:hAnsi="Times New Roman"/>
          <w:color w:val="auto"/>
          <w:sz w:val="24"/>
        </w:rPr>
      </w:pPr>
    </w:p>
    <w:p w14:paraId="77B18289" w14:textId="006BCB1C" w:rsidR="00563D88" w:rsidRPr="00563D88" w:rsidRDefault="00563D88" w:rsidP="00175FF0">
      <w:pPr>
        <w:pStyle w:val="MDPI22heading2"/>
        <w:numPr>
          <w:ilvl w:val="1"/>
          <w:numId w:val="30"/>
        </w:numPr>
        <w:tabs>
          <w:tab w:val="left" w:pos="567"/>
        </w:tabs>
        <w:spacing w:before="0" w:after="0" w:line="360" w:lineRule="auto"/>
        <w:ind w:left="0" w:firstLine="0"/>
        <w:outlineLvl w:val="9"/>
        <w:rPr>
          <w:rFonts w:ascii="Times New Roman" w:hAnsi="Times New Roman"/>
          <w:b/>
          <w:i w:val="0"/>
          <w:noProof w:val="0"/>
          <w:color w:val="auto"/>
          <w:sz w:val="24"/>
          <w:szCs w:val="24"/>
        </w:rPr>
      </w:pPr>
      <w:r w:rsidRPr="00563D88">
        <w:rPr>
          <w:rFonts w:ascii="Times New Roman" w:hAnsi="Times New Roman"/>
          <w:b/>
          <w:i w:val="0"/>
          <w:noProof w:val="0"/>
          <w:color w:val="auto"/>
          <w:sz w:val="24"/>
          <w:szCs w:val="24"/>
        </w:rPr>
        <w:t>Identification of Antagonistic Yeasts Using Molecular Taxonomy and Phylogenetic Analysis</w:t>
      </w:r>
    </w:p>
    <w:p w14:paraId="59B64027" w14:textId="6913B57C" w:rsidR="00563D88" w:rsidRDefault="00563D88" w:rsidP="00563D88">
      <w:pPr>
        <w:pStyle w:val="MDPI31text"/>
        <w:spacing w:line="360" w:lineRule="auto"/>
        <w:ind w:left="0" w:firstLine="567"/>
        <w:rPr>
          <w:rFonts w:ascii="Times New Roman" w:hAnsi="Times New Roman"/>
          <w:color w:val="auto"/>
          <w:sz w:val="24"/>
          <w:szCs w:val="24"/>
        </w:rPr>
      </w:pPr>
      <w:r w:rsidRPr="00563D88">
        <w:rPr>
          <w:rFonts w:ascii="Times New Roman" w:hAnsi="Times New Roman"/>
          <w:color w:val="auto"/>
          <w:sz w:val="24"/>
          <w:szCs w:val="24"/>
        </w:rPr>
        <w:t>Fig</w:t>
      </w:r>
      <w:r>
        <w:rPr>
          <w:rFonts w:ascii="Times New Roman" w:hAnsi="Times New Roman"/>
          <w:color w:val="auto"/>
          <w:sz w:val="24"/>
          <w:szCs w:val="24"/>
        </w:rPr>
        <w:t>.</w:t>
      </w:r>
      <w:r w:rsidRPr="00563D88">
        <w:rPr>
          <w:rFonts w:ascii="Times New Roman" w:hAnsi="Times New Roman"/>
          <w:color w:val="auto"/>
          <w:sz w:val="24"/>
          <w:szCs w:val="24"/>
        </w:rPr>
        <w:t xml:space="preserve"> 3 shows a phylogenetic tree that clusters 11 antagonistic yeasts, selected based on their performance in a previous in vitro biofilm formation assay (see Fig. 2). The tree groups these yeasts into proposed clades representing phylogenetically related genera</w:t>
      </w:r>
      <w:r>
        <w:rPr>
          <w:rFonts w:ascii="Times New Roman" w:hAnsi="Times New Roman"/>
          <w:color w:val="auto"/>
          <w:sz w:val="24"/>
          <w:szCs w:val="24"/>
        </w:rPr>
        <w:t>.</w:t>
      </w:r>
    </w:p>
    <w:p w14:paraId="36E54311" w14:textId="77777777" w:rsidR="00563D88" w:rsidRPr="00563D88" w:rsidRDefault="00563D88" w:rsidP="00563D88">
      <w:pPr>
        <w:pStyle w:val="MDPI31text"/>
        <w:spacing w:line="360" w:lineRule="auto"/>
        <w:ind w:left="0" w:firstLine="567"/>
        <w:rPr>
          <w:rFonts w:ascii="Times New Roman" w:hAnsi="Times New Roman"/>
          <w:color w:val="auto"/>
          <w:sz w:val="24"/>
        </w:rPr>
      </w:pPr>
    </w:p>
    <w:p w14:paraId="3EDAEFEB" w14:textId="7170F6B6" w:rsidR="00563D88" w:rsidRPr="00563D88" w:rsidRDefault="00563D88" w:rsidP="00452B7F">
      <w:pPr>
        <w:pStyle w:val="MDPI31text"/>
        <w:numPr>
          <w:ilvl w:val="1"/>
          <w:numId w:val="30"/>
        </w:numPr>
        <w:tabs>
          <w:tab w:val="left" w:pos="567"/>
        </w:tabs>
        <w:spacing w:line="360" w:lineRule="auto"/>
        <w:ind w:left="0" w:firstLine="0"/>
        <w:rPr>
          <w:rFonts w:ascii="Times New Roman" w:hAnsi="Times New Roman"/>
          <w:b/>
          <w:color w:val="auto"/>
          <w:sz w:val="24"/>
          <w:szCs w:val="24"/>
        </w:rPr>
      </w:pPr>
      <w:r w:rsidRPr="00563D88">
        <w:rPr>
          <w:rFonts w:ascii="Times New Roman" w:hAnsi="Times New Roman"/>
          <w:b/>
          <w:i/>
          <w:color w:val="auto"/>
          <w:sz w:val="24"/>
          <w:szCs w:val="24"/>
        </w:rPr>
        <w:t>In Vivo</w:t>
      </w:r>
      <w:r w:rsidRPr="00563D88">
        <w:rPr>
          <w:rFonts w:ascii="Times New Roman" w:hAnsi="Times New Roman"/>
          <w:b/>
          <w:color w:val="auto"/>
          <w:sz w:val="24"/>
          <w:szCs w:val="24"/>
        </w:rPr>
        <w:t xml:space="preserve"> Screening of Antagonistic Yeast Strains for the Percentage of Infected Artificial Wounds in Grape Berries within W Systems</w:t>
      </w:r>
    </w:p>
    <w:p w14:paraId="2258887A" w14:textId="5996A999" w:rsidR="003C2865" w:rsidRPr="00563D88" w:rsidRDefault="00563D88" w:rsidP="00452B7F">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Table 1A presents the results of screening 11 selected antagonistic yeast strains in W systems. We divided these yeast strains into four groups: A, B, C, and D, based on their ability to protect wounds from fungal infections in W systems. Strains in groups A and B did not differ from each other (P &gt; 0.01), but differed from strains in groups C and D (P &lt; 0.01). Strains in groups C and D did not differ from each other (P &gt; 0.01)</w:t>
      </w:r>
      <w:r w:rsidR="003C2865" w:rsidRPr="00563D88">
        <w:rPr>
          <w:rFonts w:ascii="Times New Roman" w:hAnsi="Times New Roman"/>
          <w:color w:val="auto"/>
          <w:sz w:val="24"/>
          <w:szCs w:val="24"/>
        </w:rPr>
        <w:t>.</w:t>
      </w:r>
    </w:p>
    <w:p w14:paraId="6C2CAAF8" w14:textId="77777777" w:rsidR="00452B7F" w:rsidRPr="00125A2F" w:rsidRDefault="00452B7F" w:rsidP="00452B7F">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 xml:space="preserve">In experiments with six yeast strains—A. pullulans (AP05, AP04, AP06, AP08, and AP12) and C. </w:t>
      </w:r>
      <w:proofErr w:type="spellStart"/>
      <w:r w:rsidRPr="00125A2F">
        <w:rPr>
          <w:rFonts w:ascii="Times New Roman" w:hAnsi="Times New Roman"/>
          <w:color w:val="auto"/>
          <w:sz w:val="24"/>
          <w:szCs w:val="24"/>
        </w:rPr>
        <w:t>lusitaniae</w:t>
      </w:r>
      <w:proofErr w:type="spellEnd"/>
      <w:r w:rsidRPr="00125A2F">
        <w:rPr>
          <w:rFonts w:ascii="Times New Roman" w:hAnsi="Times New Roman"/>
          <w:color w:val="auto"/>
          <w:sz w:val="24"/>
          <w:szCs w:val="24"/>
        </w:rPr>
        <w:t xml:space="preserve"> (CL01)—wound infection rates, comparable to the control variant, were observed, with the pathogen present in the wound of a grape berry. Infection rates for gray mold ranged from 51.1% to 60.35%, for black mold from 51.13% to 63.38%, and for Rhizopus rot from 66.11% to 74.13% (see Table 1A). These six yeast strains were classified as C and D groups (see Table 1A). The control groups showed wound infection rates of 68.81% to 83.10% and were also classified as group C or D (Table 1A).</w:t>
      </w:r>
    </w:p>
    <w:p w14:paraId="08A7CA95" w14:textId="77777777" w:rsidR="00452B7F" w:rsidRPr="00125A2F" w:rsidRDefault="00452B7F" w:rsidP="00452B7F">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 xml:space="preserve">In the W systems that used five yeast strains—M. pulcherrima (A2), H. </w:t>
      </w:r>
      <w:proofErr w:type="spellStart"/>
      <w:r w:rsidRPr="00125A2F">
        <w:rPr>
          <w:rFonts w:ascii="Times New Roman" w:hAnsi="Times New Roman"/>
          <w:color w:val="auto"/>
          <w:sz w:val="24"/>
          <w:szCs w:val="24"/>
        </w:rPr>
        <w:t>uvarum</w:t>
      </w:r>
      <w:proofErr w:type="spellEnd"/>
      <w:r w:rsidRPr="00125A2F">
        <w:rPr>
          <w:rFonts w:ascii="Times New Roman" w:hAnsi="Times New Roman"/>
          <w:color w:val="auto"/>
          <w:sz w:val="24"/>
          <w:szCs w:val="24"/>
        </w:rPr>
        <w:t xml:space="preserve"> (HU15), A. pullulans (AP11, AP13), and C. </w:t>
      </w:r>
      <w:proofErr w:type="spellStart"/>
      <w:r w:rsidRPr="00125A2F">
        <w:rPr>
          <w:rFonts w:ascii="Times New Roman" w:hAnsi="Times New Roman"/>
          <w:color w:val="auto"/>
          <w:sz w:val="24"/>
          <w:szCs w:val="24"/>
        </w:rPr>
        <w:t>lusitaniae</w:t>
      </w:r>
      <w:proofErr w:type="spellEnd"/>
      <w:r w:rsidRPr="00125A2F">
        <w:rPr>
          <w:rFonts w:ascii="Times New Roman" w:hAnsi="Times New Roman"/>
          <w:color w:val="auto"/>
          <w:sz w:val="24"/>
          <w:szCs w:val="24"/>
        </w:rPr>
        <w:t xml:space="preserve"> (CL03)—pathogens resulted in low wound infection rates. Specifically, the infection rates for gray mold ranged from 14.75% to 24.04%, for black rot from 18.13% to 35.42%, and for Rhizopus rot from 19.67% to 26.46%, as shown in Table 1A. These yeast strains were classified as group AB, as shown in Table 1A. </w:t>
      </w:r>
    </w:p>
    <w:p w14:paraId="28136B8E" w14:textId="77777777" w:rsidR="00452B7F" w:rsidRPr="00125A2F" w:rsidRDefault="00452B7F" w:rsidP="00452B7F">
      <w:pPr>
        <w:pStyle w:val="MDPI31text"/>
        <w:spacing w:line="360" w:lineRule="auto"/>
        <w:ind w:left="0" w:firstLine="567"/>
        <w:rPr>
          <w:rFonts w:ascii="Times New Roman" w:hAnsi="Times New Roman"/>
          <w:color w:val="auto"/>
          <w:sz w:val="24"/>
          <w:szCs w:val="24"/>
        </w:rPr>
      </w:pPr>
    </w:p>
    <w:p w14:paraId="0C11ED9F" w14:textId="122B7485" w:rsidR="00452B7F" w:rsidRPr="00452B7F" w:rsidRDefault="00452B7F" w:rsidP="00452B7F">
      <w:pPr>
        <w:pStyle w:val="MDPI31text"/>
        <w:numPr>
          <w:ilvl w:val="1"/>
          <w:numId w:val="30"/>
        </w:numPr>
        <w:tabs>
          <w:tab w:val="left" w:pos="567"/>
        </w:tabs>
        <w:spacing w:line="360" w:lineRule="auto"/>
        <w:ind w:left="0" w:firstLine="0"/>
        <w:rPr>
          <w:rFonts w:ascii="Times New Roman" w:hAnsi="Times New Roman"/>
          <w:b/>
          <w:color w:val="auto"/>
          <w:sz w:val="24"/>
          <w:szCs w:val="24"/>
        </w:rPr>
      </w:pPr>
      <w:r w:rsidRPr="00452B7F">
        <w:rPr>
          <w:rFonts w:ascii="Times New Roman" w:hAnsi="Times New Roman"/>
          <w:b/>
          <w:i/>
          <w:color w:val="auto"/>
          <w:sz w:val="24"/>
          <w:szCs w:val="24"/>
        </w:rPr>
        <w:t>In Vivo</w:t>
      </w:r>
      <w:r w:rsidRPr="00452B7F">
        <w:rPr>
          <w:rFonts w:ascii="Times New Roman" w:hAnsi="Times New Roman"/>
          <w:b/>
          <w:color w:val="auto"/>
          <w:sz w:val="24"/>
          <w:szCs w:val="24"/>
        </w:rPr>
        <w:t xml:space="preserve"> Screening of Antagonistic Yeast Strains for the Percentage of Infected Berries in Grape Bunches within the B Systems</w:t>
      </w:r>
    </w:p>
    <w:p w14:paraId="3978631F" w14:textId="6D9088E6" w:rsidR="003C2865" w:rsidRPr="00452B7F" w:rsidRDefault="00452B7F" w:rsidP="000563D3">
      <w:pPr>
        <w:pStyle w:val="MDPI31text"/>
        <w:spacing w:line="360" w:lineRule="auto"/>
        <w:ind w:left="0" w:firstLine="567"/>
        <w:rPr>
          <w:rFonts w:ascii="Times New Roman" w:hAnsi="Times New Roman"/>
          <w:color w:val="auto"/>
          <w:sz w:val="24"/>
        </w:rPr>
      </w:pPr>
      <w:r w:rsidRPr="00125A2F">
        <w:rPr>
          <w:rFonts w:ascii="Times New Roman" w:hAnsi="Times New Roman"/>
          <w:color w:val="auto"/>
          <w:sz w:val="24"/>
          <w:szCs w:val="24"/>
        </w:rPr>
        <w:t>Table 2A presents the results of experiments conducted in the B systems, which mimic the natural microenvironment of the grape berry bunch. In this step, we tested five highly effective antagonistic yeast strains previously identified in the W systems (as shown in Table 1A). In the control variants of the pathogen-host interaction, the percentage of infected berries in the grape bunches due to pathogen contamination ranged from 46.38% to 63.53</w:t>
      </w:r>
      <w:r w:rsidRPr="00452B7F">
        <w:rPr>
          <w:rFonts w:ascii="Times New Roman" w:hAnsi="Times New Roman"/>
          <w:color w:val="auto"/>
          <w:sz w:val="24"/>
          <w:szCs w:val="24"/>
        </w:rPr>
        <w:t>%</w:t>
      </w:r>
      <w:r w:rsidR="003C2865" w:rsidRPr="00452B7F">
        <w:rPr>
          <w:rFonts w:ascii="Times New Roman" w:hAnsi="Times New Roman"/>
          <w:color w:val="auto"/>
          <w:sz w:val="24"/>
        </w:rPr>
        <w:t>.</w:t>
      </w:r>
    </w:p>
    <w:p w14:paraId="685E9FD1" w14:textId="77777777" w:rsidR="000563D3" w:rsidRPr="00125A2F" w:rsidRDefault="000563D3" w:rsidP="000563D3">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 xml:space="preserve">We observed relatively high levels of grape berry infection in the B models. The incidence of black mold ranged from 23.6% to 35.73%, while </w:t>
      </w:r>
      <w:r w:rsidRPr="00125A2F">
        <w:rPr>
          <w:rFonts w:ascii="Times New Roman" w:hAnsi="Times New Roman"/>
          <w:i/>
          <w:color w:val="auto"/>
          <w:sz w:val="24"/>
          <w:szCs w:val="24"/>
        </w:rPr>
        <w:t>Rhizopus</w:t>
      </w:r>
      <w:r w:rsidRPr="00125A2F">
        <w:rPr>
          <w:rFonts w:ascii="Times New Roman" w:hAnsi="Times New Roman"/>
          <w:color w:val="auto"/>
          <w:sz w:val="24"/>
          <w:szCs w:val="24"/>
        </w:rPr>
        <w:t xml:space="preserve"> rot ranged from 41.30% to 42.96%. These results were associated with the B systems, which included the antagonistic yeast strains </w:t>
      </w:r>
      <w:r w:rsidRPr="00125A2F">
        <w:rPr>
          <w:rFonts w:ascii="Times New Roman" w:hAnsi="Times New Roman"/>
          <w:i/>
          <w:color w:val="auto"/>
          <w:sz w:val="24"/>
          <w:szCs w:val="24"/>
        </w:rPr>
        <w:t>A. pullulans</w:t>
      </w:r>
      <w:r w:rsidRPr="00125A2F">
        <w:rPr>
          <w:rFonts w:ascii="Times New Roman" w:hAnsi="Times New Roman"/>
          <w:color w:val="auto"/>
          <w:sz w:val="24"/>
          <w:szCs w:val="24"/>
        </w:rPr>
        <w:t xml:space="preserve"> (AP11 and AP13) and </w:t>
      </w:r>
      <w:r w:rsidRPr="00125A2F">
        <w:rPr>
          <w:rFonts w:ascii="Times New Roman" w:hAnsi="Times New Roman"/>
          <w:i/>
          <w:color w:val="auto"/>
          <w:sz w:val="24"/>
          <w:szCs w:val="24"/>
        </w:rPr>
        <w:t xml:space="preserve">C. </w:t>
      </w:r>
      <w:proofErr w:type="spellStart"/>
      <w:r w:rsidRPr="00125A2F">
        <w:rPr>
          <w:rFonts w:ascii="Times New Roman" w:hAnsi="Times New Roman"/>
          <w:i/>
          <w:color w:val="auto"/>
          <w:sz w:val="24"/>
          <w:szCs w:val="24"/>
        </w:rPr>
        <w:t>lusitaniae</w:t>
      </w:r>
      <w:proofErr w:type="spellEnd"/>
      <w:r w:rsidRPr="00125A2F">
        <w:rPr>
          <w:rFonts w:ascii="Times New Roman" w:hAnsi="Times New Roman"/>
          <w:color w:val="auto"/>
          <w:sz w:val="24"/>
          <w:szCs w:val="24"/>
        </w:rPr>
        <w:t xml:space="preserve"> (CL03). We categorized these yeast strains into group B (see Table 2A). </w:t>
      </w:r>
    </w:p>
    <w:p w14:paraId="1125F2E4" w14:textId="77777777" w:rsidR="000563D3" w:rsidRPr="00125A2F" w:rsidRDefault="000563D3" w:rsidP="000563D3">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Regarding gray mold infection, strains AP11 and AP13 were classified as group B. However, strain CL03 was assigned to group A because it had a 20.79% gray mold infection rate (see Table 2A). The infection rates of grapes in bunches with strains AP11 and AP13 were at least twice as high for gray and black mold and significantly higher for Rhizopus rot than those of two promising strains, A2 and HU15, which belong to group A (see Table 2A).</w:t>
      </w:r>
    </w:p>
    <w:p w14:paraId="77E3BFC2" w14:textId="77777777" w:rsidR="000563D3" w:rsidRPr="00125A2F" w:rsidRDefault="000563D3" w:rsidP="000563D3">
      <w:pPr>
        <w:pStyle w:val="MDPI31text"/>
        <w:spacing w:line="360" w:lineRule="auto"/>
        <w:ind w:left="0" w:firstLine="567"/>
        <w:rPr>
          <w:rFonts w:ascii="Times New Roman" w:hAnsi="Times New Roman"/>
          <w:color w:val="auto"/>
          <w:sz w:val="24"/>
          <w:szCs w:val="24"/>
        </w:rPr>
      </w:pPr>
    </w:p>
    <w:p w14:paraId="774078BF" w14:textId="065F3D44" w:rsidR="000563D3" w:rsidRPr="000563D3" w:rsidRDefault="000563D3" w:rsidP="00175FF0">
      <w:pPr>
        <w:pStyle w:val="MDPI31text"/>
        <w:numPr>
          <w:ilvl w:val="1"/>
          <w:numId w:val="30"/>
        </w:numPr>
        <w:tabs>
          <w:tab w:val="left" w:pos="567"/>
        </w:tabs>
        <w:spacing w:line="360" w:lineRule="auto"/>
        <w:ind w:left="0" w:firstLine="0"/>
        <w:rPr>
          <w:rFonts w:ascii="Times New Roman" w:hAnsi="Times New Roman"/>
          <w:b/>
          <w:color w:val="auto"/>
          <w:sz w:val="24"/>
          <w:szCs w:val="24"/>
        </w:rPr>
      </w:pPr>
      <w:r w:rsidRPr="000563D3">
        <w:rPr>
          <w:rFonts w:ascii="Times New Roman" w:hAnsi="Times New Roman"/>
          <w:b/>
          <w:color w:val="auto"/>
          <w:sz w:val="24"/>
          <w:szCs w:val="24"/>
        </w:rPr>
        <w:t xml:space="preserve">Evaluation of Biological Control Efficacy of W and B Systems Using Targeted Antagonistic Yeast Strains against </w:t>
      </w:r>
      <w:r w:rsidRPr="000563D3">
        <w:rPr>
          <w:rFonts w:ascii="Times New Roman" w:hAnsi="Times New Roman"/>
          <w:b/>
          <w:i/>
          <w:color w:val="auto"/>
          <w:sz w:val="24"/>
          <w:szCs w:val="24"/>
        </w:rPr>
        <w:t>B. cinerea</w:t>
      </w:r>
      <w:r w:rsidRPr="000563D3">
        <w:rPr>
          <w:rFonts w:ascii="Times New Roman" w:hAnsi="Times New Roman"/>
          <w:b/>
          <w:color w:val="auto"/>
          <w:sz w:val="24"/>
          <w:szCs w:val="24"/>
        </w:rPr>
        <w:t xml:space="preserve"> F-RKM 1032, </w:t>
      </w:r>
      <w:r w:rsidRPr="000563D3">
        <w:rPr>
          <w:rFonts w:ascii="Times New Roman" w:hAnsi="Times New Roman"/>
          <w:b/>
          <w:i/>
          <w:color w:val="auto"/>
          <w:sz w:val="24"/>
          <w:szCs w:val="24"/>
        </w:rPr>
        <w:t xml:space="preserve">A. </w:t>
      </w:r>
      <w:proofErr w:type="spellStart"/>
      <w:r w:rsidRPr="000563D3">
        <w:rPr>
          <w:rFonts w:ascii="Times New Roman" w:hAnsi="Times New Roman"/>
          <w:b/>
          <w:i/>
          <w:color w:val="auto"/>
          <w:sz w:val="24"/>
          <w:szCs w:val="24"/>
        </w:rPr>
        <w:t>niger</w:t>
      </w:r>
      <w:proofErr w:type="spellEnd"/>
      <w:r w:rsidRPr="000563D3">
        <w:rPr>
          <w:rFonts w:ascii="Times New Roman" w:hAnsi="Times New Roman"/>
          <w:b/>
          <w:color w:val="auto"/>
          <w:sz w:val="24"/>
          <w:szCs w:val="24"/>
        </w:rPr>
        <w:t xml:space="preserve"> ATCC 6275, and </w:t>
      </w:r>
      <w:r w:rsidRPr="000563D3">
        <w:rPr>
          <w:rFonts w:ascii="Times New Roman" w:hAnsi="Times New Roman"/>
          <w:b/>
          <w:i/>
          <w:color w:val="auto"/>
          <w:sz w:val="24"/>
          <w:szCs w:val="24"/>
        </w:rPr>
        <w:t xml:space="preserve">R. </w:t>
      </w:r>
      <w:proofErr w:type="spellStart"/>
      <w:r w:rsidRPr="000563D3">
        <w:rPr>
          <w:rFonts w:ascii="Times New Roman" w:hAnsi="Times New Roman"/>
          <w:b/>
          <w:i/>
          <w:color w:val="auto"/>
          <w:sz w:val="24"/>
          <w:szCs w:val="24"/>
        </w:rPr>
        <w:t>stolonifer</w:t>
      </w:r>
      <w:proofErr w:type="spellEnd"/>
      <w:r w:rsidRPr="000563D3">
        <w:rPr>
          <w:rFonts w:ascii="Times New Roman" w:hAnsi="Times New Roman"/>
          <w:b/>
          <w:i/>
          <w:color w:val="auto"/>
          <w:sz w:val="24"/>
          <w:szCs w:val="24"/>
        </w:rPr>
        <w:t xml:space="preserve"> </w:t>
      </w:r>
      <w:r w:rsidRPr="000563D3">
        <w:rPr>
          <w:rFonts w:ascii="Times New Roman" w:hAnsi="Times New Roman"/>
          <w:b/>
          <w:color w:val="auto"/>
          <w:sz w:val="24"/>
          <w:szCs w:val="24"/>
        </w:rPr>
        <w:t>ATCC 6227b</w:t>
      </w:r>
    </w:p>
    <w:p w14:paraId="5A7F7BF2" w14:textId="7F654094" w:rsidR="003C2865" w:rsidRDefault="000563D3" w:rsidP="00175FF0">
      <w:pPr>
        <w:pStyle w:val="MDPI31text"/>
        <w:spacing w:line="360" w:lineRule="auto"/>
        <w:ind w:left="0" w:firstLine="567"/>
        <w:rPr>
          <w:rFonts w:ascii="Times New Roman" w:hAnsi="Times New Roman"/>
          <w:color w:val="auto"/>
          <w:sz w:val="24"/>
        </w:rPr>
      </w:pPr>
      <w:r w:rsidRPr="00125A2F">
        <w:rPr>
          <w:rFonts w:ascii="Times New Roman" w:hAnsi="Times New Roman"/>
          <w:color w:val="auto"/>
          <w:sz w:val="24"/>
          <w:szCs w:val="24"/>
        </w:rPr>
        <w:t>To standardize data for the postharvest biocontrol system, we calculate the "biological control efficacy" (BE) presented in Tables 1B and 2B</w:t>
      </w:r>
      <w:r w:rsidR="003C2865" w:rsidRPr="000563D3">
        <w:rPr>
          <w:rFonts w:ascii="Times New Roman" w:hAnsi="Times New Roman"/>
          <w:color w:val="auto"/>
          <w:sz w:val="24"/>
        </w:rPr>
        <w:t>.</w:t>
      </w:r>
    </w:p>
    <w:p w14:paraId="23AD0146" w14:textId="77777777" w:rsidR="00175FF0" w:rsidRPr="000563D3" w:rsidRDefault="00175FF0" w:rsidP="00175FF0">
      <w:pPr>
        <w:pStyle w:val="MDPI31text"/>
        <w:spacing w:line="360" w:lineRule="auto"/>
        <w:ind w:left="0" w:firstLine="567"/>
        <w:rPr>
          <w:rFonts w:ascii="Times New Roman" w:hAnsi="Times New Roman"/>
          <w:color w:val="auto"/>
          <w:sz w:val="24"/>
        </w:rPr>
      </w:pPr>
    </w:p>
    <w:p w14:paraId="2CEB0758" w14:textId="30377DBB" w:rsidR="00175FF0" w:rsidRPr="00175FF0" w:rsidRDefault="00175FF0" w:rsidP="00175FF0">
      <w:pPr>
        <w:pStyle w:val="MDPI31text"/>
        <w:numPr>
          <w:ilvl w:val="1"/>
          <w:numId w:val="30"/>
        </w:numPr>
        <w:tabs>
          <w:tab w:val="left" w:pos="567"/>
        </w:tabs>
        <w:spacing w:line="360" w:lineRule="auto"/>
        <w:ind w:left="0" w:firstLine="0"/>
        <w:rPr>
          <w:rFonts w:ascii="Times New Roman" w:hAnsi="Times New Roman"/>
          <w:b/>
          <w:color w:val="auto"/>
          <w:sz w:val="24"/>
          <w:szCs w:val="24"/>
        </w:rPr>
      </w:pPr>
      <w:r w:rsidRPr="00175FF0">
        <w:rPr>
          <w:rFonts w:ascii="Times New Roman" w:hAnsi="Times New Roman"/>
          <w:b/>
          <w:color w:val="auto"/>
          <w:sz w:val="24"/>
          <w:szCs w:val="24"/>
        </w:rPr>
        <w:t>Comparing the Biocontrol Efficacies of W and B Systems Using the Same Antagonistic Yeast Strains against Fungal Pathogens</w:t>
      </w:r>
    </w:p>
    <w:p w14:paraId="67C2CB07" w14:textId="4F859389" w:rsidR="003C2865" w:rsidRDefault="00175FF0" w:rsidP="00175FF0">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 xml:space="preserve">This study conducted a quantitative comparison of the biocontrol efficacies of the W and B systems using the same target antagonistic yeast strains against fungal pathogens (see Table 3). The coefficient R(pat) represents the ratio of the biocontrol efficacies of the W and B systems, calculated as BEW/BEB. We used this coefficient to assess differences in biocontrol efficacy between the W and B systems shown in Table 3. Notably, its value ranges from about 1 for strains A2, HU15, and CL03 to 3.07 for strain AP13 (see </w:t>
      </w:r>
      <w:r w:rsidRPr="00175FF0">
        <w:rPr>
          <w:rFonts w:ascii="Times New Roman" w:hAnsi="Times New Roman"/>
          <w:color w:val="auto"/>
          <w:sz w:val="24"/>
          <w:szCs w:val="24"/>
        </w:rPr>
        <w:t>Table 3)</w:t>
      </w:r>
      <w:r w:rsidR="003C2865" w:rsidRPr="00175FF0">
        <w:rPr>
          <w:rFonts w:ascii="Times New Roman" w:hAnsi="Times New Roman"/>
          <w:color w:val="auto"/>
          <w:sz w:val="24"/>
          <w:szCs w:val="24"/>
        </w:rPr>
        <w:t>.</w:t>
      </w:r>
    </w:p>
    <w:p w14:paraId="18FA51A6" w14:textId="77777777" w:rsidR="00175FF0" w:rsidRPr="00175FF0" w:rsidRDefault="00175FF0" w:rsidP="00175FF0">
      <w:pPr>
        <w:pStyle w:val="MDPI31text"/>
        <w:spacing w:line="360" w:lineRule="auto"/>
        <w:ind w:left="0" w:firstLine="567"/>
        <w:rPr>
          <w:rFonts w:ascii="Times New Roman" w:hAnsi="Times New Roman"/>
          <w:color w:val="auto"/>
          <w:sz w:val="24"/>
          <w:szCs w:val="24"/>
        </w:rPr>
      </w:pPr>
    </w:p>
    <w:p w14:paraId="671BB353" w14:textId="3F6ADD4F" w:rsidR="00175FF0" w:rsidRPr="00175FF0" w:rsidRDefault="00175FF0" w:rsidP="00175FF0">
      <w:pPr>
        <w:pStyle w:val="afd"/>
        <w:numPr>
          <w:ilvl w:val="1"/>
          <w:numId w:val="30"/>
        </w:numPr>
        <w:tabs>
          <w:tab w:val="left" w:pos="567"/>
        </w:tabs>
        <w:spacing w:line="360" w:lineRule="auto"/>
        <w:ind w:left="0" w:firstLine="0"/>
        <w:rPr>
          <w:b/>
        </w:rPr>
      </w:pPr>
      <w:r w:rsidRPr="00175FF0">
        <w:rPr>
          <w:b/>
        </w:rPr>
        <w:lastRenderedPageBreak/>
        <w:t>Evaluation of the Selectivity of B and W Systems for Protection against a Fungal Pathogen</w:t>
      </w:r>
    </w:p>
    <w:p w14:paraId="2AAE7FF8" w14:textId="77777777" w:rsidR="00175FF0" w:rsidRPr="00125A2F" w:rsidRDefault="00175FF0" w:rsidP="00C5353E">
      <w:pPr>
        <w:pStyle w:val="MDPI31text"/>
        <w:spacing w:line="360" w:lineRule="auto"/>
        <w:ind w:left="0" w:firstLine="0"/>
        <w:rPr>
          <w:rFonts w:ascii="Times New Roman" w:hAnsi="Times New Roman"/>
          <w:color w:val="auto"/>
          <w:sz w:val="24"/>
          <w:szCs w:val="24"/>
        </w:rPr>
      </w:pPr>
      <w:r w:rsidRPr="00125A2F">
        <w:rPr>
          <w:rFonts w:ascii="Times New Roman" w:hAnsi="Times New Roman"/>
          <w:color w:val="auto"/>
          <w:sz w:val="24"/>
          <w:szCs w:val="24"/>
        </w:rPr>
        <w:t>3.9.1. Evaluation of the B System's Selectivity for Protection against Fungal Pathogens</w:t>
      </w:r>
    </w:p>
    <w:p w14:paraId="6A9B075C" w14:textId="16D0E886" w:rsidR="00175FF0" w:rsidRDefault="00175FF0" w:rsidP="00C5353E">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We evaluated the B system's selectivity against fungal pathogens by calculating the average percentage of infected grapes per bunch for each pathogen. Table 4 presents the mean values and standard errors. It also includes the Gap values (</w:t>
      </w:r>
      <w:proofErr w:type="spellStart"/>
      <w:r w:rsidRPr="00125A2F">
        <w:rPr>
          <w:rFonts w:ascii="Times New Roman" w:hAnsi="Times New Roman"/>
          <w:color w:val="auto"/>
          <w:sz w:val="24"/>
          <w:szCs w:val="24"/>
        </w:rPr>
        <w:t>cin</w:t>
      </w:r>
      <w:proofErr w:type="spellEnd"/>
      <w:r w:rsidRPr="00125A2F">
        <w:rPr>
          <w:rFonts w:ascii="Times New Roman" w:hAnsi="Times New Roman"/>
          <w:color w:val="auto"/>
          <w:sz w:val="24"/>
          <w:szCs w:val="24"/>
        </w:rPr>
        <w:t xml:space="preserve">/nig, </w:t>
      </w:r>
      <w:proofErr w:type="spellStart"/>
      <w:r w:rsidRPr="00125A2F">
        <w:rPr>
          <w:rFonts w:ascii="Times New Roman" w:hAnsi="Times New Roman"/>
          <w:color w:val="auto"/>
          <w:sz w:val="24"/>
          <w:szCs w:val="24"/>
        </w:rPr>
        <w:t>cin</w:t>
      </w:r>
      <w:proofErr w:type="spellEnd"/>
      <w:r w:rsidRPr="00125A2F">
        <w:rPr>
          <w:rFonts w:ascii="Times New Roman" w:hAnsi="Times New Roman"/>
          <w:color w:val="auto"/>
          <w:sz w:val="24"/>
          <w:szCs w:val="24"/>
        </w:rPr>
        <w:t>/</w:t>
      </w:r>
      <w:proofErr w:type="spellStart"/>
      <w:r w:rsidRPr="00125A2F">
        <w:rPr>
          <w:rFonts w:ascii="Times New Roman" w:hAnsi="Times New Roman"/>
          <w:color w:val="auto"/>
          <w:sz w:val="24"/>
          <w:szCs w:val="24"/>
        </w:rPr>
        <w:t>st</w:t>
      </w:r>
      <w:proofErr w:type="spellEnd"/>
      <w:r w:rsidRPr="00125A2F">
        <w:rPr>
          <w:rFonts w:ascii="Times New Roman" w:hAnsi="Times New Roman"/>
          <w:color w:val="auto"/>
          <w:sz w:val="24"/>
          <w:szCs w:val="24"/>
        </w:rPr>
        <w:t>, and nig/</w:t>
      </w:r>
      <w:proofErr w:type="spellStart"/>
      <w:r w:rsidRPr="00125A2F">
        <w:rPr>
          <w:rFonts w:ascii="Times New Roman" w:hAnsi="Times New Roman"/>
          <w:color w:val="auto"/>
          <w:sz w:val="24"/>
          <w:szCs w:val="24"/>
        </w:rPr>
        <w:t>st</w:t>
      </w:r>
      <w:proofErr w:type="spellEnd"/>
      <w:r w:rsidRPr="00125A2F">
        <w:rPr>
          <w:rFonts w:ascii="Times New Roman" w:hAnsi="Times New Roman"/>
          <w:color w:val="auto"/>
          <w:sz w:val="24"/>
          <w:szCs w:val="24"/>
        </w:rPr>
        <w:t>), which we calculated using the method described in Tables S9a and S9b in the Supplementary Materials</w:t>
      </w:r>
      <w:r>
        <w:rPr>
          <w:rFonts w:ascii="Times New Roman" w:hAnsi="Times New Roman"/>
          <w:color w:val="auto"/>
          <w:sz w:val="24"/>
          <w:szCs w:val="24"/>
        </w:rPr>
        <w:t>.</w:t>
      </w:r>
    </w:p>
    <w:p w14:paraId="7D04DB06" w14:textId="63BC9A1E" w:rsidR="00C5353E" w:rsidRPr="00125A2F" w:rsidRDefault="00C5353E" w:rsidP="00C5353E">
      <w:pPr>
        <w:pStyle w:val="MDPI31text"/>
        <w:spacing w:line="360" w:lineRule="auto"/>
        <w:ind w:left="0" w:firstLine="0"/>
        <w:rPr>
          <w:rFonts w:ascii="Times New Roman" w:hAnsi="Times New Roman"/>
          <w:color w:val="auto"/>
          <w:sz w:val="24"/>
          <w:szCs w:val="24"/>
        </w:rPr>
      </w:pPr>
      <w:r w:rsidRPr="00125A2F">
        <w:rPr>
          <w:rFonts w:ascii="Times New Roman" w:hAnsi="Times New Roman"/>
          <w:color w:val="auto"/>
          <w:sz w:val="24"/>
          <w:szCs w:val="24"/>
        </w:rPr>
        <w:t>3.9.2. Evaluation of the W Systems’ Selectivity in Protecting Against Fungal Pathogens</w:t>
      </w:r>
    </w:p>
    <w:p w14:paraId="6E1DA607" w14:textId="46684972" w:rsidR="00C5353E" w:rsidRDefault="00C5353E" w:rsidP="00C5353E">
      <w:pPr>
        <w:pStyle w:val="MDPI31text"/>
        <w:spacing w:line="360" w:lineRule="auto"/>
        <w:ind w:left="0" w:firstLine="567"/>
        <w:rPr>
          <w:rFonts w:ascii="Times New Roman" w:hAnsi="Times New Roman"/>
          <w:color w:val="FF0000"/>
          <w:sz w:val="24"/>
        </w:rPr>
      </w:pPr>
      <w:r w:rsidRPr="00125A2F">
        <w:rPr>
          <w:rFonts w:ascii="Times New Roman" w:hAnsi="Times New Roman"/>
          <w:color w:val="auto"/>
          <w:sz w:val="24"/>
          <w:szCs w:val="24"/>
        </w:rPr>
        <w:t xml:space="preserve">We evaluated the W systems’ selectivity in defending against fungal pathogens by calculating the average percentage of infected artificial wounds on grape berries for each pathogen. Table 5 displays the mean values and standard errors </w:t>
      </w:r>
      <w:r w:rsidR="00C01121">
        <w:rPr>
          <w:rFonts w:ascii="Times New Roman" w:hAnsi="Times New Roman"/>
          <w:color w:val="auto"/>
          <w:sz w:val="24"/>
          <w:szCs w:val="24"/>
        </w:rPr>
        <w:t xml:space="preserve">and </w:t>
      </w:r>
      <w:r w:rsidRPr="00125A2F">
        <w:rPr>
          <w:rFonts w:ascii="Times New Roman" w:hAnsi="Times New Roman"/>
          <w:color w:val="auto"/>
          <w:sz w:val="24"/>
          <w:szCs w:val="24"/>
        </w:rPr>
        <w:t>includes the Gap values (</w:t>
      </w:r>
      <w:proofErr w:type="spellStart"/>
      <w:r w:rsidRPr="00125A2F">
        <w:rPr>
          <w:rFonts w:ascii="Times New Roman" w:hAnsi="Times New Roman"/>
          <w:color w:val="auto"/>
          <w:sz w:val="24"/>
          <w:szCs w:val="24"/>
        </w:rPr>
        <w:t>cin</w:t>
      </w:r>
      <w:proofErr w:type="spellEnd"/>
      <w:r w:rsidRPr="00125A2F">
        <w:rPr>
          <w:rFonts w:ascii="Times New Roman" w:hAnsi="Times New Roman"/>
          <w:color w:val="auto"/>
          <w:sz w:val="24"/>
          <w:szCs w:val="24"/>
        </w:rPr>
        <w:t xml:space="preserve">/nig, </w:t>
      </w:r>
      <w:proofErr w:type="spellStart"/>
      <w:r w:rsidRPr="00125A2F">
        <w:rPr>
          <w:rFonts w:ascii="Times New Roman" w:hAnsi="Times New Roman"/>
          <w:color w:val="auto"/>
          <w:sz w:val="24"/>
          <w:szCs w:val="24"/>
        </w:rPr>
        <w:t>cin</w:t>
      </w:r>
      <w:proofErr w:type="spellEnd"/>
      <w:r w:rsidRPr="00125A2F">
        <w:rPr>
          <w:rFonts w:ascii="Times New Roman" w:hAnsi="Times New Roman"/>
          <w:color w:val="auto"/>
          <w:sz w:val="24"/>
          <w:szCs w:val="24"/>
        </w:rPr>
        <w:t>/</w:t>
      </w:r>
      <w:proofErr w:type="spellStart"/>
      <w:r w:rsidRPr="00125A2F">
        <w:rPr>
          <w:rFonts w:ascii="Times New Roman" w:hAnsi="Times New Roman"/>
          <w:color w:val="auto"/>
          <w:sz w:val="24"/>
          <w:szCs w:val="24"/>
        </w:rPr>
        <w:t>st</w:t>
      </w:r>
      <w:proofErr w:type="spellEnd"/>
      <w:r w:rsidRPr="00125A2F">
        <w:rPr>
          <w:rFonts w:ascii="Times New Roman" w:hAnsi="Times New Roman"/>
          <w:color w:val="auto"/>
          <w:sz w:val="24"/>
          <w:szCs w:val="24"/>
        </w:rPr>
        <w:t>, and nig/</w:t>
      </w:r>
      <w:proofErr w:type="spellStart"/>
      <w:r w:rsidRPr="00125A2F">
        <w:rPr>
          <w:rFonts w:ascii="Times New Roman" w:hAnsi="Times New Roman"/>
          <w:color w:val="auto"/>
          <w:sz w:val="24"/>
          <w:szCs w:val="24"/>
        </w:rPr>
        <w:t>st</w:t>
      </w:r>
      <w:proofErr w:type="spellEnd"/>
      <w:r w:rsidRPr="00125A2F">
        <w:rPr>
          <w:rFonts w:ascii="Times New Roman" w:hAnsi="Times New Roman"/>
          <w:color w:val="auto"/>
          <w:sz w:val="24"/>
          <w:szCs w:val="24"/>
        </w:rPr>
        <w:t>)</w:t>
      </w:r>
      <w:r>
        <w:rPr>
          <w:rFonts w:ascii="Times New Roman" w:hAnsi="Times New Roman"/>
          <w:color w:val="FF0000"/>
          <w:sz w:val="24"/>
        </w:rPr>
        <w:t>.</w:t>
      </w:r>
    </w:p>
    <w:p w14:paraId="47D06E29" w14:textId="77777777" w:rsidR="00C5353E" w:rsidRPr="00125A2F" w:rsidRDefault="00C5353E" w:rsidP="00C5353E">
      <w:pPr>
        <w:pStyle w:val="MDPI32textnoinden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 xml:space="preserve">Table 6 presents selectivity data showing that systems W and B differ in their selectivity for pathogen protection. Systems B with strains A2, HU15, CL03, and AP11 are selective in protecting against </w:t>
      </w:r>
      <w:r w:rsidRPr="00125A2F">
        <w:rPr>
          <w:rFonts w:ascii="Times New Roman" w:hAnsi="Times New Roman"/>
          <w:i/>
          <w:color w:val="auto"/>
          <w:sz w:val="24"/>
          <w:szCs w:val="24"/>
        </w:rPr>
        <w:t>B. cinerea</w:t>
      </w:r>
      <w:r w:rsidRPr="00125A2F">
        <w:rPr>
          <w:rFonts w:ascii="Times New Roman" w:hAnsi="Times New Roman"/>
          <w:color w:val="auto"/>
          <w:sz w:val="24"/>
          <w:szCs w:val="24"/>
        </w:rPr>
        <w:t xml:space="preserve"> and </w:t>
      </w:r>
      <w:r w:rsidRPr="00125A2F">
        <w:rPr>
          <w:rFonts w:ascii="Times New Roman" w:hAnsi="Times New Roman"/>
          <w:i/>
          <w:color w:val="auto"/>
          <w:sz w:val="24"/>
          <w:szCs w:val="24"/>
        </w:rPr>
        <w:t xml:space="preserve">A. </w:t>
      </w:r>
      <w:proofErr w:type="spellStart"/>
      <w:r w:rsidRPr="00125A2F">
        <w:rPr>
          <w:rFonts w:ascii="Times New Roman" w:hAnsi="Times New Roman"/>
          <w:i/>
          <w:color w:val="auto"/>
          <w:sz w:val="24"/>
          <w:szCs w:val="24"/>
        </w:rPr>
        <w:t>niger</w:t>
      </w:r>
      <w:proofErr w:type="spellEnd"/>
      <w:r w:rsidRPr="00125A2F">
        <w:rPr>
          <w:rFonts w:ascii="Times New Roman" w:hAnsi="Times New Roman"/>
          <w:color w:val="auto"/>
          <w:sz w:val="24"/>
          <w:szCs w:val="24"/>
        </w:rPr>
        <w:t xml:space="preserve"> but not against </w:t>
      </w:r>
      <w:r w:rsidRPr="00125A2F">
        <w:rPr>
          <w:rFonts w:ascii="Times New Roman" w:hAnsi="Times New Roman"/>
          <w:i/>
          <w:color w:val="auto"/>
          <w:sz w:val="24"/>
          <w:szCs w:val="24"/>
        </w:rPr>
        <w:t xml:space="preserve">R. </w:t>
      </w:r>
      <w:proofErr w:type="spellStart"/>
      <w:r w:rsidRPr="00125A2F">
        <w:rPr>
          <w:rFonts w:ascii="Times New Roman" w:hAnsi="Times New Roman"/>
          <w:i/>
          <w:color w:val="auto"/>
          <w:sz w:val="24"/>
          <w:szCs w:val="24"/>
        </w:rPr>
        <w:t>stolonifer</w:t>
      </w:r>
      <w:proofErr w:type="spellEnd"/>
      <w:r w:rsidRPr="00125A2F">
        <w:rPr>
          <w:rFonts w:ascii="Times New Roman" w:hAnsi="Times New Roman"/>
          <w:color w:val="auto"/>
          <w:sz w:val="24"/>
          <w:szCs w:val="24"/>
        </w:rPr>
        <w:t>.</w:t>
      </w:r>
    </w:p>
    <w:p w14:paraId="4A91F73C" w14:textId="77777777" w:rsidR="00C5353E" w:rsidRDefault="00C5353E" w:rsidP="00C5353E">
      <w:pPr>
        <w:pStyle w:val="MDPI31text"/>
        <w:spacing w:line="360" w:lineRule="auto"/>
        <w:ind w:left="0" w:firstLine="567"/>
        <w:rPr>
          <w:rFonts w:ascii="Times New Roman" w:hAnsi="Times New Roman"/>
          <w:i/>
          <w:color w:val="auto"/>
          <w:sz w:val="24"/>
          <w:szCs w:val="24"/>
        </w:rPr>
      </w:pPr>
      <w:r w:rsidRPr="00125A2F">
        <w:rPr>
          <w:rFonts w:ascii="Times New Roman" w:hAnsi="Times New Roman"/>
          <w:color w:val="auto"/>
          <w:sz w:val="24"/>
          <w:szCs w:val="24"/>
        </w:rPr>
        <w:t xml:space="preserve">Systems W with strains CL03 and AP11 are selective in protecting against </w:t>
      </w:r>
      <w:r w:rsidRPr="00125A2F">
        <w:rPr>
          <w:rFonts w:ascii="Times New Roman" w:hAnsi="Times New Roman"/>
          <w:i/>
          <w:color w:val="auto"/>
          <w:sz w:val="24"/>
          <w:szCs w:val="24"/>
        </w:rPr>
        <w:t>B. cinerea</w:t>
      </w:r>
      <w:r w:rsidRPr="00125A2F">
        <w:rPr>
          <w:rFonts w:ascii="Times New Roman" w:hAnsi="Times New Roman"/>
          <w:color w:val="auto"/>
          <w:sz w:val="24"/>
          <w:szCs w:val="24"/>
        </w:rPr>
        <w:t xml:space="preserve"> and </w:t>
      </w:r>
      <w:r w:rsidRPr="00125A2F">
        <w:rPr>
          <w:rFonts w:ascii="Times New Roman" w:hAnsi="Times New Roman"/>
          <w:i/>
          <w:color w:val="auto"/>
          <w:sz w:val="24"/>
          <w:szCs w:val="24"/>
        </w:rPr>
        <w:t xml:space="preserve">R. stolonifera </w:t>
      </w:r>
      <w:r w:rsidRPr="00125A2F">
        <w:rPr>
          <w:rFonts w:ascii="Times New Roman" w:hAnsi="Times New Roman"/>
          <w:color w:val="auto"/>
          <w:sz w:val="24"/>
          <w:szCs w:val="24"/>
        </w:rPr>
        <w:t xml:space="preserve">but not against </w:t>
      </w:r>
      <w:r w:rsidRPr="00125A2F">
        <w:rPr>
          <w:rFonts w:ascii="Times New Roman" w:hAnsi="Times New Roman"/>
          <w:i/>
          <w:color w:val="auto"/>
          <w:sz w:val="24"/>
          <w:szCs w:val="24"/>
        </w:rPr>
        <w:t xml:space="preserve">A. </w:t>
      </w:r>
      <w:proofErr w:type="spellStart"/>
      <w:r w:rsidRPr="00125A2F">
        <w:rPr>
          <w:rFonts w:ascii="Times New Roman" w:hAnsi="Times New Roman"/>
          <w:i/>
          <w:color w:val="auto"/>
          <w:sz w:val="24"/>
          <w:szCs w:val="24"/>
        </w:rPr>
        <w:t>niger</w:t>
      </w:r>
      <w:proofErr w:type="spellEnd"/>
      <w:r>
        <w:rPr>
          <w:rFonts w:ascii="Times New Roman" w:hAnsi="Times New Roman"/>
          <w:i/>
          <w:color w:val="auto"/>
          <w:sz w:val="24"/>
          <w:szCs w:val="24"/>
        </w:rPr>
        <w:t>.</w:t>
      </w:r>
    </w:p>
    <w:p w14:paraId="2CBEB07C" w14:textId="77777777" w:rsidR="00397A3C" w:rsidRPr="008C283F" w:rsidRDefault="00397A3C" w:rsidP="00C5353E">
      <w:pPr>
        <w:pStyle w:val="MDPI31text"/>
        <w:spacing w:line="360" w:lineRule="auto"/>
        <w:ind w:left="0" w:firstLine="567"/>
        <w:rPr>
          <w:rFonts w:ascii="Times New Roman" w:hAnsi="Times New Roman"/>
          <w:color w:val="FF0000"/>
          <w:sz w:val="24"/>
          <w:szCs w:val="24"/>
        </w:rPr>
      </w:pPr>
    </w:p>
    <w:p w14:paraId="2A855CF1" w14:textId="27F1BC59" w:rsidR="00397A3C" w:rsidRPr="00C5353E" w:rsidRDefault="00C5353E"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lang w:val="ru-RU"/>
        </w:rPr>
      </w:pPr>
      <w:r w:rsidRPr="00C5353E">
        <w:rPr>
          <w:rFonts w:ascii="Times New Roman" w:hAnsi="Times New Roman"/>
          <w:color w:val="auto"/>
          <w:sz w:val="24"/>
          <w:szCs w:val="24"/>
        </w:rPr>
        <w:t>DISCUSSION</w:t>
      </w:r>
    </w:p>
    <w:p w14:paraId="037B242E" w14:textId="5A06AB05" w:rsidR="00BA29ED" w:rsidRPr="00125A2F" w:rsidRDefault="00BA29ED" w:rsidP="00BA29ED">
      <w:pPr>
        <w:pStyle w:val="MDPI31text"/>
        <w:spacing w:line="360" w:lineRule="auto"/>
        <w:ind w:left="0" w:firstLine="567"/>
        <w:rPr>
          <w:rFonts w:ascii="Times New Roman" w:hAnsi="Times New Roman"/>
          <w:color w:val="auto"/>
          <w:sz w:val="24"/>
          <w:szCs w:val="24"/>
          <w:lang w:val="kk-KZ"/>
        </w:rPr>
      </w:pPr>
      <w:r w:rsidRPr="00125A2F">
        <w:rPr>
          <w:rFonts w:ascii="Times New Roman" w:hAnsi="Times New Roman"/>
          <w:color w:val="auto"/>
          <w:sz w:val="24"/>
          <w:szCs w:val="24"/>
        </w:rPr>
        <w:t xml:space="preserve">The study focused on isolates of native epiphytic yeasts associated with grapes. We selected this approach because studies in this area indicate that indigenous or wild yeasts, which naturally occur alongside grapes in the environment, are particularly adapted to the berry ecosystem. These yeasts play a crucial role in preventing the growth of </w:t>
      </w:r>
      <w:r w:rsidRPr="00125A2F">
        <w:rPr>
          <w:rFonts w:ascii="Times New Roman" w:hAnsi="Times New Roman"/>
          <w:i/>
          <w:color w:val="auto"/>
          <w:sz w:val="24"/>
          <w:szCs w:val="24"/>
        </w:rPr>
        <w:t>B. cinerea</w:t>
      </w:r>
      <w:r w:rsidRPr="00125A2F">
        <w:rPr>
          <w:rFonts w:ascii="Times New Roman" w:hAnsi="Times New Roman"/>
          <w:color w:val="auto"/>
          <w:sz w:val="24"/>
          <w:szCs w:val="24"/>
        </w:rPr>
        <w:t xml:space="preserve"> on grapes and blueberries </w:t>
      </w:r>
      <w:r w:rsidR="002808EF">
        <w:rPr>
          <w:rFonts w:ascii="Times New Roman" w:hAnsi="Times New Roman"/>
          <w:color w:val="auto"/>
          <w:sz w:val="24"/>
          <w:szCs w:val="24"/>
        </w:rPr>
        <w:t>(</w:t>
      </w:r>
      <w:proofErr w:type="spellStart"/>
      <w:r w:rsidR="002808EF" w:rsidRPr="002808EF">
        <w:rPr>
          <w:rFonts w:ascii="Times New Roman" w:hAnsi="Times New Roman"/>
          <w:color w:val="auto"/>
          <w:sz w:val="24"/>
        </w:rPr>
        <w:t>Kasfi</w:t>
      </w:r>
      <w:proofErr w:type="spellEnd"/>
      <w:r w:rsidR="002808EF" w:rsidRPr="002808EF">
        <w:rPr>
          <w:rFonts w:ascii="Times New Roman" w:hAnsi="Times New Roman"/>
          <w:color w:val="auto"/>
          <w:sz w:val="24"/>
        </w:rPr>
        <w:t xml:space="preserve"> et al. 2018</w:t>
      </w:r>
      <w:r w:rsidR="0087763F">
        <w:rPr>
          <w:rFonts w:ascii="Times New Roman" w:hAnsi="Times New Roman"/>
          <w:color w:val="auto"/>
          <w:sz w:val="24"/>
        </w:rPr>
        <w:t xml:space="preserve">; Li et al. </w:t>
      </w:r>
      <w:r w:rsidR="0087763F" w:rsidRPr="007471CF">
        <w:rPr>
          <w:rFonts w:ascii="Times New Roman" w:hAnsi="Times New Roman"/>
          <w:color w:val="auto"/>
          <w:sz w:val="24"/>
          <w:szCs w:val="24"/>
        </w:rPr>
        <w:t>2024</w:t>
      </w:r>
      <w:r w:rsidR="007471CF" w:rsidRPr="007471CF">
        <w:rPr>
          <w:rFonts w:ascii="Times New Roman" w:hAnsi="Times New Roman"/>
          <w:color w:val="auto"/>
          <w:sz w:val="24"/>
          <w:szCs w:val="24"/>
        </w:rPr>
        <w:t>; U.S. Food and Drug Administration 2021</w:t>
      </w:r>
      <w:r w:rsidR="002808EF" w:rsidRPr="007471CF">
        <w:rPr>
          <w:rFonts w:ascii="Times New Roman" w:hAnsi="Times New Roman"/>
          <w:color w:val="auto"/>
          <w:sz w:val="24"/>
          <w:szCs w:val="24"/>
        </w:rPr>
        <w:t>)</w:t>
      </w:r>
      <w:r w:rsidRPr="007471CF">
        <w:rPr>
          <w:rFonts w:ascii="Times New Roman" w:hAnsi="Times New Roman"/>
          <w:color w:val="auto"/>
          <w:sz w:val="24"/>
          <w:szCs w:val="24"/>
        </w:rPr>
        <w:t>.</w:t>
      </w:r>
      <w:r w:rsidRPr="00125A2F">
        <w:rPr>
          <w:rFonts w:ascii="Times New Roman" w:hAnsi="Times New Roman"/>
          <w:color w:val="auto"/>
          <w:sz w:val="24"/>
          <w:szCs w:val="24"/>
        </w:rPr>
        <w:t xml:space="preserve"> In the introduction, we noted that specific antagonistic yeasts have potential as biological control agents (BCAs) for managing fruit and vegetable diseases, and we discussed enhanced screening criteria for these yeast BCAs. The ability of epiphytic yeasts to adapt to the berry ecosystem demonstrates that they meet established criteria for selecting yeasts as biological disease control agents for grapevines. Therefore, we sought biological disease control agents among epiphytic yeast isolates collected from the surface of berries of the local Kazakh table grape variety, Aisulu. </w:t>
      </w:r>
    </w:p>
    <w:p w14:paraId="2627B029" w14:textId="77777777" w:rsidR="00BA29ED" w:rsidRPr="00125A2F" w:rsidRDefault="00BA29ED" w:rsidP="00BA29ED">
      <w:pPr>
        <w:pStyle w:val="MDPI31text"/>
        <w:spacing w:line="360" w:lineRule="auto"/>
        <w:ind w:left="0" w:firstLine="567"/>
        <w:rPr>
          <w:rFonts w:ascii="Times New Roman" w:hAnsi="Times New Roman"/>
          <w:color w:val="auto"/>
          <w:sz w:val="24"/>
          <w:szCs w:val="24"/>
          <w:lang w:val="kk-KZ"/>
        </w:rPr>
      </w:pPr>
    </w:p>
    <w:p w14:paraId="5B9DD841" w14:textId="5A7DFFF9" w:rsidR="00BA29ED" w:rsidRPr="00BA29ED" w:rsidRDefault="00BA29ED" w:rsidP="00BA29ED">
      <w:pPr>
        <w:pStyle w:val="MDPI31text"/>
        <w:numPr>
          <w:ilvl w:val="1"/>
          <w:numId w:val="30"/>
        </w:numPr>
        <w:tabs>
          <w:tab w:val="left" w:pos="567"/>
        </w:tabs>
        <w:spacing w:line="360" w:lineRule="auto"/>
        <w:ind w:left="0" w:firstLine="0"/>
        <w:rPr>
          <w:rFonts w:ascii="Times New Roman" w:hAnsi="Times New Roman"/>
          <w:b/>
          <w:color w:val="auto"/>
          <w:sz w:val="24"/>
          <w:szCs w:val="24"/>
        </w:rPr>
      </w:pPr>
      <w:r w:rsidRPr="00BA29ED">
        <w:rPr>
          <w:rFonts w:ascii="Times New Roman" w:hAnsi="Times New Roman"/>
          <w:b/>
          <w:i/>
          <w:color w:val="auto"/>
          <w:sz w:val="24"/>
          <w:szCs w:val="24"/>
        </w:rPr>
        <w:lastRenderedPageBreak/>
        <w:t>In Vitro</w:t>
      </w:r>
      <w:r w:rsidRPr="00BA29ED">
        <w:rPr>
          <w:rFonts w:ascii="Times New Roman" w:hAnsi="Times New Roman"/>
          <w:b/>
          <w:color w:val="auto"/>
          <w:sz w:val="24"/>
          <w:szCs w:val="24"/>
        </w:rPr>
        <w:t xml:space="preserve"> Screening of Yeast Isolates for Antagonistic Activity against </w:t>
      </w:r>
      <w:r w:rsidRPr="00BA29ED">
        <w:rPr>
          <w:rFonts w:ascii="Times New Roman" w:hAnsi="Times New Roman"/>
          <w:b/>
          <w:i/>
          <w:color w:val="auto"/>
          <w:sz w:val="24"/>
          <w:szCs w:val="24"/>
        </w:rPr>
        <w:t>B. cinerea</w:t>
      </w:r>
      <w:r w:rsidRPr="00BA29ED">
        <w:rPr>
          <w:rFonts w:ascii="Times New Roman" w:hAnsi="Times New Roman"/>
          <w:b/>
          <w:color w:val="auto"/>
          <w:sz w:val="24"/>
          <w:szCs w:val="24"/>
        </w:rPr>
        <w:t xml:space="preserve"> using the Dual-Culture Method</w:t>
      </w:r>
    </w:p>
    <w:p w14:paraId="517E1AC4" w14:textId="77777777" w:rsidR="00BA29ED" w:rsidRPr="00125A2F" w:rsidRDefault="00BA29ED" w:rsidP="00BA29ED">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 xml:space="preserve">Identifying effective BCAs against diseases requires appropriate screening methods to assess potential antagonists for the development of biocontrol products. Testing candidate biocontrol organisms on plants </w:t>
      </w:r>
      <w:r w:rsidRPr="00125A2F">
        <w:rPr>
          <w:rFonts w:ascii="Times New Roman" w:hAnsi="Times New Roman"/>
          <w:i/>
          <w:color w:val="auto"/>
          <w:sz w:val="24"/>
          <w:szCs w:val="24"/>
        </w:rPr>
        <w:t>in vivo</w:t>
      </w:r>
      <w:r w:rsidRPr="00125A2F">
        <w:rPr>
          <w:rFonts w:ascii="Times New Roman" w:hAnsi="Times New Roman"/>
          <w:color w:val="auto"/>
          <w:sz w:val="24"/>
          <w:szCs w:val="24"/>
        </w:rPr>
        <w:t xml:space="preserve"> is often necessary. However, large-scale screening studies can be slow and labor-intensive. To address this issue, we conducted traditional antagonist-based screening on 34 epiphytic yeast isolates from a local grape variety using the in vitro dual-culture method (Fig. 1). </w:t>
      </w:r>
    </w:p>
    <w:p w14:paraId="6DD5B348" w14:textId="51CAA71C" w:rsidR="00BA29ED" w:rsidRPr="00205408" w:rsidRDefault="00BA29ED" w:rsidP="00BA29ED">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The inhibition of mycelial growth and zone formation in dual cultures, as illustrated in Fig</w:t>
      </w:r>
      <w:r>
        <w:rPr>
          <w:rFonts w:ascii="Times New Roman" w:hAnsi="Times New Roman"/>
          <w:color w:val="auto"/>
          <w:sz w:val="24"/>
          <w:szCs w:val="24"/>
        </w:rPr>
        <w:t>.</w:t>
      </w:r>
      <w:r w:rsidRPr="00125A2F">
        <w:rPr>
          <w:rFonts w:ascii="Times New Roman" w:hAnsi="Times New Roman"/>
          <w:color w:val="auto"/>
          <w:sz w:val="24"/>
          <w:szCs w:val="24"/>
        </w:rPr>
        <w:t xml:space="preserve"> 1, is likely due to the release of potential diffusible antifungal compounds, as reported in other studies. For instance, one study reported that the growth of </w:t>
      </w:r>
      <w:r w:rsidRPr="00125A2F">
        <w:rPr>
          <w:rFonts w:ascii="Times New Roman" w:hAnsi="Times New Roman"/>
          <w:i/>
          <w:color w:val="auto"/>
          <w:sz w:val="24"/>
          <w:szCs w:val="24"/>
        </w:rPr>
        <w:t xml:space="preserve">Rhizoctonia </w:t>
      </w:r>
      <w:proofErr w:type="spellStart"/>
      <w:r w:rsidRPr="00125A2F">
        <w:rPr>
          <w:rFonts w:ascii="Times New Roman" w:hAnsi="Times New Roman"/>
          <w:i/>
          <w:color w:val="auto"/>
          <w:sz w:val="24"/>
          <w:szCs w:val="24"/>
        </w:rPr>
        <w:t>solani</w:t>
      </w:r>
      <w:proofErr w:type="spellEnd"/>
      <w:r w:rsidRPr="00125A2F">
        <w:rPr>
          <w:rFonts w:ascii="Times New Roman" w:hAnsi="Times New Roman"/>
          <w:color w:val="auto"/>
          <w:sz w:val="24"/>
          <w:szCs w:val="24"/>
        </w:rPr>
        <w:t xml:space="preserve"> colonies in dual cultures was reduced by 57.3% when using strains L1 and L8 of </w:t>
      </w:r>
      <w:r w:rsidRPr="00125A2F">
        <w:rPr>
          <w:rFonts w:ascii="Times New Roman" w:hAnsi="Times New Roman"/>
          <w:i/>
          <w:color w:val="auto"/>
          <w:sz w:val="24"/>
          <w:szCs w:val="24"/>
        </w:rPr>
        <w:t>A.</w:t>
      </w:r>
      <w:r w:rsidRPr="00125A2F">
        <w:rPr>
          <w:rFonts w:ascii="Times New Roman" w:hAnsi="Times New Roman"/>
          <w:color w:val="auto"/>
          <w:sz w:val="24"/>
          <w:szCs w:val="24"/>
        </w:rPr>
        <w:t xml:space="preserve"> </w:t>
      </w:r>
      <w:r w:rsidRPr="00125A2F">
        <w:rPr>
          <w:rFonts w:ascii="Times New Roman" w:hAnsi="Times New Roman"/>
          <w:i/>
          <w:color w:val="auto"/>
          <w:sz w:val="24"/>
          <w:szCs w:val="24"/>
        </w:rPr>
        <w:t>pullulans.</w:t>
      </w:r>
      <w:r w:rsidRPr="00125A2F">
        <w:rPr>
          <w:rFonts w:ascii="Times New Roman" w:hAnsi="Times New Roman"/>
          <w:color w:val="auto"/>
          <w:sz w:val="24"/>
          <w:szCs w:val="24"/>
        </w:rPr>
        <w:t xml:space="preserve"> The yeast produced several identified non-volatile organic compounds, primarily complex carbohydrates (such as pullulan and other β-glucans), degrading enzymes, cyclic </w:t>
      </w:r>
      <w:proofErr w:type="spellStart"/>
      <w:r w:rsidRPr="00125A2F">
        <w:rPr>
          <w:rFonts w:ascii="Times New Roman" w:hAnsi="Times New Roman"/>
          <w:color w:val="auto"/>
          <w:sz w:val="24"/>
          <w:szCs w:val="24"/>
        </w:rPr>
        <w:t>depsipeptides</w:t>
      </w:r>
      <w:proofErr w:type="spellEnd"/>
      <w:r w:rsidRPr="00125A2F">
        <w:rPr>
          <w:rFonts w:ascii="Times New Roman" w:hAnsi="Times New Roman"/>
          <w:color w:val="auto"/>
          <w:sz w:val="24"/>
          <w:szCs w:val="24"/>
        </w:rPr>
        <w:t xml:space="preserve">, and siderophores, all of which contributed to inhibiting the pathogen's mycelial </w:t>
      </w:r>
      <w:r w:rsidRPr="00205408">
        <w:rPr>
          <w:rFonts w:ascii="Times New Roman" w:hAnsi="Times New Roman"/>
          <w:color w:val="auto"/>
          <w:sz w:val="24"/>
          <w:szCs w:val="24"/>
        </w:rPr>
        <w:t xml:space="preserve">growth </w:t>
      </w:r>
      <w:r w:rsidR="00205408" w:rsidRPr="00205408">
        <w:rPr>
          <w:rFonts w:ascii="Times New Roman" w:hAnsi="Times New Roman"/>
          <w:color w:val="auto"/>
          <w:sz w:val="24"/>
          <w:szCs w:val="24"/>
        </w:rPr>
        <w:t>(Di Francesco et al. 2021)</w:t>
      </w:r>
      <w:r w:rsidRPr="00205408">
        <w:rPr>
          <w:rFonts w:ascii="Times New Roman" w:hAnsi="Times New Roman"/>
          <w:color w:val="auto"/>
          <w:sz w:val="24"/>
          <w:szCs w:val="24"/>
        </w:rPr>
        <w:t>.</w:t>
      </w:r>
    </w:p>
    <w:p w14:paraId="3A4BC871" w14:textId="77777777" w:rsidR="00BA29ED" w:rsidRPr="00125A2F" w:rsidRDefault="00BA29ED" w:rsidP="00BA29ED">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Our classification (Fig. 1) indicates that the isolates from groups A and B exceed the 50% threshold for the PIRG value. After testing 34 epiphytic yeast isolates from local grape berries for their antagonistic activity, we removed 15 isolates from groups C and D due to their lower activity. This left us with 19 isolates from groups A and B for further analysis.</w:t>
      </w:r>
    </w:p>
    <w:p w14:paraId="0855777D" w14:textId="77777777" w:rsidR="00BA29ED" w:rsidRPr="00125A2F" w:rsidRDefault="00BA29ED" w:rsidP="00BA29ED">
      <w:pPr>
        <w:pStyle w:val="MDPI31text"/>
        <w:spacing w:line="360" w:lineRule="auto"/>
        <w:ind w:left="0" w:firstLine="567"/>
        <w:rPr>
          <w:rFonts w:ascii="Times New Roman" w:hAnsi="Times New Roman"/>
          <w:color w:val="auto"/>
          <w:sz w:val="24"/>
          <w:szCs w:val="24"/>
        </w:rPr>
      </w:pPr>
    </w:p>
    <w:p w14:paraId="51D5A11E" w14:textId="3B5DB211" w:rsidR="00BA29ED" w:rsidRPr="00BA29ED" w:rsidRDefault="00BA29ED" w:rsidP="00BA29ED">
      <w:pPr>
        <w:pStyle w:val="MDPI31text"/>
        <w:numPr>
          <w:ilvl w:val="1"/>
          <w:numId w:val="30"/>
        </w:numPr>
        <w:tabs>
          <w:tab w:val="left" w:pos="567"/>
        </w:tabs>
        <w:spacing w:line="360" w:lineRule="auto"/>
        <w:ind w:left="0" w:firstLine="0"/>
        <w:rPr>
          <w:rFonts w:ascii="Times New Roman" w:hAnsi="Times New Roman"/>
          <w:b/>
          <w:color w:val="auto"/>
          <w:sz w:val="24"/>
          <w:szCs w:val="24"/>
        </w:rPr>
      </w:pPr>
      <w:r w:rsidRPr="00BA29ED">
        <w:rPr>
          <w:rFonts w:ascii="Times New Roman" w:hAnsi="Times New Roman"/>
          <w:b/>
          <w:i/>
          <w:color w:val="auto"/>
          <w:sz w:val="24"/>
          <w:szCs w:val="24"/>
        </w:rPr>
        <w:t>In Vitro</w:t>
      </w:r>
      <w:r w:rsidRPr="00BA29ED">
        <w:rPr>
          <w:rFonts w:ascii="Times New Roman" w:hAnsi="Times New Roman"/>
          <w:b/>
          <w:color w:val="auto"/>
          <w:sz w:val="24"/>
          <w:szCs w:val="24"/>
        </w:rPr>
        <w:t xml:space="preserve"> Screening of Yeast Isolates for Biofilm Formation Activity</w:t>
      </w:r>
    </w:p>
    <w:p w14:paraId="0B92EA45" w14:textId="43911F0C" w:rsidR="00BA29ED" w:rsidRPr="00125A2F" w:rsidRDefault="00BA29ED" w:rsidP="00BA29ED">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 xml:space="preserve">Biofilms are dense microbial communities that adhere to fruit surfaces and are encased in a polymeric extracellular matrix </w:t>
      </w:r>
      <w:r w:rsidR="00C04D37">
        <w:rPr>
          <w:rFonts w:ascii="Times New Roman" w:hAnsi="Times New Roman"/>
          <w:color w:val="auto"/>
          <w:sz w:val="24"/>
          <w:szCs w:val="24"/>
        </w:rPr>
        <w:t>(</w:t>
      </w:r>
      <w:r w:rsidR="00C04D37" w:rsidRPr="00C04D37">
        <w:rPr>
          <w:rFonts w:ascii="Times New Roman" w:hAnsi="Times New Roman"/>
          <w:color w:val="auto"/>
          <w:sz w:val="24"/>
        </w:rPr>
        <w:t>Costa-Orlandi et al. 2017</w:t>
      </w:r>
      <w:r w:rsidR="00C04D37">
        <w:rPr>
          <w:rFonts w:ascii="Times New Roman" w:hAnsi="Times New Roman"/>
          <w:color w:val="auto"/>
          <w:sz w:val="24"/>
          <w:szCs w:val="24"/>
        </w:rPr>
        <w:t>)</w:t>
      </w:r>
      <w:r w:rsidRPr="00125A2F">
        <w:rPr>
          <w:rFonts w:ascii="Times New Roman" w:hAnsi="Times New Roman"/>
          <w:color w:val="auto"/>
          <w:sz w:val="24"/>
          <w:szCs w:val="24"/>
        </w:rPr>
        <w:t xml:space="preserve">. Biofilm formation by yeasts is considered one of several potential methods for inhibiting fungi and managing postharvest fruit diseases </w:t>
      </w:r>
      <w:r w:rsidR="00DE6750">
        <w:rPr>
          <w:rFonts w:ascii="Times New Roman" w:hAnsi="Times New Roman"/>
          <w:color w:val="auto"/>
          <w:sz w:val="24"/>
          <w:szCs w:val="24"/>
        </w:rPr>
        <w:t>(</w:t>
      </w:r>
      <w:proofErr w:type="spellStart"/>
      <w:r w:rsidR="00DE6750" w:rsidRPr="00DE6750">
        <w:rPr>
          <w:rFonts w:ascii="Times New Roman" w:hAnsi="Times New Roman"/>
          <w:color w:val="auto"/>
          <w:sz w:val="24"/>
          <w:szCs w:val="24"/>
        </w:rPr>
        <w:t>Dukare</w:t>
      </w:r>
      <w:proofErr w:type="spellEnd"/>
      <w:r w:rsidR="00DE6750" w:rsidRPr="00DE6750">
        <w:rPr>
          <w:rFonts w:ascii="Times New Roman" w:hAnsi="Times New Roman"/>
          <w:color w:val="auto"/>
          <w:sz w:val="24"/>
          <w:szCs w:val="24"/>
        </w:rPr>
        <w:t xml:space="preserve"> et al. 2019</w:t>
      </w:r>
      <w:r w:rsidR="005E5A8A">
        <w:rPr>
          <w:rFonts w:ascii="Times New Roman" w:hAnsi="Times New Roman"/>
          <w:color w:val="auto"/>
          <w:sz w:val="24"/>
          <w:szCs w:val="24"/>
        </w:rPr>
        <w:t xml:space="preserve">; </w:t>
      </w:r>
      <w:proofErr w:type="spellStart"/>
      <w:r w:rsidR="002D5BD3" w:rsidRPr="002D5BD3">
        <w:rPr>
          <w:rFonts w:ascii="Times New Roman" w:hAnsi="Times New Roman"/>
          <w:color w:val="auto"/>
          <w:sz w:val="24"/>
          <w:szCs w:val="24"/>
        </w:rPr>
        <w:t>Freimoser</w:t>
      </w:r>
      <w:proofErr w:type="spellEnd"/>
      <w:r w:rsidR="002D5BD3" w:rsidRPr="002D5BD3">
        <w:rPr>
          <w:rFonts w:ascii="Times New Roman" w:hAnsi="Times New Roman"/>
          <w:color w:val="auto"/>
          <w:sz w:val="24"/>
          <w:szCs w:val="24"/>
        </w:rPr>
        <w:t xml:space="preserve"> et al. 2019;</w:t>
      </w:r>
      <w:r w:rsidR="002D5BD3">
        <w:rPr>
          <w:rFonts w:ascii="Times New Roman" w:hAnsi="Times New Roman"/>
          <w:color w:val="auto"/>
          <w:sz w:val="24"/>
        </w:rPr>
        <w:t xml:space="preserve"> </w:t>
      </w:r>
      <w:r w:rsidR="005E5A8A" w:rsidRPr="00742148">
        <w:rPr>
          <w:rFonts w:ascii="Times New Roman" w:hAnsi="Times New Roman"/>
          <w:color w:val="auto"/>
          <w:sz w:val="24"/>
        </w:rPr>
        <w:t>Zhang et al. 2020a</w:t>
      </w:r>
      <w:r w:rsidR="00DE6750">
        <w:rPr>
          <w:rFonts w:ascii="Times New Roman" w:hAnsi="Times New Roman"/>
          <w:color w:val="auto"/>
          <w:sz w:val="24"/>
          <w:szCs w:val="24"/>
        </w:rPr>
        <w:t>)</w:t>
      </w:r>
      <w:r w:rsidRPr="00125A2F">
        <w:rPr>
          <w:rFonts w:ascii="Times New Roman" w:hAnsi="Times New Roman"/>
          <w:color w:val="auto"/>
          <w:sz w:val="24"/>
          <w:szCs w:val="24"/>
        </w:rPr>
        <w:t xml:space="preserve">. Antagonistic yeasts use this ability to compete for space and nutrients </w:t>
      </w:r>
      <w:r w:rsidR="00846DD9">
        <w:rPr>
          <w:rFonts w:ascii="Times New Roman" w:hAnsi="Times New Roman"/>
          <w:color w:val="auto"/>
          <w:sz w:val="24"/>
          <w:szCs w:val="24"/>
        </w:rPr>
        <w:t>(</w:t>
      </w:r>
      <w:proofErr w:type="spellStart"/>
      <w:r w:rsidR="002D5BD3" w:rsidRPr="002D5BD3">
        <w:rPr>
          <w:rFonts w:ascii="Times New Roman" w:hAnsi="Times New Roman"/>
          <w:color w:val="auto"/>
          <w:sz w:val="24"/>
          <w:szCs w:val="24"/>
        </w:rPr>
        <w:t>Freimoser</w:t>
      </w:r>
      <w:proofErr w:type="spellEnd"/>
      <w:r w:rsidR="002D5BD3" w:rsidRPr="002D5BD3">
        <w:rPr>
          <w:rFonts w:ascii="Times New Roman" w:hAnsi="Times New Roman"/>
          <w:color w:val="auto"/>
          <w:sz w:val="24"/>
          <w:szCs w:val="24"/>
        </w:rPr>
        <w:t xml:space="preserve"> et al. 2019</w:t>
      </w:r>
      <w:r w:rsidR="002D5BD3">
        <w:rPr>
          <w:rFonts w:ascii="Times New Roman" w:hAnsi="Times New Roman"/>
          <w:color w:val="auto"/>
          <w:sz w:val="24"/>
          <w:szCs w:val="24"/>
        </w:rPr>
        <w:t xml:space="preserve">; </w:t>
      </w:r>
      <w:r w:rsidR="002D5BD3" w:rsidRPr="002D5BD3">
        <w:rPr>
          <w:rFonts w:ascii="Times New Roman" w:hAnsi="Times New Roman"/>
          <w:color w:val="auto"/>
          <w:sz w:val="24"/>
          <w:szCs w:val="24"/>
        </w:rPr>
        <w:t xml:space="preserve">Klein and Kupper 2018; </w:t>
      </w:r>
      <w:proofErr w:type="spellStart"/>
      <w:r w:rsidR="00846DD9" w:rsidRPr="002D5BD3">
        <w:rPr>
          <w:rFonts w:ascii="Times New Roman" w:hAnsi="Times New Roman"/>
          <w:color w:val="auto"/>
          <w:sz w:val="24"/>
          <w:szCs w:val="24"/>
        </w:rPr>
        <w:t>Rendueles</w:t>
      </w:r>
      <w:proofErr w:type="spellEnd"/>
      <w:r w:rsidR="00846DD9" w:rsidRPr="00846DD9">
        <w:rPr>
          <w:rFonts w:ascii="Times New Roman" w:hAnsi="Times New Roman"/>
          <w:color w:val="auto"/>
          <w:sz w:val="24"/>
        </w:rPr>
        <w:t xml:space="preserve"> and Ghigo 2015</w:t>
      </w:r>
      <w:r w:rsidR="00846DD9">
        <w:rPr>
          <w:rFonts w:ascii="Times New Roman" w:hAnsi="Times New Roman"/>
          <w:color w:val="auto"/>
          <w:sz w:val="24"/>
          <w:szCs w:val="24"/>
        </w:rPr>
        <w:t>)</w:t>
      </w:r>
      <w:r w:rsidRPr="00125A2F">
        <w:rPr>
          <w:rFonts w:ascii="Times New Roman" w:hAnsi="Times New Roman"/>
          <w:color w:val="auto"/>
          <w:sz w:val="24"/>
          <w:szCs w:val="24"/>
        </w:rPr>
        <w:t>.</w:t>
      </w:r>
    </w:p>
    <w:p w14:paraId="1E3221E6" w14:textId="6C84AA5C" w:rsidR="00BA29ED" w:rsidRPr="00125A2F" w:rsidRDefault="00BA29ED" w:rsidP="00BA29ED">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 xml:space="preserve">Sherm et al. demonstrated a direct link between the formation of S. cerevisiae M25 biofilm and its ability to suppress pathogens. Only S. cerevisiae cells collected during biofilm formation were effective at preventing P. </w:t>
      </w:r>
      <w:proofErr w:type="spellStart"/>
      <w:r w:rsidRPr="00125A2F">
        <w:rPr>
          <w:rFonts w:ascii="Times New Roman" w:hAnsi="Times New Roman"/>
          <w:color w:val="auto"/>
          <w:sz w:val="24"/>
          <w:szCs w:val="24"/>
        </w:rPr>
        <w:t>expansum</w:t>
      </w:r>
      <w:proofErr w:type="spellEnd"/>
      <w:r w:rsidRPr="00125A2F">
        <w:rPr>
          <w:rFonts w:ascii="Times New Roman" w:hAnsi="Times New Roman"/>
          <w:color w:val="auto"/>
          <w:sz w:val="24"/>
          <w:szCs w:val="24"/>
        </w:rPr>
        <w:t xml:space="preserve"> from growing on apples </w:t>
      </w:r>
      <w:r w:rsidR="009670C9" w:rsidRPr="009670C9">
        <w:rPr>
          <w:rFonts w:ascii="Times New Roman" w:hAnsi="Times New Roman"/>
          <w:color w:val="auto"/>
          <w:sz w:val="24"/>
          <w:szCs w:val="24"/>
        </w:rPr>
        <w:t>(Scherm et al. 2003</w:t>
      </w:r>
      <w:r w:rsidR="009670C9">
        <w:rPr>
          <w:rFonts w:ascii="Times New Roman" w:hAnsi="Times New Roman"/>
          <w:color w:val="auto"/>
          <w:sz w:val="24"/>
          <w:szCs w:val="24"/>
        </w:rPr>
        <w:t>)</w:t>
      </w:r>
      <w:r w:rsidRPr="00125A2F">
        <w:rPr>
          <w:rFonts w:ascii="Times New Roman" w:hAnsi="Times New Roman"/>
          <w:color w:val="auto"/>
          <w:sz w:val="24"/>
          <w:szCs w:val="24"/>
        </w:rPr>
        <w:t xml:space="preserve">. Biofilm formation is a crucial strategy for </w:t>
      </w:r>
      <w:proofErr w:type="spellStart"/>
      <w:r w:rsidRPr="00125A2F">
        <w:rPr>
          <w:rFonts w:ascii="Times New Roman" w:hAnsi="Times New Roman"/>
          <w:color w:val="auto"/>
          <w:sz w:val="24"/>
          <w:szCs w:val="24"/>
        </w:rPr>
        <w:t>Metschnikowia</w:t>
      </w:r>
      <w:proofErr w:type="spellEnd"/>
      <w:r w:rsidRPr="00125A2F">
        <w:rPr>
          <w:rFonts w:ascii="Times New Roman" w:hAnsi="Times New Roman"/>
          <w:color w:val="auto"/>
          <w:sz w:val="24"/>
          <w:szCs w:val="24"/>
        </w:rPr>
        <w:t xml:space="preserve"> </w:t>
      </w:r>
      <w:proofErr w:type="spellStart"/>
      <w:r w:rsidRPr="00125A2F">
        <w:rPr>
          <w:rFonts w:ascii="Times New Roman" w:hAnsi="Times New Roman"/>
          <w:color w:val="auto"/>
          <w:sz w:val="24"/>
          <w:szCs w:val="24"/>
        </w:rPr>
        <w:t>citriensis</w:t>
      </w:r>
      <w:proofErr w:type="spellEnd"/>
      <w:r w:rsidRPr="00125A2F">
        <w:rPr>
          <w:rFonts w:ascii="Times New Roman" w:hAnsi="Times New Roman"/>
          <w:color w:val="auto"/>
          <w:sz w:val="24"/>
          <w:szCs w:val="24"/>
        </w:rPr>
        <w:t xml:space="preserve"> to defend against Penicillium </w:t>
      </w:r>
      <w:proofErr w:type="spellStart"/>
      <w:r w:rsidRPr="00125A2F">
        <w:rPr>
          <w:rFonts w:ascii="Times New Roman" w:hAnsi="Times New Roman"/>
          <w:color w:val="auto"/>
          <w:sz w:val="24"/>
          <w:szCs w:val="24"/>
        </w:rPr>
        <w:t>digitatum</w:t>
      </w:r>
      <w:proofErr w:type="spellEnd"/>
      <w:r w:rsidRPr="00125A2F">
        <w:rPr>
          <w:rFonts w:ascii="Times New Roman" w:hAnsi="Times New Roman"/>
          <w:color w:val="auto"/>
          <w:sz w:val="24"/>
          <w:szCs w:val="24"/>
        </w:rPr>
        <w:t xml:space="preserve"> and Penicillium </w:t>
      </w:r>
      <w:proofErr w:type="spellStart"/>
      <w:r w:rsidRPr="00125A2F">
        <w:rPr>
          <w:rFonts w:ascii="Times New Roman" w:hAnsi="Times New Roman"/>
          <w:color w:val="auto"/>
          <w:sz w:val="24"/>
          <w:szCs w:val="24"/>
        </w:rPr>
        <w:t>italicum</w:t>
      </w:r>
      <w:proofErr w:type="spellEnd"/>
      <w:r w:rsidRPr="00125A2F">
        <w:rPr>
          <w:rFonts w:ascii="Times New Roman" w:hAnsi="Times New Roman"/>
          <w:color w:val="auto"/>
          <w:sz w:val="24"/>
          <w:szCs w:val="24"/>
        </w:rPr>
        <w:t xml:space="preserve"> on citrus fruit </w:t>
      </w:r>
      <w:r w:rsidR="002B26AB">
        <w:rPr>
          <w:rFonts w:ascii="Times New Roman" w:hAnsi="Times New Roman"/>
          <w:color w:val="auto"/>
          <w:sz w:val="24"/>
          <w:szCs w:val="24"/>
        </w:rPr>
        <w:t>(</w:t>
      </w:r>
      <w:r w:rsidR="002B26AB" w:rsidRPr="002B26AB">
        <w:rPr>
          <w:rFonts w:ascii="Times New Roman" w:hAnsi="Times New Roman"/>
          <w:color w:val="auto"/>
          <w:sz w:val="24"/>
          <w:szCs w:val="24"/>
        </w:rPr>
        <w:t>Liu et al. 2019)</w:t>
      </w:r>
      <w:r w:rsidRPr="00125A2F">
        <w:rPr>
          <w:rFonts w:ascii="Times New Roman" w:hAnsi="Times New Roman"/>
          <w:color w:val="auto"/>
          <w:sz w:val="24"/>
          <w:szCs w:val="24"/>
        </w:rPr>
        <w:t xml:space="preserve">. The results shown in Fig. 2 are consistent with previous research </w:t>
      </w:r>
      <w:r w:rsidR="002B26AB">
        <w:rPr>
          <w:rFonts w:ascii="Times New Roman" w:hAnsi="Times New Roman"/>
          <w:color w:val="auto"/>
          <w:sz w:val="24"/>
          <w:szCs w:val="24"/>
        </w:rPr>
        <w:t>(</w:t>
      </w:r>
      <w:proofErr w:type="spellStart"/>
      <w:r w:rsidR="002B26AB" w:rsidRPr="002B26AB">
        <w:rPr>
          <w:rFonts w:ascii="Times New Roman" w:hAnsi="Times New Roman"/>
          <w:color w:val="auto"/>
          <w:sz w:val="24"/>
        </w:rPr>
        <w:t>Parafati</w:t>
      </w:r>
      <w:proofErr w:type="spellEnd"/>
      <w:r w:rsidR="002B26AB" w:rsidRPr="002B26AB">
        <w:rPr>
          <w:rFonts w:ascii="Times New Roman" w:hAnsi="Times New Roman"/>
          <w:color w:val="auto"/>
          <w:sz w:val="24"/>
        </w:rPr>
        <w:t xml:space="preserve"> et al. 2015</w:t>
      </w:r>
      <w:r w:rsidR="002B26AB">
        <w:rPr>
          <w:rFonts w:ascii="Times New Roman" w:hAnsi="Times New Roman"/>
          <w:color w:val="auto"/>
          <w:sz w:val="24"/>
          <w:szCs w:val="24"/>
        </w:rPr>
        <w:t>)</w:t>
      </w:r>
      <w:r w:rsidRPr="00125A2F">
        <w:rPr>
          <w:rFonts w:ascii="Times New Roman" w:hAnsi="Times New Roman"/>
          <w:color w:val="auto"/>
          <w:sz w:val="24"/>
          <w:szCs w:val="24"/>
        </w:rPr>
        <w:t xml:space="preserve">. In this study, the </w:t>
      </w:r>
      <w:r w:rsidRPr="00125A2F">
        <w:rPr>
          <w:rFonts w:ascii="Times New Roman" w:hAnsi="Times New Roman"/>
          <w:color w:val="auto"/>
          <w:sz w:val="24"/>
          <w:szCs w:val="24"/>
        </w:rPr>
        <w:lastRenderedPageBreak/>
        <w:t>researchers found that M. pulcherrima cells formed significant biofilms after 48 hours of incubation, reaching an optical density (OD) at 590 nm of 1.15. After 72 hours, the OD measured 1.12 units. In a separate study, strains L1 and L8 of A. pullulans formed biofilms on polystyrene plates, with ODs ranging from 1.0 to 1.5 after 48 hours under similar incubation conditions. The data presented in Fig</w:t>
      </w:r>
      <w:r>
        <w:rPr>
          <w:rFonts w:ascii="Times New Roman" w:hAnsi="Times New Roman"/>
          <w:color w:val="auto"/>
          <w:sz w:val="24"/>
          <w:szCs w:val="24"/>
        </w:rPr>
        <w:t>.</w:t>
      </w:r>
      <w:r w:rsidRPr="00125A2F">
        <w:rPr>
          <w:rFonts w:ascii="Times New Roman" w:hAnsi="Times New Roman"/>
          <w:color w:val="auto"/>
          <w:sz w:val="24"/>
          <w:szCs w:val="24"/>
        </w:rPr>
        <w:t xml:space="preserve"> 2 closely align with the results from these cited studies, confirming the validity of our findings. This enabled us to identify 11 of the most active biofilm-forming antagonist yeasts (#1, #5–#7, #9, #12–#14, #17, #19, and #34). After screening 19 epiphytic yeast isolates for in vitro biofilm-forming capacity, we excluded eight isolates with limited biofilm-forming capacity (as shown in Fig</w:t>
      </w:r>
      <w:r>
        <w:rPr>
          <w:rFonts w:ascii="Times New Roman" w:hAnsi="Times New Roman"/>
          <w:color w:val="auto"/>
          <w:sz w:val="24"/>
          <w:szCs w:val="24"/>
        </w:rPr>
        <w:t>.</w:t>
      </w:r>
      <w:r w:rsidRPr="00125A2F">
        <w:rPr>
          <w:rFonts w:ascii="Times New Roman" w:hAnsi="Times New Roman"/>
          <w:color w:val="auto"/>
          <w:sz w:val="24"/>
          <w:szCs w:val="24"/>
        </w:rPr>
        <w:t xml:space="preserve"> 2).</w:t>
      </w:r>
    </w:p>
    <w:p w14:paraId="044B3D50" w14:textId="77777777" w:rsidR="00BA29ED" w:rsidRPr="00125A2F" w:rsidRDefault="00BA29ED" w:rsidP="00BA29ED">
      <w:pPr>
        <w:pStyle w:val="MDPI31text"/>
        <w:spacing w:line="360" w:lineRule="auto"/>
        <w:ind w:left="0" w:firstLine="567"/>
        <w:rPr>
          <w:rFonts w:ascii="Times New Roman" w:hAnsi="Times New Roman"/>
          <w:color w:val="auto"/>
          <w:sz w:val="24"/>
          <w:szCs w:val="24"/>
        </w:rPr>
      </w:pPr>
    </w:p>
    <w:p w14:paraId="557BE7D9" w14:textId="0941BDC9" w:rsidR="00BA29ED" w:rsidRPr="00BA29ED" w:rsidRDefault="00BA29ED" w:rsidP="00BA29ED">
      <w:pPr>
        <w:pStyle w:val="MDPI31text"/>
        <w:numPr>
          <w:ilvl w:val="1"/>
          <w:numId w:val="30"/>
        </w:numPr>
        <w:tabs>
          <w:tab w:val="left" w:pos="567"/>
        </w:tabs>
        <w:spacing w:line="360" w:lineRule="auto"/>
        <w:ind w:left="0" w:firstLine="0"/>
        <w:rPr>
          <w:rFonts w:ascii="Times New Roman" w:hAnsi="Times New Roman"/>
          <w:b/>
          <w:color w:val="auto"/>
          <w:sz w:val="24"/>
          <w:szCs w:val="24"/>
        </w:rPr>
      </w:pPr>
      <w:r w:rsidRPr="00BA29ED">
        <w:rPr>
          <w:rFonts w:ascii="Times New Roman" w:hAnsi="Times New Roman"/>
          <w:b/>
          <w:color w:val="auto"/>
          <w:sz w:val="24"/>
          <w:szCs w:val="24"/>
        </w:rPr>
        <w:t>Identification of Antagonistic Yeasts Using Molecular Taxonomy and Phylogenetic Analysis</w:t>
      </w:r>
    </w:p>
    <w:p w14:paraId="0D7A5C1B" w14:textId="537CADC0" w:rsidR="00BA29ED" w:rsidRPr="00125A2F" w:rsidRDefault="00BA29ED" w:rsidP="00BA29ED">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 xml:space="preserve">Identifying a specific isolate enhances the understanding of the yeast's ecology and helps optimize its concentration and timing for improved protection </w:t>
      </w:r>
      <w:r w:rsidR="001D5753">
        <w:rPr>
          <w:rFonts w:ascii="Times New Roman" w:hAnsi="Times New Roman"/>
          <w:color w:val="auto"/>
          <w:sz w:val="24"/>
          <w:szCs w:val="24"/>
        </w:rPr>
        <w:t>(</w:t>
      </w:r>
      <w:r w:rsidR="001D5753" w:rsidRPr="001D5753">
        <w:rPr>
          <w:rFonts w:ascii="Times New Roman" w:hAnsi="Times New Roman"/>
          <w:color w:val="auto"/>
          <w:sz w:val="24"/>
        </w:rPr>
        <w:t>Wilson and Wisniewski 1994</w:t>
      </w:r>
      <w:r w:rsidR="001D5753">
        <w:rPr>
          <w:rFonts w:ascii="Times New Roman" w:hAnsi="Times New Roman"/>
          <w:color w:val="auto"/>
          <w:sz w:val="24"/>
          <w:szCs w:val="24"/>
        </w:rPr>
        <w:t>)</w:t>
      </w:r>
      <w:r w:rsidRPr="00125A2F">
        <w:rPr>
          <w:rFonts w:ascii="Times New Roman" w:hAnsi="Times New Roman"/>
          <w:color w:val="auto"/>
          <w:sz w:val="24"/>
          <w:szCs w:val="24"/>
        </w:rPr>
        <w:t xml:space="preserve">. This study built a phylogenetic tree that groups antagonistic yeasts into clades, which we identified as phylogenetically constrained genera (Fig. 3). </w:t>
      </w:r>
    </w:p>
    <w:p w14:paraId="2A2C3D58" w14:textId="526D2F20" w:rsidR="00BA29ED" w:rsidRPr="00125A2F" w:rsidRDefault="00BA29ED" w:rsidP="00BA29ED">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 xml:space="preserve">The node support measure for the </w:t>
      </w:r>
      <w:r w:rsidRPr="00125A2F">
        <w:rPr>
          <w:rFonts w:ascii="Times New Roman" w:hAnsi="Times New Roman"/>
          <w:i/>
          <w:iCs/>
          <w:color w:val="auto"/>
          <w:sz w:val="24"/>
          <w:szCs w:val="24"/>
        </w:rPr>
        <w:t xml:space="preserve">M. pulcherrima </w:t>
      </w:r>
      <w:r w:rsidRPr="00125A2F">
        <w:rPr>
          <w:rFonts w:ascii="Times New Roman" w:hAnsi="Times New Roman"/>
          <w:color w:val="auto"/>
          <w:sz w:val="24"/>
          <w:szCs w:val="24"/>
        </w:rPr>
        <w:t xml:space="preserve">A2 clade was 63%. This low value may be caused by non-homogenized rDNA repeats, ambiguous gap separation between barcodes, and frequent heterozygosity (nucleotide polymorphisms) in the barcode genes of the type strains of </w:t>
      </w:r>
      <w:r w:rsidRPr="00125A2F">
        <w:rPr>
          <w:rFonts w:ascii="Times New Roman" w:hAnsi="Times New Roman"/>
          <w:i/>
          <w:iCs/>
          <w:color w:val="auto"/>
          <w:sz w:val="24"/>
          <w:szCs w:val="24"/>
        </w:rPr>
        <w:t>M. pulcherrima</w:t>
      </w:r>
      <w:r w:rsidRPr="00125A2F">
        <w:rPr>
          <w:rFonts w:ascii="Times New Roman" w:hAnsi="Times New Roman"/>
          <w:color w:val="auto"/>
          <w:sz w:val="24"/>
          <w:szCs w:val="24"/>
        </w:rPr>
        <w:t xml:space="preserve"> clade species </w:t>
      </w:r>
      <w:r w:rsidR="001F3D1D" w:rsidRPr="001F3D1D">
        <w:rPr>
          <w:rFonts w:ascii="Times New Roman" w:hAnsi="Times New Roman"/>
          <w:color w:val="auto"/>
          <w:sz w:val="24"/>
          <w:szCs w:val="24"/>
        </w:rPr>
        <w:t>(Sipiczki 2020)</w:t>
      </w:r>
      <w:r w:rsidRPr="001F3D1D">
        <w:rPr>
          <w:rFonts w:ascii="Times New Roman" w:hAnsi="Times New Roman"/>
          <w:color w:val="auto"/>
          <w:sz w:val="24"/>
          <w:szCs w:val="24"/>
        </w:rPr>
        <w:t>. Clearly</w:t>
      </w:r>
      <w:r w:rsidRPr="00125A2F">
        <w:rPr>
          <w:rFonts w:ascii="Times New Roman" w:hAnsi="Times New Roman"/>
          <w:color w:val="auto"/>
          <w:sz w:val="24"/>
          <w:szCs w:val="24"/>
        </w:rPr>
        <w:t xml:space="preserve">, due to limited research and a small number of support sequences, the node support measure for the branch </w:t>
      </w:r>
      <w:r w:rsidRPr="00125A2F">
        <w:rPr>
          <w:rFonts w:ascii="Times New Roman" w:hAnsi="Times New Roman"/>
          <w:i/>
          <w:iCs/>
          <w:color w:val="auto"/>
          <w:sz w:val="24"/>
          <w:szCs w:val="24"/>
        </w:rPr>
        <w:t xml:space="preserve">of </w:t>
      </w:r>
      <w:proofErr w:type="spellStart"/>
      <w:r w:rsidRPr="00125A2F">
        <w:rPr>
          <w:rFonts w:ascii="Times New Roman" w:hAnsi="Times New Roman"/>
          <w:i/>
          <w:iCs/>
          <w:color w:val="auto"/>
          <w:sz w:val="24"/>
          <w:szCs w:val="24"/>
        </w:rPr>
        <w:t>Clavispora</w:t>
      </w:r>
      <w:proofErr w:type="spellEnd"/>
      <w:r w:rsidRPr="00125A2F">
        <w:rPr>
          <w:rFonts w:ascii="Times New Roman" w:hAnsi="Times New Roman"/>
          <w:i/>
          <w:iCs/>
          <w:color w:val="auto"/>
          <w:sz w:val="24"/>
          <w:szCs w:val="24"/>
        </w:rPr>
        <w:t xml:space="preserve"> (Candida) </w:t>
      </w:r>
      <w:proofErr w:type="spellStart"/>
      <w:r w:rsidRPr="00125A2F">
        <w:rPr>
          <w:rFonts w:ascii="Times New Roman" w:hAnsi="Times New Roman"/>
          <w:i/>
          <w:iCs/>
          <w:color w:val="auto"/>
          <w:sz w:val="24"/>
          <w:szCs w:val="24"/>
        </w:rPr>
        <w:t>lusitaniae</w:t>
      </w:r>
      <w:proofErr w:type="spellEnd"/>
      <w:r w:rsidRPr="00125A2F">
        <w:rPr>
          <w:rFonts w:ascii="Times New Roman" w:hAnsi="Times New Roman"/>
          <w:i/>
          <w:iCs/>
          <w:color w:val="auto"/>
          <w:sz w:val="24"/>
          <w:szCs w:val="24"/>
        </w:rPr>
        <w:t xml:space="preserve"> strains (CL01, CL03)</w:t>
      </w:r>
      <w:r w:rsidRPr="00125A2F">
        <w:rPr>
          <w:rFonts w:ascii="Times New Roman" w:hAnsi="Times New Roman"/>
          <w:color w:val="auto"/>
          <w:sz w:val="24"/>
          <w:szCs w:val="24"/>
        </w:rPr>
        <w:t xml:space="preserve"> was 56%. The yeast-like fungus </w:t>
      </w:r>
      <w:r w:rsidRPr="00125A2F">
        <w:rPr>
          <w:rFonts w:ascii="Times New Roman" w:hAnsi="Times New Roman"/>
          <w:i/>
          <w:color w:val="auto"/>
          <w:sz w:val="24"/>
          <w:szCs w:val="24"/>
        </w:rPr>
        <w:t xml:space="preserve">A. pullulans </w:t>
      </w:r>
      <w:r w:rsidRPr="00125A2F">
        <w:rPr>
          <w:rFonts w:ascii="Times New Roman" w:hAnsi="Times New Roman"/>
          <w:color w:val="auto"/>
          <w:sz w:val="24"/>
          <w:szCs w:val="24"/>
        </w:rPr>
        <w:t xml:space="preserve">studied here includes </w:t>
      </w:r>
      <w:r w:rsidRPr="00C745CA">
        <w:rPr>
          <w:rFonts w:ascii="Times New Roman" w:hAnsi="Times New Roman"/>
          <w:color w:val="auto"/>
          <w:sz w:val="24"/>
          <w:szCs w:val="24"/>
        </w:rPr>
        <w:t xml:space="preserve">seven strains: AP04 (isolate #5), AP05 (#6), AP06 (#7), AP08 (#9), AP11 (#12), AP12 (#13), and AP13 (#14) (Fig. 3). The literature highlights the significant variability and genetic instability of yeasts in this genus </w:t>
      </w:r>
      <w:r w:rsidR="001C11E0">
        <w:rPr>
          <w:rFonts w:ascii="Times New Roman" w:hAnsi="Times New Roman"/>
          <w:color w:val="auto"/>
          <w:sz w:val="24"/>
          <w:szCs w:val="24"/>
        </w:rPr>
        <w:t>(</w:t>
      </w:r>
      <w:proofErr w:type="spellStart"/>
      <w:r w:rsidR="001C11E0" w:rsidRPr="001C11E0">
        <w:rPr>
          <w:rFonts w:ascii="Times New Roman" w:hAnsi="Times New Roman"/>
          <w:color w:val="auto"/>
          <w:sz w:val="24"/>
        </w:rPr>
        <w:t>Gostinčar</w:t>
      </w:r>
      <w:proofErr w:type="spellEnd"/>
      <w:r w:rsidR="001C11E0" w:rsidRPr="001C11E0">
        <w:rPr>
          <w:rFonts w:ascii="Times New Roman" w:hAnsi="Times New Roman"/>
          <w:color w:val="auto"/>
          <w:sz w:val="24"/>
        </w:rPr>
        <w:t xml:space="preserve"> et al. 2019</w:t>
      </w:r>
      <w:r w:rsidR="001C11E0">
        <w:rPr>
          <w:rFonts w:ascii="Times New Roman" w:hAnsi="Times New Roman"/>
          <w:color w:val="auto"/>
          <w:sz w:val="24"/>
          <w:szCs w:val="24"/>
        </w:rPr>
        <w:t>)</w:t>
      </w:r>
      <w:r w:rsidRPr="00C745CA">
        <w:rPr>
          <w:rFonts w:ascii="Times New Roman" w:hAnsi="Times New Roman"/>
          <w:color w:val="auto"/>
          <w:sz w:val="24"/>
          <w:szCs w:val="24"/>
        </w:rPr>
        <w:t xml:space="preserve">. We should consider that this is not a desirable characteristic for a biocontrol agent. Therefore, among the 11 selected antagonistic yeast isolates, we identified isolate No. 1 as </w:t>
      </w:r>
      <w:r w:rsidRPr="00C745CA">
        <w:rPr>
          <w:rFonts w:ascii="Times New Roman" w:hAnsi="Times New Roman"/>
          <w:i/>
          <w:iCs/>
          <w:color w:val="auto"/>
          <w:sz w:val="24"/>
          <w:szCs w:val="24"/>
        </w:rPr>
        <w:t xml:space="preserve">M. pulcherrima </w:t>
      </w:r>
      <w:r w:rsidRPr="00C745CA">
        <w:rPr>
          <w:rFonts w:ascii="Times New Roman" w:hAnsi="Times New Roman"/>
          <w:color w:val="auto"/>
          <w:sz w:val="24"/>
          <w:szCs w:val="24"/>
        </w:rPr>
        <w:t xml:space="preserve">(A2) and isolate No. 34 as </w:t>
      </w:r>
      <w:r w:rsidRPr="00C745CA">
        <w:rPr>
          <w:rFonts w:ascii="Times New Roman" w:hAnsi="Times New Roman"/>
          <w:i/>
          <w:iCs/>
          <w:color w:val="auto"/>
          <w:sz w:val="24"/>
          <w:szCs w:val="24"/>
        </w:rPr>
        <w:t xml:space="preserve">H. </w:t>
      </w:r>
      <w:proofErr w:type="spellStart"/>
      <w:r w:rsidRPr="00C745CA">
        <w:rPr>
          <w:rFonts w:ascii="Times New Roman" w:hAnsi="Times New Roman"/>
          <w:i/>
          <w:iCs/>
          <w:color w:val="auto"/>
          <w:sz w:val="24"/>
          <w:szCs w:val="24"/>
        </w:rPr>
        <w:t>uvarum</w:t>
      </w:r>
      <w:proofErr w:type="spellEnd"/>
      <w:r w:rsidRPr="00C745CA">
        <w:rPr>
          <w:rFonts w:ascii="Times New Roman" w:hAnsi="Times New Roman"/>
          <w:i/>
          <w:iCs/>
          <w:color w:val="auto"/>
          <w:sz w:val="24"/>
          <w:szCs w:val="24"/>
        </w:rPr>
        <w:t xml:space="preserve"> </w:t>
      </w:r>
      <w:r w:rsidRPr="00C745CA">
        <w:rPr>
          <w:rFonts w:ascii="Times New Roman" w:hAnsi="Times New Roman"/>
          <w:color w:val="auto"/>
          <w:sz w:val="24"/>
          <w:szCs w:val="24"/>
        </w:rPr>
        <w:t>(HU15</w:t>
      </w:r>
      <w:r w:rsidRPr="00C745CA">
        <w:rPr>
          <w:rFonts w:ascii="Times New Roman" w:hAnsi="Times New Roman"/>
          <w:i/>
          <w:iCs/>
          <w:color w:val="auto"/>
          <w:sz w:val="24"/>
          <w:szCs w:val="24"/>
        </w:rPr>
        <w:t>).</w:t>
      </w:r>
      <w:r w:rsidRPr="00C745CA">
        <w:rPr>
          <w:rFonts w:ascii="Times New Roman" w:hAnsi="Times New Roman"/>
          <w:color w:val="auto"/>
          <w:sz w:val="24"/>
          <w:szCs w:val="24"/>
        </w:rPr>
        <w:t xml:space="preserve"> Isolates No. 17 and No. 19 correspond to </w:t>
      </w:r>
      <w:r w:rsidRPr="00C745CA">
        <w:rPr>
          <w:rFonts w:ascii="Times New Roman" w:hAnsi="Times New Roman"/>
          <w:i/>
          <w:iCs/>
          <w:color w:val="auto"/>
          <w:sz w:val="24"/>
          <w:szCs w:val="24"/>
        </w:rPr>
        <w:t xml:space="preserve">C. </w:t>
      </w:r>
      <w:proofErr w:type="spellStart"/>
      <w:r w:rsidRPr="00C745CA">
        <w:rPr>
          <w:rFonts w:ascii="Times New Roman" w:hAnsi="Times New Roman"/>
          <w:i/>
          <w:iCs/>
          <w:color w:val="auto"/>
          <w:sz w:val="24"/>
          <w:szCs w:val="24"/>
        </w:rPr>
        <w:t>lusitaniae</w:t>
      </w:r>
      <w:proofErr w:type="spellEnd"/>
      <w:r w:rsidRPr="00125A2F">
        <w:rPr>
          <w:rFonts w:ascii="Times New Roman" w:hAnsi="Times New Roman"/>
          <w:color w:val="auto"/>
          <w:sz w:val="24"/>
          <w:szCs w:val="24"/>
        </w:rPr>
        <w:t xml:space="preserve">, designated as CL01 and CL03, respectively. Additionally, we identified isolates No. 5, No. 6, No. 7, No. 9, No. 12, No. 13, and No. 14 as strains of </w:t>
      </w:r>
      <w:r w:rsidRPr="00125A2F">
        <w:rPr>
          <w:rFonts w:ascii="Times New Roman" w:hAnsi="Times New Roman"/>
          <w:i/>
          <w:iCs/>
          <w:color w:val="auto"/>
          <w:sz w:val="24"/>
          <w:szCs w:val="24"/>
        </w:rPr>
        <w:t>A. pullulans</w:t>
      </w:r>
      <w:r w:rsidRPr="00125A2F">
        <w:rPr>
          <w:rFonts w:ascii="Times New Roman" w:hAnsi="Times New Roman"/>
          <w:color w:val="auto"/>
          <w:sz w:val="24"/>
          <w:szCs w:val="24"/>
        </w:rPr>
        <w:t>, labeled as AP04, AP05, AP06, AP08, AP11, AP12, and AP13, respectively.</w:t>
      </w:r>
    </w:p>
    <w:p w14:paraId="7E3A2205" w14:textId="77777777" w:rsidR="00BA29ED" w:rsidRPr="00125A2F" w:rsidRDefault="00BA29ED" w:rsidP="00BA29ED">
      <w:pPr>
        <w:pStyle w:val="MDPI31text"/>
        <w:spacing w:line="360" w:lineRule="auto"/>
        <w:ind w:left="0" w:firstLine="567"/>
        <w:rPr>
          <w:rFonts w:ascii="Times New Roman" w:hAnsi="Times New Roman"/>
          <w:color w:val="auto"/>
          <w:sz w:val="24"/>
          <w:szCs w:val="24"/>
        </w:rPr>
      </w:pPr>
    </w:p>
    <w:p w14:paraId="17381DD8" w14:textId="327EC8B3" w:rsidR="00BA29ED" w:rsidRPr="00BA29ED" w:rsidRDefault="00BA29ED" w:rsidP="00BA29ED">
      <w:pPr>
        <w:pStyle w:val="MDPI31text"/>
        <w:numPr>
          <w:ilvl w:val="1"/>
          <w:numId w:val="30"/>
        </w:numPr>
        <w:tabs>
          <w:tab w:val="left" w:pos="567"/>
        </w:tabs>
        <w:spacing w:line="360" w:lineRule="auto"/>
        <w:ind w:left="0" w:firstLine="0"/>
        <w:rPr>
          <w:rFonts w:ascii="Times New Roman" w:hAnsi="Times New Roman"/>
          <w:b/>
          <w:color w:val="auto"/>
          <w:sz w:val="24"/>
          <w:szCs w:val="24"/>
        </w:rPr>
      </w:pPr>
      <w:r w:rsidRPr="00BA29ED">
        <w:rPr>
          <w:rFonts w:ascii="Times New Roman" w:hAnsi="Times New Roman"/>
          <w:b/>
          <w:i/>
          <w:color w:val="auto"/>
          <w:sz w:val="24"/>
          <w:szCs w:val="24"/>
        </w:rPr>
        <w:t>In Vivo</w:t>
      </w:r>
      <w:r w:rsidRPr="00BA29ED">
        <w:rPr>
          <w:rFonts w:ascii="Times New Roman" w:hAnsi="Times New Roman"/>
          <w:b/>
          <w:color w:val="auto"/>
          <w:sz w:val="24"/>
          <w:szCs w:val="24"/>
        </w:rPr>
        <w:t xml:space="preserve"> Screening of Antagonistic Yeast Strains for the Percentage of Infected Artificial Wounds in Grape Berries within W Systems</w:t>
      </w:r>
    </w:p>
    <w:p w14:paraId="5EDD9D0A" w14:textId="1CC5F207" w:rsidR="00BA29ED" w:rsidRPr="00125A2F" w:rsidRDefault="00BA29ED" w:rsidP="008D327D">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lastRenderedPageBreak/>
        <w:t xml:space="preserve">The </w:t>
      </w:r>
      <w:proofErr w:type="spellStart"/>
      <w:r w:rsidRPr="00125A2F">
        <w:rPr>
          <w:rFonts w:ascii="Times New Roman" w:hAnsi="Times New Roman"/>
          <w:color w:val="auto"/>
          <w:sz w:val="24"/>
          <w:szCs w:val="24"/>
        </w:rPr>
        <w:t>tritrophic</w:t>
      </w:r>
      <w:proofErr w:type="spellEnd"/>
      <w:r w:rsidRPr="00125A2F">
        <w:rPr>
          <w:rFonts w:ascii="Times New Roman" w:hAnsi="Times New Roman"/>
          <w:color w:val="auto"/>
          <w:sz w:val="24"/>
          <w:szCs w:val="24"/>
        </w:rPr>
        <w:t xml:space="preserve"> W system (see paragraph 2.7) — contains a rich supply of nutrients and maintains an acidic pH </w:t>
      </w:r>
      <w:r w:rsidR="00971B31">
        <w:rPr>
          <w:rFonts w:ascii="Times New Roman" w:hAnsi="Times New Roman"/>
          <w:color w:val="auto"/>
          <w:sz w:val="24"/>
          <w:szCs w:val="24"/>
        </w:rPr>
        <w:t>(</w:t>
      </w:r>
      <w:r w:rsidR="00971B31" w:rsidRPr="00971B31">
        <w:rPr>
          <w:rFonts w:ascii="Times New Roman" w:hAnsi="Times New Roman"/>
          <w:color w:val="auto"/>
          <w:sz w:val="24"/>
        </w:rPr>
        <w:t xml:space="preserve">Spadaro and </w:t>
      </w:r>
      <w:proofErr w:type="spellStart"/>
      <w:r w:rsidR="00971B31" w:rsidRPr="00971B31">
        <w:rPr>
          <w:rFonts w:ascii="Times New Roman" w:hAnsi="Times New Roman"/>
          <w:color w:val="auto"/>
          <w:sz w:val="24"/>
        </w:rPr>
        <w:t>Droby</w:t>
      </w:r>
      <w:proofErr w:type="spellEnd"/>
      <w:r w:rsidR="00971B31" w:rsidRPr="00971B31">
        <w:rPr>
          <w:rFonts w:ascii="Times New Roman" w:hAnsi="Times New Roman"/>
          <w:color w:val="auto"/>
          <w:sz w:val="24"/>
        </w:rPr>
        <w:t xml:space="preserve"> 2016</w:t>
      </w:r>
      <w:r w:rsidR="00971B31">
        <w:rPr>
          <w:rFonts w:ascii="Times New Roman" w:hAnsi="Times New Roman"/>
          <w:color w:val="auto"/>
          <w:sz w:val="24"/>
          <w:szCs w:val="24"/>
        </w:rPr>
        <w:t>)</w:t>
      </w:r>
      <w:r w:rsidRPr="00125A2F">
        <w:rPr>
          <w:rFonts w:ascii="Times New Roman" w:hAnsi="Times New Roman"/>
          <w:color w:val="auto"/>
          <w:sz w:val="24"/>
          <w:szCs w:val="24"/>
        </w:rPr>
        <w:t xml:space="preserve">. The interactions among the W system's components are complex and not fully understood. Researchers are actively studying these mechanisms, but a comprehensive understanding of how they interact is still developing. </w:t>
      </w:r>
    </w:p>
    <w:p w14:paraId="76DE83F6" w14:textId="77777777" w:rsidR="00BA29ED" w:rsidRPr="00125A2F" w:rsidRDefault="00BA29ED" w:rsidP="008D327D">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 xml:space="preserve">The goal of the experiment results shown in Table 1A was to assess how well 11 yeast strains prevent grape wound infections caused by especially aggressive pathogens encountered after harvest. These pathogens include </w:t>
      </w:r>
      <w:r w:rsidRPr="00125A2F">
        <w:rPr>
          <w:rFonts w:ascii="Times New Roman" w:hAnsi="Times New Roman"/>
          <w:i/>
          <w:color w:val="auto"/>
          <w:sz w:val="24"/>
          <w:szCs w:val="24"/>
        </w:rPr>
        <w:t>B. cinerea</w:t>
      </w:r>
      <w:r w:rsidRPr="00125A2F">
        <w:rPr>
          <w:rFonts w:ascii="Times New Roman" w:hAnsi="Times New Roman"/>
          <w:color w:val="auto"/>
          <w:sz w:val="24"/>
          <w:szCs w:val="24"/>
        </w:rPr>
        <w:t xml:space="preserve"> F-RKM 1032 (strain 1032), </w:t>
      </w:r>
      <w:r w:rsidRPr="00125A2F">
        <w:rPr>
          <w:rFonts w:ascii="Times New Roman" w:hAnsi="Times New Roman"/>
          <w:i/>
          <w:color w:val="auto"/>
          <w:sz w:val="24"/>
          <w:szCs w:val="24"/>
        </w:rPr>
        <w:t xml:space="preserve">A. </w:t>
      </w:r>
      <w:proofErr w:type="spellStart"/>
      <w:r w:rsidRPr="00125A2F">
        <w:rPr>
          <w:rFonts w:ascii="Times New Roman" w:hAnsi="Times New Roman"/>
          <w:i/>
          <w:color w:val="auto"/>
          <w:sz w:val="24"/>
          <w:szCs w:val="24"/>
        </w:rPr>
        <w:t>niger</w:t>
      </w:r>
      <w:proofErr w:type="spellEnd"/>
      <w:r w:rsidRPr="00125A2F">
        <w:rPr>
          <w:rFonts w:ascii="Times New Roman" w:hAnsi="Times New Roman"/>
          <w:color w:val="auto"/>
          <w:sz w:val="24"/>
          <w:szCs w:val="24"/>
        </w:rPr>
        <w:t xml:space="preserve"> ATCC 6275 (strain 6275), and </w:t>
      </w:r>
      <w:r w:rsidRPr="00125A2F">
        <w:rPr>
          <w:rFonts w:ascii="Times New Roman" w:hAnsi="Times New Roman"/>
          <w:i/>
          <w:color w:val="auto"/>
          <w:sz w:val="24"/>
          <w:szCs w:val="24"/>
        </w:rPr>
        <w:t xml:space="preserve">R. </w:t>
      </w:r>
      <w:proofErr w:type="spellStart"/>
      <w:r w:rsidRPr="00125A2F">
        <w:rPr>
          <w:rFonts w:ascii="Times New Roman" w:hAnsi="Times New Roman"/>
          <w:i/>
          <w:color w:val="auto"/>
          <w:sz w:val="24"/>
          <w:szCs w:val="24"/>
        </w:rPr>
        <w:t>stolonifer</w:t>
      </w:r>
      <w:proofErr w:type="spellEnd"/>
      <w:r w:rsidRPr="00125A2F">
        <w:rPr>
          <w:rFonts w:ascii="Times New Roman" w:hAnsi="Times New Roman"/>
          <w:color w:val="auto"/>
          <w:sz w:val="24"/>
          <w:szCs w:val="24"/>
        </w:rPr>
        <w:t xml:space="preserve"> ATCC 6227b (strain 6227b). The study also aimed to find the most effective yeast strains that can act as antagonists against these pathogens within W systems. </w:t>
      </w:r>
    </w:p>
    <w:p w14:paraId="517973D2" w14:textId="3FDFFCD5" w:rsidR="00BA29ED" w:rsidRPr="00125A2F" w:rsidRDefault="00BA29ED" w:rsidP="008D327D">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 xml:space="preserve">In a survey of 33 W systems with antagonistic yeast strains, only 15 showed relatively low infection rates. The strains responsible for this notable suppression of fungal pathogen growth include M. pulcherrima (A2), H. </w:t>
      </w:r>
      <w:proofErr w:type="spellStart"/>
      <w:r w:rsidRPr="00125A2F">
        <w:rPr>
          <w:rFonts w:ascii="Times New Roman" w:hAnsi="Times New Roman"/>
          <w:color w:val="auto"/>
          <w:sz w:val="24"/>
          <w:szCs w:val="24"/>
        </w:rPr>
        <w:t>uvarum</w:t>
      </w:r>
      <w:proofErr w:type="spellEnd"/>
      <w:r w:rsidRPr="00125A2F">
        <w:rPr>
          <w:rFonts w:ascii="Times New Roman" w:hAnsi="Times New Roman"/>
          <w:color w:val="auto"/>
          <w:sz w:val="24"/>
          <w:szCs w:val="24"/>
        </w:rPr>
        <w:t xml:space="preserve"> (HU15), A. pullulans strains AP11 and AP13, and C. </w:t>
      </w:r>
      <w:proofErr w:type="spellStart"/>
      <w:r w:rsidRPr="00125A2F">
        <w:rPr>
          <w:rFonts w:ascii="Times New Roman" w:hAnsi="Times New Roman"/>
          <w:color w:val="auto"/>
          <w:sz w:val="24"/>
          <w:szCs w:val="24"/>
        </w:rPr>
        <w:t>lusitaniae</w:t>
      </w:r>
      <w:proofErr w:type="spellEnd"/>
      <w:r w:rsidRPr="00125A2F">
        <w:rPr>
          <w:rFonts w:ascii="Times New Roman" w:hAnsi="Times New Roman"/>
          <w:color w:val="auto"/>
          <w:sz w:val="24"/>
          <w:szCs w:val="24"/>
        </w:rPr>
        <w:t xml:space="preserve"> (CL03) (Table 1A). The remaining 18 W systems, including the antagonistic yeast strains A. pullulans (AP05, AP04, AP06, AP08, and AP12) and C. </w:t>
      </w:r>
      <w:proofErr w:type="spellStart"/>
      <w:r w:rsidRPr="00125A2F">
        <w:rPr>
          <w:rFonts w:ascii="Times New Roman" w:hAnsi="Times New Roman"/>
          <w:color w:val="auto"/>
          <w:sz w:val="24"/>
          <w:szCs w:val="24"/>
        </w:rPr>
        <w:t>lusitaniae</w:t>
      </w:r>
      <w:proofErr w:type="spellEnd"/>
      <w:r w:rsidRPr="00125A2F">
        <w:rPr>
          <w:rFonts w:ascii="Times New Roman" w:hAnsi="Times New Roman"/>
          <w:color w:val="auto"/>
          <w:sz w:val="24"/>
          <w:szCs w:val="24"/>
        </w:rPr>
        <w:t xml:space="preserve"> (CL01), failed to protect artificial wounds against fungal infection adequately (Table 1A). Therefore, we chose to exclude these strains from further research. The effective inhibition of fungal pathogen growth in artificial wounds of W systems by the five strains mentioned earlier may result not only from their ability to form biofilms but also from their use of various biocontrol mechanisms, as discussed in the Introduction </w:t>
      </w:r>
      <w:r w:rsidR="00742148">
        <w:rPr>
          <w:rFonts w:ascii="Times New Roman" w:hAnsi="Times New Roman"/>
          <w:color w:val="auto"/>
          <w:sz w:val="24"/>
          <w:szCs w:val="24"/>
        </w:rPr>
        <w:t>(</w:t>
      </w:r>
      <w:proofErr w:type="spellStart"/>
      <w:r w:rsidR="005E5A8A" w:rsidRPr="00DE6750">
        <w:rPr>
          <w:rFonts w:ascii="Times New Roman" w:hAnsi="Times New Roman"/>
          <w:color w:val="auto"/>
          <w:sz w:val="24"/>
          <w:szCs w:val="24"/>
        </w:rPr>
        <w:t>Dukare</w:t>
      </w:r>
      <w:proofErr w:type="spellEnd"/>
      <w:r w:rsidR="005E5A8A" w:rsidRPr="00DE6750">
        <w:rPr>
          <w:rFonts w:ascii="Times New Roman" w:hAnsi="Times New Roman"/>
          <w:color w:val="auto"/>
          <w:sz w:val="24"/>
          <w:szCs w:val="24"/>
        </w:rPr>
        <w:t xml:space="preserve"> et al. 2019</w:t>
      </w:r>
      <w:r w:rsidR="005E5A8A">
        <w:rPr>
          <w:rFonts w:ascii="Times New Roman" w:hAnsi="Times New Roman"/>
          <w:color w:val="auto"/>
          <w:sz w:val="24"/>
          <w:szCs w:val="24"/>
        </w:rPr>
        <w:t xml:space="preserve">; </w:t>
      </w:r>
      <w:proofErr w:type="spellStart"/>
      <w:r w:rsidR="005E5A8A" w:rsidRPr="005E5A8A">
        <w:rPr>
          <w:rFonts w:ascii="Times New Roman" w:hAnsi="Times New Roman"/>
          <w:color w:val="auto"/>
          <w:sz w:val="24"/>
          <w:szCs w:val="24"/>
        </w:rPr>
        <w:t>Romanazzi</w:t>
      </w:r>
      <w:proofErr w:type="spellEnd"/>
      <w:r w:rsidR="005E5A8A" w:rsidRPr="005E5A8A">
        <w:rPr>
          <w:rFonts w:ascii="Times New Roman" w:hAnsi="Times New Roman"/>
          <w:color w:val="auto"/>
          <w:sz w:val="24"/>
          <w:szCs w:val="24"/>
        </w:rPr>
        <w:t xml:space="preserve"> et al. 2016</w:t>
      </w:r>
      <w:r w:rsidR="005E5A8A">
        <w:rPr>
          <w:rFonts w:ascii="Times New Roman" w:hAnsi="Times New Roman"/>
          <w:color w:val="auto"/>
          <w:sz w:val="24"/>
          <w:szCs w:val="24"/>
        </w:rPr>
        <w:t xml:space="preserve">; </w:t>
      </w:r>
      <w:r w:rsidR="00742148" w:rsidRPr="00742148">
        <w:rPr>
          <w:rFonts w:ascii="Times New Roman" w:hAnsi="Times New Roman"/>
          <w:color w:val="auto"/>
          <w:sz w:val="24"/>
        </w:rPr>
        <w:t>Zhang et al. 2020a</w:t>
      </w:r>
      <w:r w:rsidR="00742148">
        <w:rPr>
          <w:rFonts w:ascii="Times New Roman" w:hAnsi="Times New Roman"/>
          <w:color w:val="auto"/>
          <w:sz w:val="24"/>
          <w:szCs w:val="24"/>
        </w:rPr>
        <w:t>)</w:t>
      </w:r>
      <w:r w:rsidRPr="00125A2F">
        <w:rPr>
          <w:rFonts w:ascii="Times New Roman" w:hAnsi="Times New Roman"/>
          <w:color w:val="auto"/>
          <w:sz w:val="24"/>
          <w:szCs w:val="24"/>
        </w:rPr>
        <w:t>.</w:t>
      </w:r>
    </w:p>
    <w:p w14:paraId="3B5D1814" w14:textId="51627167" w:rsidR="00BA29ED" w:rsidRPr="00125A2F" w:rsidRDefault="00BA29ED" w:rsidP="008D327D">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 xml:space="preserve">The control groups essentially represented </w:t>
      </w:r>
      <w:proofErr w:type="spellStart"/>
      <w:r w:rsidRPr="00125A2F">
        <w:rPr>
          <w:rFonts w:ascii="Times New Roman" w:hAnsi="Times New Roman"/>
          <w:color w:val="auto"/>
          <w:sz w:val="24"/>
          <w:szCs w:val="24"/>
        </w:rPr>
        <w:t>bitrophic</w:t>
      </w:r>
      <w:proofErr w:type="spellEnd"/>
      <w:r w:rsidRPr="00125A2F">
        <w:rPr>
          <w:rFonts w:ascii="Times New Roman" w:hAnsi="Times New Roman"/>
          <w:color w:val="auto"/>
          <w:sz w:val="24"/>
          <w:szCs w:val="24"/>
        </w:rPr>
        <w:t xml:space="preserve"> systems of pathogen-host interactions, and the percentages of infected wounds in the three control variants with pathogens (Table 1A) in the absence of antagonists could be attributed to innate host resistance to the pathogen </w:t>
      </w:r>
      <w:r w:rsidR="00297CEC">
        <w:rPr>
          <w:rFonts w:ascii="Times New Roman" w:hAnsi="Times New Roman"/>
          <w:color w:val="auto"/>
          <w:sz w:val="24"/>
          <w:szCs w:val="24"/>
        </w:rPr>
        <w:t>(</w:t>
      </w:r>
      <w:r w:rsidR="00297CEC" w:rsidRPr="00297CEC">
        <w:rPr>
          <w:rFonts w:ascii="Times New Roman" w:hAnsi="Times New Roman"/>
          <w:color w:val="auto"/>
          <w:sz w:val="24"/>
        </w:rPr>
        <w:t>Tian et al. 2016</w:t>
      </w:r>
      <w:r w:rsidR="00297CEC">
        <w:rPr>
          <w:rFonts w:ascii="Times New Roman" w:hAnsi="Times New Roman"/>
          <w:color w:val="auto"/>
          <w:sz w:val="24"/>
          <w:szCs w:val="24"/>
        </w:rPr>
        <w:t>)</w:t>
      </w:r>
      <w:r w:rsidRPr="00125A2F">
        <w:rPr>
          <w:rFonts w:ascii="Times New Roman" w:hAnsi="Times New Roman"/>
          <w:color w:val="auto"/>
          <w:sz w:val="24"/>
          <w:szCs w:val="24"/>
        </w:rPr>
        <w:t>.</w:t>
      </w:r>
    </w:p>
    <w:p w14:paraId="7D719A78" w14:textId="77777777" w:rsidR="00BA29ED" w:rsidRPr="00125A2F" w:rsidRDefault="00BA29ED" w:rsidP="008D327D">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 xml:space="preserve">To standardize data on post-harvest biocontrol systems and study interactions within a complex system, researchers use the parameter of biological control efficacy against a pathogen. They calculate the parameter BEW (pat) using formula (2) for W systems, which focus on wounds on grape berries as hosts, and formula (3) for B systems, which concentrate on unwounded berries in grape bunches as hosts. Building on previous research, this study evaluated how well </w:t>
      </w:r>
      <w:r w:rsidRPr="00125A2F">
        <w:rPr>
          <w:rFonts w:ascii="Times New Roman" w:hAnsi="Times New Roman"/>
          <w:i/>
          <w:color w:val="auto"/>
          <w:sz w:val="24"/>
          <w:szCs w:val="24"/>
        </w:rPr>
        <w:t>M.</w:t>
      </w:r>
      <w:r w:rsidRPr="00125A2F">
        <w:rPr>
          <w:rFonts w:ascii="Times New Roman" w:hAnsi="Times New Roman"/>
          <w:color w:val="auto"/>
          <w:sz w:val="24"/>
          <w:szCs w:val="24"/>
        </w:rPr>
        <w:t xml:space="preserve"> </w:t>
      </w:r>
      <w:r w:rsidRPr="00125A2F">
        <w:rPr>
          <w:rFonts w:ascii="Times New Roman" w:hAnsi="Times New Roman"/>
          <w:i/>
          <w:color w:val="auto"/>
          <w:sz w:val="24"/>
          <w:szCs w:val="24"/>
        </w:rPr>
        <w:t>pulcherrima</w:t>
      </w:r>
      <w:r w:rsidRPr="00125A2F">
        <w:rPr>
          <w:rFonts w:ascii="Times New Roman" w:hAnsi="Times New Roman"/>
          <w:color w:val="auto"/>
          <w:sz w:val="24"/>
          <w:szCs w:val="24"/>
        </w:rPr>
        <w:t xml:space="preserve"> (A2), </w:t>
      </w:r>
      <w:r w:rsidRPr="00125A2F">
        <w:rPr>
          <w:rFonts w:ascii="Times New Roman" w:hAnsi="Times New Roman"/>
          <w:i/>
          <w:color w:val="auto"/>
          <w:sz w:val="24"/>
          <w:szCs w:val="24"/>
        </w:rPr>
        <w:t xml:space="preserve">H. </w:t>
      </w:r>
      <w:proofErr w:type="spellStart"/>
      <w:r w:rsidRPr="00125A2F">
        <w:rPr>
          <w:rFonts w:ascii="Times New Roman" w:hAnsi="Times New Roman"/>
          <w:i/>
          <w:color w:val="auto"/>
          <w:sz w:val="24"/>
          <w:szCs w:val="24"/>
        </w:rPr>
        <w:t>uvarum</w:t>
      </w:r>
      <w:proofErr w:type="spellEnd"/>
      <w:r w:rsidRPr="00125A2F">
        <w:rPr>
          <w:rFonts w:ascii="Times New Roman" w:hAnsi="Times New Roman"/>
          <w:color w:val="auto"/>
          <w:sz w:val="24"/>
          <w:szCs w:val="24"/>
        </w:rPr>
        <w:t xml:space="preserve"> (HU15), </w:t>
      </w:r>
      <w:proofErr w:type="spellStart"/>
      <w:r w:rsidRPr="00125A2F">
        <w:rPr>
          <w:rFonts w:ascii="Times New Roman" w:hAnsi="Times New Roman"/>
          <w:i/>
          <w:color w:val="auto"/>
          <w:sz w:val="24"/>
          <w:szCs w:val="24"/>
        </w:rPr>
        <w:t>Clavispora</w:t>
      </w:r>
      <w:proofErr w:type="spellEnd"/>
      <w:r w:rsidRPr="00125A2F">
        <w:rPr>
          <w:rFonts w:ascii="Times New Roman" w:hAnsi="Times New Roman"/>
          <w:i/>
          <w:color w:val="auto"/>
          <w:sz w:val="24"/>
          <w:szCs w:val="24"/>
        </w:rPr>
        <w:t xml:space="preserve"> (Candida)</w:t>
      </w:r>
      <w:r w:rsidRPr="00125A2F">
        <w:rPr>
          <w:rFonts w:ascii="Times New Roman" w:hAnsi="Times New Roman"/>
          <w:color w:val="auto"/>
          <w:sz w:val="24"/>
          <w:szCs w:val="24"/>
        </w:rPr>
        <w:t xml:space="preserve"> (CL03), and two strains of </w:t>
      </w:r>
      <w:r w:rsidRPr="00125A2F">
        <w:rPr>
          <w:rFonts w:ascii="Times New Roman" w:hAnsi="Times New Roman"/>
          <w:i/>
          <w:color w:val="auto"/>
          <w:sz w:val="24"/>
          <w:szCs w:val="24"/>
        </w:rPr>
        <w:t>A.</w:t>
      </w:r>
      <w:r w:rsidRPr="00125A2F">
        <w:rPr>
          <w:rFonts w:ascii="Times New Roman" w:hAnsi="Times New Roman"/>
          <w:color w:val="auto"/>
          <w:sz w:val="24"/>
          <w:szCs w:val="24"/>
        </w:rPr>
        <w:t xml:space="preserve"> </w:t>
      </w:r>
      <w:r w:rsidRPr="00125A2F">
        <w:rPr>
          <w:rFonts w:ascii="Times New Roman" w:hAnsi="Times New Roman"/>
          <w:i/>
          <w:color w:val="auto"/>
          <w:sz w:val="24"/>
          <w:szCs w:val="24"/>
        </w:rPr>
        <w:t>pullulans</w:t>
      </w:r>
      <w:r w:rsidRPr="00125A2F">
        <w:rPr>
          <w:rFonts w:ascii="Times New Roman" w:hAnsi="Times New Roman"/>
          <w:color w:val="auto"/>
          <w:sz w:val="24"/>
          <w:szCs w:val="24"/>
        </w:rPr>
        <w:t xml:space="preserve"> (AP11) and (AP13) meet the criteria for biological control agents.</w:t>
      </w:r>
    </w:p>
    <w:p w14:paraId="0A3FDA51" w14:textId="45810D1A" w:rsidR="00BA29ED" w:rsidRPr="00125A2F" w:rsidRDefault="00BA29ED" w:rsidP="008D327D">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lastRenderedPageBreak/>
        <w:t xml:space="preserve">Data from this study on one of the five promising strains, </w:t>
      </w:r>
      <w:r w:rsidRPr="00125A2F">
        <w:rPr>
          <w:rFonts w:ascii="Times New Roman" w:hAnsi="Times New Roman"/>
          <w:i/>
          <w:color w:val="auto"/>
          <w:sz w:val="24"/>
          <w:szCs w:val="24"/>
        </w:rPr>
        <w:t>M. pulcherrima</w:t>
      </w:r>
      <w:r w:rsidRPr="00125A2F">
        <w:rPr>
          <w:rFonts w:ascii="Times New Roman" w:hAnsi="Times New Roman"/>
          <w:color w:val="auto"/>
          <w:sz w:val="24"/>
          <w:szCs w:val="24"/>
        </w:rPr>
        <w:t xml:space="preserve"> (A2), showed wound infection rates of 15.50% for the gray mold strain 1032 and 21.96% for the </w:t>
      </w:r>
      <w:r w:rsidRPr="00125A2F">
        <w:rPr>
          <w:rFonts w:ascii="Times New Roman" w:hAnsi="Times New Roman"/>
          <w:i/>
          <w:color w:val="auto"/>
          <w:sz w:val="24"/>
          <w:szCs w:val="24"/>
        </w:rPr>
        <w:t>Rhizopus</w:t>
      </w:r>
      <w:r w:rsidRPr="00125A2F">
        <w:rPr>
          <w:rFonts w:ascii="Times New Roman" w:hAnsi="Times New Roman"/>
          <w:color w:val="auto"/>
          <w:sz w:val="24"/>
          <w:szCs w:val="24"/>
        </w:rPr>
        <w:t xml:space="preserve"> rot strain 6227b (Table 1A). These rates are comparable to those reported in another study conducted under similar experimental conditions. The authors measured the incidence of wound infections caused by strains of the same fungal genus as in the current research in W systems using </w:t>
      </w:r>
      <w:proofErr w:type="spellStart"/>
      <w:r w:rsidRPr="00125A2F">
        <w:rPr>
          <w:rFonts w:ascii="Times New Roman" w:hAnsi="Times New Roman"/>
          <w:i/>
          <w:color w:val="auto"/>
          <w:sz w:val="24"/>
          <w:szCs w:val="24"/>
        </w:rPr>
        <w:t>Metschnikowia</w:t>
      </w:r>
      <w:proofErr w:type="spellEnd"/>
      <w:r w:rsidRPr="00125A2F">
        <w:rPr>
          <w:rFonts w:ascii="Times New Roman" w:hAnsi="Times New Roman"/>
          <w:i/>
          <w:color w:val="auto"/>
          <w:sz w:val="24"/>
          <w:szCs w:val="24"/>
        </w:rPr>
        <w:t xml:space="preserve"> spp</w:t>
      </w:r>
      <w:r w:rsidRPr="00125A2F">
        <w:rPr>
          <w:rFonts w:ascii="Times New Roman" w:hAnsi="Times New Roman"/>
          <w:color w:val="auto"/>
          <w:sz w:val="24"/>
          <w:szCs w:val="24"/>
        </w:rPr>
        <w:t xml:space="preserve">. strains (320), (291), and (LS15) (see Fig. 3 on p. 686 in </w:t>
      </w:r>
      <w:r w:rsidR="007627FE">
        <w:rPr>
          <w:rFonts w:ascii="Times New Roman" w:hAnsi="Times New Roman"/>
          <w:color w:val="auto"/>
          <w:sz w:val="24"/>
          <w:szCs w:val="24"/>
        </w:rPr>
        <w:t>(</w:t>
      </w:r>
      <w:r w:rsidR="007627FE" w:rsidRPr="007627FE">
        <w:rPr>
          <w:rFonts w:ascii="Times New Roman" w:hAnsi="Times New Roman"/>
          <w:color w:val="auto"/>
          <w:sz w:val="24"/>
        </w:rPr>
        <w:t>Schena et al. 2000</w:t>
      </w:r>
      <w:r w:rsidR="007627FE">
        <w:rPr>
          <w:rFonts w:ascii="Times New Roman" w:hAnsi="Times New Roman"/>
          <w:color w:val="auto"/>
          <w:sz w:val="24"/>
        </w:rPr>
        <w:t>)</w:t>
      </w:r>
      <w:r w:rsidRPr="00125A2F">
        <w:rPr>
          <w:rFonts w:ascii="Times New Roman" w:hAnsi="Times New Roman"/>
          <w:color w:val="auto"/>
          <w:sz w:val="24"/>
          <w:szCs w:val="24"/>
        </w:rPr>
        <w:t xml:space="preserve">). The percentage of gray mold wound infections ranged from 5% to 55%, while </w:t>
      </w:r>
      <w:r w:rsidRPr="00125A2F">
        <w:rPr>
          <w:rFonts w:ascii="Times New Roman" w:hAnsi="Times New Roman"/>
          <w:i/>
          <w:color w:val="auto"/>
          <w:sz w:val="24"/>
          <w:szCs w:val="24"/>
        </w:rPr>
        <w:t>Rhizopus</w:t>
      </w:r>
      <w:r w:rsidRPr="00125A2F">
        <w:rPr>
          <w:rFonts w:ascii="Times New Roman" w:hAnsi="Times New Roman"/>
          <w:color w:val="auto"/>
          <w:sz w:val="24"/>
          <w:szCs w:val="24"/>
        </w:rPr>
        <w:t xml:space="preserve"> rot infections ranged from 15% to 35%. A notable difference was observed in wound infection rates caused by the black mold pathogen; previous data reported rates of 65% to 80% </w:t>
      </w:r>
      <w:r w:rsidR="007627FE">
        <w:rPr>
          <w:rFonts w:ascii="Times New Roman" w:hAnsi="Times New Roman"/>
          <w:color w:val="auto"/>
          <w:sz w:val="24"/>
          <w:szCs w:val="24"/>
        </w:rPr>
        <w:t>(</w:t>
      </w:r>
      <w:r w:rsidR="007627FE" w:rsidRPr="007627FE">
        <w:rPr>
          <w:rFonts w:ascii="Times New Roman" w:hAnsi="Times New Roman"/>
          <w:color w:val="auto"/>
          <w:sz w:val="24"/>
        </w:rPr>
        <w:t>Schena et al. 2000</w:t>
      </w:r>
      <w:r w:rsidR="007627FE">
        <w:rPr>
          <w:rFonts w:ascii="Times New Roman" w:hAnsi="Times New Roman"/>
          <w:color w:val="auto"/>
          <w:sz w:val="24"/>
          <w:szCs w:val="24"/>
        </w:rPr>
        <w:t>)</w:t>
      </w:r>
      <w:r w:rsidRPr="00125A2F">
        <w:rPr>
          <w:rFonts w:ascii="Times New Roman" w:hAnsi="Times New Roman"/>
          <w:color w:val="auto"/>
          <w:sz w:val="24"/>
          <w:szCs w:val="24"/>
        </w:rPr>
        <w:t xml:space="preserve">, whereas our research with a different black mold pathogen strain, ATCC 6275, found a rate of only 18.3% (see Table 1A). This discrepancy is understandable, as the inhibitory effects of different yeast strains on different fungal pathogens can vary </w:t>
      </w:r>
      <w:r w:rsidR="000F3BCD">
        <w:rPr>
          <w:rFonts w:ascii="Times New Roman" w:hAnsi="Times New Roman"/>
          <w:color w:val="auto"/>
          <w:sz w:val="24"/>
          <w:szCs w:val="24"/>
        </w:rPr>
        <w:t>(</w:t>
      </w:r>
      <w:r w:rsidR="000F3BCD" w:rsidRPr="000F3BCD">
        <w:rPr>
          <w:rFonts w:ascii="Times New Roman" w:hAnsi="Times New Roman"/>
          <w:color w:val="auto"/>
          <w:sz w:val="24"/>
        </w:rPr>
        <w:t>Reyes-Bravo et al. 2021</w:t>
      </w:r>
      <w:r w:rsidR="000F3BCD">
        <w:rPr>
          <w:rFonts w:ascii="Times New Roman" w:hAnsi="Times New Roman"/>
          <w:color w:val="auto"/>
          <w:sz w:val="24"/>
          <w:szCs w:val="24"/>
        </w:rPr>
        <w:t>)</w:t>
      </w:r>
      <w:r w:rsidRPr="00125A2F">
        <w:rPr>
          <w:rFonts w:ascii="Times New Roman" w:hAnsi="Times New Roman"/>
          <w:color w:val="auto"/>
          <w:sz w:val="24"/>
          <w:szCs w:val="24"/>
        </w:rPr>
        <w:t>.</w:t>
      </w:r>
    </w:p>
    <w:p w14:paraId="4EA71E7B" w14:textId="10D712EB" w:rsidR="00BA29ED" w:rsidRPr="00125A2F" w:rsidRDefault="00BA29ED" w:rsidP="008D327D">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 xml:space="preserve">The data for </w:t>
      </w:r>
      <w:r w:rsidRPr="00125A2F">
        <w:rPr>
          <w:rFonts w:ascii="Times New Roman" w:hAnsi="Times New Roman"/>
          <w:i/>
          <w:color w:val="auto"/>
          <w:sz w:val="24"/>
          <w:szCs w:val="24"/>
        </w:rPr>
        <w:t>A. pullulans</w:t>
      </w:r>
      <w:r w:rsidRPr="00125A2F">
        <w:rPr>
          <w:rFonts w:ascii="Times New Roman" w:hAnsi="Times New Roman"/>
          <w:color w:val="auto"/>
          <w:sz w:val="24"/>
          <w:szCs w:val="24"/>
        </w:rPr>
        <w:t xml:space="preserve"> strains A11 and A13 show the following wound infection rates: gray mold strain 1032 (18.28% and 19.51%), black mold strain 6275 (30.09% and 24.24%), and </w:t>
      </w:r>
      <w:r w:rsidRPr="00125A2F">
        <w:rPr>
          <w:rFonts w:ascii="Times New Roman" w:hAnsi="Times New Roman"/>
          <w:i/>
          <w:color w:val="auto"/>
          <w:sz w:val="24"/>
          <w:szCs w:val="24"/>
        </w:rPr>
        <w:t>Rhizopus</w:t>
      </w:r>
      <w:r w:rsidRPr="00125A2F">
        <w:rPr>
          <w:rFonts w:ascii="Times New Roman" w:hAnsi="Times New Roman"/>
          <w:color w:val="auto"/>
          <w:sz w:val="24"/>
          <w:szCs w:val="24"/>
        </w:rPr>
        <w:t xml:space="preserve"> rot strain 6227b (24.20% and 26.03%) (Table 1A). Compared with another study of </w:t>
      </w:r>
      <w:r w:rsidRPr="00125A2F">
        <w:rPr>
          <w:rFonts w:ascii="Times New Roman" w:hAnsi="Times New Roman"/>
          <w:i/>
          <w:color w:val="auto"/>
          <w:sz w:val="24"/>
          <w:szCs w:val="24"/>
        </w:rPr>
        <w:t>A.</w:t>
      </w:r>
      <w:r w:rsidRPr="00125A2F">
        <w:rPr>
          <w:rFonts w:ascii="Times New Roman" w:hAnsi="Times New Roman"/>
          <w:color w:val="auto"/>
          <w:sz w:val="24"/>
          <w:szCs w:val="24"/>
        </w:rPr>
        <w:t xml:space="preserve"> </w:t>
      </w:r>
      <w:r w:rsidRPr="00125A2F">
        <w:rPr>
          <w:rFonts w:ascii="Times New Roman" w:hAnsi="Times New Roman"/>
          <w:i/>
          <w:color w:val="auto"/>
          <w:sz w:val="24"/>
          <w:szCs w:val="24"/>
        </w:rPr>
        <w:t>pullulans</w:t>
      </w:r>
      <w:r w:rsidRPr="00125A2F">
        <w:rPr>
          <w:rFonts w:ascii="Times New Roman" w:hAnsi="Times New Roman"/>
          <w:color w:val="auto"/>
          <w:sz w:val="24"/>
          <w:szCs w:val="24"/>
        </w:rPr>
        <w:t xml:space="preserve"> strains L47, LS250, and LS236, which reported black mold results ranging from 0% to 58%, our data fall within this range. Conversely, the authors reported gray mold (28% to 68%) and </w:t>
      </w:r>
      <w:r w:rsidRPr="00125A2F">
        <w:rPr>
          <w:rFonts w:ascii="Times New Roman" w:hAnsi="Times New Roman"/>
          <w:i/>
          <w:color w:val="auto"/>
          <w:sz w:val="24"/>
          <w:szCs w:val="24"/>
        </w:rPr>
        <w:t>Rhizopus</w:t>
      </w:r>
      <w:r w:rsidRPr="00125A2F">
        <w:rPr>
          <w:rFonts w:ascii="Times New Roman" w:hAnsi="Times New Roman"/>
          <w:color w:val="auto"/>
          <w:sz w:val="24"/>
          <w:szCs w:val="24"/>
        </w:rPr>
        <w:t xml:space="preserve"> rot (45% to 60%) results (see Fig. 2 on p. 194 in </w:t>
      </w:r>
      <w:r w:rsidR="0083045B">
        <w:rPr>
          <w:rFonts w:ascii="Times New Roman" w:hAnsi="Times New Roman"/>
          <w:color w:val="auto"/>
          <w:sz w:val="24"/>
          <w:szCs w:val="24"/>
        </w:rPr>
        <w:t>(</w:t>
      </w:r>
      <w:r w:rsidR="0083045B" w:rsidRPr="0083045B">
        <w:rPr>
          <w:rFonts w:ascii="Times New Roman" w:hAnsi="Times New Roman"/>
          <w:color w:val="auto"/>
          <w:sz w:val="24"/>
        </w:rPr>
        <w:t>Schena et al. 1999</w:t>
      </w:r>
      <w:r w:rsidR="0083045B">
        <w:rPr>
          <w:rFonts w:ascii="Times New Roman" w:hAnsi="Times New Roman"/>
          <w:color w:val="auto"/>
          <w:sz w:val="24"/>
          <w:szCs w:val="24"/>
        </w:rPr>
        <w:t>)</w:t>
      </w:r>
      <w:r w:rsidRPr="00125A2F">
        <w:rPr>
          <w:rFonts w:ascii="Times New Roman" w:hAnsi="Times New Roman"/>
          <w:color w:val="auto"/>
          <w:sz w:val="24"/>
          <w:szCs w:val="24"/>
        </w:rPr>
        <w:t>), which differed significantly from our data. The authors measured the incidence of wound infections caused by strains of the same fungal genus as in the current research in W systems.</w:t>
      </w:r>
    </w:p>
    <w:p w14:paraId="7C493257" w14:textId="0782CED2" w:rsidR="00BA29ED" w:rsidRPr="00125A2F" w:rsidRDefault="00BA29ED" w:rsidP="008D327D">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 xml:space="preserve">Comparison of the data from this study with those from the cited works </w:t>
      </w:r>
      <w:r w:rsidR="007627FE">
        <w:rPr>
          <w:rFonts w:ascii="Times New Roman" w:hAnsi="Times New Roman"/>
          <w:color w:val="auto"/>
          <w:sz w:val="24"/>
          <w:szCs w:val="24"/>
        </w:rPr>
        <w:t>(</w:t>
      </w:r>
      <w:r w:rsidR="007627FE" w:rsidRPr="007627FE">
        <w:rPr>
          <w:rFonts w:ascii="Times New Roman" w:hAnsi="Times New Roman"/>
          <w:color w:val="auto"/>
          <w:sz w:val="24"/>
        </w:rPr>
        <w:t xml:space="preserve">Schena et al. </w:t>
      </w:r>
      <w:r w:rsidR="0083045B">
        <w:rPr>
          <w:rFonts w:ascii="Times New Roman" w:hAnsi="Times New Roman"/>
          <w:color w:val="auto"/>
          <w:sz w:val="24"/>
        </w:rPr>
        <w:t xml:space="preserve">1999, </w:t>
      </w:r>
      <w:r w:rsidR="007627FE" w:rsidRPr="007627FE">
        <w:rPr>
          <w:rFonts w:ascii="Times New Roman" w:hAnsi="Times New Roman"/>
          <w:color w:val="auto"/>
          <w:sz w:val="24"/>
        </w:rPr>
        <w:t>2000</w:t>
      </w:r>
      <w:r w:rsidR="007627FE">
        <w:rPr>
          <w:rFonts w:ascii="Times New Roman" w:hAnsi="Times New Roman"/>
          <w:color w:val="auto"/>
          <w:sz w:val="24"/>
          <w:szCs w:val="24"/>
        </w:rPr>
        <w:t>)</w:t>
      </w:r>
      <w:r w:rsidRPr="00125A2F">
        <w:rPr>
          <w:rFonts w:ascii="Times New Roman" w:hAnsi="Times New Roman"/>
          <w:color w:val="auto"/>
          <w:sz w:val="24"/>
          <w:szCs w:val="24"/>
        </w:rPr>
        <w:t xml:space="preserve"> revealed discrepancies. Individual distinctive properties of each component of </w:t>
      </w:r>
      <w:proofErr w:type="spellStart"/>
      <w:r w:rsidRPr="00125A2F">
        <w:rPr>
          <w:rFonts w:ascii="Times New Roman" w:hAnsi="Times New Roman"/>
          <w:color w:val="auto"/>
          <w:sz w:val="24"/>
          <w:szCs w:val="24"/>
        </w:rPr>
        <w:t>tritrophic</w:t>
      </w:r>
      <w:proofErr w:type="spellEnd"/>
      <w:r w:rsidRPr="00125A2F">
        <w:rPr>
          <w:rFonts w:ascii="Times New Roman" w:hAnsi="Times New Roman"/>
          <w:color w:val="auto"/>
          <w:sz w:val="24"/>
          <w:szCs w:val="24"/>
        </w:rPr>
        <w:t xml:space="preserve"> systems may explain these differences </w:t>
      </w:r>
      <w:r w:rsidR="006D24A2">
        <w:rPr>
          <w:rFonts w:ascii="Times New Roman" w:hAnsi="Times New Roman"/>
          <w:color w:val="auto"/>
          <w:sz w:val="24"/>
          <w:szCs w:val="24"/>
        </w:rPr>
        <w:t>(</w:t>
      </w:r>
      <w:r w:rsidR="006D24A2" w:rsidRPr="006A5613">
        <w:rPr>
          <w:rFonts w:ascii="Times New Roman" w:hAnsi="Times New Roman"/>
          <w:sz w:val="24"/>
        </w:rPr>
        <w:t>Lovato et al. 2019</w:t>
      </w:r>
      <w:r w:rsidR="00946F10">
        <w:rPr>
          <w:rFonts w:ascii="Times New Roman" w:hAnsi="Times New Roman"/>
          <w:sz w:val="24"/>
        </w:rPr>
        <w:t xml:space="preserve">; </w:t>
      </w:r>
      <w:proofErr w:type="spellStart"/>
      <w:r w:rsidR="005E5A8A" w:rsidRPr="005E5A8A">
        <w:rPr>
          <w:rFonts w:ascii="Times New Roman" w:hAnsi="Times New Roman"/>
          <w:color w:val="auto"/>
          <w:sz w:val="24"/>
          <w:szCs w:val="24"/>
        </w:rPr>
        <w:t>Romanazzi</w:t>
      </w:r>
      <w:proofErr w:type="spellEnd"/>
      <w:r w:rsidR="005E5A8A" w:rsidRPr="005E5A8A">
        <w:rPr>
          <w:rFonts w:ascii="Times New Roman" w:hAnsi="Times New Roman"/>
          <w:color w:val="auto"/>
          <w:sz w:val="24"/>
          <w:szCs w:val="24"/>
        </w:rPr>
        <w:t xml:space="preserve"> et al. 2016</w:t>
      </w:r>
      <w:r w:rsidR="005E5A8A">
        <w:rPr>
          <w:rFonts w:ascii="Times New Roman" w:hAnsi="Times New Roman"/>
          <w:color w:val="auto"/>
          <w:sz w:val="24"/>
          <w:szCs w:val="24"/>
        </w:rPr>
        <w:t xml:space="preserve">; </w:t>
      </w:r>
      <w:proofErr w:type="spellStart"/>
      <w:r w:rsidR="009670C9" w:rsidRPr="009670C9">
        <w:rPr>
          <w:rFonts w:ascii="Times New Roman" w:hAnsi="Times New Roman"/>
          <w:color w:val="auto"/>
          <w:sz w:val="24"/>
          <w:szCs w:val="24"/>
        </w:rPr>
        <w:t>Rovenich</w:t>
      </w:r>
      <w:proofErr w:type="spellEnd"/>
      <w:r w:rsidR="009670C9" w:rsidRPr="009670C9">
        <w:rPr>
          <w:rFonts w:ascii="Times New Roman" w:hAnsi="Times New Roman"/>
          <w:color w:val="auto"/>
          <w:sz w:val="24"/>
          <w:szCs w:val="24"/>
        </w:rPr>
        <w:t xml:space="preserve"> et al. 2014;</w:t>
      </w:r>
      <w:r w:rsidR="009670C9">
        <w:rPr>
          <w:rFonts w:ascii="Times New Roman" w:hAnsi="Times New Roman"/>
          <w:color w:val="auto"/>
          <w:sz w:val="24"/>
        </w:rPr>
        <w:t xml:space="preserve"> </w:t>
      </w:r>
      <w:r w:rsidR="00971B31" w:rsidRPr="00971B31">
        <w:rPr>
          <w:rFonts w:ascii="Times New Roman" w:hAnsi="Times New Roman"/>
          <w:color w:val="auto"/>
          <w:sz w:val="24"/>
        </w:rPr>
        <w:t xml:space="preserve">Spadaro and </w:t>
      </w:r>
      <w:proofErr w:type="spellStart"/>
      <w:r w:rsidR="00971B31" w:rsidRPr="00971B31">
        <w:rPr>
          <w:rFonts w:ascii="Times New Roman" w:hAnsi="Times New Roman"/>
          <w:color w:val="auto"/>
          <w:sz w:val="24"/>
        </w:rPr>
        <w:t>Droby</w:t>
      </w:r>
      <w:proofErr w:type="spellEnd"/>
      <w:r w:rsidR="00971B31" w:rsidRPr="00971B31">
        <w:rPr>
          <w:rFonts w:ascii="Times New Roman" w:hAnsi="Times New Roman"/>
          <w:color w:val="auto"/>
          <w:sz w:val="24"/>
        </w:rPr>
        <w:t xml:space="preserve"> 2016</w:t>
      </w:r>
      <w:r w:rsidR="00971B31">
        <w:rPr>
          <w:rFonts w:ascii="Times New Roman" w:hAnsi="Times New Roman"/>
          <w:color w:val="auto"/>
          <w:sz w:val="24"/>
        </w:rPr>
        <w:t xml:space="preserve">; </w:t>
      </w:r>
      <w:r w:rsidR="00297CEC" w:rsidRPr="00297CEC">
        <w:rPr>
          <w:rFonts w:ascii="Times New Roman" w:hAnsi="Times New Roman"/>
          <w:color w:val="auto"/>
          <w:sz w:val="24"/>
        </w:rPr>
        <w:t>Tian et al. 2016</w:t>
      </w:r>
      <w:r w:rsidR="00297CEC">
        <w:rPr>
          <w:rFonts w:ascii="Times New Roman" w:hAnsi="Times New Roman"/>
          <w:color w:val="auto"/>
          <w:sz w:val="24"/>
        </w:rPr>
        <w:t xml:space="preserve">; </w:t>
      </w:r>
      <w:proofErr w:type="spellStart"/>
      <w:r w:rsidR="00946F10" w:rsidRPr="00946F10">
        <w:rPr>
          <w:rFonts w:ascii="Times New Roman" w:hAnsi="Times New Roman"/>
          <w:color w:val="auto"/>
          <w:sz w:val="24"/>
        </w:rPr>
        <w:t>Tziros</w:t>
      </w:r>
      <w:proofErr w:type="spellEnd"/>
      <w:r w:rsidR="00946F10" w:rsidRPr="00946F10">
        <w:rPr>
          <w:rFonts w:ascii="Times New Roman" w:hAnsi="Times New Roman"/>
          <w:color w:val="auto"/>
          <w:sz w:val="24"/>
        </w:rPr>
        <w:t xml:space="preserve"> et al. 2022</w:t>
      </w:r>
      <w:r w:rsidR="004B507B">
        <w:rPr>
          <w:rFonts w:ascii="Times New Roman" w:hAnsi="Times New Roman"/>
          <w:color w:val="auto"/>
          <w:sz w:val="24"/>
        </w:rPr>
        <w:t xml:space="preserve">; </w:t>
      </w:r>
      <w:r w:rsidR="004B507B" w:rsidRPr="004B507B">
        <w:rPr>
          <w:rFonts w:ascii="Times New Roman" w:hAnsi="Times New Roman"/>
          <w:color w:val="auto"/>
          <w:sz w:val="24"/>
        </w:rPr>
        <w:t>Zhang et al. 2020b</w:t>
      </w:r>
      <w:r w:rsidR="006D24A2">
        <w:rPr>
          <w:rFonts w:ascii="Times New Roman" w:hAnsi="Times New Roman"/>
          <w:color w:val="auto"/>
          <w:sz w:val="24"/>
          <w:szCs w:val="24"/>
        </w:rPr>
        <w:t>)</w:t>
      </w:r>
      <w:r w:rsidRPr="00125A2F">
        <w:rPr>
          <w:rFonts w:ascii="Times New Roman" w:hAnsi="Times New Roman"/>
          <w:color w:val="auto"/>
          <w:sz w:val="24"/>
          <w:szCs w:val="24"/>
        </w:rPr>
        <w:t>.</w:t>
      </w:r>
    </w:p>
    <w:p w14:paraId="1F1D35C2" w14:textId="77777777" w:rsidR="00BA29ED" w:rsidRPr="00125A2F" w:rsidRDefault="00BA29ED" w:rsidP="008D327D">
      <w:pPr>
        <w:pStyle w:val="MDPI31text"/>
        <w:spacing w:line="360" w:lineRule="auto"/>
        <w:ind w:left="0" w:firstLine="567"/>
        <w:rPr>
          <w:rFonts w:ascii="Times New Roman" w:hAnsi="Times New Roman"/>
          <w:color w:val="auto"/>
          <w:sz w:val="24"/>
          <w:szCs w:val="24"/>
        </w:rPr>
      </w:pPr>
    </w:p>
    <w:p w14:paraId="3EA41A95" w14:textId="21A243AA" w:rsidR="00BA29ED" w:rsidRPr="008D327D" w:rsidRDefault="00BA29ED" w:rsidP="008D327D">
      <w:pPr>
        <w:pStyle w:val="MDPI31text"/>
        <w:numPr>
          <w:ilvl w:val="1"/>
          <w:numId w:val="30"/>
        </w:numPr>
        <w:tabs>
          <w:tab w:val="left" w:pos="567"/>
        </w:tabs>
        <w:spacing w:line="360" w:lineRule="auto"/>
        <w:ind w:left="0" w:firstLine="0"/>
        <w:rPr>
          <w:rFonts w:ascii="Times New Roman" w:hAnsi="Times New Roman"/>
          <w:b/>
          <w:color w:val="auto"/>
          <w:sz w:val="24"/>
          <w:szCs w:val="24"/>
        </w:rPr>
      </w:pPr>
      <w:r w:rsidRPr="008D327D">
        <w:rPr>
          <w:rFonts w:ascii="Times New Roman" w:hAnsi="Times New Roman"/>
          <w:b/>
          <w:i/>
          <w:color w:val="auto"/>
          <w:sz w:val="24"/>
          <w:szCs w:val="24"/>
        </w:rPr>
        <w:t>In Vivo</w:t>
      </w:r>
      <w:r w:rsidRPr="008D327D">
        <w:rPr>
          <w:rFonts w:ascii="Times New Roman" w:hAnsi="Times New Roman"/>
          <w:b/>
          <w:color w:val="auto"/>
          <w:sz w:val="24"/>
          <w:szCs w:val="24"/>
        </w:rPr>
        <w:t xml:space="preserve"> Screening of Antagonistic Yeast Strains for the Percentage of Infected Berries in Grape Bunches within the B Systems</w:t>
      </w:r>
    </w:p>
    <w:p w14:paraId="389CAE6E" w14:textId="77777777" w:rsidR="00BA29ED" w:rsidRPr="00125A2F" w:rsidRDefault="00BA29ED" w:rsidP="008D327D">
      <w:pPr>
        <w:pStyle w:val="MDPI31text"/>
        <w:spacing w:line="360" w:lineRule="auto"/>
        <w:ind w:left="0" w:firstLine="567"/>
        <w:rPr>
          <w:rFonts w:ascii="Times New Roman" w:hAnsi="Times New Roman"/>
          <w:color w:val="auto"/>
          <w:sz w:val="24"/>
          <w:szCs w:val="24"/>
        </w:rPr>
      </w:pPr>
      <w:proofErr w:type="spellStart"/>
      <w:r w:rsidRPr="00125A2F">
        <w:rPr>
          <w:rFonts w:ascii="Times New Roman" w:hAnsi="Times New Roman"/>
          <w:color w:val="auto"/>
          <w:sz w:val="24"/>
          <w:szCs w:val="24"/>
        </w:rPr>
        <w:t>Tritrophic</w:t>
      </w:r>
      <w:proofErr w:type="spellEnd"/>
      <w:r w:rsidRPr="00125A2F">
        <w:rPr>
          <w:rFonts w:ascii="Times New Roman" w:hAnsi="Times New Roman"/>
          <w:color w:val="auto"/>
          <w:sz w:val="24"/>
          <w:szCs w:val="24"/>
        </w:rPr>
        <w:t xml:space="preserve"> system B (see paragraph 2.9), which represents the microenvironment of unwounded grape berries arranged in bunches, exhibits significant nutrient deficiencies relative to system W. This difference in nutrient availability suggests that microenvironmental conditions in system B are likely more stressful for the organisms involved. These deficiencies may stem from interactions within the ecosystem, such as limited access to vital resources or </w:t>
      </w:r>
      <w:r w:rsidRPr="00125A2F">
        <w:rPr>
          <w:rFonts w:ascii="Times New Roman" w:hAnsi="Times New Roman"/>
          <w:color w:val="auto"/>
          <w:sz w:val="24"/>
          <w:szCs w:val="24"/>
        </w:rPr>
        <w:lastRenderedPageBreak/>
        <w:t>adverse factors that impede nutrient uptake and utilization. As a result, organisms in this microenvironment may face greater challenges in survival and growth, underscoring the imbalance within this ecological niche.</w:t>
      </w:r>
    </w:p>
    <w:p w14:paraId="6DDC85CE" w14:textId="77777777" w:rsidR="00BA29ED" w:rsidRPr="00125A2F" w:rsidRDefault="00BA29ED" w:rsidP="008D327D">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 xml:space="preserve">The selection of local epiphytic yeast strains with biological control properties continued with </w:t>
      </w:r>
      <w:r w:rsidRPr="00125A2F">
        <w:rPr>
          <w:rFonts w:ascii="Times New Roman" w:hAnsi="Times New Roman"/>
          <w:i/>
          <w:color w:val="auto"/>
          <w:sz w:val="24"/>
          <w:szCs w:val="24"/>
        </w:rPr>
        <w:t>in vivo</w:t>
      </w:r>
      <w:r w:rsidRPr="00125A2F">
        <w:rPr>
          <w:rFonts w:ascii="Times New Roman" w:hAnsi="Times New Roman"/>
          <w:color w:val="auto"/>
          <w:sz w:val="24"/>
          <w:szCs w:val="24"/>
        </w:rPr>
        <w:t xml:space="preserve"> screening of five highly effective antagonistic yeast strains selected in the previous step of the work in the W systems (Table 1A). We measured the percentage of infected berries within grape bunches in model </w:t>
      </w:r>
      <w:proofErr w:type="spellStart"/>
      <w:r w:rsidRPr="00125A2F">
        <w:rPr>
          <w:rFonts w:ascii="Times New Roman" w:hAnsi="Times New Roman"/>
          <w:color w:val="auto"/>
          <w:sz w:val="24"/>
          <w:szCs w:val="24"/>
        </w:rPr>
        <w:t>tritrophic</w:t>
      </w:r>
      <w:proofErr w:type="spellEnd"/>
      <w:r w:rsidRPr="00125A2F">
        <w:rPr>
          <w:rFonts w:ascii="Times New Roman" w:hAnsi="Times New Roman"/>
          <w:color w:val="auto"/>
          <w:sz w:val="24"/>
          <w:szCs w:val="24"/>
        </w:rPr>
        <w:t xml:space="preserve"> postharvest B systems (Table 2A).</w:t>
      </w:r>
    </w:p>
    <w:p w14:paraId="4006137E" w14:textId="77777777" w:rsidR="00BA29ED" w:rsidRPr="00125A2F" w:rsidRDefault="00BA29ED" w:rsidP="008D327D">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Among the five strains of antagonistic yeasts studied, three—</w:t>
      </w:r>
      <w:r w:rsidRPr="00125A2F">
        <w:rPr>
          <w:rFonts w:ascii="Times New Roman" w:hAnsi="Times New Roman"/>
          <w:i/>
          <w:color w:val="auto"/>
          <w:sz w:val="24"/>
          <w:szCs w:val="24"/>
        </w:rPr>
        <w:t>M. pulcherrima</w:t>
      </w:r>
      <w:r w:rsidRPr="00125A2F">
        <w:rPr>
          <w:rFonts w:ascii="Times New Roman" w:hAnsi="Times New Roman"/>
          <w:color w:val="auto"/>
          <w:sz w:val="24"/>
          <w:szCs w:val="24"/>
        </w:rPr>
        <w:t xml:space="preserve"> (A2</w:t>
      </w:r>
      <w:r w:rsidRPr="00125A2F">
        <w:rPr>
          <w:rFonts w:ascii="Times New Roman" w:hAnsi="Times New Roman"/>
          <w:i/>
          <w:color w:val="auto"/>
          <w:sz w:val="24"/>
          <w:szCs w:val="24"/>
        </w:rPr>
        <w:t xml:space="preserve">), H. </w:t>
      </w:r>
      <w:proofErr w:type="spellStart"/>
      <w:r w:rsidRPr="00125A2F">
        <w:rPr>
          <w:rFonts w:ascii="Times New Roman" w:hAnsi="Times New Roman"/>
          <w:i/>
          <w:color w:val="auto"/>
          <w:sz w:val="24"/>
          <w:szCs w:val="24"/>
        </w:rPr>
        <w:t>uvarum</w:t>
      </w:r>
      <w:proofErr w:type="spellEnd"/>
      <w:r w:rsidRPr="00125A2F">
        <w:rPr>
          <w:rFonts w:ascii="Times New Roman" w:hAnsi="Times New Roman"/>
          <w:color w:val="auto"/>
          <w:sz w:val="24"/>
          <w:szCs w:val="24"/>
        </w:rPr>
        <w:t xml:space="preserve"> (HU15), and </w:t>
      </w:r>
      <w:r w:rsidRPr="00125A2F">
        <w:rPr>
          <w:rFonts w:ascii="Times New Roman" w:hAnsi="Times New Roman"/>
          <w:i/>
          <w:color w:val="auto"/>
          <w:sz w:val="24"/>
          <w:szCs w:val="24"/>
        </w:rPr>
        <w:t xml:space="preserve">C. </w:t>
      </w:r>
      <w:proofErr w:type="spellStart"/>
      <w:r w:rsidRPr="00125A2F">
        <w:rPr>
          <w:rFonts w:ascii="Times New Roman" w:hAnsi="Times New Roman"/>
          <w:i/>
          <w:color w:val="auto"/>
          <w:sz w:val="24"/>
          <w:szCs w:val="24"/>
        </w:rPr>
        <w:t>lusitaniae</w:t>
      </w:r>
      <w:proofErr w:type="spellEnd"/>
      <w:r w:rsidRPr="00125A2F">
        <w:rPr>
          <w:rFonts w:ascii="Times New Roman" w:hAnsi="Times New Roman"/>
          <w:color w:val="auto"/>
          <w:sz w:val="24"/>
          <w:szCs w:val="24"/>
        </w:rPr>
        <w:t xml:space="preserve"> (CL03)—exhibited a significantly strong inhibitory effect on gray mold growth in the B systems (P &lt; 0.01). Additionally, two strains, </w:t>
      </w:r>
      <w:r w:rsidRPr="00125A2F">
        <w:rPr>
          <w:rFonts w:ascii="Times New Roman" w:hAnsi="Times New Roman"/>
          <w:i/>
          <w:color w:val="auto"/>
          <w:sz w:val="24"/>
          <w:szCs w:val="24"/>
        </w:rPr>
        <w:t>M. pulcherrima</w:t>
      </w:r>
      <w:r w:rsidRPr="00125A2F">
        <w:rPr>
          <w:rFonts w:ascii="Times New Roman" w:hAnsi="Times New Roman"/>
          <w:color w:val="auto"/>
          <w:sz w:val="24"/>
          <w:szCs w:val="24"/>
        </w:rPr>
        <w:t xml:space="preserve"> (A2) and </w:t>
      </w:r>
      <w:r w:rsidRPr="00125A2F">
        <w:rPr>
          <w:rFonts w:ascii="Times New Roman" w:hAnsi="Times New Roman"/>
          <w:i/>
          <w:color w:val="auto"/>
          <w:sz w:val="24"/>
          <w:szCs w:val="24"/>
        </w:rPr>
        <w:t xml:space="preserve">H. </w:t>
      </w:r>
      <w:proofErr w:type="spellStart"/>
      <w:r w:rsidRPr="00125A2F">
        <w:rPr>
          <w:rFonts w:ascii="Times New Roman" w:hAnsi="Times New Roman"/>
          <w:i/>
          <w:color w:val="auto"/>
          <w:sz w:val="24"/>
          <w:szCs w:val="24"/>
        </w:rPr>
        <w:t>uvarum</w:t>
      </w:r>
      <w:proofErr w:type="spellEnd"/>
      <w:r w:rsidRPr="00125A2F">
        <w:rPr>
          <w:rFonts w:ascii="Times New Roman" w:hAnsi="Times New Roman"/>
          <w:color w:val="auto"/>
          <w:sz w:val="24"/>
          <w:szCs w:val="24"/>
        </w:rPr>
        <w:t xml:space="preserve"> (HU15), showed a notably strong inhibitory effect on black mold (P &lt; 0.05) and </w:t>
      </w:r>
      <w:r w:rsidRPr="00125A2F">
        <w:rPr>
          <w:rFonts w:ascii="Times New Roman" w:hAnsi="Times New Roman"/>
          <w:i/>
          <w:color w:val="auto"/>
          <w:sz w:val="24"/>
          <w:szCs w:val="24"/>
        </w:rPr>
        <w:t>Rhizopus</w:t>
      </w:r>
      <w:r w:rsidRPr="00125A2F">
        <w:rPr>
          <w:rFonts w:ascii="Times New Roman" w:hAnsi="Times New Roman"/>
          <w:color w:val="auto"/>
          <w:sz w:val="24"/>
          <w:szCs w:val="24"/>
        </w:rPr>
        <w:t xml:space="preserve"> rot (P &lt; 0.01) in the B systems (Table 2A).</w:t>
      </w:r>
    </w:p>
    <w:p w14:paraId="442692BA" w14:textId="7536DF4B" w:rsidR="00BA29ED" w:rsidRPr="00125A2F" w:rsidRDefault="00BA29ED" w:rsidP="008D327D">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 xml:space="preserve">The control variants (Table 2A) illustrate the </w:t>
      </w:r>
      <w:proofErr w:type="spellStart"/>
      <w:r w:rsidRPr="00125A2F">
        <w:rPr>
          <w:rFonts w:ascii="Times New Roman" w:hAnsi="Times New Roman"/>
          <w:color w:val="auto"/>
          <w:sz w:val="24"/>
          <w:szCs w:val="24"/>
        </w:rPr>
        <w:t>bitrophic</w:t>
      </w:r>
      <w:proofErr w:type="spellEnd"/>
      <w:r w:rsidRPr="00125A2F">
        <w:rPr>
          <w:rFonts w:ascii="Times New Roman" w:hAnsi="Times New Roman"/>
          <w:color w:val="auto"/>
          <w:sz w:val="24"/>
          <w:szCs w:val="24"/>
        </w:rPr>
        <w:t xml:space="preserve"> interactions between the host and pathogens, including those causing gray and black mold and </w:t>
      </w:r>
      <w:r w:rsidRPr="00125A2F">
        <w:rPr>
          <w:rFonts w:ascii="Times New Roman" w:hAnsi="Times New Roman"/>
          <w:i/>
          <w:color w:val="auto"/>
          <w:sz w:val="24"/>
          <w:szCs w:val="24"/>
        </w:rPr>
        <w:t>Rhizopus</w:t>
      </w:r>
      <w:r w:rsidRPr="00125A2F">
        <w:rPr>
          <w:rFonts w:ascii="Times New Roman" w:hAnsi="Times New Roman"/>
          <w:color w:val="auto"/>
          <w:sz w:val="24"/>
          <w:szCs w:val="24"/>
        </w:rPr>
        <w:t xml:space="preserve"> rot. The percentages of infected berries in grape bunches highlight these interactions and the host's internal resistance to the pathogens </w:t>
      </w:r>
      <w:r w:rsidR="00297CEC">
        <w:rPr>
          <w:rFonts w:ascii="Times New Roman" w:hAnsi="Times New Roman"/>
          <w:color w:val="auto"/>
          <w:sz w:val="24"/>
          <w:szCs w:val="24"/>
        </w:rPr>
        <w:t>(</w:t>
      </w:r>
      <w:r w:rsidR="00297CEC" w:rsidRPr="00297CEC">
        <w:rPr>
          <w:rFonts w:ascii="Times New Roman" w:hAnsi="Times New Roman"/>
          <w:color w:val="auto"/>
          <w:sz w:val="24"/>
        </w:rPr>
        <w:t>Tian et al. 2016</w:t>
      </w:r>
      <w:r w:rsidR="00297CEC">
        <w:rPr>
          <w:rFonts w:ascii="Times New Roman" w:hAnsi="Times New Roman"/>
          <w:color w:val="auto"/>
          <w:sz w:val="24"/>
          <w:szCs w:val="24"/>
        </w:rPr>
        <w:t>)</w:t>
      </w:r>
      <w:r w:rsidRPr="00125A2F">
        <w:rPr>
          <w:rFonts w:ascii="Times New Roman" w:hAnsi="Times New Roman"/>
          <w:color w:val="auto"/>
          <w:sz w:val="24"/>
          <w:szCs w:val="24"/>
        </w:rPr>
        <w:t>.</w:t>
      </w:r>
    </w:p>
    <w:p w14:paraId="16D7CE20" w14:textId="42251ED0" w:rsidR="00BA29ED" w:rsidRPr="00125A2F" w:rsidRDefault="00BA29ED" w:rsidP="008D327D">
      <w:pPr>
        <w:pStyle w:val="MDPI31text"/>
        <w:spacing w:line="360" w:lineRule="auto"/>
        <w:ind w:left="0" w:firstLine="567"/>
        <w:rPr>
          <w:rFonts w:ascii="Times New Roman" w:hAnsi="Times New Roman"/>
          <w:color w:val="auto"/>
          <w:sz w:val="24"/>
          <w:szCs w:val="24"/>
        </w:rPr>
      </w:pPr>
      <w:r w:rsidRPr="00125A2F">
        <w:rPr>
          <w:rFonts w:ascii="Times New Roman" w:hAnsi="Times New Roman"/>
          <w:i/>
          <w:color w:val="auto"/>
          <w:sz w:val="24"/>
          <w:szCs w:val="24"/>
        </w:rPr>
        <w:t xml:space="preserve">C. </w:t>
      </w:r>
      <w:proofErr w:type="spellStart"/>
      <w:r w:rsidRPr="00125A2F">
        <w:rPr>
          <w:rFonts w:ascii="Times New Roman" w:hAnsi="Times New Roman"/>
          <w:i/>
          <w:color w:val="auto"/>
          <w:sz w:val="24"/>
          <w:szCs w:val="24"/>
        </w:rPr>
        <w:t>lusitaniae</w:t>
      </w:r>
      <w:proofErr w:type="spellEnd"/>
      <w:r w:rsidRPr="00125A2F">
        <w:rPr>
          <w:rFonts w:ascii="Times New Roman" w:hAnsi="Times New Roman"/>
          <w:i/>
          <w:color w:val="auto"/>
          <w:sz w:val="24"/>
          <w:szCs w:val="24"/>
        </w:rPr>
        <w:t xml:space="preserve"> </w:t>
      </w:r>
      <w:r w:rsidRPr="00125A2F">
        <w:rPr>
          <w:rFonts w:ascii="Times New Roman" w:hAnsi="Times New Roman"/>
          <w:color w:val="auto"/>
          <w:sz w:val="24"/>
          <w:szCs w:val="24"/>
        </w:rPr>
        <w:t>(CL03) is a strain that requires careful handling. We aimed to identify safe, natural yeasts suitable for the human food chain.</w:t>
      </w:r>
      <w:r w:rsidRPr="00125A2F">
        <w:rPr>
          <w:rFonts w:ascii="Times New Roman" w:hAnsi="Times New Roman"/>
          <w:i/>
          <w:color w:val="auto"/>
          <w:sz w:val="24"/>
          <w:szCs w:val="24"/>
        </w:rPr>
        <w:t xml:space="preserve"> C. </w:t>
      </w:r>
      <w:proofErr w:type="spellStart"/>
      <w:r w:rsidRPr="00125A2F">
        <w:rPr>
          <w:rFonts w:ascii="Times New Roman" w:hAnsi="Times New Roman"/>
          <w:i/>
          <w:color w:val="auto"/>
          <w:sz w:val="24"/>
          <w:szCs w:val="24"/>
        </w:rPr>
        <w:t>lusitaniae</w:t>
      </w:r>
      <w:proofErr w:type="spellEnd"/>
      <w:r w:rsidRPr="00125A2F">
        <w:rPr>
          <w:rFonts w:ascii="Times New Roman" w:hAnsi="Times New Roman"/>
          <w:i/>
          <w:color w:val="auto"/>
          <w:sz w:val="24"/>
          <w:szCs w:val="24"/>
        </w:rPr>
        <w:t xml:space="preserve"> </w:t>
      </w:r>
      <w:r w:rsidRPr="00125A2F">
        <w:rPr>
          <w:rFonts w:ascii="Times New Roman" w:hAnsi="Times New Roman"/>
          <w:color w:val="auto"/>
          <w:sz w:val="24"/>
          <w:szCs w:val="24"/>
        </w:rPr>
        <w:t xml:space="preserve">has become an opportunistic pathogen, primarily affecting immunocompromised patients with underlying health conditions, with a mortality rate from </w:t>
      </w:r>
      <w:r w:rsidRPr="00125A2F">
        <w:rPr>
          <w:rFonts w:ascii="Times New Roman" w:hAnsi="Times New Roman"/>
          <w:i/>
          <w:color w:val="auto"/>
          <w:sz w:val="24"/>
          <w:szCs w:val="24"/>
        </w:rPr>
        <w:t xml:space="preserve">C. </w:t>
      </w:r>
      <w:proofErr w:type="spellStart"/>
      <w:r w:rsidRPr="00125A2F">
        <w:rPr>
          <w:rFonts w:ascii="Times New Roman" w:hAnsi="Times New Roman"/>
          <w:i/>
          <w:color w:val="auto"/>
          <w:sz w:val="24"/>
          <w:szCs w:val="24"/>
        </w:rPr>
        <w:t>lusitaniae</w:t>
      </w:r>
      <w:proofErr w:type="spellEnd"/>
      <w:r w:rsidRPr="00125A2F">
        <w:rPr>
          <w:rFonts w:ascii="Times New Roman" w:hAnsi="Times New Roman"/>
          <w:i/>
          <w:color w:val="auto"/>
          <w:sz w:val="24"/>
          <w:szCs w:val="24"/>
        </w:rPr>
        <w:t xml:space="preserve"> </w:t>
      </w:r>
      <w:r w:rsidRPr="00125A2F">
        <w:rPr>
          <w:rFonts w:ascii="Times New Roman" w:hAnsi="Times New Roman"/>
          <w:color w:val="auto"/>
          <w:sz w:val="24"/>
          <w:szCs w:val="24"/>
        </w:rPr>
        <w:t xml:space="preserve">candidemia of less than 5%. However, some isolates have shown resistance to antifungal drugs, including amphotericin B, 5-fluorocytosine, and fluconazole </w:t>
      </w:r>
      <w:r w:rsidR="009B6EEA">
        <w:rPr>
          <w:rFonts w:ascii="Times New Roman" w:hAnsi="Times New Roman"/>
          <w:color w:val="auto"/>
          <w:sz w:val="24"/>
          <w:szCs w:val="24"/>
        </w:rPr>
        <w:t>(</w:t>
      </w:r>
      <w:r w:rsidR="009B6EEA" w:rsidRPr="009B6EEA">
        <w:rPr>
          <w:rFonts w:ascii="Times New Roman" w:hAnsi="Times New Roman"/>
          <w:color w:val="auto"/>
          <w:sz w:val="24"/>
        </w:rPr>
        <w:t>Mendoza-Reyes et al. 2022</w:t>
      </w:r>
      <w:r w:rsidR="009B6EEA">
        <w:rPr>
          <w:rFonts w:ascii="Times New Roman" w:hAnsi="Times New Roman"/>
          <w:color w:val="auto"/>
          <w:sz w:val="24"/>
          <w:szCs w:val="24"/>
        </w:rPr>
        <w:t>)</w:t>
      </w:r>
      <w:r w:rsidRPr="00125A2F">
        <w:rPr>
          <w:rFonts w:ascii="Times New Roman" w:hAnsi="Times New Roman"/>
          <w:color w:val="auto"/>
          <w:sz w:val="24"/>
          <w:szCs w:val="24"/>
        </w:rPr>
        <w:t>. Therefore, we do not consider CL03 a promising yeast antagonist for the biological protection of grape crops.</w:t>
      </w:r>
    </w:p>
    <w:p w14:paraId="700B7252" w14:textId="5AA0D48E" w:rsidR="00BA29ED" w:rsidRPr="00125A2F" w:rsidRDefault="00BA29ED" w:rsidP="008D327D">
      <w:pPr>
        <w:pStyle w:val="MDPI31text"/>
        <w:spacing w:line="360" w:lineRule="auto"/>
        <w:ind w:left="0" w:firstLine="567"/>
        <w:rPr>
          <w:rFonts w:ascii="Times New Roman" w:hAnsi="Times New Roman"/>
          <w:color w:val="auto"/>
          <w:sz w:val="24"/>
          <w:szCs w:val="24"/>
          <w:lang w:val="kk-KZ"/>
        </w:rPr>
      </w:pPr>
      <w:r w:rsidRPr="00125A2F">
        <w:rPr>
          <w:rFonts w:ascii="Times New Roman" w:hAnsi="Times New Roman"/>
          <w:color w:val="auto"/>
          <w:sz w:val="24"/>
          <w:szCs w:val="24"/>
        </w:rPr>
        <w:t xml:space="preserve">We examined the role of antagonistic yeast strains—A2, HU15, AP11, and AP13—in the biocontrol efficacy of B systems, comparing our findings with existing studies </w:t>
      </w:r>
      <w:r w:rsidR="007627FE">
        <w:rPr>
          <w:rFonts w:ascii="Times New Roman" w:hAnsi="Times New Roman"/>
          <w:color w:val="auto"/>
          <w:sz w:val="24"/>
          <w:szCs w:val="24"/>
        </w:rPr>
        <w:t>(</w:t>
      </w:r>
      <w:r w:rsidR="009670C9" w:rsidRPr="009670C9">
        <w:rPr>
          <w:rFonts w:ascii="Times New Roman" w:hAnsi="Times New Roman"/>
          <w:color w:val="auto"/>
          <w:sz w:val="24"/>
          <w:szCs w:val="24"/>
        </w:rPr>
        <w:t>Liu et al. 2010</w:t>
      </w:r>
      <w:r w:rsidR="009670C9">
        <w:rPr>
          <w:rFonts w:ascii="Times New Roman" w:hAnsi="Times New Roman"/>
          <w:color w:val="auto"/>
          <w:sz w:val="24"/>
        </w:rPr>
        <w:t xml:space="preserve">; </w:t>
      </w:r>
      <w:r w:rsidR="007627FE" w:rsidRPr="007627FE">
        <w:rPr>
          <w:rFonts w:ascii="Times New Roman" w:hAnsi="Times New Roman"/>
          <w:color w:val="auto"/>
          <w:sz w:val="24"/>
        </w:rPr>
        <w:t xml:space="preserve">Schena et al. </w:t>
      </w:r>
      <w:r w:rsidR="0083045B">
        <w:rPr>
          <w:rFonts w:ascii="Times New Roman" w:hAnsi="Times New Roman"/>
          <w:color w:val="auto"/>
          <w:sz w:val="24"/>
        </w:rPr>
        <w:t xml:space="preserve">1999, </w:t>
      </w:r>
      <w:r w:rsidR="007627FE" w:rsidRPr="007627FE">
        <w:rPr>
          <w:rFonts w:ascii="Times New Roman" w:hAnsi="Times New Roman"/>
          <w:color w:val="auto"/>
          <w:sz w:val="24"/>
        </w:rPr>
        <w:t>2000</w:t>
      </w:r>
      <w:r w:rsidR="007627FE">
        <w:rPr>
          <w:rFonts w:ascii="Times New Roman" w:hAnsi="Times New Roman"/>
          <w:color w:val="auto"/>
          <w:sz w:val="24"/>
          <w:szCs w:val="24"/>
        </w:rPr>
        <w:t>)</w:t>
      </w:r>
      <w:r w:rsidRPr="00125A2F">
        <w:rPr>
          <w:rFonts w:ascii="Times New Roman" w:hAnsi="Times New Roman"/>
          <w:color w:val="auto"/>
          <w:sz w:val="24"/>
          <w:szCs w:val="24"/>
        </w:rPr>
        <w:t xml:space="preserve">. In a referenced study, the authors evaluated the biocontrol efficacy of B systems using </w:t>
      </w:r>
      <w:proofErr w:type="spellStart"/>
      <w:r w:rsidRPr="00125A2F">
        <w:rPr>
          <w:rFonts w:ascii="Times New Roman" w:hAnsi="Times New Roman"/>
          <w:i/>
          <w:color w:val="auto"/>
          <w:sz w:val="24"/>
          <w:szCs w:val="24"/>
        </w:rPr>
        <w:t>Metschnikowia</w:t>
      </w:r>
      <w:proofErr w:type="spellEnd"/>
      <w:r w:rsidRPr="00125A2F">
        <w:rPr>
          <w:rFonts w:ascii="Times New Roman" w:hAnsi="Times New Roman"/>
          <w:i/>
          <w:color w:val="auto"/>
          <w:sz w:val="24"/>
          <w:szCs w:val="24"/>
        </w:rPr>
        <w:t xml:space="preserve"> spp.</w:t>
      </w:r>
      <w:r w:rsidRPr="00125A2F">
        <w:rPr>
          <w:rFonts w:ascii="Times New Roman" w:hAnsi="Times New Roman"/>
          <w:color w:val="auto"/>
          <w:sz w:val="24"/>
          <w:szCs w:val="24"/>
        </w:rPr>
        <w:t xml:space="preserve"> strains LS15, 291, and 320 against the same genera of 3 fungal pathogens we studied </w:t>
      </w:r>
      <w:r w:rsidR="007627FE">
        <w:rPr>
          <w:rFonts w:ascii="Times New Roman" w:hAnsi="Times New Roman"/>
          <w:color w:val="auto"/>
          <w:sz w:val="24"/>
          <w:szCs w:val="24"/>
        </w:rPr>
        <w:t>(</w:t>
      </w:r>
      <w:r w:rsidR="007627FE" w:rsidRPr="007627FE">
        <w:rPr>
          <w:rFonts w:ascii="Times New Roman" w:hAnsi="Times New Roman"/>
          <w:color w:val="auto"/>
          <w:sz w:val="24"/>
        </w:rPr>
        <w:t>Schena et al. 2000</w:t>
      </w:r>
      <w:r w:rsidR="007627FE">
        <w:rPr>
          <w:rFonts w:ascii="Times New Roman" w:hAnsi="Times New Roman"/>
          <w:color w:val="auto"/>
          <w:sz w:val="24"/>
          <w:szCs w:val="24"/>
        </w:rPr>
        <w:t>)</w:t>
      </w:r>
      <w:r w:rsidRPr="00125A2F">
        <w:rPr>
          <w:rFonts w:ascii="Times New Roman" w:hAnsi="Times New Roman"/>
          <w:color w:val="auto"/>
          <w:sz w:val="24"/>
          <w:szCs w:val="24"/>
        </w:rPr>
        <w:t>. The highest biocontrol efficacy was approximately 58% for BEB (</w:t>
      </w:r>
      <w:proofErr w:type="spellStart"/>
      <w:r w:rsidRPr="00125A2F">
        <w:rPr>
          <w:rFonts w:ascii="Times New Roman" w:hAnsi="Times New Roman"/>
          <w:color w:val="auto"/>
          <w:sz w:val="24"/>
          <w:szCs w:val="24"/>
        </w:rPr>
        <w:t>cin</w:t>
      </w:r>
      <w:proofErr w:type="spellEnd"/>
      <w:r w:rsidRPr="00125A2F">
        <w:rPr>
          <w:rFonts w:ascii="Times New Roman" w:hAnsi="Times New Roman"/>
          <w:color w:val="auto"/>
          <w:sz w:val="24"/>
          <w:szCs w:val="24"/>
        </w:rPr>
        <w:t>) (strain 291), about 58% for BEB (nig) (strain 320), and around 78% for BEB (</w:t>
      </w:r>
      <w:proofErr w:type="spellStart"/>
      <w:r w:rsidRPr="00125A2F">
        <w:rPr>
          <w:rFonts w:ascii="Times New Roman" w:hAnsi="Times New Roman"/>
          <w:color w:val="auto"/>
          <w:sz w:val="24"/>
          <w:szCs w:val="24"/>
        </w:rPr>
        <w:t>st</w:t>
      </w:r>
      <w:proofErr w:type="spellEnd"/>
      <w:r w:rsidRPr="00125A2F">
        <w:rPr>
          <w:rFonts w:ascii="Times New Roman" w:hAnsi="Times New Roman"/>
          <w:color w:val="auto"/>
          <w:sz w:val="24"/>
          <w:szCs w:val="24"/>
        </w:rPr>
        <w:t xml:space="preserve">) (strain 320) (see Fig. 6 on p. 688 in </w:t>
      </w:r>
      <w:r w:rsidR="007627FE">
        <w:rPr>
          <w:rFonts w:ascii="Times New Roman" w:hAnsi="Times New Roman"/>
          <w:color w:val="auto"/>
          <w:sz w:val="24"/>
          <w:szCs w:val="24"/>
        </w:rPr>
        <w:t>(</w:t>
      </w:r>
      <w:r w:rsidR="007627FE" w:rsidRPr="007627FE">
        <w:rPr>
          <w:rFonts w:ascii="Times New Roman" w:hAnsi="Times New Roman"/>
          <w:color w:val="auto"/>
          <w:sz w:val="24"/>
        </w:rPr>
        <w:t>Schena et al. 2000</w:t>
      </w:r>
      <w:r w:rsidR="007627FE">
        <w:rPr>
          <w:rFonts w:ascii="Times New Roman" w:hAnsi="Times New Roman"/>
          <w:color w:val="auto"/>
          <w:sz w:val="24"/>
          <w:szCs w:val="24"/>
        </w:rPr>
        <w:t>)</w:t>
      </w:r>
      <w:r w:rsidRPr="00125A2F">
        <w:rPr>
          <w:rFonts w:ascii="Times New Roman" w:hAnsi="Times New Roman"/>
          <w:color w:val="auto"/>
          <w:sz w:val="24"/>
          <w:szCs w:val="24"/>
        </w:rPr>
        <w:t xml:space="preserve">). When comparing these cited B system results with the outcomes from </w:t>
      </w:r>
      <w:r w:rsidRPr="00125A2F">
        <w:rPr>
          <w:rFonts w:ascii="Times New Roman" w:hAnsi="Times New Roman"/>
          <w:i/>
          <w:color w:val="auto"/>
          <w:sz w:val="24"/>
          <w:szCs w:val="24"/>
        </w:rPr>
        <w:t>M. pulcherrima</w:t>
      </w:r>
      <w:r w:rsidRPr="00125A2F">
        <w:rPr>
          <w:rFonts w:ascii="Times New Roman" w:hAnsi="Times New Roman"/>
          <w:color w:val="auto"/>
          <w:sz w:val="24"/>
          <w:szCs w:val="24"/>
        </w:rPr>
        <w:t xml:space="preserve"> strain A2 in this study (as shown in Table 2B), we find that BEB (</w:t>
      </w:r>
      <w:proofErr w:type="spellStart"/>
      <w:r w:rsidRPr="00125A2F">
        <w:rPr>
          <w:rFonts w:ascii="Times New Roman" w:hAnsi="Times New Roman"/>
          <w:color w:val="auto"/>
          <w:sz w:val="24"/>
          <w:szCs w:val="24"/>
        </w:rPr>
        <w:t>cin</w:t>
      </w:r>
      <w:proofErr w:type="spellEnd"/>
      <w:r w:rsidRPr="00125A2F">
        <w:rPr>
          <w:rFonts w:ascii="Times New Roman" w:hAnsi="Times New Roman"/>
          <w:color w:val="auto"/>
          <w:sz w:val="24"/>
          <w:szCs w:val="24"/>
        </w:rPr>
        <w:t xml:space="preserve">) with strain A2 is 1.35 times higher, and BEB (nig) with strain A2 is 1.11 times higher than the cited data </w:t>
      </w:r>
      <w:r w:rsidR="007627FE">
        <w:rPr>
          <w:rFonts w:ascii="Times New Roman" w:hAnsi="Times New Roman"/>
          <w:color w:val="auto"/>
          <w:sz w:val="24"/>
          <w:szCs w:val="24"/>
        </w:rPr>
        <w:t>(</w:t>
      </w:r>
      <w:r w:rsidR="007627FE" w:rsidRPr="007627FE">
        <w:rPr>
          <w:rFonts w:ascii="Times New Roman" w:hAnsi="Times New Roman"/>
          <w:color w:val="auto"/>
          <w:sz w:val="24"/>
        </w:rPr>
        <w:t>Schena et al. 2000</w:t>
      </w:r>
      <w:r w:rsidR="007627FE">
        <w:rPr>
          <w:rFonts w:ascii="Times New Roman" w:hAnsi="Times New Roman"/>
          <w:color w:val="auto"/>
          <w:sz w:val="24"/>
          <w:szCs w:val="24"/>
        </w:rPr>
        <w:t>)</w:t>
      </w:r>
      <w:r w:rsidRPr="00125A2F">
        <w:rPr>
          <w:rFonts w:ascii="Times New Roman" w:hAnsi="Times New Roman"/>
          <w:color w:val="auto"/>
          <w:sz w:val="24"/>
          <w:szCs w:val="24"/>
        </w:rPr>
        <w:t>.</w:t>
      </w:r>
    </w:p>
    <w:p w14:paraId="022DA5AF" w14:textId="25FD4B1E" w:rsidR="00BA29ED" w:rsidRPr="00125A2F" w:rsidRDefault="00BA29ED" w:rsidP="008D327D">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lastRenderedPageBreak/>
        <w:t>However, the BEB (</w:t>
      </w:r>
      <w:proofErr w:type="spellStart"/>
      <w:r w:rsidRPr="00125A2F">
        <w:rPr>
          <w:rFonts w:ascii="Times New Roman" w:hAnsi="Times New Roman"/>
          <w:color w:val="auto"/>
          <w:sz w:val="24"/>
          <w:szCs w:val="24"/>
        </w:rPr>
        <w:t>st</w:t>
      </w:r>
      <w:proofErr w:type="spellEnd"/>
      <w:r w:rsidRPr="00125A2F">
        <w:rPr>
          <w:rFonts w:ascii="Times New Roman" w:hAnsi="Times New Roman"/>
          <w:color w:val="auto"/>
          <w:sz w:val="24"/>
          <w:szCs w:val="24"/>
        </w:rPr>
        <w:t xml:space="preserve">) with strain A2 against </w:t>
      </w:r>
      <w:r w:rsidRPr="00125A2F">
        <w:rPr>
          <w:rFonts w:ascii="Times New Roman" w:hAnsi="Times New Roman"/>
          <w:i/>
          <w:color w:val="auto"/>
          <w:sz w:val="24"/>
          <w:szCs w:val="24"/>
        </w:rPr>
        <w:t xml:space="preserve">R. </w:t>
      </w:r>
      <w:proofErr w:type="spellStart"/>
      <w:r w:rsidRPr="00125A2F">
        <w:rPr>
          <w:rFonts w:ascii="Times New Roman" w:hAnsi="Times New Roman"/>
          <w:i/>
          <w:color w:val="auto"/>
          <w:sz w:val="24"/>
          <w:szCs w:val="24"/>
        </w:rPr>
        <w:t>stolonifer</w:t>
      </w:r>
      <w:proofErr w:type="spellEnd"/>
      <w:r w:rsidRPr="00125A2F">
        <w:rPr>
          <w:rFonts w:ascii="Times New Roman" w:hAnsi="Times New Roman"/>
          <w:color w:val="auto"/>
          <w:sz w:val="24"/>
          <w:szCs w:val="24"/>
        </w:rPr>
        <w:t xml:space="preserve"> strain 6227b was 48.91%, as shown in Table 2B. This value is 1.6 times lower than that of system B, which uses </w:t>
      </w:r>
      <w:proofErr w:type="spellStart"/>
      <w:r w:rsidRPr="00125A2F">
        <w:rPr>
          <w:rFonts w:ascii="Times New Roman" w:hAnsi="Times New Roman"/>
          <w:i/>
          <w:color w:val="auto"/>
          <w:sz w:val="24"/>
          <w:szCs w:val="24"/>
        </w:rPr>
        <w:t>Metschnikowia</w:t>
      </w:r>
      <w:proofErr w:type="spellEnd"/>
      <w:r w:rsidRPr="00125A2F">
        <w:rPr>
          <w:rFonts w:ascii="Times New Roman" w:hAnsi="Times New Roman"/>
          <w:i/>
          <w:color w:val="auto"/>
          <w:sz w:val="24"/>
          <w:szCs w:val="24"/>
        </w:rPr>
        <w:t xml:space="preserve"> </w:t>
      </w:r>
      <w:proofErr w:type="spellStart"/>
      <w:r w:rsidRPr="00125A2F">
        <w:rPr>
          <w:rFonts w:ascii="Times New Roman" w:hAnsi="Times New Roman"/>
          <w:i/>
          <w:color w:val="auto"/>
          <w:sz w:val="24"/>
          <w:szCs w:val="24"/>
        </w:rPr>
        <w:t>spp</w:t>
      </w:r>
      <w:proofErr w:type="spellEnd"/>
      <w:r w:rsidRPr="00125A2F">
        <w:rPr>
          <w:rFonts w:ascii="Times New Roman" w:hAnsi="Times New Roman"/>
          <w:color w:val="auto"/>
          <w:sz w:val="24"/>
          <w:szCs w:val="24"/>
        </w:rPr>
        <w:t>—strain 320, with a BEB (</w:t>
      </w:r>
      <w:proofErr w:type="spellStart"/>
      <w:r w:rsidRPr="00125A2F">
        <w:rPr>
          <w:rFonts w:ascii="Times New Roman" w:hAnsi="Times New Roman"/>
          <w:color w:val="auto"/>
          <w:sz w:val="24"/>
          <w:szCs w:val="24"/>
        </w:rPr>
        <w:t>st</w:t>
      </w:r>
      <w:proofErr w:type="spellEnd"/>
      <w:r w:rsidRPr="00125A2F">
        <w:rPr>
          <w:rFonts w:ascii="Times New Roman" w:hAnsi="Times New Roman"/>
          <w:color w:val="auto"/>
          <w:sz w:val="24"/>
          <w:szCs w:val="24"/>
        </w:rPr>
        <w:t xml:space="preserve">) of approximately 78% </w:t>
      </w:r>
      <w:r w:rsidR="007627FE">
        <w:rPr>
          <w:rFonts w:ascii="Times New Roman" w:hAnsi="Times New Roman"/>
          <w:color w:val="auto"/>
          <w:sz w:val="24"/>
          <w:szCs w:val="24"/>
        </w:rPr>
        <w:t>(</w:t>
      </w:r>
      <w:r w:rsidR="007627FE" w:rsidRPr="007627FE">
        <w:rPr>
          <w:rFonts w:ascii="Times New Roman" w:hAnsi="Times New Roman"/>
          <w:color w:val="auto"/>
          <w:sz w:val="24"/>
        </w:rPr>
        <w:t>Schena et al. 2000</w:t>
      </w:r>
      <w:r w:rsidR="007627FE">
        <w:rPr>
          <w:rFonts w:ascii="Times New Roman" w:hAnsi="Times New Roman"/>
          <w:color w:val="auto"/>
          <w:sz w:val="24"/>
          <w:szCs w:val="24"/>
        </w:rPr>
        <w:t>)</w:t>
      </w:r>
      <w:r w:rsidRPr="00125A2F">
        <w:rPr>
          <w:rFonts w:ascii="Times New Roman" w:hAnsi="Times New Roman"/>
          <w:color w:val="auto"/>
          <w:sz w:val="24"/>
          <w:szCs w:val="24"/>
        </w:rPr>
        <w:t xml:space="preserve">. One possible reason for this difference is the variability among </w:t>
      </w:r>
      <w:r w:rsidRPr="00125A2F">
        <w:rPr>
          <w:rFonts w:ascii="Times New Roman" w:hAnsi="Times New Roman"/>
          <w:i/>
          <w:color w:val="auto"/>
          <w:sz w:val="24"/>
          <w:szCs w:val="24"/>
        </w:rPr>
        <w:t>Rhizopus</w:t>
      </w:r>
      <w:r w:rsidRPr="00125A2F">
        <w:rPr>
          <w:rFonts w:ascii="Times New Roman" w:hAnsi="Times New Roman"/>
          <w:color w:val="auto"/>
          <w:sz w:val="24"/>
          <w:szCs w:val="24"/>
        </w:rPr>
        <w:t xml:space="preserve"> rot strains, which may exhibit different levels of aggressiveness in the compared studies. We hypothesize that the </w:t>
      </w:r>
      <w:r w:rsidRPr="00125A2F">
        <w:rPr>
          <w:rFonts w:ascii="Times New Roman" w:hAnsi="Times New Roman"/>
          <w:i/>
          <w:color w:val="auto"/>
          <w:sz w:val="24"/>
          <w:szCs w:val="24"/>
        </w:rPr>
        <w:t>Rhizopus</w:t>
      </w:r>
      <w:r w:rsidRPr="00125A2F">
        <w:rPr>
          <w:rFonts w:ascii="Times New Roman" w:hAnsi="Times New Roman"/>
          <w:color w:val="auto"/>
          <w:sz w:val="24"/>
          <w:szCs w:val="24"/>
        </w:rPr>
        <w:t xml:space="preserve"> rot pathogen in the cited work is less aggressive than strain 6227b tested in this study. This assumption is based on the fact that the antagonist strain A2 from this study and strain 320 from the cited work show almost identical effects under the extreme conditions of system B, with similar BEB (nig) values differing by only 1.11 times. Therefore, it is more likely that the antagonists in stress systems B behave similarly, and the </w:t>
      </w:r>
      <w:r w:rsidRPr="00125A2F">
        <w:rPr>
          <w:rFonts w:ascii="Times New Roman" w:hAnsi="Times New Roman"/>
          <w:i/>
          <w:color w:val="auto"/>
          <w:sz w:val="24"/>
          <w:szCs w:val="24"/>
        </w:rPr>
        <w:t xml:space="preserve">R. </w:t>
      </w:r>
      <w:proofErr w:type="spellStart"/>
      <w:r w:rsidRPr="00125A2F">
        <w:rPr>
          <w:rFonts w:ascii="Times New Roman" w:hAnsi="Times New Roman"/>
          <w:i/>
          <w:color w:val="auto"/>
          <w:sz w:val="24"/>
          <w:szCs w:val="24"/>
        </w:rPr>
        <w:t>stolonifer</w:t>
      </w:r>
      <w:proofErr w:type="spellEnd"/>
      <w:r w:rsidRPr="00125A2F">
        <w:rPr>
          <w:rFonts w:ascii="Times New Roman" w:hAnsi="Times New Roman"/>
          <w:color w:val="auto"/>
          <w:sz w:val="24"/>
          <w:szCs w:val="24"/>
        </w:rPr>
        <w:t xml:space="preserve"> strains in the compared studies differ, explaining the observed 1.6-fold difference in BEB (</w:t>
      </w:r>
      <w:proofErr w:type="spellStart"/>
      <w:r w:rsidRPr="00125A2F">
        <w:rPr>
          <w:rFonts w:ascii="Times New Roman" w:hAnsi="Times New Roman"/>
          <w:color w:val="auto"/>
          <w:sz w:val="24"/>
          <w:szCs w:val="24"/>
        </w:rPr>
        <w:t>st</w:t>
      </w:r>
      <w:proofErr w:type="spellEnd"/>
      <w:r w:rsidRPr="00125A2F">
        <w:rPr>
          <w:rFonts w:ascii="Times New Roman" w:hAnsi="Times New Roman"/>
          <w:color w:val="auto"/>
          <w:sz w:val="24"/>
          <w:szCs w:val="24"/>
        </w:rPr>
        <w:t xml:space="preserve">) efficacy and indicating that they have different levels of aggressiveness. </w:t>
      </w:r>
    </w:p>
    <w:p w14:paraId="2C39E1A6" w14:textId="1281E543" w:rsidR="00BA29ED" w:rsidRPr="00125A2F" w:rsidRDefault="00BA29ED" w:rsidP="008D327D">
      <w:pPr>
        <w:pStyle w:val="MDPI31text"/>
        <w:tabs>
          <w:tab w:val="left" w:pos="4820"/>
        </w:tabs>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 xml:space="preserve">The </w:t>
      </w:r>
      <w:r w:rsidRPr="00125A2F">
        <w:rPr>
          <w:rFonts w:ascii="Times New Roman" w:hAnsi="Times New Roman"/>
          <w:i/>
          <w:color w:val="auto"/>
          <w:sz w:val="24"/>
          <w:szCs w:val="24"/>
        </w:rPr>
        <w:t>A. pullulans</w:t>
      </w:r>
      <w:r w:rsidRPr="00125A2F">
        <w:rPr>
          <w:rFonts w:ascii="Times New Roman" w:hAnsi="Times New Roman"/>
          <w:color w:val="auto"/>
          <w:sz w:val="24"/>
          <w:szCs w:val="24"/>
        </w:rPr>
        <w:t xml:space="preserve"> strains AP11 and AP13 were less effective than the </w:t>
      </w:r>
      <w:r w:rsidRPr="00125A2F">
        <w:rPr>
          <w:rFonts w:ascii="Times New Roman" w:hAnsi="Times New Roman"/>
          <w:i/>
          <w:color w:val="auto"/>
          <w:sz w:val="24"/>
          <w:szCs w:val="24"/>
        </w:rPr>
        <w:t>A. pullulans</w:t>
      </w:r>
      <w:r w:rsidRPr="00125A2F">
        <w:rPr>
          <w:rFonts w:ascii="Times New Roman" w:hAnsi="Times New Roman"/>
          <w:color w:val="auto"/>
          <w:sz w:val="24"/>
          <w:szCs w:val="24"/>
        </w:rPr>
        <w:t xml:space="preserve"> strain L47, reported in another study, at maintaining the biocontrol efficacy of B systems (BEB [pat]) against similar fungal pathogens. The B systems using strain L47 showed biocontrol efficacies of approximately 61.3% for BEB (</w:t>
      </w:r>
      <w:proofErr w:type="spellStart"/>
      <w:r w:rsidRPr="00125A2F">
        <w:rPr>
          <w:rFonts w:ascii="Times New Roman" w:hAnsi="Times New Roman"/>
          <w:color w:val="auto"/>
          <w:sz w:val="24"/>
          <w:szCs w:val="24"/>
        </w:rPr>
        <w:t>cin</w:t>
      </w:r>
      <w:proofErr w:type="spellEnd"/>
      <w:r w:rsidRPr="00125A2F">
        <w:rPr>
          <w:rFonts w:ascii="Times New Roman" w:hAnsi="Times New Roman"/>
          <w:color w:val="auto"/>
          <w:sz w:val="24"/>
          <w:szCs w:val="24"/>
        </w:rPr>
        <w:t>), 70.7% for BEB (nig), and 54.8% for BEB (</w:t>
      </w:r>
      <w:proofErr w:type="spellStart"/>
      <w:r w:rsidRPr="00125A2F">
        <w:rPr>
          <w:rFonts w:ascii="Times New Roman" w:hAnsi="Times New Roman"/>
          <w:color w:val="auto"/>
          <w:sz w:val="24"/>
          <w:szCs w:val="24"/>
        </w:rPr>
        <w:t>st</w:t>
      </w:r>
      <w:proofErr w:type="spellEnd"/>
      <w:r w:rsidRPr="00125A2F">
        <w:rPr>
          <w:rFonts w:ascii="Times New Roman" w:hAnsi="Times New Roman"/>
          <w:color w:val="auto"/>
          <w:sz w:val="24"/>
          <w:szCs w:val="24"/>
        </w:rPr>
        <w:t xml:space="preserve">) (see Fig. 3 on p. 195 in </w:t>
      </w:r>
      <w:r w:rsidR="0083045B">
        <w:rPr>
          <w:rFonts w:ascii="Times New Roman" w:hAnsi="Times New Roman"/>
          <w:color w:val="auto"/>
          <w:sz w:val="24"/>
          <w:szCs w:val="24"/>
        </w:rPr>
        <w:t>(</w:t>
      </w:r>
      <w:r w:rsidR="0083045B" w:rsidRPr="0083045B">
        <w:rPr>
          <w:rFonts w:ascii="Times New Roman" w:hAnsi="Times New Roman"/>
          <w:color w:val="auto"/>
          <w:sz w:val="24"/>
        </w:rPr>
        <w:t>Schena et al. 1999</w:t>
      </w:r>
      <w:r w:rsidR="0083045B">
        <w:rPr>
          <w:rFonts w:ascii="Times New Roman" w:hAnsi="Times New Roman"/>
          <w:color w:val="auto"/>
          <w:sz w:val="24"/>
          <w:szCs w:val="24"/>
        </w:rPr>
        <w:t>)</w:t>
      </w:r>
      <w:r w:rsidRPr="00125A2F">
        <w:rPr>
          <w:rFonts w:ascii="Times New Roman" w:hAnsi="Times New Roman"/>
          <w:color w:val="auto"/>
          <w:sz w:val="24"/>
          <w:szCs w:val="24"/>
        </w:rPr>
        <w:t>). The B systems with strains A11 and A13 produced the following results: BEB (</w:t>
      </w:r>
      <w:proofErr w:type="spellStart"/>
      <w:r w:rsidRPr="00125A2F">
        <w:rPr>
          <w:rFonts w:ascii="Times New Roman" w:hAnsi="Times New Roman"/>
          <w:color w:val="auto"/>
          <w:sz w:val="24"/>
          <w:szCs w:val="24"/>
        </w:rPr>
        <w:t>cin</w:t>
      </w:r>
      <w:proofErr w:type="spellEnd"/>
      <w:r w:rsidRPr="00125A2F">
        <w:rPr>
          <w:rFonts w:ascii="Times New Roman" w:hAnsi="Times New Roman"/>
          <w:color w:val="auto"/>
          <w:sz w:val="24"/>
          <w:szCs w:val="24"/>
        </w:rPr>
        <w:t>) of 39.74% and 39.93%, BEB (nig) of 34.56% and 22.96%, and BEB (</w:t>
      </w:r>
      <w:proofErr w:type="spellStart"/>
      <w:r w:rsidRPr="00125A2F">
        <w:rPr>
          <w:rFonts w:ascii="Times New Roman" w:hAnsi="Times New Roman"/>
          <w:color w:val="auto"/>
          <w:sz w:val="24"/>
          <w:szCs w:val="24"/>
        </w:rPr>
        <w:t>st</w:t>
      </w:r>
      <w:proofErr w:type="spellEnd"/>
      <w:r w:rsidRPr="00125A2F">
        <w:rPr>
          <w:rFonts w:ascii="Times New Roman" w:hAnsi="Times New Roman"/>
          <w:color w:val="auto"/>
          <w:sz w:val="24"/>
          <w:szCs w:val="24"/>
        </w:rPr>
        <w:t xml:space="preserve">) of 34.99% and 34.22% (see Table 2B). These results were significantly lower than those reported in </w:t>
      </w:r>
      <w:r w:rsidR="0083045B">
        <w:rPr>
          <w:rFonts w:ascii="Times New Roman" w:hAnsi="Times New Roman"/>
          <w:color w:val="auto"/>
          <w:sz w:val="24"/>
          <w:szCs w:val="24"/>
        </w:rPr>
        <w:t>(</w:t>
      </w:r>
      <w:r w:rsidR="0083045B" w:rsidRPr="0083045B">
        <w:rPr>
          <w:rFonts w:ascii="Times New Roman" w:hAnsi="Times New Roman"/>
          <w:color w:val="auto"/>
          <w:sz w:val="24"/>
        </w:rPr>
        <w:t>Schena et al. 1999</w:t>
      </w:r>
      <w:r w:rsidR="0083045B">
        <w:rPr>
          <w:rFonts w:ascii="Times New Roman" w:hAnsi="Times New Roman"/>
          <w:color w:val="auto"/>
          <w:sz w:val="24"/>
          <w:szCs w:val="24"/>
        </w:rPr>
        <w:t>)</w:t>
      </w:r>
      <w:r w:rsidRPr="00125A2F">
        <w:rPr>
          <w:rFonts w:ascii="Times New Roman" w:hAnsi="Times New Roman"/>
          <w:color w:val="auto"/>
          <w:sz w:val="24"/>
          <w:szCs w:val="24"/>
        </w:rPr>
        <w:t>. For example, the BEB (</w:t>
      </w:r>
      <w:proofErr w:type="spellStart"/>
      <w:r w:rsidRPr="00125A2F">
        <w:rPr>
          <w:rFonts w:ascii="Times New Roman" w:hAnsi="Times New Roman"/>
          <w:color w:val="auto"/>
          <w:sz w:val="24"/>
          <w:szCs w:val="24"/>
        </w:rPr>
        <w:t>cin</w:t>
      </w:r>
      <w:proofErr w:type="spellEnd"/>
      <w:r w:rsidRPr="00125A2F">
        <w:rPr>
          <w:rFonts w:ascii="Times New Roman" w:hAnsi="Times New Roman"/>
          <w:color w:val="auto"/>
          <w:sz w:val="24"/>
          <w:szCs w:val="24"/>
        </w:rPr>
        <w:t>) with strain L47 is 1.53 times higher than the BEB (</w:t>
      </w:r>
      <w:proofErr w:type="spellStart"/>
      <w:r w:rsidRPr="00125A2F">
        <w:rPr>
          <w:rFonts w:ascii="Times New Roman" w:hAnsi="Times New Roman"/>
          <w:color w:val="auto"/>
          <w:sz w:val="24"/>
          <w:szCs w:val="24"/>
        </w:rPr>
        <w:t>cin</w:t>
      </w:r>
      <w:proofErr w:type="spellEnd"/>
      <w:r w:rsidRPr="00125A2F">
        <w:rPr>
          <w:rFonts w:ascii="Times New Roman" w:hAnsi="Times New Roman"/>
          <w:color w:val="auto"/>
          <w:sz w:val="24"/>
          <w:szCs w:val="24"/>
        </w:rPr>
        <w:t>) measured with strains A11 and A13. Similarly, the BEB (nig) with strain L47 is 2 and 3.1 times greater than the corresponding BEB (nig) with strains A11 and A13. Additionally, the BEB (</w:t>
      </w:r>
      <w:proofErr w:type="spellStart"/>
      <w:r w:rsidRPr="00125A2F">
        <w:rPr>
          <w:rFonts w:ascii="Times New Roman" w:hAnsi="Times New Roman"/>
          <w:color w:val="auto"/>
          <w:sz w:val="24"/>
          <w:szCs w:val="24"/>
        </w:rPr>
        <w:t>st</w:t>
      </w:r>
      <w:proofErr w:type="spellEnd"/>
      <w:r w:rsidRPr="00125A2F">
        <w:rPr>
          <w:rFonts w:ascii="Times New Roman" w:hAnsi="Times New Roman"/>
          <w:color w:val="auto"/>
          <w:sz w:val="24"/>
          <w:szCs w:val="24"/>
        </w:rPr>
        <w:t>) with strain L47 exceeds by 1.6 times the BEB (</w:t>
      </w:r>
      <w:proofErr w:type="spellStart"/>
      <w:r w:rsidRPr="00125A2F">
        <w:rPr>
          <w:rFonts w:ascii="Times New Roman" w:hAnsi="Times New Roman"/>
          <w:color w:val="auto"/>
          <w:sz w:val="24"/>
          <w:szCs w:val="24"/>
        </w:rPr>
        <w:t>st</w:t>
      </w:r>
      <w:proofErr w:type="spellEnd"/>
      <w:r w:rsidRPr="00125A2F">
        <w:rPr>
          <w:rFonts w:ascii="Times New Roman" w:hAnsi="Times New Roman"/>
          <w:color w:val="auto"/>
          <w:sz w:val="24"/>
          <w:szCs w:val="24"/>
        </w:rPr>
        <w:t>) of 34.99% and 34.22% obtained with strains A11 and A13.</w:t>
      </w:r>
    </w:p>
    <w:p w14:paraId="43926430" w14:textId="1AA0B02B" w:rsidR="00BA29ED" w:rsidRPr="00125A2F" w:rsidRDefault="00BA29ED" w:rsidP="008D327D">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 xml:space="preserve">The differences in biocontrol efficacy against fungal pathogens between the cited data and our findings may stem from several factors. One possibility is that pathogen strains vary in aggressiveness. Additionally, differences in yeast strains could affect their specific fungistatic mechanisms. Furthermore, variations in the hosts used in the systems might also contribute to these differences </w:t>
      </w:r>
      <w:r w:rsidR="00742148">
        <w:rPr>
          <w:rFonts w:ascii="Times New Roman" w:hAnsi="Times New Roman"/>
          <w:color w:val="auto"/>
          <w:sz w:val="24"/>
          <w:szCs w:val="24"/>
        </w:rPr>
        <w:t>(</w:t>
      </w:r>
      <w:proofErr w:type="spellStart"/>
      <w:r w:rsidR="00DE6750" w:rsidRPr="00DE6750">
        <w:rPr>
          <w:rFonts w:ascii="Times New Roman" w:hAnsi="Times New Roman"/>
          <w:color w:val="auto"/>
          <w:sz w:val="24"/>
          <w:szCs w:val="24"/>
        </w:rPr>
        <w:t>Dukare</w:t>
      </w:r>
      <w:proofErr w:type="spellEnd"/>
      <w:r w:rsidR="00DE6750" w:rsidRPr="00DE6750">
        <w:rPr>
          <w:rFonts w:ascii="Times New Roman" w:hAnsi="Times New Roman"/>
          <w:color w:val="auto"/>
          <w:sz w:val="24"/>
          <w:szCs w:val="24"/>
        </w:rPr>
        <w:t xml:space="preserve"> et al. 2019</w:t>
      </w:r>
      <w:r w:rsidR="00DE6750">
        <w:rPr>
          <w:rFonts w:ascii="Times New Roman" w:hAnsi="Times New Roman"/>
          <w:color w:val="auto"/>
          <w:sz w:val="24"/>
          <w:szCs w:val="24"/>
        </w:rPr>
        <w:t xml:space="preserve">; </w:t>
      </w:r>
      <w:proofErr w:type="spellStart"/>
      <w:r w:rsidR="005E5A8A" w:rsidRPr="005E5A8A">
        <w:rPr>
          <w:rFonts w:ascii="Times New Roman" w:hAnsi="Times New Roman"/>
          <w:color w:val="auto"/>
          <w:sz w:val="24"/>
          <w:szCs w:val="24"/>
        </w:rPr>
        <w:t>Romanazzi</w:t>
      </w:r>
      <w:proofErr w:type="spellEnd"/>
      <w:r w:rsidR="005E5A8A" w:rsidRPr="005E5A8A">
        <w:rPr>
          <w:rFonts w:ascii="Times New Roman" w:hAnsi="Times New Roman"/>
          <w:color w:val="auto"/>
          <w:sz w:val="24"/>
          <w:szCs w:val="24"/>
        </w:rPr>
        <w:t xml:space="preserve"> et al. 2016</w:t>
      </w:r>
      <w:r w:rsidR="005E5A8A">
        <w:rPr>
          <w:rFonts w:ascii="Times New Roman" w:hAnsi="Times New Roman"/>
          <w:color w:val="auto"/>
          <w:sz w:val="24"/>
          <w:szCs w:val="24"/>
        </w:rPr>
        <w:t xml:space="preserve">; </w:t>
      </w:r>
      <w:r w:rsidR="00742148" w:rsidRPr="00742148">
        <w:rPr>
          <w:rFonts w:ascii="Times New Roman" w:hAnsi="Times New Roman"/>
          <w:color w:val="auto"/>
          <w:sz w:val="24"/>
        </w:rPr>
        <w:t>Zhang et al. 2020a</w:t>
      </w:r>
      <w:r w:rsidR="00742148">
        <w:rPr>
          <w:rFonts w:ascii="Times New Roman" w:hAnsi="Times New Roman"/>
          <w:color w:val="auto"/>
          <w:sz w:val="24"/>
          <w:szCs w:val="24"/>
        </w:rPr>
        <w:t>)</w:t>
      </w:r>
      <w:r w:rsidRPr="00125A2F">
        <w:rPr>
          <w:rFonts w:ascii="Times New Roman" w:hAnsi="Times New Roman"/>
          <w:color w:val="auto"/>
          <w:sz w:val="24"/>
          <w:szCs w:val="24"/>
        </w:rPr>
        <w:t xml:space="preserve">. The variation in biocontrol efficacy against fungal pathogens indicates that strains AP11 and AP13 are less effective not only compared to strains A2 and HU15 but also relative to other </w:t>
      </w:r>
      <w:r w:rsidRPr="00125A2F">
        <w:rPr>
          <w:rFonts w:ascii="Times New Roman" w:hAnsi="Times New Roman"/>
          <w:i/>
          <w:color w:val="auto"/>
          <w:sz w:val="24"/>
          <w:szCs w:val="24"/>
        </w:rPr>
        <w:t>A. pullulans</w:t>
      </w:r>
      <w:r w:rsidRPr="00125A2F">
        <w:rPr>
          <w:rFonts w:ascii="Times New Roman" w:hAnsi="Times New Roman"/>
          <w:color w:val="auto"/>
          <w:sz w:val="24"/>
          <w:szCs w:val="24"/>
        </w:rPr>
        <w:t xml:space="preserve"> yeast species documented in the literature. Among the remaining five promising strains, we tentatively consider AP11 and AP13 as weaker BCA candidates due to their low biocontrol success in the B systems examined here. </w:t>
      </w:r>
    </w:p>
    <w:p w14:paraId="621A6FD5" w14:textId="0D5B0299" w:rsidR="00BA29ED" w:rsidRPr="00125A2F" w:rsidRDefault="00BA29ED" w:rsidP="008D327D">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lastRenderedPageBreak/>
        <w:t xml:space="preserve">In this study, the measured biocontrol efficacy of the B system using the </w:t>
      </w:r>
      <w:r w:rsidRPr="00125A2F">
        <w:rPr>
          <w:rFonts w:ascii="Times New Roman" w:hAnsi="Times New Roman"/>
          <w:i/>
          <w:color w:val="auto"/>
          <w:sz w:val="24"/>
          <w:szCs w:val="24"/>
        </w:rPr>
        <w:t xml:space="preserve">H. </w:t>
      </w:r>
      <w:proofErr w:type="spellStart"/>
      <w:r w:rsidRPr="00125A2F">
        <w:rPr>
          <w:rFonts w:ascii="Times New Roman" w:hAnsi="Times New Roman"/>
          <w:i/>
          <w:color w:val="auto"/>
          <w:sz w:val="24"/>
          <w:szCs w:val="24"/>
        </w:rPr>
        <w:t>uvarum</w:t>
      </w:r>
      <w:proofErr w:type="spellEnd"/>
      <w:r w:rsidRPr="00125A2F">
        <w:rPr>
          <w:rFonts w:ascii="Times New Roman" w:hAnsi="Times New Roman"/>
          <w:color w:val="auto"/>
          <w:sz w:val="24"/>
          <w:szCs w:val="24"/>
        </w:rPr>
        <w:t xml:space="preserve"> strain HU15 against the gray mold strain 1032 was 72.83% (Table 2B). This result closely matches the 72.73% biocontrol efficacy observed in a study with a similar B system containing the </w:t>
      </w:r>
      <w:r w:rsidRPr="00125A2F">
        <w:rPr>
          <w:rFonts w:ascii="Times New Roman" w:hAnsi="Times New Roman"/>
          <w:i/>
          <w:color w:val="auto"/>
          <w:sz w:val="24"/>
          <w:szCs w:val="24"/>
        </w:rPr>
        <w:t xml:space="preserve">H. </w:t>
      </w:r>
      <w:proofErr w:type="spellStart"/>
      <w:r w:rsidRPr="00125A2F">
        <w:rPr>
          <w:rFonts w:ascii="Times New Roman" w:hAnsi="Times New Roman"/>
          <w:i/>
          <w:color w:val="auto"/>
          <w:sz w:val="24"/>
          <w:szCs w:val="24"/>
        </w:rPr>
        <w:t>uvarum</w:t>
      </w:r>
      <w:proofErr w:type="spellEnd"/>
      <w:r w:rsidRPr="00125A2F">
        <w:rPr>
          <w:rFonts w:ascii="Times New Roman" w:hAnsi="Times New Roman"/>
          <w:color w:val="auto"/>
          <w:sz w:val="24"/>
          <w:szCs w:val="24"/>
        </w:rPr>
        <w:t xml:space="preserve"> strain P2 </w:t>
      </w:r>
      <w:r w:rsidR="009670C9">
        <w:rPr>
          <w:rFonts w:ascii="Times New Roman" w:hAnsi="Times New Roman"/>
          <w:color w:val="auto"/>
          <w:sz w:val="24"/>
          <w:szCs w:val="24"/>
        </w:rPr>
        <w:t>(</w:t>
      </w:r>
      <w:r w:rsidR="009670C9" w:rsidRPr="009670C9">
        <w:rPr>
          <w:rFonts w:ascii="Times New Roman" w:hAnsi="Times New Roman"/>
          <w:color w:val="auto"/>
          <w:sz w:val="24"/>
          <w:szCs w:val="24"/>
        </w:rPr>
        <w:t>Liu et al. 2010</w:t>
      </w:r>
      <w:r w:rsidR="009670C9">
        <w:rPr>
          <w:rFonts w:ascii="Times New Roman" w:hAnsi="Times New Roman"/>
          <w:color w:val="auto"/>
          <w:sz w:val="24"/>
          <w:szCs w:val="24"/>
        </w:rPr>
        <w:t>)</w:t>
      </w:r>
      <w:r w:rsidRPr="00125A2F">
        <w:rPr>
          <w:rFonts w:ascii="Times New Roman" w:hAnsi="Times New Roman"/>
          <w:color w:val="auto"/>
          <w:sz w:val="24"/>
          <w:szCs w:val="24"/>
        </w:rPr>
        <w:t>.</w:t>
      </w:r>
    </w:p>
    <w:p w14:paraId="2B413BE3" w14:textId="77777777" w:rsidR="00BA29ED" w:rsidRPr="00125A2F" w:rsidRDefault="00BA29ED" w:rsidP="008D327D">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 xml:space="preserve">We cannot consider the </w:t>
      </w:r>
      <w:r w:rsidRPr="00125A2F">
        <w:rPr>
          <w:rFonts w:ascii="Times New Roman" w:hAnsi="Times New Roman"/>
          <w:i/>
          <w:color w:val="auto"/>
          <w:sz w:val="24"/>
          <w:szCs w:val="24"/>
        </w:rPr>
        <w:t xml:space="preserve">C. </w:t>
      </w:r>
      <w:proofErr w:type="spellStart"/>
      <w:r w:rsidRPr="00125A2F">
        <w:rPr>
          <w:rFonts w:ascii="Times New Roman" w:hAnsi="Times New Roman"/>
          <w:i/>
          <w:color w:val="auto"/>
          <w:sz w:val="24"/>
          <w:szCs w:val="24"/>
        </w:rPr>
        <w:t>lusitaniae</w:t>
      </w:r>
      <w:proofErr w:type="spellEnd"/>
      <w:r w:rsidRPr="00125A2F">
        <w:rPr>
          <w:rFonts w:ascii="Times New Roman" w:hAnsi="Times New Roman"/>
          <w:color w:val="auto"/>
          <w:sz w:val="24"/>
          <w:szCs w:val="24"/>
        </w:rPr>
        <w:t xml:space="preserve"> CL03 strain a biological control agent because of its potential health risks. From five promising preliminary strains, we selected the two most effective yeast strains, </w:t>
      </w:r>
      <w:r w:rsidRPr="00125A2F">
        <w:rPr>
          <w:rFonts w:ascii="Times New Roman" w:hAnsi="Times New Roman"/>
          <w:i/>
          <w:color w:val="auto"/>
          <w:sz w:val="24"/>
          <w:szCs w:val="24"/>
        </w:rPr>
        <w:t>M. pulcherrima</w:t>
      </w:r>
      <w:r w:rsidRPr="00125A2F">
        <w:rPr>
          <w:rFonts w:ascii="Times New Roman" w:hAnsi="Times New Roman"/>
          <w:color w:val="auto"/>
          <w:sz w:val="24"/>
          <w:szCs w:val="24"/>
        </w:rPr>
        <w:t xml:space="preserve"> A2 and </w:t>
      </w:r>
      <w:r w:rsidRPr="00125A2F">
        <w:rPr>
          <w:rFonts w:ascii="Times New Roman" w:hAnsi="Times New Roman"/>
          <w:i/>
          <w:color w:val="auto"/>
          <w:sz w:val="24"/>
          <w:szCs w:val="24"/>
        </w:rPr>
        <w:t xml:space="preserve">H. </w:t>
      </w:r>
      <w:proofErr w:type="spellStart"/>
      <w:r w:rsidRPr="00125A2F">
        <w:rPr>
          <w:rFonts w:ascii="Times New Roman" w:hAnsi="Times New Roman"/>
          <w:i/>
          <w:color w:val="auto"/>
          <w:sz w:val="24"/>
          <w:szCs w:val="24"/>
        </w:rPr>
        <w:t>uvarum</w:t>
      </w:r>
      <w:proofErr w:type="spellEnd"/>
      <w:r w:rsidRPr="00125A2F">
        <w:rPr>
          <w:rFonts w:ascii="Times New Roman" w:hAnsi="Times New Roman"/>
          <w:color w:val="auto"/>
          <w:sz w:val="24"/>
          <w:szCs w:val="24"/>
        </w:rPr>
        <w:t xml:space="preserve"> HU15, as promising BCAs. These strains demonstrated biological control efficacy comparable to or better than that reported in the literature for B systems.</w:t>
      </w:r>
    </w:p>
    <w:p w14:paraId="00A33076" w14:textId="77777777" w:rsidR="00BA29ED" w:rsidRPr="00125A2F" w:rsidRDefault="00BA29ED" w:rsidP="008D327D">
      <w:pPr>
        <w:pStyle w:val="MDPI31text"/>
        <w:spacing w:line="360" w:lineRule="auto"/>
        <w:ind w:left="0" w:firstLine="567"/>
        <w:rPr>
          <w:rFonts w:ascii="Times New Roman" w:hAnsi="Times New Roman"/>
          <w:color w:val="auto"/>
          <w:sz w:val="24"/>
          <w:szCs w:val="24"/>
        </w:rPr>
      </w:pPr>
    </w:p>
    <w:p w14:paraId="0F86CCCD" w14:textId="18EEF80A" w:rsidR="00BA29ED" w:rsidRPr="008D327D" w:rsidRDefault="00BA29ED" w:rsidP="008D327D">
      <w:pPr>
        <w:pStyle w:val="MDPI31text"/>
        <w:numPr>
          <w:ilvl w:val="1"/>
          <w:numId w:val="30"/>
        </w:numPr>
        <w:tabs>
          <w:tab w:val="left" w:pos="567"/>
        </w:tabs>
        <w:spacing w:line="360" w:lineRule="auto"/>
        <w:ind w:left="0" w:firstLine="0"/>
        <w:rPr>
          <w:rFonts w:ascii="Times New Roman" w:hAnsi="Times New Roman"/>
          <w:b/>
          <w:color w:val="auto"/>
          <w:sz w:val="24"/>
          <w:szCs w:val="24"/>
        </w:rPr>
      </w:pPr>
      <w:r w:rsidRPr="008D327D">
        <w:rPr>
          <w:rFonts w:ascii="Times New Roman" w:hAnsi="Times New Roman"/>
          <w:b/>
          <w:color w:val="auto"/>
          <w:sz w:val="24"/>
          <w:szCs w:val="24"/>
        </w:rPr>
        <w:t>Comparing the Biocontrol Efficacies of W and B Systems Using the Same Antagonistic Yeast Strains against Fungal Pathogens</w:t>
      </w:r>
    </w:p>
    <w:p w14:paraId="416B9536" w14:textId="7DB5D7D7" w:rsidR="00BA29ED" w:rsidRPr="00125A2F" w:rsidRDefault="00BA29ED" w:rsidP="008D327D">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 xml:space="preserve">We compared the biocontrol efficacies of systems W and B, as shown in Table 3. The differences in biocontrol efficacy between systems W and B—when the same antagonist is used against a specific pathogen—are likely due to differences in the microenvironments of the two systems, provided the same concentrations of yeasts and pathogens are present in both systems. In Sections 4.4, 2.7, and 4.5, 2.9, we described these systems. The complex interactions among components of </w:t>
      </w:r>
      <w:proofErr w:type="spellStart"/>
      <w:r w:rsidRPr="00125A2F">
        <w:rPr>
          <w:rFonts w:ascii="Times New Roman" w:hAnsi="Times New Roman"/>
          <w:color w:val="auto"/>
          <w:sz w:val="24"/>
          <w:szCs w:val="24"/>
        </w:rPr>
        <w:t>tritrophic</w:t>
      </w:r>
      <w:proofErr w:type="spellEnd"/>
      <w:r w:rsidRPr="00125A2F">
        <w:rPr>
          <w:rFonts w:ascii="Times New Roman" w:hAnsi="Times New Roman"/>
          <w:color w:val="auto"/>
          <w:sz w:val="24"/>
          <w:szCs w:val="24"/>
        </w:rPr>
        <w:t xml:space="preserve"> systems in various ecological contexts may influence differences between systems W and B </w:t>
      </w:r>
      <w:r w:rsidR="00DE6750">
        <w:rPr>
          <w:rFonts w:ascii="Times New Roman" w:hAnsi="Times New Roman"/>
          <w:color w:val="auto"/>
          <w:sz w:val="24"/>
          <w:szCs w:val="24"/>
        </w:rPr>
        <w:t>(</w:t>
      </w:r>
      <w:proofErr w:type="spellStart"/>
      <w:r w:rsidR="00DE6750" w:rsidRPr="00DE6750">
        <w:rPr>
          <w:rFonts w:ascii="Times New Roman" w:hAnsi="Times New Roman"/>
          <w:color w:val="auto"/>
          <w:sz w:val="24"/>
          <w:szCs w:val="24"/>
        </w:rPr>
        <w:t>Dukare</w:t>
      </w:r>
      <w:proofErr w:type="spellEnd"/>
      <w:r w:rsidR="00DE6750" w:rsidRPr="00DE6750">
        <w:rPr>
          <w:rFonts w:ascii="Times New Roman" w:hAnsi="Times New Roman"/>
          <w:color w:val="auto"/>
          <w:sz w:val="24"/>
          <w:szCs w:val="24"/>
        </w:rPr>
        <w:t xml:space="preserve"> et al. 2019</w:t>
      </w:r>
      <w:r w:rsidR="005E5A8A">
        <w:rPr>
          <w:rFonts w:ascii="Times New Roman" w:hAnsi="Times New Roman"/>
          <w:color w:val="auto"/>
          <w:sz w:val="24"/>
          <w:szCs w:val="24"/>
        </w:rPr>
        <w:t xml:space="preserve">; </w:t>
      </w:r>
      <w:proofErr w:type="spellStart"/>
      <w:r w:rsidR="005E5A8A" w:rsidRPr="005E5A8A">
        <w:rPr>
          <w:rFonts w:ascii="Times New Roman" w:hAnsi="Times New Roman"/>
          <w:color w:val="auto"/>
          <w:sz w:val="24"/>
          <w:szCs w:val="24"/>
        </w:rPr>
        <w:t>Romanazzi</w:t>
      </w:r>
      <w:proofErr w:type="spellEnd"/>
      <w:r w:rsidR="005E5A8A" w:rsidRPr="005E5A8A">
        <w:rPr>
          <w:rFonts w:ascii="Times New Roman" w:hAnsi="Times New Roman"/>
          <w:color w:val="auto"/>
          <w:sz w:val="24"/>
          <w:szCs w:val="24"/>
        </w:rPr>
        <w:t xml:space="preserve"> et al. 2016</w:t>
      </w:r>
      <w:r w:rsidR="005E5A8A">
        <w:rPr>
          <w:rFonts w:ascii="Times New Roman" w:hAnsi="Times New Roman"/>
          <w:color w:val="auto"/>
          <w:sz w:val="24"/>
          <w:szCs w:val="24"/>
        </w:rPr>
        <w:t xml:space="preserve">; </w:t>
      </w:r>
      <w:r w:rsidR="00971B31" w:rsidRPr="00971B31">
        <w:rPr>
          <w:rFonts w:ascii="Times New Roman" w:hAnsi="Times New Roman"/>
          <w:color w:val="auto"/>
          <w:sz w:val="24"/>
        </w:rPr>
        <w:t xml:space="preserve">Spadaro and </w:t>
      </w:r>
      <w:proofErr w:type="spellStart"/>
      <w:r w:rsidR="00971B31" w:rsidRPr="00971B31">
        <w:rPr>
          <w:rFonts w:ascii="Times New Roman" w:hAnsi="Times New Roman"/>
          <w:color w:val="auto"/>
          <w:sz w:val="24"/>
        </w:rPr>
        <w:t>Droby</w:t>
      </w:r>
      <w:proofErr w:type="spellEnd"/>
      <w:r w:rsidR="00971B31" w:rsidRPr="00971B31">
        <w:rPr>
          <w:rFonts w:ascii="Times New Roman" w:hAnsi="Times New Roman"/>
          <w:color w:val="auto"/>
          <w:sz w:val="24"/>
        </w:rPr>
        <w:t xml:space="preserve"> 2016</w:t>
      </w:r>
      <w:r w:rsidR="00971B31">
        <w:rPr>
          <w:rFonts w:ascii="Times New Roman" w:hAnsi="Times New Roman"/>
          <w:color w:val="auto"/>
          <w:sz w:val="24"/>
        </w:rPr>
        <w:t xml:space="preserve">; </w:t>
      </w:r>
      <w:r w:rsidR="005E5A8A" w:rsidRPr="00742148">
        <w:rPr>
          <w:rFonts w:ascii="Times New Roman" w:hAnsi="Times New Roman"/>
          <w:color w:val="auto"/>
          <w:sz w:val="24"/>
        </w:rPr>
        <w:t>Zhang et al. 2020a</w:t>
      </w:r>
      <w:r w:rsidR="00DE6750">
        <w:rPr>
          <w:rFonts w:ascii="Times New Roman" w:hAnsi="Times New Roman"/>
          <w:color w:val="auto"/>
          <w:sz w:val="24"/>
          <w:szCs w:val="24"/>
        </w:rPr>
        <w:t>)</w:t>
      </w:r>
      <w:r w:rsidRPr="00125A2F">
        <w:rPr>
          <w:rFonts w:ascii="Times New Roman" w:hAnsi="Times New Roman"/>
          <w:color w:val="auto"/>
          <w:sz w:val="24"/>
          <w:szCs w:val="24"/>
        </w:rPr>
        <w:t>.</w:t>
      </w:r>
    </w:p>
    <w:p w14:paraId="57481B8F" w14:textId="4254B3EC" w:rsidR="00BA29ED" w:rsidRPr="00125A2F" w:rsidRDefault="00BA29ED" w:rsidP="008D327D">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 xml:space="preserve">For effective biological control, ideal antagonistic yeasts should meet the stability requirements outlined in the Introduction section and thrive in challenging environmental conditions, effectively combating various fungal pathogens </w:t>
      </w:r>
      <w:r w:rsidR="00742148">
        <w:rPr>
          <w:rFonts w:ascii="Times New Roman" w:hAnsi="Times New Roman"/>
          <w:color w:val="auto"/>
          <w:sz w:val="24"/>
          <w:szCs w:val="24"/>
        </w:rPr>
        <w:t>(</w:t>
      </w:r>
      <w:r w:rsidR="00E0793A" w:rsidRPr="00E0793A">
        <w:rPr>
          <w:rFonts w:ascii="Times New Roman" w:hAnsi="Times New Roman"/>
          <w:color w:val="auto"/>
          <w:sz w:val="24"/>
          <w:szCs w:val="24"/>
        </w:rPr>
        <w:t xml:space="preserve">Di </w:t>
      </w:r>
      <w:proofErr w:type="spellStart"/>
      <w:r w:rsidR="00E0793A" w:rsidRPr="00E0793A">
        <w:rPr>
          <w:rFonts w:ascii="Times New Roman" w:hAnsi="Times New Roman"/>
          <w:color w:val="auto"/>
          <w:sz w:val="24"/>
          <w:szCs w:val="24"/>
        </w:rPr>
        <w:t>Canito</w:t>
      </w:r>
      <w:proofErr w:type="spellEnd"/>
      <w:r w:rsidR="00E0793A" w:rsidRPr="00E0793A">
        <w:rPr>
          <w:rFonts w:ascii="Times New Roman" w:hAnsi="Times New Roman"/>
          <w:color w:val="auto"/>
          <w:sz w:val="24"/>
          <w:szCs w:val="24"/>
        </w:rPr>
        <w:t xml:space="preserve"> et al. 2021</w:t>
      </w:r>
      <w:r w:rsidR="00E0793A">
        <w:rPr>
          <w:rFonts w:ascii="Times New Roman" w:hAnsi="Times New Roman"/>
          <w:color w:val="auto"/>
          <w:sz w:val="24"/>
          <w:szCs w:val="24"/>
        </w:rPr>
        <w:t xml:space="preserve">; </w:t>
      </w:r>
      <w:proofErr w:type="spellStart"/>
      <w:r w:rsidR="00DE6750" w:rsidRPr="00DE6750">
        <w:rPr>
          <w:rFonts w:ascii="Times New Roman" w:hAnsi="Times New Roman"/>
          <w:color w:val="auto"/>
          <w:sz w:val="24"/>
          <w:szCs w:val="24"/>
        </w:rPr>
        <w:t>Dukare</w:t>
      </w:r>
      <w:proofErr w:type="spellEnd"/>
      <w:r w:rsidR="00DE6750" w:rsidRPr="00DE6750">
        <w:rPr>
          <w:rFonts w:ascii="Times New Roman" w:hAnsi="Times New Roman"/>
          <w:color w:val="auto"/>
          <w:sz w:val="24"/>
          <w:szCs w:val="24"/>
        </w:rPr>
        <w:t xml:space="preserve"> et al. 2019</w:t>
      </w:r>
      <w:r w:rsidR="00DE6750">
        <w:rPr>
          <w:rFonts w:ascii="Times New Roman" w:hAnsi="Times New Roman"/>
          <w:color w:val="auto"/>
          <w:sz w:val="24"/>
          <w:szCs w:val="24"/>
        </w:rPr>
        <w:t xml:space="preserve">; </w:t>
      </w:r>
      <w:r w:rsidR="009514AC" w:rsidRPr="00E0793A">
        <w:rPr>
          <w:rFonts w:ascii="Times New Roman" w:hAnsi="Times New Roman"/>
          <w:sz w:val="24"/>
        </w:rPr>
        <w:t>Jimenez and Köhl 2020</w:t>
      </w:r>
      <w:r w:rsidR="009514AC">
        <w:rPr>
          <w:rFonts w:ascii="Times New Roman" w:hAnsi="Times New Roman"/>
          <w:sz w:val="24"/>
        </w:rPr>
        <w:t xml:space="preserve">; </w:t>
      </w:r>
      <w:r w:rsidR="00DE6750" w:rsidRPr="00DE6750">
        <w:rPr>
          <w:rFonts w:ascii="Times New Roman" w:hAnsi="Times New Roman"/>
          <w:color w:val="auto"/>
          <w:sz w:val="24"/>
        </w:rPr>
        <w:t>Nunes 2012</w:t>
      </w:r>
      <w:r w:rsidR="00DE6750">
        <w:rPr>
          <w:rFonts w:ascii="Times New Roman" w:hAnsi="Times New Roman"/>
          <w:color w:val="auto"/>
          <w:sz w:val="24"/>
        </w:rPr>
        <w:t xml:space="preserve">; </w:t>
      </w:r>
      <w:r w:rsidR="000F3BCD" w:rsidRPr="000F3BCD">
        <w:rPr>
          <w:rFonts w:ascii="Times New Roman" w:hAnsi="Times New Roman"/>
          <w:color w:val="auto"/>
          <w:sz w:val="24"/>
        </w:rPr>
        <w:t>Reyes-Bravo et al. 2021</w:t>
      </w:r>
      <w:r w:rsidR="000F3BCD">
        <w:rPr>
          <w:rFonts w:ascii="Times New Roman" w:hAnsi="Times New Roman"/>
          <w:color w:val="auto"/>
          <w:sz w:val="24"/>
        </w:rPr>
        <w:t xml:space="preserve">; </w:t>
      </w:r>
      <w:r w:rsidR="00F16EF8" w:rsidRPr="00F16EF8">
        <w:rPr>
          <w:rFonts w:ascii="Times New Roman" w:hAnsi="Times New Roman"/>
          <w:color w:val="auto"/>
          <w:sz w:val="24"/>
        </w:rPr>
        <w:t>Salerno et al. 2024</w:t>
      </w:r>
      <w:r w:rsidR="00F16EF8">
        <w:rPr>
          <w:rFonts w:ascii="Times New Roman" w:hAnsi="Times New Roman"/>
          <w:color w:val="auto"/>
          <w:sz w:val="24"/>
        </w:rPr>
        <w:t xml:space="preserve">; </w:t>
      </w:r>
      <w:r w:rsidR="00742148" w:rsidRPr="00742148">
        <w:rPr>
          <w:rFonts w:ascii="Times New Roman" w:hAnsi="Times New Roman"/>
          <w:color w:val="auto"/>
          <w:sz w:val="24"/>
        </w:rPr>
        <w:t>Zhang et al. 2020a</w:t>
      </w:r>
      <w:r w:rsidR="00742148">
        <w:rPr>
          <w:rFonts w:ascii="Times New Roman" w:hAnsi="Times New Roman"/>
          <w:color w:val="auto"/>
          <w:sz w:val="24"/>
          <w:szCs w:val="24"/>
        </w:rPr>
        <w:t>)</w:t>
      </w:r>
      <w:r w:rsidRPr="00125A2F">
        <w:rPr>
          <w:rFonts w:ascii="Times New Roman" w:hAnsi="Times New Roman"/>
          <w:color w:val="auto"/>
          <w:sz w:val="24"/>
          <w:szCs w:val="24"/>
        </w:rPr>
        <w:t>. The lower efficacy of biological control in B systems compared to W systems, especially when using strains AP11 and AP13 against three fungal pathogens (Table 3: R(</w:t>
      </w:r>
      <w:proofErr w:type="spellStart"/>
      <w:r w:rsidRPr="00125A2F">
        <w:rPr>
          <w:rFonts w:ascii="Times New Roman" w:hAnsi="Times New Roman"/>
          <w:color w:val="auto"/>
          <w:sz w:val="24"/>
          <w:szCs w:val="24"/>
        </w:rPr>
        <w:t>cin</w:t>
      </w:r>
      <w:proofErr w:type="spellEnd"/>
      <w:r w:rsidRPr="00125A2F">
        <w:rPr>
          <w:rFonts w:ascii="Times New Roman" w:hAnsi="Times New Roman"/>
          <w:color w:val="auto"/>
          <w:sz w:val="24"/>
          <w:szCs w:val="24"/>
        </w:rPr>
        <w:t>) ≈ 2, R(nig) ≈ 2, R(</w:t>
      </w:r>
      <w:proofErr w:type="spellStart"/>
      <w:r w:rsidRPr="00125A2F">
        <w:rPr>
          <w:rFonts w:ascii="Times New Roman" w:hAnsi="Times New Roman"/>
          <w:color w:val="auto"/>
          <w:sz w:val="24"/>
          <w:szCs w:val="24"/>
        </w:rPr>
        <w:t>st</w:t>
      </w:r>
      <w:proofErr w:type="spellEnd"/>
      <w:r w:rsidRPr="00125A2F">
        <w:rPr>
          <w:rFonts w:ascii="Times New Roman" w:hAnsi="Times New Roman"/>
          <w:color w:val="auto"/>
          <w:sz w:val="24"/>
          <w:szCs w:val="24"/>
        </w:rPr>
        <w:t xml:space="preserve">) ≈ 2), can be linked to extreme nutritional conditions in the B systems and possibly other ecological differences between the B and W systems. These differences may inactivate one or more fungistatic mechanisms in strains AP11 and AP13. According to the criteria for selecting ideal BCAs, microorganisms proposed as BCAs should remain stable under extreme conditions </w:t>
      </w:r>
      <w:r w:rsidR="00742148">
        <w:rPr>
          <w:rFonts w:ascii="Times New Roman" w:hAnsi="Times New Roman"/>
          <w:color w:val="auto"/>
          <w:sz w:val="24"/>
          <w:szCs w:val="24"/>
        </w:rPr>
        <w:t>(</w:t>
      </w:r>
      <w:r w:rsidR="009514AC" w:rsidRPr="00E0793A">
        <w:rPr>
          <w:rFonts w:ascii="Times New Roman" w:hAnsi="Times New Roman"/>
          <w:sz w:val="24"/>
        </w:rPr>
        <w:t>Jimenez and Köhl 2020</w:t>
      </w:r>
      <w:r w:rsidR="009514AC">
        <w:rPr>
          <w:rFonts w:ascii="Times New Roman" w:hAnsi="Times New Roman"/>
          <w:sz w:val="24"/>
        </w:rPr>
        <w:t xml:space="preserve">; </w:t>
      </w:r>
      <w:r w:rsidR="00742148" w:rsidRPr="00742148">
        <w:rPr>
          <w:rFonts w:ascii="Times New Roman" w:hAnsi="Times New Roman"/>
          <w:color w:val="auto"/>
          <w:sz w:val="24"/>
        </w:rPr>
        <w:t>Wilson and Wisniewski 1989</w:t>
      </w:r>
      <w:r w:rsidR="00742148">
        <w:rPr>
          <w:rFonts w:ascii="Times New Roman" w:hAnsi="Times New Roman"/>
          <w:color w:val="auto"/>
          <w:sz w:val="24"/>
          <w:szCs w:val="24"/>
        </w:rPr>
        <w:t>)</w:t>
      </w:r>
      <w:r w:rsidRPr="00125A2F">
        <w:rPr>
          <w:rFonts w:ascii="Times New Roman" w:hAnsi="Times New Roman"/>
          <w:color w:val="auto"/>
          <w:sz w:val="24"/>
          <w:szCs w:val="24"/>
        </w:rPr>
        <w:t>. Therefore, strains AP11 and AP13 do not meet the standards of ideal BCAs because they cannot sustain their biocontrol efficacy in the B systems, which mimic the extreme environmental conditions typically seen before and after harvest (Table 3, R(pat) ≥ 2).</w:t>
      </w:r>
    </w:p>
    <w:p w14:paraId="04562481" w14:textId="3B221493" w:rsidR="00BA29ED" w:rsidRPr="00125A2F" w:rsidRDefault="00BA29ED" w:rsidP="008D327D">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lastRenderedPageBreak/>
        <w:t xml:space="preserve">Possibly due to the instability of </w:t>
      </w:r>
      <w:r w:rsidRPr="00125A2F">
        <w:rPr>
          <w:rFonts w:ascii="Times New Roman" w:hAnsi="Times New Roman"/>
          <w:i/>
          <w:color w:val="auto"/>
          <w:sz w:val="24"/>
          <w:szCs w:val="24"/>
        </w:rPr>
        <w:t>A. pullulans</w:t>
      </w:r>
      <w:r w:rsidRPr="00125A2F">
        <w:rPr>
          <w:rFonts w:ascii="Times New Roman" w:hAnsi="Times New Roman"/>
          <w:color w:val="auto"/>
          <w:sz w:val="24"/>
          <w:szCs w:val="24"/>
        </w:rPr>
        <w:t xml:space="preserve"> strains AP11 and AP13, we observed significantly lower biocontrol efficacy in the challenging conditions of the B systems when using these strains than when using </w:t>
      </w:r>
      <w:r w:rsidRPr="00125A2F">
        <w:rPr>
          <w:rFonts w:ascii="Times New Roman" w:hAnsi="Times New Roman"/>
          <w:i/>
          <w:color w:val="auto"/>
          <w:sz w:val="24"/>
          <w:szCs w:val="24"/>
        </w:rPr>
        <w:t>A. pullulans</w:t>
      </w:r>
      <w:r w:rsidRPr="00125A2F">
        <w:rPr>
          <w:rFonts w:ascii="Times New Roman" w:hAnsi="Times New Roman"/>
          <w:color w:val="auto"/>
          <w:sz w:val="24"/>
          <w:szCs w:val="24"/>
        </w:rPr>
        <w:t xml:space="preserve"> strain L47 against similar fungal pathogens </w:t>
      </w:r>
      <w:r w:rsidR="0083045B">
        <w:rPr>
          <w:rFonts w:ascii="Times New Roman" w:hAnsi="Times New Roman"/>
          <w:color w:val="auto"/>
          <w:sz w:val="24"/>
          <w:szCs w:val="24"/>
        </w:rPr>
        <w:t>(</w:t>
      </w:r>
      <w:r w:rsidR="0083045B" w:rsidRPr="0083045B">
        <w:rPr>
          <w:rFonts w:ascii="Times New Roman" w:hAnsi="Times New Roman"/>
          <w:color w:val="auto"/>
          <w:sz w:val="24"/>
        </w:rPr>
        <w:t>Schena et al. 1999</w:t>
      </w:r>
      <w:r w:rsidR="0083045B">
        <w:rPr>
          <w:rFonts w:ascii="Times New Roman" w:hAnsi="Times New Roman"/>
          <w:color w:val="auto"/>
          <w:sz w:val="24"/>
          <w:szCs w:val="24"/>
        </w:rPr>
        <w:t>)</w:t>
      </w:r>
      <w:r w:rsidRPr="00125A2F">
        <w:rPr>
          <w:rFonts w:ascii="Times New Roman" w:hAnsi="Times New Roman"/>
          <w:color w:val="auto"/>
          <w:sz w:val="24"/>
          <w:szCs w:val="24"/>
        </w:rPr>
        <w:t>, as discussed in the previous section.</w:t>
      </w:r>
    </w:p>
    <w:p w14:paraId="77C31D63" w14:textId="05EA1793" w:rsidR="00BA29ED" w:rsidRPr="00125A2F" w:rsidRDefault="00BA29ED" w:rsidP="008D327D">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 xml:space="preserve">The </w:t>
      </w:r>
      <w:r w:rsidRPr="00125A2F">
        <w:rPr>
          <w:rFonts w:ascii="Times New Roman" w:hAnsi="Times New Roman"/>
          <w:i/>
          <w:color w:val="auto"/>
          <w:sz w:val="24"/>
          <w:szCs w:val="24"/>
        </w:rPr>
        <w:t>A. pullulans</w:t>
      </w:r>
      <w:r w:rsidRPr="00125A2F">
        <w:rPr>
          <w:rFonts w:ascii="Times New Roman" w:hAnsi="Times New Roman"/>
          <w:color w:val="auto"/>
          <w:sz w:val="24"/>
          <w:szCs w:val="24"/>
        </w:rPr>
        <w:t xml:space="preserve"> strains AP11 and AP13 isolated in this study are, first, less effective than </w:t>
      </w:r>
      <w:r w:rsidRPr="00125A2F">
        <w:rPr>
          <w:rFonts w:ascii="Times New Roman" w:hAnsi="Times New Roman"/>
          <w:i/>
          <w:color w:val="auto"/>
          <w:sz w:val="24"/>
          <w:szCs w:val="24"/>
        </w:rPr>
        <w:t>A. pullulans</w:t>
      </w:r>
      <w:r w:rsidRPr="00125A2F">
        <w:rPr>
          <w:rFonts w:ascii="Times New Roman" w:hAnsi="Times New Roman"/>
          <w:color w:val="auto"/>
          <w:sz w:val="24"/>
          <w:szCs w:val="24"/>
        </w:rPr>
        <w:t xml:space="preserve"> strain 47 reported in the literature and, second, unstable under harsh conditions of the microenvironment of unwounded grape berries in bunches (see Table 3). Therefore, strains AP11 and AP13 do not meet the screening criteria for antagonistic yeasts as BCAs </w:t>
      </w:r>
      <w:r w:rsidR="00742148">
        <w:rPr>
          <w:rFonts w:ascii="Times New Roman" w:hAnsi="Times New Roman"/>
          <w:color w:val="auto"/>
          <w:sz w:val="24"/>
          <w:szCs w:val="24"/>
        </w:rPr>
        <w:t>(</w:t>
      </w:r>
      <w:r w:rsidR="009514AC" w:rsidRPr="00E0793A">
        <w:rPr>
          <w:rFonts w:ascii="Times New Roman" w:hAnsi="Times New Roman"/>
          <w:sz w:val="24"/>
        </w:rPr>
        <w:t>Jimenez and Köhl 2020</w:t>
      </w:r>
      <w:r w:rsidR="009514AC">
        <w:rPr>
          <w:rFonts w:ascii="Times New Roman" w:hAnsi="Times New Roman"/>
          <w:sz w:val="24"/>
        </w:rPr>
        <w:t xml:space="preserve">; </w:t>
      </w:r>
      <w:r w:rsidR="00742148" w:rsidRPr="00742148">
        <w:rPr>
          <w:rFonts w:ascii="Times New Roman" w:hAnsi="Times New Roman"/>
          <w:color w:val="auto"/>
          <w:sz w:val="24"/>
        </w:rPr>
        <w:t>Wilson and Wisniewski 1989</w:t>
      </w:r>
      <w:r w:rsidR="00742148">
        <w:rPr>
          <w:rFonts w:ascii="Times New Roman" w:hAnsi="Times New Roman"/>
          <w:color w:val="auto"/>
          <w:sz w:val="24"/>
          <w:szCs w:val="24"/>
        </w:rPr>
        <w:t>)</w:t>
      </w:r>
      <w:r w:rsidRPr="00125A2F">
        <w:rPr>
          <w:rFonts w:ascii="Times New Roman" w:hAnsi="Times New Roman"/>
          <w:color w:val="auto"/>
          <w:sz w:val="24"/>
          <w:szCs w:val="24"/>
        </w:rPr>
        <w:t>.</w:t>
      </w:r>
    </w:p>
    <w:p w14:paraId="134B4578" w14:textId="0F8A4309" w:rsidR="00BA29ED" w:rsidRPr="00125A2F" w:rsidRDefault="00BA29ED" w:rsidP="008D327D">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In contrast, the similar biocontrol efficacy in B and W systems, especially when using strains A2 and HU15 against gray and black mold pathogens (Table 3: R(</w:t>
      </w:r>
      <w:proofErr w:type="spellStart"/>
      <w:r w:rsidRPr="00125A2F">
        <w:rPr>
          <w:rFonts w:ascii="Times New Roman" w:hAnsi="Times New Roman"/>
          <w:color w:val="auto"/>
          <w:sz w:val="24"/>
          <w:szCs w:val="24"/>
        </w:rPr>
        <w:t>cin</w:t>
      </w:r>
      <w:proofErr w:type="spellEnd"/>
      <w:r w:rsidRPr="00125A2F">
        <w:rPr>
          <w:rFonts w:ascii="Times New Roman" w:hAnsi="Times New Roman"/>
          <w:color w:val="auto"/>
          <w:sz w:val="24"/>
          <w:szCs w:val="24"/>
        </w:rPr>
        <w:t xml:space="preserve">) ≈ 1, R(nig) ≈ 1), may indicate the stability and adaptability of these yeast strains to the harsh conditions of the B systems. Therefore, they meet the screening criteria for antagonistic yeasts as biocontrol agents </w:t>
      </w:r>
      <w:r w:rsidR="00742148">
        <w:rPr>
          <w:rFonts w:ascii="Times New Roman" w:hAnsi="Times New Roman"/>
          <w:color w:val="auto"/>
          <w:sz w:val="24"/>
          <w:szCs w:val="24"/>
        </w:rPr>
        <w:t>(</w:t>
      </w:r>
      <w:r w:rsidR="009514AC" w:rsidRPr="00E0793A">
        <w:rPr>
          <w:rFonts w:ascii="Times New Roman" w:hAnsi="Times New Roman"/>
          <w:sz w:val="24"/>
        </w:rPr>
        <w:t>Jimenez and Köhl 2020</w:t>
      </w:r>
      <w:r w:rsidR="009514AC">
        <w:rPr>
          <w:rFonts w:ascii="Times New Roman" w:hAnsi="Times New Roman"/>
          <w:sz w:val="24"/>
        </w:rPr>
        <w:t xml:space="preserve">; </w:t>
      </w:r>
      <w:r w:rsidR="00742148" w:rsidRPr="00742148">
        <w:rPr>
          <w:rFonts w:ascii="Times New Roman" w:hAnsi="Times New Roman"/>
          <w:color w:val="auto"/>
          <w:sz w:val="24"/>
        </w:rPr>
        <w:t>Wilson and Wisniewski 1989</w:t>
      </w:r>
      <w:r w:rsidR="00742148">
        <w:rPr>
          <w:rFonts w:ascii="Times New Roman" w:hAnsi="Times New Roman"/>
          <w:color w:val="auto"/>
          <w:sz w:val="24"/>
          <w:szCs w:val="24"/>
        </w:rPr>
        <w:t>)</w:t>
      </w:r>
      <w:r w:rsidRPr="00125A2F">
        <w:rPr>
          <w:rFonts w:ascii="Times New Roman" w:hAnsi="Times New Roman"/>
          <w:color w:val="auto"/>
          <w:sz w:val="24"/>
          <w:szCs w:val="24"/>
        </w:rPr>
        <w:t xml:space="preserve">. </w:t>
      </w:r>
    </w:p>
    <w:p w14:paraId="49B4D2A7" w14:textId="77777777" w:rsidR="00BA29ED" w:rsidRPr="00125A2F" w:rsidRDefault="00BA29ED" w:rsidP="008D327D">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 xml:space="preserve">A different pattern appears in the biocontrol efficacies of the B systems using antagonists against the </w:t>
      </w:r>
      <w:r w:rsidRPr="00125A2F">
        <w:rPr>
          <w:rFonts w:ascii="Times New Roman" w:hAnsi="Times New Roman"/>
          <w:i/>
          <w:color w:val="auto"/>
          <w:sz w:val="24"/>
          <w:szCs w:val="24"/>
        </w:rPr>
        <w:t xml:space="preserve">R. </w:t>
      </w:r>
      <w:proofErr w:type="spellStart"/>
      <w:r w:rsidRPr="00125A2F">
        <w:rPr>
          <w:rFonts w:ascii="Times New Roman" w:hAnsi="Times New Roman"/>
          <w:i/>
          <w:color w:val="auto"/>
          <w:sz w:val="24"/>
          <w:szCs w:val="24"/>
        </w:rPr>
        <w:t>stolonifer</w:t>
      </w:r>
      <w:proofErr w:type="spellEnd"/>
      <w:r w:rsidRPr="00125A2F">
        <w:rPr>
          <w:rFonts w:ascii="Times New Roman" w:hAnsi="Times New Roman"/>
          <w:color w:val="auto"/>
          <w:sz w:val="24"/>
          <w:szCs w:val="24"/>
        </w:rPr>
        <w:t xml:space="preserve"> strain 6227b, with R(</w:t>
      </w:r>
      <w:proofErr w:type="spellStart"/>
      <w:r w:rsidRPr="00125A2F">
        <w:rPr>
          <w:rFonts w:ascii="Times New Roman" w:hAnsi="Times New Roman"/>
          <w:color w:val="auto"/>
          <w:sz w:val="24"/>
          <w:szCs w:val="24"/>
        </w:rPr>
        <w:t>st</w:t>
      </w:r>
      <w:proofErr w:type="spellEnd"/>
      <w:r w:rsidRPr="00125A2F">
        <w:rPr>
          <w:rFonts w:ascii="Times New Roman" w:hAnsi="Times New Roman"/>
          <w:color w:val="auto"/>
          <w:sz w:val="24"/>
          <w:szCs w:val="24"/>
        </w:rPr>
        <w:t>) values ranging from 1.45 to 2.11 (see Table 3). The BEB (</w:t>
      </w:r>
      <w:proofErr w:type="spellStart"/>
      <w:r w:rsidRPr="00125A2F">
        <w:rPr>
          <w:rFonts w:ascii="Times New Roman" w:hAnsi="Times New Roman"/>
          <w:color w:val="auto"/>
          <w:sz w:val="24"/>
          <w:szCs w:val="24"/>
        </w:rPr>
        <w:t>st</w:t>
      </w:r>
      <w:proofErr w:type="spellEnd"/>
      <w:r w:rsidRPr="00125A2F">
        <w:rPr>
          <w:rFonts w:ascii="Times New Roman" w:hAnsi="Times New Roman"/>
          <w:color w:val="auto"/>
          <w:sz w:val="24"/>
          <w:szCs w:val="24"/>
        </w:rPr>
        <w:t>) of system B decreases by 1.5 times when using antagonist A2 compared to the BEW (</w:t>
      </w:r>
      <w:proofErr w:type="spellStart"/>
      <w:r w:rsidRPr="00125A2F">
        <w:rPr>
          <w:rFonts w:ascii="Times New Roman" w:hAnsi="Times New Roman"/>
          <w:color w:val="auto"/>
          <w:sz w:val="24"/>
          <w:szCs w:val="24"/>
        </w:rPr>
        <w:t>st</w:t>
      </w:r>
      <w:proofErr w:type="spellEnd"/>
      <w:r w:rsidRPr="00125A2F">
        <w:rPr>
          <w:rFonts w:ascii="Times New Roman" w:hAnsi="Times New Roman"/>
          <w:color w:val="auto"/>
          <w:sz w:val="24"/>
          <w:szCs w:val="24"/>
        </w:rPr>
        <w:t>) of system W. It decreases by 1.45 times in system B with the antagonist HU15 compared to system W. Additionally, BEB (</w:t>
      </w:r>
      <w:proofErr w:type="spellStart"/>
      <w:r w:rsidRPr="00125A2F">
        <w:rPr>
          <w:rFonts w:ascii="Times New Roman" w:hAnsi="Times New Roman"/>
          <w:color w:val="auto"/>
          <w:sz w:val="24"/>
          <w:szCs w:val="24"/>
        </w:rPr>
        <w:t>st</w:t>
      </w:r>
      <w:proofErr w:type="spellEnd"/>
      <w:r w:rsidRPr="00125A2F">
        <w:rPr>
          <w:rFonts w:ascii="Times New Roman" w:hAnsi="Times New Roman"/>
          <w:color w:val="auto"/>
          <w:sz w:val="24"/>
          <w:szCs w:val="24"/>
        </w:rPr>
        <w:t>) is cut in half when strains A11, A13, and CL03 are used in system B compared to system W (see Table 3).</w:t>
      </w:r>
    </w:p>
    <w:p w14:paraId="39022424" w14:textId="77777777" w:rsidR="00BA29ED" w:rsidRPr="00125A2F" w:rsidRDefault="00BA29ED" w:rsidP="008D327D">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We suggest that the lower BEB (</w:t>
      </w:r>
      <w:proofErr w:type="spellStart"/>
      <w:r w:rsidRPr="00125A2F">
        <w:rPr>
          <w:rFonts w:ascii="Times New Roman" w:hAnsi="Times New Roman"/>
          <w:color w:val="auto"/>
          <w:sz w:val="24"/>
          <w:szCs w:val="24"/>
        </w:rPr>
        <w:t>st</w:t>
      </w:r>
      <w:proofErr w:type="spellEnd"/>
      <w:r w:rsidRPr="00125A2F">
        <w:rPr>
          <w:rFonts w:ascii="Times New Roman" w:hAnsi="Times New Roman"/>
          <w:color w:val="auto"/>
          <w:sz w:val="24"/>
          <w:szCs w:val="24"/>
        </w:rPr>
        <w:t xml:space="preserve">) observed when using antagonists A2 and HU15 is mainly due to the increased “aggressiveness” of R. </w:t>
      </w:r>
      <w:proofErr w:type="spellStart"/>
      <w:r w:rsidRPr="00125A2F">
        <w:rPr>
          <w:rFonts w:ascii="Times New Roman" w:hAnsi="Times New Roman"/>
          <w:color w:val="auto"/>
          <w:sz w:val="24"/>
          <w:szCs w:val="24"/>
        </w:rPr>
        <w:t>stolonifer</w:t>
      </w:r>
      <w:proofErr w:type="spellEnd"/>
      <w:r w:rsidRPr="00125A2F">
        <w:rPr>
          <w:rFonts w:ascii="Times New Roman" w:hAnsi="Times New Roman"/>
          <w:color w:val="auto"/>
          <w:sz w:val="24"/>
          <w:szCs w:val="24"/>
        </w:rPr>
        <w:t xml:space="preserve"> rather than to the instability of the A2 and HU15 strains. The values of R(</w:t>
      </w:r>
      <w:proofErr w:type="spellStart"/>
      <w:r w:rsidRPr="00125A2F">
        <w:rPr>
          <w:rFonts w:ascii="Times New Roman" w:hAnsi="Times New Roman"/>
          <w:color w:val="auto"/>
          <w:sz w:val="24"/>
          <w:szCs w:val="24"/>
        </w:rPr>
        <w:t>cin</w:t>
      </w:r>
      <w:proofErr w:type="spellEnd"/>
      <w:r w:rsidRPr="00125A2F">
        <w:rPr>
          <w:rFonts w:ascii="Times New Roman" w:hAnsi="Times New Roman"/>
          <w:color w:val="auto"/>
          <w:sz w:val="24"/>
          <w:szCs w:val="24"/>
        </w:rPr>
        <w:t>) approximately equal to 1 and R(nig) roughly equal to 1 (see Table 3) indicate that these yeast strains are stable and adaptable in the B system's challenging environment.</w:t>
      </w:r>
    </w:p>
    <w:p w14:paraId="223139E5" w14:textId="03E2E03F" w:rsidR="00BA29ED" w:rsidRPr="00125A2F" w:rsidRDefault="00BA29ED" w:rsidP="008D327D">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 xml:space="preserve">One possible reason for the aggressiveness of strain 6227b compared with the other two fungi in the studied </w:t>
      </w:r>
      <w:proofErr w:type="spellStart"/>
      <w:r w:rsidRPr="00125A2F">
        <w:rPr>
          <w:rFonts w:ascii="Times New Roman" w:hAnsi="Times New Roman"/>
          <w:color w:val="auto"/>
          <w:sz w:val="24"/>
          <w:szCs w:val="24"/>
        </w:rPr>
        <w:t>tritrophic</w:t>
      </w:r>
      <w:proofErr w:type="spellEnd"/>
      <w:r w:rsidRPr="00125A2F">
        <w:rPr>
          <w:rFonts w:ascii="Times New Roman" w:hAnsi="Times New Roman"/>
          <w:color w:val="auto"/>
          <w:sz w:val="24"/>
          <w:szCs w:val="24"/>
        </w:rPr>
        <w:t xml:space="preserve"> and </w:t>
      </w:r>
      <w:proofErr w:type="spellStart"/>
      <w:r w:rsidRPr="00125A2F">
        <w:rPr>
          <w:rFonts w:ascii="Times New Roman" w:hAnsi="Times New Roman"/>
          <w:color w:val="auto"/>
          <w:sz w:val="24"/>
          <w:szCs w:val="24"/>
        </w:rPr>
        <w:t>bitrophic</w:t>
      </w:r>
      <w:proofErr w:type="spellEnd"/>
      <w:r w:rsidRPr="00125A2F">
        <w:rPr>
          <w:rFonts w:ascii="Times New Roman" w:hAnsi="Times New Roman"/>
          <w:color w:val="auto"/>
          <w:sz w:val="24"/>
          <w:szCs w:val="24"/>
        </w:rPr>
        <w:t xml:space="preserve"> control systems is its greater ability to suppress host immune responses </w:t>
      </w:r>
      <w:r w:rsidR="00297CEC">
        <w:rPr>
          <w:rFonts w:ascii="Times New Roman" w:hAnsi="Times New Roman"/>
          <w:color w:val="auto"/>
          <w:sz w:val="24"/>
          <w:szCs w:val="24"/>
        </w:rPr>
        <w:t>(</w:t>
      </w:r>
      <w:proofErr w:type="spellStart"/>
      <w:r w:rsidR="00297CEC" w:rsidRPr="009670C9">
        <w:rPr>
          <w:rFonts w:ascii="Times New Roman" w:hAnsi="Times New Roman"/>
          <w:color w:val="auto"/>
          <w:sz w:val="24"/>
          <w:szCs w:val="24"/>
        </w:rPr>
        <w:t>Rovenich</w:t>
      </w:r>
      <w:proofErr w:type="spellEnd"/>
      <w:r w:rsidR="00297CEC" w:rsidRPr="009670C9">
        <w:rPr>
          <w:rFonts w:ascii="Times New Roman" w:hAnsi="Times New Roman"/>
          <w:color w:val="auto"/>
          <w:sz w:val="24"/>
          <w:szCs w:val="24"/>
        </w:rPr>
        <w:t xml:space="preserve"> et al. 2014</w:t>
      </w:r>
      <w:r w:rsidR="00297CEC">
        <w:rPr>
          <w:rFonts w:ascii="Times New Roman" w:hAnsi="Times New Roman"/>
          <w:color w:val="auto"/>
          <w:sz w:val="24"/>
          <w:szCs w:val="24"/>
        </w:rPr>
        <w:t>)</w:t>
      </w:r>
      <w:r w:rsidRPr="00125A2F">
        <w:rPr>
          <w:rFonts w:ascii="Times New Roman" w:hAnsi="Times New Roman"/>
          <w:color w:val="auto"/>
          <w:sz w:val="24"/>
          <w:szCs w:val="24"/>
        </w:rPr>
        <w:t xml:space="preserve">. For this “aggressive” strategy to succeed, the fungal pathogen must withstand the harsh conditions in the B systems. Additionally, the aggressiveness of strain 6227b might increase because it can penetrate native fruits under certain circumstances, thanks to its production of extracellular hydrolytic enzymes </w:t>
      </w:r>
      <w:r w:rsidR="00205408">
        <w:rPr>
          <w:rFonts w:ascii="Times New Roman" w:hAnsi="Times New Roman"/>
          <w:color w:val="auto"/>
          <w:sz w:val="24"/>
          <w:szCs w:val="24"/>
        </w:rPr>
        <w:t>(</w:t>
      </w:r>
      <w:r w:rsidR="00205408" w:rsidRPr="00205408">
        <w:rPr>
          <w:rFonts w:ascii="Times New Roman" w:hAnsi="Times New Roman"/>
          <w:color w:val="auto"/>
          <w:sz w:val="24"/>
          <w:szCs w:val="24"/>
          <w:lang w:eastAsia="en-US"/>
        </w:rPr>
        <w:t>Baggio et al. 2016</w:t>
      </w:r>
      <w:r w:rsidR="00205408">
        <w:rPr>
          <w:rFonts w:ascii="Times New Roman" w:hAnsi="Times New Roman"/>
          <w:color w:val="auto"/>
          <w:sz w:val="24"/>
          <w:szCs w:val="24"/>
        </w:rPr>
        <w:t>)</w:t>
      </w:r>
      <w:r w:rsidRPr="00125A2F">
        <w:rPr>
          <w:rFonts w:ascii="Times New Roman" w:hAnsi="Times New Roman"/>
          <w:color w:val="auto"/>
          <w:sz w:val="24"/>
          <w:szCs w:val="24"/>
        </w:rPr>
        <w:t>.</w:t>
      </w:r>
    </w:p>
    <w:p w14:paraId="5586BE3D" w14:textId="4ADD70F1" w:rsidR="00BA29ED" w:rsidRPr="00125A2F" w:rsidRDefault="00BA29ED" w:rsidP="008D327D">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 xml:space="preserve">Antagonistic yeast strains A2 and HU15, unlike strains AP11 and AP13, demonstrate stability and effectively control the gray and black mold pathogens B. cinerea F-RKM 1032 </w:t>
      </w:r>
      <w:r w:rsidRPr="00125A2F">
        <w:rPr>
          <w:rFonts w:ascii="Times New Roman" w:hAnsi="Times New Roman"/>
          <w:color w:val="auto"/>
          <w:sz w:val="24"/>
          <w:szCs w:val="24"/>
        </w:rPr>
        <w:lastRenderedPageBreak/>
        <w:t xml:space="preserve">and A. </w:t>
      </w:r>
      <w:proofErr w:type="spellStart"/>
      <w:r w:rsidRPr="00125A2F">
        <w:rPr>
          <w:rFonts w:ascii="Times New Roman" w:hAnsi="Times New Roman"/>
          <w:color w:val="auto"/>
          <w:sz w:val="24"/>
          <w:szCs w:val="24"/>
        </w:rPr>
        <w:t>niger</w:t>
      </w:r>
      <w:proofErr w:type="spellEnd"/>
      <w:r w:rsidRPr="00125A2F">
        <w:rPr>
          <w:rFonts w:ascii="Times New Roman" w:hAnsi="Times New Roman"/>
          <w:color w:val="auto"/>
          <w:sz w:val="24"/>
          <w:szCs w:val="24"/>
        </w:rPr>
        <w:t xml:space="preserve"> ATCC 6275 under stressful conditions in the B. system. These findings indicate their ability to adapt and survive as BCAs in system B. However, the high aggressiveness of strain 6227b has weakened grape resistance and increased the infection rate, significantly reducing the BEB (</w:t>
      </w:r>
      <w:proofErr w:type="spellStart"/>
      <w:r w:rsidRPr="00125A2F">
        <w:rPr>
          <w:rFonts w:ascii="Times New Roman" w:hAnsi="Times New Roman"/>
          <w:color w:val="auto"/>
          <w:sz w:val="24"/>
          <w:szCs w:val="24"/>
        </w:rPr>
        <w:t>st</w:t>
      </w:r>
      <w:proofErr w:type="spellEnd"/>
      <w:r w:rsidRPr="00125A2F">
        <w:rPr>
          <w:rFonts w:ascii="Times New Roman" w:hAnsi="Times New Roman"/>
          <w:color w:val="auto"/>
          <w:sz w:val="24"/>
          <w:szCs w:val="24"/>
        </w:rPr>
        <w:t xml:space="preserve">). This reduction is unlikely to be due to the inactivation of strains A2 and H15. Despite the challenges in system B, the stability of strains A2 and HU15 remained unaffected, as they continued to control the other two pathogens (see Table 3). Therefore, strains A2 and HU15 continue to demonstrate stability against </w:t>
      </w:r>
      <w:r w:rsidRPr="00125A2F">
        <w:rPr>
          <w:rFonts w:ascii="Times New Roman" w:hAnsi="Times New Roman"/>
          <w:i/>
          <w:color w:val="auto"/>
          <w:sz w:val="24"/>
          <w:szCs w:val="24"/>
        </w:rPr>
        <w:t>Rhizopus</w:t>
      </w:r>
      <w:r w:rsidRPr="00125A2F">
        <w:rPr>
          <w:rFonts w:ascii="Times New Roman" w:hAnsi="Times New Roman"/>
          <w:color w:val="auto"/>
          <w:sz w:val="24"/>
          <w:szCs w:val="24"/>
        </w:rPr>
        <w:t xml:space="preserve"> rot strain 6227b in system B and meet the screening criteria for antagonistic yeasts as BCAs </w:t>
      </w:r>
      <w:r w:rsidR="00742148">
        <w:rPr>
          <w:rFonts w:ascii="Times New Roman" w:hAnsi="Times New Roman"/>
          <w:color w:val="auto"/>
          <w:sz w:val="24"/>
          <w:szCs w:val="24"/>
        </w:rPr>
        <w:t>(</w:t>
      </w:r>
      <w:r w:rsidR="009514AC" w:rsidRPr="00E0793A">
        <w:rPr>
          <w:rFonts w:ascii="Times New Roman" w:hAnsi="Times New Roman"/>
          <w:sz w:val="24"/>
        </w:rPr>
        <w:t>Jimenez and Köhl 2020</w:t>
      </w:r>
      <w:r w:rsidR="009514AC">
        <w:rPr>
          <w:rFonts w:ascii="Times New Roman" w:hAnsi="Times New Roman"/>
          <w:sz w:val="24"/>
        </w:rPr>
        <w:t xml:space="preserve">; </w:t>
      </w:r>
      <w:r w:rsidR="00742148" w:rsidRPr="00742148">
        <w:rPr>
          <w:rFonts w:ascii="Times New Roman" w:hAnsi="Times New Roman"/>
          <w:color w:val="auto"/>
          <w:sz w:val="24"/>
        </w:rPr>
        <w:t>Wilson and Wisniewski 1989</w:t>
      </w:r>
      <w:r w:rsidR="00742148">
        <w:rPr>
          <w:rFonts w:ascii="Times New Roman" w:hAnsi="Times New Roman"/>
          <w:color w:val="auto"/>
          <w:sz w:val="24"/>
          <w:szCs w:val="24"/>
        </w:rPr>
        <w:t>)</w:t>
      </w:r>
      <w:r w:rsidRPr="00125A2F">
        <w:rPr>
          <w:rFonts w:ascii="Times New Roman" w:hAnsi="Times New Roman"/>
          <w:color w:val="auto"/>
          <w:sz w:val="24"/>
          <w:szCs w:val="24"/>
        </w:rPr>
        <w:t>.</w:t>
      </w:r>
    </w:p>
    <w:p w14:paraId="2D3CFEE8" w14:textId="77777777" w:rsidR="00BA29ED" w:rsidRPr="00125A2F" w:rsidRDefault="00BA29ED" w:rsidP="008D327D">
      <w:pPr>
        <w:pStyle w:val="MDPI31text"/>
        <w:spacing w:line="360" w:lineRule="auto"/>
        <w:ind w:left="0" w:firstLine="567"/>
        <w:rPr>
          <w:rFonts w:ascii="Times New Roman" w:hAnsi="Times New Roman"/>
          <w:color w:val="auto"/>
          <w:sz w:val="24"/>
          <w:szCs w:val="24"/>
        </w:rPr>
      </w:pPr>
      <w:r w:rsidRPr="00125A2F">
        <w:rPr>
          <w:rFonts w:ascii="Times New Roman" w:hAnsi="Times New Roman"/>
          <w:color w:val="auto"/>
          <w:sz w:val="24"/>
          <w:szCs w:val="24"/>
        </w:rPr>
        <w:t xml:space="preserve">The hypotheses regarding the aggressiveness of the </w:t>
      </w:r>
      <w:r w:rsidRPr="00125A2F">
        <w:rPr>
          <w:rFonts w:ascii="Times New Roman" w:hAnsi="Times New Roman"/>
          <w:i/>
          <w:color w:val="auto"/>
          <w:sz w:val="24"/>
          <w:szCs w:val="24"/>
        </w:rPr>
        <w:t>Rhizopus</w:t>
      </w:r>
      <w:r w:rsidRPr="00125A2F">
        <w:rPr>
          <w:rFonts w:ascii="Times New Roman" w:hAnsi="Times New Roman"/>
          <w:color w:val="auto"/>
          <w:sz w:val="24"/>
          <w:szCs w:val="24"/>
        </w:rPr>
        <w:t xml:space="preserve"> rot strain 6227b and the assumption that the A2 and HU15 strains remain stable under extreme conditions in the B systems are supported by the results of the selectivity tests for protection against fungal pathogens in the W and B systems, as shown in the next section.</w:t>
      </w:r>
    </w:p>
    <w:p w14:paraId="180BCE78" w14:textId="77777777" w:rsidR="00BA29ED" w:rsidRPr="00125A2F" w:rsidRDefault="00BA29ED" w:rsidP="008D327D">
      <w:pPr>
        <w:pStyle w:val="MDPI31text"/>
        <w:spacing w:line="360" w:lineRule="auto"/>
        <w:ind w:left="0" w:firstLine="567"/>
        <w:rPr>
          <w:rFonts w:ascii="Times New Roman" w:hAnsi="Times New Roman"/>
          <w:color w:val="auto"/>
          <w:sz w:val="24"/>
          <w:szCs w:val="24"/>
        </w:rPr>
      </w:pPr>
    </w:p>
    <w:p w14:paraId="17FC9050" w14:textId="5759563F" w:rsidR="00BA29ED" w:rsidRPr="008D327D" w:rsidRDefault="00BA29ED" w:rsidP="008D327D">
      <w:pPr>
        <w:pStyle w:val="MDPI31text"/>
        <w:numPr>
          <w:ilvl w:val="1"/>
          <w:numId w:val="30"/>
        </w:numPr>
        <w:tabs>
          <w:tab w:val="left" w:pos="567"/>
        </w:tabs>
        <w:spacing w:line="360" w:lineRule="auto"/>
        <w:ind w:left="0" w:firstLine="0"/>
        <w:rPr>
          <w:rFonts w:ascii="Times New Roman" w:hAnsi="Times New Roman"/>
          <w:b/>
          <w:color w:val="auto"/>
          <w:sz w:val="24"/>
          <w:szCs w:val="24"/>
        </w:rPr>
      </w:pPr>
      <w:r w:rsidRPr="008D327D">
        <w:rPr>
          <w:rFonts w:ascii="Times New Roman" w:hAnsi="Times New Roman"/>
          <w:b/>
          <w:color w:val="auto"/>
          <w:sz w:val="24"/>
          <w:szCs w:val="24"/>
        </w:rPr>
        <w:t>Evaluation of the Selectivity of B and W Systems for Protecting Against a Fungal Pathogen</w:t>
      </w:r>
    </w:p>
    <w:p w14:paraId="4F3901D0" w14:textId="77777777" w:rsidR="00BA29ED" w:rsidRPr="00125A2F" w:rsidRDefault="00BA29ED" w:rsidP="008D327D">
      <w:pPr>
        <w:spacing w:line="360" w:lineRule="auto"/>
        <w:ind w:firstLine="567"/>
        <w:rPr>
          <w:color w:val="auto"/>
          <w:szCs w:val="24"/>
        </w:rPr>
      </w:pPr>
      <w:r w:rsidRPr="00125A2F">
        <w:rPr>
          <w:color w:val="auto"/>
          <w:szCs w:val="24"/>
        </w:rPr>
        <w:t xml:space="preserve">We gathered additional evidence on the aggressiveness of the </w:t>
      </w:r>
      <w:r w:rsidRPr="00125A2F">
        <w:rPr>
          <w:i/>
          <w:color w:val="auto"/>
          <w:szCs w:val="24"/>
        </w:rPr>
        <w:t>Rhizopus</w:t>
      </w:r>
      <w:r w:rsidRPr="00125A2F">
        <w:rPr>
          <w:color w:val="auto"/>
          <w:szCs w:val="24"/>
        </w:rPr>
        <w:t xml:space="preserve"> rot strain 6227b under the extreme conditions of the B system. </w:t>
      </w:r>
    </w:p>
    <w:p w14:paraId="59075D9B" w14:textId="77777777" w:rsidR="00BA29ED" w:rsidRPr="00125A2F" w:rsidRDefault="00BA29ED" w:rsidP="008D327D">
      <w:pPr>
        <w:spacing w:line="360" w:lineRule="auto"/>
        <w:ind w:firstLine="567"/>
        <w:rPr>
          <w:color w:val="auto"/>
          <w:szCs w:val="24"/>
        </w:rPr>
      </w:pPr>
      <w:r w:rsidRPr="00125A2F">
        <w:rPr>
          <w:color w:val="auto"/>
          <w:szCs w:val="24"/>
        </w:rPr>
        <w:t>Support for the hypothesis presented in Section 4.6 regarding the aggressiveness of the Rhizopus rot strain 6227b under extreme conditions in System B is demonstrated by the berry damage level caused by strain 6227b, which exceeds that caused by the gray and black rot strains 1032 and 6275, respectively (Tables 2A and 4). These measurements were conducted at equal pathogen concentrations and constant antagonist levels. Furthermore, berry size and bunch weight remained approximately unchanged.</w:t>
      </w:r>
    </w:p>
    <w:p w14:paraId="0A9EE35F" w14:textId="77777777" w:rsidR="00BA29ED" w:rsidRPr="00125A2F" w:rsidRDefault="00BA29ED" w:rsidP="008D327D">
      <w:pPr>
        <w:spacing w:line="360" w:lineRule="auto"/>
        <w:ind w:firstLine="567"/>
        <w:rPr>
          <w:color w:val="auto"/>
          <w:szCs w:val="24"/>
        </w:rPr>
      </w:pPr>
      <w:r w:rsidRPr="00125A2F">
        <w:rPr>
          <w:color w:val="auto"/>
          <w:szCs w:val="24"/>
        </w:rPr>
        <w:t xml:space="preserve">Quantitative support for the hypothesis that strain 6227b is more aggressive and causes </w:t>
      </w:r>
      <w:r w:rsidRPr="00125A2F">
        <w:rPr>
          <w:i/>
          <w:color w:val="auto"/>
          <w:szCs w:val="24"/>
        </w:rPr>
        <w:t>Rhizopus</w:t>
      </w:r>
      <w:r w:rsidRPr="00125A2F">
        <w:rPr>
          <w:color w:val="auto"/>
          <w:szCs w:val="24"/>
        </w:rPr>
        <w:t xml:space="preserve"> rot in system B follows from the assessment of system B's selectivity in defense against fungal pathogens, as shown in Tables 4–6. </w:t>
      </w:r>
    </w:p>
    <w:p w14:paraId="0C8561BF" w14:textId="1B54881F" w:rsidR="00BA29ED" w:rsidRPr="00125A2F" w:rsidRDefault="00BA29ED" w:rsidP="008D327D">
      <w:pPr>
        <w:spacing w:line="360" w:lineRule="auto"/>
        <w:ind w:firstLine="567"/>
        <w:rPr>
          <w:color w:val="auto"/>
          <w:szCs w:val="24"/>
        </w:rPr>
      </w:pPr>
      <w:r w:rsidRPr="00125A2F">
        <w:rPr>
          <w:color w:val="auto"/>
          <w:szCs w:val="24"/>
        </w:rPr>
        <w:t xml:space="preserve">To assess selective protection against different pathogens in systems W and B, we used the “overlap rule for standard errors (SE)” </w:t>
      </w:r>
      <w:r w:rsidR="008B4EA3">
        <w:rPr>
          <w:color w:val="auto"/>
          <w:szCs w:val="24"/>
        </w:rPr>
        <w:t>(</w:t>
      </w:r>
      <w:r w:rsidR="008B4EA3" w:rsidRPr="008B4EA3">
        <w:rPr>
          <w:color w:val="auto"/>
          <w:lang w:bidi="en-US"/>
        </w:rPr>
        <w:t>Cumming</w:t>
      </w:r>
      <w:r w:rsidR="008B4EA3" w:rsidRPr="008B4EA3">
        <w:rPr>
          <w:color w:val="auto"/>
        </w:rPr>
        <w:t xml:space="preserve"> et al. 2007</w:t>
      </w:r>
      <w:r w:rsidR="008B4EA3">
        <w:rPr>
          <w:color w:val="auto"/>
          <w:szCs w:val="24"/>
        </w:rPr>
        <w:t>)</w:t>
      </w:r>
      <w:r w:rsidRPr="00125A2F">
        <w:rPr>
          <w:color w:val="auto"/>
          <w:szCs w:val="24"/>
        </w:rPr>
        <w:t xml:space="preserve">. This method involved analyzing the percentage of infected berries in grape bunches (PIBS) for system B (see Table 2A) and the percentage of infected wounds in grape berries (PIWS) for system W (see Table 1A). </w:t>
      </w:r>
    </w:p>
    <w:p w14:paraId="740392A2" w14:textId="77777777" w:rsidR="00BA29ED" w:rsidRPr="00125A2F" w:rsidRDefault="00BA29ED" w:rsidP="008D327D">
      <w:pPr>
        <w:spacing w:line="360" w:lineRule="auto"/>
        <w:ind w:firstLine="567"/>
        <w:rPr>
          <w:color w:val="auto"/>
          <w:szCs w:val="24"/>
        </w:rPr>
      </w:pPr>
      <w:r w:rsidRPr="00125A2F">
        <w:rPr>
          <w:color w:val="auto"/>
          <w:szCs w:val="24"/>
        </w:rPr>
        <w:lastRenderedPageBreak/>
        <w:t xml:space="preserve">The selectivity of B systems using strains A2, HU15, CL03, and AP11 in protecting against gray and black mold strains, but not against the </w:t>
      </w:r>
      <w:r w:rsidRPr="00125A2F">
        <w:rPr>
          <w:i/>
          <w:color w:val="auto"/>
          <w:szCs w:val="24"/>
        </w:rPr>
        <w:t>Rhizopus</w:t>
      </w:r>
      <w:r w:rsidRPr="00125A2F">
        <w:rPr>
          <w:color w:val="auto"/>
          <w:szCs w:val="24"/>
        </w:rPr>
        <w:t xml:space="preserve"> rot strain 6227b, highlights the latter's invulnerability and aggressiveness in infecting grape cluster berries (see Table 6). </w:t>
      </w:r>
    </w:p>
    <w:p w14:paraId="481D3E2C" w14:textId="77777777" w:rsidR="00BA29ED" w:rsidRPr="00125A2F" w:rsidRDefault="00BA29ED" w:rsidP="008D327D">
      <w:pPr>
        <w:spacing w:line="360" w:lineRule="auto"/>
        <w:ind w:firstLine="567"/>
        <w:rPr>
          <w:color w:val="auto"/>
          <w:szCs w:val="24"/>
        </w:rPr>
      </w:pPr>
      <w:r w:rsidRPr="00125A2F">
        <w:rPr>
          <w:color w:val="auto"/>
          <w:szCs w:val="24"/>
        </w:rPr>
        <w:t xml:space="preserve">Our earlier observation (see Table 3) and the suggestion there that the lower BEB(st) values compared to BEW(st) with the A2 and HU15 antagonists were mainly due to the increased “aggressiveness” of the </w:t>
      </w:r>
      <w:r w:rsidRPr="00125A2F">
        <w:rPr>
          <w:i/>
          <w:color w:val="auto"/>
          <w:szCs w:val="24"/>
        </w:rPr>
        <w:t>R.</w:t>
      </w:r>
      <w:r w:rsidRPr="00125A2F">
        <w:rPr>
          <w:color w:val="auto"/>
          <w:szCs w:val="24"/>
        </w:rPr>
        <w:t xml:space="preserve"> </w:t>
      </w:r>
      <w:r w:rsidRPr="00125A2F">
        <w:rPr>
          <w:i/>
          <w:color w:val="auto"/>
          <w:szCs w:val="24"/>
        </w:rPr>
        <w:t>stolonifer</w:t>
      </w:r>
      <w:r w:rsidRPr="00125A2F">
        <w:rPr>
          <w:color w:val="auto"/>
          <w:szCs w:val="24"/>
        </w:rPr>
        <w:t xml:space="preserve"> 6227b strain rather than to the inactivation of the A2 and HU15 strains were confirmed by the data on the selectivity of systems B (see Tables 4 and 6).</w:t>
      </w:r>
    </w:p>
    <w:p w14:paraId="24E6F86D" w14:textId="77777777" w:rsidR="00BA29ED" w:rsidRPr="00125A2F" w:rsidRDefault="00BA29ED" w:rsidP="008D327D">
      <w:pPr>
        <w:spacing w:line="360" w:lineRule="auto"/>
        <w:ind w:firstLine="567"/>
        <w:rPr>
          <w:color w:val="auto"/>
          <w:szCs w:val="24"/>
        </w:rPr>
      </w:pPr>
      <w:r w:rsidRPr="00125A2F">
        <w:rPr>
          <w:color w:val="auto"/>
          <w:szCs w:val="24"/>
        </w:rPr>
        <w:t>Thus, strains A2 and HU15 meet the BCA selection criteria and are promising biocontrol candidates worthy of further investigation.</w:t>
      </w:r>
    </w:p>
    <w:p w14:paraId="3A425B3F" w14:textId="4BD52A4A" w:rsidR="00397A3C" w:rsidRPr="00BA29ED" w:rsidRDefault="00BA29ED" w:rsidP="008D327D">
      <w:pPr>
        <w:pStyle w:val="afa"/>
        <w:spacing w:line="360" w:lineRule="auto"/>
        <w:ind w:firstLine="567"/>
        <w:rPr>
          <w:color w:val="auto"/>
        </w:rPr>
      </w:pPr>
      <w:r w:rsidRPr="00125A2F">
        <w:rPr>
          <w:color w:val="auto"/>
        </w:rPr>
        <w:t xml:space="preserve">W systems using strains A2, HU15, CL03, and AP11 showed no selectivity in protection against gray and black mold, compared with protection against </w:t>
      </w:r>
      <w:r w:rsidRPr="00125A2F">
        <w:rPr>
          <w:i/>
          <w:color w:val="auto"/>
        </w:rPr>
        <w:t>Rhizopus</w:t>
      </w:r>
      <w:r w:rsidRPr="00125A2F">
        <w:rPr>
          <w:color w:val="auto"/>
        </w:rPr>
        <w:t xml:space="preserve"> rot of strain 6227b (see Tables 5 and 6). This result is likely explained by the free access of nutrients to yeasts and pathogens in the grape wound </w:t>
      </w:r>
      <w:r w:rsidRPr="00BA29ED">
        <w:rPr>
          <w:color w:val="auto"/>
        </w:rPr>
        <w:t>microenvironment</w:t>
      </w:r>
      <w:r w:rsidR="00397A3C" w:rsidRPr="00BA29ED">
        <w:rPr>
          <w:color w:val="auto"/>
        </w:rPr>
        <w:t>.</w:t>
      </w:r>
    </w:p>
    <w:p w14:paraId="1EB34533" w14:textId="77777777" w:rsidR="00397A3C" w:rsidRPr="008D327D" w:rsidRDefault="00397A3C" w:rsidP="008D327D">
      <w:pPr>
        <w:pStyle w:val="MDPI31text"/>
        <w:spacing w:line="360" w:lineRule="auto"/>
        <w:ind w:left="0" w:firstLine="567"/>
        <w:rPr>
          <w:rFonts w:ascii="Times New Roman" w:hAnsi="Times New Roman"/>
          <w:color w:val="auto"/>
          <w:sz w:val="24"/>
          <w:szCs w:val="24"/>
        </w:rPr>
      </w:pPr>
    </w:p>
    <w:p w14:paraId="76C50951" w14:textId="3868315F" w:rsidR="00C5353E" w:rsidRPr="008D327D" w:rsidRDefault="00C5353E" w:rsidP="00C5353E">
      <w:pPr>
        <w:pStyle w:val="MDPI21heading1"/>
        <w:numPr>
          <w:ilvl w:val="0"/>
          <w:numId w:val="30"/>
        </w:numPr>
        <w:tabs>
          <w:tab w:val="left" w:pos="567"/>
        </w:tabs>
        <w:spacing w:before="0" w:after="0" w:line="360" w:lineRule="auto"/>
        <w:ind w:left="0" w:firstLine="0"/>
        <w:rPr>
          <w:rFonts w:ascii="Times New Roman" w:hAnsi="Times New Roman"/>
          <w:color w:val="auto"/>
          <w:sz w:val="24"/>
          <w:szCs w:val="24"/>
          <w:lang w:val="ru-RU"/>
        </w:rPr>
      </w:pPr>
      <w:r w:rsidRPr="008D327D">
        <w:rPr>
          <w:rFonts w:ascii="Times New Roman" w:hAnsi="Times New Roman"/>
          <w:color w:val="auto"/>
          <w:sz w:val="24"/>
          <w:szCs w:val="24"/>
        </w:rPr>
        <w:t>CONCLUSION</w:t>
      </w:r>
      <w:r w:rsidR="008D327D" w:rsidRPr="008D327D">
        <w:rPr>
          <w:rFonts w:ascii="Times New Roman" w:hAnsi="Times New Roman"/>
          <w:color w:val="auto"/>
          <w:sz w:val="24"/>
          <w:szCs w:val="24"/>
        </w:rPr>
        <w:t>S</w:t>
      </w:r>
    </w:p>
    <w:p w14:paraId="0C2EDDC2" w14:textId="25EE9D09" w:rsidR="00607D84" w:rsidRPr="00607D84" w:rsidRDefault="00607D84" w:rsidP="00607D84">
      <w:pPr>
        <w:pStyle w:val="MDPI38bullet"/>
        <w:numPr>
          <w:ilvl w:val="0"/>
          <w:numId w:val="0"/>
        </w:numPr>
        <w:spacing w:line="360" w:lineRule="auto"/>
        <w:ind w:firstLine="567"/>
        <w:rPr>
          <w:rFonts w:ascii="Times New Roman" w:hAnsi="Times New Roman"/>
          <w:color w:val="auto"/>
          <w:sz w:val="24"/>
          <w:szCs w:val="24"/>
        </w:rPr>
      </w:pPr>
      <w:r w:rsidRPr="00607D84">
        <w:rPr>
          <w:rFonts w:ascii="Times New Roman" w:hAnsi="Times New Roman"/>
          <w:color w:val="auto"/>
          <w:sz w:val="24"/>
          <w:szCs w:val="24"/>
        </w:rPr>
        <w:t xml:space="preserve">We used a two-stage screening process to isolate epiphytic yeast strains with BCA-like properties from the local grape variety </w:t>
      </w:r>
      <w:r w:rsidRPr="00607D84">
        <w:rPr>
          <w:rFonts w:ascii="Times New Roman" w:hAnsi="Times New Roman"/>
          <w:i/>
          <w:color w:val="auto"/>
          <w:sz w:val="24"/>
          <w:szCs w:val="24"/>
        </w:rPr>
        <w:t>Aisulu</w:t>
      </w:r>
      <w:r w:rsidRPr="00607D84">
        <w:rPr>
          <w:rFonts w:ascii="Times New Roman" w:hAnsi="Times New Roman"/>
          <w:color w:val="auto"/>
          <w:sz w:val="24"/>
          <w:szCs w:val="24"/>
        </w:rPr>
        <w:t xml:space="preserve">. First, we conducted </w:t>
      </w:r>
      <w:r w:rsidRPr="00607D84">
        <w:rPr>
          <w:rFonts w:ascii="Times New Roman" w:hAnsi="Times New Roman"/>
          <w:i/>
          <w:color w:val="auto"/>
          <w:sz w:val="24"/>
          <w:szCs w:val="24"/>
        </w:rPr>
        <w:t>in vitro</w:t>
      </w:r>
      <w:r w:rsidRPr="00607D84">
        <w:rPr>
          <w:rFonts w:ascii="Times New Roman" w:hAnsi="Times New Roman"/>
          <w:color w:val="auto"/>
          <w:sz w:val="24"/>
          <w:szCs w:val="24"/>
        </w:rPr>
        <w:t xml:space="preserve"> tests to evaluate the antagonistic and biofilm-forming activities of 34 epiphytic yeast isolates. We eliminated 23 isolates for their lower activity.</w:t>
      </w:r>
    </w:p>
    <w:p w14:paraId="7CFE0F66" w14:textId="77777777" w:rsidR="00607D84" w:rsidRPr="00607D84" w:rsidRDefault="00607D84" w:rsidP="00607D84">
      <w:pPr>
        <w:pStyle w:val="MDPI38bullet"/>
        <w:numPr>
          <w:ilvl w:val="0"/>
          <w:numId w:val="0"/>
        </w:numPr>
        <w:spacing w:line="360" w:lineRule="auto"/>
        <w:ind w:firstLine="567"/>
        <w:rPr>
          <w:rFonts w:ascii="Times New Roman" w:hAnsi="Times New Roman"/>
          <w:color w:val="auto"/>
          <w:sz w:val="24"/>
          <w:szCs w:val="24"/>
        </w:rPr>
      </w:pPr>
      <w:r w:rsidRPr="00607D84">
        <w:rPr>
          <w:rFonts w:ascii="Times New Roman" w:hAnsi="Times New Roman"/>
          <w:color w:val="auto"/>
          <w:sz w:val="24"/>
          <w:szCs w:val="24"/>
        </w:rPr>
        <w:t xml:space="preserve">In the second stage, we evaluated the effectiveness of 11 selected yeast strains as BCAs against the three most destructive fungal pathogens affecting crops in model postharvest systems, specifically W and B. The systems included microenvironments of both artificially wounded and unwounded grape berries in bunches. We eliminated six strains because they were less effective at reducing the percentage of infected wounds caused by fungal pathogens in the W systems. Of the remaining five strains, we dismissed three because of their lower performance in decreasing the percentage of infected unwounded grape berries in bunches within the B systems, as well as the potential health risks associated with strain </w:t>
      </w:r>
      <w:r w:rsidRPr="00607D84">
        <w:rPr>
          <w:rFonts w:ascii="Times New Roman" w:hAnsi="Times New Roman"/>
          <w:i/>
          <w:color w:val="auto"/>
          <w:sz w:val="24"/>
          <w:szCs w:val="24"/>
        </w:rPr>
        <w:t xml:space="preserve">C. </w:t>
      </w:r>
      <w:proofErr w:type="spellStart"/>
      <w:r w:rsidRPr="00607D84">
        <w:rPr>
          <w:rFonts w:ascii="Times New Roman" w:hAnsi="Times New Roman"/>
          <w:i/>
          <w:color w:val="auto"/>
          <w:sz w:val="24"/>
          <w:szCs w:val="24"/>
        </w:rPr>
        <w:t>lusitaniae</w:t>
      </w:r>
      <w:proofErr w:type="spellEnd"/>
      <w:r w:rsidRPr="00607D84">
        <w:rPr>
          <w:rFonts w:ascii="Times New Roman" w:hAnsi="Times New Roman"/>
          <w:color w:val="auto"/>
          <w:sz w:val="24"/>
          <w:szCs w:val="24"/>
        </w:rPr>
        <w:t xml:space="preserve"> CL03. </w:t>
      </w:r>
    </w:p>
    <w:p w14:paraId="39A1B78A" w14:textId="77777777" w:rsidR="00607D84" w:rsidRPr="00607D84" w:rsidRDefault="00607D84" w:rsidP="00607D84">
      <w:pPr>
        <w:pStyle w:val="MDPI38bullet"/>
        <w:numPr>
          <w:ilvl w:val="0"/>
          <w:numId w:val="0"/>
        </w:numPr>
        <w:spacing w:line="360" w:lineRule="auto"/>
        <w:ind w:firstLine="567"/>
        <w:rPr>
          <w:rFonts w:ascii="Times New Roman" w:hAnsi="Times New Roman"/>
          <w:color w:val="auto"/>
          <w:sz w:val="24"/>
          <w:szCs w:val="24"/>
        </w:rPr>
      </w:pPr>
      <w:r w:rsidRPr="00607D84">
        <w:rPr>
          <w:rFonts w:ascii="Times New Roman" w:hAnsi="Times New Roman"/>
          <w:color w:val="auto"/>
          <w:sz w:val="24"/>
          <w:szCs w:val="24"/>
        </w:rPr>
        <w:t xml:space="preserve">Ultimately, we selected the two most effective yeast strains, </w:t>
      </w:r>
      <w:r w:rsidRPr="00607D84">
        <w:rPr>
          <w:rFonts w:ascii="Times New Roman" w:hAnsi="Times New Roman"/>
          <w:i/>
          <w:color w:val="auto"/>
          <w:sz w:val="24"/>
          <w:szCs w:val="24"/>
        </w:rPr>
        <w:t>M. pulcherrima</w:t>
      </w:r>
      <w:r w:rsidRPr="00607D84">
        <w:rPr>
          <w:rFonts w:ascii="Times New Roman" w:hAnsi="Times New Roman"/>
          <w:color w:val="auto"/>
          <w:sz w:val="24"/>
          <w:szCs w:val="24"/>
        </w:rPr>
        <w:t xml:space="preserve"> A2 and </w:t>
      </w:r>
      <w:r w:rsidRPr="00607D84">
        <w:rPr>
          <w:rFonts w:ascii="Times New Roman" w:hAnsi="Times New Roman"/>
          <w:i/>
          <w:color w:val="auto"/>
          <w:sz w:val="24"/>
          <w:szCs w:val="24"/>
        </w:rPr>
        <w:t>H.</w:t>
      </w:r>
      <w:r w:rsidRPr="00607D84">
        <w:rPr>
          <w:rFonts w:ascii="Times New Roman" w:hAnsi="Times New Roman"/>
          <w:color w:val="auto"/>
          <w:sz w:val="24"/>
          <w:szCs w:val="24"/>
        </w:rPr>
        <w:t xml:space="preserve"> </w:t>
      </w:r>
      <w:proofErr w:type="spellStart"/>
      <w:r w:rsidRPr="00607D84">
        <w:rPr>
          <w:rFonts w:ascii="Times New Roman" w:hAnsi="Times New Roman"/>
          <w:i/>
          <w:color w:val="auto"/>
          <w:sz w:val="24"/>
          <w:szCs w:val="24"/>
        </w:rPr>
        <w:t>uvarum</w:t>
      </w:r>
      <w:proofErr w:type="spellEnd"/>
      <w:r w:rsidRPr="00607D84">
        <w:rPr>
          <w:rFonts w:ascii="Times New Roman" w:hAnsi="Times New Roman"/>
          <w:color w:val="auto"/>
          <w:sz w:val="24"/>
          <w:szCs w:val="24"/>
        </w:rPr>
        <w:t xml:space="preserve"> HU15, as BCAs. These strains demonstrated biocontrol efficacy in the B systems, comparable to or exceeding that reported in the literature.</w:t>
      </w:r>
    </w:p>
    <w:p w14:paraId="0C0AE9CD" w14:textId="77777777" w:rsidR="00607D84" w:rsidRPr="00607D84" w:rsidRDefault="00607D84" w:rsidP="00607D84">
      <w:pPr>
        <w:pStyle w:val="MDPI38bullet"/>
        <w:numPr>
          <w:ilvl w:val="0"/>
          <w:numId w:val="0"/>
        </w:numPr>
        <w:spacing w:line="360" w:lineRule="auto"/>
        <w:ind w:firstLine="567"/>
        <w:rPr>
          <w:rFonts w:ascii="Times New Roman" w:hAnsi="Times New Roman"/>
          <w:color w:val="auto"/>
          <w:sz w:val="24"/>
          <w:szCs w:val="24"/>
        </w:rPr>
      </w:pPr>
      <w:r w:rsidRPr="00607D84">
        <w:rPr>
          <w:rFonts w:ascii="Times New Roman" w:hAnsi="Times New Roman"/>
          <w:color w:val="auto"/>
          <w:sz w:val="24"/>
          <w:szCs w:val="24"/>
        </w:rPr>
        <w:lastRenderedPageBreak/>
        <w:t xml:space="preserve">Each of the three fungal pathogen strains affects grape berries differently in the W and B systems. In the B systems, the </w:t>
      </w:r>
      <w:r w:rsidRPr="00607D84">
        <w:rPr>
          <w:rFonts w:ascii="Times New Roman" w:hAnsi="Times New Roman"/>
          <w:i/>
          <w:color w:val="auto"/>
          <w:sz w:val="24"/>
          <w:szCs w:val="24"/>
        </w:rPr>
        <w:t xml:space="preserve">R. </w:t>
      </w:r>
      <w:proofErr w:type="spellStart"/>
      <w:r w:rsidRPr="00607D84">
        <w:rPr>
          <w:rFonts w:ascii="Times New Roman" w:hAnsi="Times New Roman"/>
          <w:i/>
          <w:color w:val="auto"/>
          <w:sz w:val="24"/>
          <w:szCs w:val="24"/>
        </w:rPr>
        <w:t>stolonifer</w:t>
      </w:r>
      <w:proofErr w:type="spellEnd"/>
      <w:r w:rsidRPr="00607D84">
        <w:rPr>
          <w:rFonts w:ascii="Times New Roman" w:hAnsi="Times New Roman"/>
          <w:color w:val="auto"/>
          <w:sz w:val="24"/>
          <w:szCs w:val="24"/>
        </w:rPr>
        <w:t xml:space="preserve"> strain (ATCC 6227b) is more aggressive under harsh conditions of the microenvironment of unwounded grape berries in bunches. </w:t>
      </w:r>
    </w:p>
    <w:p w14:paraId="0003687C" w14:textId="19B80796" w:rsidR="00C5353E" w:rsidRPr="00607D84" w:rsidRDefault="00607D84" w:rsidP="00607D84">
      <w:pPr>
        <w:pStyle w:val="afa"/>
        <w:spacing w:line="360" w:lineRule="auto"/>
        <w:ind w:firstLine="567"/>
        <w:rPr>
          <w:color w:val="auto"/>
        </w:rPr>
      </w:pPr>
      <w:r w:rsidRPr="00607D84">
        <w:rPr>
          <w:color w:val="auto"/>
        </w:rPr>
        <w:t xml:space="preserve">The effectiveness of strains </w:t>
      </w:r>
      <w:r w:rsidRPr="00607D84">
        <w:rPr>
          <w:i/>
          <w:color w:val="auto"/>
        </w:rPr>
        <w:t>M. pulcherrima</w:t>
      </w:r>
      <w:r w:rsidRPr="00607D84">
        <w:rPr>
          <w:color w:val="auto"/>
        </w:rPr>
        <w:t xml:space="preserve"> A2 and </w:t>
      </w:r>
      <w:r w:rsidRPr="00607D84">
        <w:rPr>
          <w:i/>
          <w:color w:val="auto"/>
        </w:rPr>
        <w:t>H. uvarum</w:t>
      </w:r>
      <w:r w:rsidRPr="00607D84">
        <w:rPr>
          <w:color w:val="auto"/>
        </w:rPr>
        <w:t xml:space="preserve"> HU15 as biological control agents offers a promising alternative to synthetic fungicides. Further research should focus on elucidating the mechanisms underlying the colonization and survival of these BCAs in vineyard environments and on enhancing their effectiveness through potential combinations with phytohormones, yeast mixtures, or genetic modifications</w:t>
      </w:r>
      <w:r w:rsidR="00C5353E" w:rsidRPr="00607D84">
        <w:rPr>
          <w:color w:val="auto"/>
        </w:rPr>
        <w:t>.</w:t>
      </w:r>
    </w:p>
    <w:p w14:paraId="1DCBFA7F" w14:textId="77777777" w:rsidR="00C5353E" w:rsidRPr="00607D84" w:rsidRDefault="00C5353E" w:rsidP="00607D84">
      <w:pPr>
        <w:pStyle w:val="MDPI31text"/>
        <w:spacing w:line="360" w:lineRule="auto"/>
        <w:ind w:left="0" w:firstLine="567"/>
        <w:rPr>
          <w:rFonts w:ascii="Times New Roman" w:hAnsi="Times New Roman"/>
          <w:color w:val="auto"/>
          <w:sz w:val="24"/>
          <w:szCs w:val="24"/>
        </w:rPr>
      </w:pPr>
    </w:p>
    <w:p w14:paraId="5E7269AD" w14:textId="35B24D5B" w:rsidR="00397A3C" w:rsidRPr="00D13C98" w:rsidRDefault="00397A3C" w:rsidP="00D13C98">
      <w:pPr>
        <w:pStyle w:val="MDPI31text"/>
        <w:spacing w:line="360" w:lineRule="auto"/>
        <w:ind w:left="0" w:firstLine="0"/>
        <w:rPr>
          <w:rFonts w:ascii="Times New Roman" w:hAnsi="Times New Roman"/>
          <w:color w:val="auto"/>
          <w:sz w:val="24"/>
          <w:szCs w:val="24"/>
        </w:rPr>
      </w:pPr>
      <w:r w:rsidRPr="00C01121">
        <w:rPr>
          <w:rFonts w:ascii="Times New Roman" w:hAnsi="Times New Roman"/>
          <w:b/>
          <w:bCs/>
          <w:color w:val="auto"/>
          <w:sz w:val="24"/>
          <w:szCs w:val="24"/>
        </w:rPr>
        <w:t>F</w:t>
      </w:r>
      <w:r w:rsidR="00F4777F" w:rsidRPr="00C01121">
        <w:rPr>
          <w:rFonts w:ascii="Times New Roman" w:hAnsi="Times New Roman"/>
          <w:b/>
          <w:bCs/>
          <w:color w:val="auto"/>
          <w:sz w:val="24"/>
          <w:szCs w:val="24"/>
        </w:rPr>
        <w:t>unding</w:t>
      </w:r>
      <w:r w:rsidRPr="00C01121">
        <w:rPr>
          <w:rFonts w:ascii="Times New Roman" w:hAnsi="Times New Roman"/>
          <w:b/>
          <w:bCs/>
          <w:color w:val="auto"/>
          <w:sz w:val="24"/>
          <w:szCs w:val="24"/>
        </w:rPr>
        <w:t>:</w:t>
      </w:r>
      <w:r w:rsidRPr="00C01121">
        <w:rPr>
          <w:rFonts w:ascii="Times New Roman" w:hAnsi="Times New Roman"/>
          <w:color w:val="auto"/>
          <w:sz w:val="24"/>
          <w:szCs w:val="24"/>
        </w:rPr>
        <w:t xml:space="preserve"> </w:t>
      </w:r>
      <w:r w:rsidR="00D13C98" w:rsidRPr="00C01121">
        <w:rPr>
          <w:rFonts w:ascii="Times New Roman" w:hAnsi="Times New Roman"/>
          <w:color w:val="auto"/>
          <w:sz w:val="24"/>
          <w:szCs w:val="24"/>
        </w:rPr>
        <w:t>This research was funded by the Science Committee of the Ministry of Science and Higher Education of the Republic of Kazakhstan within the framework of Targeted funding of the Program BR34637320.</w:t>
      </w:r>
    </w:p>
    <w:p w14:paraId="0F07663D" w14:textId="77777777" w:rsidR="00D772AE" w:rsidRPr="008C283F" w:rsidRDefault="00D772AE" w:rsidP="00D772AE">
      <w:pPr>
        <w:pStyle w:val="MDPI31text"/>
        <w:spacing w:line="360" w:lineRule="auto"/>
        <w:ind w:left="0" w:firstLine="0"/>
        <w:rPr>
          <w:rFonts w:ascii="Times New Roman" w:hAnsi="Times New Roman"/>
          <w:color w:val="FF0000"/>
          <w:sz w:val="24"/>
          <w:szCs w:val="24"/>
        </w:rPr>
      </w:pPr>
    </w:p>
    <w:p w14:paraId="29E9DC92" w14:textId="045B85C5" w:rsidR="00D772AE" w:rsidRPr="00482A77" w:rsidRDefault="00D772AE" w:rsidP="00D772AE">
      <w:pPr>
        <w:spacing w:line="360" w:lineRule="auto"/>
        <w:rPr>
          <w:color w:val="auto"/>
          <w:szCs w:val="24"/>
        </w:rPr>
      </w:pPr>
      <w:r w:rsidRPr="00482A77">
        <w:rPr>
          <w:b/>
          <w:color w:val="auto"/>
          <w:szCs w:val="24"/>
        </w:rPr>
        <w:t xml:space="preserve">Acknowledgments: </w:t>
      </w:r>
      <w:bookmarkStart w:id="0" w:name="OLE_LINK3"/>
      <w:bookmarkStart w:id="1" w:name="OLE_LINK4"/>
      <w:r w:rsidR="00482A77" w:rsidRPr="00482A77">
        <w:rPr>
          <w:color w:val="auto"/>
          <w:szCs w:val="24"/>
        </w:rPr>
        <w:t>We appreciate our colleagues at the Kazakh Research Institute of Fruit and Vegetable Growing for their assistance in obtaining and delivering the table grape varieties</w:t>
      </w:r>
      <w:r w:rsidRPr="00482A77">
        <w:rPr>
          <w:color w:val="auto"/>
          <w:szCs w:val="24"/>
        </w:rPr>
        <w:t>.</w:t>
      </w:r>
    </w:p>
    <w:p w14:paraId="37F09D06" w14:textId="77777777" w:rsidR="00D772AE" w:rsidRPr="008C283F" w:rsidRDefault="00D772AE" w:rsidP="00D772AE">
      <w:pPr>
        <w:spacing w:line="360" w:lineRule="auto"/>
        <w:rPr>
          <w:color w:val="FF0000"/>
          <w:szCs w:val="24"/>
        </w:rPr>
      </w:pPr>
    </w:p>
    <w:bookmarkEnd w:id="0"/>
    <w:bookmarkEnd w:id="1"/>
    <w:p w14:paraId="34F2A868" w14:textId="150CB23C" w:rsidR="00F4777F" w:rsidRPr="00482A77" w:rsidRDefault="00F4777F" w:rsidP="00374E79">
      <w:pPr>
        <w:spacing w:line="360" w:lineRule="auto"/>
        <w:rPr>
          <w:color w:val="auto"/>
        </w:rPr>
      </w:pPr>
      <w:r w:rsidRPr="00482A77">
        <w:rPr>
          <w:b/>
          <w:color w:val="auto"/>
        </w:rPr>
        <w:t xml:space="preserve">Conflict of Interest: </w:t>
      </w:r>
      <w:r w:rsidR="00482A77" w:rsidRPr="00482A77">
        <w:rPr>
          <w:color w:val="auto"/>
          <w:szCs w:val="24"/>
        </w:rPr>
        <w:t>The authors declare no conflicts of interest</w:t>
      </w:r>
      <w:r w:rsidRPr="00482A77">
        <w:rPr>
          <w:color w:val="auto"/>
        </w:rPr>
        <w:t>.</w:t>
      </w:r>
    </w:p>
    <w:p w14:paraId="23D6B474" w14:textId="77777777" w:rsidR="00F4777F" w:rsidRPr="00C01121" w:rsidRDefault="00F4777F" w:rsidP="00374E79">
      <w:pPr>
        <w:spacing w:line="360" w:lineRule="auto"/>
        <w:rPr>
          <w:color w:val="auto"/>
        </w:rPr>
      </w:pPr>
    </w:p>
    <w:p w14:paraId="25A24650" w14:textId="126AC8D2" w:rsidR="00F4777F" w:rsidRPr="00C01121" w:rsidRDefault="00F4777F" w:rsidP="00374E79">
      <w:pPr>
        <w:spacing w:line="360" w:lineRule="auto"/>
        <w:rPr>
          <w:color w:val="auto"/>
        </w:rPr>
      </w:pPr>
      <w:r w:rsidRPr="00C01121">
        <w:rPr>
          <w:b/>
          <w:color w:val="auto"/>
        </w:rPr>
        <w:t xml:space="preserve">Data Availability: </w:t>
      </w:r>
      <w:r w:rsidR="00F64F16" w:rsidRPr="00C01121">
        <w:rPr>
          <w:color w:val="auto"/>
        </w:rPr>
        <w:t>Data will be available upon request.</w:t>
      </w:r>
    </w:p>
    <w:p w14:paraId="0C1B93BE" w14:textId="77777777" w:rsidR="00F4777F" w:rsidRPr="00C01121" w:rsidRDefault="00F4777F" w:rsidP="00374E79">
      <w:pPr>
        <w:spacing w:line="360" w:lineRule="auto"/>
        <w:rPr>
          <w:color w:val="auto"/>
        </w:rPr>
      </w:pPr>
    </w:p>
    <w:p w14:paraId="4D535D9F" w14:textId="4763866A" w:rsidR="00374E79" w:rsidRPr="00C01121" w:rsidRDefault="00374E79" w:rsidP="00374E79">
      <w:pPr>
        <w:pStyle w:val="style7"/>
        <w:spacing w:before="0" w:beforeAutospacing="0" w:after="0" w:afterAutospacing="0" w:line="360" w:lineRule="auto"/>
        <w:jc w:val="both"/>
        <w:rPr>
          <w:lang w:val="en-US"/>
        </w:rPr>
      </w:pPr>
      <w:r w:rsidRPr="00C01121">
        <w:rPr>
          <w:b/>
          <w:bCs/>
          <w:lang w:val="en-US"/>
        </w:rPr>
        <w:t xml:space="preserve">Ethics Statement: </w:t>
      </w:r>
      <w:r w:rsidR="00482A77" w:rsidRPr="00C01121">
        <w:rPr>
          <w:shd w:val="clear" w:color="auto" w:fill="FFFFFF"/>
          <w:lang w:val="en-US"/>
        </w:rPr>
        <w:t>not applicable</w:t>
      </w:r>
      <w:r w:rsidRPr="00C01121">
        <w:rPr>
          <w:lang w:val="en-US"/>
        </w:rPr>
        <w:t>.</w:t>
      </w:r>
    </w:p>
    <w:p w14:paraId="26412726" w14:textId="77777777" w:rsidR="00374E79" w:rsidRPr="00C01121" w:rsidRDefault="00374E79" w:rsidP="00374E79">
      <w:pPr>
        <w:spacing w:line="360" w:lineRule="auto"/>
        <w:rPr>
          <w:color w:val="auto"/>
        </w:rPr>
      </w:pPr>
    </w:p>
    <w:p w14:paraId="563DE6ED" w14:textId="5C6C167D" w:rsidR="00862656" w:rsidRPr="00C01121" w:rsidRDefault="00374E79" w:rsidP="00862656">
      <w:pPr>
        <w:spacing w:line="360" w:lineRule="auto"/>
        <w:rPr>
          <w:color w:val="auto"/>
          <w:szCs w:val="24"/>
        </w:rPr>
      </w:pPr>
      <w:r w:rsidRPr="00C01121">
        <w:rPr>
          <w:b/>
          <w:color w:val="auto"/>
        </w:rPr>
        <w:t xml:space="preserve">Authors’ Contributions: </w:t>
      </w:r>
      <w:r w:rsidR="00862656" w:rsidRPr="00C01121">
        <w:rPr>
          <w:color w:val="auto"/>
          <w:szCs w:val="24"/>
        </w:rPr>
        <w:t>SS: Conceptualization, Validation, Data curation, Writing—review and editing, Supervision, Project administration. AS</w:t>
      </w:r>
      <w:r w:rsidR="00C01121" w:rsidRPr="00C01121">
        <w:rPr>
          <w:color w:val="auto"/>
          <w:szCs w:val="24"/>
        </w:rPr>
        <w:t>, ZS</w:t>
      </w:r>
      <w:r w:rsidR="00862656" w:rsidRPr="00C01121">
        <w:rPr>
          <w:color w:val="auto"/>
          <w:szCs w:val="24"/>
        </w:rPr>
        <w:t xml:space="preserve">: Investigation, Writing—original draft preparation. MU: Conceptualization, Formal analysis, Investigation, Writing—original draft preparation, Writing—review and editing. AT: </w:t>
      </w:r>
      <w:r w:rsidR="007377DA" w:rsidRPr="00C01121">
        <w:rPr>
          <w:color w:val="auto"/>
          <w:szCs w:val="24"/>
        </w:rPr>
        <w:t>Methodology, Formal analysis, Investigation, Writing—original draft preparation, Visualization. AA: Methodology, Software, Validation.</w:t>
      </w:r>
    </w:p>
    <w:p w14:paraId="2ACC3428" w14:textId="77777777" w:rsidR="00374E79" w:rsidRPr="00C01121" w:rsidRDefault="00374E79" w:rsidP="00374E79">
      <w:pPr>
        <w:spacing w:line="360" w:lineRule="auto"/>
        <w:rPr>
          <w:color w:val="auto"/>
        </w:rPr>
      </w:pPr>
    </w:p>
    <w:p w14:paraId="45F3E272" w14:textId="0C23A6CF" w:rsidR="00397A3C" w:rsidRPr="00C01121" w:rsidRDefault="00397A3C" w:rsidP="00374E79">
      <w:pPr>
        <w:spacing w:line="360" w:lineRule="auto"/>
        <w:rPr>
          <w:color w:val="auto"/>
        </w:rPr>
      </w:pPr>
      <w:r w:rsidRPr="00C01121">
        <w:rPr>
          <w:b/>
          <w:color w:val="auto"/>
        </w:rPr>
        <w:t>G</w:t>
      </w:r>
      <w:r w:rsidR="00374E79" w:rsidRPr="00C01121">
        <w:rPr>
          <w:b/>
          <w:color w:val="auto"/>
        </w:rPr>
        <w:t>enerative</w:t>
      </w:r>
      <w:r w:rsidRPr="00C01121">
        <w:rPr>
          <w:b/>
          <w:color w:val="auto"/>
        </w:rPr>
        <w:t xml:space="preserve"> AI S</w:t>
      </w:r>
      <w:r w:rsidR="00374E79" w:rsidRPr="00C01121">
        <w:rPr>
          <w:b/>
          <w:color w:val="auto"/>
        </w:rPr>
        <w:t xml:space="preserve">tatement: </w:t>
      </w:r>
      <w:r w:rsidR="008627A2" w:rsidRPr="00C01121">
        <w:rPr>
          <w:color w:val="auto"/>
        </w:rPr>
        <w:t>The authors declare that no Gen AI/DeepSeek was used in the writing/creation of this manuscript</w:t>
      </w:r>
      <w:r w:rsidRPr="00C01121">
        <w:rPr>
          <w:color w:val="auto"/>
        </w:rPr>
        <w:t>.</w:t>
      </w:r>
    </w:p>
    <w:p w14:paraId="73CFEC30" w14:textId="77777777" w:rsidR="00D54155" w:rsidRPr="008C283F" w:rsidRDefault="00D54155" w:rsidP="00374E79">
      <w:pPr>
        <w:spacing w:line="360" w:lineRule="auto"/>
        <w:rPr>
          <w:color w:val="FF0000"/>
        </w:rPr>
      </w:pPr>
    </w:p>
    <w:p w14:paraId="068385EF" w14:textId="0D3FC745" w:rsidR="00397A3C" w:rsidRPr="00340D05" w:rsidRDefault="00397A3C" w:rsidP="00397A3C">
      <w:pPr>
        <w:pStyle w:val="MDPI21heading1"/>
        <w:spacing w:before="0" w:after="120" w:line="360" w:lineRule="auto"/>
        <w:ind w:left="0"/>
        <w:rPr>
          <w:rFonts w:ascii="Times New Roman" w:hAnsi="Times New Roman"/>
          <w:color w:val="FF0000"/>
          <w:sz w:val="24"/>
          <w:szCs w:val="24"/>
        </w:rPr>
      </w:pPr>
      <w:r w:rsidRPr="005D74C7">
        <w:rPr>
          <w:rFonts w:ascii="Times New Roman" w:hAnsi="Times New Roman"/>
          <w:color w:val="auto"/>
          <w:sz w:val="24"/>
          <w:szCs w:val="24"/>
        </w:rPr>
        <w:t>REFERENCES</w:t>
      </w:r>
    </w:p>
    <w:p w14:paraId="27181A27" w14:textId="5B79EBDE" w:rsidR="00340D05" w:rsidRPr="00340D05" w:rsidRDefault="00340D05" w:rsidP="007F060F">
      <w:pPr>
        <w:spacing w:line="360" w:lineRule="auto"/>
        <w:ind w:left="567" w:hanging="567"/>
        <w:rPr>
          <w:szCs w:val="24"/>
          <w:lang w:bidi="en-US"/>
        </w:rPr>
      </w:pPr>
      <w:r w:rsidRPr="00340D05">
        <w:rPr>
          <w:szCs w:val="24"/>
          <w:lang w:bidi="en-US"/>
        </w:rPr>
        <w:lastRenderedPageBreak/>
        <w:t xml:space="preserve">Aune, D., Giovannucci, E., Boffetta, P., Fadnes, L. T., Keum, N., Norat, T., Greenwood, D. C., Riboli, E., Vatten, L. J., &amp; Tonstad, S. (2017). Fruit and vegetable intake and the risk of cardiovascular disease, total cancer, and all-cause mortality: a systematic review and dose-response meta-analysis of prospective studies. </w:t>
      </w:r>
      <w:r w:rsidRPr="00340D05">
        <w:rPr>
          <w:iCs/>
          <w:szCs w:val="24"/>
          <w:lang w:bidi="en-US"/>
        </w:rPr>
        <w:t>International Journal of Epidemiology,</w:t>
      </w:r>
      <w:r w:rsidRPr="00340D05">
        <w:rPr>
          <w:szCs w:val="24"/>
          <w:lang w:bidi="en-US"/>
        </w:rPr>
        <w:t xml:space="preserve"> 4</w:t>
      </w:r>
      <w:r w:rsidRPr="00340D05">
        <w:rPr>
          <w:iCs/>
          <w:szCs w:val="24"/>
          <w:lang w:bidi="en-US"/>
        </w:rPr>
        <w:t>6(3)</w:t>
      </w:r>
      <w:r w:rsidRPr="00340D05">
        <w:rPr>
          <w:szCs w:val="24"/>
          <w:lang w:bidi="en-US"/>
        </w:rPr>
        <w:t xml:space="preserve">, 1029-1056. </w:t>
      </w:r>
      <w:hyperlink r:id="rId8" w:history="1">
        <w:r w:rsidRPr="00340D05">
          <w:rPr>
            <w:rStyle w:val="af1"/>
            <w:szCs w:val="24"/>
            <w:lang w:bidi="en-US"/>
          </w:rPr>
          <w:t>https://doi.org/10.1093/ije/dyw319</w:t>
        </w:r>
      </w:hyperlink>
    </w:p>
    <w:p w14:paraId="5410043C" w14:textId="77777777" w:rsidR="00340D05" w:rsidRDefault="00340D05" w:rsidP="007F060F">
      <w:pPr>
        <w:spacing w:line="360" w:lineRule="auto"/>
        <w:ind w:left="567" w:hanging="567"/>
        <w:rPr>
          <w:rStyle w:val="af1"/>
          <w:color w:val="auto"/>
          <w:szCs w:val="24"/>
          <w:lang w:eastAsia="en-US" w:bidi="en-US"/>
        </w:rPr>
      </w:pPr>
      <w:r w:rsidRPr="00340D05">
        <w:rPr>
          <w:color w:val="auto"/>
          <w:szCs w:val="24"/>
          <w:lang w:eastAsia="en-US" w:bidi="en-US"/>
        </w:rPr>
        <w:t xml:space="preserve">Baggio, J. S., Gonçalves, F. P., Lourenço, S. A., Tanaka, F. A. O., Pascholati, S. F., &amp; Amorim, L. (2016). Direct penetration of </w:t>
      </w:r>
      <w:r w:rsidRPr="00340D05">
        <w:rPr>
          <w:i/>
          <w:iCs/>
          <w:color w:val="auto"/>
          <w:szCs w:val="24"/>
          <w:lang w:eastAsia="en-US" w:bidi="en-US"/>
        </w:rPr>
        <w:t>Rhizopus stolonifer</w:t>
      </w:r>
      <w:r w:rsidRPr="00340D05">
        <w:rPr>
          <w:color w:val="auto"/>
          <w:szCs w:val="24"/>
          <w:lang w:eastAsia="en-US" w:bidi="en-US"/>
        </w:rPr>
        <w:t xml:space="preserve"> into stone fruits causing rhizopus rot. </w:t>
      </w:r>
      <w:r w:rsidRPr="00340D05">
        <w:rPr>
          <w:iCs/>
          <w:color w:val="auto"/>
          <w:szCs w:val="24"/>
          <w:lang w:eastAsia="en-US" w:bidi="en-US"/>
        </w:rPr>
        <w:t>Plant Pathology,</w:t>
      </w:r>
      <w:r w:rsidRPr="00340D05">
        <w:rPr>
          <w:color w:val="auto"/>
          <w:szCs w:val="24"/>
          <w:lang w:eastAsia="en-US" w:bidi="en-US"/>
        </w:rPr>
        <w:t xml:space="preserve"> </w:t>
      </w:r>
      <w:r w:rsidRPr="00340D05">
        <w:rPr>
          <w:iCs/>
          <w:color w:val="auto"/>
          <w:szCs w:val="24"/>
          <w:lang w:eastAsia="en-US" w:bidi="en-US"/>
        </w:rPr>
        <w:t>65</w:t>
      </w:r>
      <w:r w:rsidRPr="00340D05">
        <w:rPr>
          <w:color w:val="auto"/>
          <w:szCs w:val="24"/>
          <w:lang w:eastAsia="en-US" w:bidi="en-US"/>
        </w:rPr>
        <w:t xml:space="preserve">(4), 633-642. </w:t>
      </w:r>
      <w:hyperlink r:id="rId9" w:tgtFrame="_new" w:history="1">
        <w:r w:rsidRPr="00340D05">
          <w:rPr>
            <w:rStyle w:val="af1"/>
            <w:color w:val="auto"/>
            <w:szCs w:val="24"/>
            <w:lang w:eastAsia="en-US" w:bidi="en-US"/>
          </w:rPr>
          <w:t>https://doi.org/10.1111/ppa.12434</w:t>
        </w:r>
      </w:hyperlink>
    </w:p>
    <w:p w14:paraId="2A365DE1" w14:textId="77777777" w:rsidR="00AD74B7" w:rsidRPr="00340D05" w:rsidRDefault="00AD74B7" w:rsidP="007F060F">
      <w:pPr>
        <w:spacing w:line="360" w:lineRule="auto"/>
        <w:ind w:left="567" w:hanging="567"/>
        <w:rPr>
          <w:szCs w:val="24"/>
          <w:lang w:bidi="en-US"/>
        </w:rPr>
      </w:pPr>
      <w:r w:rsidRPr="00340D05">
        <w:rPr>
          <w:szCs w:val="24"/>
          <w:lang w:bidi="en-US"/>
        </w:rPr>
        <w:t xml:space="preserve">Blanco-Ulate, B., Amrine, K. C., Collins, T. S., Rivero, R. M., Vicente, A. R., Morales-Cruz, A., Doyle, C. L., Ye, Z., Allen, G., Heymann, H., Ebeler, S. E., &amp; Cantu, D. (2015). Developmental and metabolic plasticity of white-skinned grape berries in response to </w:t>
      </w:r>
      <w:r w:rsidRPr="00340D05">
        <w:rPr>
          <w:i/>
          <w:iCs/>
          <w:szCs w:val="24"/>
          <w:lang w:bidi="en-US"/>
        </w:rPr>
        <w:t>Botrytis cinerea</w:t>
      </w:r>
      <w:r w:rsidRPr="00340D05">
        <w:rPr>
          <w:szCs w:val="24"/>
          <w:lang w:bidi="en-US"/>
        </w:rPr>
        <w:t xml:space="preserve"> during noble rot. </w:t>
      </w:r>
      <w:r w:rsidRPr="00340D05">
        <w:rPr>
          <w:iCs/>
          <w:szCs w:val="24"/>
          <w:lang w:bidi="en-US"/>
        </w:rPr>
        <w:t>Plant Physiology,</w:t>
      </w:r>
      <w:r w:rsidRPr="00340D05">
        <w:rPr>
          <w:szCs w:val="24"/>
          <w:lang w:bidi="en-US"/>
        </w:rPr>
        <w:t xml:space="preserve"> </w:t>
      </w:r>
      <w:r w:rsidRPr="00340D05">
        <w:rPr>
          <w:iCs/>
          <w:szCs w:val="24"/>
          <w:lang w:bidi="en-US"/>
        </w:rPr>
        <w:t>169(4)</w:t>
      </w:r>
      <w:r w:rsidRPr="00340D05">
        <w:rPr>
          <w:szCs w:val="24"/>
          <w:lang w:bidi="en-US"/>
        </w:rPr>
        <w:t xml:space="preserve">, 2422-2443. </w:t>
      </w:r>
      <w:hyperlink r:id="rId10" w:history="1">
        <w:r w:rsidRPr="00340D05">
          <w:rPr>
            <w:rStyle w:val="af1"/>
            <w:szCs w:val="24"/>
            <w:lang w:bidi="en-US"/>
          </w:rPr>
          <w:t>https://doi.org/10.1104/pp.15.00852</w:t>
        </w:r>
      </w:hyperlink>
    </w:p>
    <w:p w14:paraId="02BC4740" w14:textId="77777777" w:rsidR="00AD74B7" w:rsidRPr="00340D05" w:rsidRDefault="00AD74B7" w:rsidP="007F060F">
      <w:pPr>
        <w:spacing w:line="360" w:lineRule="auto"/>
        <w:ind w:left="567" w:hanging="567"/>
        <w:rPr>
          <w:szCs w:val="24"/>
          <w:lang w:bidi="en-US"/>
        </w:rPr>
      </w:pPr>
      <w:r w:rsidRPr="00340D05">
        <w:rPr>
          <w:szCs w:val="24"/>
          <w:lang w:bidi="en-US"/>
        </w:rPr>
        <w:t xml:space="preserve">Blanco-Ulate, B., Hopfer, H., Figueroa-Balderas, R., Ye, Z., Rivero, R. M., Albacete, A., </w:t>
      </w:r>
      <w:r w:rsidRPr="00340D05">
        <w:rPr>
          <w:szCs w:val="24"/>
          <w:shd w:val="clear" w:color="auto" w:fill="FFFFFF"/>
        </w:rPr>
        <w:t>Pérez-Alfocea, F., Koyama, R., Anderson, M. M., Smith, R. J., Ebeler, S. E., &amp; Cantu, D</w:t>
      </w:r>
      <w:r w:rsidRPr="00340D05">
        <w:rPr>
          <w:szCs w:val="24"/>
          <w:lang w:bidi="en-US"/>
        </w:rPr>
        <w:t xml:space="preserve">. (2017). Red blotch disease alters grape berry development and metabolism by interfering with the transcriptional and hormonal regulation of ripening. </w:t>
      </w:r>
      <w:r w:rsidRPr="00340D05">
        <w:rPr>
          <w:iCs/>
          <w:szCs w:val="24"/>
          <w:lang w:bidi="en-US"/>
        </w:rPr>
        <w:t>Journal of Experimental Botany, 68(5)</w:t>
      </w:r>
      <w:r w:rsidRPr="00340D05">
        <w:rPr>
          <w:szCs w:val="24"/>
          <w:lang w:bidi="en-US"/>
        </w:rPr>
        <w:t xml:space="preserve">, 1225-1238. </w:t>
      </w:r>
      <w:hyperlink r:id="rId11" w:history="1">
        <w:r w:rsidRPr="00340D05">
          <w:rPr>
            <w:rStyle w:val="af1"/>
            <w:color w:val="auto"/>
            <w:szCs w:val="24"/>
            <w:lang w:bidi="en-US"/>
          </w:rPr>
          <w:t>https://doi.org/10.1093/jxb/erw506</w:t>
        </w:r>
      </w:hyperlink>
    </w:p>
    <w:p w14:paraId="4C120357" w14:textId="77777777" w:rsidR="00340D05" w:rsidRPr="00340D05" w:rsidRDefault="00340D05" w:rsidP="007F060F">
      <w:pPr>
        <w:spacing w:line="360" w:lineRule="auto"/>
        <w:ind w:left="567" w:hanging="567"/>
        <w:rPr>
          <w:rStyle w:val="af1"/>
          <w:color w:val="auto"/>
          <w:szCs w:val="24"/>
          <w:u w:val="none"/>
          <w:lang w:bidi="en-US"/>
        </w:rPr>
      </w:pPr>
      <w:r w:rsidRPr="00340D05">
        <w:rPr>
          <w:szCs w:val="24"/>
          <w:lang w:bidi="en-US"/>
        </w:rPr>
        <w:t xml:space="preserve">Chen, J., Wang, K., Godana, E. A., Solairaj, D., Yang, Q., &amp; Zhang, H. (2025). Construction of composite microorganisms and their physiological mechanisms of postharvest disease control in red grapes. </w:t>
      </w:r>
      <w:r w:rsidRPr="00340D05">
        <w:rPr>
          <w:iCs/>
          <w:szCs w:val="24"/>
          <w:lang w:bidi="en-US"/>
        </w:rPr>
        <w:t>Foods,</w:t>
      </w:r>
      <w:r w:rsidRPr="00340D05">
        <w:rPr>
          <w:szCs w:val="24"/>
          <w:lang w:bidi="en-US"/>
        </w:rPr>
        <w:t xml:space="preserve"> </w:t>
      </w:r>
      <w:r w:rsidRPr="00340D05">
        <w:rPr>
          <w:iCs/>
          <w:szCs w:val="24"/>
          <w:lang w:bidi="en-US"/>
        </w:rPr>
        <w:t>14</w:t>
      </w:r>
      <w:r w:rsidRPr="00340D05">
        <w:rPr>
          <w:szCs w:val="24"/>
          <w:lang w:bidi="en-US"/>
        </w:rPr>
        <w:t xml:space="preserve">(3), 408. </w:t>
      </w:r>
      <w:hyperlink r:id="rId12" w:tgtFrame="_new" w:history="1">
        <w:r w:rsidRPr="00340D05">
          <w:rPr>
            <w:rStyle w:val="af1"/>
            <w:color w:val="auto"/>
            <w:szCs w:val="24"/>
            <w:lang w:bidi="en-US"/>
          </w:rPr>
          <w:t>https://doi.org/10.3390/foods14030408</w:t>
        </w:r>
      </w:hyperlink>
    </w:p>
    <w:p w14:paraId="6FEDCE29" w14:textId="77777777" w:rsidR="00340D05" w:rsidRPr="00E63C63" w:rsidRDefault="00340D05" w:rsidP="007F060F">
      <w:pPr>
        <w:spacing w:line="360" w:lineRule="auto"/>
        <w:ind w:left="567" w:hanging="567"/>
        <w:rPr>
          <w:rStyle w:val="af1"/>
          <w:color w:val="auto"/>
          <w:szCs w:val="24"/>
          <w:u w:val="none"/>
          <w:lang w:val="pt-BR" w:bidi="en-US"/>
        </w:rPr>
      </w:pPr>
      <w:r w:rsidRPr="00340D05">
        <w:rPr>
          <w:szCs w:val="24"/>
          <w:lang w:bidi="en-US"/>
        </w:rPr>
        <w:t xml:space="preserve">Cheng, L., Nie, X., Jiang, C., &amp; Li, S. (2019). The combined use of the antagonistic yeast </w:t>
      </w:r>
      <w:r w:rsidRPr="00340D05">
        <w:rPr>
          <w:i/>
          <w:iCs/>
          <w:szCs w:val="24"/>
          <w:lang w:bidi="en-US"/>
        </w:rPr>
        <w:t>Hanseniaspora uvarum</w:t>
      </w:r>
      <w:r w:rsidRPr="00340D05">
        <w:rPr>
          <w:szCs w:val="24"/>
          <w:lang w:bidi="en-US"/>
        </w:rPr>
        <w:t xml:space="preserve"> with β-aminobutyric acid for the management of postharvest diseases of kiwifruit. </w:t>
      </w:r>
      <w:r w:rsidRPr="00E63C63">
        <w:rPr>
          <w:iCs/>
          <w:szCs w:val="24"/>
          <w:lang w:val="pt-BR" w:bidi="en-US"/>
        </w:rPr>
        <w:t>Biological Control,</w:t>
      </w:r>
      <w:r w:rsidRPr="00E63C63">
        <w:rPr>
          <w:szCs w:val="24"/>
          <w:lang w:val="pt-BR" w:bidi="en-US"/>
        </w:rPr>
        <w:t xml:space="preserve"> </w:t>
      </w:r>
      <w:r w:rsidRPr="00E63C63">
        <w:rPr>
          <w:iCs/>
          <w:szCs w:val="24"/>
          <w:lang w:val="pt-BR" w:bidi="en-US"/>
        </w:rPr>
        <w:t>137</w:t>
      </w:r>
      <w:r w:rsidRPr="00E63C63">
        <w:rPr>
          <w:szCs w:val="24"/>
          <w:lang w:val="pt-BR" w:bidi="en-US"/>
        </w:rPr>
        <w:t xml:space="preserve">, 104019. </w:t>
      </w:r>
      <w:r>
        <w:fldChar w:fldCharType="begin"/>
      </w:r>
      <w:r w:rsidRPr="00E63C63">
        <w:rPr>
          <w:lang w:val="pt-BR"/>
        </w:rPr>
        <w:instrText>HYPERLINK "https://doi.org/10.1016/j.biocontrol.2019.104019" \t "_new"</w:instrText>
      </w:r>
      <w:r>
        <w:fldChar w:fldCharType="separate"/>
      </w:r>
      <w:r w:rsidRPr="00E63C63">
        <w:rPr>
          <w:rStyle w:val="af1"/>
          <w:color w:val="auto"/>
          <w:szCs w:val="24"/>
          <w:lang w:val="pt-BR" w:bidi="en-US"/>
        </w:rPr>
        <w:t>https://doi.org/10.1016/j.biocontrol.2019.104019</w:t>
      </w:r>
      <w:r>
        <w:fldChar w:fldCharType="end"/>
      </w:r>
    </w:p>
    <w:p w14:paraId="14FCF41C" w14:textId="77777777" w:rsidR="00AD74B7" w:rsidRPr="00340D05" w:rsidRDefault="00AD74B7" w:rsidP="007F060F">
      <w:pPr>
        <w:spacing w:line="360" w:lineRule="auto"/>
        <w:ind w:left="567" w:hanging="567"/>
        <w:rPr>
          <w:szCs w:val="24"/>
          <w:lang w:bidi="en-US"/>
        </w:rPr>
      </w:pPr>
      <w:r w:rsidRPr="00E63C63">
        <w:rPr>
          <w:szCs w:val="24"/>
          <w:lang w:val="pt-BR" w:bidi="en-US"/>
        </w:rPr>
        <w:t xml:space="preserve">Costa-Orlandi, C. B., Sardi, J. C. O., Pitangui, N. S., de Oliveira, H. C., Scorzoni, L., Galeane, M. C., Medina-Alarcón, K. P., Melo, W. C. M. A., Marcelino, M. Y., Braz, J. D., Fusco-Almeida, A. M., &amp; Mendes-Giannini, M. J. S. (2017). </w:t>
      </w:r>
      <w:r w:rsidRPr="00340D05">
        <w:rPr>
          <w:szCs w:val="24"/>
          <w:lang w:bidi="en-US"/>
        </w:rPr>
        <w:t xml:space="preserve">Fungal biofilms and polymicrobial diseases. </w:t>
      </w:r>
      <w:r w:rsidRPr="00340D05">
        <w:rPr>
          <w:iCs/>
          <w:szCs w:val="24"/>
          <w:lang w:bidi="en-US"/>
        </w:rPr>
        <w:t>Journal of Fungi,</w:t>
      </w:r>
      <w:r w:rsidRPr="00340D05">
        <w:rPr>
          <w:szCs w:val="24"/>
          <w:lang w:bidi="en-US"/>
        </w:rPr>
        <w:t xml:space="preserve"> </w:t>
      </w:r>
      <w:r w:rsidRPr="00340D05">
        <w:rPr>
          <w:iCs/>
          <w:szCs w:val="24"/>
          <w:lang w:bidi="en-US"/>
        </w:rPr>
        <w:t>3</w:t>
      </w:r>
      <w:r w:rsidRPr="00340D05">
        <w:rPr>
          <w:szCs w:val="24"/>
          <w:lang w:bidi="en-US"/>
        </w:rPr>
        <w:t xml:space="preserve">(2), 22. </w:t>
      </w:r>
      <w:hyperlink r:id="rId13" w:history="1">
        <w:r w:rsidRPr="00340D05">
          <w:rPr>
            <w:rStyle w:val="af1"/>
            <w:szCs w:val="24"/>
            <w:lang w:bidi="en-US"/>
          </w:rPr>
          <w:t>https://doi.org/10.3390/jof3020022</w:t>
        </w:r>
      </w:hyperlink>
    </w:p>
    <w:p w14:paraId="4A0BCEBA" w14:textId="77777777" w:rsidR="00AD74B7" w:rsidRPr="00340D05" w:rsidRDefault="00AD74B7" w:rsidP="007F060F">
      <w:pPr>
        <w:spacing w:line="360" w:lineRule="auto"/>
        <w:ind w:left="567" w:hanging="567"/>
        <w:rPr>
          <w:szCs w:val="24"/>
          <w:lang w:bidi="en-US"/>
        </w:rPr>
      </w:pPr>
      <w:r w:rsidRPr="00340D05">
        <w:rPr>
          <w:szCs w:val="24"/>
          <w:lang w:bidi="en-US"/>
        </w:rPr>
        <w:t xml:space="preserve">Crandall, S. G., Gold, K. M., Jiménez-Gasco, M. D. M., Filgueiras, C. C., &amp; Willett, D. S. (2020). A multi-omics approach to solving problems in plant disease ecology. </w:t>
      </w:r>
      <w:r w:rsidRPr="00340D05">
        <w:rPr>
          <w:iCs/>
          <w:szCs w:val="24"/>
          <w:lang w:bidi="en-US"/>
        </w:rPr>
        <w:t>PLoS ONE,</w:t>
      </w:r>
      <w:r w:rsidRPr="00340D05">
        <w:rPr>
          <w:szCs w:val="24"/>
          <w:lang w:bidi="en-US"/>
        </w:rPr>
        <w:t xml:space="preserve"> </w:t>
      </w:r>
      <w:r w:rsidRPr="00340D05">
        <w:rPr>
          <w:iCs/>
          <w:szCs w:val="24"/>
          <w:lang w:bidi="en-US"/>
        </w:rPr>
        <w:t>15</w:t>
      </w:r>
      <w:r w:rsidRPr="00340D05">
        <w:rPr>
          <w:szCs w:val="24"/>
          <w:lang w:bidi="en-US"/>
        </w:rPr>
        <w:t xml:space="preserve">, e0237975. </w:t>
      </w:r>
      <w:hyperlink r:id="rId14" w:history="1">
        <w:r w:rsidRPr="00340D05">
          <w:rPr>
            <w:rStyle w:val="af1"/>
            <w:szCs w:val="24"/>
            <w:lang w:bidi="en-US"/>
          </w:rPr>
          <w:t>https://doi.org/10.1371/journal.pone.0237975</w:t>
        </w:r>
      </w:hyperlink>
    </w:p>
    <w:p w14:paraId="646CBA17" w14:textId="77777777" w:rsidR="00AD74B7" w:rsidRPr="00340D05" w:rsidRDefault="00AD74B7" w:rsidP="007F060F">
      <w:pPr>
        <w:spacing w:line="360" w:lineRule="auto"/>
        <w:ind w:left="567" w:hanging="567"/>
        <w:rPr>
          <w:szCs w:val="24"/>
          <w:lang w:bidi="en-US"/>
        </w:rPr>
      </w:pPr>
      <w:r w:rsidRPr="00340D05">
        <w:rPr>
          <w:szCs w:val="24"/>
          <w:lang w:bidi="en-US"/>
        </w:rPr>
        <w:t xml:space="preserve">Cumming, G., Fidler, F., &amp; Vaux, D. L. (2007). Error bars in experimental biology. </w:t>
      </w:r>
      <w:r w:rsidRPr="00340D05">
        <w:rPr>
          <w:iCs/>
          <w:szCs w:val="24"/>
          <w:lang w:bidi="en-US"/>
        </w:rPr>
        <w:t>Journal of Cell Biology,</w:t>
      </w:r>
      <w:r w:rsidRPr="00340D05">
        <w:rPr>
          <w:szCs w:val="24"/>
          <w:lang w:bidi="en-US"/>
        </w:rPr>
        <w:t xml:space="preserve"> </w:t>
      </w:r>
      <w:r w:rsidRPr="00340D05">
        <w:rPr>
          <w:iCs/>
          <w:szCs w:val="24"/>
          <w:lang w:bidi="en-US"/>
        </w:rPr>
        <w:t>177</w:t>
      </w:r>
      <w:r w:rsidRPr="00340D05">
        <w:rPr>
          <w:szCs w:val="24"/>
          <w:lang w:bidi="en-US"/>
        </w:rPr>
        <w:t xml:space="preserve">(1), 7-11. </w:t>
      </w:r>
      <w:hyperlink r:id="rId15" w:history="1">
        <w:r w:rsidRPr="00340D05">
          <w:rPr>
            <w:rStyle w:val="af1"/>
            <w:szCs w:val="24"/>
            <w:lang w:bidi="en-US"/>
          </w:rPr>
          <w:t>https://doi.org/10.1083/jcb.200611141</w:t>
        </w:r>
      </w:hyperlink>
    </w:p>
    <w:p w14:paraId="56484A9B" w14:textId="77777777" w:rsidR="00340D05" w:rsidRPr="00340D05" w:rsidRDefault="00340D05" w:rsidP="007F060F">
      <w:pPr>
        <w:spacing w:line="360" w:lineRule="auto"/>
        <w:ind w:left="567" w:hanging="567"/>
        <w:rPr>
          <w:szCs w:val="24"/>
          <w:lang w:bidi="en-US"/>
        </w:rPr>
      </w:pPr>
      <w:r w:rsidRPr="00340D05">
        <w:rPr>
          <w:szCs w:val="24"/>
          <w:lang w:bidi="en-US"/>
        </w:rPr>
        <w:lastRenderedPageBreak/>
        <w:t xml:space="preserve">De Simone, N., Pace, B., Grieco, F., Chimienti, M., Tyibilika, V., Santoro, V., Capozzi, V., Colelli, G., Spano, G., &amp; Russo, P. (2020). </w:t>
      </w:r>
      <w:r w:rsidRPr="00340D05">
        <w:rPr>
          <w:i/>
          <w:iCs/>
          <w:szCs w:val="24"/>
          <w:lang w:bidi="en-US"/>
        </w:rPr>
        <w:t>Botrytis cinerea</w:t>
      </w:r>
      <w:r w:rsidRPr="00340D05">
        <w:rPr>
          <w:szCs w:val="24"/>
          <w:lang w:bidi="en-US"/>
        </w:rPr>
        <w:t xml:space="preserve"> and table grapes: A review of the main physical, chemical, and bio-based control treatments in post-harvest. </w:t>
      </w:r>
      <w:r w:rsidRPr="00340D05">
        <w:rPr>
          <w:iCs/>
          <w:szCs w:val="24"/>
          <w:lang w:bidi="en-US"/>
        </w:rPr>
        <w:t>Foods,</w:t>
      </w:r>
      <w:r w:rsidRPr="00340D05">
        <w:rPr>
          <w:szCs w:val="24"/>
          <w:lang w:bidi="en-US"/>
        </w:rPr>
        <w:t xml:space="preserve"> </w:t>
      </w:r>
      <w:r w:rsidRPr="00340D05">
        <w:rPr>
          <w:iCs/>
          <w:szCs w:val="24"/>
          <w:lang w:bidi="en-US"/>
        </w:rPr>
        <w:t>9(9)</w:t>
      </w:r>
      <w:r w:rsidRPr="00340D05">
        <w:rPr>
          <w:szCs w:val="24"/>
          <w:lang w:bidi="en-US"/>
        </w:rPr>
        <w:t>, 1138. https://doi.org/10.3390/foods9091138</w:t>
      </w:r>
    </w:p>
    <w:p w14:paraId="6C8BCFC0" w14:textId="77777777" w:rsidR="00340D05" w:rsidRPr="00E63C63" w:rsidRDefault="00340D05" w:rsidP="007F060F">
      <w:pPr>
        <w:spacing w:line="360" w:lineRule="auto"/>
        <w:ind w:left="567" w:hanging="567"/>
        <w:rPr>
          <w:rStyle w:val="af1"/>
          <w:color w:val="auto"/>
          <w:szCs w:val="24"/>
          <w:u w:val="none"/>
          <w:lang w:val="pt-BR" w:bidi="en-US"/>
        </w:rPr>
      </w:pPr>
      <w:r w:rsidRPr="00340D05">
        <w:rPr>
          <w:szCs w:val="24"/>
          <w:lang w:bidi="en-US"/>
        </w:rPr>
        <w:t xml:space="preserve">Di Canito, A., Mateo-Vargas, M. A., Mazzieri, M., Cantoral, J., Foschino, R., Cordero-Bueso, G., &amp; Vigentini, I. (2021). The role of yeasts as biocontrol agents for pathogenic fungi on postharvest grapes: A review. </w:t>
      </w:r>
      <w:r w:rsidRPr="00E63C63">
        <w:rPr>
          <w:iCs/>
          <w:szCs w:val="24"/>
          <w:lang w:val="pt-BR" w:bidi="en-US"/>
        </w:rPr>
        <w:t>Foods,</w:t>
      </w:r>
      <w:r w:rsidRPr="00E63C63">
        <w:rPr>
          <w:szCs w:val="24"/>
          <w:lang w:val="pt-BR" w:bidi="en-US"/>
        </w:rPr>
        <w:t xml:space="preserve"> </w:t>
      </w:r>
      <w:r w:rsidRPr="00E63C63">
        <w:rPr>
          <w:iCs/>
          <w:szCs w:val="24"/>
          <w:lang w:val="pt-BR" w:bidi="en-US"/>
        </w:rPr>
        <w:t>10</w:t>
      </w:r>
      <w:r w:rsidRPr="00E63C63">
        <w:rPr>
          <w:szCs w:val="24"/>
          <w:lang w:val="pt-BR" w:bidi="en-US"/>
        </w:rPr>
        <w:t xml:space="preserve">(7), 1650. </w:t>
      </w:r>
      <w:r>
        <w:fldChar w:fldCharType="begin"/>
      </w:r>
      <w:r w:rsidRPr="00E63C63">
        <w:rPr>
          <w:lang w:val="pt-BR"/>
        </w:rPr>
        <w:instrText>HYPERLINK "https://doi.org/10.3390/foods10071650" \t "_new"</w:instrText>
      </w:r>
      <w:r>
        <w:fldChar w:fldCharType="separate"/>
      </w:r>
      <w:r w:rsidRPr="00E63C63">
        <w:rPr>
          <w:rStyle w:val="af1"/>
          <w:color w:val="auto"/>
          <w:szCs w:val="24"/>
          <w:lang w:val="pt-BR" w:bidi="en-US"/>
        </w:rPr>
        <w:t>https://doi.org/10.3390/foods10071650</w:t>
      </w:r>
      <w:r>
        <w:fldChar w:fldCharType="end"/>
      </w:r>
    </w:p>
    <w:p w14:paraId="150C44FA" w14:textId="77777777" w:rsidR="00AD74B7" w:rsidRPr="00340D05" w:rsidRDefault="00AD74B7" w:rsidP="007F060F">
      <w:pPr>
        <w:spacing w:line="360" w:lineRule="auto"/>
        <w:ind w:left="567" w:hanging="567"/>
        <w:rPr>
          <w:rStyle w:val="af1"/>
          <w:color w:val="auto"/>
          <w:szCs w:val="24"/>
          <w:u w:val="none"/>
          <w:lang w:bidi="en-US"/>
        </w:rPr>
      </w:pPr>
      <w:r w:rsidRPr="00E63C63">
        <w:rPr>
          <w:szCs w:val="24"/>
          <w:lang w:val="pt-BR" w:bidi="en-US"/>
        </w:rPr>
        <w:t xml:space="preserve">Di Francesco, A., Di Foggia, M., Corbetta, M., Baldo, D., Ratti, C., &amp; Baraldi, E. (2021). </w:t>
      </w:r>
      <w:r w:rsidRPr="00340D05">
        <w:rPr>
          <w:szCs w:val="24"/>
          <w:lang w:bidi="en-US"/>
        </w:rPr>
        <w:t xml:space="preserve">Biocontrol activity and plant growth promotion exerted by </w:t>
      </w:r>
      <w:r w:rsidRPr="00340D05">
        <w:rPr>
          <w:i/>
          <w:iCs/>
          <w:szCs w:val="24"/>
          <w:lang w:bidi="en-US"/>
        </w:rPr>
        <w:t>Aureobasidium pullulans</w:t>
      </w:r>
      <w:r w:rsidRPr="00340D05">
        <w:rPr>
          <w:szCs w:val="24"/>
          <w:lang w:bidi="en-US"/>
        </w:rPr>
        <w:t xml:space="preserve"> strains. </w:t>
      </w:r>
      <w:r w:rsidRPr="00340D05">
        <w:rPr>
          <w:iCs/>
          <w:szCs w:val="24"/>
          <w:lang w:bidi="en-US"/>
        </w:rPr>
        <w:t>Journal of Plant Growth Regulation,</w:t>
      </w:r>
      <w:r w:rsidRPr="00340D05">
        <w:rPr>
          <w:szCs w:val="24"/>
          <w:lang w:bidi="en-US"/>
        </w:rPr>
        <w:t xml:space="preserve"> </w:t>
      </w:r>
      <w:r w:rsidRPr="00340D05">
        <w:rPr>
          <w:iCs/>
          <w:szCs w:val="24"/>
          <w:lang w:bidi="en-US"/>
        </w:rPr>
        <w:t>40</w:t>
      </w:r>
      <w:r w:rsidRPr="00340D05">
        <w:rPr>
          <w:szCs w:val="24"/>
          <w:lang w:bidi="en-US"/>
        </w:rPr>
        <w:t xml:space="preserve">(3), 1233-1244. </w:t>
      </w:r>
      <w:hyperlink r:id="rId16" w:tgtFrame="_new" w:history="1">
        <w:r w:rsidRPr="00340D05">
          <w:rPr>
            <w:rStyle w:val="af1"/>
            <w:color w:val="auto"/>
            <w:szCs w:val="24"/>
            <w:lang w:bidi="en-US"/>
          </w:rPr>
          <w:t>https://doi.org/10.1007/s00344-020-10184-3</w:t>
        </w:r>
      </w:hyperlink>
    </w:p>
    <w:p w14:paraId="56576BEA" w14:textId="77777777" w:rsidR="00340D05" w:rsidRPr="00340D05" w:rsidRDefault="00340D05" w:rsidP="007F060F">
      <w:pPr>
        <w:spacing w:line="360" w:lineRule="auto"/>
        <w:ind w:left="567" w:hanging="567"/>
        <w:rPr>
          <w:szCs w:val="24"/>
          <w:lang w:bidi="en-US"/>
        </w:rPr>
      </w:pPr>
      <w:r w:rsidRPr="00340D05">
        <w:rPr>
          <w:szCs w:val="24"/>
          <w:lang w:bidi="en-US"/>
        </w:rPr>
        <w:t xml:space="preserve">Dukare, A. S., Paul, S., Nambi, V. E., Gupta, R. K., Singh, R., Sharma, K., &amp; Vishwakarma, R. K. (2019). Exploitation of microbial antagonists for the control of postharvest diseases of fruits: A review. </w:t>
      </w:r>
      <w:r w:rsidRPr="00340D05">
        <w:rPr>
          <w:iCs/>
          <w:szCs w:val="24"/>
          <w:lang w:bidi="en-US"/>
        </w:rPr>
        <w:t>Critical Reviews in Food Science and Nutrition,</w:t>
      </w:r>
      <w:r w:rsidRPr="00340D05">
        <w:rPr>
          <w:szCs w:val="24"/>
          <w:lang w:bidi="en-US"/>
        </w:rPr>
        <w:t xml:space="preserve"> </w:t>
      </w:r>
      <w:r w:rsidRPr="00340D05">
        <w:rPr>
          <w:iCs/>
          <w:szCs w:val="24"/>
          <w:lang w:bidi="en-US"/>
        </w:rPr>
        <w:t>59</w:t>
      </w:r>
      <w:r w:rsidRPr="00340D05">
        <w:rPr>
          <w:szCs w:val="24"/>
          <w:lang w:bidi="en-US"/>
        </w:rPr>
        <w:t xml:space="preserve">(9), 1498-1513. </w:t>
      </w:r>
      <w:hyperlink r:id="rId17" w:tgtFrame="_new" w:history="1">
        <w:r w:rsidRPr="00340D05">
          <w:rPr>
            <w:rStyle w:val="af1"/>
            <w:color w:val="auto"/>
            <w:szCs w:val="24"/>
            <w:lang w:bidi="en-US"/>
          </w:rPr>
          <w:t>https://doi.org/10.1080/10408398.2017.1417235</w:t>
        </w:r>
      </w:hyperlink>
    </w:p>
    <w:p w14:paraId="3CFA182D" w14:textId="77777777" w:rsidR="00340D05" w:rsidRPr="00340D05" w:rsidRDefault="00340D05" w:rsidP="007F060F">
      <w:pPr>
        <w:spacing w:line="360" w:lineRule="auto"/>
        <w:ind w:left="567" w:hanging="567"/>
        <w:rPr>
          <w:szCs w:val="24"/>
          <w:lang w:bidi="en-US"/>
        </w:rPr>
      </w:pPr>
      <w:r w:rsidRPr="00340D05">
        <w:rPr>
          <w:szCs w:val="24"/>
          <w:lang w:bidi="en-US"/>
        </w:rPr>
        <w:t xml:space="preserve">Farahani, L., &amp; Etebarian, H. R. (2012). Enhancement of the efficacy of two antagonistic yeasts with salicylic acid against </w:t>
      </w:r>
      <w:r w:rsidRPr="00340D05">
        <w:rPr>
          <w:i/>
          <w:iCs/>
          <w:szCs w:val="24"/>
          <w:lang w:bidi="en-US"/>
        </w:rPr>
        <w:t>Penicillium expansum</w:t>
      </w:r>
      <w:r w:rsidRPr="00340D05">
        <w:rPr>
          <w:szCs w:val="24"/>
          <w:lang w:bidi="en-US"/>
        </w:rPr>
        <w:t xml:space="preserve">. </w:t>
      </w:r>
      <w:r w:rsidRPr="00340D05">
        <w:rPr>
          <w:iCs/>
          <w:szCs w:val="24"/>
          <w:lang w:bidi="en-US"/>
        </w:rPr>
        <w:t>Archives of Phytopathology and Plant Protection,</w:t>
      </w:r>
      <w:r w:rsidRPr="00340D05">
        <w:rPr>
          <w:szCs w:val="24"/>
          <w:lang w:bidi="en-US"/>
        </w:rPr>
        <w:t xml:space="preserve"> 4</w:t>
      </w:r>
      <w:r w:rsidRPr="00340D05">
        <w:rPr>
          <w:iCs/>
          <w:szCs w:val="24"/>
          <w:lang w:bidi="en-US"/>
        </w:rPr>
        <w:t>5(3)</w:t>
      </w:r>
      <w:r w:rsidRPr="00340D05">
        <w:rPr>
          <w:szCs w:val="24"/>
          <w:lang w:bidi="en-US"/>
        </w:rPr>
        <w:t xml:space="preserve">, 260-267. </w:t>
      </w:r>
      <w:hyperlink r:id="rId18" w:history="1">
        <w:r w:rsidRPr="00340D05">
          <w:rPr>
            <w:rStyle w:val="af1"/>
            <w:szCs w:val="24"/>
            <w:lang w:bidi="en-US"/>
          </w:rPr>
          <w:t>https://doi.org/10.1080/03235408.2011.559042</w:t>
        </w:r>
      </w:hyperlink>
    </w:p>
    <w:p w14:paraId="2DDAC740" w14:textId="77777777" w:rsidR="00340D05" w:rsidRPr="00340D05" w:rsidRDefault="00340D05" w:rsidP="007F060F">
      <w:pPr>
        <w:spacing w:line="360" w:lineRule="auto"/>
        <w:ind w:left="567" w:hanging="567"/>
        <w:rPr>
          <w:rStyle w:val="af1"/>
          <w:color w:val="auto"/>
          <w:szCs w:val="24"/>
          <w:u w:val="none"/>
          <w:lang w:bidi="en-US"/>
        </w:rPr>
      </w:pPr>
      <w:r w:rsidRPr="00340D05">
        <w:rPr>
          <w:szCs w:val="24"/>
          <w:lang w:bidi="en-US"/>
        </w:rPr>
        <w:t xml:space="preserve">Fernandez-San Millan, A., Fernandez-Irigoyen, J., Santamaria, E., Larraya, L., Farran, I., &amp; Veramendi, J. (2023). </w:t>
      </w:r>
      <w:r w:rsidRPr="00340D05">
        <w:rPr>
          <w:i/>
          <w:iCs/>
          <w:szCs w:val="24"/>
          <w:lang w:bidi="en-US"/>
        </w:rPr>
        <w:t>Metschnikowia pulcherrima</w:t>
      </w:r>
      <w:r w:rsidRPr="00340D05">
        <w:rPr>
          <w:szCs w:val="24"/>
          <w:lang w:bidi="en-US"/>
        </w:rPr>
        <w:t xml:space="preserve"> as an efficient biocontrol agent of </w:t>
      </w:r>
      <w:r w:rsidRPr="00340D05">
        <w:rPr>
          <w:i/>
          <w:iCs/>
          <w:szCs w:val="24"/>
          <w:lang w:bidi="en-US"/>
        </w:rPr>
        <w:t>Botrytis cinerea</w:t>
      </w:r>
      <w:r w:rsidRPr="00340D05">
        <w:rPr>
          <w:szCs w:val="24"/>
          <w:lang w:bidi="en-US"/>
        </w:rPr>
        <w:t xml:space="preserve"> infection in apples: Unraveling protection mechanisms through yeast proteomics. </w:t>
      </w:r>
      <w:r w:rsidRPr="00340D05">
        <w:rPr>
          <w:iCs/>
          <w:szCs w:val="24"/>
          <w:lang w:bidi="en-US"/>
        </w:rPr>
        <w:t>Biological Control,</w:t>
      </w:r>
      <w:r w:rsidRPr="00340D05">
        <w:rPr>
          <w:szCs w:val="24"/>
          <w:lang w:bidi="en-US"/>
        </w:rPr>
        <w:t xml:space="preserve"> </w:t>
      </w:r>
      <w:r w:rsidRPr="00340D05">
        <w:rPr>
          <w:iCs/>
          <w:szCs w:val="24"/>
          <w:lang w:bidi="en-US"/>
        </w:rPr>
        <w:t>183</w:t>
      </w:r>
      <w:r w:rsidRPr="00340D05">
        <w:rPr>
          <w:szCs w:val="24"/>
          <w:lang w:bidi="en-US"/>
        </w:rPr>
        <w:t xml:space="preserve">, 105266. </w:t>
      </w:r>
      <w:hyperlink r:id="rId19" w:tgtFrame="_new" w:history="1">
        <w:r w:rsidRPr="00340D05">
          <w:rPr>
            <w:rStyle w:val="af1"/>
            <w:color w:val="auto"/>
            <w:szCs w:val="24"/>
            <w:lang w:bidi="en-US"/>
          </w:rPr>
          <w:t>https://doi.org/10.1016/j.biocontrol.2023.105266</w:t>
        </w:r>
      </w:hyperlink>
    </w:p>
    <w:p w14:paraId="4DD00089" w14:textId="77777777" w:rsidR="00AD74B7" w:rsidRPr="00340D05" w:rsidRDefault="00AD74B7" w:rsidP="007F060F">
      <w:pPr>
        <w:spacing w:line="360" w:lineRule="auto"/>
        <w:ind w:left="567" w:hanging="567"/>
        <w:rPr>
          <w:szCs w:val="24"/>
          <w:lang w:bidi="en-US"/>
        </w:rPr>
      </w:pPr>
      <w:r w:rsidRPr="00340D05">
        <w:rPr>
          <w:szCs w:val="24"/>
          <w:lang w:bidi="en-US"/>
        </w:rPr>
        <w:t xml:space="preserve">Freimoser, F. M., Rueda-Mejia, M. P., Tilocca, B., &amp; Migheli, Q. (2019). Biocontrol yeasts: Mechanisms and applications. </w:t>
      </w:r>
      <w:r w:rsidRPr="00340D05">
        <w:rPr>
          <w:iCs/>
          <w:szCs w:val="24"/>
          <w:lang w:bidi="en-US"/>
        </w:rPr>
        <w:t>World Journal of Microbiology and Biotechnology,</w:t>
      </w:r>
      <w:r w:rsidRPr="00340D05">
        <w:rPr>
          <w:szCs w:val="24"/>
          <w:lang w:bidi="en-US"/>
        </w:rPr>
        <w:t xml:space="preserve"> </w:t>
      </w:r>
      <w:r w:rsidRPr="00340D05">
        <w:rPr>
          <w:iCs/>
          <w:szCs w:val="24"/>
          <w:lang w:bidi="en-US"/>
        </w:rPr>
        <w:t>35</w:t>
      </w:r>
      <w:r w:rsidRPr="00340D05">
        <w:rPr>
          <w:szCs w:val="24"/>
          <w:lang w:bidi="en-US"/>
        </w:rPr>
        <w:t>, 154. https://doi.org/10.1007/s11274-019-2728-4</w:t>
      </w:r>
    </w:p>
    <w:p w14:paraId="3D30E013" w14:textId="77777777" w:rsidR="00340D05" w:rsidRPr="00340D05" w:rsidRDefault="00340D05" w:rsidP="007F060F">
      <w:pPr>
        <w:spacing w:line="360" w:lineRule="auto"/>
        <w:ind w:left="567" w:hanging="567"/>
        <w:rPr>
          <w:szCs w:val="24"/>
          <w:lang w:bidi="en-US"/>
        </w:rPr>
      </w:pPr>
      <w:r w:rsidRPr="00E63C63">
        <w:rPr>
          <w:szCs w:val="24"/>
          <w:lang w:val="pt-BR" w:bidi="en-US"/>
        </w:rPr>
        <w:t xml:space="preserve">Freire, L., Guerreiro, T. M., Pia, A. K. R., Lima, E. O., Oliveira, D. N., Melo, C. F. O. R., Catharino, R. R., &amp; Sant’Ana, A. S. (2018). </w:t>
      </w:r>
      <w:r w:rsidRPr="00340D05">
        <w:rPr>
          <w:szCs w:val="24"/>
          <w:lang w:bidi="en-US"/>
        </w:rPr>
        <w:t xml:space="preserve">A quantitative study on growth variability and production of ochratoxin A and its derivatives by </w:t>
      </w:r>
      <w:r w:rsidRPr="00340D05">
        <w:rPr>
          <w:i/>
          <w:iCs/>
          <w:szCs w:val="24"/>
          <w:lang w:bidi="en-US"/>
        </w:rPr>
        <w:t>A. carbonarius</w:t>
      </w:r>
      <w:r w:rsidRPr="00340D05">
        <w:rPr>
          <w:szCs w:val="24"/>
          <w:lang w:bidi="en-US"/>
        </w:rPr>
        <w:t xml:space="preserve"> and </w:t>
      </w:r>
      <w:r w:rsidRPr="00340D05">
        <w:rPr>
          <w:i/>
          <w:iCs/>
          <w:szCs w:val="24"/>
          <w:lang w:bidi="en-US"/>
        </w:rPr>
        <w:t>A. niger</w:t>
      </w:r>
      <w:r w:rsidRPr="00340D05">
        <w:rPr>
          <w:szCs w:val="24"/>
          <w:lang w:bidi="en-US"/>
        </w:rPr>
        <w:t xml:space="preserve"> in grape-based medium. </w:t>
      </w:r>
      <w:r w:rsidRPr="00340D05">
        <w:rPr>
          <w:iCs/>
          <w:szCs w:val="24"/>
          <w:lang w:bidi="en-US"/>
        </w:rPr>
        <w:t>Scientific Reports,</w:t>
      </w:r>
      <w:r w:rsidRPr="00340D05">
        <w:rPr>
          <w:szCs w:val="24"/>
          <w:lang w:bidi="en-US"/>
        </w:rPr>
        <w:t xml:space="preserve"> </w:t>
      </w:r>
      <w:r w:rsidRPr="00340D05">
        <w:rPr>
          <w:iCs/>
          <w:szCs w:val="24"/>
          <w:lang w:bidi="en-US"/>
        </w:rPr>
        <w:t>8</w:t>
      </w:r>
      <w:r w:rsidRPr="00340D05">
        <w:rPr>
          <w:szCs w:val="24"/>
          <w:lang w:bidi="en-US"/>
        </w:rPr>
        <w:t xml:space="preserve">(1), 14573. </w:t>
      </w:r>
      <w:hyperlink r:id="rId20" w:tgtFrame="_new" w:history="1">
        <w:r w:rsidRPr="00340D05">
          <w:rPr>
            <w:rStyle w:val="af1"/>
            <w:color w:val="auto"/>
            <w:szCs w:val="24"/>
            <w:lang w:bidi="en-US"/>
          </w:rPr>
          <w:t>https://doi.org/10.1038/s41598-018-32907-z</w:t>
        </w:r>
      </w:hyperlink>
    </w:p>
    <w:p w14:paraId="5B53AA2A" w14:textId="77777777" w:rsidR="00340D05" w:rsidRPr="00E63C63" w:rsidRDefault="00340D05" w:rsidP="007F060F">
      <w:pPr>
        <w:spacing w:line="360" w:lineRule="auto"/>
        <w:ind w:left="567" w:hanging="567"/>
        <w:rPr>
          <w:rStyle w:val="af1"/>
          <w:color w:val="auto"/>
          <w:szCs w:val="24"/>
          <w:u w:val="none"/>
          <w:lang w:val="pt-BR" w:bidi="en-US"/>
        </w:rPr>
      </w:pPr>
      <w:r w:rsidRPr="00340D05">
        <w:rPr>
          <w:color w:val="auto"/>
          <w:szCs w:val="24"/>
          <w:lang w:bidi="en-US"/>
        </w:rPr>
        <w:lastRenderedPageBreak/>
        <w:t xml:space="preserve">Gostinčar, C., Turk, M., Zajc, J., &amp; Gunde-Cimerman, N. (2019). Fifty </w:t>
      </w:r>
      <w:r w:rsidRPr="00340D05">
        <w:rPr>
          <w:i/>
          <w:iCs/>
          <w:color w:val="auto"/>
          <w:szCs w:val="24"/>
          <w:lang w:bidi="en-US"/>
        </w:rPr>
        <w:t xml:space="preserve">Aureobasidium </w:t>
      </w:r>
      <w:r w:rsidRPr="00340D05">
        <w:rPr>
          <w:i/>
          <w:iCs/>
          <w:szCs w:val="24"/>
          <w:lang w:bidi="en-US"/>
        </w:rPr>
        <w:t>pullulans</w:t>
      </w:r>
      <w:r w:rsidRPr="00340D05">
        <w:rPr>
          <w:szCs w:val="24"/>
          <w:lang w:bidi="en-US"/>
        </w:rPr>
        <w:t xml:space="preserve"> genomes reveal a recombining polyextremotolerant generalist. </w:t>
      </w:r>
      <w:r w:rsidRPr="00E63C63">
        <w:rPr>
          <w:iCs/>
          <w:szCs w:val="24"/>
          <w:lang w:val="pt-BR" w:bidi="en-US"/>
        </w:rPr>
        <w:t>Environmental Microbiology,</w:t>
      </w:r>
      <w:r w:rsidRPr="00E63C63">
        <w:rPr>
          <w:szCs w:val="24"/>
          <w:lang w:val="pt-BR" w:bidi="en-US"/>
        </w:rPr>
        <w:t xml:space="preserve"> </w:t>
      </w:r>
      <w:r w:rsidRPr="00E63C63">
        <w:rPr>
          <w:iCs/>
          <w:szCs w:val="24"/>
          <w:lang w:val="pt-BR" w:bidi="en-US"/>
        </w:rPr>
        <w:t>21</w:t>
      </w:r>
      <w:r w:rsidRPr="00E63C63">
        <w:rPr>
          <w:szCs w:val="24"/>
          <w:lang w:val="pt-BR" w:bidi="en-US"/>
        </w:rPr>
        <w:t xml:space="preserve">(10), 3638-3652. </w:t>
      </w:r>
      <w:r>
        <w:fldChar w:fldCharType="begin"/>
      </w:r>
      <w:r w:rsidRPr="00E63C63">
        <w:rPr>
          <w:lang w:val="pt-BR"/>
        </w:rPr>
        <w:instrText>HYPERLINK "https://doi.org/10.1111/1462-2920.14693" \t "_new"</w:instrText>
      </w:r>
      <w:r>
        <w:fldChar w:fldCharType="separate"/>
      </w:r>
      <w:r w:rsidRPr="00E63C63">
        <w:rPr>
          <w:rStyle w:val="af1"/>
          <w:color w:val="auto"/>
          <w:szCs w:val="24"/>
          <w:lang w:val="pt-BR" w:bidi="en-US"/>
        </w:rPr>
        <w:t>https://doi.org/10.1111/1462-2920.14693</w:t>
      </w:r>
      <w:r>
        <w:fldChar w:fldCharType="end"/>
      </w:r>
    </w:p>
    <w:p w14:paraId="0ADA81BE" w14:textId="77777777" w:rsidR="00340D05" w:rsidRPr="00340D05" w:rsidRDefault="00340D05" w:rsidP="007F060F">
      <w:pPr>
        <w:spacing w:line="360" w:lineRule="auto"/>
        <w:ind w:left="567" w:hanging="567"/>
        <w:rPr>
          <w:szCs w:val="24"/>
          <w:lang w:bidi="en-US"/>
        </w:rPr>
      </w:pPr>
      <w:r w:rsidRPr="00E63C63">
        <w:rPr>
          <w:szCs w:val="24"/>
          <w:lang w:val="pt-BR" w:bidi="en-US"/>
        </w:rPr>
        <w:t xml:space="preserve">Gramisci, B. R., Lutz, M. C., Lopes, C. A., &amp; Sangorrín, M. P. (2018). </w:t>
      </w:r>
      <w:r w:rsidRPr="00340D05">
        <w:rPr>
          <w:szCs w:val="24"/>
          <w:lang w:bidi="en-US"/>
        </w:rPr>
        <w:t xml:space="preserve">Enhancing the efficacy of yeast biocontrol agents against postharvest pathogens through nutrient profiling and the use of other additives. </w:t>
      </w:r>
      <w:r w:rsidRPr="00340D05">
        <w:rPr>
          <w:iCs/>
          <w:szCs w:val="24"/>
          <w:lang w:bidi="en-US"/>
        </w:rPr>
        <w:t>Biological Control,</w:t>
      </w:r>
      <w:r w:rsidRPr="00340D05">
        <w:rPr>
          <w:szCs w:val="24"/>
          <w:lang w:bidi="en-US"/>
        </w:rPr>
        <w:t xml:space="preserve"> </w:t>
      </w:r>
      <w:r w:rsidRPr="00340D05">
        <w:rPr>
          <w:iCs/>
          <w:szCs w:val="24"/>
          <w:lang w:bidi="en-US"/>
        </w:rPr>
        <w:t>121</w:t>
      </w:r>
      <w:r w:rsidRPr="00340D05">
        <w:rPr>
          <w:szCs w:val="24"/>
          <w:lang w:bidi="en-US"/>
        </w:rPr>
        <w:t>, 151-158. https://doi.org/10.1016/j.biocontrol.2018.03.001</w:t>
      </w:r>
    </w:p>
    <w:p w14:paraId="7AFE9B89" w14:textId="77777777" w:rsidR="00AD74B7" w:rsidRPr="00E63C63" w:rsidRDefault="00AD74B7" w:rsidP="007F060F">
      <w:pPr>
        <w:spacing w:line="360" w:lineRule="auto"/>
        <w:ind w:left="567" w:hanging="567"/>
        <w:rPr>
          <w:rStyle w:val="af1"/>
          <w:color w:val="auto"/>
          <w:szCs w:val="24"/>
          <w:u w:val="none"/>
          <w:lang w:val="es-ES" w:bidi="en-US"/>
        </w:rPr>
      </w:pPr>
      <w:r w:rsidRPr="00340D05">
        <w:rPr>
          <w:szCs w:val="24"/>
          <w:lang w:bidi="en-US"/>
        </w:rPr>
        <w:t xml:space="preserve">Hassan, H., Mohamed, M. T. M., Yusoff, S. F., Hata, E. M., &amp; Tajidin, N. E. (2021). Selecting antagonistic yeast for postharvest biocontrol of </w:t>
      </w:r>
      <w:r w:rsidRPr="00340D05">
        <w:rPr>
          <w:i/>
          <w:iCs/>
          <w:szCs w:val="24"/>
          <w:lang w:bidi="en-US"/>
        </w:rPr>
        <w:t>Colletotrichum gloeosporioides</w:t>
      </w:r>
      <w:r w:rsidRPr="00340D05">
        <w:rPr>
          <w:szCs w:val="24"/>
          <w:lang w:bidi="en-US"/>
        </w:rPr>
        <w:t xml:space="preserve"> in papaya fruit and possible mechanisms involved. </w:t>
      </w:r>
      <w:r w:rsidRPr="00E63C63">
        <w:rPr>
          <w:iCs/>
          <w:szCs w:val="24"/>
          <w:lang w:val="es-ES" w:bidi="en-US"/>
        </w:rPr>
        <w:t>Agronomy,</w:t>
      </w:r>
      <w:r w:rsidRPr="00E63C63">
        <w:rPr>
          <w:szCs w:val="24"/>
          <w:lang w:val="es-ES" w:bidi="en-US"/>
        </w:rPr>
        <w:t xml:space="preserve"> </w:t>
      </w:r>
      <w:r w:rsidRPr="00E63C63">
        <w:rPr>
          <w:iCs/>
          <w:szCs w:val="24"/>
          <w:lang w:val="es-ES" w:bidi="en-US"/>
        </w:rPr>
        <w:t>11</w:t>
      </w:r>
      <w:r w:rsidRPr="00E63C63">
        <w:rPr>
          <w:szCs w:val="24"/>
          <w:lang w:val="es-ES" w:bidi="en-US"/>
        </w:rPr>
        <w:t xml:space="preserve">(4), 760. </w:t>
      </w:r>
      <w:r>
        <w:fldChar w:fldCharType="begin"/>
      </w:r>
      <w:r w:rsidRPr="00E63C63">
        <w:rPr>
          <w:lang w:val="es-ES"/>
        </w:rPr>
        <w:instrText>HYPERLINK "https://doi.org/10.3390/agronomy11040760" \t "_new"</w:instrText>
      </w:r>
      <w:r>
        <w:fldChar w:fldCharType="separate"/>
      </w:r>
      <w:r w:rsidRPr="00E63C63">
        <w:rPr>
          <w:rStyle w:val="af1"/>
          <w:color w:val="auto"/>
          <w:szCs w:val="24"/>
          <w:lang w:val="es-ES" w:bidi="en-US"/>
        </w:rPr>
        <w:t>https://doi.org/10.3390/agronomy11040760</w:t>
      </w:r>
      <w:r>
        <w:fldChar w:fldCharType="end"/>
      </w:r>
    </w:p>
    <w:p w14:paraId="6DAF5AD9" w14:textId="77777777" w:rsidR="00340D05" w:rsidRPr="00340D05" w:rsidRDefault="00340D05" w:rsidP="007F060F">
      <w:pPr>
        <w:spacing w:line="360" w:lineRule="auto"/>
        <w:ind w:left="567" w:hanging="567"/>
        <w:rPr>
          <w:rStyle w:val="af1"/>
          <w:color w:val="auto"/>
          <w:szCs w:val="24"/>
          <w:u w:val="none"/>
          <w:lang w:bidi="en-US"/>
        </w:rPr>
      </w:pPr>
      <w:r w:rsidRPr="00E63C63">
        <w:rPr>
          <w:szCs w:val="24"/>
          <w:lang w:val="es-ES" w:bidi="en-US"/>
        </w:rPr>
        <w:t xml:space="preserve">Hernandez-Montiel, L. G., Droby, S., Preciado-Rangel, P., Rivas-García, T., González-Estrada, R. R., Gutiérrez-Martínez, P., &amp; Ávila-Quezada, G. D. (2021). </w:t>
      </w:r>
      <w:r w:rsidRPr="00340D05">
        <w:rPr>
          <w:szCs w:val="24"/>
          <w:lang w:bidi="en-US"/>
        </w:rPr>
        <w:t xml:space="preserve">A sustainable alternative for postharvest disease management and phytopathogens biocontrol in fruit: Antagonistic yeasts. </w:t>
      </w:r>
      <w:r w:rsidRPr="00340D05">
        <w:rPr>
          <w:iCs/>
          <w:szCs w:val="24"/>
          <w:lang w:bidi="en-US"/>
        </w:rPr>
        <w:t>Plants,</w:t>
      </w:r>
      <w:r w:rsidRPr="00340D05">
        <w:rPr>
          <w:szCs w:val="24"/>
          <w:lang w:bidi="en-US"/>
        </w:rPr>
        <w:t xml:space="preserve"> </w:t>
      </w:r>
      <w:r w:rsidRPr="00340D05">
        <w:rPr>
          <w:iCs/>
          <w:szCs w:val="24"/>
          <w:lang w:bidi="en-US"/>
        </w:rPr>
        <w:t>10</w:t>
      </w:r>
      <w:r w:rsidRPr="00340D05">
        <w:rPr>
          <w:szCs w:val="24"/>
          <w:lang w:bidi="en-US"/>
        </w:rPr>
        <w:t xml:space="preserve">(12), 2641. </w:t>
      </w:r>
      <w:hyperlink r:id="rId21" w:tgtFrame="_new" w:history="1">
        <w:r w:rsidRPr="00340D05">
          <w:rPr>
            <w:rStyle w:val="af1"/>
            <w:color w:val="auto"/>
            <w:szCs w:val="24"/>
            <w:lang w:bidi="en-US"/>
          </w:rPr>
          <w:t>https://doi.org/10.3390/plants10122641</w:t>
        </w:r>
      </w:hyperlink>
    </w:p>
    <w:p w14:paraId="1337E1C8" w14:textId="4943DB9F" w:rsidR="00340D05" w:rsidRPr="00340D05" w:rsidRDefault="00340D05" w:rsidP="007F060F">
      <w:pPr>
        <w:spacing w:line="360" w:lineRule="auto"/>
        <w:ind w:left="567" w:hanging="567"/>
        <w:rPr>
          <w:rStyle w:val="af1"/>
          <w:color w:val="auto"/>
          <w:szCs w:val="24"/>
          <w:u w:val="none"/>
          <w:lang w:bidi="en-US"/>
        </w:rPr>
      </w:pPr>
      <w:r w:rsidRPr="00340D05">
        <w:rPr>
          <w:szCs w:val="24"/>
          <w:lang w:bidi="en-US"/>
        </w:rPr>
        <w:t>Jimenez, G. E., Köhl, J. (2020). Screening strategies for selection of new microbial antagonists of plant pathogens. In P. A. De Cal, &amp; N. M. Melgarejo (Eds.), </w:t>
      </w:r>
      <w:r w:rsidRPr="00340D05">
        <w:rPr>
          <w:iCs/>
          <w:szCs w:val="24"/>
          <w:lang w:bidi="en-US"/>
        </w:rPr>
        <w:t>How research can stimulate the development of commercial biological control against plant diseases</w:t>
      </w:r>
      <w:r w:rsidRPr="00340D05">
        <w:rPr>
          <w:i/>
          <w:iCs/>
          <w:szCs w:val="24"/>
          <w:lang w:bidi="en-US"/>
        </w:rPr>
        <w:t> </w:t>
      </w:r>
      <w:r w:rsidRPr="00340D05">
        <w:rPr>
          <w:szCs w:val="24"/>
          <w:lang w:bidi="en-US"/>
        </w:rPr>
        <w:t xml:space="preserve">(pp. 165-181). Cham: Springer. </w:t>
      </w:r>
      <w:hyperlink r:id="rId22" w:history="1">
        <w:r w:rsidRPr="00340D05">
          <w:rPr>
            <w:rStyle w:val="af1"/>
            <w:color w:val="auto"/>
            <w:szCs w:val="24"/>
            <w:lang w:bidi="en-US"/>
          </w:rPr>
          <w:t>https://doi.org/10.1007/978-3-030-53238-3_11</w:t>
        </w:r>
      </w:hyperlink>
    </w:p>
    <w:p w14:paraId="65989C12" w14:textId="77777777" w:rsidR="00AD74B7" w:rsidRPr="00340D05" w:rsidRDefault="00AD74B7" w:rsidP="007F060F">
      <w:pPr>
        <w:spacing w:line="360" w:lineRule="auto"/>
        <w:ind w:left="567" w:hanging="567"/>
        <w:rPr>
          <w:szCs w:val="24"/>
          <w:lang w:bidi="en-US"/>
        </w:rPr>
      </w:pPr>
      <w:r w:rsidRPr="00340D05">
        <w:rPr>
          <w:szCs w:val="24"/>
          <w:lang w:bidi="en-US"/>
        </w:rPr>
        <w:t xml:space="preserve">Kasfi, K., Taheri, P., Jafarpour, B., &amp; Tarighi, S. (2018). Identification of epiphytic yeasts and bacteria with potential for biocontrol of grey mold disease on table grapes caused by </w:t>
      </w:r>
      <w:r w:rsidRPr="00340D05">
        <w:rPr>
          <w:i/>
          <w:iCs/>
          <w:szCs w:val="24"/>
          <w:lang w:bidi="en-US"/>
        </w:rPr>
        <w:t>Botrytis cinerea</w:t>
      </w:r>
      <w:r w:rsidRPr="00340D05">
        <w:rPr>
          <w:szCs w:val="24"/>
          <w:lang w:bidi="en-US"/>
        </w:rPr>
        <w:t xml:space="preserve">. </w:t>
      </w:r>
      <w:r w:rsidRPr="00340D05">
        <w:rPr>
          <w:iCs/>
          <w:szCs w:val="24"/>
          <w:lang w:bidi="en-US"/>
        </w:rPr>
        <w:t>Spanish Journal of Agricultural Research,</w:t>
      </w:r>
      <w:r w:rsidRPr="00340D05">
        <w:rPr>
          <w:szCs w:val="24"/>
          <w:lang w:bidi="en-US"/>
        </w:rPr>
        <w:t xml:space="preserve"> </w:t>
      </w:r>
      <w:r w:rsidRPr="00340D05">
        <w:rPr>
          <w:iCs/>
          <w:szCs w:val="24"/>
          <w:lang w:bidi="en-US"/>
        </w:rPr>
        <w:t>16</w:t>
      </w:r>
      <w:r w:rsidRPr="00340D05">
        <w:rPr>
          <w:szCs w:val="24"/>
          <w:lang w:bidi="en-US"/>
        </w:rPr>
        <w:t>, e1002. https://doi.org/10.5424/sjar/2018161-11378</w:t>
      </w:r>
    </w:p>
    <w:p w14:paraId="07E199D2" w14:textId="77777777" w:rsidR="00340D05" w:rsidRPr="00340D05" w:rsidRDefault="00340D05" w:rsidP="007F060F">
      <w:pPr>
        <w:spacing w:line="360" w:lineRule="auto"/>
        <w:ind w:left="567" w:hanging="567"/>
        <w:rPr>
          <w:szCs w:val="24"/>
          <w:lang w:bidi="en-US"/>
        </w:rPr>
      </w:pPr>
      <w:r w:rsidRPr="00340D05">
        <w:rPr>
          <w:szCs w:val="24"/>
          <w:lang w:bidi="en-US"/>
        </w:rPr>
        <w:t xml:space="preserve">Klein, M. N., &amp; Kupper, K. C. (2018). Biofilm production by </w:t>
      </w:r>
      <w:r w:rsidRPr="00340D05">
        <w:rPr>
          <w:i/>
          <w:iCs/>
          <w:szCs w:val="24"/>
          <w:lang w:bidi="en-US"/>
        </w:rPr>
        <w:t>Aureobasidium pullulans</w:t>
      </w:r>
      <w:r w:rsidRPr="00340D05">
        <w:rPr>
          <w:szCs w:val="24"/>
          <w:lang w:bidi="en-US"/>
        </w:rPr>
        <w:t xml:space="preserve"> improves biocontrol against sour rot in citrus. </w:t>
      </w:r>
      <w:r w:rsidRPr="00340D05">
        <w:rPr>
          <w:iCs/>
          <w:szCs w:val="24"/>
          <w:lang w:bidi="en-US"/>
        </w:rPr>
        <w:t>Food Microbiology,</w:t>
      </w:r>
      <w:r w:rsidRPr="00340D05">
        <w:rPr>
          <w:szCs w:val="24"/>
          <w:lang w:bidi="en-US"/>
        </w:rPr>
        <w:t xml:space="preserve"> </w:t>
      </w:r>
      <w:r w:rsidRPr="00340D05">
        <w:rPr>
          <w:iCs/>
          <w:szCs w:val="24"/>
          <w:lang w:bidi="en-US"/>
        </w:rPr>
        <w:t>69</w:t>
      </w:r>
      <w:r w:rsidRPr="00340D05">
        <w:rPr>
          <w:szCs w:val="24"/>
          <w:lang w:bidi="en-US"/>
        </w:rPr>
        <w:t xml:space="preserve">, 1-10. </w:t>
      </w:r>
      <w:hyperlink r:id="rId23" w:tgtFrame="_new" w:history="1">
        <w:r w:rsidRPr="00340D05">
          <w:rPr>
            <w:rStyle w:val="af1"/>
            <w:color w:val="auto"/>
            <w:szCs w:val="24"/>
            <w:lang w:bidi="en-US"/>
          </w:rPr>
          <w:t>https://doi.org/10.1016/j.fm.2017.07.008</w:t>
        </w:r>
      </w:hyperlink>
    </w:p>
    <w:p w14:paraId="6CDB2CBC" w14:textId="77777777" w:rsidR="00AD74B7" w:rsidRPr="00340D05" w:rsidRDefault="00AD74B7" w:rsidP="007F060F">
      <w:pPr>
        <w:spacing w:line="360" w:lineRule="auto"/>
        <w:ind w:left="567" w:hanging="567"/>
        <w:rPr>
          <w:szCs w:val="24"/>
          <w:lang w:bidi="en-US"/>
        </w:rPr>
      </w:pPr>
      <w:r w:rsidRPr="00340D05">
        <w:rPr>
          <w:szCs w:val="24"/>
          <w:lang w:bidi="en-US"/>
        </w:rPr>
        <w:t xml:space="preserve">Li, J., Yang, T., Yuan, F., Lv, X., &amp; Zhou, Y. (2024). Inhibitory effect and potential antagonistic mechanism of isolated epiphytic yeasts against </w:t>
      </w:r>
      <w:r w:rsidRPr="00340D05">
        <w:rPr>
          <w:i/>
          <w:iCs/>
          <w:szCs w:val="24"/>
          <w:lang w:bidi="en-US"/>
        </w:rPr>
        <w:t>Botrytis cinerea</w:t>
      </w:r>
      <w:r w:rsidRPr="00340D05">
        <w:rPr>
          <w:szCs w:val="24"/>
          <w:lang w:bidi="en-US"/>
        </w:rPr>
        <w:t xml:space="preserve"> and </w:t>
      </w:r>
      <w:r w:rsidRPr="00340D05">
        <w:rPr>
          <w:i/>
          <w:iCs/>
          <w:szCs w:val="24"/>
          <w:lang w:bidi="en-US"/>
        </w:rPr>
        <w:t>Alternaria alternata</w:t>
      </w:r>
      <w:r w:rsidRPr="00340D05">
        <w:rPr>
          <w:szCs w:val="24"/>
          <w:lang w:bidi="en-US"/>
        </w:rPr>
        <w:t xml:space="preserve"> in postharvest blueberry fruits. </w:t>
      </w:r>
      <w:r w:rsidRPr="00340D05">
        <w:rPr>
          <w:iCs/>
          <w:szCs w:val="24"/>
          <w:lang w:bidi="en-US"/>
        </w:rPr>
        <w:t>Foods,</w:t>
      </w:r>
      <w:r w:rsidRPr="00340D05">
        <w:rPr>
          <w:szCs w:val="24"/>
          <w:lang w:bidi="en-US"/>
        </w:rPr>
        <w:t xml:space="preserve"> </w:t>
      </w:r>
      <w:r w:rsidRPr="00340D05">
        <w:rPr>
          <w:iCs/>
          <w:szCs w:val="24"/>
          <w:lang w:bidi="en-US"/>
        </w:rPr>
        <w:t>13(9)</w:t>
      </w:r>
      <w:r w:rsidRPr="00340D05">
        <w:rPr>
          <w:szCs w:val="24"/>
          <w:lang w:bidi="en-US"/>
        </w:rPr>
        <w:t xml:space="preserve">, 1334. </w:t>
      </w:r>
      <w:hyperlink r:id="rId24" w:tgtFrame="_new" w:history="1">
        <w:r w:rsidRPr="00340D05">
          <w:rPr>
            <w:rStyle w:val="af1"/>
            <w:color w:val="auto"/>
            <w:szCs w:val="24"/>
            <w:lang w:bidi="en-US"/>
          </w:rPr>
          <w:t>https://doi.org/10.3390/foods13091334</w:t>
        </w:r>
      </w:hyperlink>
    </w:p>
    <w:p w14:paraId="5F1BBAF5" w14:textId="77777777" w:rsidR="00340D05" w:rsidRPr="00340D05" w:rsidRDefault="00340D05" w:rsidP="007F060F">
      <w:pPr>
        <w:spacing w:line="360" w:lineRule="auto"/>
        <w:ind w:left="567" w:hanging="567"/>
        <w:rPr>
          <w:rStyle w:val="af1"/>
          <w:color w:val="auto"/>
          <w:szCs w:val="24"/>
          <w:u w:val="none"/>
          <w:lang w:bidi="en-US"/>
        </w:rPr>
      </w:pPr>
      <w:r w:rsidRPr="00340D05">
        <w:rPr>
          <w:szCs w:val="24"/>
          <w:lang w:bidi="en-US"/>
        </w:rPr>
        <w:t xml:space="preserve">Liu, H. M., Guo, J. H., Cheng, Y. J., Luo, L., Liu, P., Wang, B. Q., Deng, B. X., &amp; Long, C. A. (2010). Control of gray mold of grape by </w:t>
      </w:r>
      <w:r w:rsidRPr="00340D05">
        <w:rPr>
          <w:i/>
          <w:iCs/>
          <w:szCs w:val="24"/>
          <w:lang w:bidi="en-US"/>
        </w:rPr>
        <w:t>Hanseniaspora uvarum</w:t>
      </w:r>
      <w:r w:rsidRPr="00340D05">
        <w:rPr>
          <w:szCs w:val="24"/>
          <w:lang w:bidi="en-US"/>
        </w:rPr>
        <w:t xml:space="preserve"> and its effects on postharvest quality parameters. </w:t>
      </w:r>
      <w:r w:rsidRPr="00340D05">
        <w:rPr>
          <w:iCs/>
          <w:szCs w:val="24"/>
          <w:lang w:bidi="en-US"/>
        </w:rPr>
        <w:t>Annals of Microbiology,</w:t>
      </w:r>
      <w:r w:rsidRPr="00340D05">
        <w:rPr>
          <w:szCs w:val="24"/>
          <w:lang w:bidi="en-US"/>
        </w:rPr>
        <w:t xml:space="preserve"> </w:t>
      </w:r>
      <w:r w:rsidRPr="00340D05">
        <w:rPr>
          <w:iCs/>
          <w:szCs w:val="24"/>
          <w:lang w:bidi="en-US"/>
        </w:rPr>
        <w:t>60</w:t>
      </w:r>
      <w:r w:rsidRPr="00340D05">
        <w:rPr>
          <w:szCs w:val="24"/>
          <w:lang w:bidi="en-US"/>
        </w:rPr>
        <w:t xml:space="preserve">(1), 31-35. </w:t>
      </w:r>
      <w:hyperlink r:id="rId25" w:tgtFrame="_new" w:history="1">
        <w:r w:rsidRPr="00340D05">
          <w:rPr>
            <w:rStyle w:val="af1"/>
            <w:color w:val="auto"/>
            <w:szCs w:val="24"/>
            <w:lang w:bidi="en-US"/>
          </w:rPr>
          <w:t>https://doi.org/10.1007/s13213-010-0018-3</w:t>
        </w:r>
      </w:hyperlink>
    </w:p>
    <w:p w14:paraId="4C2EAE91" w14:textId="77777777" w:rsidR="00340D05" w:rsidRPr="00340D05" w:rsidRDefault="00340D05" w:rsidP="007F060F">
      <w:pPr>
        <w:spacing w:line="360" w:lineRule="auto"/>
        <w:ind w:left="567" w:hanging="567"/>
        <w:rPr>
          <w:rStyle w:val="af1"/>
          <w:color w:val="auto"/>
          <w:szCs w:val="24"/>
          <w:u w:val="none"/>
          <w:lang w:bidi="en-US"/>
        </w:rPr>
      </w:pPr>
      <w:r w:rsidRPr="00340D05">
        <w:rPr>
          <w:szCs w:val="24"/>
          <w:lang w:bidi="en-US"/>
        </w:rPr>
        <w:lastRenderedPageBreak/>
        <w:t xml:space="preserve">Liu, Q., Chen, Q., Liu, H., Du, Y., Jiao, W., Sun, F., &amp; Fu, M. (2024). </w:t>
      </w:r>
      <w:r w:rsidRPr="00340D05">
        <w:rPr>
          <w:i/>
          <w:iCs/>
          <w:szCs w:val="24"/>
          <w:lang w:bidi="en-US"/>
        </w:rPr>
        <w:t>Rhizopus stolonifer</w:t>
      </w:r>
      <w:r w:rsidRPr="00340D05">
        <w:rPr>
          <w:szCs w:val="24"/>
          <w:lang w:bidi="en-US"/>
        </w:rPr>
        <w:t xml:space="preserve"> and related control strategies in postharvest fruit: A review. </w:t>
      </w:r>
      <w:r w:rsidRPr="00340D05">
        <w:rPr>
          <w:iCs/>
          <w:szCs w:val="24"/>
          <w:lang w:bidi="en-US"/>
        </w:rPr>
        <w:t>Heliyon,</w:t>
      </w:r>
      <w:r w:rsidRPr="00340D05">
        <w:rPr>
          <w:szCs w:val="24"/>
          <w:lang w:bidi="en-US"/>
        </w:rPr>
        <w:t xml:space="preserve"> </w:t>
      </w:r>
      <w:r w:rsidRPr="00340D05">
        <w:rPr>
          <w:iCs/>
          <w:szCs w:val="24"/>
          <w:lang w:bidi="en-US"/>
        </w:rPr>
        <w:t>10</w:t>
      </w:r>
      <w:r w:rsidRPr="00340D05">
        <w:rPr>
          <w:szCs w:val="24"/>
          <w:lang w:bidi="en-US"/>
        </w:rPr>
        <w:t xml:space="preserve">(8), e29522. </w:t>
      </w:r>
      <w:hyperlink r:id="rId26" w:tgtFrame="_new" w:history="1">
        <w:r w:rsidRPr="00340D05">
          <w:rPr>
            <w:rStyle w:val="af1"/>
            <w:color w:val="auto"/>
            <w:szCs w:val="24"/>
            <w:lang w:bidi="en-US"/>
          </w:rPr>
          <w:t>https://doi.org/10.1016/j.heliyon.2024.e29522</w:t>
        </w:r>
      </w:hyperlink>
    </w:p>
    <w:p w14:paraId="6DFCDE7F" w14:textId="77777777" w:rsidR="00340D05" w:rsidRPr="00340D05" w:rsidRDefault="00340D05" w:rsidP="007F060F">
      <w:pPr>
        <w:spacing w:line="360" w:lineRule="auto"/>
        <w:ind w:left="567" w:hanging="567"/>
        <w:rPr>
          <w:szCs w:val="24"/>
          <w:lang w:bidi="en-US"/>
        </w:rPr>
      </w:pPr>
      <w:r w:rsidRPr="00340D05">
        <w:rPr>
          <w:szCs w:val="24"/>
          <w:lang w:bidi="en-US"/>
        </w:rPr>
        <w:t xml:space="preserve">Liu, Y., Yao, S., Deng, L., Ming, J., &amp; Zeng, K. (2019). Different mechanisms of action of isolated epiphytic yeasts against </w:t>
      </w:r>
      <w:r w:rsidRPr="00340D05">
        <w:rPr>
          <w:i/>
          <w:iCs/>
          <w:szCs w:val="24"/>
          <w:lang w:bidi="en-US"/>
        </w:rPr>
        <w:t>Penicillium digitatum</w:t>
      </w:r>
      <w:r w:rsidRPr="00340D05">
        <w:rPr>
          <w:szCs w:val="24"/>
          <w:lang w:bidi="en-US"/>
        </w:rPr>
        <w:t xml:space="preserve"> and </w:t>
      </w:r>
      <w:r w:rsidRPr="00340D05">
        <w:rPr>
          <w:i/>
          <w:iCs/>
          <w:szCs w:val="24"/>
          <w:lang w:bidi="en-US"/>
        </w:rPr>
        <w:t>Penicillium italicum</w:t>
      </w:r>
      <w:r w:rsidRPr="00340D05">
        <w:rPr>
          <w:szCs w:val="24"/>
          <w:lang w:bidi="en-US"/>
        </w:rPr>
        <w:t xml:space="preserve"> on citrus fruit. </w:t>
      </w:r>
      <w:r w:rsidRPr="00340D05">
        <w:rPr>
          <w:iCs/>
          <w:szCs w:val="24"/>
          <w:lang w:bidi="en-US"/>
        </w:rPr>
        <w:t>Postharvest Biology and Technology,</w:t>
      </w:r>
      <w:r w:rsidRPr="00340D05">
        <w:rPr>
          <w:szCs w:val="24"/>
          <w:lang w:bidi="en-US"/>
        </w:rPr>
        <w:t xml:space="preserve"> </w:t>
      </w:r>
      <w:r w:rsidRPr="00340D05">
        <w:rPr>
          <w:iCs/>
          <w:szCs w:val="24"/>
          <w:lang w:bidi="en-US"/>
        </w:rPr>
        <w:t>152</w:t>
      </w:r>
      <w:r w:rsidRPr="00340D05">
        <w:rPr>
          <w:szCs w:val="24"/>
          <w:lang w:bidi="en-US"/>
        </w:rPr>
        <w:t>, 100-110. https://doi.org/10.1016/j.postharvbio.2019.03.002</w:t>
      </w:r>
    </w:p>
    <w:p w14:paraId="237B1613" w14:textId="77777777" w:rsidR="00340D05" w:rsidRPr="00340D05" w:rsidRDefault="00340D05" w:rsidP="007F060F">
      <w:pPr>
        <w:spacing w:line="360" w:lineRule="auto"/>
        <w:ind w:left="567" w:hanging="567"/>
        <w:rPr>
          <w:rStyle w:val="af1"/>
          <w:color w:val="auto"/>
          <w:szCs w:val="24"/>
          <w:u w:val="none"/>
          <w:lang w:bidi="en-US"/>
        </w:rPr>
      </w:pPr>
      <w:r w:rsidRPr="00340D05">
        <w:rPr>
          <w:szCs w:val="24"/>
          <w:lang w:bidi="en-US"/>
        </w:rPr>
        <w:t xml:space="preserve">Lovato, A., Zenoni, S., Tornielli, G. B., Colombo, T., Vandelle, E., &amp; Polverari, A. (2019). Specific molecular interactions between </w:t>
      </w:r>
      <w:r w:rsidRPr="00340D05">
        <w:rPr>
          <w:i/>
          <w:iCs/>
          <w:szCs w:val="24"/>
          <w:lang w:bidi="en-US"/>
        </w:rPr>
        <w:t>Vitis vinifera</w:t>
      </w:r>
      <w:r w:rsidRPr="00340D05">
        <w:rPr>
          <w:szCs w:val="24"/>
          <w:lang w:bidi="en-US"/>
        </w:rPr>
        <w:t xml:space="preserve"> and </w:t>
      </w:r>
      <w:r w:rsidRPr="00340D05">
        <w:rPr>
          <w:i/>
          <w:iCs/>
          <w:szCs w:val="24"/>
          <w:lang w:bidi="en-US"/>
        </w:rPr>
        <w:t>Botrytis cinerea</w:t>
      </w:r>
      <w:r w:rsidRPr="00340D05">
        <w:rPr>
          <w:szCs w:val="24"/>
          <w:lang w:bidi="en-US"/>
        </w:rPr>
        <w:t xml:space="preserve"> are required for noble rot development in grape berries. </w:t>
      </w:r>
      <w:r w:rsidRPr="00340D05">
        <w:rPr>
          <w:iCs/>
          <w:szCs w:val="24"/>
          <w:lang w:bidi="en-US"/>
        </w:rPr>
        <w:t>Postharvest Biology and Technology,</w:t>
      </w:r>
      <w:r w:rsidRPr="00340D05">
        <w:rPr>
          <w:szCs w:val="24"/>
          <w:lang w:bidi="en-US"/>
        </w:rPr>
        <w:t xml:space="preserve"> </w:t>
      </w:r>
      <w:r w:rsidRPr="00340D05">
        <w:rPr>
          <w:iCs/>
          <w:szCs w:val="24"/>
          <w:lang w:bidi="en-US"/>
        </w:rPr>
        <w:t>156</w:t>
      </w:r>
      <w:r w:rsidRPr="00340D05">
        <w:rPr>
          <w:szCs w:val="24"/>
          <w:lang w:bidi="en-US"/>
        </w:rPr>
        <w:t xml:space="preserve">, 110924. </w:t>
      </w:r>
      <w:hyperlink r:id="rId27" w:tgtFrame="_new" w:history="1">
        <w:r w:rsidRPr="00340D05">
          <w:rPr>
            <w:rStyle w:val="af1"/>
            <w:color w:val="auto"/>
            <w:szCs w:val="24"/>
            <w:lang w:bidi="en-US"/>
          </w:rPr>
          <w:t>https://doi.org/10.1016/j.postharvbio.2019.05.025</w:t>
        </w:r>
      </w:hyperlink>
    </w:p>
    <w:p w14:paraId="5F3BB498" w14:textId="77777777" w:rsidR="00AD74B7" w:rsidRPr="00340D05" w:rsidRDefault="00AD74B7" w:rsidP="007F060F">
      <w:pPr>
        <w:spacing w:line="360" w:lineRule="auto"/>
        <w:ind w:left="567" w:hanging="567"/>
        <w:rPr>
          <w:szCs w:val="24"/>
          <w:lang w:bidi="en-US"/>
        </w:rPr>
      </w:pPr>
      <w:r w:rsidRPr="00340D05">
        <w:rPr>
          <w:szCs w:val="24"/>
          <w:lang w:bidi="en-US"/>
        </w:rPr>
        <w:t xml:space="preserve">Maciag, T., Kozieł, E., Rusin, P., Otulak-Kozieł, K., Jafra, S., &amp; Czajkowski, R. (2023). Microbial consortia for plant protection against diseases: More than the sum of its parts. </w:t>
      </w:r>
      <w:r w:rsidRPr="00340D05">
        <w:rPr>
          <w:iCs/>
          <w:szCs w:val="24"/>
          <w:lang w:bidi="en-US"/>
        </w:rPr>
        <w:t>International Journal of Molecular Sciences,</w:t>
      </w:r>
      <w:r w:rsidRPr="00340D05">
        <w:rPr>
          <w:szCs w:val="24"/>
          <w:lang w:bidi="en-US"/>
        </w:rPr>
        <w:t xml:space="preserve"> </w:t>
      </w:r>
      <w:r w:rsidRPr="00340D05">
        <w:rPr>
          <w:iCs/>
          <w:szCs w:val="24"/>
          <w:lang w:bidi="en-US"/>
        </w:rPr>
        <w:t>24</w:t>
      </w:r>
      <w:r w:rsidRPr="00340D05">
        <w:rPr>
          <w:szCs w:val="24"/>
          <w:lang w:bidi="en-US"/>
        </w:rPr>
        <w:t xml:space="preserve">(15), 12227. </w:t>
      </w:r>
      <w:hyperlink r:id="rId28" w:tgtFrame="_new" w:history="1">
        <w:r w:rsidRPr="00340D05">
          <w:rPr>
            <w:rStyle w:val="af1"/>
            <w:color w:val="auto"/>
            <w:szCs w:val="24"/>
            <w:lang w:bidi="en-US"/>
          </w:rPr>
          <w:t>https://doi.org/10.3390/ijms241512227</w:t>
        </w:r>
      </w:hyperlink>
    </w:p>
    <w:p w14:paraId="65D2BCEF" w14:textId="77777777" w:rsidR="00340D05" w:rsidRPr="00340D05" w:rsidRDefault="00340D05" w:rsidP="007F060F">
      <w:pPr>
        <w:spacing w:line="360" w:lineRule="auto"/>
        <w:ind w:left="567" w:hanging="567"/>
        <w:rPr>
          <w:szCs w:val="24"/>
          <w:lang w:bidi="en-US"/>
        </w:rPr>
      </w:pPr>
      <w:r w:rsidRPr="00340D05">
        <w:rPr>
          <w:szCs w:val="24"/>
          <w:lang w:bidi="en-US"/>
        </w:rPr>
        <w:t xml:space="preserve">Mendoza-Reyes, D. F., Gómez-Gaviria, M., &amp; Mora-Montes, H. M. (2022). </w:t>
      </w:r>
      <w:r w:rsidRPr="00340D05">
        <w:rPr>
          <w:i/>
          <w:iCs/>
          <w:szCs w:val="24"/>
          <w:lang w:bidi="en-US"/>
        </w:rPr>
        <w:t>Candida lusitaniae</w:t>
      </w:r>
      <w:r w:rsidRPr="00340D05">
        <w:rPr>
          <w:szCs w:val="24"/>
          <w:lang w:bidi="en-US"/>
        </w:rPr>
        <w:t>: Biology, pathogenicity, virulence factors, diagnosis, and treatment. I</w:t>
      </w:r>
      <w:r w:rsidRPr="00340D05">
        <w:rPr>
          <w:iCs/>
          <w:szCs w:val="24"/>
          <w:lang w:bidi="en-US"/>
        </w:rPr>
        <w:t>nfection and Drug Resistance,</w:t>
      </w:r>
      <w:r w:rsidRPr="00340D05">
        <w:rPr>
          <w:szCs w:val="24"/>
          <w:lang w:bidi="en-US"/>
        </w:rPr>
        <w:t xml:space="preserve"> </w:t>
      </w:r>
      <w:r w:rsidRPr="00340D05">
        <w:rPr>
          <w:iCs/>
          <w:szCs w:val="24"/>
          <w:lang w:bidi="en-US"/>
        </w:rPr>
        <w:t>15</w:t>
      </w:r>
      <w:r w:rsidRPr="00340D05">
        <w:rPr>
          <w:szCs w:val="24"/>
          <w:lang w:bidi="en-US"/>
        </w:rPr>
        <w:t>, 5121-5135. https://doi.org/10.2147/IDR.S383785</w:t>
      </w:r>
    </w:p>
    <w:p w14:paraId="4A0C2531" w14:textId="77777777" w:rsidR="00340D05" w:rsidRPr="00340D05" w:rsidRDefault="00340D05" w:rsidP="007F060F">
      <w:pPr>
        <w:spacing w:line="360" w:lineRule="auto"/>
        <w:ind w:left="567" w:hanging="567"/>
        <w:rPr>
          <w:szCs w:val="24"/>
          <w:lang w:bidi="en-US"/>
        </w:rPr>
      </w:pPr>
      <w:r w:rsidRPr="00340D05">
        <w:rPr>
          <w:szCs w:val="24"/>
          <w:lang w:bidi="en-US"/>
        </w:rPr>
        <w:t xml:space="preserve">Nunes, C. A. (2012). Biological control of postharvest diseases of fruit. </w:t>
      </w:r>
      <w:r w:rsidRPr="00340D05">
        <w:rPr>
          <w:iCs/>
          <w:szCs w:val="24"/>
          <w:lang w:bidi="en-US"/>
        </w:rPr>
        <w:t>European Journal of Plant Pathology,</w:t>
      </w:r>
      <w:r w:rsidRPr="00340D05">
        <w:rPr>
          <w:szCs w:val="24"/>
          <w:lang w:bidi="en-US"/>
        </w:rPr>
        <w:t xml:space="preserve"> </w:t>
      </w:r>
      <w:r w:rsidRPr="00340D05">
        <w:rPr>
          <w:iCs/>
          <w:szCs w:val="24"/>
          <w:lang w:bidi="en-US"/>
        </w:rPr>
        <w:t>133</w:t>
      </w:r>
      <w:r w:rsidRPr="00340D05">
        <w:rPr>
          <w:szCs w:val="24"/>
          <w:lang w:bidi="en-US"/>
        </w:rPr>
        <w:t xml:space="preserve">, 181-196. </w:t>
      </w:r>
      <w:hyperlink r:id="rId29" w:history="1">
        <w:r w:rsidRPr="00340D05">
          <w:rPr>
            <w:rStyle w:val="af1"/>
            <w:szCs w:val="24"/>
            <w:lang w:bidi="en-US"/>
          </w:rPr>
          <w:t>https://doi.org/10.1007/s10658-011-9919-7</w:t>
        </w:r>
      </w:hyperlink>
    </w:p>
    <w:p w14:paraId="50332E41" w14:textId="77777777" w:rsidR="00AD74B7" w:rsidRPr="00340D05" w:rsidRDefault="00AD74B7" w:rsidP="007F060F">
      <w:pPr>
        <w:spacing w:line="360" w:lineRule="auto"/>
        <w:ind w:left="567" w:hanging="567"/>
        <w:rPr>
          <w:szCs w:val="24"/>
          <w:lang w:bidi="en-US"/>
        </w:rPr>
      </w:pPr>
      <w:r w:rsidRPr="00340D05">
        <w:rPr>
          <w:szCs w:val="24"/>
          <w:lang w:bidi="en-US"/>
        </w:rPr>
        <w:t xml:space="preserve">One-Way ANOVA with Tukey HSD. (n.d.). </w:t>
      </w:r>
      <w:hyperlink r:id="rId30" w:tgtFrame="_new" w:history="1">
        <w:r w:rsidRPr="00340D05">
          <w:rPr>
            <w:rStyle w:val="af1"/>
            <w:color w:val="auto"/>
            <w:szCs w:val="24"/>
            <w:lang w:bidi="en-US"/>
          </w:rPr>
          <w:t>https://astatsa.com/OneWay_Anova_with_TukeyHSD/</w:t>
        </w:r>
      </w:hyperlink>
      <w:r w:rsidRPr="00340D05">
        <w:rPr>
          <w:szCs w:val="24"/>
          <w:lang w:bidi="en-US"/>
        </w:rPr>
        <w:t xml:space="preserve"> (accessed on 14 August 2025).</w:t>
      </w:r>
    </w:p>
    <w:p w14:paraId="3D26E299" w14:textId="77777777" w:rsidR="00340D05" w:rsidRPr="00340D05" w:rsidRDefault="00340D05" w:rsidP="007F060F">
      <w:pPr>
        <w:spacing w:line="360" w:lineRule="auto"/>
        <w:ind w:left="567" w:hanging="567"/>
        <w:rPr>
          <w:szCs w:val="24"/>
          <w:lang w:bidi="en-US"/>
        </w:rPr>
      </w:pPr>
      <w:r w:rsidRPr="00E63C63">
        <w:rPr>
          <w:szCs w:val="24"/>
          <w:lang w:val="es-ES" w:bidi="en-US"/>
        </w:rPr>
        <w:t xml:space="preserve">Oztekin, S., Dikmetas, D. N., Devecioglu, D., Acar, E. G., &amp; Karbancioglu-Guler, F. (2023). </w:t>
      </w:r>
      <w:r w:rsidRPr="00340D05">
        <w:rPr>
          <w:szCs w:val="24"/>
          <w:lang w:bidi="en-US"/>
        </w:rPr>
        <w:t xml:space="preserve">Recent insights into the use of antagonistic yeasts for sustainable biomanagement of postharvest pathogenic and mycotoxigenic fungi in fruits with their prevention strategies against mycotoxins. </w:t>
      </w:r>
      <w:r w:rsidRPr="00340D05">
        <w:rPr>
          <w:iCs/>
          <w:szCs w:val="24"/>
          <w:lang w:bidi="en-US"/>
        </w:rPr>
        <w:t>Journal of Agricultural and Food Chemistry,</w:t>
      </w:r>
      <w:r w:rsidRPr="00340D05">
        <w:rPr>
          <w:szCs w:val="24"/>
          <w:lang w:bidi="en-US"/>
        </w:rPr>
        <w:t xml:space="preserve"> </w:t>
      </w:r>
      <w:r w:rsidRPr="00340D05">
        <w:rPr>
          <w:iCs/>
          <w:szCs w:val="24"/>
          <w:lang w:bidi="en-US"/>
        </w:rPr>
        <w:t>71(26)</w:t>
      </w:r>
      <w:r w:rsidRPr="00340D05">
        <w:rPr>
          <w:szCs w:val="24"/>
          <w:lang w:bidi="en-US"/>
        </w:rPr>
        <w:t xml:space="preserve">, 9923-9950. </w:t>
      </w:r>
      <w:hyperlink r:id="rId31" w:tgtFrame="_new" w:history="1">
        <w:r w:rsidRPr="00340D05">
          <w:rPr>
            <w:rStyle w:val="af1"/>
            <w:color w:val="auto"/>
            <w:szCs w:val="24"/>
            <w:lang w:bidi="en-US"/>
          </w:rPr>
          <w:t>https://doi.org/10.1021/acs.jafc.3c00315</w:t>
        </w:r>
      </w:hyperlink>
    </w:p>
    <w:p w14:paraId="1D0BB301" w14:textId="77777777" w:rsidR="00AD74B7" w:rsidRPr="00E63C63" w:rsidRDefault="00AD74B7" w:rsidP="007F060F">
      <w:pPr>
        <w:spacing w:line="360" w:lineRule="auto"/>
        <w:ind w:left="567" w:hanging="567"/>
        <w:rPr>
          <w:szCs w:val="24"/>
          <w:lang w:val="es-ES" w:bidi="en-US"/>
        </w:rPr>
      </w:pPr>
      <w:r w:rsidRPr="00340D05">
        <w:rPr>
          <w:szCs w:val="24"/>
          <w:lang w:bidi="en-US"/>
        </w:rPr>
        <w:t xml:space="preserve">Öztekin, S., &amp; Karbancioglu-Guler, F. (2023). Biological control of green mould on mandarin fruit through the combined use of antagonistic yeasts. </w:t>
      </w:r>
      <w:r w:rsidRPr="00E63C63">
        <w:rPr>
          <w:iCs/>
          <w:szCs w:val="24"/>
          <w:lang w:val="es-ES" w:bidi="en-US"/>
        </w:rPr>
        <w:t>Biological Control,</w:t>
      </w:r>
      <w:r w:rsidRPr="00E63C63">
        <w:rPr>
          <w:szCs w:val="24"/>
          <w:lang w:val="es-ES" w:bidi="en-US"/>
        </w:rPr>
        <w:t xml:space="preserve"> </w:t>
      </w:r>
      <w:r w:rsidRPr="00E63C63">
        <w:rPr>
          <w:iCs/>
          <w:szCs w:val="24"/>
          <w:lang w:val="es-ES" w:bidi="en-US"/>
        </w:rPr>
        <w:t>180</w:t>
      </w:r>
      <w:r w:rsidRPr="00E63C63">
        <w:rPr>
          <w:szCs w:val="24"/>
          <w:lang w:val="es-ES" w:bidi="en-US"/>
        </w:rPr>
        <w:t xml:space="preserve">, 105186. </w:t>
      </w:r>
      <w:r>
        <w:fldChar w:fldCharType="begin"/>
      </w:r>
      <w:r w:rsidRPr="00E63C63">
        <w:rPr>
          <w:lang w:val="es-ES"/>
        </w:rPr>
        <w:instrText>HYPERLINK "https://doi.org/10.1016/j.biocontrol.2023.105186" \t "_new"</w:instrText>
      </w:r>
      <w:r>
        <w:fldChar w:fldCharType="separate"/>
      </w:r>
      <w:r w:rsidRPr="00E63C63">
        <w:rPr>
          <w:rStyle w:val="af1"/>
          <w:color w:val="auto"/>
          <w:szCs w:val="24"/>
          <w:lang w:val="es-ES" w:bidi="en-US"/>
        </w:rPr>
        <w:t>https://doi.org/10.1016/j.biocontrol.2023.105186</w:t>
      </w:r>
      <w:r>
        <w:fldChar w:fldCharType="end"/>
      </w:r>
    </w:p>
    <w:p w14:paraId="645A587A" w14:textId="77777777" w:rsidR="00340D05" w:rsidRPr="00340D05" w:rsidRDefault="00340D05" w:rsidP="007F060F">
      <w:pPr>
        <w:spacing w:line="360" w:lineRule="auto"/>
        <w:ind w:left="567" w:hanging="567"/>
        <w:rPr>
          <w:szCs w:val="24"/>
          <w:lang w:bidi="en-US"/>
        </w:rPr>
      </w:pPr>
      <w:r w:rsidRPr="00E63C63">
        <w:rPr>
          <w:szCs w:val="24"/>
          <w:lang w:val="es-ES" w:bidi="en-US"/>
        </w:rPr>
        <w:t xml:space="preserve">Parafati, L., Vitale, A., Restuccia, C., &amp; Cirvilleri, G. (2015). </w:t>
      </w:r>
      <w:r w:rsidRPr="00340D05">
        <w:rPr>
          <w:szCs w:val="24"/>
          <w:lang w:bidi="en-US"/>
        </w:rPr>
        <w:t xml:space="preserve">Biocontrol ability and action mechanism of food-isolated yeast strains against </w:t>
      </w:r>
      <w:r w:rsidRPr="00340D05">
        <w:rPr>
          <w:i/>
          <w:iCs/>
          <w:szCs w:val="24"/>
          <w:lang w:bidi="en-US"/>
        </w:rPr>
        <w:t>Botrytis cinerea</w:t>
      </w:r>
      <w:r w:rsidRPr="00340D05">
        <w:rPr>
          <w:szCs w:val="24"/>
          <w:lang w:bidi="en-US"/>
        </w:rPr>
        <w:t xml:space="preserve"> causing post-harvest bunch rot of table grape. </w:t>
      </w:r>
      <w:r w:rsidRPr="00340D05">
        <w:rPr>
          <w:iCs/>
          <w:szCs w:val="24"/>
          <w:lang w:bidi="en-US"/>
        </w:rPr>
        <w:t>Food Microbiology,</w:t>
      </w:r>
      <w:r w:rsidRPr="00340D05">
        <w:rPr>
          <w:szCs w:val="24"/>
          <w:lang w:bidi="en-US"/>
        </w:rPr>
        <w:t xml:space="preserve"> </w:t>
      </w:r>
      <w:r w:rsidRPr="00340D05">
        <w:rPr>
          <w:iCs/>
          <w:szCs w:val="24"/>
          <w:lang w:bidi="en-US"/>
        </w:rPr>
        <w:t>47</w:t>
      </w:r>
      <w:r w:rsidRPr="00340D05">
        <w:rPr>
          <w:szCs w:val="24"/>
          <w:lang w:bidi="en-US"/>
        </w:rPr>
        <w:t xml:space="preserve">, 85-92. </w:t>
      </w:r>
      <w:hyperlink r:id="rId32" w:tgtFrame="_new" w:history="1">
        <w:r w:rsidRPr="00340D05">
          <w:rPr>
            <w:rStyle w:val="af1"/>
            <w:color w:val="auto"/>
            <w:szCs w:val="24"/>
            <w:lang w:bidi="en-US"/>
          </w:rPr>
          <w:t>https://doi.org/10.1016/j.fm.2014.11.013</w:t>
        </w:r>
      </w:hyperlink>
    </w:p>
    <w:p w14:paraId="1D4FAB1B" w14:textId="77777777" w:rsidR="00AD74B7" w:rsidRPr="00340D05" w:rsidRDefault="00AD74B7" w:rsidP="007F060F">
      <w:pPr>
        <w:spacing w:line="360" w:lineRule="auto"/>
        <w:ind w:left="567" w:hanging="567"/>
        <w:rPr>
          <w:szCs w:val="24"/>
          <w:lang w:bidi="en-US"/>
        </w:rPr>
      </w:pPr>
      <w:r w:rsidRPr="00340D05">
        <w:rPr>
          <w:szCs w:val="24"/>
          <w:lang w:bidi="en-US"/>
        </w:rPr>
        <w:lastRenderedPageBreak/>
        <w:t xml:space="preserve">Qin, G., Tian, S., Xu, Y., &amp; Wan, Y. (2003). Enhancement of biocontrol efficacy of antagonistic yeasts by salicylic acid in sweet cherry fruit. </w:t>
      </w:r>
      <w:r w:rsidRPr="00340D05">
        <w:rPr>
          <w:iCs/>
          <w:szCs w:val="24"/>
          <w:lang w:bidi="en-US"/>
        </w:rPr>
        <w:t>Physiological and Molecular Plant Pathology,</w:t>
      </w:r>
      <w:r w:rsidRPr="00340D05">
        <w:rPr>
          <w:szCs w:val="24"/>
          <w:lang w:bidi="en-US"/>
        </w:rPr>
        <w:t xml:space="preserve"> </w:t>
      </w:r>
      <w:r w:rsidRPr="00340D05">
        <w:rPr>
          <w:iCs/>
          <w:szCs w:val="24"/>
          <w:lang w:bidi="en-US"/>
        </w:rPr>
        <w:t>62(3)</w:t>
      </w:r>
      <w:r w:rsidRPr="00340D05">
        <w:rPr>
          <w:szCs w:val="24"/>
          <w:lang w:bidi="en-US"/>
        </w:rPr>
        <w:t xml:space="preserve">, 147-154. </w:t>
      </w:r>
      <w:hyperlink r:id="rId33" w:history="1">
        <w:r w:rsidRPr="00340D05">
          <w:rPr>
            <w:rStyle w:val="af1"/>
            <w:szCs w:val="24"/>
            <w:lang w:bidi="en-US"/>
          </w:rPr>
          <w:t>https://doi.org/10.1016/S0885-5765(03)00046-8</w:t>
        </w:r>
      </w:hyperlink>
    </w:p>
    <w:p w14:paraId="30747355" w14:textId="77777777" w:rsidR="00AD74B7" w:rsidRPr="00E63C63" w:rsidRDefault="00AD74B7" w:rsidP="007F060F">
      <w:pPr>
        <w:spacing w:line="360" w:lineRule="auto"/>
        <w:ind w:left="567" w:hanging="567"/>
        <w:rPr>
          <w:szCs w:val="24"/>
          <w:lang w:val="pt-BR" w:bidi="en-US"/>
        </w:rPr>
      </w:pPr>
      <w:r w:rsidRPr="00340D05">
        <w:rPr>
          <w:szCs w:val="24"/>
          <w:lang w:bidi="en-US"/>
        </w:rPr>
        <w:t xml:space="preserve">Rendueles, O., &amp; Ghigo, J. M. (2015). Mechanisms of competition in biofilm communities. </w:t>
      </w:r>
      <w:r w:rsidRPr="00E63C63">
        <w:rPr>
          <w:iCs/>
          <w:szCs w:val="24"/>
          <w:lang w:val="pt-BR" w:bidi="en-US"/>
        </w:rPr>
        <w:t>Microbiology Spectrum,</w:t>
      </w:r>
      <w:r w:rsidRPr="00E63C63">
        <w:rPr>
          <w:szCs w:val="24"/>
          <w:lang w:val="pt-BR" w:bidi="en-US"/>
        </w:rPr>
        <w:t xml:space="preserve"> </w:t>
      </w:r>
      <w:r w:rsidRPr="00E63C63">
        <w:rPr>
          <w:iCs/>
          <w:szCs w:val="24"/>
          <w:lang w:val="pt-BR" w:bidi="en-US"/>
        </w:rPr>
        <w:t>3(3)</w:t>
      </w:r>
      <w:r w:rsidRPr="00E63C63">
        <w:rPr>
          <w:szCs w:val="24"/>
          <w:lang w:val="pt-BR" w:bidi="en-US"/>
        </w:rPr>
        <w:t>. https://doi.org/10.1128/microbiolspec.MB-0009-2014</w:t>
      </w:r>
    </w:p>
    <w:p w14:paraId="7DFF59BA" w14:textId="77777777" w:rsidR="00AD74B7" w:rsidRPr="00E63C63" w:rsidRDefault="00AD74B7" w:rsidP="007F060F">
      <w:pPr>
        <w:spacing w:line="360" w:lineRule="auto"/>
        <w:ind w:left="567" w:hanging="567"/>
        <w:rPr>
          <w:szCs w:val="24"/>
          <w:lang w:val="es-ES" w:bidi="en-US"/>
        </w:rPr>
      </w:pPr>
      <w:r w:rsidRPr="00E63C63">
        <w:rPr>
          <w:szCs w:val="24"/>
          <w:lang w:val="pt-BR" w:bidi="en-US"/>
        </w:rPr>
        <w:t xml:space="preserve">Reyes-Bravo, P., Acuña-Fontecilla, A., Rosales, I. M., &amp; Godoy, L. (2021). </w:t>
      </w:r>
      <w:r w:rsidRPr="00340D05">
        <w:rPr>
          <w:szCs w:val="24"/>
          <w:lang w:bidi="en-US"/>
        </w:rPr>
        <w:t xml:space="preserve">Non-conventional yeasts as biocontrol agents against fungal pathogens related to postharvest diseases. </w:t>
      </w:r>
      <w:r w:rsidRPr="00E63C63">
        <w:rPr>
          <w:iCs/>
          <w:szCs w:val="24"/>
          <w:lang w:val="es-ES" w:bidi="en-US"/>
        </w:rPr>
        <w:t>Sydowia,</w:t>
      </w:r>
      <w:r w:rsidRPr="00E63C63">
        <w:rPr>
          <w:szCs w:val="24"/>
          <w:lang w:val="es-ES" w:bidi="en-US"/>
        </w:rPr>
        <w:t xml:space="preserve"> </w:t>
      </w:r>
      <w:r w:rsidRPr="00E63C63">
        <w:rPr>
          <w:iCs/>
          <w:szCs w:val="24"/>
          <w:lang w:val="es-ES" w:bidi="en-US"/>
        </w:rPr>
        <w:t>74</w:t>
      </w:r>
      <w:r w:rsidRPr="00E63C63">
        <w:rPr>
          <w:szCs w:val="24"/>
          <w:lang w:val="es-ES" w:bidi="en-US"/>
        </w:rPr>
        <w:t xml:space="preserve">(August), 71-78. </w:t>
      </w:r>
      <w:r>
        <w:fldChar w:fldCharType="begin"/>
      </w:r>
      <w:r w:rsidRPr="00E63C63">
        <w:rPr>
          <w:lang w:val="es-ES"/>
        </w:rPr>
        <w:instrText>HYPERLINK "https://doi.org/10.12905/0380.sydowia74-2021-0071" \t "_new"</w:instrText>
      </w:r>
      <w:r>
        <w:fldChar w:fldCharType="separate"/>
      </w:r>
      <w:r w:rsidRPr="00E63C63">
        <w:rPr>
          <w:rStyle w:val="af1"/>
          <w:color w:val="auto"/>
          <w:szCs w:val="24"/>
          <w:lang w:val="es-ES" w:bidi="en-US"/>
        </w:rPr>
        <w:t>https://doi.org/10.12905/0380.sydowia74-2021-0071</w:t>
      </w:r>
      <w:r>
        <w:fldChar w:fldCharType="end"/>
      </w:r>
    </w:p>
    <w:p w14:paraId="2E730DC0" w14:textId="77777777" w:rsidR="00AD74B7" w:rsidRPr="00340D05" w:rsidRDefault="00AD74B7" w:rsidP="007F060F">
      <w:pPr>
        <w:spacing w:line="360" w:lineRule="auto"/>
        <w:ind w:left="567" w:hanging="567"/>
        <w:rPr>
          <w:szCs w:val="24"/>
          <w:lang w:bidi="en-US"/>
        </w:rPr>
      </w:pPr>
      <w:r w:rsidRPr="00E63C63">
        <w:rPr>
          <w:szCs w:val="24"/>
          <w:lang w:val="es-ES" w:bidi="en-US"/>
        </w:rPr>
        <w:t xml:space="preserve">Romanazzi, G., Sanzani, S. M., Bi, Y., Tian, S., Gutiérrez Martínez, P., &amp; Alkan, N. (2016). </w:t>
      </w:r>
      <w:r w:rsidRPr="00340D05">
        <w:rPr>
          <w:szCs w:val="24"/>
          <w:lang w:bidi="en-US"/>
        </w:rPr>
        <w:t xml:space="preserve">Induced resistance to control postharvest decay of fruit and vegetables. </w:t>
      </w:r>
      <w:r w:rsidRPr="00340D05">
        <w:rPr>
          <w:iCs/>
          <w:szCs w:val="24"/>
          <w:lang w:bidi="en-US"/>
        </w:rPr>
        <w:t>Postharvest Biology and Technology,</w:t>
      </w:r>
      <w:r w:rsidRPr="00340D05">
        <w:rPr>
          <w:szCs w:val="24"/>
          <w:lang w:bidi="en-US"/>
        </w:rPr>
        <w:t xml:space="preserve"> </w:t>
      </w:r>
      <w:r w:rsidRPr="00340D05">
        <w:rPr>
          <w:iCs/>
          <w:szCs w:val="24"/>
          <w:lang w:bidi="en-US"/>
        </w:rPr>
        <w:t>122</w:t>
      </w:r>
      <w:r w:rsidRPr="00340D05">
        <w:rPr>
          <w:szCs w:val="24"/>
          <w:lang w:bidi="en-US"/>
        </w:rPr>
        <w:t xml:space="preserve">, 82-94. </w:t>
      </w:r>
    </w:p>
    <w:p w14:paraId="7DACF655" w14:textId="77777777" w:rsidR="00340D05" w:rsidRDefault="00340D05" w:rsidP="007F060F">
      <w:pPr>
        <w:spacing w:line="360" w:lineRule="auto"/>
        <w:ind w:left="567" w:hanging="567"/>
        <w:rPr>
          <w:rStyle w:val="af1"/>
          <w:color w:val="auto"/>
          <w:szCs w:val="24"/>
          <w:lang w:bidi="en-US"/>
        </w:rPr>
      </w:pPr>
      <w:r w:rsidRPr="00340D05">
        <w:rPr>
          <w:szCs w:val="24"/>
          <w:lang w:bidi="en-US"/>
        </w:rPr>
        <w:t xml:space="preserve">Rovenich, H., Boshoven, J. C., &amp; Thomma, B. P. H. J. (2014). Filamentous pathogen effector functions: Of pathogens, hosts and microbiomes. </w:t>
      </w:r>
      <w:r w:rsidRPr="00340D05">
        <w:rPr>
          <w:iCs/>
          <w:szCs w:val="24"/>
          <w:lang w:bidi="en-US"/>
        </w:rPr>
        <w:t>Current Opinion in Plant Biology,</w:t>
      </w:r>
      <w:r w:rsidRPr="00340D05">
        <w:rPr>
          <w:szCs w:val="24"/>
          <w:lang w:bidi="en-US"/>
        </w:rPr>
        <w:t xml:space="preserve"> </w:t>
      </w:r>
      <w:r w:rsidRPr="00340D05">
        <w:rPr>
          <w:iCs/>
          <w:szCs w:val="24"/>
          <w:lang w:bidi="en-US"/>
        </w:rPr>
        <w:t>20</w:t>
      </w:r>
      <w:r w:rsidRPr="00340D05">
        <w:rPr>
          <w:szCs w:val="24"/>
          <w:lang w:bidi="en-US"/>
        </w:rPr>
        <w:t xml:space="preserve">, 96-103. </w:t>
      </w:r>
      <w:hyperlink r:id="rId34" w:tgtFrame="_new" w:history="1">
        <w:r w:rsidRPr="00340D05">
          <w:rPr>
            <w:rStyle w:val="af1"/>
            <w:color w:val="auto"/>
            <w:szCs w:val="24"/>
            <w:lang w:bidi="en-US"/>
          </w:rPr>
          <w:t>https://doi.org/10.1016/j.pbi.2014.05.001</w:t>
        </w:r>
      </w:hyperlink>
    </w:p>
    <w:p w14:paraId="3061ED85" w14:textId="094B9BE1" w:rsidR="005D74C7" w:rsidRPr="00340D05" w:rsidRDefault="005D74C7" w:rsidP="007F060F">
      <w:pPr>
        <w:spacing w:line="360" w:lineRule="auto"/>
        <w:ind w:left="567" w:hanging="567"/>
        <w:rPr>
          <w:szCs w:val="24"/>
          <w:lang w:bidi="en-US"/>
        </w:rPr>
      </w:pPr>
      <w:r w:rsidRPr="00E63C63">
        <w:rPr>
          <w:szCs w:val="24"/>
          <w:lang w:val="pt-BR" w:bidi="en-US"/>
        </w:rPr>
        <w:t>Salerno, A.</w:t>
      </w:r>
      <w:r w:rsidR="000F3BCD" w:rsidRPr="00E63C63">
        <w:rPr>
          <w:szCs w:val="24"/>
          <w:lang w:val="pt-BR" w:bidi="en-US"/>
        </w:rPr>
        <w:t>,</w:t>
      </w:r>
      <w:r w:rsidRPr="00E63C63">
        <w:rPr>
          <w:szCs w:val="24"/>
          <w:lang w:val="pt-BR" w:bidi="en-US"/>
        </w:rPr>
        <w:t xml:space="preserve"> D’Amico, M.</w:t>
      </w:r>
      <w:r w:rsidR="000F3BCD" w:rsidRPr="00E63C63">
        <w:rPr>
          <w:szCs w:val="24"/>
          <w:lang w:val="pt-BR" w:bidi="en-US"/>
        </w:rPr>
        <w:t>, Bergamini, C.,</w:t>
      </w:r>
      <w:r w:rsidRPr="00E63C63">
        <w:rPr>
          <w:szCs w:val="24"/>
          <w:lang w:val="pt-BR" w:bidi="en-US"/>
        </w:rPr>
        <w:t xml:space="preserve"> Maggiolini, F.</w:t>
      </w:r>
      <w:r w:rsidR="000F3BCD" w:rsidRPr="00E63C63">
        <w:rPr>
          <w:szCs w:val="24"/>
          <w:lang w:val="pt-BR" w:bidi="en-US"/>
        </w:rPr>
        <w:t xml:space="preserve"> A. M., Vendemia, M., Prencipe, A., Catacchio, C. R.,</w:t>
      </w:r>
      <w:r w:rsidRPr="00E63C63">
        <w:rPr>
          <w:szCs w:val="24"/>
          <w:lang w:val="pt-BR" w:bidi="en-US"/>
        </w:rPr>
        <w:t xml:space="preserve"> Ventura, M.</w:t>
      </w:r>
      <w:r w:rsidR="000F3BCD" w:rsidRPr="00E63C63">
        <w:rPr>
          <w:szCs w:val="24"/>
          <w:lang w:val="pt-BR" w:bidi="en-US"/>
        </w:rPr>
        <w:t>, Cardone, M. F.,</w:t>
      </w:r>
      <w:r w:rsidRPr="00E63C63">
        <w:rPr>
          <w:szCs w:val="24"/>
          <w:lang w:val="pt-BR" w:bidi="en-US"/>
        </w:rPr>
        <w:t xml:space="preserve"> </w:t>
      </w:r>
      <w:r w:rsidR="000F3BCD" w:rsidRPr="00E63C63">
        <w:rPr>
          <w:szCs w:val="24"/>
          <w:lang w:val="pt-BR" w:bidi="en-US"/>
        </w:rPr>
        <w:t xml:space="preserve">&amp; </w:t>
      </w:r>
      <w:r w:rsidRPr="00E63C63">
        <w:rPr>
          <w:szCs w:val="24"/>
          <w:lang w:val="pt-BR" w:bidi="en-US"/>
        </w:rPr>
        <w:t>Marsico, A.</w:t>
      </w:r>
      <w:r w:rsidR="000F3BCD" w:rsidRPr="00E63C63">
        <w:rPr>
          <w:szCs w:val="24"/>
          <w:lang w:val="pt-BR" w:bidi="en-US"/>
        </w:rPr>
        <w:t xml:space="preserve"> </w:t>
      </w:r>
      <w:r w:rsidRPr="00E63C63">
        <w:rPr>
          <w:szCs w:val="24"/>
          <w:lang w:val="pt-BR" w:bidi="en-US"/>
        </w:rPr>
        <w:t xml:space="preserve">D. </w:t>
      </w:r>
      <w:r w:rsidR="000F3BCD" w:rsidRPr="00E63C63">
        <w:rPr>
          <w:szCs w:val="24"/>
          <w:lang w:val="pt-BR" w:bidi="en-US"/>
        </w:rPr>
        <w:t xml:space="preserve">(2024). </w:t>
      </w:r>
      <w:r w:rsidRPr="00340D05">
        <w:rPr>
          <w:szCs w:val="24"/>
          <w:lang w:bidi="en-US"/>
        </w:rPr>
        <w:t>On the way to the technological development of newly selected non-</w:t>
      </w:r>
      <w:r w:rsidRPr="00340D05">
        <w:rPr>
          <w:i/>
          <w:iCs/>
          <w:szCs w:val="24"/>
          <w:lang w:bidi="en-US"/>
        </w:rPr>
        <w:t>Saccharomyces</w:t>
      </w:r>
      <w:r w:rsidRPr="00340D05">
        <w:rPr>
          <w:szCs w:val="24"/>
          <w:lang w:bidi="en-US"/>
        </w:rPr>
        <w:t xml:space="preserve"> yeasts as innovative biocontrol agents in table grapes. </w:t>
      </w:r>
      <w:r w:rsidRPr="00340D05">
        <w:rPr>
          <w:iCs/>
          <w:szCs w:val="24"/>
          <w:lang w:bidi="en-US"/>
        </w:rPr>
        <w:t>Microorganisms</w:t>
      </w:r>
      <w:r w:rsidR="000F3BCD" w:rsidRPr="00340D05">
        <w:rPr>
          <w:iCs/>
          <w:szCs w:val="24"/>
          <w:lang w:bidi="en-US"/>
        </w:rPr>
        <w:t>,</w:t>
      </w:r>
      <w:r w:rsidRPr="00340D05">
        <w:rPr>
          <w:szCs w:val="24"/>
          <w:lang w:bidi="en-US"/>
        </w:rPr>
        <w:t xml:space="preserve"> </w:t>
      </w:r>
      <w:r w:rsidRPr="00340D05">
        <w:rPr>
          <w:iCs/>
          <w:szCs w:val="24"/>
          <w:lang w:bidi="en-US"/>
        </w:rPr>
        <w:t>12</w:t>
      </w:r>
      <w:r w:rsidRPr="00340D05">
        <w:rPr>
          <w:szCs w:val="24"/>
          <w:lang w:bidi="en-US"/>
        </w:rPr>
        <w:t>(2)</w:t>
      </w:r>
      <w:r w:rsidR="000F3BCD" w:rsidRPr="00340D05">
        <w:rPr>
          <w:szCs w:val="24"/>
          <w:lang w:bidi="en-US"/>
        </w:rPr>
        <w:t>, 340</w:t>
      </w:r>
      <w:r w:rsidRPr="00340D05">
        <w:rPr>
          <w:szCs w:val="24"/>
          <w:lang w:bidi="en-US"/>
        </w:rPr>
        <w:t xml:space="preserve">. </w:t>
      </w:r>
      <w:hyperlink r:id="rId35" w:tgtFrame="_new" w:history="1">
        <w:r w:rsidRPr="00340D05">
          <w:rPr>
            <w:rStyle w:val="af1"/>
            <w:color w:val="auto"/>
            <w:szCs w:val="24"/>
            <w:lang w:bidi="en-US"/>
          </w:rPr>
          <w:t>https://doi.org/10.3390/microorganisms12020340</w:t>
        </w:r>
      </w:hyperlink>
    </w:p>
    <w:p w14:paraId="5165860E" w14:textId="55887BB6" w:rsidR="005D74C7" w:rsidRPr="00340D05" w:rsidRDefault="005D74C7" w:rsidP="007F060F">
      <w:pPr>
        <w:spacing w:line="360" w:lineRule="auto"/>
        <w:ind w:left="567" w:hanging="567"/>
        <w:rPr>
          <w:szCs w:val="24"/>
          <w:lang w:bidi="en-US"/>
        </w:rPr>
      </w:pPr>
      <w:r w:rsidRPr="00340D05">
        <w:rPr>
          <w:szCs w:val="24"/>
          <w:lang w:bidi="en-US"/>
        </w:rPr>
        <w:t>Sarethy, I.</w:t>
      </w:r>
      <w:r w:rsidR="00205408" w:rsidRPr="00340D05">
        <w:rPr>
          <w:szCs w:val="24"/>
          <w:lang w:bidi="en-US"/>
        </w:rPr>
        <w:t xml:space="preserve"> P., &amp;</w:t>
      </w:r>
      <w:r w:rsidRPr="00340D05">
        <w:rPr>
          <w:szCs w:val="24"/>
          <w:lang w:bidi="en-US"/>
        </w:rPr>
        <w:t xml:space="preserve"> Saharan, A.</w:t>
      </w:r>
      <w:r w:rsidR="00205408" w:rsidRPr="00340D05">
        <w:rPr>
          <w:szCs w:val="24"/>
          <w:lang w:bidi="en-US"/>
        </w:rPr>
        <w:t xml:space="preserve"> (2021).</w:t>
      </w:r>
      <w:r w:rsidRPr="00340D05">
        <w:rPr>
          <w:szCs w:val="24"/>
          <w:lang w:bidi="en-US"/>
        </w:rPr>
        <w:t xml:space="preserve"> Genomics, proteomics and transcriptomics in the biological control of plant pathogens: A review. </w:t>
      </w:r>
      <w:r w:rsidR="00205408" w:rsidRPr="00340D05">
        <w:rPr>
          <w:iCs/>
          <w:szCs w:val="24"/>
          <w:lang w:bidi="en-US"/>
        </w:rPr>
        <w:t>Indian Phytopathology,</w:t>
      </w:r>
      <w:r w:rsidRPr="00340D05">
        <w:rPr>
          <w:szCs w:val="24"/>
          <w:lang w:bidi="en-US"/>
        </w:rPr>
        <w:t xml:space="preserve"> </w:t>
      </w:r>
      <w:r w:rsidRPr="00340D05">
        <w:rPr>
          <w:iCs/>
          <w:szCs w:val="24"/>
          <w:lang w:bidi="en-US"/>
        </w:rPr>
        <w:t>74</w:t>
      </w:r>
      <w:r w:rsidR="00205408" w:rsidRPr="00340D05">
        <w:rPr>
          <w:iCs/>
          <w:szCs w:val="24"/>
          <w:lang w:bidi="en-US"/>
        </w:rPr>
        <w:t>(5)</w:t>
      </w:r>
      <w:r w:rsidRPr="00340D05">
        <w:rPr>
          <w:szCs w:val="24"/>
          <w:lang w:bidi="en-US"/>
        </w:rPr>
        <w:t>, 3</w:t>
      </w:r>
      <w:r w:rsidR="00205408" w:rsidRPr="00340D05">
        <w:rPr>
          <w:szCs w:val="24"/>
          <w:lang w:bidi="en-US"/>
        </w:rPr>
        <w:t>-</w:t>
      </w:r>
      <w:r w:rsidRPr="00340D05">
        <w:rPr>
          <w:szCs w:val="24"/>
          <w:lang w:bidi="en-US"/>
        </w:rPr>
        <w:t xml:space="preserve">12. </w:t>
      </w:r>
      <w:r w:rsidR="00205408" w:rsidRPr="00340D05">
        <w:rPr>
          <w:szCs w:val="24"/>
          <w:lang w:bidi="en-US"/>
        </w:rPr>
        <w:t>https://doi.org/10.1007/s42360-020-00302-2</w:t>
      </w:r>
    </w:p>
    <w:p w14:paraId="7DCCBA2A" w14:textId="38BB1A7A" w:rsidR="005D74C7" w:rsidRPr="00340D05" w:rsidRDefault="005D74C7" w:rsidP="007F060F">
      <w:pPr>
        <w:spacing w:line="360" w:lineRule="auto"/>
        <w:ind w:left="567" w:hanging="567"/>
        <w:rPr>
          <w:szCs w:val="24"/>
          <w:lang w:bidi="en-US"/>
        </w:rPr>
      </w:pPr>
      <w:r w:rsidRPr="00340D05">
        <w:rPr>
          <w:szCs w:val="24"/>
          <w:lang w:bidi="en-US"/>
        </w:rPr>
        <w:t>Schena, L.</w:t>
      </w:r>
      <w:r w:rsidR="007627FE" w:rsidRPr="00340D05">
        <w:rPr>
          <w:szCs w:val="24"/>
          <w:lang w:bidi="en-US"/>
        </w:rPr>
        <w:t>,</w:t>
      </w:r>
      <w:r w:rsidRPr="00340D05">
        <w:rPr>
          <w:szCs w:val="24"/>
          <w:lang w:bidi="en-US"/>
        </w:rPr>
        <w:t xml:space="preserve"> Ippolito, A.</w:t>
      </w:r>
      <w:r w:rsidR="007627FE" w:rsidRPr="00340D05">
        <w:rPr>
          <w:szCs w:val="24"/>
          <w:lang w:bidi="en-US"/>
        </w:rPr>
        <w:t>,</w:t>
      </w:r>
      <w:r w:rsidRPr="00340D05">
        <w:rPr>
          <w:szCs w:val="24"/>
          <w:lang w:bidi="en-US"/>
        </w:rPr>
        <w:t xml:space="preserve"> Zahavi, T.</w:t>
      </w:r>
      <w:r w:rsidR="007627FE" w:rsidRPr="00340D05">
        <w:rPr>
          <w:szCs w:val="24"/>
          <w:lang w:bidi="en-US"/>
        </w:rPr>
        <w:t>,</w:t>
      </w:r>
      <w:r w:rsidRPr="00340D05">
        <w:rPr>
          <w:szCs w:val="24"/>
          <w:lang w:bidi="en-US"/>
        </w:rPr>
        <w:t xml:space="preserve"> Cohen, L.</w:t>
      </w:r>
      <w:r w:rsidR="007627FE" w:rsidRPr="00340D05">
        <w:rPr>
          <w:szCs w:val="24"/>
          <w:lang w:bidi="en-US"/>
        </w:rPr>
        <w:t>, &amp;</w:t>
      </w:r>
      <w:r w:rsidRPr="00340D05">
        <w:rPr>
          <w:szCs w:val="24"/>
          <w:lang w:bidi="en-US"/>
        </w:rPr>
        <w:t xml:space="preserve"> Droby, S. </w:t>
      </w:r>
      <w:r w:rsidR="007627FE" w:rsidRPr="00340D05">
        <w:rPr>
          <w:szCs w:val="24"/>
          <w:lang w:bidi="en-US"/>
        </w:rPr>
        <w:t xml:space="preserve">(2000). </w:t>
      </w:r>
      <w:r w:rsidRPr="00340D05">
        <w:rPr>
          <w:szCs w:val="24"/>
          <w:lang w:bidi="en-US"/>
        </w:rPr>
        <w:t xml:space="preserve">Molecular approaches to assist the screening and monitoring of postharvest biocontrol yeasts. </w:t>
      </w:r>
      <w:r w:rsidR="007627FE" w:rsidRPr="00340D05">
        <w:rPr>
          <w:iCs/>
          <w:szCs w:val="24"/>
          <w:lang w:bidi="en-US"/>
        </w:rPr>
        <w:t>European Journal of Plant Pathology,</w:t>
      </w:r>
      <w:r w:rsidRPr="00340D05">
        <w:rPr>
          <w:szCs w:val="24"/>
          <w:lang w:bidi="en-US"/>
        </w:rPr>
        <w:t xml:space="preserve"> </w:t>
      </w:r>
      <w:r w:rsidRPr="00340D05">
        <w:rPr>
          <w:iCs/>
          <w:szCs w:val="24"/>
          <w:lang w:bidi="en-US"/>
        </w:rPr>
        <w:t>106</w:t>
      </w:r>
      <w:r w:rsidRPr="00340D05">
        <w:rPr>
          <w:szCs w:val="24"/>
          <w:lang w:bidi="en-US"/>
        </w:rPr>
        <w:t>(7), 681</w:t>
      </w:r>
      <w:r w:rsidR="007627FE" w:rsidRPr="00340D05">
        <w:rPr>
          <w:szCs w:val="24"/>
          <w:lang w:bidi="en-US"/>
        </w:rPr>
        <w:t>-</w:t>
      </w:r>
      <w:r w:rsidRPr="00340D05">
        <w:rPr>
          <w:szCs w:val="24"/>
          <w:lang w:bidi="en-US"/>
        </w:rPr>
        <w:t xml:space="preserve">691. </w:t>
      </w:r>
      <w:hyperlink r:id="rId36" w:tgtFrame="_new" w:history="1">
        <w:r w:rsidRPr="00340D05">
          <w:rPr>
            <w:rStyle w:val="af1"/>
            <w:color w:val="auto"/>
            <w:szCs w:val="24"/>
            <w:lang w:bidi="en-US"/>
          </w:rPr>
          <w:t>https://doi.org/10.1023/A:1008716018490</w:t>
        </w:r>
      </w:hyperlink>
    </w:p>
    <w:p w14:paraId="15C58B55" w14:textId="77777777" w:rsidR="00AD74B7" w:rsidRPr="00340D05" w:rsidRDefault="00AD74B7" w:rsidP="007F060F">
      <w:pPr>
        <w:spacing w:line="360" w:lineRule="auto"/>
        <w:ind w:left="567" w:hanging="567"/>
        <w:rPr>
          <w:szCs w:val="24"/>
          <w:lang w:bidi="en-US"/>
        </w:rPr>
      </w:pPr>
      <w:r w:rsidRPr="00340D05">
        <w:rPr>
          <w:szCs w:val="24"/>
          <w:lang w:bidi="en-US"/>
        </w:rPr>
        <w:t xml:space="preserve">Schena, L., Ippolito, A., Zahavi, T., Cohen, L., Nigro, F., &amp; Droby, S. (1999). Genetic diversity and biocontrol activity of </w:t>
      </w:r>
      <w:r w:rsidRPr="00340D05">
        <w:rPr>
          <w:i/>
          <w:iCs/>
          <w:szCs w:val="24"/>
          <w:lang w:bidi="en-US"/>
        </w:rPr>
        <w:t>Aureobasidium pullulans</w:t>
      </w:r>
      <w:r w:rsidRPr="00340D05">
        <w:rPr>
          <w:szCs w:val="24"/>
          <w:lang w:bidi="en-US"/>
        </w:rPr>
        <w:t xml:space="preserve"> isolates against postharvest rots. </w:t>
      </w:r>
      <w:r w:rsidRPr="00340D05">
        <w:rPr>
          <w:iCs/>
          <w:szCs w:val="24"/>
          <w:lang w:bidi="en-US"/>
        </w:rPr>
        <w:t>Postharvest Biology and Technology,</w:t>
      </w:r>
      <w:r w:rsidRPr="00340D05">
        <w:rPr>
          <w:szCs w:val="24"/>
          <w:lang w:bidi="en-US"/>
        </w:rPr>
        <w:t xml:space="preserve"> </w:t>
      </w:r>
      <w:r w:rsidRPr="00340D05">
        <w:rPr>
          <w:iCs/>
          <w:szCs w:val="24"/>
          <w:lang w:bidi="en-US"/>
        </w:rPr>
        <w:t>17</w:t>
      </w:r>
      <w:r w:rsidRPr="00340D05">
        <w:rPr>
          <w:szCs w:val="24"/>
          <w:lang w:bidi="en-US"/>
        </w:rPr>
        <w:t>, 189-199. https://doi.org/10.1016/S0925-5214(99)00036-8</w:t>
      </w:r>
    </w:p>
    <w:p w14:paraId="207058FD" w14:textId="77777777" w:rsidR="002B26AB" w:rsidRPr="00340D05" w:rsidRDefault="005D74C7" w:rsidP="007F060F">
      <w:pPr>
        <w:spacing w:line="360" w:lineRule="auto"/>
        <w:ind w:left="567" w:hanging="567"/>
        <w:rPr>
          <w:szCs w:val="24"/>
          <w:lang w:bidi="en-US"/>
        </w:rPr>
      </w:pPr>
      <w:r w:rsidRPr="00340D05">
        <w:rPr>
          <w:szCs w:val="24"/>
          <w:lang w:bidi="en-US"/>
        </w:rPr>
        <w:t>Scherm, B.</w:t>
      </w:r>
      <w:r w:rsidR="002D5BD3" w:rsidRPr="00340D05">
        <w:rPr>
          <w:szCs w:val="24"/>
          <w:lang w:bidi="en-US"/>
        </w:rPr>
        <w:t>,</w:t>
      </w:r>
      <w:r w:rsidR="009670C9" w:rsidRPr="00340D05">
        <w:rPr>
          <w:szCs w:val="24"/>
          <w:lang w:bidi="en-US"/>
        </w:rPr>
        <w:t xml:space="preserve"> Ortu, G.,</w:t>
      </w:r>
      <w:r w:rsidRPr="00340D05">
        <w:rPr>
          <w:szCs w:val="24"/>
          <w:lang w:bidi="en-US"/>
        </w:rPr>
        <w:t xml:space="preserve"> Muzzu, A.</w:t>
      </w:r>
      <w:r w:rsidR="009670C9" w:rsidRPr="00340D05">
        <w:rPr>
          <w:szCs w:val="24"/>
          <w:lang w:bidi="en-US"/>
        </w:rPr>
        <w:t>,</w:t>
      </w:r>
      <w:r w:rsidRPr="00340D05">
        <w:rPr>
          <w:szCs w:val="24"/>
          <w:lang w:bidi="en-US"/>
        </w:rPr>
        <w:t xml:space="preserve"> Budroni, M.</w:t>
      </w:r>
      <w:r w:rsidR="009670C9" w:rsidRPr="00340D05">
        <w:rPr>
          <w:szCs w:val="24"/>
          <w:lang w:bidi="en-US"/>
        </w:rPr>
        <w:t>, Arras, G.,</w:t>
      </w:r>
      <w:r w:rsidRPr="00340D05">
        <w:rPr>
          <w:szCs w:val="24"/>
          <w:lang w:bidi="en-US"/>
        </w:rPr>
        <w:t xml:space="preserve"> </w:t>
      </w:r>
      <w:r w:rsidR="009670C9" w:rsidRPr="00340D05">
        <w:rPr>
          <w:szCs w:val="24"/>
          <w:lang w:bidi="en-US"/>
        </w:rPr>
        <w:t xml:space="preserve">&amp; </w:t>
      </w:r>
      <w:r w:rsidRPr="00340D05">
        <w:rPr>
          <w:szCs w:val="24"/>
          <w:lang w:bidi="en-US"/>
        </w:rPr>
        <w:t>Migheli, Q.</w:t>
      </w:r>
      <w:r w:rsidR="009670C9" w:rsidRPr="00340D05">
        <w:rPr>
          <w:szCs w:val="24"/>
          <w:lang w:bidi="en-US"/>
        </w:rPr>
        <w:t xml:space="preserve"> (2003).</w:t>
      </w:r>
      <w:r w:rsidRPr="00340D05">
        <w:rPr>
          <w:szCs w:val="24"/>
          <w:lang w:bidi="en-US"/>
        </w:rPr>
        <w:t xml:space="preserve"> Biocontrol activity of antagonistic yeasts against </w:t>
      </w:r>
      <w:r w:rsidRPr="00340D05">
        <w:rPr>
          <w:i/>
          <w:iCs/>
          <w:szCs w:val="24"/>
          <w:lang w:bidi="en-US"/>
        </w:rPr>
        <w:t>Penicillium expansum</w:t>
      </w:r>
      <w:r w:rsidRPr="00340D05">
        <w:rPr>
          <w:szCs w:val="24"/>
          <w:lang w:bidi="en-US"/>
        </w:rPr>
        <w:t xml:space="preserve"> on apple. </w:t>
      </w:r>
      <w:r w:rsidR="009670C9" w:rsidRPr="00340D05">
        <w:rPr>
          <w:iCs/>
          <w:szCs w:val="24"/>
          <w:lang w:bidi="en-US"/>
        </w:rPr>
        <w:t>Journal of Plant Pathology,</w:t>
      </w:r>
      <w:r w:rsidRPr="00340D05">
        <w:rPr>
          <w:szCs w:val="24"/>
          <w:lang w:bidi="en-US"/>
        </w:rPr>
        <w:t xml:space="preserve"> </w:t>
      </w:r>
      <w:r w:rsidRPr="00340D05">
        <w:rPr>
          <w:iCs/>
          <w:szCs w:val="24"/>
          <w:lang w:bidi="en-US"/>
        </w:rPr>
        <w:t>85</w:t>
      </w:r>
      <w:r w:rsidRPr="00340D05">
        <w:rPr>
          <w:szCs w:val="24"/>
          <w:lang w:bidi="en-US"/>
        </w:rPr>
        <w:t>, 205</w:t>
      </w:r>
      <w:r w:rsidR="009670C9" w:rsidRPr="00340D05">
        <w:rPr>
          <w:szCs w:val="24"/>
          <w:lang w:bidi="en-US"/>
        </w:rPr>
        <w:t>-</w:t>
      </w:r>
      <w:r w:rsidRPr="00340D05">
        <w:rPr>
          <w:szCs w:val="24"/>
          <w:lang w:bidi="en-US"/>
        </w:rPr>
        <w:t>213.</w:t>
      </w:r>
    </w:p>
    <w:p w14:paraId="60190043" w14:textId="77777777" w:rsidR="00AD74B7" w:rsidRPr="00340D05" w:rsidRDefault="00AD74B7" w:rsidP="007F060F">
      <w:pPr>
        <w:spacing w:line="360" w:lineRule="auto"/>
        <w:ind w:left="567" w:hanging="567"/>
        <w:rPr>
          <w:szCs w:val="24"/>
          <w:lang w:bidi="en-US"/>
        </w:rPr>
      </w:pPr>
      <w:r w:rsidRPr="00340D05">
        <w:rPr>
          <w:szCs w:val="24"/>
          <w:lang w:bidi="en-US"/>
        </w:rPr>
        <w:t xml:space="preserve">Shao, Y., Zeng, J., Tang, H., Zhou, Y., &amp; Li, W. (2019). The chemical treatments combined with antagonistic yeast control anthracnose and maintain the quality of postharvest </w:t>
      </w:r>
      <w:r w:rsidRPr="00340D05">
        <w:rPr>
          <w:szCs w:val="24"/>
          <w:lang w:bidi="en-US"/>
        </w:rPr>
        <w:lastRenderedPageBreak/>
        <w:t xml:space="preserve">mango fruit. </w:t>
      </w:r>
      <w:r w:rsidRPr="00340D05">
        <w:rPr>
          <w:iCs/>
          <w:szCs w:val="24"/>
          <w:lang w:bidi="en-US"/>
        </w:rPr>
        <w:t>Journal of Integrative Agriculture,</w:t>
      </w:r>
      <w:r w:rsidRPr="00340D05">
        <w:rPr>
          <w:szCs w:val="24"/>
          <w:lang w:bidi="en-US"/>
        </w:rPr>
        <w:t xml:space="preserve"> </w:t>
      </w:r>
      <w:r w:rsidRPr="00340D05">
        <w:rPr>
          <w:iCs/>
          <w:szCs w:val="24"/>
          <w:lang w:bidi="en-US"/>
        </w:rPr>
        <w:t>18(5)</w:t>
      </w:r>
      <w:r w:rsidRPr="00340D05">
        <w:rPr>
          <w:szCs w:val="24"/>
          <w:lang w:bidi="en-US"/>
        </w:rPr>
        <w:t>, 1159-1169. https://doi.org/10.1016/S2095-3119(18)62128-8</w:t>
      </w:r>
    </w:p>
    <w:p w14:paraId="45E1AA8F" w14:textId="77777777" w:rsidR="00340D05" w:rsidRPr="00340D05" w:rsidRDefault="00340D05" w:rsidP="007F060F">
      <w:pPr>
        <w:spacing w:line="360" w:lineRule="auto"/>
        <w:ind w:left="567" w:hanging="567"/>
        <w:rPr>
          <w:szCs w:val="24"/>
          <w:lang w:bidi="en-US"/>
        </w:rPr>
      </w:pPr>
      <w:r w:rsidRPr="00340D05">
        <w:rPr>
          <w:szCs w:val="24"/>
          <w:lang w:bidi="en-US"/>
        </w:rPr>
        <w:t xml:space="preserve">Sipiczki, M. (2020). </w:t>
      </w:r>
      <w:r w:rsidRPr="00340D05">
        <w:rPr>
          <w:i/>
          <w:iCs/>
          <w:szCs w:val="24"/>
          <w:lang w:bidi="en-US"/>
        </w:rPr>
        <w:t>Metschnikowia pulcherrima</w:t>
      </w:r>
      <w:r w:rsidRPr="00340D05">
        <w:rPr>
          <w:szCs w:val="24"/>
          <w:lang w:bidi="en-US"/>
        </w:rPr>
        <w:t xml:space="preserve"> and related pulcherrimin-producing yeasts: Fuzzy species boundaries and complex antimicrobial antagonism. </w:t>
      </w:r>
      <w:r w:rsidRPr="00340D05">
        <w:rPr>
          <w:iCs/>
          <w:szCs w:val="24"/>
          <w:lang w:bidi="en-US"/>
        </w:rPr>
        <w:t>Microorganisms,</w:t>
      </w:r>
      <w:r w:rsidRPr="00340D05">
        <w:rPr>
          <w:szCs w:val="24"/>
          <w:lang w:bidi="en-US"/>
        </w:rPr>
        <w:t xml:space="preserve"> </w:t>
      </w:r>
      <w:r w:rsidRPr="00340D05">
        <w:rPr>
          <w:iCs/>
          <w:szCs w:val="24"/>
          <w:lang w:bidi="en-US"/>
        </w:rPr>
        <w:t>8</w:t>
      </w:r>
      <w:r w:rsidRPr="00340D05">
        <w:rPr>
          <w:szCs w:val="24"/>
          <w:lang w:bidi="en-US"/>
        </w:rPr>
        <w:t xml:space="preserve">(7), 1029. </w:t>
      </w:r>
      <w:hyperlink r:id="rId37" w:tgtFrame="_new" w:history="1">
        <w:r w:rsidRPr="00340D05">
          <w:rPr>
            <w:rStyle w:val="af1"/>
            <w:color w:val="auto"/>
            <w:szCs w:val="24"/>
            <w:lang w:bidi="en-US"/>
          </w:rPr>
          <w:t>https://doi.org/10.3390/microorganisms8071029</w:t>
        </w:r>
      </w:hyperlink>
    </w:p>
    <w:p w14:paraId="642A4BCD" w14:textId="77777777" w:rsidR="00340D05" w:rsidRPr="00340D05" w:rsidRDefault="00340D05" w:rsidP="007F060F">
      <w:pPr>
        <w:spacing w:line="360" w:lineRule="auto"/>
        <w:ind w:left="567" w:hanging="567"/>
        <w:rPr>
          <w:rStyle w:val="af1"/>
          <w:color w:val="auto"/>
          <w:szCs w:val="24"/>
          <w:u w:val="none"/>
          <w:lang w:bidi="en-US"/>
        </w:rPr>
      </w:pPr>
      <w:r w:rsidRPr="00340D05">
        <w:rPr>
          <w:szCs w:val="24"/>
          <w:lang w:bidi="en-US"/>
        </w:rPr>
        <w:t xml:space="preserve">Spadaro, D., &amp; Droby, S. (2016). Development of biocontrol products for postharvest diseases of fruit: The importance of elucidating the mechanisms of action of yeast antagonists. </w:t>
      </w:r>
      <w:r w:rsidRPr="00340D05">
        <w:rPr>
          <w:iCs/>
          <w:szCs w:val="24"/>
          <w:lang w:bidi="en-US"/>
        </w:rPr>
        <w:t>Trends in Food Science &amp; Technology,</w:t>
      </w:r>
      <w:r w:rsidRPr="00340D05">
        <w:rPr>
          <w:szCs w:val="24"/>
          <w:lang w:bidi="en-US"/>
        </w:rPr>
        <w:t xml:space="preserve"> </w:t>
      </w:r>
      <w:r w:rsidRPr="00340D05">
        <w:rPr>
          <w:iCs/>
          <w:szCs w:val="24"/>
          <w:lang w:bidi="en-US"/>
        </w:rPr>
        <w:t>47</w:t>
      </w:r>
      <w:r w:rsidRPr="00340D05">
        <w:rPr>
          <w:szCs w:val="24"/>
          <w:lang w:bidi="en-US"/>
        </w:rPr>
        <w:t xml:space="preserve">, 39-49. </w:t>
      </w:r>
      <w:hyperlink r:id="rId38" w:tgtFrame="_new" w:history="1">
        <w:r w:rsidRPr="00340D05">
          <w:rPr>
            <w:rStyle w:val="af1"/>
            <w:color w:val="auto"/>
            <w:szCs w:val="24"/>
            <w:lang w:bidi="en-US"/>
          </w:rPr>
          <w:t>https://doi.org/10.1016/j.tifs.2015.11.003</w:t>
        </w:r>
      </w:hyperlink>
    </w:p>
    <w:p w14:paraId="1BCF634A" w14:textId="77777777" w:rsidR="00340D05" w:rsidRPr="00E63C63" w:rsidRDefault="00340D05" w:rsidP="007F060F">
      <w:pPr>
        <w:spacing w:line="360" w:lineRule="auto"/>
        <w:ind w:left="567" w:hanging="567"/>
        <w:rPr>
          <w:rStyle w:val="af1"/>
          <w:color w:val="auto"/>
          <w:szCs w:val="24"/>
          <w:u w:val="none"/>
          <w:lang w:val="pt-BR" w:bidi="en-US"/>
        </w:rPr>
      </w:pPr>
      <w:r w:rsidRPr="00E63C63">
        <w:rPr>
          <w:szCs w:val="24"/>
          <w:lang w:val="es-ES" w:bidi="en-US"/>
        </w:rPr>
        <w:t xml:space="preserve">Tian, S., Torres, R., Ballester, A. R., Li, B., Vilanova, L., &amp; González-Candelas, L. (2016). </w:t>
      </w:r>
      <w:r w:rsidRPr="00340D05">
        <w:rPr>
          <w:szCs w:val="24"/>
          <w:lang w:bidi="en-US"/>
        </w:rPr>
        <w:t xml:space="preserve">Molecular aspects in pathogen–fruit interactions: Virulence and resistance. </w:t>
      </w:r>
      <w:r w:rsidRPr="00340D05">
        <w:rPr>
          <w:iCs/>
          <w:szCs w:val="24"/>
          <w:lang w:bidi="en-US"/>
        </w:rPr>
        <w:t>Postharvest Biology and Technology,</w:t>
      </w:r>
      <w:r w:rsidRPr="00340D05">
        <w:rPr>
          <w:szCs w:val="24"/>
          <w:lang w:bidi="en-US"/>
        </w:rPr>
        <w:t xml:space="preserve"> </w:t>
      </w:r>
      <w:r w:rsidRPr="00340D05">
        <w:rPr>
          <w:iCs/>
          <w:szCs w:val="24"/>
          <w:lang w:bidi="en-US"/>
        </w:rPr>
        <w:t>122</w:t>
      </w:r>
      <w:r w:rsidRPr="00340D05">
        <w:rPr>
          <w:szCs w:val="24"/>
          <w:lang w:bidi="en-US"/>
        </w:rPr>
        <w:t xml:space="preserve">, 11-21. </w:t>
      </w:r>
      <w:hyperlink r:id="rId39" w:tgtFrame="_new" w:history="1">
        <w:r w:rsidRPr="00E63C63">
          <w:rPr>
            <w:rStyle w:val="af1"/>
            <w:color w:val="auto"/>
            <w:szCs w:val="24"/>
            <w:lang w:val="pt-BR" w:bidi="en-US"/>
          </w:rPr>
          <w:t>https://doi.org/10.1016/j.postharvbio.2016.04.018</w:t>
        </w:r>
      </w:hyperlink>
    </w:p>
    <w:p w14:paraId="1E02009D" w14:textId="77777777" w:rsidR="00340D05" w:rsidRPr="00340D05" w:rsidRDefault="00340D05" w:rsidP="007F060F">
      <w:pPr>
        <w:spacing w:line="360" w:lineRule="auto"/>
        <w:ind w:left="567" w:hanging="567"/>
        <w:rPr>
          <w:szCs w:val="24"/>
          <w:lang w:bidi="en-US"/>
        </w:rPr>
      </w:pPr>
      <w:r w:rsidRPr="00E63C63">
        <w:rPr>
          <w:szCs w:val="24"/>
          <w:lang w:val="pt-BR" w:bidi="en-US"/>
        </w:rPr>
        <w:t xml:space="preserve">Tziros, G. T., Ainalidou, A., Samaras, A., Kollaros, M., Karamanoli, K., Menkissoglu-Spiroudi, U., &amp; Karaoglanidis, G. S. (2022). </w:t>
      </w:r>
      <w:r w:rsidRPr="00340D05">
        <w:rPr>
          <w:szCs w:val="24"/>
          <w:lang w:bidi="en-US"/>
        </w:rPr>
        <w:t xml:space="preserve">Differences in defense-related gene expression and metabolite accumulation reveal insights into the resistance of Greek grape wine cultivars to </w:t>
      </w:r>
      <w:r w:rsidRPr="00340D05">
        <w:rPr>
          <w:i/>
          <w:iCs/>
          <w:szCs w:val="24"/>
          <w:lang w:bidi="en-US"/>
        </w:rPr>
        <w:t>Botrytis</w:t>
      </w:r>
      <w:r w:rsidRPr="00340D05">
        <w:rPr>
          <w:szCs w:val="24"/>
          <w:lang w:bidi="en-US"/>
        </w:rPr>
        <w:t xml:space="preserve"> bunch rot. </w:t>
      </w:r>
      <w:r w:rsidRPr="00340D05">
        <w:rPr>
          <w:iCs/>
          <w:szCs w:val="24"/>
          <w:lang w:bidi="en-US"/>
        </w:rPr>
        <w:t>OENO One,</w:t>
      </w:r>
      <w:r w:rsidRPr="00340D05">
        <w:rPr>
          <w:szCs w:val="24"/>
          <w:lang w:bidi="en-US"/>
        </w:rPr>
        <w:t xml:space="preserve"> </w:t>
      </w:r>
      <w:r w:rsidRPr="00340D05">
        <w:rPr>
          <w:iCs/>
          <w:szCs w:val="24"/>
          <w:lang w:bidi="en-US"/>
        </w:rPr>
        <w:t>56</w:t>
      </w:r>
      <w:r w:rsidRPr="00340D05">
        <w:rPr>
          <w:szCs w:val="24"/>
          <w:lang w:bidi="en-US"/>
        </w:rPr>
        <w:t xml:space="preserve">(2), 111-123. </w:t>
      </w:r>
    </w:p>
    <w:p w14:paraId="0951367A" w14:textId="77777777" w:rsidR="00AD74B7" w:rsidRPr="00340D05" w:rsidRDefault="00AD74B7" w:rsidP="007F060F">
      <w:pPr>
        <w:spacing w:line="360" w:lineRule="auto"/>
        <w:ind w:left="567" w:hanging="567"/>
        <w:rPr>
          <w:szCs w:val="24"/>
          <w:lang w:bidi="en-US"/>
        </w:rPr>
      </w:pPr>
      <w:r w:rsidRPr="00340D05">
        <w:rPr>
          <w:szCs w:val="24"/>
          <w:lang w:bidi="en-US"/>
        </w:rPr>
        <w:t xml:space="preserve">U.S. Food and Drug Administration. (2021). GRAS determination for the use of </w:t>
      </w:r>
      <w:r w:rsidRPr="00340D05">
        <w:rPr>
          <w:i/>
          <w:iCs/>
          <w:szCs w:val="24"/>
          <w:lang w:bidi="en-US"/>
        </w:rPr>
        <w:t>Metschnikowia pulcherrima</w:t>
      </w:r>
      <w:r w:rsidRPr="00340D05">
        <w:rPr>
          <w:szCs w:val="24"/>
          <w:lang w:bidi="en-US"/>
        </w:rPr>
        <w:t xml:space="preserve"> strain DANMET-A and </w:t>
      </w:r>
      <w:r w:rsidRPr="00340D05">
        <w:rPr>
          <w:i/>
          <w:iCs/>
          <w:szCs w:val="24"/>
          <w:lang w:bidi="en-US"/>
        </w:rPr>
        <w:t>Metschnikowia fructicola</w:t>
      </w:r>
      <w:r w:rsidRPr="00340D05">
        <w:rPr>
          <w:szCs w:val="24"/>
          <w:lang w:bidi="en-US"/>
        </w:rPr>
        <w:t xml:space="preserve"> strain DANMET-B, individually and in combination, as secondary direct additives in the post-harvesting processing of coffee. Available online: https://fda.report/media/157968/GRAS-Notice-GRN-1028-Metschniko-Pulcherrima-Strain-DanmetA-and-Metschnikowia-Fructicola-Strain-DanmetB.pdf (accessed on 14 August 2025).</w:t>
      </w:r>
    </w:p>
    <w:p w14:paraId="2ED78879" w14:textId="77777777" w:rsidR="00340D05" w:rsidRPr="00340D05" w:rsidRDefault="00340D05" w:rsidP="007F060F">
      <w:pPr>
        <w:spacing w:line="360" w:lineRule="auto"/>
        <w:ind w:left="567" w:hanging="567"/>
        <w:rPr>
          <w:szCs w:val="24"/>
          <w:lang w:bidi="en-US"/>
        </w:rPr>
      </w:pPr>
      <w:r w:rsidRPr="00340D05">
        <w:rPr>
          <w:szCs w:val="24"/>
          <w:lang w:bidi="en-US"/>
        </w:rPr>
        <w:t xml:space="preserve">Wang, P.-Y., Fang, J.-C., Gao, Z.-H., Zhang, C., &amp; Xie, S. Y. (2016). Higher intake of fruits, vegetables, or their fiber reduces the risk of type 2 diabetes: A meta-analysis. </w:t>
      </w:r>
      <w:r w:rsidRPr="00340D05">
        <w:rPr>
          <w:iCs/>
          <w:szCs w:val="24"/>
          <w:lang w:bidi="en-US"/>
        </w:rPr>
        <w:t>Journal of Diabetes Investigation,</w:t>
      </w:r>
      <w:r w:rsidRPr="00340D05">
        <w:rPr>
          <w:szCs w:val="24"/>
          <w:lang w:bidi="en-US"/>
        </w:rPr>
        <w:t xml:space="preserve"> </w:t>
      </w:r>
      <w:r w:rsidRPr="00340D05">
        <w:rPr>
          <w:iCs/>
          <w:szCs w:val="24"/>
          <w:lang w:bidi="en-US"/>
        </w:rPr>
        <w:t>7</w:t>
      </w:r>
      <w:r w:rsidRPr="00340D05">
        <w:rPr>
          <w:szCs w:val="24"/>
          <w:lang w:bidi="en-US"/>
        </w:rPr>
        <w:t xml:space="preserve">, 56-69. </w:t>
      </w:r>
      <w:hyperlink r:id="rId40" w:history="1">
        <w:r w:rsidRPr="00340D05">
          <w:rPr>
            <w:rStyle w:val="af1"/>
            <w:szCs w:val="24"/>
            <w:lang w:bidi="en-US"/>
          </w:rPr>
          <w:t>https://doi.org/10.1111/jdi.12376</w:t>
        </w:r>
      </w:hyperlink>
    </w:p>
    <w:p w14:paraId="2D49802E" w14:textId="77777777" w:rsidR="00AD74B7" w:rsidRPr="00340D05" w:rsidRDefault="00AD74B7" w:rsidP="007F060F">
      <w:pPr>
        <w:spacing w:line="360" w:lineRule="auto"/>
        <w:ind w:left="567" w:hanging="567"/>
        <w:rPr>
          <w:szCs w:val="24"/>
          <w:lang w:bidi="en-US"/>
        </w:rPr>
      </w:pPr>
      <w:r w:rsidRPr="00340D05">
        <w:rPr>
          <w:szCs w:val="24"/>
          <w:lang w:bidi="en-US"/>
        </w:rPr>
        <w:t xml:space="preserve">Wang, Z., Xu, W., Gao, Y., Zha, M., Zhang, D., Peng, X., Zhang, H., Wang, C., Xu, C., Zhou, T., Liu, D., Niu, H., Liu, Q., Chen, Y., Zhu, C., Guo, T., &amp; Ying, H. (2023). Engineering </w:t>
      </w:r>
      <w:r w:rsidRPr="00340D05">
        <w:rPr>
          <w:i/>
          <w:iCs/>
          <w:szCs w:val="24"/>
          <w:lang w:bidi="en-US"/>
        </w:rPr>
        <w:t>Saccharomyces cerevisiae</w:t>
      </w:r>
      <w:r w:rsidRPr="00340D05">
        <w:rPr>
          <w:szCs w:val="24"/>
          <w:lang w:bidi="en-US"/>
        </w:rPr>
        <w:t xml:space="preserve"> for improved biofilm formation and ethanol production in continuous fermentation. </w:t>
      </w:r>
      <w:r w:rsidRPr="00340D05">
        <w:rPr>
          <w:iCs/>
          <w:szCs w:val="24"/>
          <w:lang w:bidi="en-US"/>
        </w:rPr>
        <w:t>Biotechnology for Biofuels and Bioproducts,</w:t>
      </w:r>
      <w:r w:rsidRPr="00340D05">
        <w:rPr>
          <w:szCs w:val="24"/>
          <w:lang w:bidi="en-US"/>
        </w:rPr>
        <w:t xml:space="preserve"> </w:t>
      </w:r>
      <w:r w:rsidRPr="00340D05">
        <w:rPr>
          <w:iCs/>
          <w:szCs w:val="24"/>
          <w:lang w:bidi="en-US"/>
        </w:rPr>
        <w:t>16</w:t>
      </w:r>
      <w:r w:rsidRPr="00340D05">
        <w:rPr>
          <w:szCs w:val="24"/>
          <w:lang w:bidi="en-US"/>
        </w:rPr>
        <w:t>(1), 119. https://doi.org/10.1186/s13068-023-02356-6</w:t>
      </w:r>
    </w:p>
    <w:p w14:paraId="59658243" w14:textId="77777777" w:rsidR="00AD74B7" w:rsidRPr="00340D05" w:rsidRDefault="00AD74B7" w:rsidP="007F060F">
      <w:pPr>
        <w:spacing w:line="360" w:lineRule="auto"/>
        <w:ind w:left="567" w:hanging="567"/>
        <w:rPr>
          <w:szCs w:val="24"/>
          <w:lang w:bidi="en-US"/>
        </w:rPr>
      </w:pPr>
      <w:r w:rsidRPr="00340D05">
        <w:rPr>
          <w:szCs w:val="24"/>
          <w:lang w:bidi="en-US"/>
        </w:rPr>
        <w:t xml:space="preserve">White, T. J., Bruns, T., Lee, S., &amp; Taylor, J. (1990). Amplification and direct sequencing of fungal ribosomal RNA genes for phylogenetics. In M. A. Innis, D. H. Gelfand, J. J. </w:t>
      </w:r>
      <w:r w:rsidRPr="00340D05">
        <w:rPr>
          <w:szCs w:val="24"/>
          <w:lang w:bidi="en-US"/>
        </w:rPr>
        <w:lastRenderedPageBreak/>
        <w:t xml:space="preserve">Sninsky, &amp; T. J. White (Eds.), </w:t>
      </w:r>
      <w:r w:rsidRPr="00340D05">
        <w:rPr>
          <w:iCs/>
          <w:szCs w:val="24"/>
          <w:lang w:bidi="en-US"/>
        </w:rPr>
        <w:t>PCR protocols: A guide to methods and applications (pp. 315-322).</w:t>
      </w:r>
      <w:r w:rsidRPr="00340D05">
        <w:rPr>
          <w:szCs w:val="24"/>
          <w:lang w:bidi="en-US"/>
        </w:rPr>
        <w:t xml:space="preserve"> San Diego, CA: Academic Press.</w:t>
      </w:r>
    </w:p>
    <w:p w14:paraId="26B09D07" w14:textId="77777777" w:rsidR="00340D05" w:rsidRPr="00340D05" w:rsidRDefault="00340D05" w:rsidP="007F060F">
      <w:pPr>
        <w:spacing w:line="360" w:lineRule="auto"/>
        <w:ind w:left="567" w:hanging="567"/>
        <w:rPr>
          <w:szCs w:val="24"/>
          <w:lang w:bidi="en-US"/>
        </w:rPr>
      </w:pPr>
      <w:r w:rsidRPr="00340D05">
        <w:rPr>
          <w:szCs w:val="24"/>
          <w:lang w:bidi="en-US"/>
        </w:rPr>
        <w:t xml:space="preserve">Wilson, C. L., &amp; Wisniewski, M. E. (1989). Biological control of postharvest diseases of fruits and vegetables: An emerging technology. </w:t>
      </w:r>
      <w:r w:rsidRPr="00340D05">
        <w:rPr>
          <w:iCs/>
          <w:szCs w:val="24"/>
          <w:lang w:bidi="en-US"/>
        </w:rPr>
        <w:t>Annual Review of Phytopathology,</w:t>
      </w:r>
      <w:r w:rsidRPr="00340D05">
        <w:rPr>
          <w:szCs w:val="24"/>
          <w:lang w:bidi="en-US"/>
        </w:rPr>
        <w:t xml:space="preserve"> </w:t>
      </w:r>
      <w:r w:rsidRPr="00340D05">
        <w:rPr>
          <w:iCs/>
          <w:szCs w:val="24"/>
          <w:lang w:bidi="en-US"/>
        </w:rPr>
        <w:t>27</w:t>
      </w:r>
      <w:r w:rsidRPr="00340D05">
        <w:rPr>
          <w:szCs w:val="24"/>
          <w:lang w:bidi="en-US"/>
        </w:rPr>
        <w:t>, 425-441. https://doi.org/10.1146/annurev.py.27.090189.002233</w:t>
      </w:r>
    </w:p>
    <w:p w14:paraId="75B33462" w14:textId="77777777" w:rsidR="00340D05" w:rsidRPr="00340D05" w:rsidRDefault="00340D05" w:rsidP="007F060F">
      <w:pPr>
        <w:spacing w:line="360" w:lineRule="auto"/>
        <w:ind w:left="567" w:hanging="567"/>
        <w:rPr>
          <w:szCs w:val="24"/>
          <w:lang w:bidi="en-US"/>
        </w:rPr>
      </w:pPr>
      <w:r w:rsidRPr="00340D05">
        <w:rPr>
          <w:szCs w:val="24"/>
          <w:lang w:bidi="en-US"/>
        </w:rPr>
        <w:t xml:space="preserve">Wilson, C. L., &amp; Wisniewski, M. E. (1994). </w:t>
      </w:r>
      <w:r w:rsidRPr="00340D05">
        <w:rPr>
          <w:iCs/>
          <w:szCs w:val="24"/>
          <w:lang w:bidi="en-US"/>
        </w:rPr>
        <w:t>Biological control of postharvest diseases. Theory and practice</w:t>
      </w:r>
      <w:r w:rsidRPr="00340D05">
        <w:rPr>
          <w:szCs w:val="24"/>
          <w:lang w:bidi="en-US"/>
        </w:rPr>
        <w:t>. Boca Raton, FL: CRC Press, 192 p.</w:t>
      </w:r>
    </w:p>
    <w:p w14:paraId="027D97C3" w14:textId="0FB4207E" w:rsidR="00AD74B7" w:rsidRPr="00340D05" w:rsidRDefault="00AD74B7" w:rsidP="007F060F">
      <w:pPr>
        <w:spacing w:line="360" w:lineRule="auto"/>
        <w:ind w:left="567" w:hanging="567"/>
        <w:rPr>
          <w:szCs w:val="24"/>
          <w:lang w:bidi="en-US"/>
        </w:rPr>
      </w:pPr>
      <w:r w:rsidRPr="00340D05">
        <w:rPr>
          <w:szCs w:val="24"/>
          <w:lang w:bidi="en-US"/>
        </w:rPr>
        <w:t xml:space="preserve">Xu, X., Chan, Z., Xu, Y., &amp; Tian, S. (2008). Effect of </w:t>
      </w:r>
      <w:r w:rsidRPr="00340D05">
        <w:rPr>
          <w:i/>
          <w:iCs/>
          <w:szCs w:val="24"/>
          <w:lang w:bidi="en-US"/>
        </w:rPr>
        <w:t>Pichia membranaefaciens</w:t>
      </w:r>
      <w:r w:rsidRPr="00340D05">
        <w:rPr>
          <w:szCs w:val="24"/>
          <w:lang w:bidi="en-US"/>
        </w:rPr>
        <w:t xml:space="preserve"> combined with salicylic acid on controlling brown rot in peach fruit and the mechanisms involved. </w:t>
      </w:r>
      <w:r w:rsidRPr="00340D05">
        <w:rPr>
          <w:iCs/>
          <w:szCs w:val="24"/>
          <w:lang w:bidi="en-US"/>
        </w:rPr>
        <w:t>Journal of the Science of Food and Agriculture,</w:t>
      </w:r>
      <w:r w:rsidRPr="00340D05">
        <w:rPr>
          <w:szCs w:val="24"/>
          <w:lang w:bidi="en-US"/>
        </w:rPr>
        <w:t xml:space="preserve"> </w:t>
      </w:r>
      <w:r w:rsidRPr="00340D05">
        <w:rPr>
          <w:iCs/>
          <w:szCs w:val="24"/>
          <w:lang w:bidi="en-US"/>
        </w:rPr>
        <w:t>88(10)</w:t>
      </w:r>
      <w:r w:rsidRPr="00340D05">
        <w:rPr>
          <w:szCs w:val="24"/>
          <w:lang w:bidi="en-US"/>
        </w:rPr>
        <w:t>, 1786-1793. https://doi.org/10.1002/jsfa.3281</w:t>
      </w:r>
    </w:p>
    <w:p w14:paraId="07B0D1A6" w14:textId="77777777" w:rsidR="00340D05" w:rsidRDefault="00340D05" w:rsidP="007F060F">
      <w:pPr>
        <w:spacing w:line="360" w:lineRule="auto"/>
        <w:ind w:left="567" w:hanging="567"/>
        <w:rPr>
          <w:szCs w:val="24"/>
        </w:rPr>
      </w:pPr>
      <w:r w:rsidRPr="00340D05">
        <w:rPr>
          <w:szCs w:val="24"/>
          <w:lang w:bidi="en-US"/>
        </w:rPr>
        <w:t>Zakrevskii, V. V. (2018). Fruit in the prevention of cancer. B</w:t>
      </w:r>
      <w:r w:rsidRPr="00340D05">
        <w:rPr>
          <w:iCs/>
          <w:szCs w:val="24"/>
          <w:lang w:bidi="en-US"/>
        </w:rPr>
        <w:t>iomedical Journal of Scientific &amp; Technical Research, 9</w:t>
      </w:r>
      <w:r w:rsidRPr="00340D05">
        <w:rPr>
          <w:szCs w:val="24"/>
          <w:lang w:bidi="en-US"/>
        </w:rPr>
        <w:t xml:space="preserve">, 7099-7101. </w:t>
      </w:r>
      <w:hyperlink r:id="rId41" w:history="1">
        <w:r w:rsidRPr="00340D05">
          <w:rPr>
            <w:rStyle w:val="af1"/>
            <w:szCs w:val="24"/>
          </w:rPr>
          <w:t>http://dx.doi.org/10.26717/BJSTR.2018.09.001793</w:t>
        </w:r>
      </w:hyperlink>
    </w:p>
    <w:p w14:paraId="4028DCE9" w14:textId="77777777" w:rsidR="00340D05" w:rsidRPr="00340D05" w:rsidRDefault="00340D05" w:rsidP="007F060F">
      <w:pPr>
        <w:spacing w:line="360" w:lineRule="auto"/>
        <w:ind w:left="567" w:hanging="567"/>
        <w:rPr>
          <w:szCs w:val="24"/>
          <w:lang w:bidi="en-US"/>
        </w:rPr>
      </w:pPr>
      <w:r w:rsidRPr="00340D05">
        <w:rPr>
          <w:szCs w:val="24"/>
          <w:lang w:bidi="en-US"/>
        </w:rPr>
        <w:t xml:space="preserve">Zhang, X., Li, B., Zhang, Z., Chen, Y., &amp; Tian, S. (2020a). Antagonistic yeasts: A promising alternative to chemical fungicides for controlling postharvest decay of fruit. </w:t>
      </w:r>
      <w:r w:rsidRPr="00340D05">
        <w:rPr>
          <w:iCs/>
          <w:szCs w:val="24"/>
          <w:lang w:bidi="en-US"/>
        </w:rPr>
        <w:t>Journal of Fungi, 6</w:t>
      </w:r>
      <w:r w:rsidRPr="00340D05">
        <w:rPr>
          <w:szCs w:val="24"/>
          <w:lang w:bidi="en-US"/>
        </w:rPr>
        <w:t>(3), 158. https://doi.org/10.3390/jof6030158</w:t>
      </w:r>
    </w:p>
    <w:p w14:paraId="106F4DB9" w14:textId="77777777" w:rsidR="00340D05" w:rsidRDefault="00340D05" w:rsidP="007F060F">
      <w:pPr>
        <w:spacing w:line="360" w:lineRule="auto"/>
        <w:ind w:left="567" w:hanging="567"/>
        <w:rPr>
          <w:rStyle w:val="af1"/>
          <w:color w:val="auto"/>
          <w:szCs w:val="24"/>
          <w:lang w:bidi="en-US"/>
        </w:rPr>
      </w:pPr>
      <w:r w:rsidRPr="00340D05">
        <w:rPr>
          <w:szCs w:val="24"/>
          <w:lang w:bidi="en-US"/>
        </w:rPr>
        <w:t xml:space="preserve">Zhang, X., Wu, F., Gu, N., Yan, X., Wang, K., Dhanasekaran, S., Gu, X., Zhao, L., &amp; Zhang, H. (2020b). Postharvest biological control of </w:t>
      </w:r>
      <w:r w:rsidRPr="00340D05">
        <w:rPr>
          <w:i/>
          <w:iCs/>
          <w:szCs w:val="24"/>
          <w:lang w:bidi="en-US"/>
        </w:rPr>
        <w:t>Rhizopus</w:t>
      </w:r>
      <w:r w:rsidRPr="00340D05">
        <w:rPr>
          <w:szCs w:val="24"/>
          <w:lang w:bidi="en-US"/>
        </w:rPr>
        <w:t xml:space="preserve"> rot and the mechanisms involved in induced disease resistance of peaches by </w:t>
      </w:r>
      <w:r w:rsidRPr="00340D05">
        <w:rPr>
          <w:i/>
          <w:iCs/>
          <w:szCs w:val="24"/>
          <w:lang w:bidi="en-US"/>
        </w:rPr>
        <w:t>Pichia membranefaciens</w:t>
      </w:r>
      <w:r w:rsidRPr="00340D05">
        <w:rPr>
          <w:szCs w:val="24"/>
          <w:lang w:bidi="en-US"/>
        </w:rPr>
        <w:t xml:space="preserve">. </w:t>
      </w:r>
      <w:r w:rsidRPr="00340D05">
        <w:rPr>
          <w:iCs/>
          <w:szCs w:val="24"/>
          <w:lang w:bidi="en-US"/>
        </w:rPr>
        <w:t>Postharvest Biology and Technology,</w:t>
      </w:r>
      <w:r w:rsidRPr="00340D05">
        <w:rPr>
          <w:szCs w:val="24"/>
          <w:lang w:bidi="en-US"/>
        </w:rPr>
        <w:t xml:space="preserve"> </w:t>
      </w:r>
      <w:r w:rsidRPr="00340D05">
        <w:rPr>
          <w:iCs/>
          <w:szCs w:val="24"/>
          <w:lang w:bidi="en-US"/>
        </w:rPr>
        <w:t>163</w:t>
      </w:r>
      <w:r w:rsidRPr="00340D05">
        <w:rPr>
          <w:szCs w:val="24"/>
          <w:lang w:bidi="en-US"/>
        </w:rPr>
        <w:t xml:space="preserve">, 111146. </w:t>
      </w:r>
      <w:hyperlink r:id="rId42" w:tgtFrame="_new" w:history="1">
        <w:r w:rsidRPr="00340D05">
          <w:rPr>
            <w:rStyle w:val="af1"/>
            <w:color w:val="auto"/>
            <w:szCs w:val="24"/>
            <w:lang w:bidi="en-US"/>
          </w:rPr>
          <w:t>https://doi.org/10.1016/j.postharvbio.2020.111146</w:t>
        </w:r>
      </w:hyperlink>
    </w:p>
    <w:p w14:paraId="78CBC829" w14:textId="77777777" w:rsidR="00AD74B7" w:rsidRPr="00340D05" w:rsidRDefault="00AD74B7" w:rsidP="007F060F">
      <w:pPr>
        <w:spacing w:line="360" w:lineRule="auto"/>
        <w:ind w:left="567" w:hanging="567"/>
        <w:rPr>
          <w:szCs w:val="24"/>
          <w:lang w:bidi="en-US"/>
        </w:rPr>
      </w:pPr>
      <w:r w:rsidRPr="00340D05">
        <w:rPr>
          <w:szCs w:val="24"/>
          <w:lang w:bidi="en-US"/>
        </w:rPr>
        <w:t xml:space="preserve">Zhao, S., Guo, Y., Wang, Q., Luo, H., He, C., &amp; An, B. (2020). Expression of flagellin at the yeast surface increases biocontrol efficiency of yeast cells against postharvest disease of tomato caused by </w:t>
      </w:r>
      <w:r w:rsidRPr="00340D05">
        <w:rPr>
          <w:i/>
          <w:iCs/>
          <w:szCs w:val="24"/>
          <w:lang w:bidi="en-US"/>
        </w:rPr>
        <w:t>Botrytis cinerea</w:t>
      </w:r>
      <w:r w:rsidRPr="00340D05">
        <w:rPr>
          <w:szCs w:val="24"/>
          <w:lang w:bidi="en-US"/>
        </w:rPr>
        <w:t xml:space="preserve">. </w:t>
      </w:r>
      <w:r w:rsidRPr="00340D05">
        <w:rPr>
          <w:iCs/>
          <w:szCs w:val="24"/>
          <w:lang w:bidi="en-US"/>
        </w:rPr>
        <w:t>Postharvest Biology and Technology,</w:t>
      </w:r>
      <w:r w:rsidRPr="00340D05">
        <w:rPr>
          <w:szCs w:val="24"/>
          <w:lang w:bidi="en-US"/>
        </w:rPr>
        <w:t xml:space="preserve"> </w:t>
      </w:r>
      <w:r w:rsidRPr="00340D05">
        <w:rPr>
          <w:iCs/>
          <w:szCs w:val="24"/>
          <w:lang w:bidi="en-US"/>
        </w:rPr>
        <w:t>162</w:t>
      </w:r>
      <w:r w:rsidRPr="00340D05">
        <w:rPr>
          <w:szCs w:val="24"/>
          <w:lang w:bidi="en-US"/>
        </w:rPr>
        <w:t>, 111112. https://doi.org/10.1016/j.postharvbio.2019.111112</w:t>
      </w:r>
    </w:p>
    <w:p w14:paraId="2373CDCC" w14:textId="3AFF48A7" w:rsidR="00340D05" w:rsidRDefault="00340D05" w:rsidP="007F060F">
      <w:pPr>
        <w:spacing w:line="360" w:lineRule="auto"/>
        <w:ind w:left="567" w:hanging="567"/>
        <w:rPr>
          <w:szCs w:val="24"/>
          <w:lang w:bidi="en-US"/>
        </w:rPr>
      </w:pPr>
      <w:r w:rsidRPr="00340D05">
        <w:rPr>
          <w:szCs w:val="24"/>
          <w:lang w:bidi="en-US"/>
        </w:rPr>
        <w:t xml:space="preserve">Zheng, F., Zhang, W., Sui, Y., Ding, R., Yi, W., Hu, Y., Liu, H., &amp; Zhu, C. (2019). Sugar protectants improve the thermotolerance and biocontrol efficacy of the biocontrol yeast </w:t>
      </w:r>
      <w:r w:rsidRPr="00340D05">
        <w:rPr>
          <w:i/>
          <w:iCs/>
          <w:szCs w:val="24"/>
          <w:lang w:bidi="en-US"/>
        </w:rPr>
        <w:t>Candida oleophila</w:t>
      </w:r>
      <w:r w:rsidRPr="00340D05">
        <w:rPr>
          <w:szCs w:val="24"/>
          <w:lang w:bidi="en-US"/>
        </w:rPr>
        <w:t xml:space="preserve">. </w:t>
      </w:r>
      <w:r w:rsidRPr="00340D05">
        <w:rPr>
          <w:iCs/>
          <w:szCs w:val="24"/>
          <w:lang w:bidi="en-US"/>
        </w:rPr>
        <w:t>Frontiers in Microbiology,</w:t>
      </w:r>
      <w:r w:rsidRPr="00340D05">
        <w:rPr>
          <w:szCs w:val="24"/>
          <w:lang w:bidi="en-US"/>
        </w:rPr>
        <w:t xml:space="preserve"> </w:t>
      </w:r>
      <w:r w:rsidRPr="00340D05">
        <w:rPr>
          <w:iCs/>
          <w:szCs w:val="24"/>
          <w:lang w:bidi="en-US"/>
        </w:rPr>
        <w:t>10</w:t>
      </w:r>
      <w:r w:rsidRPr="00340D05">
        <w:rPr>
          <w:szCs w:val="24"/>
          <w:lang w:bidi="en-US"/>
        </w:rPr>
        <w:t xml:space="preserve">, 187. </w:t>
      </w:r>
      <w:hyperlink r:id="rId43" w:history="1">
        <w:r w:rsidRPr="00340D05">
          <w:rPr>
            <w:rStyle w:val="af1"/>
            <w:szCs w:val="24"/>
            <w:lang w:bidi="en-US"/>
          </w:rPr>
          <w:t>https://doi.org/10.3389/fmicb.2019.00187</w:t>
        </w:r>
      </w:hyperlink>
    </w:p>
    <w:p w14:paraId="764C486A" w14:textId="77777777" w:rsidR="00AD74B7" w:rsidRDefault="00AD74B7" w:rsidP="007F060F">
      <w:pPr>
        <w:spacing w:line="360" w:lineRule="auto"/>
        <w:ind w:left="567" w:hanging="567"/>
        <w:rPr>
          <w:szCs w:val="24"/>
          <w:lang w:bidi="en-US"/>
        </w:rPr>
      </w:pPr>
      <w:r w:rsidRPr="00340D05">
        <w:rPr>
          <w:szCs w:val="24"/>
          <w:lang w:bidi="en-US"/>
        </w:rPr>
        <w:t xml:space="preserve">Zhou, Y., Zhang, L., &amp; Zeng, K. (2016). Efficacy of </w:t>
      </w:r>
      <w:r w:rsidRPr="00340D05">
        <w:rPr>
          <w:i/>
          <w:iCs/>
          <w:szCs w:val="24"/>
          <w:lang w:bidi="en-US"/>
        </w:rPr>
        <w:t>Pichia membranaefaciens</w:t>
      </w:r>
      <w:r w:rsidRPr="00340D05">
        <w:rPr>
          <w:szCs w:val="24"/>
          <w:lang w:bidi="en-US"/>
        </w:rPr>
        <w:t xml:space="preserve"> combined with chitosan against </w:t>
      </w:r>
      <w:r w:rsidRPr="00340D05">
        <w:rPr>
          <w:i/>
          <w:iCs/>
          <w:szCs w:val="24"/>
          <w:lang w:bidi="en-US"/>
        </w:rPr>
        <w:t>Colletotrichum gloeosporioides</w:t>
      </w:r>
      <w:r w:rsidRPr="00340D05">
        <w:rPr>
          <w:szCs w:val="24"/>
          <w:lang w:bidi="en-US"/>
        </w:rPr>
        <w:t xml:space="preserve"> in citrus fruits and possible modes of action. </w:t>
      </w:r>
      <w:r w:rsidRPr="00340D05">
        <w:rPr>
          <w:iCs/>
          <w:szCs w:val="24"/>
          <w:lang w:bidi="en-US"/>
        </w:rPr>
        <w:t>Biological Control,</w:t>
      </w:r>
      <w:r w:rsidRPr="00340D05">
        <w:rPr>
          <w:szCs w:val="24"/>
          <w:lang w:bidi="en-US"/>
        </w:rPr>
        <w:t xml:space="preserve"> </w:t>
      </w:r>
      <w:r w:rsidRPr="00340D05">
        <w:rPr>
          <w:iCs/>
          <w:szCs w:val="24"/>
          <w:lang w:bidi="en-US"/>
        </w:rPr>
        <w:t>96</w:t>
      </w:r>
      <w:r w:rsidRPr="00340D05">
        <w:rPr>
          <w:szCs w:val="24"/>
          <w:lang w:bidi="en-US"/>
        </w:rPr>
        <w:t xml:space="preserve">, 39-47. </w:t>
      </w:r>
      <w:hyperlink r:id="rId44" w:history="1">
        <w:r w:rsidRPr="00340D05">
          <w:rPr>
            <w:rStyle w:val="af1"/>
            <w:szCs w:val="24"/>
            <w:lang w:bidi="en-US"/>
          </w:rPr>
          <w:t>https://doi.org/10.1016/j.biocontrol.2016.02.001</w:t>
        </w:r>
      </w:hyperlink>
    </w:p>
    <w:p w14:paraId="079E2850" w14:textId="40246DFF" w:rsidR="00374E79" w:rsidRPr="00340D05" w:rsidRDefault="00AD74B7" w:rsidP="007F060F">
      <w:pPr>
        <w:spacing w:line="360" w:lineRule="auto"/>
        <w:ind w:left="567" w:hanging="567"/>
        <w:rPr>
          <w:szCs w:val="24"/>
          <w:lang w:bidi="en-US"/>
        </w:rPr>
      </w:pPr>
      <w:r w:rsidRPr="00340D05">
        <w:rPr>
          <w:szCs w:val="24"/>
          <w:lang w:bidi="en-US"/>
        </w:rPr>
        <w:lastRenderedPageBreak/>
        <w:t xml:space="preserve">Zong, Y., Liu, J., Li, B., Qin, G., &amp; Tian, S. (2010). Effects of yeast antagonists in combination with hot water treatment on postharvest diseases of tomato fruit. </w:t>
      </w:r>
      <w:r w:rsidRPr="00340D05">
        <w:rPr>
          <w:iCs/>
          <w:szCs w:val="24"/>
          <w:lang w:bidi="en-US"/>
        </w:rPr>
        <w:t>Biological Control,</w:t>
      </w:r>
      <w:r w:rsidRPr="00340D05">
        <w:rPr>
          <w:szCs w:val="24"/>
          <w:lang w:bidi="en-US"/>
        </w:rPr>
        <w:t xml:space="preserve"> </w:t>
      </w:r>
      <w:r w:rsidRPr="00340D05">
        <w:rPr>
          <w:iCs/>
          <w:szCs w:val="24"/>
          <w:lang w:bidi="en-US"/>
        </w:rPr>
        <w:t>54</w:t>
      </w:r>
      <w:r w:rsidRPr="00340D05">
        <w:rPr>
          <w:szCs w:val="24"/>
          <w:lang w:bidi="en-US"/>
        </w:rPr>
        <w:t xml:space="preserve">(3), 316-321. </w:t>
      </w:r>
      <w:hyperlink r:id="rId45" w:tgtFrame="_new" w:history="1">
        <w:r w:rsidRPr="00340D05">
          <w:rPr>
            <w:rStyle w:val="af1"/>
            <w:color w:val="auto"/>
            <w:szCs w:val="24"/>
            <w:lang w:bidi="en-US"/>
          </w:rPr>
          <w:t>https://doi.org/10.1016/j.biocontrol.2010.06.003</w:t>
        </w:r>
      </w:hyperlink>
      <w:r w:rsidR="00374E79" w:rsidRPr="008C283F">
        <w:rPr>
          <w:b/>
          <w:color w:val="FF0000"/>
        </w:rPr>
        <w:br w:type="page"/>
      </w:r>
    </w:p>
    <w:p w14:paraId="4AF5BA0E" w14:textId="77777777" w:rsidR="00A71BEB" w:rsidRPr="006C4AC1" w:rsidRDefault="00A71BEB" w:rsidP="00A71BEB">
      <w:pPr>
        <w:spacing w:line="240" w:lineRule="auto"/>
        <w:rPr>
          <w:bCs/>
          <w:color w:val="auto"/>
          <w:szCs w:val="24"/>
          <w:lang w:eastAsia="ru-RU"/>
        </w:rPr>
      </w:pPr>
      <w:r w:rsidRPr="00A71BEB">
        <w:rPr>
          <w:b/>
          <w:color w:val="auto"/>
          <w:kern w:val="2"/>
          <w:szCs w:val="24"/>
          <w14:ligatures w14:val="standardContextual"/>
        </w:rPr>
        <w:lastRenderedPageBreak/>
        <w:t xml:space="preserve">Table 1A: </w:t>
      </w:r>
      <w:r w:rsidRPr="00A71BEB">
        <w:rPr>
          <w:bCs/>
          <w:i/>
          <w:color w:val="auto"/>
          <w:szCs w:val="24"/>
          <w:lang w:eastAsia="ru-RU"/>
        </w:rPr>
        <w:t>In vivo</w:t>
      </w:r>
      <w:r w:rsidRPr="00A71BEB">
        <w:rPr>
          <w:bCs/>
          <w:color w:val="auto"/>
          <w:szCs w:val="24"/>
          <w:lang w:eastAsia="ru-RU"/>
        </w:rPr>
        <w:t xml:space="preserve"> screening of antagonistic yeast strains for the percentage of infected artificial wounds in W systems against </w:t>
      </w:r>
      <w:r w:rsidRPr="00A71BEB">
        <w:rPr>
          <w:bCs/>
          <w:i/>
          <w:iCs/>
          <w:color w:val="auto"/>
          <w:szCs w:val="24"/>
          <w:lang w:eastAsia="ru-RU"/>
        </w:rPr>
        <w:t>B. cinerea</w:t>
      </w:r>
      <w:r w:rsidRPr="00A71BEB">
        <w:rPr>
          <w:bCs/>
          <w:color w:val="auto"/>
          <w:szCs w:val="24"/>
          <w:lang w:eastAsia="ru-RU"/>
        </w:rPr>
        <w:t xml:space="preserve"> F-RKM 1032, </w:t>
      </w:r>
      <w:r w:rsidRPr="00A71BEB">
        <w:rPr>
          <w:bCs/>
          <w:i/>
          <w:iCs/>
          <w:color w:val="auto"/>
          <w:szCs w:val="24"/>
          <w:lang w:eastAsia="ru-RU"/>
        </w:rPr>
        <w:t>A. niger</w:t>
      </w:r>
      <w:r w:rsidRPr="00A71BEB">
        <w:rPr>
          <w:bCs/>
          <w:color w:val="auto"/>
          <w:szCs w:val="24"/>
          <w:lang w:eastAsia="ru-RU"/>
        </w:rPr>
        <w:t xml:space="preserve"> ATCC 6275, and </w:t>
      </w:r>
      <w:r w:rsidRPr="00A71BEB">
        <w:rPr>
          <w:bCs/>
          <w:i/>
          <w:iCs/>
          <w:color w:val="auto"/>
          <w:szCs w:val="24"/>
          <w:lang w:eastAsia="ru-RU"/>
        </w:rPr>
        <w:t>R. stolonifer</w:t>
      </w:r>
      <w:r w:rsidRPr="00A71BEB">
        <w:rPr>
          <w:bCs/>
          <w:color w:val="auto"/>
          <w:szCs w:val="24"/>
          <w:lang w:eastAsia="ru-RU"/>
        </w:rPr>
        <w:t xml:space="preserve"> ATCC 6227b</w:t>
      </w:r>
    </w:p>
    <w:tbl>
      <w:tblPr>
        <w:tblStyle w:val="ac"/>
        <w:tblW w:w="90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7"/>
        <w:gridCol w:w="768"/>
        <w:gridCol w:w="748"/>
        <w:gridCol w:w="602"/>
        <w:gridCol w:w="538"/>
        <w:gridCol w:w="591"/>
        <w:gridCol w:w="617"/>
        <w:gridCol w:w="616"/>
        <w:gridCol w:w="617"/>
        <w:gridCol w:w="617"/>
        <w:gridCol w:w="617"/>
        <w:gridCol w:w="616"/>
        <w:gridCol w:w="546"/>
        <w:gridCol w:w="634"/>
      </w:tblGrid>
      <w:tr w:rsidR="00A71BEB" w:rsidRPr="006C4AC1" w14:paraId="3201CA3A" w14:textId="77777777" w:rsidTr="00225B52">
        <w:trPr>
          <w:trHeight w:val="20"/>
        </w:trPr>
        <w:tc>
          <w:tcPr>
            <w:tcW w:w="897" w:type="dxa"/>
            <w:vMerge w:val="restart"/>
            <w:tcBorders>
              <w:top w:val="single" w:sz="4" w:space="0" w:color="auto"/>
              <w:bottom w:val="single" w:sz="4" w:space="0" w:color="auto"/>
            </w:tcBorders>
          </w:tcPr>
          <w:p w14:paraId="4FEF90EA" w14:textId="77777777" w:rsidR="00A71BEB" w:rsidRPr="006C4AC1" w:rsidRDefault="00A71BEB" w:rsidP="00A71BEB">
            <w:pPr>
              <w:spacing w:line="240" w:lineRule="auto"/>
              <w:jc w:val="center"/>
              <w:rPr>
                <w:color w:val="auto"/>
                <w:sz w:val="14"/>
                <w:szCs w:val="16"/>
                <w:lang w:eastAsia="ru-RU"/>
              </w:rPr>
            </w:pPr>
            <w:r w:rsidRPr="006C4AC1">
              <w:rPr>
                <w:b/>
                <w:color w:val="auto"/>
                <w:sz w:val="14"/>
                <w:szCs w:val="16"/>
                <w:lang w:eastAsia="ru-RU"/>
              </w:rPr>
              <w:t>Fungal pathogens</w:t>
            </w:r>
          </w:p>
        </w:tc>
        <w:tc>
          <w:tcPr>
            <w:tcW w:w="768" w:type="dxa"/>
            <w:vMerge w:val="restart"/>
            <w:tcBorders>
              <w:top w:val="single" w:sz="4" w:space="0" w:color="auto"/>
              <w:bottom w:val="single" w:sz="4" w:space="0" w:color="auto"/>
            </w:tcBorders>
            <w:noWrap/>
          </w:tcPr>
          <w:p w14:paraId="34973514" w14:textId="77777777" w:rsidR="00A71BEB" w:rsidRPr="006C4AC1" w:rsidRDefault="00A71BEB" w:rsidP="00A71BEB">
            <w:pPr>
              <w:spacing w:line="240" w:lineRule="auto"/>
              <w:jc w:val="center"/>
              <w:rPr>
                <w:color w:val="auto"/>
                <w:sz w:val="14"/>
                <w:szCs w:val="16"/>
                <w:lang w:eastAsia="ru-RU"/>
              </w:rPr>
            </w:pPr>
            <w:r w:rsidRPr="006C4AC1">
              <w:rPr>
                <w:b/>
                <w:color w:val="auto"/>
                <w:sz w:val="14"/>
                <w:szCs w:val="16"/>
                <w:lang w:eastAsia="ru-RU"/>
              </w:rPr>
              <w:t>Values</w:t>
            </w:r>
          </w:p>
        </w:tc>
        <w:tc>
          <w:tcPr>
            <w:tcW w:w="748" w:type="dxa"/>
            <w:vMerge w:val="restart"/>
            <w:tcBorders>
              <w:top w:val="single" w:sz="4" w:space="0" w:color="auto"/>
              <w:bottom w:val="single" w:sz="4" w:space="0" w:color="auto"/>
            </w:tcBorders>
            <w:noWrap/>
          </w:tcPr>
          <w:p w14:paraId="27DC1277" w14:textId="2D47E893" w:rsidR="00A71BEB" w:rsidRPr="00860E68" w:rsidRDefault="00A71BEB" w:rsidP="00A71BEB">
            <w:pPr>
              <w:spacing w:line="240" w:lineRule="auto"/>
              <w:jc w:val="center"/>
              <w:rPr>
                <w:b/>
                <w:color w:val="auto"/>
                <w:sz w:val="13"/>
                <w:szCs w:val="13"/>
                <w:lang w:eastAsia="ru-RU"/>
              </w:rPr>
            </w:pPr>
            <w:r w:rsidRPr="00860E68">
              <w:rPr>
                <w:b/>
                <w:color w:val="auto"/>
                <w:sz w:val="15"/>
                <w:szCs w:val="13"/>
                <w:lang w:eastAsia="ru-RU"/>
              </w:rPr>
              <w:t>Control / Patho</w:t>
            </w:r>
            <w:r w:rsidR="00860E68">
              <w:rPr>
                <w:b/>
                <w:color w:val="auto"/>
                <w:sz w:val="15"/>
                <w:szCs w:val="13"/>
                <w:lang w:eastAsia="ru-RU"/>
              </w:rPr>
              <w:t>-</w:t>
            </w:r>
            <w:r w:rsidRPr="00860E68">
              <w:rPr>
                <w:b/>
                <w:color w:val="auto"/>
                <w:sz w:val="15"/>
                <w:szCs w:val="13"/>
                <w:lang w:eastAsia="ru-RU"/>
              </w:rPr>
              <w:t>gens</w:t>
            </w:r>
          </w:p>
        </w:tc>
        <w:tc>
          <w:tcPr>
            <w:tcW w:w="6611" w:type="dxa"/>
            <w:gridSpan w:val="11"/>
            <w:tcBorders>
              <w:top w:val="single" w:sz="4" w:space="0" w:color="auto"/>
              <w:bottom w:val="single" w:sz="4" w:space="0" w:color="auto"/>
            </w:tcBorders>
            <w:noWrap/>
          </w:tcPr>
          <w:p w14:paraId="40BD1CAC" w14:textId="77777777" w:rsidR="00A71BEB" w:rsidRPr="006C4AC1" w:rsidRDefault="00A71BEB" w:rsidP="00A71BEB">
            <w:pPr>
              <w:spacing w:line="240" w:lineRule="auto"/>
              <w:jc w:val="center"/>
              <w:rPr>
                <w:b/>
                <w:color w:val="auto"/>
                <w:sz w:val="14"/>
                <w:szCs w:val="16"/>
                <w:lang w:eastAsia="ru-RU"/>
              </w:rPr>
            </w:pPr>
            <w:r w:rsidRPr="006C4AC1">
              <w:rPr>
                <w:b/>
                <w:color w:val="auto"/>
                <w:sz w:val="14"/>
                <w:szCs w:val="16"/>
                <w:lang w:eastAsia="ru-RU"/>
              </w:rPr>
              <w:t xml:space="preserve">Yeast strains </w:t>
            </w:r>
            <w:r w:rsidRPr="006C4AC1">
              <w:rPr>
                <w:b/>
                <w:color w:val="auto"/>
                <w:sz w:val="14"/>
                <w:szCs w:val="16"/>
                <w:vertAlign w:val="superscript"/>
                <w:lang w:eastAsia="ru-RU"/>
              </w:rPr>
              <w:t>♯</w:t>
            </w:r>
          </w:p>
        </w:tc>
      </w:tr>
      <w:tr w:rsidR="00860E68" w:rsidRPr="006C4AC1" w14:paraId="4245241F" w14:textId="77777777" w:rsidTr="00225B52">
        <w:trPr>
          <w:trHeight w:val="20"/>
        </w:trPr>
        <w:tc>
          <w:tcPr>
            <w:tcW w:w="897" w:type="dxa"/>
            <w:vMerge/>
            <w:tcBorders>
              <w:top w:val="single" w:sz="4" w:space="0" w:color="auto"/>
            </w:tcBorders>
          </w:tcPr>
          <w:p w14:paraId="09B7E173" w14:textId="77777777" w:rsidR="00A71BEB" w:rsidRPr="006C4AC1" w:rsidRDefault="00A71BEB" w:rsidP="00A71BEB">
            <w:pPr>
              <w:spacing w:line="240" w:lineRule="auto"/>
              <w:jc w:val="center"/>
              <w:rPr>
                <w:color w:val="auto"/>
                <w:sz w:val="14"/>
                <w:szCs w:val="16"/>
                <w:lang w:eastAsia="ru-RU"/>
              </w:rPr>
            </w:pPr>
          </w:p>
        </w:tc>
        <w:tc>
          <w:tcPr>
            <w:tcW w:w="768" w:type="dxa"/>
            <w:vMerge/>
            <w:tcBorders>
              <w:top w:val="single" w:sz="4" w:space="0" w:color="auto"/>
            </w:tcBorders>
            <w:noWrap/>
          </w:tcPr>
          <w:p w14:paraId="6E50AC1A" w14:textId="77777777" w:rsidR="00A71BEB" w:rsidRPr="006C4AC1" w:rsidRDefault="00A71BEB" w:rsidP="00A71BEB">
            <w:pPr>
              <w:spacing w:line="240" w:lineRule="auto"/>
              <w:jc w:val="center"/>
              <w:rPr>
                <w:color w:val="auto"/>
                <w:sz w:val="14"/>
                <w:szCs w:val="16"/>
                <w:lang w:eastAsia="ru-RU"/>
              </w:rPr>
            </w:pPr>
          </w:p>
        </w:tc>
        <w:tc>
          <w:tcPr>
            <w:tcW w:w="748" w:type="dxa"/>
            <w:vMerge/>
            <w:tcBorders>
              <w:top w:val="single" w:sz="4" w:space="0" w:color="auto"/>
              <w:bottom w:val="single" w:sz="4" w:space="0" w:color="auto"/>
            </w:tcBorders>
            <w:noWrap/>
          </w:tcPr>
          <w:p w14:paraId="27E74B8C" w14:textId="77777777" w:rsidR="00A71BEB" w:rsidRPr="006C4AC1" w:rsidRDefault="00A71BEB" w:rsidP="00A71BEB">
            <w:pPr>
              <w:spacing w:line="240" w:lineRule="auto"/>
              <w:jc w:val="center"/>
              <w:rPr>
                <w:b/>
                <w:color w:val="auto"/>
                <w:sz w:val="14"/>
                <w:szCs w:val="16"/>
                <w:lang w:eastAsia="ru-RU"/>
              </w:rPr>
            </w:pPr>
          </w:p>
        </w:tc>
        <w:tc>
          <w:tcPr>
            <w:tcW w:w="602" w:type="dxa"/>
            <w:tcBorders>
              <w:top w:val="single" w:sz="4" w:space="0" w:color="auto"/>
              <w:bottom w:val="single" w:sz="4" w:space="0" w:color="auto"/>
            </w:tcBorders>
            <w:noWrap/>
          </w:tcPr>
          <w:p w14:paraId="6F49F520" w14:textId="77777777" w:rsidR="00A71BEB" w:rsidRPr="00860E68" w:rsidRDefault="00A71BEB" w:rsidP="00A71BEB">
            <w:pPr>
              <w:spacing w:line="240" w:lineRule="auto"/>
              <w:jc w:val="center"/>
              <w:rPr>
                <w:b/>
                <w:color w:val="auto"/>
                <w:sz w:val="13"/>
                <w:szCs w:val="13"/>
                <w:lang w:eastAsia="ru-RU"/>
              </w:rPr>
            </w:pPr>
            <w:r w:rsidRPr="00860E68">
              <w:rPr>
                <w:b/>
                <w:color w:val="auto"/>
                <w:sz w:val="13"/>
                <w:szCs w:val="13"/>
                <w:lang w:eastAsia="ru-RU"/>
              </w:rPr>
              <w:t>A2</w:t>
            </w:r>
          </w:p>
        </w:tc>
        <w:tc>
          <w:tcPr>
            <w:tcW w:w="538" w:type="dxa"/>
            <w:tcBorders>
              <w:top w:val="single" w:sz="4" w:space="0" w:color="auto"/>
              <w:bottom w:val="single" w:sz="4" w:space="0" w:color="auto"/>
            </w:tcBorders>
            <w:noWrap/>
          </w:tcPr>
          <w:p w14:paraId="034DC078" w14:textId="77777777" w:rsidR="00A71BEB" w:rsidRPr="00860E68" w:rsidRDefault="00A71BEB" w:rsidP="00A71BEB">
            <w:pPr>
              <w:spacing w:line="240" w:lineRule="auto"/>
              <w:jc w:val="center"/>
              <w:rPr>
                <w:b/>
                <w:color w:val="auto"/>
                <w:sz w:val="13"/>
                <w:szCs w:val="13"/>
                <w:lang w:eastAsia="ru-RU"/>
              </w:rPr>
            </w:pPr>
            <w:r w:rsidRPr="00860E68">
              <w:rPr>
                <w:b/>
                <w:color w:val="auto"/>
                <w:sz w:val="13"/>
                <w:szCs w:val="13"/>
                <w:lang w:eastAsia="ru-RU"/>
              </w:rPr>
              <w:t>AP13</w:t>
            </w:r>
          </w:p>
        </w:tc>
        <w:tc>
          <w:tcPr>
            <w:tcW w:w="591" w:type="dxa"/>
            <w:tcBorders>
              <w:top w:val="single" w:sz="4" w:space="0" w:color="auto"/>
              <w:bottom w:val="single" w:sz="4" w:space="0" w:color="auto"/>
            </w:tcBorders>
            <w:noWrap/>
          </w:tcPr>
          <w:p w14:paraId="58DD682D" w14:textId="77777777" w:rsidR="00A71BEB" w:rsidRPr="00860E68" w:rsidRDefault="00A71BEB" w:rsidP="00A71BEB">
            <w:pPr>
              <w:spacing w:line="240" w:lineRule="auto"/>
              <w:jc w:val="center"/>
              <w:rPr>
                <w:b/>
                <w:color w:val="auto"/>
                <w:sz w:val="13"/>
                <w:szCs w:val="13"/>
                <w:lang w:eastAsia="ru-RU"/>
              </w:rPr>
            </w:pPr>
            <w:r w:rsidRPr="00860E68">
              <w:rPr>
                <w:b/>
                <w:color w:val="auto"/>
                <w:sz w:val="13"/>
                <w:szCs w:val="13"/>
                <w:lang w:eastAsia="ru-RU"/>
              </w:rPr>
              <w:t>AP06</w:t>
            </w:r>
          </w:p>
        </w:tc>
        <w:tc>
          <w:tcPr>
            <w:tcW w:w="617" w:type="dxa"/>
            <w:tcBorders>
              <w:top w:val="single" w:sz="4" w:space="0" w:color="auto"/>
              <w:bottom w:val="single" w:sz="4" w:space="0" w:color="auto"/>
            </w:tcBorders>
            <w:noWrap/>
          </w:tcPr>
          <w:p w14:paraId="40F2631D" w14:textId="77777777" w:rsidR="00A71BEB" w:rsidRPr="00860E68" w:rsidRDefault="00A71BEB" w:rsidP="00A71BEB">
            <w:pPr>
              <w:spacing w:line="240" w:lineRule="auto"/>
              <w:jc w:val="center"/>
              <w:rPr>
                <w:b/>
                <w:color w:val="auto"/>
                <w:sz w:val="13"/>
                <w:szCs w:val="13"/>
                <w:lang w:eastAsia="ru-RU"/>
              </w:rPr>
            </w:pPr>
            <w:r w:rsidRPr="00860E68">
              <w:rPr>
                <w:b/>
                <w:color w:val="auto"/>
                <w:sz w:val="13"/>
                <w:szCs w:val="13"/>
                <w:lang w:eastAsia="ru-RU"/>
              </w:rPr>
              <w:t>CL03</w:t>
            </w:r>
          </w:p>
        </w:tc>
        <w:tc>
          <w:tcPr>
            <w:tcW w:w="616" w:type="dxa"/>
            <w:tcBorders>
              <w:top w:val="single" w:sz="4" w:space="0" w:color="auto"/>
              <w:bottom w:val="single" w:sz="4" w:space="0" w:color="auto"/>
            </w:tcBorders>
            <w:noWrap/>
          </w:tcPr>
          <w:p w14:paraId="2DD11512" w14:textId="77777777" w:rsidR="00A71BEB" w:rsidRPr="00860E68" w:rsidRDefault="00A71BEB" w:rsidP="00A71BEB">
            <w:pPr>
              <w:spacing w:line="240" w:lineRule="auto"/>
              <w:jc w:val="center"/>
              <w:rPr>
                <w:b/>
                <w:color w:val="auto"/>
                <w:sz w:val="13"/>
                <w:szCs w:val="13"/>
                <w:lang w:eastAsia="ru-RU"/>
              </w:rPr>
            </w:pPr>
            <w:r w:rsidRPr="00860E68">
              <w:rPr>
                <w:b/>
                <w:color w:val="auto"/>
                <w:sz w:val="13"/>
                <w:szCs w:val="13"/>
                <w:lang w:eastAsia="ru-RU"/>
              </w:rPr>
              <w:t>AP11</w:t>
            </w:r>
          </w:p>
        </w:tc>
        <w:tc>
          <w:tcPr>
            <w:tcW w:w="617" w:type="dxa"/>
            <w:tcBorders>
              <w:top w:val="single" w:sz="4" w:space="0" w:color="auto"/>
              <w:bottom w:val="single" w:sz="4" w:space="0" w:color="auto"/>
            </w:tcBorders>
            <w:noWrap/>
          </w:tcPr>
          <w:p w14:paraId="49221C98" w14:textId="77777777" w:rsidR="00A71BEB" w:rsidRPr="00860E68" w:rsidRDefault="00A71BEB" w:rsidP="00A71BEB">
            <w:pPr>
              <w:spacing w:line="240" w:lineRule="auto"/>
              <w:jc w:val="center"/>
              <w:rPr>
                <w:b/>
                <w:color w:val="auto"/>
                <w:sz w:val="13"/>
                <w:szCs w:val="13"/>
                <w:lang w:eastAsia="ru-RU"/>
              </w:rPr>
            </w:pPr>
            <w:r w:rsidRPr="00860E68">
              <w:rPr>
                <w:b/>
                <w:color w:val="auto"/>
                <w:sz w:val="13"/>
                <w:szCs w:val="13"/>
                <w:lang w:eastAsia="ru-RU"/>
              </w:rPr>
              <w:t>AP04</w:t>
            </w:r>
          </w:p>
        </w:tc>
        <w:tc>
          <w:tcPr>
            <w:tcW w:w="617" w:type="dxa"/>
            <w:tcBorders>
              <w:top w:val="single" w:sz="4" w:space="0" w:color="auto"/>
              <w:bottom w:val="single" w:sz="4" w:space="0" w:color="auto"/>
            </w:tcBorders>
            <w:noWrap/>
          </w:tcPr>
          <w:p w14:paraId="3CAFD0E1" w14:textId="77777777" w:rsidR="00A71BEB" w:rsidRPr="00860E68" w:rsidRDefault="00A71BEB" w:rsidP="00A71BEB">
            <w:pPr>
              <w:spacing w:line="240" w:lineRule="auto"/>
              <w:jc w:val="center"/>
              <w:rPr>
                <w:b/>
                <w:color w:val="auto"/>
                <w:sz w:val="13"/>
                <w:szCs w:val="13"/>
                <w:lang w:eastAsia="ru-RU"/>
              </w:rPr>
            </w:pPr>
            <w:r w:rsidRPr="00860E68">
              <w:rPr>
                <w:b/>
                <w:color w:val="auto"/>
                <w:sz w:val="13"/>
                <w:szCs w:val="13"/>
                <w:lang w:eastAsia="ru-RU"/>
              </w:rPr>
              <w:t>AP08</w:t>
            </w:r>
          </w:p>
        </w:tc>
        <w:tc>
          <w:tcPr>
            <w:tcW w:w="617" w:type="dxa"/>
            <w:tcBorders>
              <w:top w:val="single" w:sz="4" w:space="0" w:color="auto"/>
              <w:bottom w:val="single" w:sz="4" w:space="0" w:color="auto"/>
            </w:tcBorders>
            <w:noWrap/>
          </w:tcPr>
          <w:p w14:paraId="3FED2387" w14:textId="77777777" w:rsidR="00A71BEB" w:rsidRPr="00860E68" w:rsidRDefault="00A71BEB" w:rsidP="00A71BEB">
            <w:pPr>
              <w:spacing w:line="240" w:lineRule="auto"/>
              <w:jc w:val="center"/>
              <w:rPr>
                <w:b/>
                <w:color w:val="auto"/>
                <w:sz w:val="13"/>
                <w:szCs w:val="13"/>
                <w:lang w:eastAsia="ru-RU"/>
              </w:rPr>
            </w:pPr>
            <w:r w:rsidRPr="00860E68">
              <w:rPr>
                <w:b/>
                <w:color w:val="auto"/>
                <w:sz w:val="13"/>
                <w:szCs w:val="13"/>
                <w:lang w:eastAsia="ru-RU"/>
              </w:rPr>
              <w:t>AP12</w:t>
            </w:r>
          </w:p>
        </w:tc>
        <w:tc>
          <w:tcPr>
            <w:tcW w:w="616" w:type="dxa"/>
            <w:tcBorders>
              <w:top w:val="single" w:sz="4" w:space="0" w:color="auto"/>
              <w:bottom w:val="single" w:sz="4" w:space="0" w:color="auto"/>
            </w:tcBorders>
            <w:noWrap/>
          </w:tcPr>
          <w:p w14:paraId="0778B914" w14:textId="77777777" w:rsidR="00A71BEB" w:rsidRPr="00860E68" w:rsidRDefault="00A71BEB" w:rsidP="00A71BEB">
            <w:pPr>
              <w:spacing w:line="240" w:lineRule="auto"/>
              <w:jc w:val="center"/>
              <w:rPr>
                <w:b/>
                <w:color w:val="auto"/>
                <w:sz w:val="13"/>
                <w:szCs w:val="13"/>
                <w:lang w:eastAsia="ru-RU"/>
              </w:rPr>
            </w:pPr>
            <w:r w:rsidRPr="00860E68">
              <w:rPr>
                <w:b/>
                <w:color w:val="auto"/>
                <w:sz w:val="13"/>
                <w:szCs w:val="13"/>
                <w:lang w:eastAsia="ru-RU"/>
              </w:rPr>
              <w:t>AP05</w:t>
            </w:r>
          </w:p>
        </w:tc>
        <w:tc>
          <w:tcPr>
            <w:tcW w:w="546" w:type="dxa"/>
            <w:tcBorders>
              <w:top w:val="single" w:sz="4" w:space="0" w:color="auto"/>
              <w:bottom w:val="single" w:sz="4" w:space="0" w:color="auto"/>
            </w:tcBorders>
            <w:noWrap/>
          </w:tcPr>
          <w:p w14:paraId="3D60EF3C" w14:textId="77777777" w:rsidR="00A71BEB" w:rsidRPr="00860E68" w:rsidRDefault="00A71BEB" w:rsidP="00A71BEB">
            <w:pPr>
              <w:spacing w:line="240" w:lineRule="auto"/>
              <w:jc w:val="center"/>
              <w:rPr>
                <w:b/>
                <w:color w:val="auto"/>
                <w:sz w:val="13"/>
                <w:szCs w:val="13"/>
                <w:lang w:eastAsia="ru-RU"/>
              </w:rPr>
            </w:pPr>
            <w:r w:rsidRPr="00860E68">
              <w:rPr>
                <w:b/>
                <w:color w:val="auto"/>
                <w:sz w:val="13"/>
                <w:szCs w:val="13"/>
                <w:lang w:eastAsia="ru-RU"/>
              </w:rPr>
              <w:t>CL01</w:t>
            </w:r>
          </w:p>
        </w:tc>
        <w:tc>
          <w:tcPr>
            <w:tcW w:w="634" w:type="dxa"/>
            <w:tcBorders>
              <w:top w:val="single" w:sz="4" w:space="0" w:color="auto"/>
              <w:bottom w:val="single" w:sz="4" w:space="0" w:color="auto"/>
            </w:tcBorders>
            <w:noWrap/>
          </w:tcPr>
          <w:p w14:paraId="4AC6A8C3" w14:textId="77777777" w:rsidR="00A71BEB" w:rsidRPr="00860E68" w:rsidRDefault="00A71BEB" w:rsidP="00A71BEB">
            <w:pPr>
              <w:spacing w:line="240" w:lineRule="auto"/>
              <w:jc w:val="center"/>
              <w:rPr>
                <w:b/>
                <w:color w:val="auto"/>
                <w:sz w:val="13"/>
                <w:szCs w:val="13"/>
                <w:lang w:eastAsia="ru-RU"/>
              </w:rPr>
            </w:pPr>
            <w:r w:rsidRPr="00860E68">
              <w:rPr>
                <w:b/>
                <w:color w:val="auto"/>
                <w:sz w:val="13"/>
                <w:szCs w:val="13"/>
                <w:lang w:eastAsia="ru-RU"/>
              </w:rPr>
              <w:t>HU15</w:t>
            </w:r>
          </w:p>
        </w:tc>
      </w:tr>
      <w:tr w:rsidR="00A71BEB" w:rsidRPr="006C4AC1" w14:paraId="4867F931" w14:textId="77777777" w:rsidTr="00225B52">
        <w:trPr>
          <w:trHeight w:val="20"/>
        </w:trPr>
        <w:tc>
          <w:tcPr>
            <w:tcW w:w="897" w:type="dxa"/>
            <w:vMerge/>
            <w:tcBorders>
              <w:bottom w:val="single" w:sz="4" w:space="0" w:color="auto"/>
            </w:tcBorders>
          </w:tcPr>
          <w:p w14:paraId="71878696" w14:textId="77777777" w:rsidR="00A71BEB" w:rsidRPr="006C4AC1" w:rsidRDefault="00A71BEB" w:rsidP="00A71BEB">
            <w:pPr>
              <w:spacing w:line="240" w:lineRule="auto"/>
              <w:jc w:val="center"/>
              <w:rPr>
                <w:b/>
                <w:i/>
                <w:color w:val="auto"/>
                <w:sz w:val="14"/>
                <w:szCs w:val="16"/>
                <w:lang w:eastAsia="ru-RU"/>
              </w:rPr>
            </w:pPr>
          </w:p>
        </w:tc>
        <w:tc>
          <w:tcPr>
            <w:tcW w:w="768" w:type="dxa"/>
            <w:vMerge/>
            <w:tcBorders>
              <w:bottom w:val="single" w:sz="4" w:space="0" w:color="auto"/>
            </w:tcBorders>
            <w:noWrap/>
          </w:tcPr>
          <w:p w14:paraId="774313B6" w14:textId="77777777" w:rsidR="00A71BEB" w:rsidRPr="006C4AC1" w:rsidRDefault="00A71BEB" w:rsidP="00A71BEB">
            <w:pPr>
              <w:spacing w:line="240" w:lineRule="auto"/>
              <w:jc w:val="center"/>
              <w:rPr>
                <w:b/>
                <w:color w:val="auto"/>
                <w:sz w:val="14"/>
                <w:szCs w:val="16"/>
                <w:lang w:eastAsia="ru-RU"/>
              </w:rPr>
            </w:pPr>
          </w:p>
        </w:tc>
        <w:tc>
          <w:tcPr>
            <w:tcW w:w="7359" w:type="dxa"/>
            <w:gridSpan w:val="12"/>
            <w:tcBorders>
              <w:top w:val="single" w:sz="4" w:space="0" w:color="auto"/>
              <w:bottom w:val="single" w:sz="4" w:space="0" w:color="auto"/>
            </w:tcBorders>
            <w:noWrap/>
          </w:tcPr>
          <w:p w14:paraId="63582A9F" w14:textId="77777777" w:rsidR="00A71BEB" w:rsidRPr="006C4AC1" w:rsidRDefault="00A71BEB" w:rsidP="00A71BEB">
            <w:pPr>
              <w:spacing w:line="240" w:lineRule="auto"/>
              <w:jc w:val="center"/>
              <w:rPr>
                <w:color w:val="auto"/>
                <w:sz w:val="14"/>
                <w:szCs w:val="16"/>
                <w:lang w:eastAsia="ru-RU"/>
              </w:rPr>
            </w:pPr>
            <w:r w:rsidRPr="006C4AC1">
              <w:rPr>
                <w:b/>
                <w:bCs/>
                <w:color w:val="auto"/>
                <w:sz w:val="14"/>
                <w:szCs w:val="16"/>
              </w:rPr>
              <w:t xml:space="preserve">Percentage of infected artificial wounds (PIW) on grape berries </w:t>
            </w:r>
            <w:r w:rsidRPr="006C4AC1">
              <w:rPr>
                <w:b/>
                <w:bCs/>
                <w:color w:val="auto"/>
                <w:sz w:val="14"/>
                <w:szCs w:val="16"/>
                <w:vertAlign w:val="superscript"/>
              </w:rPr>
              <w:t>§</w:t>
            </w:r>
          </w:p>
        </w:tc>
      </w:tr>
      <w:tr w:rsidR="00A71BEB" w:rsidRPr="006C4AC1" w14:paraId="61575299" w14:textId="77777777" w:rsidTr="00225B52">
        <w:trPr>
          <w:trHeight w:val="20"/>
        </w:trPr>
        <w:tc>
          <w:tcPr>
            <w:tcW w:w="897" w:type="dxa"/>
            <w:tcBorders>
              <w:top w:val="single" w:sz="4" w:space="0" w:color="auto"/>
              <w:bottom w:val="single" w:sz="4" w:space="0" w:color="auto"/>
            </w:tcBorders>
          </w:tcPr>
          <w:p w14:paraId="57CFA810" w14:textId="77777777" w:rsidR="00A71BEB" w:rsidRPr="006C4AC1" w:rsidRDefault="00A71BEB" w:rsidP="00A71BEB">
            <w:pPr>
              <w:spacing w:line="240" w:lineRule="auto"/>
              <w:jc w:val="center"/>
              <w:rPr>
                <w:b/>
                <w:i/>
                <w:color w:val="auto"/>
                <w:sz w:val="14"/>
                <w:szCs w:val="16"/>
                <w:lang w:eastAsia="ru-RU"/>
              </w:rPr>
            </w:pPr>
          </w:p>
        </w:tc>
        <w:tc>
          <w:tcPr>
            <w:tcW w:w="768" w:type="dxa"/>
            <w:tcBorders>
              <w:top w:val="single" w:sz="4" w:space="0" w:color="auto"/>
              <w:bottom w:val="single" w:sz="4" w:space="0" w:color="auto"/>
            </w:tcBorders>
            <w:noWrap/>
          </w:tcPr>
          <w:p w14:paraId="546F50CB" w14:textId="77777777" w:rsidR="00A71BEB" w:rsidRPr="006C4AC1" w:rsidRDefault="00A71BEB" w:rsidP="00A71BEB">
            <w:pPr>
              <w:spacing w:line="240" w:lineRule="auto"/>
              <w:jc w:val="center"/>
              <w:rPr>
                <w:b/>
                <w:color w:val="auto"/>
                <w:sz w:val="14"/>
                <w:szCs w:val="16"/>
                <w:lang w:eastAsia="ru-RU"/>
              </w:rPr>
            </w:pPr>
          </w:p>
        </w:tc>
        <w:tc>
          <w:tcPr>
            <w:tcW w:w="748" w:type="dxa"/>
            <w:tcBorders>
              <w:top w:val="single" w:sz="4" w:space="0" w:color="auto"/>
              <w:bottom w:val="single" w:sz="4" w:space="0" w:color="auto"/>
            </w:tcBorders>
            <w:noWrap/>
          </w:tcPr>
          <w:p w14:paraId="4D7B5390" w14:textId="77777777" w:rsidR="00A71BEB" w:rsidRPr="006C4AC1" w:rsidRDefault="00A71BEB" w:rsidP="00A71BEB">
            <w:pPr>
              <w:spacing w:line="240" w:lineRule="auto"/>
              <w:jc w:val="center"/>
              <w:rPr>
                <w:color w:val="auto"/>
                <w:sz w:val="14"/>
                <w:szCs w:val="16"/>
                <w:lang w:eastAsia="ru-RU"/>
              </w:rPr>
            </w:pPr>
            <w:r w:rsidRPr="006C4AC1">
              <w:rPr>
                <w:b/>
                <w:bCs/>
                <w:color w:val="auto"/>
                <w:sz w:val="14"/>
                <w:szCs w:val="16"/>
              </w:rPr>
              <w:t>PIWC</w:t>
            </w:r>
          </w:p>
        </w:tc>
        <w:tc>
          <w:tcPr>
            <w:tcW w:w="6611" w:type="dxa"/>
            <w:gridSpan w:val="11"/>
            <w:tcBorders>
              <w:top w:val="single" w:sz="4" w:space="0" w:color="auto"/>
              <w:bottom w:val="single" w:sz="4" w:space="0" w:color="auto"/>
            </w:tcBorders>
            <w:noWrap/>
          </w:tcPr>
          <w:p w14:paraId="0F4190A9" w14:textId="77777777" w:rsidR="00A71BEB" w:rsidRPr="006C4AC1" w:rsidRDefault="00A71BEB" w:rsidP="00A71BEB">
            <w:pPr>
              <w:spacing w:line="240" w:lineRule="auto"/>
              <w:jc w:val="center"/>
              <w:rPr>
                <w:color w:val="auto"/>
                <w:sz w:val="14"/>
                <w:szCs w:val="16"/>
                <w:lang w:eastAsia="ru-RU"/>
              </w:rPr>
            </w:pPr>
            <w:r w:rsidRPr="006C4AC1">
              <w:rPr>
                <w:b/>
                <w:bCs/>
                <w:color w:val="auto"/>
                <w:sz w:val="14"/>
                <w:szCs w:val="16"/>
              </w:rPr>
              <w:t>PIWS</w:t>
            </w:r>
          </w:p>
        </w:tc>
      </w:tr>
      <w:tr w:rsidR="00860E68" w:rsidRPr="006C4AC1" w14:paraId="4F95FB48" w14:textId="77777777" w:rsidTr="00225B52">
        <w:trPr>
          <w:trHeight w:val="20"/>
        </w:trPr>
        <w:tc>
          <w:tcPr>
            <w:tcW w:w="897" w:type="dxa"/>
            <w:vMerge w:val="restart"/>
            <w:tcBorders>
              <w:top w:val="single" w:sz="4" w:space="0" w:color="auto"/>
            </w:tcBorders>
          </w:tcPr>
          <w:p w14:paraId="6E08A20D" w14:textId="77777777" w:rsidR="00A71BEB" w:rsidRPr="006C4AC1" w:rsidRDefault="00A71BEB" w:rsidP="00A71BEB">
            <w:pPr>
              <w:spacing w:line="240" w:lineRule="auto"/>
              <w:jc w:val="center"/>
              <w:rPr>
                <w:b/>
                <w:i/>
                <w:color w:val="auto"/>
                <w:sz w:val="14"/>
                <w:szCs w:val="16"/>
                <w:lang w:eastAsia="ru-RU"/>
              </w:rPr>
            </w:pPr>
            <w:r w:rsidRPr="006C4AC1">
              <w:rPr>
                <w:b/>
                <w:i/>
                <w:color w:val="auto"/>
                <w:sz w:val="14"/>
                <w:szCs w:val="16"/>
                <w:lang w:eastAsia="ru-RU"/>
              </w:rPr>
              <w:t>B.cinerea</w:t>
            </w:r>
          </w:p>
          <w:p w14:paraId="5C3DD132" w14:textId="77777777" w:rsidR="00A71BEB" w:rsidRPr="006C4AC1" w:rsidRDefault="00A71BEB" w:rsidP="00A71BEB">
            <w:pPr>
              <w:spacing w:line="240" w:lineRule="auto"/>
              <w:jc w:val="center"/>
              <w:rPr>
                <w:b/>
                <w:i/>
                <w:color w:val="auto"/>
                <w:sz w:val="14"/>
                <w:szCs w:val="16"/>
                <w:lang w:eastAsia="ru-RU"/>
              </w:rPr>
            </w:pPr>
            <w:r w:rsidRPr="006C4AC1">
              <w:rPr>
                <w:color w:val="auto"/>
                <w:sz w:val="14"/>
                <w:szCs w:val="16"/>
              </w:rPr>
              <w:t>F-RKM 1032</w:t>
            </w:r>
          </w:p>
        </w:tc>
        <w:tc>
          <w:tcPr>
            <w:tcW w:w="768" w:type="dxa"/>
            <w:tcBorders>
              <w:top w:val="single" w:sz="4" w:space="0" w:color="auto"/>
              <w:bottom w:val="single" w:sz="4" w:space="0" w:color="auto"/>
            </w:tcBorders>
            <w:noWrap/>
            <w:hideMark/>
          </w:tcPr>
          <w:p w14:paraId="4A8F4A66" w14:textId="77777777" w:rsidR="00A71BEB" w:rsidRPr="006C4AC1" w:rsidRDefault="00A71BEB" w:rsidP="00A71BEB">
            <w:pPr>
              <w:spacing w:line="240" w:lineRule="auto"/>
              <w:jc w:val="center"/>
              <w:rPr>
                <w:b/>
                <w:color w:val="auto"/>
                <w:sz w:val="14"/>
                <w:szCs w:val="16"/>
                <w:vertAlign w:val="superscript"/>
                <w:lang w:eastAsia="ru-RU"/>
              </w:rPr>
            </w:pPr>
            <w:r w:rsidRPr="006C4AC1">
              <w:rPr>
                <w:b/>
                <w:color w:val="auto"/>
                <w:sz w:val="14"/>
                <w:szCs w:val="16"/>
                <w:lang w:eastAsia="ru-RU"/>
              </w:rPr>
              <w:t>Mean</w:t>
            </w:r>
            <w:r w:rsidRPr="006C4AC1">
              <w:rPr>
                <w:b/>
                <w:color w:val="auto"/>
                <w:sz w:val="14"/>
                <w:szCs w:val="16"/>
                <w:vertAlign w:val="subscript"/>
                <w:lang w:eastAsia="ru-RU"/>
              </w:rPr>
              <w:t xml:space="preserve">cin </w:t>
            </w:r>
            <w:r w:rsidRPr="006C4AC1">
              <w:rPr>
                <w:b/>
                <w:i/>
                <w:color w:val="auto"/>
                <w:sz w:val="14"/>
                <w:szCs w:val="16"/>
                <w:vertAlign w:val="superscript"/>
                <w:lang w:val="kk-KZ"/>
              </w:rPr>
              <w:t>§</w:t>
            </w:r>
          </w:p>
        </w:tc>
        <w:tc>
          <w:tcPr>
            <w:tcW w:w="748" w:type="dxa"/>
            <w:tcBorders>
              <w:top w:val="single" w:sz="4" w:space="0" w:color="auto"/>
              <w:bottom w:val="single" w:sz="4" w:space="0" w:color="auto"/>
            </w:tcBorders>
            <w:noWrap/>
            <w:hideMark/>
          </w:tcPr>
          <w:p w14:paraId="7625FFB8"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68,81</w:t>
            </w:r>
          </w:p>
        </w:tc>
        <w:tc>
          <w:tcPr>
            <w:tcW w:w="602" w:type="dxa"/>
            <w:tcBorders>
              <w:top w:val="single" w:sz="4" w:space="0" w:color="auto"/>
              <w:bottom w:val="single" w:sz="4" w:space="0" w:color="auto"/>
            </w:tcBorders>
            <w:noWrap/>
            <w:hideMark/>
          </w:tcPr>
          <w:p w14:paraId="2AD03FCA"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15,50</w:t>
            </w:r>
          </w:p>
        </w:tc>
        <w:tc>
          <w:tcPr>
            <w:tcW w:w="538" w:type="dxa"/>
            <w:tcBorders>
              <w:top w:val="single" w:sz="4" w:space="0" w:color="auto"/>
              <w:bottom w:val="single" w:sz="4" w:space="0" w:color="auto"/>
            </w:tcBorders>
            <w:noWrap/>
            <w:hideMark/>
          </w:tcPr>
          <w:p w14:paraId="122BEB4C"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19,51</w:t>
            </w:r>
          </w:p>
        </w:tc>
        <w:tc>
          <w:tcPr>
            <w:tcW w:w="591" w:type="dxa"/>
            <w:tcBorders>
              <w:top w:val="single" w:sz="4" w:space="0" w:color="auto"/>
              <w:bottom w:val="single" w:sz="4" w:space="0" w:color="auto"/>
            </w:tcBorders>
            <w:noWrap/>
            <w:hideMark/>
          </w:tcPr>
          <w:p w14:paraId="39EE7DF4"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58,35</w:t>
            </w:r>
          </w:p>
        </w:tc>
        <w:tc>
          <w:tcPr>
            <w:tcW w:w="617" w:type="dxa"/>
            <w:tcBorders>
              <w:top w:val="single" w:sz="4" w:space="0" w:color="auto"/>
              <w:bottom w:val="single" w:sz="4" w:space="0" w:color="auto"/>
            </w:tcBorders>
            <w:noWrap/>
            <w:hideMark/>
          </w:tcPr>
          <w:p w14:paraId="0D62CE17"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24,04</w:t>
            </w:r>
          </w:p>
        </w:tc>
        <w:tc>
          <w:tcPr>
            <w:tcW w:w="616" w:type="dxa"/>
            <w:tcBorders>
              <w:top w:val="single" w:sz="4" w:space="0" w:color="auto"/>
              <w:bottom w:val="single" w:sz="4" w:space="0" w:color="auto"/>
            </w:tcBorders>
            <w:noWrap/>
            <w:hideMark/>
          </w:tcPr>
          <w:p w14:paraId="2288F0AB"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18,28</w:t>
            </w:r>
          </w:p>
        </w:tc>
        <w:tc>
          <w:tcPr>
            <w:tcW w:w="617" w:type="dxa"/>
            <w:tcBorders>
              <w:top w:val="single" w:sz="4" w:space="0" w:color="auto"/>
              <w:bottom w:val="single" w:sz="4" w:space="0" w:color="auto"/>
            </w:tcBorders>
            <w:noWrap/>
            <w:hideMark/>
          </w:tcPr>
          <w:p w14:paraId="7A859F51"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60,35</w:t>
            </w:r>
          </w:p>
        </w:tc>
        <w:tc>
          <w:tcPr>
            <w:tcW w:w="617" w:type="dxa"/>
            <w:tcBorders>
              <w:top w:val="single" w:sz="4" w:space="0" w:color="auto"/>
              <w:bottom w:val="single" w:sz="4" w:space="0" w:color="auto"/>
            </w:tcBorders>
            <w:noWrap/>
            <w:hideMark/>
          </w:tcPr>
          <w:p w14:paraId="733DE667"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59,98</w:t>
            </w:r>
          </w:p>
        </w:tc>
        <w:tc>
          <w:tcPr>
            <w:tcW w:w="617" w:type="dxa"/>
            <w:tcBorders>
              <w:top w:val="single" w:sz="4" w:space="0" w:color="auto"/>
              <w:bottom w:val="single" w:sz="4" w:space="0" w:color="auto"/>
            </w:tcBorders>
            <w:noWrap/>
            <w:hideMark/>
          </w:tcPr>
          <w:p w14:paraId="28BCE08D"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53,80</w:t>
            </w:r>
          </w:p>
        </w:tc>
        <w:tc>
          <w:tcPr>
            <w:tcW w:w="616" w:type="dxa"/>
            <w:tcBorders>
              <w:top w:val="single" w:sz="4" w:space="0" w:color="auto"/>
              <w:bottom w:val="single" w:sz="4" w:space="0" w:color="auto"/>
            </w:tcBorders>
            <w:noWrap/>
            <w:hideMark/>
          </w:tcPr>
          <w:p w14:paraId="70FF40AF"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59,36</w:t>
            </w:r>
          </w:p>
        </w:tc>
        <w:tc>
          <w:tcPr>
            <w:tcW w:w="546" w:type="dxa"/>
            <w:tcBorders>
              <w:top w:val="single" w:sz="4" w:space="0" w:color="auto"/>
              <w:bottom w:val="single" w:sz="4" w:space="0" w:color="auto"/>
            </w:tcBorders>
            <w:noWrap/>
            <w:hideMark/>
          </w:tcPr>
          <w:p w14:paraId="0B617403"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51,1</w:t>
            </w:r>
          </w:p>
        </w:tc>
        <w:tc>
          <w:tcPr>
            <w:tcW w:w="634" w:type="dxa"/>
            <w:tcBorders>
              <w:top w:val="single" w:sz="4" w:space="0" w:color="auto"/>
              <w:bottom w:val="single" w:sz="4" w:space="0" w:color="auto"/>
            </w:tcBorders>
            <w:noWrap/>
            <w:hideMark/>
          </w:tcPr>
          <w:p w14:paraId="34AC4313"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14,75</w:t>
            </w:r>
          </w:p>
        </w:tc>
      </w:tr>
      <w:tr w:rsidR="00860E68" w:rsidRPr="006C4AC1" w14:paraId="198F0816" w14:textId="77777777" w:rsidTr="00225B52">
        <w:trPr>
          <w:trHeight w:val="20"/>
        </w:trPr>
        <w:tc>
          <w:tcPr>
            <w:tcW w:w="897" w:type="dxa"/>
            <w:vMerge/>
            <w:tcBorders>
              <w:bottom w:val="single" w:sz="4" w:space="0" w:color="auto"/>
            </w:tcBorders>
          </w:tcPr>
          <w:p w14:paraId="47D5C8A8" w14:textId="77777777" w:rsidR="00A71BEB" w:rsidRPr="006C4AC1" w:rsidRDefault="00A71BEB" w:rsidP="00A71BEB">
            <w:pPr>
              <w:spacing w:line="240" w:lineRule="auto"/>
              <w:jc w:val="center"/>
              <w:rPr>
                <w:b/>
                <w:color w:val="auto"/>
                <w:sz w:val="14"/>
                <w:szCs w:val="16"/>
                <w:lang w:eastAsia="ru-RU"/>
              </w:rPr>
            </w:pPr>
          </w:p>
        </w:tc>
        <w:tc>
          <w:tcPr>
            <w:tcW w:w="768" w:type="dxa"/>
            <w:tcBorders>
              <w:top w:val="single" w:sz="4" w:space="0" w:color="auto"/>
              <w:bottom w:val="single" w:sz="4" w:space="0" w:color="auto"/>
            </w:tcBorders>
            <w:noWrap/>
          </w:tcPr>
          <w:p w14:paraId="6F7FA427" w14:textId="77777777" w:rsidR="00A71BEB" w:rsidRPr="006C4AC1" w:rsidRDefault="00A71BEB" w:rsidP="00A71BEB">
            <w:pPr>
              <w:spacing w:line="240" w:lineRule="auto"/>
              <w:jc w:val="center"/>
              <w:rPr>
                <w:b/>
                <w:color w:val="auto"/>
                <w:sz w:val="14"/>
                <w:szCs w:val="16"/>
                <w:lang w:eastAsia="ru-RU"/>
              </w:rPr>
            </w:pPr>
            <w:r w:rsidRPr="006C4AC1">
              <w:rPr>
                <w:b/>
                <w:color w:val="auto"/>
                <w:sz w:val="14"/>
                <w:szCs w:val="16"/>
                <w:lang w:eastAsia="ru-RU"/>
              </w:rPr>
              <w:t xml:space="preserve">Groups </w:t>
            </w:r>
            <w:r w:rsidRPr="006C4AC1">
              <w:rPr>
                <w:b/>
                <w:color w:val="auto"/>
                <w:sz w:val="14"/>
                <w:szCs w:val="16"/>
                <w:vertAlign w:val="superscript"/>
                <w:lang w:eastAsia="ru-RU"/>
              </w:rPr>
              <w:t>¥</w:t>
            </w:r>
          </w:p>
        </w:tc>
        <w:tc>
          <w:tcPr>
            <w:tcW w:w="748" w:type="dxa"/>
            <w:tcBorders>
              <w:top w:val="single" w:sz="4" w:space="0" w:color="auto"/>
              <w:bottom w:val="single" w:sz="4" w:space="0" w:color="auto"/>
            </w:tcBorders>
            <w:noWrap/>
          </w:tcPr>
          <w:p w14:paraId="0EC9652E" w14:textId="77777777" w:rsidR="00A71BEB" w:rsidRPr="006C4AC1" w:rsidRDefault="00A71BEB" w:rsidP="00A71BEB">
            <w:pPr>
              <w:spacing w:line="240" w:lineRule="auto"/>
              <w:jc w:val="center"/>
              <w:rPr>
                <w:color w:val="auto"/>
                <w:sz w:val="14"/>
                <w:szCs w:val="16"/>
                <w:lang w:eastAsia="ru-RU"/>
              </w:rPr>
            </w:pPr>
          </w:p>
        </w:tc>
        <w:tc>
          <w:tcPr>
            <w:tcW w:w="602" w:type="dxa"/>
            <w:tcBorders>
              <w:top w:val="single" w:sz="4" w:space="0" w:color="auto"/>
              <w:bottom w:val="single" w:sz="4" w:space="0" w:color="auto"/>
            </w:tcBorders>
            <w:noWrap/>
          </w:tcPr>
          <w:p w14:paraId="5F3B56AC"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A</w:t>
            </w:r>
          </w:p>
        </w:tc>
        <w:tc>
          <w:tcPr>
            <w:tcW w:w="538" w:type="dxa"/>
            <w:tcBorders>
              <w:top w:val="single" w:sz="4" w:space="0" w:color="auto"/>
              <w:bottom w:val="single" w:sz="4" w:space="0" w:color="auto"/>
            </w:tcBorders>
            <w:noWrap/>
          </w:tcPr>
          <w:p w14:paraId="0278F0D6"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B</w:t>
            </w:r>
          </w:p>
        </w:tc>
        <w:tc>
          <w:tcPr>
            <w:tcW w:w="591" w:type="dxa"/>
            <w:tcBorders>
              <w:top w:val="single" w:sz="4" w:space="0" w:color="auto"/>
              <w:bottom w:val="single" w:sz="4" w:space="0" w:color="auto"/>
            </w:tcBorders>
            <w:noWrap/>
          </w:tcPr>
          <w:p w14:paraId="74BBE7E1"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D</w:t>
            </w:r>
          </w:p>
        </w:tc>
        <w:tc>
          <w:tcPr>
            <w:tcW w:w="617" w:type="dxa"/>
            <w:tcBorders>
              <w:top w:val="single" w:sz="4" w:space="0" w:color="auto"/>
              <w:bottom w:val="single" w:sz="4" w:space="0" w:color="auto"/>
            </w:tcBorders>
            <w:noWrap/>
          </w:tcPr>
          <w:p w14:paraId="67BB8E09"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B</w:t>
            </w:r>
          </w:p>
        </w:tc>
        <w:tc>
          <w:tcPr>
            <w:tcW w:w="616" w:type="dxa"/>
            <w:tcBorders>
              <w:top w:val="single" w:sz="4" w:space="0" w:color="auto"/>
              <w:bottom w:val="single" w:sz="4" w:space="0" w:color="auto"/>
            </w:tcBorders>
            <w:noWrap/>
          </w:tcPr>
          <w:p w14:paraId="2144E462"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B</w:t>
            </w:r>
          </w:p>
        </w:tc>
        <w:tc>
          <w:tcPr>
            <w:tcW w:w="617" w:type="dxa"/>
            <w:tcBorders>
              <w:top w:val="single" w:sz="4" w:space="0" w:color="auto"/>
              <w:bottom w:val="single" w:sz="4" w:space="0" w:color="auto"/>
            </w:tcBorders>
            <w:noWrap/>
          </w:tcPr>
          <w:p w14:paraId="6AFA59C4"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D</w:t>
            </w:r>
          </w:p>
        </w:tc>
        <w:tc>
          <w:tcPr>
            <w:tcW w:w="617" w:type="dxa"/>
            <w:tcBorders>
              <w:top w:val="single" w:sz="4" w:space="0" w:color="auto"/>
              <w:bottom w:val="single" w:sz="4" w:space="0" w:color="auto"/>
            </w:tcBorders>
            <w:noWrap/>
          </w:tcPr>
          <w:p w14:paraId="2152B010"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D</w:t>
            </w:r>
          </w:p>
        </w:tc>
        <w:tc>
          <w:tcPr>
            <w:tcW w:w="617" w:type="dxa"/>
            <w:tcBorders>
              <w:top w:val="single" w:sz="4" w:space="0" w:color="auto"/>
              <w:bottom w:val="single" w:sz="4" w:space="0" w:color="auto"/>
            </w:tcBorders>
            <w:noWrap/>
          </w:tcPr>
          <w:p w14:paraId="7C391307"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C</w:t>
            </w:r>
          </w:p>
        </w:tc>
        <w:tc>
          <w:tcPr>
            <w:tcW w:w="616" w:type="dxa"/>
            <w:tcBorders>
              <w:top w:val="single" w:sz="4" w:space="0" w:color="auto"/>
              <w:bottom w:val="single" w:sz="4" w:space="0" w:color="auto"/>
            </w:tcBorders>
            <w:noWrap/>
          </w:tcPr>
          <w:p w14:paraId="349BDCBE"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C</w:t>
            </w:r>
          </w:p>
        </w:tc>
        <w:tc>
          <w:tcPr>
            <w:tcW w:w="546" w:type="dxa"/>
            <w:tcBorders>
              <w:top w:val="single" w:sz="4" w:space="0" w:color="auto"/>
              <w:bottom w:val="single" w:sz="4" w:space="0" w:color="auto"/>
            </w:tcBorders>
            <w:noWrap/>
          </w:tcPr>
          <w:p w14:paraId="5A703FC3"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C</w:t>
            </w:r>
          </w:p>
        </w:tc>
        <w:tc>
          <w:tcPr>
            <w:tcW w:w="634" w:type="dxa"/>
            <w:tcBorders>
              <w:top w:val="single" w:sz="4" w:space="0" w:color="auto"/>
              <w:bottom w:val="single" w:sz="4" w:space="0" w:color="auto"/>
            </w:tcBorders>
            <w:noWrap/>
          </w:tcPr>
          <w:p w14:paraId="1F4AF468"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A</w:t>
            </w:r>
          </w:p>
        </w:tc>
      </w:tr>
      <w:tr w:rsidR="00860E68" w:rsidRPr="006C4AC1" w14:paraId="1EE71A71" w14:textId="77777777" w:rsidTr="00225B52">
        <w:trPr>
          <w:trHeight w:val="20"/>
        </w:trPr>
        <w:tc>
          <w:tcPr>
            <w:tcW w:w="897" w:type="dxa"/>
            <w:vMerge w:val="restart"/>
            <w:tcBorders>
              <w:top w:val="single" w:sz="4" w:space="0" w:color="auto"/>
            </w:tcBorders>
          </w:tcPr>
          <w:p w14:paraId="1F35E05A" w14:textId="77777777" w:rsidR="00A71BEB" w:rsidRPr="006C4AC1" w:rsidRDefault="00A71BEB" w:rsidP="00A71BEB">
            <w:pPr>
              <w:spacing w:line="240" w:lineRule="auto"/>
              <w:jc w:val="center"/>
              <w:rPr>
                <w:b/>
                <w:i/>
                <w:color w:val="auto"/>
                <w:sz w:val="14"/>
                <w:szCs w:val="16"/>
                <w:lang w:eastAsia="ru-RU"/>
              </w:rPr>
            </w:pPr>
            <w:r w:rsidRPr="006C4AC1">
              <w:rPr>
                <w:b/>
                <w:i/>
                <w:color w:val="auto"/>
                <w:sz w:val="14"/>
                <w:szCs w:val="16"/>
                <w:lang w:eastAsia="ru-RU"/>
              </w:rPr>
              <w:t>A.niger</w:t>
            </w:r>
          </w:p>
          <w:p w14:paraId="70ECA48D" w14:textId="77777777" w:rsidR="00A71BEB" w:rsidRPr="006C4AC1" w:rsidRDefault="00A71BEB" w:rsidP="00A71BEB">
            <w:pPr>
              <w:spacing w:line="240" w:lineRule="auto"/>
              <w:jc w:val="center"/>
              <w:rPr>
                <w:b/>
                <w:i/>
                <w:color w:val="auto"/>
                <w:sz w:val="14"/>
                <w:szCs w:val="16"/>
                <w:lang w:eastAsia="ru-RU"/>
              </w:rPr>
            </w:pPr>
            <w:r w:rsidRPr="006C4AC1">
              <w:rPr>
                <w:color w:val="auto"/>
                <w:sz w:val="14"/>
                <w:szCs w:val="16"/>
              </w:rPr>
              <w:t>ATCC 6275</w:t>
            </w:r>
          </w:p>
        </w:tc>
        <w:tc>
          <w:tcPr>
            <w:tcW w:w="768" w:type="dxa"/>
            <w:tcBorders>
              <w:top w:val="single" w:sz="4" w:space="0" w:color="auto"/>
              <w:bottom w:val="single" w:sz="4" w:space="0" w:color="auto"/>
            </w:tcBorders>
            <w:noWrap/>
            <w:hideMark/>
          </w:tcPr>
          <w:p w14:paraId="4171967B" w14:textId="77777777" w:rsidR="00A71BEB" w:rsidRPr="006C4AC1" w:rsidRDefault="00A71BEB" w:rsidP="00A71BEB">
            <w:pPr>
              <w:spacing w:line="240" w:lineRule="auto"/>
              <w:jc w:val="center"/>
              <w:rPr>
                <w:b/>
                <w:color w:val="auto"/>
                <w:sz w:val="14"/>
                <w:szCs w:val="16"/>
                <w:vertAlign w:val="subscript"/>
                <w:lang w:eastAsia="ru-RU"/>
              </w:rPr>
            </w:pPr>
            <w:r w:rsidRPr="006C4AC1">
              <w:rPr>
                <w:b/>
                <w:color w:val="auto"/>
                <w:sz w:val="14"/>
                <w:szCs w:val="16"/>
                <w:lang w:eastAsia="ru-RU"/>
              </w:rPr>
              <w:t>Meaning</w:t>
            </w:r>
            <w:r w:rsidRPr="006C4AC1">
              <w:rPr>
                <w:b/>
                <w:color w:val="auto"/>
                <w:sz w:val="14"/>
                <w:szCs w:val="16"/>
                <w:vertAlign w:val="subscript"/>
                <w:lang w:eastAsia="ru-RU"/>
              </w:rPr>
              <w:t xml:space="preserve"> </w:t>
            </w:r>
            <w:r w:rsidRPr="006C4AC1">
              <w:rPr>
                <w:b/>
                <w:i/>
                <w:color w:val="auto"/>
                <w:sz w:val="14"/>
                <w:szCs w:val="16"/>
                <w:vertAlign w:val="superscript"/>
                <w:lang w:val="kk-KZ"/>
              </w:rPr>
              <w:t>§</w:t>
            </w:r>
          </w:p>
        </w:tc>
        <w:tc>
          <w:tcPr>
            <w:tcW w:w="748" w:type="dxa"/>
            <w:tcBorders>
              <w:top w:val="single" w:sz="4" w:space="0" w:color="auto"/>
              <w:bottom w:val="single" w:sz="4" w:space="0" w:color="auto"/>
            </w:tcBorders>
            <w:noWrap/>
            <w:hideMark/>
          </w:tcPr>
          <w:p w14:paraId="3DA6BDD5"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82,29</w:t>
            </w:r>
          </w:p>
        </w:tc>
        <w:tc>
          <w:tcPr>
            <w:tcW w:w="602" w:type="dxa"/>
            <w:tcBorders>
              <w:top w:val="single" w:sz="4" w:space="0" w:color="auto"/>
              <w:bottom w:val="single" w:sz="4" w:space="0" w:color="auto"/>
            </w:tcBorders>
            <w:noWrap/>
            <w:hideMark/>
          </w:tcPr>
          <w:p w14:paraId="40CD635B"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18,3</w:t>
            </w:r>
          </w:p>
        </w:tc>
        <w:tc>
          <w:tcPr>
            <w:tcW w:w="538" w:type="dxa"/>
            <w:tcBorders>
              <w:top w:val="single" w:sz="4" w:space="0" w:color="auto"/>
              <w:bottom w:val="single" w:sz="4" w:space="0" w:color="auto"/>
            </w:tcBorders>
            <w:noWrap/>
            <w:hideMark/>
          </w:tcPr>
          <w:p w14:paraId="22695EC5"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24,24</w:t>
            </w:r>
          </w:p>
        </w:tc>
        <w:tc>
          <w:tcPr>
            <w:tcW w:w="591" w:type="dxa"/>
            <w:tcBorders>
              <w:top w:val="single" w:sz="4" w:space="0" w:color="auto"/>
              <w:bottom w:val="single" w:sz="4" w:space="0" w:color="auto"/>
            </w:tcBorders>
            <w:noWrap/>
            <w:hideMark/>
          </w:tcPr>
          <w:p w14:paraId="3F6574B2"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63,28</w:t>
            </w:r>
          </w:p>
        </w:tc>
        <w:tc>
          <w:tcPr>
            <w:tcW w:w="617" w:type="dxa"/>
            <w:tcBorders>
              <w:top w:val="single" w:sz="4" w:space="0" w:color="auto"/>
              <w:bottom w:val="single" w:sz="4" w:space="0" w:color="auto"/>
            </w:tcBorders>
            <w:noWrap/>
            <w:hideMark/>
          </w:tcPr>
          <w:p w14:paraId="323AB54B"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35,42</w:t>
            </w:r>
          </w:p>
        </w:tc>
        <w:tc>
          <w:tcPr>
            <w:tcW w:w="616" w:type="dxa"/>
            <w:tcBorders>
              <w:top w:val="single" w:sz="4" w:space="0" w:color="auto"/>
              <w:bottom w:val="single" w:sz="4" w:space="0" w:color="auto"/>
            </w:tcBorders>
            <w:noWrap/>
            <w:hideMark/>
          </w:tcPr>
          <w:p w14:paraId="1149D5EA"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30,09</w:t>
            </w:r>
          </w:p>
        </w:tc>
        <w:tc>
          <w:tcPr>
            <w:tcW w:w="617" w:type="dxa"/>
            <w:tcBorders>
              <w:top w:val="single" w:sz="4" w:space="0" w:color="auto"/>
              <w:bottom w:val="single" w:sz="4" w:space="0" w:color="auto"/>
            </w:tcBorders>
            <w:noWrap/>
            <w:hideMark/>
          </w:tcPr>
          <w:p w14:paraId="58A0396A"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60,49</w:t>
            </w:r>
          </w:p>
        </w:tc>
        <w:tc>
          <w:tcPr>
            <w:tcW w:w="617" w:type="dxa"/>
            <w:tcBorders>
              <w:top w:val="single" w:sz="4" w:space="0" w:color="auto"/>
              <w:bottom w:val="single" w:sz="4" w:space="0" w:color="auto"/>
            </w:tcBorders>
            <w:noWrap/>
            <w:hideMark/>
          </w:tcPr>
          <w:p w14:paraId="15C77552"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60,24</w:t>
            </w:r>
          </w:p>
        </w:tc>
        <w:tc>
          <w:tcPr>
            <w:tcW w:w="617" w:type="dxa"/>
            <w:tcBorders>
              <w:top w:val="single" w:sz="4" w:space="0" w:color="auto"/>
              <w:bottom w:val="single" w:sz="4" w:space="0" w:color="auto"/>
            </w:tcBorders>
            <w:noWrap/>
            <w:hideMark/>
          </w:tcPr>
          <w:p w14:paraId="1FEC8E27"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51,13</w:t>
            </w:r>
          </w:p>
        </w:tc>
        <w:tc>
          <w:tcPr>
            <w:tcW w:w="616" w:type="dxa"/>
            <w:tcBorders>
              <w:top w:val="single" w:sz="4" w:space="0" w:color="auto"/>
              <w:bottom w:val="single" w:sz="4" w:space="0" w:color="auto"/>
            </w:tcBorders>
            <w:noWrap/>
            <w:hideMark/>
          </w:tcPr>
          <w:p w14:paraId="51162CF5"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59,30</w:t>
            </w:r>
          </w:p>
        </w:tc>
        <w:tc>
          <w:tcPr>
            <w:tcW w:w="546" w:type="dxa"/>
            <w:tcBorders>
              <w:top w:val="single" w:sz="4" w:space="0" w:color="auto"/>
              <w:bottom w:val="single" w:sz="4" w:space="0" w:color="auto"/>
            </w:tcBorders>
            <w:noWrap/>
            <w:hideMark/>
          </w:tcPr>
          <w:p w14:paraId="5AC79515"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63,38</w:t>
            </w:r>
          </w:p>
        </w:tc>
        <w:tc>
          <w:tcPr>
            <w:tcW w:w="634" w:type="dxa"/>
            <w:tcBorders>
              <w:top w:val="single" w:sz="4" w:space="0" w:color="auto"/>
              <w:bottom w:val="single" w:sz="4" w:space="0" w:color="auto"/>
            </w:tcBorders>
            <w:noWrap/>
            <w:hideMark/>
          </w:tcPr>
          <w:p w14:paraId="35AF3DEA"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23,58</w:t>
            </w:r>
          </w:p>
        </w:tc>
      </w:tr>
      <w:tr w:rsidR="00860E68" w:rsidRPr="006C4AC1" w14:paraId="7E42AB55" w14:textId="77777777" w:rsidTr="00225B52">
        <w:trPr>
          <w:trHeight w:val="20"/>
        </w:trPr>
        <w:tc>
          <w:tcPr>
            <w:tcW w:w="897" w:type="dxa"/>
            <w:vMerge/>
            <w:tcBorders>
              <w:bottom w:val="single" w:sz="4" w:space="0" w:color="auto"/>
            </w:tcBorders>
          </w:tcPr>
          <w:p w14:paraId="22EE3220" w14:textId="77777777" w:rsidR="00A71BEB" w:rsidRPr="006C4AC1" w:rsidRDefault="00A71BEB" w:rsidP="00A71BEB">
            <w:pPr>
              <w:spacing w:line="240" w:lineRule="auto"/>
              <w:jc w:val="center"/>
              <w:rPr>
                <w:b/>
                <w:color w:val="auto"/>
                <w:sz w:val="14"/>
                <w:szCs w:val="16"/>
                <w:lang w:eastAsia="ru-RU"/>
              </w:rPr>
            </w:pPr>
          </w:p>
        </w:tc>
        <w:tc>
          <w:tcPr>
            <w:tcW w:w="768" w:type="dxa"/>
            <w:tcBorders>
              <w:top w:val="single" w:sz="4" w:space="0" w:color="auto"/>
              <w:bottom w:val="single" w:sz="4" w:space="0" w:color="auto"/>
            </w:tcBorders>
            <w:noWrap/>
          </w:tcPr>
          <w:p w14:paraId="2705BDA2" w14:textId="77777777" w:rsidR="00A71BEB" w:rsidRPr="006C4AC1" w:rsidRDefault="00A71BEB" w:rsidP="00A71BEB">
            <w:pPr>
              <w:spacing w:line="240" w:lineRule="auto"/>
              <w:jc w:val="center"/>
              <w:rPr>
                <w:b/>
                <w:color w:val="auto"/>
                <w:sz w:val="14"/>
                <w:szCs w:val="16"/>
                <w:lang w:eastAsia="ru-RU"/>
              </w:rPr>
            </w:pPr>
            <w:r w:rsidRPr="006C4AC1">
              <w:rPr>
                <w:b/>
                <w:color w:val="auto"/>
                <w:sz w:val="14"/>
                <w:szCs w:val="16"/>
                <w:lang w:eastAsia="ru-RU"/>
              </w:rPr>
              <w:t xml:space="preserve">Groups </w:t>
            </w:r>
            <w:r w:rsidRPr="006C4AC1">
              <w:rPr>
                <w:b/>
                <w:color w:val="auto"/>
                <w:sz w:val="14"/>
                <w:szCs w:val="16"/>
                <w:vertAlign w:val="superscript"/>
                <w:lang w:eastAsia="ru-RU"/>
              </w:rPr>
              <w:t>¥</w:t>
            </w:r>
          </w:p>
        </w:tc>
        <w:tc>
          <w:tcPr>
            <w:tcW w:w="748" w:type="dxa"/>
            <w:tcBorders>
              <w:top w:val="single" w:sz="4" w:space="0" w:color="auto"/>
              <w:bottom w:val="single" w:sz="4" w:space="0" w:color="auto"/>
            </w:tcBorders>
            <w:noWrap/>
          </w:tcPr>
          <w:p w14:paraId="2248B8AF" w14:textId="77777777" w:rsidR="00A71BEB" w:rsidRPr="006C4AC1" w:rsidRDefault="00A71BEB" w:rsidP="00A71BEB">
            <w:pPr>
              <w:spacing w:line="240" w:lineRule="auto"/>
              <w:jc w:val="center"/>
              <w:rPr>
                <w:color w:val="auto"/>
                <w:sz w:val="14"/>
                <w:szCs w:val="16"/>
                <w:lang w:eastAsia="ru-RU"/>
              </w:rPr>
            </w:pPr>
          </w:p>
        </w:tc>
        <w:tc>
          <w:tcPr>
            <w:tcW w:w="602" w:type="dxa"/>
            <w:tcBorders>
              <w:top w:val="single" w:sz="4" w:space="0" w:color="auto"/>
              <w:bottom w:val="single" w:sz="4" w:space="0" w:color="auto"/>
            </w:tcBorders>
            <w:noWrap/>
          </w:tcPr>
          <w:p w14:paraId="5AE1DA54"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A</w:t>
            </w:r>
          </w:p>
        </w:tc>
        <w:tc>
          <w:tcPr>
            <w:tcW w:w="538" w:type="dxa"/>
            <w:tcBorders>
              <w:top w:val="single" w:sz="4" w:space="0" w:color="auto"/>
              <w:bottom w:val="single" w:sz="4" w:space="0" w:color="auto"/>
            </w:tcBorders>
            <w:noWrap/>
          </w:tcPr>
          <w:p w14:paraId="2581B0AB"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B</w:t>
            </w:r>
          </w:p>
        </w:tc>
        <w:tc>
          <w:tcPr>
            <w:tcW w:w="591" w:type="dxa"/>
            <w:tcBorders>
              <w:top w:val="single" w:sz="4" w:space="0" w:color="auto"/>
              <w:bottom w:val="single" w:sz="4" w:space="0" w:color="auto"/>
            </w:tcBorders>
            <w:noWrap/>
          </w:tcPr>
          <w:p w14:paraId="7B635607"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D</w:t>
            </w:r>
          </w:p>
        </w:tc>
        <w:tc>
          <w:tcPr>
            <w:tcW w:w="617" w:type="dxa"/>
            <w:tcBorders>
              <w:top w:val="single" w:sz="4" w:space="0" w:color="auto"/>
              <w:bottom w:val="single" w:sz="4" w:space="0" w:color="auto"/>
            </w:tcBorders>
            <w:noWrap/>
          </w:tcPr>
          <w:p w14:paraId="2CE83671"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B</w:t>
            </w:r>
          </w:p>
        </w:tc>
        <w:tc>
          <w:tcPr>
            <w:tcW w:w="616" w:type="dxa"/>
            <w:tcBorders>
              <w:top w:val="single" w:sz="4" w:space="0" w:color="auto"/>
              <w:bottom w:val="single" w:sz="4" w:space="0" w:color="auto"/>
            </w:tcBorders>
            <w:noWrap/>
          </w:tcPr>
          <w:p w14:paraId="637D561B"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B</w:t>
            </w:r>
          </w:p>
        </w:tc>
        <w:tc>
          <w:tcPr>
            <w:tcW w:w="617" w:type="dxa"/>
            <w:tcBorders>
              <w:top w:val="single" w:sz="4" w:space="0" w:color="auto"/>
              <w:bottom w:val="single" w:sz="4" w:space="0" w:color="auto"/>
            </w:tcBorders>
            <w:noWrap/>
          </w:tcPr>
          <w:p w14:paraId="5A5D2778"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C</w:t>
            </w:r>
          </w:p>
        </w:tc>
        <w:tc>
          <w:tcPr>
            <w:tcW w:w="617" w:type="dxa"/>
            <w:tcBorders>
              <w:top w:val="single" w:sz="4" w:space="0" w:color="auto"/>
              <w:bottom w:val="single" w:sz="4" w:space="0" w:color="auto"/>
            </w:tcBorders>
            <w:noWrap/>
          </w:tcPr>
          <w:p w14:paraId="42C00262"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C</w:t>
            </w:r>
          </w:p>
        </w:tc>
        <w:tc>
          <w:tcPr>
            <w:tcW w:w="617" w:type="dxa"/>
            <w:tcBorders>
              <w:top w:val="single" w:sz="4" w:space="0" w:color="auto"/>
              <w:bottom w:val="single" w:sz="4" w:space="0" w:color="auto"/>
            </w:tcBorders>
            <w:noWrap/>
          </w:tcPr>
          <w:p w14:paraId="5B2830A2"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C</w:t>
            </w:r>
          </w:p>
        </w:tc>
        <w:tc>
          <w:tcPr>
            <w:tcW w:w="616" w:type="dxa"/>
            <w:tcBorders>
              <w:top w:val="single" w:sz="4" w:space="0" w:color="auto"/>
              <w:bottom w:val="single" w:sz="4" w:space="0" w:color="auto"/>
            </w:tcBorders>
            <w:noWrap/>
          </w:tcPr>
          <w:p w14:paraId="2FDE982F"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C</w:t>
            </w:r>
          </w:p>
        </w:tc>
        <w:tc>
          <w:tcPr>
            <w:tcW w:w="546" w:type="dxa"/>
            <w:tcBorders>
              <w:top w:val="single" w:sz="4" w:space="0" w:color="auto"/>
              <w:bottom w:val="single" w:sz="4" w:space="0" w:color="auto"/>
            </w:tcBorders>
            <w:noWrap/>
          </w:tcPr>
          <w:p w14:paraId="09811B0B"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D</w:t>
            </w:r>
          </w:p>
        </w:tc>
        <w:tc>
          <w:tcPr>
            <w:tcW w:w="634" w:type="dxa"/>
            <w:tcBorders>
              <w:top w:val="single" w:sz="4" w:space="0" w:color="auto"/>
              <w:bottom w:val="single" w:sz="4" w:space="0" w:color="auto"/>
            </w:tcBorders>
            <w:noWrap/>
          </w:tcPr>
          <w:p w14:paraId="38F731EA" w14:textId="77777777" w:rsidR="00A71BEB" w:rsidRPr="006C4AC1" w:rsidRDefault="00A71BEB" w:rsidP="00A71BEB">
            <w:pPr>
              <w:spacing w:line="240" w:lineRule="auto"/>
              <w:jc w:val="center"/>
              <w:rPr>
                <w:color w:val="auto"/>
                <w:sz w:val="14"/>
                <w:szCs w:val="16"/>
                <w:lang w:eastAsia="ru-RU"/>
              </w:rPr>
            </w:pPr>
            <w:r w:rsidRPr="006C4AC1">
              <w:rPr>
                <w:color w:val="auto"/>
                <w:sz w:val="14"/>
                <w:szCs w:val="16"/>
                <w:lang w:eastAsia="ru-RU"/>
              </w:rPr>
              <w:t>A</w:t>
            </w:r>
          </w:p>
        </w:tc>
      </w:tr>
      <w:tr w:rsidR="00225B52" w:rsidRPr="006C4AC1" w14:paraId="278DAAFA" w14:textId="77777777" w:rsidTr="00225B52">
        <w:trPr>
          <w:trHeight w:val="20"/>
        </w:trPr>
        <w:tc>
          <w:tcPr>
            <w:tcW w:w="897" w:type="dxa"/>
            <w:vMerge w:val="restart"/>
            <w:tcBorders>
              <w:top w:val="single" w:sz="4" w:space="0" w:color="auto"/>
            </w:tcBorders>
          </w:tcPr>
          <w:p w14:paraId="5EB3C71A" w14:textId="77777777" w:rsidR="00225B52" w:rsidRPr="006C4AC1" w:rsidRDefault="00225B52" w:rsidP="00A71BEB">
            <w:pPr>
              <w:spacing w:line="240" w:lineRule="auto"/>
              <w:jc w:val="center"/>
              <w:rPr>
                <w:b/>
                <w:i/>
                <w:color w:val="auto"/>
                <w:sz w:val="14"/>
                <w:szCs w:val="16"/>
                <w:lang w:eastAsia="ru-RU"/>
              </w:rPr>
            </w:pPr>
            <w:r w:rsidRPr="006C4AC1">
              <w:rPr>
                <w:b/>
                <w:i/>
                <w:color w:val="auto"/>
                <w:sz w:val="14"/>
                <w:szCs w:val="16"/>
                <w:lang w:eastAsia="ru-RU"/>
              </w:rPr>
              <w:t>R.stolonifer</w:t>
            </w:r>
          </w:p>
          <w:p w14:paraId="31EA0797" w14:textId="77777777" w:rsidR="00225B52" w:rsidRPr="006C4AC1" w:rsidRDefault="00225B52" w:rsidP="00A71BEB">
            <w:pPr>
              <w:spacing w:line="240" w:lineRule="auto"/>
              <w:jc w:val="center"/>
              <w:rPr>
                <w:b/>
                <w:i/>
                <w:color w:val="auto"/>
                <w:sz w:val="14"/>
                <w:szCs w:val="16"/>
                <w:lang w:eastAsia="ru-RU"/>
              </w:rPr>
            </w:pPr>
            <w:r w:rsidRPr="006C4AC1">
              <w:rPr>
                <w:color w:val="auto"/>
                <w:sz w:val="14"/>
                <w:szCs w:val="16"/>
              </w:rPr>
              <w:t>ATCC 6227b</w:t>
            </w:r>
          </w:p>
        </w:tc>
        <w:tc>
          <w:tcPr>
            <w:tcW w:w="768" w:type="dxa"/>
            <w:tcBorders>
              <w:top w:val="single" w:sz="4" w:space="0" w:color="auto"/>
              <w:bottom w:val="single" w:sz="4" w:space="0" w:color="auto"/>
            </w:tcBorders>
            <w:noWrap/>
            <w:hideMark/>
          </w:tcPr>
          <w:p w14:paraId="7A31E8D8" w14:textId="77777777" w:rsidR="00225B52" w:rsidRPr="006C4AC1" w:rsidRDefault="00225B52" w:rsidP="00A71BEB">
            <w:pPr>
              <w:spacing w:line="240" w:lineRule="auto"/>
              <w:jc w:val="center"/>
              <w:rPr>
                <w:b/>
                <w:color w:val="auto"/>
                <w:sz w:val="14"/>
                <w:szCs w:val="16"/>
                <w:vertAlign w:val="subscript"/>
                <w:lang w:eastAsia="ru-RU"/>
              </w:rPr>
            </w:pPr>
            <w:r w:rsidRPr="006C4AC1">
              <w:rPr>
                <w:b/>
                <w:color w:val="auto"/>
                <w:sz w:val="14"/>
                <w:szCs w:val="16"/>
                <w:lang w:eastAsia="ru-RU"/>
              </w:rPr>
              <w:t>Mean</w:t>
            </w:r>
            <w:r w:rsidRPr="006C4AC1">
              <w:rPr>
                <w:b/>
                <w:color w:val="auto"/>
                <w:sz w:val="14"/>
                <w:szCs w:val="16"/>
                <w:vertAlign w:val="subscript"/>
                <w:lang w:eastAsia="ru-RU"/>
              </w:rPr>
              <w:t xml:space="preserve">st </w:t>
            </w:r>
            <w:r w:rsidRPr="006C4AC1">
              <w:rPr>
                <w:b/>
                <w:i/>
                <w:color w:val="auto"/>
                <w:sz w:val="14"/>
                <w:szCs w:val="16"/>
                <w:vertAlign w:val="superscript"/>
                <w:lang w:val="kk-KZ"/>
              </w:rPr>
              <w:t>§</w:t>
            </w:r>
          </w:p>
        </w:tc>
        <w:tc>
          <w:tcPr>
            <w:tcW w:w="748" w:type="dxa"/>
            <w:tcBorders>
              <w:top w:val="single" w:sz="4" w:space="0" w:color="auto"/>
              <w:bottom w:val="single" w:sz="4" w:space="0" w:color="auto"/>
            </w:tcBorders>
            <w:noWrap/>
            <w:hideMark/>
          </w:tcPr>
          <w:p w14:paraId="67BEA120" w14:textId="77777777" w:rsidR="00225B52" w:rsidRPr="006C4AC1" w:rsidRDefault="00225B52" w:rsidP="00A71BEB">
            <w:pPr>
              <w:spacing w:line="240" w:lineRule="auto"/>
              <w:jc w:val="center"/>
              <w:rPr>
                <w:color w:val="auto"/>
                <w:sz w:val="14"/>
                <w:szCs w:val="16"/>
                <w:lang w:eastAsia="ru-RU"/>
              </w:rPr>
            </w:pPr>
            <w:r w:rsidRPr="006C4AC1">
              <w:rPr>
                <w:color w:val="auto"/>
                <w:sz w:val="14"/>
                <w:szCs w:val="16"/>
                <w:lang w:eastAsia="ru-RU"/>
              </w:rPr>
              <w:t>83,10</w:t>
            </w:r>
          </w:p>
        </w:tc>
        <w:tc>
          <w:tcPr>
            <w:tcW w:w="602" w:type="dxa"/>
            <w:tcBorders>
              <w:top w:val="single" w:sz="4" w:space="0" w:color="auto"/>
              <w:bottom w:val="single" w:sz="4" w:space="0" w:color="auto"/>
            </w:tcBorders>
            <w:noWrap/>
            <w:hideMark/>
          </w:tcPr>
          <w:p w14:paraId="17382FCE" w14:textId="77777777" w:rsidR="00225B52" w:rsidRPr="006C4AC1" w:rsidRDefault="00225B52" w:rsidP="00A71BEB">
            <w:pPr>
              <w:spacing w:line="240" w:lineRule="auto"/>
              <w:jc w:val="center"/>
              <w:rPr>
                <w:color w:val="auto"/>
                <w:sz w:val="14"/>
                <w:szCs w:val="16"/>
                <w:lang w:eastAsia="ru-RU"/>
              </w:rPr>
            </w:pPr>
            <w:r w:rsidRPr="006C4AC1">
              <w:rPr>
                <w:color w:val="auto"/>
                <w:sz w:val="14"/>
                <w:szCs w:val="16"/>
                <w:lang w:eastAsia="ru-RU"/>
              </w:rPr>
              <w:t>21,96</w:t>
            </w:r>
          </w:p>
        </w:tc>
        <w:tc>
          <w:tcPr>
            <w:tcW w:w="538" w:type="dxa"/>
            <w:tcBorders>
              <w:top w:val="single" w:sz="4" w:space="0" w:color="auto"/>
              <w:bottom w:val="single" w:sz="4" w:space="0" w:color="auto"/>
            </w:tcBorders>
            <w:noWrap/>
            <w:hideMark/>
          </w:tcPr>
          <w:p w14:paraId="618EA9E1" w14:textId="77777777" w:rsidR="00225B52" w:rsidRPr="006C4AC1" w:rsidRDefault="00225B52" w:rsidP="00A71BEB">
            <w:pPr>
              <w:spacing w:line="240" w:lineRule="auto"/>
              <w:jc w:val="center"/>
              <w:rPr>
                <w:color w:val="auto"/>
                <w:sz w:val="14"/>
                <w:szCs w:val="16"/>
                <w:lang w:eastAsia="ru-RU"/>
              </w:rPr>
            </w:pPr>
            <w:r w:rsidRPr="006C4AC1">
              <w:rPr>
                <w:color w:val="auto"/>
                <w:sz w:val="14"/>
                <w:szCs w:val="16"/>
                <w:lang w:eastAsia="ru-RU"/>
              </w:rPr>
              <w:t>26,03</w:t>
            </w:r>
          </w:p>
        </w:tc>
        <w:tc>
          <w:tcPr>
            <w:tcW w:w="591" w:type="dxa"/>
            <w:tcBorders>
              <w:top w:val="single" w:sz="4" w:space="0" w:color="auto"/>
              <w:bottom w:val="single" w:sz="4" w:space="0" w:color="auto"/>
            </w:tcBorders>
            <w:noWrap/>
            <w:hideMark/>
          </w:tcPr>
          <w:p w14:paraId="391817D9" w14:textId="77777777" w:rsidR="00225B52" w:rsidRPr="006C4AC1" w:rsidRDefault="00225B52" w:rsidP="00A71BEB">
            <w:pPr>
              <w:spacing w:line="240" w:lineRule="auto"/>
              <w:jc w:val="center"/>
              <w:rPr>
                <w:color w:val="auto"/>
                <w:sz w:val="14"/>
                <w:szCs w:val="16"/>
                <w:lang w:eastAsia="ru-RU"/>
              </w:rPr>
            </w:pPr>
            <w:r w:rsidRPr="006C4AC1">
              <w:rPr>
                <w:color w:val="auto"/>
                <w:sz w:val="14"/>
                <w:szCs w:val="16"/>
                <w:lang w:eastAsia="ru-RU"/>
              </w:rPr>
              <w:t>74,13</w:t>
            </w:r>
          </w:p>
        </w:tc>
        <w:tc>
          <w:tcPr>
            <w:tcW w:w="617" w:type="dxa"/>
            <w:tcBorders>
              <w:top w:val="single" w:sz="4" w:space="0" w:color="auto"/>
              <w:bottom w:val="single" w:sz="4" w:space="0" w:color="auto"/>
            </w:tcBorders>
            <w:noWrap/>
            <w:hideMark/>
          </w:tcPr>
          <w:p w14:paraId="6C57A404" w14:textId="77777777" w:rsidR="00225B52" w:rsidRPr="006C4AC1" w:rsidRDefault="00225B52" w:rsidP="00A71BEB">
            <w:pPr>
              <w:spacing w:line="240" w:lineRule="auto"/>
              <w:jc w:val="center"/>
              <w:rPr>
                <w:color w:val="auto"/>
                <w:sz w:val="14"/>
                <w:szCs w:val="16"/>
                <w:lang w:eastAsia="ru-RU"/>
              </w:rPr>
            </w:pPr>
            <w:r w:rsidRPr="006C4AC1">
              <w:rPr>
                <w:color w:val="auto"/>
                <w:sz w:val="14"/>
                <w:szCs w:val="16"/>
                <w:lang w:eastAsia="ru-RU"/>
              </w:rPr>
              <w:t>26,46</w:t>
            </w:r>
          </w:p>
        </w:tc>
        <w:tc>
          <w:tcPr>
            <w:tcW w:w="616" w:type="dxa"/>
            <w:tcBorders>
              <w:top w:val="single" w:sz="4" w:space="0" w:color="auto"/>
              <w:bottom w:val="single" w:sz="4" w:space="0" w:color="auto"/>
            </w:tcBorders>
            <w:noWrap/>
            <w:hideMark/>
          </w:tcPr>
          <w:p w14:paraId="793C1287" w14:textId="77777777" w:rsidR="00225B52" w:rsidRPr="006C4AC1" w:rsidRDefault="00225B52" w:rsidP="00A71BEB">
            <w:pPr>
              <w:spacing w:line="240" w:lineRule="auto"/>
              <w:jc w:val="center"/>
              <w:rPr>
                <w:color w:val="auto"/>
                <w:sz w:val="14"/>
                <w:szCs w:val="16"/>
                <w:lang w:eastAsia="ru-RU"/>
              </w:rPr>
            </w:pPr>
            <w:r w:rsidRPr="006C4AC1">
              <w:rPr>
                <w:color w:val="auto"/>
                <w:sz w:val="14"/>
                <w:szCs w:val="16"/>
                <w:lang w:eastAsia="ru-RU"/>
              </w:rPr>
              <w:t>24,20</w:t>
            </w:r>
          </w:p>
        </w:tc>
        <w:tc>
          <w:tcPr>
            <w:tcW w:w="617" w:type="dxa"/>
            <w:tcBorders>
              <w:top w:val="single" w:sz="4" w:space="0" w:color="auto"/>
              <w:bottom w:val="single" w:sz="4" w:space="0" w:color="auto"/>
            </w:tcBorders>
            <w:noWrap/>
            <w:hideMark/>
          </w:tcPr>
          <w:p w14:paraId="109FC699" w14:textId="77777777" w:rsidR="00225B52" w:rsidRPr="006C4AC1" w:rsidRDefault="00225B52" w:rsidP="00A71BEB">
            <w:pPr>
              <w:spacing w:line="240" w:lineRule="auto"/>
              <w:jc w:val="center"/>
              <w:rPr>
                <w:color w:val="auto"/>
                <w:sz w:val="14"/>
                <w:szCs w:val="16"/>
                <w:lang w:eastAsia="ru-RU"/>
              </w:rPr>
            </w:pPr>
            <w:r w:rsidRPr="006C4AC1">
              <w:rPr>
                <w:color w:val="auto"/>
                <w:sz w:val="14"/>
                <w:szCs w:val="16"/>
                <w:lang w:eastAsia="ru-RU"/>
              </w:rPr>
              <w:t>71,8</w:t>
            </w:r>
          </w:p>
        </w:tc>
        <w:tc>
          <w:tcPr>
            <w:tcW w:w="617" w:type="dxa"/>
            <w:tcBorders>
              <w:top w:val="single" w:sz="4" w:space="0" w:color="auto"/>
              <w:bottom w:val="single" w:sz="4" w:space="0" w:color="auto"/>
            </w:tcBorders>
            <w:noWrap/>
            <w:hideMark/>
          </w:tcPr>
          <w:p w14:paraId="5C92914E" w14:textId="77777777" w:rsidR="00225B52" w:rsidRPr="006C4AC1" w:rsidRDefault="00225B52" w:rsidP="00A71BEB">
            <w:pPr>
              <w:spacing w:line="240" w:lineRule="auto"/>
              <w:jc w:val="center"/>
              <w:rPr>
                <w:color w:val="auto"/>
                <w:sz w:val="14"/>
                <w:szCs w:val="16"/>
                <w:lang w:eastAsia="ru-RU"/>
              </w:rPr>
            </w:pPr>
            <w:r w:rsidRPr="006C4AC1">
              <w:rPr>
                <w:color w:val="auto"/>
                <w:sz w:val="14"/>
                <w:szCs w:val="16"/>
                <w:lang w:eastAsia="ru-RU"/>
              </w:rPr>
              <w:t>70,27</w:t>
            </w:r>
          </w:p>
        </w:tc>
        <w:tc>
          <w:tcPr>
            <w:tcW w:w="617" w:type="dxa"/>
            <w:tcBorders>
              <w:top w:val="single" w:sz="4" w:space="0" w:color="auto"/>
              <w:bottom w:val="single" w:sz="4" w:space="0" w:color="auto"/>
            </w:tcBorders>
            <w:noWrap/>
            <w:hideMark/>
          </w:tcPr>
          <w:p w14:paraId="7DDD403D" w14:textId="77777777" w:rsidR="00225B52" w:rsidRPr="006C4AC1" w:rsidRDefault="00225B52" w:rsidP="00A71BEB">
            <w:pPr>
              <w:spacing w:line="240" w:lineRule="auto"/>
              <w:jc w:val="center"/>
              <w:rPr>
                <w:color w:val="auto"/>
                <w:sz w:val="14"/>
                <w:szCs w:val="16"/>
                <w:lang w:eastAsia="ru-RU"/>
              </w:rPr>
            </w:pPr>
            <w:r w:rsidRPr="006C4AC1">
              <w:rPr>
                <w:color w:val="auto"/>
                <w:sz w:val="14"/>
                <w:szCs w:val="16"/>
                <w:lang w:eastAsia="ru-RU"/>
              </w:rPr>
              <w:t>66,11</w:t>
            </w:r>
          </w:p>
        </w:tc>
        <w:tc>
          <w:tcPr>
            <w:tcW w:w="616" w:type="dxa"/>
            <w:tcBorders>
              <w:top w:val="single" w:sz="4" w:space="0" w:color="auto"/>
              <w:bottom w:val="single" w:sz="4" w:space="0" w:color="auto"/>
            </w:tcBorders>
            <w:noWrap/>
            <w:hideMark/>
          </w:tcPr>
          <w:p w14:paraId="2BF65B5F" w14:textId="77777777" w:rsidR="00225B52" w:rsidRPr="006C4AC1" w:rsidRDefault="00225B52" w:rsidP="00A71BEB">
            <w:pPr>
              <w:spacing w:line="240" w:lineRule="auto"/>
              <w:jc w:val="center"/>
              <w:rPr>
                <w:color w:val="auto"/>
                <w:sz w:val="14"/>
                <w:szCs w:val="16"/>
                <w:lang w:eastAsia="ru-RU"/>
              </w:rPr>
            </w:pPr>
            <w:r w:rsidRPr="006C4AC1">
              <w:rPr>
                <w:color w:val="auto"/>
                <w:sz w:val="14"/>
                <w:szCs w:val="16"/>
                <w:lang w:eastAsia="ru-RU"/>
              </w:rPr>
              <w:t>72,67</w:t>
            </w:r>
          </w:p>
        </w:tc>
        <w:tc>
          <w:tcPr>
            <w:tcW w:w="546" w:type="dxa"/>
            <w:tcBorders>
              <w:top w:val="single" w:sz="4" w:space="0" w:color="auto"/>
              <w:bottom w:val="single" w:sz="4" w:space="0" w:color="auto"/>
            </w:tcBorders>
            <w:noWrap/>
            <w:hideMark/>
          </w:tcPr>
          <w:p w14:paraId="251C250E" w14:textId="77777777" w:rsidR="00225B52" w:rsidRPr="006C4AC1" w:rsidRDefault="00225B52" w:rsidP="00A71BEB">
            <w:pPr>
              <w:spacing w:line="240" w:lineRule="auto"/>
              <w:jc w:val="center"/>
              <w:rPr>
                <w:color w:val="auto"/>
                <w:sz w:val="14"/>
                <w:szCs w:val="16"/>
                <w:lang w:eastAsia="ru-RU"/>
              </w:rPr>
            </w:pPr>
            <w:r w:rsidRPr="006C4AC1">
              <w:rPr>
                <w:color w:val="auto"/>
                <w:sz w:val="14"/>
                <w:szCs w:val="16"/>
                <w:lang w:eastAsia="ru-RU"/>
              </w:rPr>
              <w:t>68,71</w:t>
            </w:r>
          </w:p>
        </w:tc>
        <w:tc>
          <w:tcPr>
            <w:tcW w:w="634" w:type="dxa"/>
            <w:tcBorders>
              <w:top w:val="single" w:sz="4" w:space="0" w:color="auto"/>
              <w:bottom w:val="single" w:sz="4" w:space="0" w:color="auto"/>
            </w:tcBorders>
            <w:noWrap/>
            <w:hideMark/>
          </w:tcPr>
          <w:p w14:paraId="43C63FE2" w14:textId="77777777" w:rsidR="00225B52" w:rsidRPr="006C4AC1" w:rsidRDefault="00225B52" w:rsidP="00A71BEB">
            <w:pPr>
              <w:spacing w:line="240" w:lineRule="auto"/>
              <w:jc w:val="center"/>
              <w:rPr>
                <w:color w:val="auto"/>
                <w:sz w:val="14"/>
                <w:szCs w:val="16"/>
                <w:lang w:eastAsia="ru-RU"/>
              </w:rPr>
            </w:pPr>
            <w:r w:rsidRPr="006C4AC1">
              <w:rPr>
                <w:color w:val="auto"/>
                <w:sz w:val="14"/>
                <w:szCs w:val="16"/>
                <w:lang w:eastAsia="ru-RU"/>
              </w:rPr>
              <w:t>19,67</w:t>
            </w:r>
          </w:p>
        </w:tc>
      </w:tr>
      <w:tr w:rsidR="00225B52" w:rsidRPr="006C4AC1" w14:paraId="5A09E3B5" w14:textId="77777777" w:rsidTr="00225B52">
        <w:trPr>
          <w:trHeight w:val="20"/>
        </w:trPr>
        <w:tc>
          <w:tcPr>
            <w:tcW w:w="897" w:type="dxa"/>
            <w:vMerge/>
            <w:tcBorders>
              <w:bottom w:val="single" w:sz="4" w:space="0" w:color="auto"/>
            </w:tcBorders>
          </w:tcPr>
          <w:p w14:paraId="00E5058D" w14:textId="77777777" w:rsidR="00225B52" w:rsidRPr="006C4AC1" w:rsidRDefault="00225B52" w:rsidP="00A71BEB">
            <w:pPr>
              <w:spacing w:line="240" w:lineRule="auto"/>
              <w:jc w:val="center"/>
              <w:rPr>
                <w:b/>
                <w:color w:val="auto"/>
                <w:sz w:val="14"/>
                <w:szCs w:val="16"/>
                <w:lang w:eastAsia="ru-RU"/>
              </w:rPr>
            </w:pPr>
          </w:p>
        </w:tc>
        <w:tc>
          <w:tcPr>
            <w:tcW w:w="768" w:type="dxa"/>
            <w:tcBorders>
              <w:top w:val="single" w:sz="4" w:space="0" w:color="auto"/>
              <w:bottom w:val="single" w:sz="4" w:space="0" w:color="auto"/>
            </w:tcBorders>
            <w:noWrap/>
          </w:tcPr>
          <w:p w14:paraId="6D12A5B2" w14:textId="77777777" w:rsidR="00225B52" w:rsidRPr="006C4AC1" w:rsidRDefault="00225B52" w:rsidP="00A71BEB">
            <w:pPr>
              <w:spacing w:line="240" w:lineRule="auto"/>
              <w:jc w:val="center"/>
              <w:rPr>
                <w:b/>
                <w:color w:val="auto"/>
                <w:sz w:val="14"/>
                <w:szCs w:val="16"/>
                <w:lang w:eastAsia="ru-RU"/>
              </w:rPr>
            </w:pPr>
            <w:r w:rsidRPr="006C4AC1">
              <w:rPr>
                <w:b/>
                <w:color w:val="auto"/>
                <w:sz w:val="14"/>
                <w:szCs w:val="16"/>
                <w:lang w:eastAsia="ru-RU"/>
              </w:rPr>
              <w:t xml:space="preserve">Groups </w:t>
            </w:r>
            <w:r w:rsidRPr="006C4AC1">
              <w:rPr>
                <w:b/>
                <w:color w:val="auto"/>
                <w:sz w:val="14"/>
                <w:szCs w:val="16"/>
                <w:vertAlign w:val="superscript"/>
                <w:lang w:eastAsia="ru-RU"/>
              </w:rPr>
              <w:t>¥</w:t>
            </w:r>
          </w:p>
        </w:tc>
        <w:tc>
          <w:tcPr>
            <w:tcW w:w="748" w:type="dxa"/>
            <w:tcBorders>
              <w:top w:val="single" w:sz="4" w:space="0" w:color="auto"/>
              <w:bottom w:val="single" w:sz="4" w:space="0" w:color="auto"/>
            </w:tcBorders>
            <w:noWrap/>
          </w:tcPr>
          <w:p w14:paraId="7F6B95B2" w14:textId="77777777" w:rsidR="00225B52" w:rsidRPr="006C4AC1" w:rsidRDefault="00225B52" w:rsidP="00A71BEB">
            <w:pPr>
              <w:spacing w:line="240" w:lineRule="auto"/>
              <w:jc w:val="center"/>
              <w:rPr>
                <w:color w:val="auto"/>
                <w:sz w:val="14"/>
                <w:szCs w:val="16"/>
                <w:lang w:eastAsia="ru-RU"/>
              </w:rPr>
            </w:pPr>
          </w:p>
        </w:tc>
        <w:tc>
          <w:tcPr>
            <w:tcW w:w="602" w:type="dxa"/>
            <w:tcBorders>
              <w:top w:val="single" w:sz="4" w:space="0" w:color="auto"/>
              <w:bottom w:val="single" w:sz="4" w:space="0" w:color="auto"/>
            </w:tcBorders>
            <w:noWrap/>
          </w:tcPr>
          <w:p w14:paraId="5D5AD8F4" w14:textId="77777777" w:rsidR="00225B52" w:rsidRPr="006C4AC1" w:rsidRDefault="00225B52" w:rsidP="00A71BEB">
            <w:pPr>
              <w:spacing w:line="240" w:lineRule="auto"/>
              <w:jc w:val="center"/>
              <w:rPr>
                <w:color w:val="auto"/>
                <w:sz w:val="14"/>
                <w:szCs w:val="16"/>
                <w:lang w:eastAsia="ru-RU"/>
              </w:rPr>
            </w:pPr>
            <w:r w:rsidRPr="006C4AC1">
              <w:rPr>
                <w:color w:val="auto"/>
                <w:sz w:val="14"/>
                <w:szCs w:val="16"/>
                <w:lang w:eastAsia="ru-RU"/>
              </w:rPr>
              <w:t>A</w:t>
            </w:r>
          </w:p>
        </w:tc>
        <w:tc>
          <w:tcPr>
            <w:tcW w:w="538" w:type="dxa"/>
            <w:tcBorders>
              <w:top w:val="single" w:sz="4" w:space="0" w:color="auto"/>
              <w:bottom w:val="single" w:sz="4" w:space="0" w:color="auto"/>
            </w:tcBorders>
            <w:noWrap/>
          </w:tcPr>
          <w:p w14:paraId="0141FC42" w14:textId="77777777" w:rsidR="00225B52" w:rsidRPr="006C4AC1" w:rsidRDefault="00225B52" w:rsidP="00A71BEB">
            <w:pPr>
              <w:spacing w:line="240" w:lineRule="auto"/>
              <w:jc w:val="center"/>
              <w:rPr>
                <w:color w:val="auto"/>
                <w:sz w:val="14"/>
                <w:szCs w:val="16"/>
                <w:lang w:eastAsia="ru-RU"/>
              </w:rPr>
            </w:pPr>
            <w:r w:rsidRPr="006C4AC1">
              <w:rPr>
                <w:color w:val="auto"/>
                <w:sz w:val="14"/>
                <w:szCs w:val="16"/>
                <w:lang w:eastAsia="ru-RU"/>
              </w:rPr>
              <w:t>B</w:t>
            </w:r>
          </w:p>
        </w:tc>
        <w:tc>
          <w:tcPr>
            <w:tcW w:w="591" w:type="dxa"/>
            <w:tcBorders>
              <w:top w:val="single" w:sz="4" w:space="0" w:color="auto"/>
              <w:bottom w:val="single" w:sz="4" w:space="0" w:color="auto"/>
            </w:tcBorders>
            <w:noWrap/>
          </w:tcPr>
          <w:p w14:paraId="5B772DDE" w14:textId="77777777" w:rsidR="00225B52" w:rsidRPr="006C4AC1" w:rsidRDefault="00225B52" w:rsidP="00A71BEB">
            <w:pPr>
              <w:spacing w:line="240" w:lineRule="auto"/>
              <w:jc w:val="center"/>
              <w:rPr>
                <w:color w:val="auto"/>
                <w:sz w:val="14"/>
                <w:szCs w:val="16"/>
                <w:lang w:eastAsia="ru-RU"/>
              </w:rPr>
            </w:pPr>
            <w:r w:rsidRPr="006C4AC1">
              <w:rPr>
                <w:color w:val="auto"/>
                <w:sz w:val="14"/>
                <w:szCs w:val="16"/>
                <w:lang w:eastAsia="ru-RU"/>
              </w:rPr>
              <w:t>D</w:t>
            </w:r>
          </w:p>
        </w:tc>
        <w:tc>
          <w:tcPr>
            <w:tcW w:w="617" w:type="dxa"/>
            <w:tcBorders>
              <w:top w:val="single" w:sz="4" w:space="0" w:color="auto"/>
              <w:bottom w:val="single" w:sz="4" w:space="0" w:color="auto"/>
            </w:tcBorders>
            <w:noWrap/>
          </w:tcPr>
          <w:p w14:paraId="062778D7" w14:textId="77777777" w:rsidR="00225B52" w:rsidRPr="006C4AC1" w:rsidRDefault="00225B52" w:rsidP="00A71BEB">
            <w:pPr>
              <w:spacing w:line="240" w:lineRule="auto"/>
              <w:jc w:val="center"/>
              <w:rPr>
                <w:color w:val="auto"/>
                <w:sz w:val="14"/>
                <w:szCs w:val="16"/>
                <w:lang w:eastAsia="ru-RU"/>
              </w:rPr>
            </w:pPr>
            <w:r w:rsidRPr="006C4AC1">
              <w:rPr>
                <w:color w:val="auto"/>
                <w:sz w:val="14"/>
                <w:szCs w:val="16"/>
                <w:lang w:eastAsia="ru-RU"/>
              </w:rPr>
              <w:t>B</w:t>
            </w:r>
          </w:p>
        </w:tc>
        <w:tc>
          <w:tcPr>
            <w:tcW w:w="616" w:type="dxa"/>
            <w:tcBorders>
              <w:top w:val="single" w:sz="4" w:space="0" w:color="auto"/>
              <w:bottom w:val="single" w:sz="4" w:space="0" w:color="auto"/>
            </w:tcBorders>
            <w:noWrap/>
          </w:tcPr>
          <w:p w14:paraId="33539138" w14:textId="77777777" w:rsidR="00225B52" w:rsidRPr="006C4AC1" w:rsidRDefault="00225B52" w:rsidP="00A71BEB">
            <w:pPr>
              <w:spacing w:line="240" w:lineRule="auto"/>
              <w:jc w:val="center"/>
              <w:rPr>
                <w:color w:val="auto"/>
                <w:sz w:val="14"/>
                <w:szCs w:val="16"/>
                <w:lang w:eastAsia="ru-RU"/>
              </w:rPr>
            </w:pPr>
            <w:r w:rsidRPr="006C4AC1">
              <w:rPr>
                <w:color w:val="auto"/>
                <w:sz w:val="14"/>
                <w:szCs w:val="16"/>
                <w:lang w:eastAsia="ru-RU"/>
              </w:rPr>
              <w:t>A</w:t>
            </w:r>
          </w:p>
        </w:tc>
        <w:tc>
          <w:tcPr>
            <w:tcW w:w="617" w:type="dxa"/>
            <w:tcBorders>
              <w:top w:val="single" w:sz="4" w:space="0" w:color="auto"/>
              <w:bottom w:val="single" w:sz="4" w:space="0" w:color="auto"/>
            </w:tcBorders>
            <w:noWrap/>
          </w:tcPr>
          <w:p w14:paraId="27F6E544" w14:textId="77777777" w:rsidR="00225B52" w:rsidRPr="006C4AC1" w:rsidRDefault="00225B52" w:rsidP="00A71BEB">
            <w:pPr>
              <w:spacing w:line="240" w:lineRule="auto"/>
              <w:jc w:val="center"/>
              <w:rPr>
                <w:color w:val="auto"/>
                <w:sz w:val="14"/>
                <w:szCs w:val="16"/>
                <w:lang w:eastAsia="ru-RU"/>
              </w:rPr>
            </w:pPr>
            <w:r w:rsidRPr="006C4AC1">
              <w:rPr>
                <w:color w:val="auto"/>
                <w:sz w:val="14"/>
                <w:szCs w:val="16"/>
                <w:lang w:eastAsia="ru-RU"/>
              </w:rPr>
              <w:t>D</w:t>
            </w:r>
          </w:p>
        </w:tc>
        <w:tc>
          <w:tcPr>
            <w:tcW w:w="617" w:type="dxa"/>
            <w:tcBorders>
              <w:top w:val="single" w:sz="4" w:space="0" w:color="auto"/>
              <w:bottom w:val="single" w:sz="4" w:space="0" w:color="auto"/>
            </w:tcBorders>
            <w:noWrap/>
          </w:tcPr>
          <w:p w14:paraId="45C625F6" w14:textId="77777777" w:rsidR="00225B52" w:rsidRPr="006C4AC1" w:rsidRDefault="00225B52" w:rsidP="00A71BEB">
            <w:pPr>
              <w:spacing w:line="240" w:lineRule="auto"/>
              <w:jc w:val="center"/>
              <w:rPr>
                <w:color w:val="auto"/>
                <w:sz w:val="14"/>
                <w:szCs w:val="16"/>
                <w:lang w:eastAsia="ru-RU"/>
              </w:rPr>
            </w:pPr>
            <w:r w:rsidRPr="006C4AC1">
              <w:rPr>
                <w:color w:val="auto"/>
                <w:sz w:val="14"/>
                <w:szCs w:val="16"/>
                <w:lang w:eastAsia="ru-RU"/>
              </w:rPr>
              <w:t>C</w:t>
            </w:r>
          </w:p>
        </w:tc>
        <w:tc>
          <w:tcPr>
            <w:tcW w:w="617" w:type="dxa"/>
            <w:tcBorders>
              <w:top w:val="single" w:sz="4" w:space="0" w:color="auto"/>
              <w:bottom w:val="single" w:sz="4" w:space="0" w:color="auto"/>
            </w:tcBorders>
            <w:noWrap/>
          </w:tcPr>
          <w:p w14:paraId="5DAB3A6A" w14:textId="77777777" w:rsidR="00225B52" w:rsidRPr="006C4AC1" w:rsidRDefault="00225B52" w:rsidP="00A71BEB">
            <w:pPr>
              <w:spacing w:line="240" w:lineRule="auto"/>
              <w:jc w:val="center"/>
              <w:rPr>
                <w:color w:val="auto"/>
                <w:sz w:val="14"/>
                <w:szCs w:val="16"/>
                <w:lang w:eastAsia="ru-RU"/>
              </w:rPr>
            </w:pPr>
            <w:r w:rsidRPr="006C4AC1">
              <w:rPr>
                <w:color w:val="auto"/>
                <w:sz w:val="14"/>
                <w:szCs w:val="16"/>
                <w:lang w:eastAsia="ru-RU"/>
              </w:rPr>
              <w:t>C</w:t>
            </w:r>
          </w:p>
        </w:tc>
        <w:tc>
          <w:tcPr>
            <w:tcW w:w="616" w:type="dxa"/>
            <w:tcBorders>
              <w:top w:val="single" w:sz="4" w:space="0" w:color="auto"/>
              <w:bottom w:val="single" w:sz="4" w:space="0" w:color="auto"/>
            </w:tcBorders>
            <w:noWrap/>
          </w:tcPr>
          <w:p w14:paraId="0CECCB81" w14:textId="77777777" w:rsidR="00225B52" w:rsidRPr="006C4AC1" w:rsidRDefault="00225B52" w:rsidP="00A71BEB">
            <w:pPr>
              <w:spacing w:line="240" w:lineRule="auto"/>
              <w:jc w:val="center"/>
              <w:rPr>
                <w:color w:val="auto"/>
                <w:sz w:val="14"/>
                <w:szCs w:val="16"/>
                <w:lang w:eastAsia="ru-RU"/>
              </w:rPr>
            </w:pPr>
            <w:r w:rsidRPr="006C4AC1">
              <w:rPr>
                <w:color w:val="auto"/>
                <w:sz w:val="14"/>
                <w:szCs w:val="16"/>
                <w:lang w:eastAsia="ru-RU"/>
              </w:rPr>
              <w:t>D</w:t>
            </w:r>
          </w:p>
        </w:tc>
        <w:tc>
          <w:tcPr>
            <w:tcW w:w="546" w:type="dxa"/>
            <w:tcBorders>
              <w:top w:val="single" w:sz="4" w:space="0" w:color="auto"/>
              <w:bottom w:val="single" w:sz="4" w:space="0" w:color="auto"/>
            </w:tcBorders>
            <w:noWrap/>
          </w:tcPr>
          <w:p w14:paraId="7347C2EA" w14:textId="77777777" w:rsidR="00225B52" w:rsidRPr="006C4AC1" w:rsidRDefault="00225B52" w:rsidP="00A71BEB">
            <w:pPr>
              <w:spacing w:line="240" w:lineRule="auto"/>
              <w:jc w:val="center"/>
              <w:rPr>
                <w:color w:val="auto"/>
                <w:sz w:val="14"/>
                <w:szCs w:val="16"/>
                <w:lang w:eastAsia="ru-RU"/>
              </w:rPr>
            </w:pPr>
            <w:r w:rsidRPr="006C4AC1">
              <w:rPr>
                <w:color w:val="auto"/>
                <w:sz w:val="14"/>
                <w:szCs w:val="16"/>
                <w:lang w:eastAsia="ru-RU"/>
              </w:rPr>
              <w:t>C</w:t>
            </w:r>
          </w:p>
        </w:tc>
        <w:tc>
          <w:tcPr>
            <w:tcW w:w="634" w:type="dxa"/>
            <w:tcBorders>
              <w:top w:val="single" w:sz="4" w:space="0" w:color="auto"/>
              <w:bottom w:val="single" w:sz="4" w:space="0" w:color="auto"/>
            </w:tcBorders>
            <w:noWrap/>
          </w:tcPr>
          <w:p w14:paraId="230D8DE9" w14:textId="77777777" w:rsidR="00225B52" w:rsidRPr="006C4AC1" w:rsidRDefault="00225B52" w:rsidP="00A71BEB">
            <w:pPr>
              <w:spacing w:line="240" w:lineRule="auto"/>
              <w:jc w:val="center"/>
              <w:rPr>
                <w:color w:val="auto"/>
                <w:sz w:val="14"/>
                <w:szCs w:val="16"/>
                <w:lang w:eastAsia="ru-RU"/>
              </w:rPr>
            </w:pPr>
            <w:r w:rsidRPr="006C4AC1">
              <w:rPr>
                <w:color w:val="auto"/>
                <w:sz w:val="14"/>
                <w:szCs w:val="16"/>
                <w:lang w:eastAsia="ru-RU"/>
              </w:rPr>
              <w:t>A</w:t>
            </w:r>
          </w:p>
        </w:tc>
      </w:tr>
    </w:tbl>
    <w:p w14:paraId="48717C35" w14:textId="77777777" w:rsidR="00A71BEB" w:rsidRPr="00125A2F" w:rsidRDefault="00A71BEB" w:rsidP="00A71BEB">
      <w:pPr>
        <w:spacing w:line="240" w:lineRule="auto"/>
        <w:rPr>
          <w:color w:val="auto"/>
          <w:szCs w:val="24"/>
          <w:lang w:eastAsia="ru-RU"/>
        </w:rPr>
      </w:pPr>
      <w:r w:rsidRPr="00125A2F">
        <w:rPr>
          <w:color w:val="auto"/>
          <w:szCs w:val="24"/>
          <w:vertAlign w:val="superscript"/>
          <w:lang w:eastAsia="ru-RU"/>
        </w:rPr>
        <w:t>§</w:t>
      </w:r>
      <w:r w:rsidRPr="00125A2F">
        <w:rPr>
          <w:color w:val="auto"/>
          <w:szCs w:val="24"/>
          <w:lang w:eastAsia="ru-RU"/>
        </w:rPr>
        <w:t xml:space="preserve"> Values are taken from Tables S3A to S5A in the Supplementary materials. </w:t>
      </w:r>
    </w:p>
    <w:p w14:paraId="44B6D4D8" w14:textId="77777777" w:rsidR="00A71BEB" w:rsidRPr="00125A2F" w:rsidRDefault="00A71BEB" w:rsidP="00A71BEB">
      <w:pPr>
        <w:spacing w:line="240" w:lineRule="auto"/>
        <w:rPr>
          <w:color w:val="auto"/>
          <w:szCs w:val="24"/>
          <w:lang w:eastAsia="ru-RU"/>
        </w:rPr>
      </w:pPr>
      <w:r w:rsidRPr="00125A2F">
        <w:rPr>
          <w:color w:val="auto"/>
          <w:szCs w:val="24"/>
          <w:vertAlign w:val="superscript"/>
          <w:lang w:eastAsia="ru-RU"/>
        </w:rPr>
        <w:t>¥</w:t>
      </w:r>
      <w:r w:rsidRPr="00125A2F">
        <w:rPr>
          <w:color w:val="auto"/>
          <w:szCs w:val="24"/>
          <w:lang w:eastAsia="ru-RU"/>
        </w:rPr>
        <w:t xml:space="preserve"> Data come from the Main Tables S3B to S5B in the Supplementary materials. </w:t>
      </w:r>
    </w:p>
    <w:p w14:paraId="22A9AB6D" w14:textId="31A158ED" w:rsidR="00662899" w:rsidRDefault="00A71BEB" w:rsidP="00A71BEB">
      <w:pPr>
        <w:spacing w:line="240" w:lineRule="auto"/>
        <w:rPr>
          <w:color w:val="auto"/>
          <w:szCs w:val="24"/>
          <w:lang w:eastAsia="ru-RU"/>
        </w:rPr>
      </w:pPr>
      <w:r w:rsidRPr="00125A2F">
        <w:rPr>
          <w:b/>
          <w:color w:val="auto"/>
          <w:szCs w:val="24"/>
          <w:vertAlign w:val="superscript"/>
          <w:lang w:eastAsia="ru-RU"/>
        </w:rPr>
        <w:t>♯</w:t>
      </w:r>
      <w:r w:rsidRPr="00125A2F">
        <w:rPr>
          <w:color w:val="auto"/>
          <w:szCs w:val="24"/>
          <w:vertAlign w:val="superscript"/>
          <w:lang w:eastAsia="ru-RU"/>
        </w:rPr>
        <w:t xml:space="preserve"> </w:t>
      </w:r>
      <w:r w:rsidRPr="00125A2F">
        <w:rPr>
          <w:color w:val="auto"/>
          <w:szCs w:val="24"/>
          <w:lang w:eastAsia="ru-RU"/>
        </w:rPr>
        <w:t>A2</w:t>
      </w:r>
      <w:r w:rsidRPr="00125A2F">
        <w:rPr>
          <w:b/>
          <w:color w:val="auto"/>
          <w:szCs w:val="24"/>
          <w:lang w:eastAsia="ru-RU"/>
        </w:rPr>
        <w:t xml:space="preserve"> - </w:t>
      </w:r>
      <w:r w:rsidRPr="00125A2F">
        <w:rPr>
          <w:i/>
          <w:color w:val="auto"/>
          <w:szCs w:val="24"/>
          <w:lang w:eastAsia="ru-RU"/>
        </w:rPr>
        <w:t xml:space="preserve">M. pulcherrima </w:t>
      </w:r>
      <w:r w:rsidRPr="00125A2F">
        <w:rPr>
          <w:color w:val="auto"/>
          <w:szCs w:val="24"/>
          <w:lang w:eastAsia="ru-RU"/>
        </w:rPr>
        <w:t xml:space="preserve">A2; AP – </w:t>
      </w:r>
      <w:r w:rsidRPr="00125A2F">
        <w:rPr>
          <w:i/>
          <w:color w:val="auto"/>
          <w:szCs w:val="24"/>
          <w:lang w:eastAsia="ru-RU"/>
        </w:rPr>
        <w:t>A. pullulans</w:t>
      </w:r>
      <w:r w:rsidRPr="00125A2F">
        <w:rPr>
          <w:color w:val="auto"/>
          <w:szCs w:val="24"/>
          <w:lang w:eastAsia="ru-RU"/>
        </w:rPr>
        <w:t xml:space="preserve"> strains 13, 06, 11, 04, 08, 12, and 05; CL – </w:t>
      </w:r>
      <w:r w:rsidRPr="00125A2F">
        <w:rPr>
          <w:i/>
          <w:color w:val="auto"/>
          <w:szCs w:val="24"/>
          <w:lang w:eastAsia="ru-RU"/>
        </w:rPr>
        <w:t>C. lusitaniae</w:t>
      </w:r>
      <w:r w:rsidRPr="00125A2F">
        <w:rPr>
          <w:color w:val="auto"/>
          <w:szCs w:val="24"/>
          <w:lang w:eastAsia="ru-RU"/>
        </w:rPr>
        <w:t xml:space="preserve"> strains 03 and 01; HU15 – </w:t>
      </w:r>
      <w:r w:rsidRPr="00125A2F">
        <w:rPr>
          <w:i/>
          <w:color w:val="auto"/>
          <w:szCs w:val="24"/>
          <w:lang w:eastAsia="ru-RU"/>
        </w:rPr>
        <w:t>H. uvarum</w:t>
      </w:r>
      <w:r w:rsidRPr="00125A2F">
        <w:rPr>
          <w:color w:val="auto"/>
          <w:szCs w:val="24"/>
          <w:lang w:eastAsia="ru-RU"/>
        </w:rPr>
        <w:t xml:space="preserve"> strain 15</w:t>
      </w:r>
      <w:r w:rsidR="00225B52">
        <w:rPr>
          <w:color w:val="auto"/>
          <w:szCs w:val="24"/>
          <w:lang w:eastAsia="ru-RU"/>
        </w:rPr>
        <w:t>.</w:t>
      </w:r>
    </w:p>
    <w:p w14:paraId="43ADFEF2" w14:textId="77777777" w:rsidR="00A71BEB" w:rsidRDefault="00A71BEB" w:rsidP="00A71BEB">
      <w:pPr>
        <w:spacing w:line="360" w:lineRule="auto"/>
        <w:rPr>
          <w:color w:val="auto"/>
          <w:szCs w:val="24"/>
          <w:lang w:eastAsia="ru-RU"/>
        </w:rPr>
      </w:pPr>
    </w:p>
    <w:p w14:paraId="1C75E831" w14:textId="77777777" w:rsidR="00225B52" w:rsidRPr="00125A2F" w:rsidRDefault="00225B52" w:rsidP="00225B52">
      <w:pPr>
        <w:pStyle w:val="MDPI41tablecaption"/>
        <w:spacing w:before="0" w:after="0" w:line="240" w:lineRule="auto"/>
        <w:ind w:left="0"/>
        <w:rPr>
          <w:rFonts w:ascii="Times New Roman" w:hAnsi="Times New Roman" w:cs="Times New Roman"/>
          <w:color w:val="auto"/>
          <w:sz w:val="24"/>
          <w:szCs w:val="24"/>
        </w:rPr>
      </w:pPr>
      <w:r w:rsidRPr="00225B52">
        <w:rPr>
          <w:rFonts w:ascii="Times New Roman" w:hAnsi="Times New Roman" w:cs="Times New Roman"/>
          <w:b/>
          <w:color w:val="auto"/>
          <w:sz w:val="24"/>
          <w:szCs w:val="24"/>
        </w:rPr>
        <w:t>Table 2A:</w:t>
      </w:r>
      <w:r w:rsidRPr="00225B52">
        <w:rPr>
          <w:rFonts w:ascii="Times New Roman" w:hAnsi="Times New Roman" w:cs="Times New Roman"/>
          <w:color w:val="auto"/>
          <w:sz w:val="24"/>
          <w:szCs w:val="24"/>
        </w:rPr>
        <w:t xml:space="preserve"> </w:t>
      </w:r>
      <w:r w:rsidRPr="00225B52">
        <w:rPr>
          <w:rFonts w:ascii="Times New Roman" w:hAnsi="Times New Roman" w:cs="Times New Roman"/>
          <w:i/>
          <w:color w:val="auto"/>
          <w:sz w:val="24"/>
          <w:szCs w:val="24"/>
        </w:rPr>
        <w:t>In vivo</w:t>
      </w:r>
      <w:r w:rsidRPr="00225B52">
        <w:rPr>
          <w:rFonts w:ascii="Times New Roman" w:hAnsi="Times New Roman" w:cs="Times New Roman"/>
          <w:color w:val="auto"/>
          <w:sz w:val="24"/>
          <w:szCs w:val="24"/>
        </w:rPr>
        <w:t xml:space="preserve"> screening of antagonistic yeast strains for the percentage of infected berries in grape bunches challenged by </w:t>
      </w:r>
      <w:r w:rsidRPr="00225B52">
        <w:rPr>
          <w:rFonts w:ascii="Times New Roman" w:hAnsi="Times New Roman" w:cs="Times New Roman"/>
          <w:i/>
          <w:color w:val="auto"/>
          <w:sz w:val="24"/>
          <w:szCs w:val="24"/>
        </w:rPr>
        <w:t>B. cinerea</w:t>
      </w:r>
      <w:r w:rsidRPr="00225B52">
        <w:rPr>
          <w:rFonts w:ascii="Times New Roman" w:hAnsi="Times New Roman" w:cs="Times New Roman"/>
          <w:color w:val="auto"/>
          <w:sz w:val="24"/>
          <w:szCs w:val="24"/>
        </w:rPr>
        <w:t xml:space="preserve"> F-RKM 1032, </w:t>
      </w:r>
      <w:r w:rsidRPr="00225B52">
        <w:rPr>
          <w:rFonts w:ascii="Times New Roman" w:hAnsi="Times New Roman" w:cs="Times New Roman"/>
          <w:i/>
          <w:color w:val="auto"/>
          <w:sz w:val="24"/>
          <w:szCs w:val="24"/>
        </w:rPr>
        <w:t xml:space="preserve">A. </w:t>
      </w:r>
      <w:proofErr w:type="spellStart"/>
      <w:r w:rsidRPr="00225B52">
        <w:rPr>
          <w:rFonts w:ascii="Times New Roman" w:hAnsi="Times New Roman" w:cs="Times New Roman"/>
          <w:i/>
          <w:color w:val="auto"/>
          <w:sz w:val="24"/>
          <w:szCs w:val="24"/>
        </w:rPr>
        <w:t>niger</w:t>
      </w:r>
      <w:proofErr w:type="spellEnd"/>
      <w:r w:rsidRPr="00225B52">
        <w:rPr>
          <w:rFonts w:ascii="Times New Roman" w:hAnsi="Times New Roman" w:cs="Times New Roman"/>
          <w:color w:val="auto"/>
          <w:sz w:val="24"/>
          <w:szCs w:val="24"/>
        </w:rPr>
        <w:t xml:space="preserve"> ATCC 6275, and </w:t>
      </w:r>
      <w:r w:rsidRPr="00225B52">
        <w:rPr>
          <w:rFonts w:ascii="Times New Roman" w:hAnsi="Times New Roman" w:cs="Times New Roman"/>
          <w:i/>
          <w:color w:val="auto"/>
          <w:sz w:val="24"/>
          <w:szCs w:val="24"/>
        </w:rPr>
        <w:t xml:space="preserve">R. </w:t>
      </w:r>
      <w:proofErr w:type="spellStart"/>
      <w:r w:rsidRPr="00225B52">
        <w:rPr>
          <w:rFonts w:ascii="Times New Roman" w:hAnsi="Times New Roman" w:cs="Times New Roman"/>
          <w:i/>
          <w:color w:val="auto"/>
          <w:sz w:val="24"/>
          <w:szCs w:val="24"/>
        </w:rPr>
        <w:t>stolonifer</w:t>
      </w:r>
      <w:proofErr w:type="spellEnd"/>
      <w:r w:rsidRPr="00225B52">
        <w:rPr>
          <w:rFonts w:ascii="Times New Roman" w:hAnsi="Times New Roman" w:cs="Times New Roman"/>
          <w:color w:val="auto"/>
          <w:sz w:val="24"/>
          <w:szCs w:val="24"/>
        </w:rPr>
        <w:t xml:space="preserve"> ATCC 6227b within the B systems</w:t>
      </w:r>
    </w:p>
    <w:tbl>
      <w:tblPr>
        <w:tblW w:w="9015" w:type="dxa"/>
        <w:tblLook w:val="04A0" w:firstRow="1" w:lastRow="0" w:firstColumn="1" w:lastColumn="0" w:noHBand="0" w:noVBand="1"/>
      </w:tblPr>
      <w:tblGrid>
        <w:gridCol w:w="1257"/>
        <w:gridCol w:w="1417"/>
        <w:gridCol w:w="1418"/>
        <w:gridCol w:w="992"/>
        <w:gridCol w:w="992"/>
        <w:gridCol w:w="993"/>
        <w:gridCol w:w="992"/>
        <w:gridCol w:w="962"/>
      </w:tblGrid>
      <w:tr w:rsidR="00225B52" w:rsidRPr="00225B52" w14:paraId="5E4A5CB0" w14:textId="77777777" w:rsidTr="00225B52">
        <w:trPr>
          <w:trHeight w:val="20"/>
        </w:trPr>
        <w:tc>
          <w:tcPr>
            <w:tcW w:w="1413" w:type="dxa"/>
            <w:vMerge w:val="restart"/>
            <w:tcBorders>
              <w:top w:val="single" w:sz="4" w:space="0" w:color="auto"/>
              <w:bottom w:val="single" w:sz="4" w:space="0" w:color="auto"/>
            </w:tcBorders>
            <w:vAlign w:val="center"/>
          </w:tcPr>
          <w:p w14:paraId="72596854" w14:textId="77777777" w:rsidR="00225B52" w:rsidRPr="00225B52" w:rsidRDefault="00225B52" w:rsidP="00225B52">
            <w:pPr>
              <w:spacing w:line="240" w:lineRule="auto"/>
              <w:jc w:val="center"/>
              <w:rPr>
                <w:b/>
                <w:bCs/>
                <w:color w:val="auto"/>
                <w:szCs w:val="24"/>
                <w:lang w:eastAsia="ru-RU"/>
              </w:rPr>
            </w:pPr>
            <w:r w:rsidRPr="00225B52">
              <w:rPr>
                <w:b/>
                <w:bCs/>
                <w:color w:val="auto"/>
                <w:szCs w:val="24"/>
                <w:lang w:eastAsia="ru-RU"/>
              </w:rPr>
              <w:t>Fungal pathogens</w:t>
            </w:r>
          </w:p>
        </w:tc>
        <w:tc>
          <w:tcPr>
            <w:tcW w:w="1417" w:type="dxa"/>
            <w:vMerge w:val="restart"/>
            <w:tcBorders>
              <w:top w:val="single" w:sz="4" w:space="0" w:color="auto"/>
              <w:bottom w:val="single" w:sz="4" w:space="0" w:color="auto"/>
            </w:tcBorders>
            <w:noWrap/>
            <w:vAlign w:val="center"/>
          </w:tcPr>
          <w:p w14:paraId="6B04581F" w14:textId="77777777" w:rsidR="00225B52" w:rsidRPr="00225B52" w:rsidRDefault="00225B52" w:rsidP="00225B52">
            <w:pPr>
              <w:spacing w:line="240" w:lineRule="auto"/>
              <w:jc w:val="center"/>
              <w:rPr>
                <w:b/>
                <w:color w:val="auto"/>
                <w:szCs w:val="24"/>
                <w:lang w:eastAsia="ru-RU"/>
              </w:rPr>
            </w:pPr>
            <w:r w:rsidRPr="00225B52">
              <w:rPr>
                <w:b/>
                <w:color w:val="auto"/>
                <w:szCs w:val="24"/>
                <w:lang w:eastAsia="ru-RU"/>
              </w:rPr>
              <w:t>Values</w:t>
            </w:r>
          </w:p>
        </w:tc>
        <w:tc>
          <w:tcPr>
            <w:tcW w:w="1418" w:type="dxa"/>
            <w:vMerge w:val="restart"/>
            <w:tcBorders>
              <w:top w:val="single" w:sz="4" w:space="0" w:color="auto"/>
              <w:bottom w:val="single" w:sz="4" w:space="0" w:color="auto"/>
            </w:tcBorders>
            <w:noWrap/>
            <w:vAlign w:val="center"/>
          </w:tcPr>
          <w:p w14:paraId="20B595F9" w14:textId="77777777" w:rsidR="00225B52" w:rsidRPr="00225B52" w:rsidRDefault="00225B52" w:rsidP="00225B52">
            <w:pPr>
              <w:spacing w:line="240" w:lineRule="auto"/>
              <w:jc w:val="center"/>
              <w:rPr>
                <w:b/>
                <w:color w:val="auto"/>
                <w:szCs w:val="24"/>
                <w:lang w:eastAsia="ru-RU"/>
              </w:rPr>
            </w:pPr>
            <w:r w:rsidRPr="00225B52">
              <w:rPr>
                <w:b/>
                <w:color w:val="auto"/>
                <w:szCs w:val="24"/>
                <w:lang w:eastAsia="ru-RU"/>
              </w:rPr>
              <w:t xml:space="preserve">Control / </w:t>
            </w:r>
          </w:p>
          <w:p w14:paraId="71473CE8" w14:textId="77777777" w:rsidR="00225B52" w:rsidRPr="00225B52" w:rsidRDefault="00225B52" w:rsidP="00225B52">
            <w:pPr>
              <w:spacing w:line="240" w:lineRule="auto"/>
              <w:jc w:val="center"/>
              <w:rPr>
                <w:b/>
                <w:color w:val="auto"/>
                <w:szCs w:val="24"/>
                <w:lang w:eastAsia="ru-RU"/>
              </w:rPr>
            </w:pPr>
            <w:r w:rsidRPr="00225B52">
              <w:rPr>
                <w:b/>
                <w:color w:val="auto"/>
                <w:szCs w:val="24"/>
                <w:lang w:eastAsia="ru-RU"/>
              </w:rPr>
              <w:t>Pathogens</w:t>
            </w:r>
          </w:p>
        </w:tc>
        <w:tc>
          <w:tcPr>
            <w:tcW w:w="4931" w:type="dxa"/>
            <w:gridSpan w:val="5"/>
            <w:tcBorders>
              <w:top w:val="single" w:sz="4" w:space="0" w:color="auto"/>
              <w:bottom w:val="single" w:sz="4" w:space="0" w:color="auto"/>
            </w:tcBorders>
            <w:noWrap/>
            <w:vAlign w:val="center"/>
          </w:tcPr>
          <w:p w14:paraId="54F88D1C" w14:textId="77777777" w:rsidR="00225B52" w:rsidRPr="00225B52" w:rsidRDefault="00225B52" w:rsidP="00225B52">
            <w:pPr>
              <w:spacing w:line="240" w:lineRule="auto"/>
              <w:jc w:val="center"/>
              <w:rPr>
                <w:b/>
                <w:color w:val="auto"/>
                <w:szCs w:val="24"/>
                <w:lang w:eastAsia="ru-RU"/>
              </w:rPr>
            </w:pPr>
            <w:r w:rsidRPr="00225B52">
              <w:rPr>
                <w:b/>
                <w:color w:val="auto"/>
                <w:szCs w:val="24"/>
                <w:lang w:eastAsia="ru-RU"/>
              </w:rPr>
              <w:t xml:space="preserve">Yeast strains </w:t>
            </w:r>
            <w:r w:rsidRPr="00225B52">
              <w:rPr>
                <w:b/>
                <w:color w:val="auto"/>
                <w:szCs w:val="24"/>
                <w:vertAlign w:val="superscript"/>
                <w:lang w:eastAsia="ru-RU"/>
              </w:rPr>
              <w:t>♯</w:t>
            </w:r>
          </w:p>
        </w:tc>
      </w:tr>
      <w:tr w:rsidR="00225B52" w:rsidRPr="00225B52" w14:paraId="790D355E" w14:textId="77777777" w:rsidTr="00225B52">
        <w:trPr>
          <w:trHeight w:val="20"/>
        </w:trPr>
        <w:tc>
          <w:tcPr>
            <w:tcW w:w="1413" w:type="dxa"/>
            <w:vMerge/>
            <w:tcBorders>
              <w:top w:val="single" w:sz="4" w:space="0" w:color="auto"/>
            </w:tcBorders>
            <w:vAlign w:val="center"/>
          </w:tcPr>
          <w:p w14:paraId="65D2ACE5" w14:textId="77777777" w:rsidR="00225B52" w:rsidRPr="00225B52" w:rsidRDefault="00225B52" w:rsidP="00225B52">
            <w:pPr>
              <w:spacing w:line="240" w:lineRule="auto"/>
              <w:jc w:val="center"/>
              <w:rPr>
                <w:b/>
                <w:bCs/>
                <w:color w:val="auto"/>
                <w:szCs w:val="24"/>
                <w:lang w:eastAsia="ru-RU"/>
              </w:rPr>
            </w:pPr>
          </w:p>
        </w:tc>
        <w:tc>
          <w:tcPr>
            <w:tcW w:w="1417" w:type="dxa"/>
            <w:vMerge/>
            <w:tcBorders>
              <w:top w:val="single" w:sz="4" w:space="0" w:color="auto"/>
            </w:tcBorders>
            <w:noWrap/>
            <w:vAlign w:val="center"/>
            <w:hideMark/>
          </w:tcPr>
          <w:p w14:paraId="5E3FA8AD" w14:textId="77777777" w:rsidR="00225B52" w:rsidRPr="00225B52" w:rsidRDefault="00225B52" w:rsidP="00225B52">
            <w:pPr>
              <w:spacing w:line="240" w:lineRule="auto"/>
              <w:jc w:val="center"/>
              <w:rPr>
                <w:b/>
                <w:color w:val="auto"/>
                <w:szCs w:val="24"/>
                <w:lang w:eastAsia="ru-RU"/>
              </w:rPr>
            </w:pPr>
          </w:p>
        </w:tc>
        <w:tc>
          <w:tcPr>
            <w:tcW w:w="1418" w:type="dxa"/>
            <w:vMerge/>
            <w:tcBorders>
              <w:top w:val="single" w:sz="4" w:space="0" w:color="auto"/>
              <w:bottom w:val="single" w:sz="4" w:space="0" w:color="auto"/>
            </w:tcBorders>
            <w:noWrap/>
            <w:vAlign w:val="center"/>
            <w:hideMark/>
          </w:tcPr>
          <w:p w14:paraId="4B36ECBC" w14:textId="77777777" w:rsidR="00225B52" w:rsidRPr="00225B52" w:rsidRDefault="00225B52" w:rsidP="00225B52">
            <w:pPr>
              <w:spacing w:line="240" w:lineRule="auto"/>
              <w:jc w:val="center"/>
              <w:rPr>
                <w:b/>
                <w:color w:val="auto"/>
                <w:szCs w:val="24"/>
                <w:lang w:eastAsia="ru-RU"/>
              </w:rPr>
            </w:pPr>
          </w:p>
        </w:tc>
        <w:tc>
          <w:tcPr>
            <w:tcW w:w="992" w:type="dxa"/>
            <w:tcBorders>
              <w:top w:val="single" w:sz="4" w:space="0" w:color="auto"/>
              <w:bottom w:val="single" w:sz="4" w:space="0" w:color="auto"/>
            </w:tcBorders>
            <w:noWrap/>
            <w:vAlign w:val="center"/>
            <w:hideMark/>
          </w:tcPr>
          <w:p w14:paraId="1524B3C1" w14:textId="77777777" w:rsidR="00225B52" w:rsidRPr="00225B52" w:rsidRDefault="00225B52" w:rsidP="00225B52">
            <w:pPr>
              <w:spacing w:line="240" w:lineRule="auto"/>
              <w:jc w:val="center"/>
              <w:rPr>
                <w:b/>
                <w:color w:val="auto"/>
                <w:szCs w:val="24"/>
                <w:lang w:eastAsia="ru-RU"/>
              </w:rPr>
            </w:pPr>
            <w:r w:rsidRPr="00225B52">
              <w:rPr>
                <w:b/>
                <w:color w:val="auto"/>
                <w:szCs w:val="24"/>
                <w:lang w:eastAsia="ru-RU"/>
              </w:rPr>
              <w:t>A2</w:t>
            </w:r>
          </w:p>
        </w:tc>
        <w:tc>
          <w:tcPr>
            <w:tcW w:w="992" w:type="dxa"/>
            <w:tcBorders>
              <w:top w:val="single" w:sz="4" w:space="0" w:color="auto"/>
              <w:bottom w:val="single" w:sz="4" w:space="0" w:color="auto"/>
            </w:tcBorders>
            <w:noWrap/>
            <w:vAlign w:val="center"/>
            <w:hideMark/>
          </w:tcPr>
          <w:p w14:paraId="3C10A338" w14:textId="77777777" w:rsidR="00225B52" w:rsidRPr="00225B52" w:rsidRDefault="00225B52" w:rsidP="00225B52">
            <w:pPr>
              <w:spacing w:line="240" w:lineRule="auto"/>
              <w:jc w:val="center"/>
              <w:rPr>
                <w:b/>
                <w:color w:val="auto"/>
                <w:szCs w:val="24"/>
                <w:lang w:eastAsia="ru-RU"/>
              </w:rPr>
            </w:pPr>
            <w:r w:rsidRPr="00225B52">
              <w:rPr>
                <w:b/>
                <w:color w:val="auto"/>
                <w:szCs w:val="24"/>
                <w:lang w:eastAsia="ru-RU"/>
              </w:rPr>
              <w:t>CL03</w:t>
            </w:r>
          </w:p>
        </w:tc>
        <w:tc>
          <w:tcPr>
            <w:tcW w:w="993" w:type="dxa"/>
            <w:tcBorders>
              <w:top w:val="single" w:sz="4" w:space="0" w:color="auto"/>
              <w:bottom w:val="single" w:sz="4" w:space="0" w:color="auto"/>
            </w:tcBorders>
            <w:noWrap/>
            <w:vAlign w:val="center"/>
            <w:hideMark/>
          </w:tcPr>
          <w:p w14:paraId="65526658" w14:textId="77777777" w:rsidR="00225B52" w:rsidRPr="00225B52" w:rsidRDefault="00225B52" w:rsidP="00225B52">
            <w:pPr>
              <w:spacing w:line="240" w:lineRule="auto"/>
              <w:jc w:val="center"/>
              <w:rPr>
                <w:b/>
                <w:color w:val="auto"/>
                <w:szCs w:val="24"/>
                <w:lang w:eastAsia="ru-RU"/>
              </w:rPr>
            </w:pPr>
            <w:r w:rsidRPr="00225B52">
              <w:rPr>
                <w:b/>
                <w:color w:val="auto"/>
                <w:szCs w:val="24"/>
                <w:lang w:eastAsia="ru-RU"/>
              </w:rPr>
              <w:t>AP 11</w:t>
            </w:r>
          </w:p>
        </w:tc>
        <w:tc>
          <w:tcPr>
            <w:tcW w:w="992" w:type="dxa"/>
            <w:tcBorders>
              <w:top w:val="single" w:sz="4" w:space="0" w:color="auto"/>
              <w:bottom w:val="single" w:sz="4" w:space="0" w:color="auto"/>
            </w:tcBorders>
            <w:noWrap/>
            <w:vAlign w:val="center"/>
            <w:hideMark/>
          </w:tcPr>
          <w:p w14:paraId="252D375B" w14:textId="77777777" w:rsidR="00225B52" w:rsidRPr="00225B52" w:rsidRDefault="00225B52" w:rsidP="00225B52">
            <w:pPr>
              <w:spacing w:line="240" w:lineRule="auto"/>
              <w:jc w:val="center"/>
              <w:rPr>
                <w:b/>
                <w:color w:val="auto"/>
                <w:szCs w:val="24"/>
                <w:lang w:eastAsia="ru-RU"/>
              </w:rPr>
            </w:pPr>
            <w:r w:rsidRPr="00225B52">
              <w:rPr>
                <w:b/>
                <w:color w:val="auto"/>
                <w:szCs w:val="24"/>
                <w:lang w:eastAsia="ru-RU"/>
              </w:rPr>
              <w:t>AP 13</w:t>
            </w:r>
          </w:p>
        </w:tc>
        <w:tc>
          <w:tcPr>
            <w:tcW w:w="962" w:type="dxa"/>
            <w:tcBorders>
              <w:top w:val="single" w:sz="4" w:space="0" w:color="auto"/>
              <w:bottom w:val="single" w:sz="4" w:space="0" w:color="auto"/>
            </w:tcBorders>
            <w:noWrap/>
            <w:vAlign w:val="center"/>
            <w:hideMark/>
          </w:tcPr>
          <w:p w14:paraId="52B15B6D" w14:textId="77777777" w:rsidR="00225B52" w:rsidRPr="00225B52" w:rsidRDefault="00225B52" w:rsidP="00225B52">
            <w:pPr>
              <w:spacing w:line="240" w:lineRule="auto"/>
              <w:jc w:val="center"/>
              <w:rPr>
                <w:b/>
                <w:color w:val="auto"/>
                <w:szCs w:val="24"/>
                <w:lang w:eastAsia="ru-RU"/>
              </w:rPr>
            </w:pPr>
            <w:r w:rsidRPr="00225B52">
              <w:rPr>
                <w:b/>
                <w:color w:val="auto"/>
                <w:szCs w:val="24"/>
                <w:lang w:eastAsia="ru-RU"/>
              </w:rPr>
              <w:t>HU 15</w:t>
            </w:r>
          </w:p>
        </w:tc>
      </w:tr>
      <w:tr w:rsidR="00225B52" w:rsidRPr="00225B52" w14:paraId="1A83F661" w14:textId="77777777" w:rsidTr="00225B52">
        <w:trPr>
          <w:trHeight w:val="20"/>
        </w:trPr>
        <w:tc>
          <w:tcPr>
            <w:tcW w:w="1413" w:type="dxa"/>
            <w:vMerge/>
            <w:vAlign w:val="center"/>
          </w:tcPr>
          <w:p w14:paraId="0AC55003" w14:textId="77777777" w:rsidR="00225B52" w:rsidRPr="00225B52" w:rsidRDefault="00225B52" w:rsidP="00225B52">
            <w:pPr>
              <w:spacing w:line="240" w:lineRule="auto"/>
              <w:jc w:val="center"/>
              <w:rPr>
                <w:b/>
                <w:bCs/>
                <w:i/>
                <w:color w:val="auto"/>
                <w:szCs w:val="24"/>
                <w:lang w:eastAsia="ru-RU"/>
              </w:rPr>
            </w:pPr>
          </w:p>
        </w:tc>
        <w:tc>
          <w:tcPr>
            <w:tcW w:w="1417" w:type="dxa"/>
            <w:vMerge/>
            <w:noWrap/>
            <w:vAlign w:val="center"/>
          </w:tcPr>
          <w:p w14:paraId="4E9B361E" w14:textId="77777777" w:rsidR="00225B52" w:rsidRPr="00225B52" w:rsidRDefault="00225B52" w:rsidP="00225B52">
            <w:pPr>
              <w:spacing w:line="240" w:lineRule="auto"/>
              <w:jc w:val="center"/>
              <w:rPr>
                <w:color w:val="auto"/>
                <w:szCs w:val="24"/>
                <w:lang w:eastAsia="ru-RU"/>
              </w:rPr>
            </w:pPr>
          </w:p>
        </w:tc>
        <w:tc>
          <w:tcPr>
            <w:tcW w:w="6349" w:type="dxa"/>
            <w:gridSpan w:val="6"/>
            <w:tcBorders>
              <w:bottom w:val="single" w:sz="4" w:space="0" w:color="auto"/>
            </w:tcBorders>
            <w:noWrap/>
            <w:vAlign w:val="center"/>
          </w:tcPr>
          <w:p w14:paraId="3377EB20" w14:textId="77777777" w:rsidR="00225B52" w:rsidRPr="00225B52" w:rsidRDefault="00225B52" w:rsidP="00225B52">
            <w:pPr>
              <w:spacing w:line="240" w:lineRule="auto"/>
              <w:jc w:val="center"/>
              <w:rPr>
                <w:color w:val="auto"/>
                <w:szCs w:val="24"/>
                <w:lang w:eastAsia="ru-RU"/>
              </w:rPr>
            </w:pPr>
            <w:r w:rsidRPr="00225B52">
              <w:rPr>
                <w:b/>
                <w:bCs/>
                <w:color w:val="auto"/>
                <w:szCs w:val="24"/>
              </w:rPr>
              <w:t xml:space="preserve">Percentage of infected berries, </w:t>
            </w:r>
            <w:r w:rsidRPr="00225B52">
              <w:rPr>
                <w:b/>
                <w:color w:val="auto"/>
                <w:szCs w:val="24"/>
                <w:lang w:eastAsia="ru-RU"/>
              </w:rPr>
              <w:t>PIB</w:t>
            </w:r>
            <w:r w:rsidRPr="00225B52">
              <w:rPr>
                <w:b/>
                <w:bCs/>
                <w:color w:val="auto"/>
                <w:szCs w:val="24"/>
              </w:rPr>
              <w:t xml:space="preserve"> in grape bunches </w:t>
            </w:r>
            <w:r w:rsidRPr="00225B52">
              <w:rPr>
                <w:b/>
                <w:bCs/>
                <w:color w:val="auto"/>
                <w:szCs w:val="24"/>
                <w:vertAlign w:val="superscript"/>
              </w:rPr>
              <w:t>§</w:t>
            </w:r>
          </w:p>
        </w:tc>
      </w:tr>
      <w:tr w:rsidR="00225B52" w:rsidRPr="00225B52" w14:paraId="71A458C2" w14:textId="77777777" w:rsidTr="00225B52">
        <w:trPr>
          <w:trHeight w:val="20"/>
        </w:trPr>
        <w:tc>
          <w:tcPr>
            <w:tcW w:w="1413" w:type="dxa"/>
            <w:vMerge/>
            <w:tcBorders>
              <w:bottom w:val="single" w:sz="4" w:space="0" w:color="auto"/>
            </w:tcBorders>
            <w:vAlign w:val="center"/>
          </w:tcPr>
          <w:p w14:paraId="538FB337" w14:textId="77777777" w:rsidR="00225B52" w:rsidRPr="00225B52" w:rsidRDefault="00225B52" w:rsidP="00225B52">
            <w:pPr>
              <w:spacing w:line="240" w:lineRule="auto"/>
              <w:jc w:val="center"/>
              <w:rPr>
                <w:b/>
                <w:bCs/>
                <w:i/>
                <w:color w:val="auto"/>
                <w:szCs w:val="24"/>
                <w:lang w:eastAsia="ru-RU"/>
              </w:rPr>
            </w:pPr>
          </w:p>
        </w:tc>
        <w:tc>
          <w:tcPr>
            <w:tcW w:w="1417" w:type="dxa"/>
            <w:vMerge/>
            <w:tcBorders>
              <w:bottom w:val="single" w:sz="4" w:space="0" w:color="auto"/>
            </w:tcBorders>
            <w:noWrap/>
            <w:vAlign w:val="center"/>
          </w:tcPr>
          <w:p w14:paraId="4ADB25DD" w14:textId="77777777" w:rsidR="00225B52" w:rsidRPr="00225B52" w:rsidRDefault="00225B52" w:rsidP="00225B52">
            <w:pPr>
              <w:spacing w:line="240" w:lineRule="auto"/>
              <w:jc w:val="center"/>
              <w:rPr>
                <w:color w:val="auto"/>
                <w:szCs w:val="24"/>
                <w:lang w:eastAsia="ru-RU"/>
              </w:rPr>
            </w:pPr>
          </w:p>
        </w:tc>
        <w:tc>
          <w:tcPr>
            <w:tcW w:w="1418" w:type="dxa"/>
            <w:tcBorders>
              <w:top w:val="single" w:sz="4" w:space="0" w:color="auto"/>
              <w:bottom w:val="single" w:sz="4" w:space="0" w:color="auto"/>
            </w:tcBorders>
            <w:noWrap/>
            <w:vAlign w:val="center"/>
          </w:tcPr>
          <w:p w14:paraId="544863CE" w14:textId="77777777" w:rsidR="00225B52" w:rsidRPr="00225B52" w:rsidRDefault="00225B52" w:rsidP="00225B52">
            <w:pPr>
              <w:spacing w:line="240" w:lineRule="auto"/>
              <w:jc w:val="center"/>
              <w:rPr>
                <w:b/>
                <w:bCs/>
                <w:color w:val="auto"/>
                <w:szCs w:val="24"/>
              </w:rPr>
            </w:pPr>
            <w:r w:rsidRPr="00225B52">
              <w:rPr>
                <w:b/>
                <w:color w:val="auto"/>
                <w:szCs w:val="24"/>
              </w:rPr>
              <w:t>PIBC</w:t>
            </w:r>
          </w:p>
        </w:tc>
        <w:tc>
          <w:tcPr>
            <w:tcW w:w="4931" w:type="dxa"/>
            <w:gridSpan w:val="5"/>
            <w:tcBorders>
              <w:top w:val="single" w:sz="4" w:space="0" w:color="auto"/>
              <w:bottom w:val="single" w:sz="4" w:space="0" w:color="auto"/>
            </w:tcBorders>
            <w:vAlign w:val="center"/>
          </w:tcPr>
          <w:p w14:paraId="7829AB7A" w14:textId="77777777" w:rsidR="00225B52" w:rsidRPr="00225B52" w:rsidRDefault="00225B52" w:rsidP="00225B52">
            <w:pPr>
              <w:spacing w:line="240" w:lineRule="auto"/>
              <w:jc w:val="center"/>
              <w:rPr>
                <w:b/>
                <w:bCs/>
                <w:color w:val="auto"/>
                <w:szCs w:val="24"/>
              </w:rPr>
            </w:pPr>
            <w:r w:rsidRPr="00225B52">
              <w:rPr>
                <w:b/>
                <w:color w:val="auto"/>
                <w:szCs w:val="24"/>
                <w:lang w:eastAsia="ru-RU"/>
              </w:rPr>
              <w:t>PIBS</w:t>
            </w:r>
          </w:p>
        </w:tc>
      </w:tr>
      <w:tr w:rsidR="00225B52" w:rsidRPr="00225B52" w14:paraId="3D06B68D" w14:textId="77777777" w:rsidTr="00225B52">
        <w:trPr>
          <w:trHeight w:val="20"/>
        </w:trPr>
        <w:tc>
          <w:tcPr>
            <w:tcW w:w="1413" w:type="dxa"/>
            <w:vMerge w:val="restart"/>
            <w:tcBorders>
              <w:top w:val="single" w:sz="4" w:space="0" w:color="auto"/>
            </w:tcBorders>
            <w:vAlign w:val="center"/>
          </w:tcPr>
          <w:p w14:paraId="48EE0AFA" w14:textId="77777777" w:rsidR="00225B52" w:rsidRPr="00225B52" w:rsidRDefault="00225B52" w:rsidP="00225B52">
            <w:pPr>
              <w:spacing w:line="240" w:lineRule="auto"/>
              <w:jc w:val="center"/>
              <w:rPr>
                <w:b/>
                <w:bCs/>
                <w:i/>
                <w:color w:val="auto"/>
                <w:szCs w:val="24"/>
                <w:lang w:eastAsia="ru-RU"/>
              </w:rPr>
            </w:pPr>
            <w:r w:rsidRPr="00225B52">
              <w:rPr>
                <w:b/>
                <w:bCs/>
                <w:i/>
                <w:color w:val="auto"/>
                <w:szCs w:val="24"/>
                <w:lang w:eastAsia="ru-RU"/>
              </w:rPr>
              <w:t>B. cinerea</w:t>
            </w:r>
          </w:p>
          <w:p w14:paraId="6F280670" w14:textId="77777777" w:rsidR="00225B52" w:rsidRPr="00225B52" w:rsidRDefault="00225B52" w:rsidP="00225B52">
            <w:pPr>
              <w:spacing w:line="240" w:lineRule="auto"/>
              <w:jc w:val="center"/>
              <w:rPr>
                <w:b/>
                <w:i/>
                <w:color w:val="auto"/>
                <w:szCs w:val="24"/>
                <w:lang w:eastAsia="ru-RU"/>
              </w:rPr>
            </w:pPr>
            <w:r w:rsidRPr="00225B52">
              <w:rPr>
                <w:color w:val="auto"/>
                <w:szCs w:val="24"/>
              </w:rPr>
              <w:t>F-RKM 1032</w:t>
            </w:r>
          </w:p>
        </w:tc>
        <w:tc>
          <w:tcPr>
            <w:tcW w:w="1417" w:type="dxa"/>
            <w:tcBorders>
              <w:top w:val="single" w:sz="4" w:space="0" w:color="auto"/>
              <w:bottom w:val="single" w:sz="4" w:space="0" w:color="auto"/>
            </w:tcBorders>
            <w:noWrap/>
            <w:vAlign w:val="center"/>
            <w:hideMark/>
          </w:tcPr>
          <w:p w14:paraId="6D8BECEC" w14:textId="77777777" w:rsidR="00225B52" w:rsidRPr="00225B52" w:rsidRDefault="00225B52" w:rsidP="00225B52">
            <w:pPr>
              <w:spacing w:line="240" w:lineRule="auto"/>
              <w:jc w:val="center"/>
              <w:rPr>
                <w:color w:val="auto"/>
                <w:szCs w:val="24"/>
                <w:lang w:val="ru-RU" w:eastAsia="ru-RU"/>
              </w:rPr>
            </w:pPr>
            <w:r w:rsidRPr="00225B52">
              <w:rPr>
                <w:color w:val="auto"/>
                <w:szCs w:val="24"/>
                <w:lang w:eastAsia="ru-RU"/>
              </w:rPr>
              <w:t>Mean</w:t>
            </w:r>
            <w:r w:rsidRPr="00225B52">
              <w:rPr>
                <w:color w:val="auto"/>
                <w:szCs w:val="24"/>
                <w:vertAlign w:val="subscript"/>
                <w:lang w:eastAsia="ru-RU"/>
              </w:rPr>
              <w:t>cin</w:t>
            </w:r>
            <w:r w:rsidRPr="00225B52">
              <w:rPr>
                <w:color w:val="auto"/>
                <w:szCs w:val="24"/>
                <w:lang w:eastAsia="ru-RU"/>
              </w:rPr>
              <w:t xml:space="preserve"> </w:t>
            </w:r>
            <w:r w:rsidRPr="00225B52">
              <w:rPr>
                <w:b/>
                <w:color w:val="auto"/>
                <w:szCs w:val="24"/>
                <w:vertAlign w:val="superscript"/>
                <w:lang w:eastAsia="ru-RU"/>
              </w:rPr>
              <w:t>§</w:t>
            </w:r>
            <w:r w:rsidRPr="00225B52">
              <w:rPr>
                <w:b/>
                <w:color w:val="auto"/>
                <w:szCs w:val="24"/>
                <w:vertAlign w:val="superscript"/>
                <w:lang w:val="ru-RU" w:eastAsia="ru-RU"/>
              </w:rPr>
              <w:t xml:space="preserve"> </w:t>
            </w:r>
          </w:p>
        </w:tc>
        <w:tc>
          <w:tcPr>
            <w:tcW w:w="1418" w:type="dxa"/>
            <w:tcBorders>
              <w:top w:val="single" w:sz="4" w:space="0" w:color="auto"/>
              <w:bottom w:val="single" w:sz="4" w:space="0" w:color="auto"/>
            </w:tcBorders>
            <w:noWrap/>
            <w:vAlign w:val="center"/>
            <w:hideMark/>
          </w:tcPr>
          <w:p w14:paraId="2C0D0BDA"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60,55</w:t>
            </w:r>
          </w:p>
        </w:tc>
        <w:tc>
          <w:tcPr>
            <w:tcW w:w="992" w:type="dxa"/>
            <w:tcBorders>
              <w:top w:val="single" w:sz="4" w:space="0" w:color="auto"/>
              <w:bottom w:val="single" w:sz="4" w:space="0" w:color="auto"/>
            </w:tcBorders>
            <w:noWrap/>
            <w:vAlign w:val="center"/>
            <w:hideMark/>
          </w:tcPr>
          <w:p w14:paraId="0B8C7640"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13,31</w:t>
            </w:r>
          </w:p>
        </w:tc>
        <w:tc>
          <w:tcPr>
            <w:tcW w:w="992" w:type="dxa"/>
            <w:tcBorders>
              <w:top w:val="single" w:sz="4" w:space="0" w:color="auto"/>
              <w:bottom w:val="single" w:sz="4" w:space="0" w:color="auto"/>
            </w:tcBorders>
            <w:noWrap/>
            <w:vAlign w:val="center"/>
            <w:hideMark/>
          </w:tcPr>
          <w:p w14:paraId="26A136BD"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20,79</w:t>
            </w:r>
          </w:p>
        </w:tc>
        <w:tc>
          <w:tcPr>
            <w:tcW w:w="993" w:type="dxa"/>
            <w:tcBorders>
              <w:top w:val="single" w:sz="4" w:space="0" w:color="auto"/>
              <w:bottom w:val="single" w:sz="4" w:space="0" w:color="auto"/>
            </w:tcBorders>
            <w:noWrap/>
            <w:vAlign w:val="center"/>
            <w:hideMark/>
          </w:tcPr>
          <w:p w14:paraId="11BDC110"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36,49</w:t>
            </w:r>
          </w:p>
        </w:tc>
        <w:tc>
          <w:tcPr>
            <w:tcW w:w="992" w:type="dxa"/>
            <w:tcBorders>
              <w:top w:val="single" w:sz="4" w:space="0" w:color="auto"/>
              <w:bottom w:val="single" w:sz="4" w:space="0" w:color="auto"/>
            </w:tcBorders>
            <w:noWrap/>
            <w:vAlign w:val="center"/>
            <w:hideMark/>
          </w:tcPr>
          <w:p w14:paraId="37A43278"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36,37</w:t>
            </w:r>
          </w:p>
        </w:tc>
        <w:tc>
          <w:tcPr>
            <w:tcW w:w="962" w:type="dxa"/>
            <w:tcBorders>
              <w:top w:val="single" w:sz="4" w:space="0" w:color="auto"/>
              <w:bottom w:val="single" w:sz="4" w:space="0" w:color="auto"/>
            </w:tcBorders>
            <w:noWrap/>
            <w:vAlign w:val="center"/>
            <w:hideMark/>
          </w:tcPr>
          <w:p w14:paraId="3130ED27"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16,45</w:t>
            </w:r>
          </w:p>
        </w:tc>
      </w:tr>
      <w:tr w:rsidR="00225B52" w:rsidRPr="00225B52" w14:paraId="322C76BD" w14:textId="77777777" w:rsidTr="00225B52">
        <w:trPr>
          <w:trHeight w:val="20"/>
        </w:trPr>
        <w:tc>
          <w:tcPr>
            <w:tcW w:w="1413" w:type="dxa"/>
            <w:vMerge/>
            <w:tcBorders>
              <w:bottom w:val="single" w:sz="4" w:space="0" w:color="auto"/>
            </w:tcBorders>
            <w:vAlign w:val="center"/>
          </w:tcPr>
          <w:p w14:paraId="459620B4" w14:textId="77777777" w:rsidR="00225B52" w:rsidRPr="00225B52" w:rsidRDefault="00225B52" w:rsidP="00225B52">
            <w:pPr>
              <w:spacing w:line="240" w:lineRule="auto"/>
              <w:jc w:val="center"/>
              <w:rPr>
                <w:b/>
                <w:bCs/>
                <w:color w:val="auto"/>
                <w:szCs w:val="24"/>
                <w:lang w:eastAsia="ru-RU"/>
              </w:rPr>
            </w:pPr>
          </w:p>
        </w:tc>
        <w:tc>
          <w:tcPr>
            <w:tcW w:w="1417" w:type="dxa"/>
            <w:tcBorders>
              <w:top w:val="single" w:sz="4" w:space="0" w:color="auto"/>
              <w:bottom w:val="single" w:sz="4" w:space="0" w:color="auto"/>
            </w:tcBorders>
            <w:noWrap/>
            <w:vAlign w:val="center"/>
          </w:tcPr>
          <w:p w14:paraId="2B717F4B"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 xml:space="preserve">Groups </w:t>
            </w:r>
            <w:r w:rsidRPr="00225B52">
              <w:rPr>
                <w:color w:val="auto"/>
                <w:szCs w:val="24"/>
                <w:vertAlign w:val="superscript"/>
                <w:lang w:eastAsia="ru-RU"/>
              </w:rPr>
              <w:t>¥</w:t>
            </w:r>
          </w:p>
        </w:tc>
        <w:tc>
          <w:tcPr>
            <w:tcW w:w="1418" w:type="dxa"/>
            <w:tcBorders>
              <w:top w:val="single" w:sz="4" w:space="0" w:color="auto"/>
              <w:bottom w:val="single" w:sz="4" w:space="0" w:color="auto"/>
            </w:tcBorders>
            <w:noWrap/>
            <w:vAlign w:val="center"/>
          </w:tcPr>
          <w:p w14:paraId="3C2D3B49"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C</w:t>
            </w:r>
          </w:p>
        </w:tc>
        <w:tc>
          <w:tcPr>
            <w:tcW w:w="992" w:type="dxa"/>
            <w:tcBorders>
              <w:top w:val="single" w:sz="4" w:space="0" w:color="auto"/>
              <w:bottom w:val="single" w:sz="4" w:space="0" w:color="auto"/>
            </w:tcBorders>
            <w:noWrap/>
            <w:vAlign w:val="center"/>
          </w:tcPr>
          <w:p w14:paraId="2E482D99"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A</w:t>
            </w:r>
          </w:p>
        </w:tc>
        <w:tc>
          <w:tcPr>
            <w:tcW w:w="992" w:type="dxa"/>
            <w:tcBorders>
              <w:top w:val="single" w:sz="4" w:space="0" w:color="auto"/>
              <w:bottom w:val="single" w:sz="4" w:space="0" w:color="auto"/>
            </w:tcBorders>
            <w:noWrap/>
            <w:vAlign w:val="center"/>
          </w:tcPr>
          <w:p w14:paraId="220A0466"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A</w:t>
            </w:r>
          </w:p>
        </w:tc>
        <w:tc>
          <w:tcPr>
            <w:tcW w:w="993" w:type="dxa"/>
            <w:tcBorders>
              <w:top w:val="single" w:sz="4" w:space="0" w:color="auto"/>
              <w:bottom w:val="single" w:sz="4" w:space="0" w:color="auto"/>
            </w:tcBorders>
            <w:noWrap/>
            <w:vAlign w:val="center"/>
          </w:tcPr>
          <w:p w14:paraId="75579145"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B</w:t>
            </w:r>
          </w:p>
        </w:tc>
        <w:tc>
          <w:tcPr>
            <w:tcW w:w="992" w:type="dxa"/>
            <w:tcBorders>
              <w:top w:val="single" w:sz="4" w:space="0" w:color="auto"/>
              <w:bottom w:val="single" w:sz="4" w:space="0" w:color="auto"/>
            </w:tcBorders>
            <w:noWrap/>
            <w:vAlign w:val="center"/>
          </w:tcPr>
          <w:p w14:paraId="3B6D0A90"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B</w:t>
            </w:r>
          </w:p>
        </w:tc>
        <w:tc>
          <w:tcPr>
            <w:tcW w:w="962" w:type="dxa"/>
            <w:tcBorders>
              <w:top w:val="single" w:sz="4" w:space="0" w:color="auto"/>
              <w:bottom w:val="single" w:sz="4" w:space="0" w:color="auto"/>
            </w:tcBorders>
            <w:noWrap/>
            <w:vAlign w:val="center"/>
          </w:tcPr>
          <w:p w14:paraId="613B11F3"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A</w:t>
            </w:r>
          </w:p>
        </w:tc>
      </w:tr>
      <w:tr w:rsidR="00225B52" w:rsidRPr="00225B52" w14:paraId="3EB914F9" w14:textId="77777777" w:rsidTr="00225B52">
        <w:trPr>
          <w:trHeight w:val="20"/>
        </w:trPr>
        <w:tc>
          <w:tcPr>
            <w:tcW w:w="1413" w:type="dxa"/>
            <w:vMerge w:val="restart"/>
            <w:tcBorders>
              <w:top w:val="single" w:sz="4" w:space="0" w:color="auto"/>
            </w:tcBorders>
            <w:vAlign w:val="center"/>
          </w:tcPr>
          <w:p w14:paraId="6ED3F3DE" w14:textId="77777777" w:rsidR="00225B52" w:rsidRPr="00225B52" w:rsidRDefault="00225B52" w:rsidP="00225B52">
            <w:pPr>
              <w:spacing w:line="240" w:lineRule="auto"/>
              <w:jc w:val="center"/>
              <w:rPr>
                <w:b/>
                <w:bCs/>
                <w:i/>
                <w:color w:val="auto"/>
                <w:szCs w:val="24"/>
                <w:lang w:eastAsia="ru-RU"/>
              </w:rPr>
            </w:pPr>
            <w:r w:rsidRPr="00225B52">
              <w:rPr>
                <w:b/>
                <w:bCs/>
                <w:i/>
                <w:color w:val="auto"/>
                <w:szCs w:val="24"/>
                <w:lang w:eastAsia="ru-RU"/>
              </w:rPr>
              <w:t>niger</w:t>
            </w:r>
          </w:p>
          <w:p w14:paraId="543F893A" w14:textId="77777777" w:rsidR="00225B52" w:rsidRPr="00225B52" w:rsidRDefault="00225B52" w:rsidP="00225B52">
            <w:pPr>
              <w:spacing w:line="240" w:lineRule="auto"/>
              <w:jc w:val="center"/>
              <w:rPr>
                <w:b/>
                <w:i/>
                <w:color w:val="auto"/>
                <w:szCs w:val="24"/>
                <w:lang w:eastAsia="ru-RU"/>
              </w:rPr>
            </w:pPr>
            <w:r w:rsidRPr="00225B52">
              <w:rPr>
                <w:color w:val="auto"/>
                <w:szCs w:val="24"/>
              </w:rPr>
              <w:t>ATCC 6275</w:t>
            </w:r>
          </w:p>
        </w:tc>
        <w:tc>
          <w:tcPr>
            <w:tcW w:w="1417" w:type="dxa"/>
            <w:tcBorders>
              <w:top w:val="single" w:sz="4" w:space="0" w:color="auto"/>
              <w:bottom w:val="single" w:sz="4" w:space="0" w:color="auto"/>
            </w:tcBorders>
            <w:noWrap/>
            <w:vAlign w:val="center"/>
            <w:hideMark/>
          </w:tcPr>
          <w:p w14:paraId="24806065"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Mean</w:t>
            </w:r>
            <w:r w:rsidRPr="00225B52">
              <w:rPr>
                <w:color w:val="auto"/>
                <w:szCs w:val="24"/>
                <w:vertAlign w:val="subscript"/>
                <w:lang w:eastAsia="ru-RU"/>
              </w:rPr>
              <w:t>nig</w:t>
            </w:r>
            <w:r w:rsidRPr="00225B52">
              <w:rPr>
                <w:color w:val="auto"/>
                <w:szCs w:val="24"/>
                <w:lang w:eastAsia="ru-RU"/>
              </w:rPr>
              <w:t xml:space="preserve"> </w:t>
            </w:r>
          </w:p>
        </w:tc>
        <w:tc>
          <w:tcPr>
            <w:tcW w:w="1418" w:type="dxa"/>
            <w:tcBorders>
              <w:top w:val="single" w:sz="4" w:space="0" w:color="auto"/>
              <w:bottom w:val="single" w:sz="4" w:space="0" w:color="auto"/>
            </w:tcBorders>
            <w:noWrap/>
            <w:vAlign w:val="center"/>
            <w:hideMark/>
          </w:tcPr>
          <w:p w14:paraId="6BFED2DD"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46,38</w:t>
            </w:r>
          </w:p>
        </w:tc>
        <w:tc>
          <w:tcPr>
            <w:tcW w:w="992" w:type="dxa"/>
            <w:tcBorders>
              <w:top w:val="single" w:sz="4" w:space="0" w:color="auto"/>
              <w:bottom w:val="single" w:sz="4" w:space="0" w:color="auto"/>
            </w:tcBorders>
            <w:noWrap/>
            <w:vAlign w:val="center"/>
            <w:hideMark/>
          </w:tcPr>
          <w:p w14:paraId="29EC4FC3"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16,40</w:t>
            </w:r>
          </w:p>
        </w:tc>
        <w:tc>
          <w:tcPr>
            <w:tcW w:w="992" w:type="dxa"/>
            <w:tcBorders>
              <w:top w:val="single" w:sz="4" w:space="0" w:color="auto"/>
              <w:bottom w:val="single" w:sz="4" w:space="0" w:color="auto"/>
            </w:tcBorders>
            <w:noWrap/>
            <w:vAlign w:val="center"/>
            <w:hideMark/>
          </w:tcPr>
          <w:p w14:paraId="69BCBFD5"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23,6</w:t>
            </w:r>
          </w:p>
        </w:tc>
        <w:tc>
          <w:tcPr>
            <w:tcW w:w="993" w:type="dxa"/>
            <w:tcBorders>
              <w:top w:val="single" w:sz="4" w:space="0" w:color="auto"/>
              <w:bottom w:val="single" w:sz="4" w:space="0" w:color="auto"/>
            </w:tcBorders>
            <w:noWrap/>
            <w:vAlign w:val="center"/>
            <w:hideMark/>
          </w:tcPr>
          <w:p w14:paraId="09183FF9"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30,35</w:t>
            </w:r>
          </w:p>
        </w:tc>
        <w:tc>
          <w:tcPr>
            <w:tcW w:w="992" w:type="dxa"/>
            <w:tcBorders>
              <w:top w:val="single" w:sz="4" w:space="0" w:color="auto"/>
              <w:bottom w:val="single" w:sz="4" w:space="0" w:color="auto"/>
            </w:tcBorders>
            <w:noWrap/>
            <w:vAlign w:val="center"/>
            <w:hideMark/>
          </w:tcPr>
          <w:p w14:paraId="025AF506"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35,73</w:t>
            </w:r>
          </w:p>
        </w:tc>
        <w:tc>
          <w:tcPr>
            <w:tcW w:w="962" w:type="dxa"/>
            <w:tcBorders>
              <w:top w:val="single" w:sz="4" w:space="0" w:color="auto"/>
              <w:bottom w:val="single" w:sz="4" w:space="0" w:color="auto"/>
            </w:tcBorders>
            <w:noWrap/>
            <w:vAlign w:val="center"/>
            <w:hideMark/>
          </w:tcPr>
          <w:p w14:paraId="7676982E"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16,44</w:t>
            </w:r>
          </w:p>
        </w:tc>
      </w:tr>
      <w:tr w:rsidR="00225B52" w:rsidRPr="00225B52" w14:paraId="1D9F4C7A" w14:textId="77777777" w:rsidTr="00225B52">
        <w:trPr>
          <w:trHeight w:val="20"/>
        </w:trPr>
        <w:tc>
          <w:tcPr>
            <w:tcW w:w="1413" w:type="dxa"/>
            <w:vMerge/>
            <w:tcBorders>
              <w:bottom w:val="single" w:sz="4" w:space="0" w:color="auto"/>
            </w:tcBorders>
            <w:vAlign w:val="center"/>
          </w:tcPr>
          <w:p w14:paraId="5D667364" w14:textId="77777777" w:rsidR="00225B52" w:rsidRPr="00225B52" w:rsidRDefault="00225B52" w:rsidP="00225B52">
            <w:pPr>
              <w:spacing w:line="240" w:lineRule="auto"/>
              <w:jc w:val="center"/>
              <w:rPr>
                <w:b/>
                <w:bCs/>
                <w:color w:val="auto"/>
                <w:szCs w:val="24"/>
                <w:lang w:eastAsia="ru-RU"/>
              </w:rPr>
            </w:pPr>
          </w:p>
        </w:tc>
        <w:tc>
          <w:tcPr>
            <w:tcW w:w="1417" w:type="dxa"/>
            <w:tcBorders>
              <w:top w:val="single" w:sz="4" w:space="0" w:color="auto"/>
              <w:bottom w:val="single" w:sz="4" w:space="0" w:color="auto"/>
            </w:tcBorders>
            <w:noWrap/>
            <w:vAlign w:val="center"/>
          </w:tcPr>
          <w:p w14:paraId="3E65A27D"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 xml:space="preserve">Groups </w:t>
            </w:r>
            <w:r w:rsidRPr="00225B52">
              <w:rPr>
                <w:color w:val="auto"/>
                <w:szCs w:val="24"/>
                <w:vertAlign w:val="superscript"/>
                <w:lang w:eastAsia="ru-RU"/>
              </w:rPr>
              <w:t>¥</w:t>
            </w:r>
          </w:p>
        </w:tc>
        <w:tc>
          <w:tcPr>
            <w:tcW w:w="1418" w:type="dxa"/>
            <w:tcBorders>
              <w:top w:val="single" w:sz="4" w:space="0" w:color="auto"/>
              <w:bottom w:val="single" w:sz="4" w:space="0" w:color="auto"/>
            </w:tcBorders>
            <w:noWrap/>
            <w:vAlign w:val="center"/>
          </w:tcPr>
          <w:p w14:paraId="5C17631C"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C</w:t>
            </w:r>
          </w:p>
        </w:tc>
        <w:tc>
          <w:tcPr>
            <w:tcW w:w="992" w:type="dxa"/>
            <w:tcBorders>
              <w:top w:val="single" w:sz="4" w:space="0" w:color="auto"/>
              <w:bottom w:val="single" w:sz="4" w:space="0" w:color="auto"/>
            </w:tcBorders>
            <w:noWrap/>
            <w:vAlign w:val="center"/>
          </w:tcPr>
          <w:p w14:paraId="084210E0"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A</w:t>
            </w:r>
          </w:p>
        </w:tc>
        <w:tc>
          <w:tcPr>
            <w:tcW w:w="992" w:type="dxa"/>
            <w:tcBorders>
              <w:top w:val="single" w:sz="4" w:space="0" w:color="auto"/>
              <w:bottom w:val="single" w:sz="4" w:space="0" w:color="auto"/>
            </w:tcBorders>
            <w:noWrap/>
            <w:vAlign w:val="center"/>
          </w:tcPr>
          <w:p w14:paraId="698E23D6"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B</w:t>
            </w:r>
          </w:p>
        </w:tc>
        <w:tc>
          <w:tcPr>
            <w:tcW w:w="993" w:type="dxa"/>
            <w:tcBorders>
              <w:top w:val="single" w:sz="4" w:space="0" w:color="auto"/>
              <w:bottom w:val="single" w:sz="4" w:space="0" w:color="auto"/>
            </w:tcBorders>
            <w:noWrap/>
            <w:vAlign w:val="center"/>
          </w:tcPr>
          <w:p w14:paraId="0D01A701"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B</w:t>
            </w:r>
          </w:p>
        </w:tc>
        <w:tc>
          <w:tcPr>
            <w:tcW w:w="992" w:type="dxa"/>
            <w:tcBorders>
              <w:top w:val="single" w:sz="4" w:space="0" w:color="auto"/>
              <w:bottom w:val="single" w:sz="4" w:space="0" w:color="auto"/>
            </w:tcBorders>
            <w:noWrap/>
            <w:vAlign w:val="center"/>
          </w:tcPr>
          <w:p w14:paraId="1370982C"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B</w:t>
            </w:r>
          </w:p>
        </w:tc>
        <w:tc>
          <w:tcPr>
            <w:tcW w:w="962" w:type="dxa"/>
            <w:tcBorders>
              <w:top w:val="single" w:sz="4" w:space="0" w:color="auto"/>
              <w:bottom w:val="single" w:sz="4" w:space="0" w:color="auto"/>
            </w:tcBorders>
            <w:noWrap/>
            <w:vAlign w:val="center"/>
          </w:tcPr>
          <w:p w14:paraId="618A9C69"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A</w:t>
            </w:r>
          </w:p>
        </w:tc>
      </w:tr>
      <w:tr w:rsidR="00225B52" w:rsidRPr="00225B52" w14:paraId="0A2EAB7A" w14:textId="77777777" w:rsidTr="00225B52">
        <w:trPr>
          <w:trHeight w:val="20"/>
        </w:trPr>
        <w:tc>
          <w:tcPr>
            <w:tcW w:w="1413" w:type="dxa"/>
            <w:vMerge w:val="restart"/>
            <w:tcBorders>
              <w:top w:val="single" w:sz="4" w:space="0" w:color="auto"/>
              <w:bottom w:val="single" w:sz="4" w:space="0" w:color="auto"/>
            </w:tcBorders>
            <w:vAlign w:val="center"/>
          </w:tcPr>
          <w:p w14:paraId="0345A01E" w14:textId="77777777" w:rsidR="00225B52" w:rsidRPr="00225B52" w:rsidRDefault="00225B52" w:rsidP="00225B52">
            <w:pPr>
              <w:spacing w:line="240" w:lineRule="auto"/>
              <w:jc w:val="center"/>
              <w:rPr>
                <w:b/>
                <w:bCs/>
                <w:i/>
                <w:color w:val="auto"/>
                <w:szCs w:val="24"/>
                <w:lang w:eastAsia="ru-RU"/>
              </w:rPr>
            </w:pPr>
            <w:r w:rsidRPr="00225B52">
              <w:rPr>
                <w:b/>
                <w:bCs/>
                <w:i/>
                <w:color w:val="auto"/>
                <w:szCs w:val="24"/>
                <w:lang w:eastAsia="ru-RU"/>
              </w:rPr>
              <w:t>R. stolonifer</w:t>
            </w:r>
          </w:p>
          <w:p w14:paraId="211C506E" w14:textId="77777777" w:rsidR="00225B52" w:rsidRPr="00225B52" w:rsidRDefault="00225B52" w:rsidP="00225B52">
            <w:pPr>
              <w:spacing w:line="240" w:lineRule="auto"/>
              <w:jc w:val="center"/>
              <w:rPr>
                <w:b/>
                <w:color w:val="auto"/>
                <w:szCs w:val="24"/>
                <w:lang w:eastAsia="ru-RU"/>
              </w:rPr>
            </w:pPr>
            <w:r w:rsidRPr="00225B52">
              <w:rPr>
                <w:color w:val="auto"/>
                <w:szCs w:val="24"/>
              </w:rPr>
              <w:t>ATCC 6227b</w:t>
            </w:r>
          </w:p>
        </w:tc>
        <w:tc>
          <w:tcPr>
            <w:tcW w:w="1417" w:type="dxa"/>
            <w:tcBorders>
              <w:top w:val="single" w:sz="4" w:space="0" w:color="auto"/>
              <w:bottom w:val="single" w:sz="4" w:space="0" w:color="auto"/>
            </w:tcBorders>
            <w:noWrap/>
            <w:vAlign w:val="center"/>
            <w:hideMark/>
          </w:tcPr>
          <w:p w14:paraId="564641E9" w14:textId="77777777" w:rsidR="00225B52" w:rsidRPr="00225B52" w:rsidRDefault="00225B52" w:rsidP="00225B52">
            <w:pPr>
              <w:spacing w:line="240" w:lineRule="auto"/>
              <w:jc w:val="center"/>
              <w:rPr>
                <w:color w:val="auto"/>
                <w:szCs w:val="24"/>
                <w:vertAlign w:val="superscript"/>
                <w:lang w:eastAsia="ru-RU"/>
              </w:rPr>
            </w:pPr>
            <w:r w:rsidRPr="00225B52">
              <w:rPr>
                <w:color w:val="auto"/>
                <w:szCs w:val="24"/>
                <w:lang w:eastAsia="ru-RU"/>
              </w:rPr>
              <w:t>Mean</w:t>
            </w:r>
            <w:r w:rsidRPr="00225B52">
              <w:rPr>
                <w:color w:val="auto"/>
                <w:szCs w:val="24"/>
                <w:vertAlign w:val="subscript"/>
                <w:lang w:eastAsia="ru-RU"/>
              </w:rPr>
              <w:t>st</w:t>
            </w:r>
            <w:r w:rsidRPr="00225B52">
              <w:rPr>
                <w:color w:val="auto"/>
                <w:szCs w:val="24"/>
                <w:lang w:eastAsia="ru-RU"/>
              </w:rPr>
              <w:t xml:space="preserve"> </w:t>
            </w:r>
          </w:p>
        </w:tc>
        <w:tc>
          <w:tcPr>
            <w:tcW w:w="1418" w:type="dxa"/>
            <w:tcBorders>
              <w:top w:val="single" w:sz="4" w:space="0" w:color="auto"/>
              <w:bottom w:val="single" w:sz="4" w:space="0" w:color="auto"/>
            </w:tcBorders>
            <w:noWrap/>
            <w:vAlign w:val="center"/>
            <w:hideMark/>
          </w:tcPr>
          <w:p w14:paraId="605B7018"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63,53</w:t>
            </w:r>
          </w:p>
        </w:tc>
        <w:tc>
          <w:tcPr>
            <w:tcW w:w="992" w:type="dxa"/>
            <w:tcBorders>
              <w:top w:val="single" w:sz="4" w:space="0" w:color="auto"/>
              <w:bottom w:val="single" w:sz="4" w:space="0" w:color="auto"/>
            </w:tcBorders>
            <w:noWrap/>
            <w:vAlign w:val="center"/>
            <w:hideMark/>
          </w:tcPr>
          <w:p w14:paraId="2EE82A80"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32,46</w:t>
            </w:r>
          </w:p>
        </w:tc>
        <w:tc>
          <w:tcPr>
            <w:tcW w:w="992" w:type="dxa"/>
            <w:tcBorders>
              <w:top w:val="single" w:sz="4" w:space="0" w:color="auto"/>
              <w:bottom w:val="single" w:sz="4" w:space="0" w:color="auto"/>
            </w:tcBorders>
            <w:noWrap/>
            <w:vAlign w:val="center"/>
            <w:hideMark/>
          </w:tcPr>
          <w:p w14:paraId="1BB34BEA"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42,96</w:t>
            </w:r>
          </w:p>
        </w:tc>
        <w:tc>
          <w:tcPr>
            <w:tcW w:w="993" w:type="dxa"/>
            <w:tcBorders>
              <w:top w:val="single" w:sz="4" w:space="0" w:color="auto"/>
              <w:bottom w:val="single" w:sz="4" w:space="0" w:color="auto"/>
            </w:tcBorders>
            <w:noWrap/>
            <w:vAlign w:val="center"/>
            <w:hideMark/>
          </w:tcPr>
          <w:p w14:paraId="48741A90"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41,30</w:t>
            </w:r>
          </w:p>
        </w:tc>
        <w:tc>
          <w:tcPr>
            <w:tcW w:w="992" w:type="dxa"/>
            <w:tcBorders>
              <w:top w:val="single" w:sz="4" w:space="0" w:color="auto"/>
              <w:bottom w:val="single" w:sz="4" w:space="0" w:color="auto"/>
            </w:tcBorders>
            <w:noWrap/>
            <w:vAlign w:val="center"/>
            <w:hideMark/>
          </w:tcPr>
          <w:p w14:paraId="292BD5E3"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41,79</w:t>
            </w:r>
          </w:p>
        </w:tc>
        <w:tc>
          <w:tcPr>
            <w:tcW w:w="962" w:type="dxa"/>
            <w:tcBorders>
              <w:top w:val="single" w:sz="4" w:space="0" w:color="auto"/>
              <w:bottom w:val="single" w:sz="4" w:space="0" w:color="auto"/>
            </w:tcBorders>
            <w:noWrap/>
            <w:vAlign w:val="center"/>
            <w:hideMark/>
          </w:tcPr>
          <w:p w14:paraId="11B93B90"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30,18</w:t>
            </w:r>
          </w:p>
        </w:tc>
      </w:tr>
      <w:tr w:rsidR="00225B52" w:rsidRPr="00225B52" w14:paraId="7F5C7C8D" w14:textId="77777777" w:rsidTr="00225B52">
        <w:trPr>
          <w:trHeight w:val="20"/>
        </w:trPr>
        <w:tc>
          <w:tcPr>
            <w:tcW w:w="1413" w:type="dxa"/>
            <w:vMerge/>
            <w:tcBorders>
              <w:bottom w:val="single" w:sz="4" w:space="0" w:color="auto"/>
            </w:tcBorders>
            <w:vAlign w:val="center"/>
          </w:tcPr>
          <w:p w14:paraId="3B752895" w14:textId="77777777" w:rsidR="00225B52" w:rsidRPr="00225B52" w:rsidRDefault="00225B52" w:rsidP="00225B52">
            <w:pPr>
              <w:spacing w:line="240" w:lineRule="auto"/>
              <w:jc w:val="center"/>
              <w:rPr>
                <w:b/>
                <w:bCs/>
                <w:color w:val="auto"/>
                <w:szCs w:val="24"/>
                <w:lang w:eastAsia="ru-RU"/>
              </w:rPr>
            </w:pPr>
          </w:p>
        </w:tc>
        <w:tc>
          <w:tcPr>
            <w:tcW w:w="1417" w:type="dxa"/>
            <w:tcBorders>
              <w:top w:val="single" w:sz="4" w:space="0" w:color="auto"/>
              <w:bottom w:val="single" w:sz="4" w:space="0" w:color="auto"/>
            </w:tcBorders>
            <w:noWrap/>
            <w:vAlign w:val="center"/>
          </w:tcPr>
          <w:p w14:paraId="18A2BDFD"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 xml:space="preserve">Groups </w:t>
            </w:r>
            <w:r w:rsidRPr="00225B52">
              <w:rPr>
                <w:color w:val="auto"/>
                <w:szCs w:val="24"/>
                <w:vertAlign w:val="superscript"/>
                <w:lang w:eastAsia="ru-RU"/>
              </w:rPr>
              <w:t>¥</w:t>
            </w:r>
          </w:p>
        </w:tc>
        <w:tc>
          <w:tcPr>
            <w:tcW w:w="1418" w:type="dxa"/>
            <w:tcBorders>
              <w:top w:val="single" w:sz="4" w:space="0" w:color="auto"/>
              <w:bottom w:val="single" w:sz="4" w:space="0" w:color="auto"/>
            </w:tcBorders>
            <w:noWrap/>
            <w:vAlign w:val="center"/>
          </w:tcPr>
          <w:p w14:paraId="365F4EEE"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C</w:t>
            </w:r>
          </w:p>
        </w:tc>
        <w:tc>
          <w:tcPr>
            <w:tcW w:w="992" w:type="dxa"/>
            <w:tcBorders>
              <w:top w:val="single" w:sz="4" w:space="0" w:color="auto"/>
              <w:bottom w:val="single" w:sz="4" w:space="0" w:color="auto"/>
            </w:tcBorders>
            <w:noWrap/>
            <w:vAlign w:val="center"/>
          </w:tcPr>
          <w:p w14:paraId="0163C6E6"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A</w:t>
            </w:r>
          </w:p>
        </w:tc>
        <w:tc>
          <w:tcPr>
            <w:tcW w:w="992" w:type="dxa"/>
            <w:tcBorders>
              <w:top w:val="single" w:sz="4" w:space="0" w:color="auto"/>
              <w:bottom w:val="single" w:sz="4" w:space="0" w:color="auto"/>
            </w:tcBorders>
            <w:noWrap/>
            <w:vAlign w:val="center"/>
          </w:tcPr>
          <w:p w14:paraId="6BD20F23"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B</w:t>
            </w:r>
          </w:p>
        </w:tc>
        <w:tc>
          <w:tcPr>
            <w:tcW w:w="993" w:type="dxa"/>
            <w:tcBorders>
              <w:top w:val="single" w:sz="4" w:space="0" w:color="auto"/>
              <w:bottom w:val="single" w:sz="4" w:space="0" w:color="auto"/>
            </w:tcBorders>
            <w:noWrap/>
            <w:vAlign w:val="center"/>
          </w:tcPr>
          <w:p w14:paraId="749BAAA6"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B</w:t>
            </w:r>
          </w:p>
        </w:tc>
        <w:tc>
          <w:tcPr>
            <w:tcW w:w="992" w:type="dxa"/>
            <w:tcBorders>
              <w:top w:val="single" w:sz="4" w:space="0" w:color="auto"/>
              <w:bottom w:val="single" w:sz="4" w:space="0" w:color="auto"/>
            </w:tcBorders>
            <w:noWrap/>
            <w:vAlign w:val="center"/>
          </w:tcPr>
          <w:p w14:paraId="12EE8E21"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B</w:t>
            </w:r>
          </w:p>
        </w:tc>
        <w:tc>
          <w:tcPr>
            <w:tcW w:w="962" w:type="dxa"/>
            <w:tcBorders>
              <w:top w:val="single" w:sz="4" w:space="0" w:color="auto"/>
              <w:bottom w:val="single" w:sz="4" w:space="0" w:color="auto"/>
            </w:tcBorders>
            <w:noWrap/>
            <w:vAlign w:val="center"/>
          </w:tcPr>
          <w:p w14:paraId="64CF4A26" w14:textId="77777777" w:rsidR="00225B52" w:rsidRPr="00225B52" w:rsidRDefault="00225B52" w:rsidP="00225B52">
            <w:pPr>
              <w:spacing w:line="240" w:lineRule="auto"/>
              <w:jc w:val="center"/>
              <w:rPr>
                <w:color w:val="auto"/>
                <w:szCs w:val="24"/>
                <w:lang w:eastAsia="ru-RU"/>
              </w:rPr>
            </w:pPr>
            <w:r w:rsidRPr="00225B52">
              <w:rPr>
                <w:color w:val="auto"/>
                <w:szCs w:val="24"/>
                <w:lang w:eastAsia="ru-RU"/>
              </w:rPr>
              <w:t>A</w:t>
            </w:r>
          </w:p>
        </w:tc>
      </w:tr>
    </w:tbl>
    <w:p w14:paraId="1A232AE1" w14:textId="77777777" w:rsidR="00225B52" w:rsidRPr="00125A2F" w:rsidRDefault="00225B52" w:rsidP="00225B52">
      <w:pPr>
        <w:pStyle w:val="MDPI31text"/>
        <w:spacing w:line="240" w:lineRule="auto"/>
        <w:ind w:left="0" w:firstLine="0"/>
        <w:rPr>
          <w:rFonts w:ascii="Times New Roman" w:hAnsi="Times New Roman"/>
          <w:snapToGrid/>
          <w:color w:val="auto"/>
          <w:sz w:val="24"/>
          <w:szCs w:val="24"/>
          <w:lang w:eastAsia="ru-RU" w:bidi="ar-SA"/>
        </w:rPr>
      </w:pPr>
      <w:r w:rsidRPr="00125A2F">
        <w:rPr>
          <w:rFonts w:ascii="Times New Roman" w:hAnsi="Times New Roman"/>
          <w:snapToGrid/>
          <w:color w:val="auto"/>
          <w:sz w:val="24"/>
          <w:szCs w:val="24"/>
          <w:vertAlign w:val="superscript"/>
          <w:lang w:eastAsia="ru-RU" w:bidi="ar-SA"/>
        </w:rPr>
        <w:t>♯</w:t>
      </w:r>
      <w:r w:rsidRPr="00125A2F">
        <w:rPr>
          <w:rFonts w:ascii="Times New Roman" w:hAnsi="Times New Roman"/>
          <w:snapToGrid/>
          <w:color w:val="auto"/>
          <w:sz w:val="24"/>
          <w:szCs w:val="24"/>
          <w:lang w:eastAsia="ru-RU" w:bidi="ar-SA"/>
        </w:rPr>
        <w:t xml:space="preserve"> A2 - </w:t>
      </w:r>
      <w:r w:rsidRPr="00125A2F">
        <w:rPr>
          <w:rFonts w:ascii="Times New Roman" w:hAnsi="Times New Roman"/>
          <w:i/>
          <w:snapToGrid/>
          <w:color w:val="auto"/>
          <w:sz w:val="24"/>
          <w:szCs w:val="24"/>
          <w:lang w:eastAsia="ru-RU" w:bidi="ar-SA"/>
        </w:rPr>
        <w:t>M. pulcherrima</w:t>
      </w:r>
      <w:r w:rsidRPr="00125A2F">
        <w:rPr>
          <w:rFonts w:ascii="Times New Roman" w:hAnsi="Times New Roman"/>
          <w:snapToGrid/>
          <w:color w:val="auto"/>
          <w:sz w:val="24"/>
          <w:szCs w:val="24"/>
          <w:lang w:eastAsia="ru-RU" w:bidi="ar-SA"/>
        </w:rPr>
        <w:t xml:space="preserve"> strain; AP11 and AP13 – </w:t>
      </w:r>
      <w:r w:rsidRPr="00125A2F">
        <w:rPr>
          <w:rFonts w:ascii="Times New Roman" w:hAnsi="Times New Roman"/>
          <w:i/>
          <w:snapToGrid/>
          <w:color w:val="auto"/>
          <w:sz w:val="24"/>
          <w:szCs w:val="24"/>
          <w:lang w:eastAsia="ru-RU" w:bidi="ar-SA"/>
        </w:rPr>
        <w:t>A. pullulans</w:t>
      </w:r>
      <w:r w:rsidRPr="00125A2F">
        <w:rPr>
          <w:rFonts w:ascii="Times New Roman" w:hAnsi="Times New Roman"/>
          <w:snapToGrid/>
          <w:color w:val="auto"/>
          <w:sz w:val="24"/>
          <w:szCs w:val="24"/>
          <w:lang w:eastAsia="ru-RU" w:bidi="ar-SA"/>
        </w:rPr>
        <w:t xml:space="preserve"> strains; CL03 – </w:t>
      </w:r>
      <w:r w:rsidRPr="00125A2F">
        <w:rPr>
          <w:rFonts w:ascii="Times New Roman" w:hAnsi="Times New Roman"/>
          <w:i/>
          <w:snapToGrid/>
          <w:color w:val="auto"/>
          <w:sz w:val="24"/>
          <w:szCs w:val="24"/>
          <w:lang w:eastAsia="ru-RU" w:bidi="ar-SA"/>
        </w:rPr>
        <w:t xml:space="preserve">C. </w:t>
      </w:r>
      <w:proofErr w:type="spellStart"/>
      <w:r w:rsidRPr="00125A2F">
        <w:rPr>
          <w:rFonts w:ascii="Times New Roman" w:hAnsi="Times New Roman"/>
          <w:i/>
          <w:snapToGrid/>
          <w:color w:val="auto"/>
          <w:sz w:val="24"/>
          <w:szCs w:val="24"/>
          <w:lang w:eastAsia="ru-RU" w:bidi="ar-SA"/>
        </w:rPr>
        <w:t>lusitaniae</w:t>
      </w:r>
      <w:proofErr w:type="spellEnd"/>
      <w:r w:rsidRPr="00125A2F">
        <w:rPr>
          <w:rFonts w:ascii="Times New Roman" w:hAnsi="Times New Roman"/>
          <w:snapToGrid/>
          <w:color w:val="auto"/>
          <w:sz w:val="24"/>
          <w:szCs w:val="24"/>
          <w:lang w:eastAsia="ru-RU" w:bidi="ar-SA"/>
        </w:rPr>
        <w:t xml:space="preserve"> strain; HU15 – </w:t>
      </w:r>
      <w:r w:rsidRPr="00125A2F">
        <w:rPr>
          <w:rFonts w:ascii="Times New Roman" w:hAnsi="Times New Roman"/>
          <w:i/>
          <w:snapToGrid/>
          <w:color w:val="auto"/>
          <w:sz w:val="24"/>
          <w:szCs w:val="24"/>
          <w:lang w:eastAsia="ru-RU" w:bidi="ar-SA"/>
        </w:rPr>
        <w:t xml:space="preserve">H. </w:t>
      </w:r>
      <w:proofErr w:type="spellStart"/>
      <w:r w:rsidRPr="00125A2F">
        <w:rPr>
          <w:rFonts w:ascii="Times New Roman" w:hAnsi="Times New Roman"/>
          <w:i/>
          <w:snapToGrid/>
          <w:color w:val="auto"/>
          <w:sz w:val="24"/>
          <w:szCs w:val="24"/>
          <w:lang w:eastAsia="ru-RU" w:bidi="ar-SA"/>
        </w:rPr>
        <w:t>uvarum</w:t>
      </w:r>
      <w:proofErr w:type="spellEnd"/>
      <w:r w:rsidRPr="00125A2F">
        <w:rPr>
          <w:rFonts w:ascii="Times New Roman" w:hAnsi="Times New Roman"/>
          <w:snapToGrid/>
          <w:color w:val="auto"/>
          <w:sz w:val="24"/>
          <w:szCs w:val="24"/>
          <w:lang w:eastAsia="ru-RU" w:bidi="ar-SA"/>
        </w:rPr>
        <w:t xml:space="preserve"> strain 15.</w:t>
      </w:r>
    </w:p>
    <w:p w14:paraId="5230C4BE" w14:textId="77777777" w:rsidR="00225B52" w:rsidRPr="00125A2F" w:rsidRDefault="00225B52" w:rsidP="00225B52">
      <w:pPr>
        <w:pStyle w:val="MDPI31text"/>
        <w:spacing w:line="240" w:lineRule="auto"/>
        <w:ind w:left="0" w:firstLine="0"/>
        <w:rPr>
          <w:rFonts w:ascii="Times New Roman" w:hAnsi="Times New Roman"/>
          <w:snapToGrid/>
          <w:color w:val="auto"/>
          <w:sz w:val="24"/>
          <w:szCs w:val="24"/>
          <w:lang w:eastAsia="ru-RU" w:bidi="ar-SA"/>
        </w:rPr>
      </w:pPr>
      <w:r w:rsidRPr="00125A2F">
        <w:rPr>
          <w:rFonts w:ascii="Times New Roman" w:hAnsi="Times New Roman"/>
          <w:snapToGrid/>
          <w:color w:val="auto"/>
          <w:sz w:val="24"/>
          <w:szCs w:val="24"/>
          <w:vertAlign w:val="superscript"/>
          <w:lang w:eastAsia="ru-RU" w:bidi="ar-SA"/>
        </w:rPr>
        <w:t>§</w:t>
      </w:r>
      <w:r w:rsidRPr="00125A2F">
        <w:rPr>
          <w:rFonts w:ascii="Times New Roman" w:hAnsi="Times New Roman"/>
          <w:snapToGrid/>
          <w:color w:val="auto"/>
          <w:sz w:val="24"/>
          <w:szCs w:val="24"/>
          <w:lang w:eastAsia="ru-RU" w:bidi="ar-SA"/>
        </w:rPr>
        <w:t xml:space="preserve"> Values were sourced from Tables S6A through S8A in the Supplementary materials.</w:t>
      </w:r>
    </w:p>
    <w:p w14:paraId="5AF4C89E" w14:textId="33F8800C" w:rsidR="00A71BEB" w:rsidRDefault="00225B52" w:rsidP="00225B52">
      <w:pPr>
        <w:spacing w:line="240" w:lineRule="auto"/>
        <w:rPr>
          <w:b/>
          <w:color w:val="FF0000"/>
          <w:szCs w:val="24"/>
        </w:rPr>
      </w:pPr>
      <w:r w:rsidRPr="00125A2F">
        <w:rPr>
          <w:color w:val="auto"/>
          <w:szCs w:val="24"/>
          <w:vertAlign w:val="superscript"/>
          <w:lang w:eastAsia="ru-RU"/>
        </w:rPr>
        <w:t>¥</w:t>
      </w:r>
      <w:r w:rsidRPr="00125A2F">
        <w:rPr>
          <w:color w:val="auto"/>
          <w:szCs w:val="24"/>
          <w:lang w:eastAsia="ru-RU"/>
        </w:rPr>
        <w:t xml:space="preserve"> Data we collected from the Main Tables in the Supplementary materials, specifically from Tables S6B through S8B.</w:t>
      </w:r>
    </w:p>
    <w:p w14:paraId="15DD3F16" w14:textId="77777777" w:rsidR="00225B52" w:rsidRDefault="00225B52" w:rsidP="00225B52">
      <w:pPr>
        <w:spacing w:line="360" w:lineRule="auto"/>
        <w:rPr>
          <w:b/>
          <w:color w:val="FF0000"/>
          <w:szCs w:val="24"/>
        </w:rPr>
      </w:pPr>
    </w:p>
    <w:p w14:paraId="4F0086EC" w14:textId="35824B7D" w:rsidR="00225B52" w:rsidRPr="00125A2F" w:rsidRDefault="00225B52" w:rsidP="00225B52">
      <w:pPr>
        <w:spacing w:line="240" w:lineRule="auto"/>
        <w:rPr>
          <w:color w:val="auto"/>
          <w:kern w:val="2"/>
          <w:szCs w:val="24"/>
          <w14:ligatures w14:val="standardContextual"/>
        </w:rPr>
      </w:pPr>
      <w:r w:rsidRPr="00125A2F">
        <w:rPr>
          <w:b/>
          <w:color w:val="auto"/>
          <w:kern w:val="2"/>
          <w:szCs w:val="24"/>
          <w14:ligatures w14:val="standardContextual"/>
        </w:rPr>
        <w:t xml:space="preserve">Table 1B. </w:t>
      </w:r>
      <w:r w:rsidRPr="00125A2F">
        <w:rPr>
          <w:color w:val="auto"/>
          <w:kern w:val="2"/>
          <w:szCs w:val="24"/>
          <w14:ligatures w14:val="standardContextual"/>
        </w:rPr>
        <w:t xml:space="preserve">Biological control efficacy of W systems with antagonistic yeast strains against </w:t>
      </w:r>
      <w:r w:rsidRPr="00125A2F">
        <w:rPr>
          <w:i/>
          <w:color w:val="auto"/>
          <w:kern w:val="2"/>
          <w:szCs w:val="24"/>
          <w14:ligatures w14:val="standardContextual"/>
        </w:rPr>
        <w:t>B. cinerea</w:t>
      </w:r>
      <w:r w:rsidRPr="00125A2F">
        <w:rPr>
          <w:color w:val="auto"/>
          <w:kern w:val="2"/>
          <w:szCs w:val="24"/>
          <w14:ligatures w14:val="standardContextual"/>
        </w:rPr>
        <w:t xml:space="preserve"> F-RKM 1032, </w:t>
      </w:r>
      <w:r w:rsidRPr="00125A2F">
        <w:rPr>
          <w:i/>
          <w:color w:val="auto"/>
          <w:kern w:val="2"/>
          <w:szCs w:val="24"/>
          <w14:ligatures w14:val="standardContextual"/>
        </w:rPr>
        <w:t>A. niger</w:t>
      </w:r>
      <w:r w:rsidRPr="00125A2F">
        <w:rPr>
          <w:color w:val="auto"/>
          <w:kern w:val="2"/>
          <w:szCs w:val="24"/>
          <w14:ligatures w14:val="standardContextual"/>
        </w:rPr>
        <w:t xml:space="preserve"> ATCC 6275, and </w:t>
      </w:r>
      <w:r w:rsidRPr="00125A2F">
        <w:rPr>
          <w:i/>
          <w:color w:val="auto"/>
          <w:kern w:val="2"/>
          <w:szCs w:val="24"/>
          <w14:ligatures w14:val="standardContextual"/>
        </w:rPr>
        <w:t>R. stolonifer</w:t>
      </w:r>
      <w:r>
        <w:rPr>
          <w:color w:val="auto"/>
          <w:kern w:val="2"/>
          <w:szCs w:val="24"/>
          <w14:ligatures w14:val="standardContextual"/>
        </w:rPr>
        <w:t xml:space="preserve"> ATCC 6227b</w:t>
      </w:r>
    </w:p>
    <w:tbl>
      <w:tblPr>
        <w:tblW w:w="9015" w:type="dxa"/>
        <w:tblLayout w:type="fixed"/>
        <w:tblLook w:val="04A0" w:firstRow="1" w:lastRow="0" w:firstColumn="1" w:lastColumn="0" w:noHBand="0" w:noVBand="1"/>
      </w:tblPr>
      <w:tblGrid>
        <w:gridCol w:w="1083"/>
        <w:gridCol w:w="711"/>
        <w:gridCol w:w="636"/>
        <w:gridCol w:w="636"/>
        <w:gridCol w:w="616"/>
        <w:gridCol w:w="660"/>
        <w:gridCol w:w="667"/>
        <w:gridCol w:w="694"/>
        <w:gridCol w:w="640"/>
        <w:gridCol w:w="667"/>
        <w:gridCol w:w="669"/>
        <w:gridCol w:w="668"/>
        <w:gridCol w:w="668"/>
      </w:tblGrid>
      <w:tr w:rsidR="00225B52" w:rsidRPr="00225B52" w14:paraId="0A1604F3" w14:textId="77777777" w:rsidTr="00225B52">
        <w:trPr>
          <w:trHeight w:val="20"/>
        </w:trPr>
        <w:tc>
          <w:tcPr>
            <w:tcW w:w="1838" w:type="dxa"/>
            <w:vMerge w:val="restart"/>
            <w:tcBorders>
              <w:top w:val="single" w:sz="4" w:space="0" w:color="auto"/>
              <w:bottom w:val="single" w:sz="4" w:space="0" w:color="auto"/>
            </w:tcBorders>
            <w:vAlign w:val="center"/>
          </w:tcPr>
          <w:p w14:paraId="6244E798" w14:textId="77777777" w:rsidR="00225B52" w:rsidRPr="00225B52" w:rsidRDefault="00225B52" w:rsidP="00225B52">
            <w:pPr>
              <w:spacing w:line="240" w:lineRule="auto"/>
              <w:jc w:val="center"/>
              <w:rPr>
                <w:b/>
                <w:color w:val="auto"/>
                <w:sz w:val="16"/>
                <w:szCs w:val="16"/>
                <w:lang w:eastAsia="ru-RU"/>
              </w:rPr>
            </w:pPr>
            <w:r w:rsidRPr="00225B52">
              <w:rPr>
                <w:b/>
                <w:color w:val="auto"/>
                <w:sz w:val="16"/>
                <w:szCs w:val="16"/>
                <w:lang w:eastAsia="ru-RU"/>
              </w:rPr>
              <w:t>Fungal strains</w:t>
            </w:r>
          </w:p>
        </w:tc>
        <w:tc>
          <w:tcPr>
            <w:tcW w:w="1134" w:type="dxa"/>
            <w:vMerge w:val="restart"/>
            <w:tcBorders>
              <w:top w:val="single" w:sz="4" w:space="0" w:color="auto"/>
              <w:bottom w:val="single" w:sz="4" w:space="0" w:color="auto"/>
            </w:tcBorders>
            <w:vAlign w:val="center"/>
          </w:tcPr>
          <w:p w14:paraId="0875A696" w14:textId="77777777" w:rsidR="00225B52" w:rsidRPr="00225B52" w:rsidRDefault="00225B52" w:rsidP="00225B52">
            <w:pPr>
              <w:spacing w:line="240" w:lineRule="auto"/>
              <w:jc w:val="center"/>
              <w:rPr>
                <w:b/>
                <w:color w:val="auto"/>
                <w:sz w:val="16"/>
                <w:szCs w:val="16"/>
                <w:lang w:eastAsia="ru-RU"/>
              </w:rPr>
            </w:pPr>
            <w:r w:rsidRPr="00225B52">
              <w:rPr>
                <w:b/>
                <w:color w:val="auto"/>
                <w:sz w:val="16"/>
                <w:szCs w:val="16"/>
                <w:lang w:eastAsia="ru-RU"/>
              </w:rPr>
              <w:t>Groups</w:t>
            </w:r>
            <w:r w:rsidRPr="00225B52">
              <w:rPr>
                <w:b/>
                <w:color w:val="auto"/>
                <w:sz w:val="16"/>
                <w:szCs w:val="16"/>
                <w:vertAlign w:val="superscript"/>
                <w:lang w:eastAsia="ru-RU"/>
              </w:rPr>
              <w:t>¥</w:t>
            </w:r>
          </w:p>
        </w:tc>
        <w:tc>
          <w:tcPr>
            <w:tcW w:w="11339" w:type="dxa"/>
            <w:gridSpan w:val="11"/>
            <w:tcBorders>
              <w:top w:val="single" w:sz="4" w:space="0" w:color="auto"/>
              <w:bottom w:val="single" w:sz="4" w:space="0" w:color="auto"/>
            </w:tcBorders>
            <w:noWrap/>
            <w:vAlign w:val="center"/>
          </w:tcPr>
          <w:p w14:paraId="24847F57" w14:textId="77777777" w:rsidR="00225B52" w:rsidRPr="00225B52" w:rsidRDefault="00225B52" w:rsidP="00225B52">
            <w:pPr>
              <w:spacing w:line="240" w:lineRule="auto"/>
              <w:jc w:val="center"/>
              <w:rPr>
                <w:b/>
                <w:color w:val="auto"/>
                <w:sz w:val="16"/>
                <w:szCs w:val="16"/>
                <w:vertAlign w:val="superscript"/>
                <w:lang w:val="ru-RU" w:eastAsia="ru-RU"/>
              </w:rPr>
            </w:pPr>
            <w:r w:rsidRPr="00225B52">
              <w:rPr>
                <w:b/>
                <w:color w:val="auto"/>
                <w:sz w:val="16"/>
                <w:szCs w:val="16"/>
                <w:lang w:eastAsia="ru-RU"/>
              </w:rPr>
              <w:t>Yeast strains</w:t>
            </w:r>
            <w:r w:rsidRPr="00225B52">
              <w:rPr>
                <w:b/>
                <w:color w:val="auto"/>
                <w:sz w:val="16"/>
                <w:szCs w:val="16"/>
                <w:lang w:val="ru-RU" w:eastAsia="ru-RU"/>
              </w:rPr>
              <w:t xml:space="preserve"> </w:t>
            </w:r>
            <w:r w:rsidRPr="00225B52">
              <w:rPr>
                <w:b/>
                <w:color w:val="auto"/>
                <w:sz w:val="16"/>
                <w:szCs w:val="16"/>
                <w:vertAlign w:val="superscript"/>
                <w:lang w:val="ru-RU" w:eastAsia="ru-RU"/>
              </w:rPr>
              <w:t>♯</w:t>
            </w:r>
          </w:p>
        </w:tc>
      </w:tr>
      <w:tr w:rsidR="00225B52" w:rsidRPr="00225B52" w14:paraId="5962E46F" w14:textId="77777777" w:rsidTr="00225B52">
        <w:trPr>
          <w:trHeight w:val="20"/>
        </w:trPr>
        <w:tc>
          <w:tcPr>
            <w:tcW w:w="1838" w:type="dxa"/>
            <w:vMerge/>
            <w:tcBorders>
              <w:top w:val="single" w:sz="4" w:space="0" w:color="auto"/>
            </w:tcBorders>
          </w:tcPr>
          <w:p w14:paraId="09C897AD" w14:textId="77777777" w:rsidR="00225B52" w:rsidRPr="00225B52" w:rsidRDefault="00225B52" w:rsidP="00225B52">
            <w:pPr>
              <w:spacing w:line="240" w:lineRule="auto"/>
              <w:jc w:val="center"/>
              <w:rPr>
                <w:b/>
                <w:color w:val="auto"/>
                <w:sz w:val="16"/>
                <w:szCs w:val="16"/>
                <w:lang w:eastAsia="ru-RU"/>
              </w:rPr>
            </w:pPr>
          </w:p>
        </w:tc>
        <w:tc>
          <w:tcPr>
            <w:tcW w:w="1134" w:type="dxa"/>
            <w:vMerge/>
            <w:tcBorders>
              <w:top w:val="single" w:sz="4" w:space="0" w:color="auto"/>
            </w:tcBorders>
          </w:tcPr>
          <w:p w14:paraId="6F6F8091" w14:textId="77777777" w:rsidR="00225B52" w:rsidRPr="00225B52" w:rsidRDefault="00225B52" w:rsidP="00225B52">
            <w:pPr>
              <w:spacing w:line="240" w:lineRule="auto"/>
              <w:jc w:val="center"/>
              <w:rPr>
                <w:b/>
                <w:color w:val="auto"/>
                <w:sz w:val="16"/>
                <w:szCs w:val="16"/>
                <w:lang w:eastAsia="ru-RU"/>
              </w:rPr>
            </w:pPr>
          </w:p>
        </w:tc>
        <w:tc>
          <w:tcPr>
            <w:tcW w:w="992" w:type="dxa"/>
            <w:tcBorders>
              <w:top w:val="single" w:sz="4" w:space="0" w:color="auto"/>
              <w:bottom w:val="single" w:sz="4" w:space="0" w:color="auto"/>
            </w:tcBorders>
            <w:noWrap/>
            <w:vAlign w:val="center"/>
          </w:tcPr>
          <w:p w14:paraId="23A427C6" w14:textId="77777777" w:rsidR="00225B52" w:rsidRPr="00225B52" w:rsidRDefault="00225B52" w:rsidP="00225B52">
            <w:pPr>
              <w:spacing w:line="240" w:lineRule="auto"/>
              <w:jc w:val="center"/>
              <w:rPr>
                <w:b/>
                <w:color w:val="auto"/>
                <w:sz w:val="16"/>
                <w:szCs w:val="16"/>
                <w:lang w:eastAsia="ru-RU"/>
              </w:rPr>
            </w:pPr>
            <w:r w:rsidRPr="00225B52">
              <w:rPr>
                <w:b/>
                <w:color w:val="auto"/>
                <w:sz w:val="16"/>
                <w:szCs w:val="16"/>
                <w:lang w:eastAsia="ru-RU"/>
              </w:rPr>
              <w:t>A2</w:t>
            </w:r>
          </w:p>
        </w:tc>
        <w:tc>
          <w:tcPr>
            <w:tcW w:w="993" w:type="dxa"/>
            <w:tcBorders>
              <w:top w:val="single" w:sz="4" w:space="0" w:color="auto"/>
              <w:bottom w:val="single" w:sz="4" w:space="0" w:color="auto"/>
            </w:tcBorders>
            <w:noWrap/>
            <w:vAlign w:val="center"/>
          </w:tcPr>
          <w:p w14:paraId="6B969C63" w14:textId="77777777" w:rsidR="00225B52" w:rsidRPr="00225B52" w:rsidRDefault="00225B52" w:rsidP="00225B52">
            <w:pPr>
              <w:spacing w:line="240" w:lineRule="auto"/>
              <w:jc w:val="center"/>
              <w:rPr>
                <w:b/>
                <w:color w:val="auto"/>
                <w:sz w:val="16"/>
                <w:szCs w:val="16"/>
                <w:lang w:eastAsia="ru-RU"/>
              </w:rPr>
            </w:pPr>
            <w:r w:rsidRPr="00225B52">
              <w:rPr>
                <w:b/>
                <w:color w:val="auto"/>
                <w:sz w:val="16"/>
                <w:szCs w:val="16"/>
                <w:lang w:eastAsia="ru-RU"/>
              </w:rPr>
              <w:t>AP13</w:t>
            </w:r>
          </w:p>
        </w:tc>
        <w:tc>
          <w:tcPr>
            <w:tcW w:w="954" w:type="dxa"/>
            <w:tcBorders>
              <w:top w:val="single" w:sz="4" w:space="0" w:color="auto"/>
              <w:bottom w:val="single" w:sz="4" w:space="0" w:color="auto"/>
            </w:tcBorders>
            <w:noWrap/>
            <w:vAlign w:val="center"/>
          </w:tcPr>
          <w:p w14:paraId="0BFA6A6B" w14:textId="77777777" w:rsidR="00225B52" w:rsidRPr="00225B52" w:rsidRDefault="00225B52" w:rsidP="00225B52">
            <w:pPr>
              <w:spacing w:line="240" w:lineRule="auto"/>
              <w:jc w:val="center"/>
              <w:rPr>
                <w:b/>
                <w:color w:val="auto"/>
                <w:sz w:val="16"/>
                <w:szCs w:val="16"/>
                <w:lang w:eastAsia="ru-RU"/>
              </w:rPr>
            </w:pPr>
            <w:r w:rsidRPr="00225B52">
              <w:rPr>
                <w:b/>
                <w:color w:val="auto"/>
                <w:sz w:val="16"/>
                <w:szCs w:val="16"/>
                <w:lang w:eastAsia="ru-RU"/>
              </w:rPr>
              <w:t>AP06</w:t>
            </w:r>
          </w:p>
        </w:tc>
        <w:tc>
          <w:tcPr>
            <w:tcW w:w="1037" w:type="dxa"/>
            <w:tcBorders>
              <w:top w:val="single" w:sz="4" w:space="0" w:color="auto"/>
              <w:bottom w:val="single" w:sz="4" w:space="0" w:color="auto"/>
            </w:tcBorders>
            <w:noWrap/>
            <w:vAlign w:val="center"/>
          </w:tcPr>
          <w:p w14:paraId="20D14671" w14:textId="77777777" w:rsidR="00225B52" w:rsidRPr="00225B52" w:rsidRDefault="00225B52" w:rsidP="00225B52">
            <w:pPr>
              <w:spacing w:line="240" w:lineRule="auto"/>
              <w:jc w:val="center"/>
              <w:rPr>
                <w:b/>
                <w:color w:val="auto"/>
                <w:sz w:val="16"/>
                <w:szCs w:val="16"/>
                <w:lang w:eastAsia="ru-RU"/>
              </w:rPr>
            </w:pPr>
            <w:r w:rsidRPr="00225B52">
              <w:rPr>
                <w:b/>
                <w:color w:val="auto"/>
                <w:sz w:val="16"/>
                <w:szCs w:val="16"/>
                <w:lang w:eastAsia="ru-RU"/>
              </w:rPr>
              <w:t>CL03</w:t>
            </w:r>
          </w:p>
        </w:tc>
        <w:tc>
          <w:tcPr>
            <w:tcW w:w="1051" w:type="dxa"/>
            <w:tcBorders>
              <w:top w:val="single" w:sz="4" w:space="0" w:color="auto"/>
              <w:bottom w:val="single" w:sz="4" w:space="0" w:color="auto"/>
            </w:tcBorders>
            <w:noWrap/>
            <w:vAlign w:val="center"/>
          </w:tcPr>
          <w:p w14:paraId="1788200A" w14:textId="77777777" w:rsidR="00225B52" w:rsidRPr="00225B52" w:rsidRDefault="00225B52" w:rsidP="00225B52">
            <w:pPr>
              <w:spacing w:line="240" w:lineRule="auto"/>
              <w:jc w:val="center"/>
              <w:rPr>
                <w:b/>
                <w:color w:val="auto"/>
                <w:sz w:val="16"/>
                <w:szCs w:val="16"/>
                <w:lang w:eastAsia="ru-RU"/>
              </w:rPr>
            </w:pPr>
            <w:r w:rsidRPr="00225B52">
              <w:rPr>
                <w:b/>
                <w:color w:val="auto"/>
                <w:sz w:val="16"/>
                <w:szCs w:val="16"/>
                <w:lang w:eastAsia="ru-RU"/>
              </w:rPr>
              <w:t>AP11</w:t>
            </w:r>
          </w:p>
        </w:tc>
        <w:tc>
          <w:tcPr>
            <w:tcW w:w="1102" w:type="dxa"/>
            <w:tcBorders>
              <w:top w:val="single" w:sz="4" w:space="0" w:color="auto"/>
              <w:bottom w:val="single" w:sz="4" w:space="0" w:color="auto"/>
            </w:tcBorders>
            <w:noWrap/>
            <w:vAlign w:val="center"/>
          </w:tcPr>
          <w:p w14:paraId="5C41E1F1" w14:textId="77777777" w:rsidR="00225B52" w:rsidRPr="00225B52" w:rsidRDefault="00225B52" w:rsidP="00225B52">
            <w:pPr>
              <w:spacing w:line="240" w:lineRule="auto"/>
              <w:jc w:val="center"/>
              <w:rPr>
                <w:b/>
                <w:color w:val="auto"/>
                <w:sz w:val="16"/>
                <w:szCs w:val="16"/>
                <w:lang w:eastAsia="ru-RU"/>
              </w:rPr>
            </w:pPr>
            <w:r w:rsidRPr="00225B52">
              <w:rPr>
                <w:b/>
                <w:color w:val="auto"/>
                <w:sz w:val="16"/>
                <w:szCs w:val="16"/>
                <w:lang w:eastAsia="ru-RU"/>
              </w:rPr>
              <w:t>AP04</w:t>
            </w:r>
          </w:p>
        </w:tc>
        <w:tc>
          <w:tcPr>
            <w:tcW w:w="1000" w:type="dxa"/>
            <w:tcBorders>
              <w:top w:val="single" w:sz="4" w:space="0" w:color="auto"/>
              <w:bottom w:val="single" w:sz="4" w:space="0" w:color="auto"/>
            </w:tcBorders>
            <w:noWrap/>
            <w:vAlign w:val="center"/>
          </w:tcPr>
          <w:p w14:paraId="6685D13C" w14:textId="77777777" w:rsidR="00225B52" w:rsidRPr="00225B52" w:rsidRDefault="00225B52" w:rsidP="00225B52">
            <w:pPr>
              <w:spacing w:line="240" w:lineRule="auto"/>
              <w:jc w:val="center"/>
              <w:rPr>
                <w:b/>
                <w:color w:val="auto"/>
                <w:sz w:val="16"/>
                <w:szCs w:val="16"/>
                <w:lang w:eastAsia="ru-RU"/>
              </w:rPr>
            </w:pPr>
            <w:r w:rsidRPr="00225B52">
              <w:rPr>
                <w:b/>
                <w:color w:val="auto"/>
                <w:sz w:val="16"/>
                <w:szCs w:val="16"/>
                <w:lang w:eastAsia="ru-RU"/>
              </w:rPr>
              <w:t>AP08</w:t>
            </w:r>
          </w:p>
        </w:tc>
        <w:tc>
          <w:tcPr>
            <w:tcW w:w="1051" w:type="dxa"/>
            <w:tcBorders>
              <w:top w:val="single" w:sz="4" w:space="0" w:color="auto"/>
              <w:bottom w:val="single" w:sz="4" w:space="0" w:color="auto"/>
            </w:tcBorders>
            <w:noWrap/>
            <w:vAlign w:val="center"/>
          </w:tcPr>
          <w:p w14:paraId="36B8E036" w14:textId="77777777" w:rsidR="00225B52" w:rsidRPr="00225B52" w:rsidRDefault="00225B52" w:rsidP="00225B52">
            <w:pPr>
              <w:spacing w:line="240" w:lineRule="auto"/>
              <w:jc w:val="center"/>
              <w:rPr>
                <w:b/>
                <w:color w:val="auto"/>
                <w:sz w:val="16"/>
                <w:szCs w:val="16"/>
                <w:lang w:eastAsia="ru-RU"/>
              </w:rPr>
            </w:pPr>
            <w:r w:rsidRPr="00225B52">
              <w:rPr>
                <w:b/>
                <w:color w:val="auto"/>
                <w:sz w:val="16"/>
                <w:szCs w:val="16"/>
                <w:lang w:eastAsia="ru-RU"/>
              </w:rPr>
              <w:t>AP12</w:t>
            </w:r>
          </w:p>
        </w:tc>
        <w:tc>
          <w:tcPr>
            <w:tcW w:w="1054" w:type="dxa"/>
            <w:tcBorders>
              <w:top w:val="single" w:sz="4" w:space="0" w:color="auto"/>
              <w:bottom w:val="single" w:sz="4" w:space="0" w:color="auto"/>
            </w:tcBorders>
            <w:noWrap/>
            <w:vAlign w:val="center"/>
          </w:tcPr>
          <w:p w14:paraId="6D7E434B" w14:textId="77777777" w:rsidR="00225B52" w:rsidRPr="00225B52" w:rsidRDefault="00225B52" w:rsidP="00225B52">
            <w:pPr>
              <w:spacing w:line="240" w:lineRule="auto"/>
              <w:jc w:val="center"/>
              <w:rPr>
                <w:b/>
                <w:color w:val="auto"/>
                <w:sz w:val="16"/>
                <w:szCs w:val="16"/>
                <w:lang w:eastAsia="ru-RU"/>
              </w:rPr>
            </w:pPr>
            <w:r w:rsidRPr="00225B52">
              <w:rPr>
                <w:b/>
                <w:color w:val="auto"/>
                <w:sz w:val="16"/>
                <w:szCs w:val="16"/>
                <w:lang w:eastAsia="ru-RU"/>
              </w:rPr>
              <w:t>AP05</w:t>
            </w:r>
          </w:p>
        </w:tc>
        <w:tc>
          <w:tcPr>
            <w:tcW w:w="1053" w:type="dxa"/>
            <w:tcBorders>
              <w:top w:val="single" w:sz="4" w:space="0" w:color="auto"/>
              <w:bottom w:val="single" w:sz="4" w:space="0" w:color="auto"/>
            </w:tcBorders>
            <w:noWrap/>
            <w:vAlign w:val="center"/>
          </w:tcPr>
          <w:p w14:paraId="1FE87F9F" w14:textId="77777777" w:rsidR="00225B52" w:rsidRPr="00225B52" w:rsidRDefault="00225B52" w:rsidP="00225B52">
            <w:pPr>
              <w:spacing w:line="240" w:lineRule="auto"/>
              <w:jc w:val="center"/>
              <w:rPr>
                <w:b/>
                <w:color w:val="auto"/>
                <w:sz w:val="16"/>
                <w:szCs w:val="16"/>
                <w:lang w:eastAsia="ru-RU"/>
              </w:rPr>
            </w:pPr>
            <w:r w:rsidRPr="00225B52">
              <w:rPr>
                <w:b/>
                <w:color w:val="auto"/>
                <w:sz w:val="16"/>
                <w:szCs w:val="16"/>
                <w:lang w:eastAsia="ru-RU"/>
              </w:rPr>
              <w:t>CL01</w:t>
            </w:r>
          </w:p>
        </w:tc>
        <w:tc>
          <w:tcPr>
            <w:tcW w:w="1052" w:type="dxa"/>
            <w:tcBorders>
              <w:top w:val="single" w:sz="4" w:space="0" w:color="auto"/>
              <w:bottom w:val="single" w:sz="4" w:space="0" w:color="auto"/>
            </w:tcBorders>
            <w:noWrap/>
            <w:vAlign w:val="center"/>
          </w:tcPr>
          <w:p w14:paraId="3574B57A" w14:textId="77777777" w:rsidR="00225B52" w:rsidRPr="00225B52" w:rsidRDefault="00225B52" w:rsidP="00225B52">
            <w:pPr>
              <w:spacing w:line="240" w:lineRule="auto"/>
              <w:jc w:val="center"/>
              <w:rPr>
                <w:b/>
                <w:color w:val="auto"/>
                <w:sz w:val="16"/>
                <w:szCs w:val="16"/>
                <w:lang w:eastAsia="ru-RU"/>
              </w:rPr>
            </w:pPr>
            <w:r w:rsidRPr="00225B52">
              <w:rPr>
                <w:b/>
                <w:color w:val="auto"/>
                <w:sz w:val="16"/>
                <w:szCs w:val="16"/>
                <w:lang w:eastAsia="ru-RU"/>
              </w:rPr>
              <w:t>HU15</w:t>
            </w:r>
          </w:p>
        </w:tc>
      </w:tr>
      <w:tr w:rsidR="00225B52" w:rsidRPr="00225B52" w14:paraId="25C38F72" w14:textId="77777777" w:rsidTr="00225B52">
        <w:trPr>
          <w:trHeight w:val="20"/>
        </w:trPr>
        <w:tc>
          <w:tcPr>
            <w:tcW w:w="1838" w:type="dxa"/>
            <w:vMerge/>
            <w:tcBorders>
              <w:bottom w:val="single" w:sz="4" w:space="0" w:color="auto"/>
            </w:tcBorders>
          </w:tcPr>
          <w:p w14:paraId="41E24B5E" w14:textId="77777777" w:rsidR="00225B52" w:rsidRPr="00225B52" w:rsidRDefault="00225B52" w:rsidP="00225B52">
            <w:pPr>
              <w:spacing w:line="240" w:lineRule="auto"/>
              <w:jc w:val="center"/>
              <w:rPr>
                <w:b/>
                <w:color w:val="auto"/>
                <w:sz w:val="16"/>
                <w:szCs w:val="16"/>
                <w:lang w:eastAsia="ru-RU"/>
              </w:rPr>
            </w:pPr>
          </w:p>
        </w:tc>
        <w:tc>
          <w:tcPr>
            <w:tcW w:w="1134" w:type="dxa"/>
            <w:tcBorders>
              <w:bottom w:val="single" w:sz="4" w:space="0" w:color="auto"/>
            </w:tcBorders>
          </w:tcPr>
          <w:p w14:paraId="21723535" w14:textId="77777777" w:rsidR="00225B52" w:rsidRPr="00225B52" w:rsidRDefault="00225B52" w:rsidP="00225B52">
            <w:pPr>
              <w:spacing w:line="240" w:lineRule="auto"/>
              <w:jc w:val="center"/>
              <w:rPr>
                <w:b/>
                <w:color w:val="auto"/>
                <w:sz w:val="16"/>
                <w:szCs w:val="16"/>
              </w:rPr>
            </w:pPr>
          </w:p>
        </w:tc>
        <w:tc>
          <w:tcPr>
            <w:tcW w:w="11339" w:type="dxa"/>
            <w:gridSpan w:val="11"/>
            <w:tcBorders>
              <w:top w:val="single" w:sz="4" w:space="0" w:color="auto"/>
              <w:bottom w:val="single" w:sz="4" w:space="0" w:color="auto"/>
            </w:tcBorders>
            <w:noWrap/>
            <w:vAlign w:val="center"/>
          </w:tcPr>
          <w:p w14:paraId="357006D9" w14:textId="77777777" w:rsidR="00225B52" w:rsidRPr="00225B52" w:rsidRDefault="00225B52" w:rsidP="00225B52">
            <w:pPr>
              <w:spacing w:line="240" w:lineRule="auto"/>
              <w:jc w:val="center"/>
              <w:rPr>
                <w:b/>
                <w:color w:val="auto"/>
                <w:sz w:val="16"/>
                <w:szCs w:val="16"/>
                <w:lang w:eastAsia="ru-RU"/>
              </w:rPr>
            </w:pPr>
            <w:r w:rsidRPr="00225B52">
              <w:rPr>
                <w:b/>
                <w:color w:val="auto"/>
                <w:sz w:val="16"/>
                <w:szCs w:val="16"/>
              </w:rPr>
              <w:t xml:space="preserve">Biocontrol efficacy, BEW(pat), % </w:t>
            </w:r>
            <w:r w:rsidRPr="00225B52">
              <w:rPr>
                <w:b/>
                <w:color w:val="auto"/>
                <w:sz w:val="16"/>
                <w:szCs w:val="16"/>
                <w:vertAlign w:val="superscript"/>
              </w:rPr>
              <w:t>♣</w:t>
            </w:r>
          </w:p>
        </w:tc>
      </w:tr>
      <w:tr w:rsidR="00225B52" w:rsidRPr="00225B52" w14:paraId="222CD0FA" w14:textId="77777777" w:rsidTr="00225B52">
        <w:trPr>
          <w:trHeight w:val="20"/>
        </w:trPr>
        <w:tc>
          <w:tcPr>
            <w:tcW w:w="1838" w:type="dxa"/>
            <w:tcBorders>
              <w:top w:val="single" w:sz="4" w:space="0" w:color="auto"/>
              <w:bottom w:val="single" w:sz="4" w:space="0" w:color="auto"/>
            </w:tcBorders>
          </w:tcPr>
          <w:p w14:paraId="5A62CF5F" w14:textId="77777777" w:rsidR="00225B52" w:rsidRPr="00225B52" w:rsidRDefault="00225B52" w:rsidP="00225B52">
            <w:pPr>
              <w:spacing w:line="240" w:lineRule="auto"/>
              <w:jc w:val="center"/>
              <w:rPr>
                <w:b/>
                <w:i/>
                <w:color w:val="auto"/>
                <w:sz w:val="16"/>
                <w:szCs w:val="16"/>
                <w:lang w:eastAsia="ru-RU"/>
              </w:rPr>
            </w:pPr>
            <w:r w:rsidRPr="00225B52">
              <w:rPr>
                <w:b/>
                <w:i/>
                <w:color w:val="auto"/>
                <w:sz w:val="16"/>
                <w:szCs w:val="16"/>
                <w:lang w:eastAsia="ru-RU"/>
              </w:rPr>
              <w:t>B.cinerea</w:t>
            </w:r>
          </w:p>
          <w:p w14:paraId="1BBA49E1"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rPr>
              <w:t>F-RKM 1032</w:t>
            </w:r>
          </w:p>
        </w:tc>
        <w:tc>
          <w:tcPr>
            <w:tcW w:w="1134" w:type="dxa"/>
            <w:tcBorders>
              <w:top w:val="single" w:sz="4" w:space="0" w:color="auto"/>
              <w:bottom w:val="single" w:sz="4" w:space="0" w:color="auto"/>
            </w:tcBorders>
          </w:tcPr>
          <w:p w14:paraId="54B0F276" w14:textId="77777777" w:rsidR="00225B52" w:rsidRPr="00225B52" w:rsidRDefault="00225B52" w:rsidP="00225B52">
            <w:pPr>
              <w:spacing w:line="240" w:lineRule="auto"/>
              <w:jc w:val="center"/>
              <w:rPr>
                <w:color w:val="auto"/>
                <w:sz w:val="16"/>
                <w:szCs w:val="16"/>
                <w:lang w:eastAsia="ru-RU"/>
              </w:rPr>
            </w:pPr>
          </w:p>
        </w:tc>
        <w:tc>
          <w:tcPr>
            <w:tcW w:w="992" w:type="dxa"/>
            <w:tcBorders>
              <w:top w:val="single" w:sz="4" w:space="0" w:color="auto"/>
              <w:bottom w:val="single" w:sz="4" w:space="0" w:color="auto"/>
            </w:tcBorders>
            <w:noWrap/>
            <w:vAlign w:val="center"/>
            <w:hideMark/>
          </w:tcPr>
          <w:p w14:paraId="23527BC6"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77,47</w:t>
            </w:r>
          </w:p>
        </w:tc>
        <w:tc>
          <w:tcPr>
            <w:tcW w:w="993" w:type="dxa"/>
            <w:tcBorders>
              <w:top w:val="single" w:sz="4" w:space="0" w:color="auto"/>
              <w:bottom w:val="single" w:sz="4" w:space="0" w:color="auto"/>
            </w:tcBorders>
            <w:noWrap/>
            <w:vAlign w:val="center"/>
            <w:hideMark/>
          </w:tcPr>
          <w:p w14:paraId="2E632BC7"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71,65</w:t>
            </w:r>
          </w:p>
        </w:tc>
        <w:tc>
          <w:tcPr>
            <w:tcW w:w="954" w:type="dxa"/>
            <w:tcBorders>
              <w:top w:val="single" w:sz="4" w:space="0" w:color="auto"/>
              <w:bottom w:val="single" w:sz="4" w:space="0" w:color="auto"/>
            </w:tcBorders>
            <w:noWrap/>
            <w:vAlign w:val="center"/>
            <w:hideMark/>
          </w:tcPr>
          <w:p w14:paraId="2D934AC2"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15,2</w:t>
            </w:r>
          </w:p>
        </w:tc>
        <w:tc>
          <w:tcPr>
            <w:tcW w:w="1037" w:type="dxa"/>
            <w:tcBorders>
              <w:top w:val="single" w:sz="4" w:space="0" w:color="auto"/>
              <w:bottom w:val="single" w:sz="4" w:space="0" w:color="auto"/>
            </w:tcBorders>
            <w:noWrap/>
            <w:vAlign w:val="center"/>
            <w:hideMark/>
          </w:tcPr>
          <w:p w14:paraId="06A7C9AD"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65,06</w:t>
            </w:r>
          </w:p>
        </w:tc>
        <w:tc>
          <w:tcPr>
            <w:tcW w:w="1051" w:type="dxa"/>
            <w:tcBorders>
              <w:top w:val="single" w:sz="4" w:space="0" w:color="auto"/>
              <w:bottom w:val="single" w:sz="4" w:space="0" w:color="auto"/>
            </w:tcBorders>
            <w:noWrap/>
            <w:vAlign w:val="center"/>
            <w:hideMark/>
          </w:tcPr>
          <w:p w14:paraId="6DF0931D"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73,43</w:t>
            </w:r>
          </w:p>
        </w:tc>
        <w:tc>
          <w:tcPr>
            <w:tcW w:w="1102" w:type="dxa"/>
            <w:tcBorders>
              <w:top w:val="single" w:sz="4" w:space="0" w:color="auto"/>
              <w:bottom w:val="single" w:sz="4" w:space="0" w:color="auto"/>
            </w:tcBorders>
            <w:noWrap/>
            <w:vAlign w:val="center"/>
            <w:hideMark/>
          </w:tcPr>
          <w:p w14:paraId="4148B240"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12,29</w:t>
            </w:r>
          </w:p>
        </w:tc>
        <w:tc>
          <w:tcPr>
            <w:tcW w:w="1000" w:type="dxa"/>
            <w:tcBorders>
              <w:top w:val="single" w:sz="4" w:space="0" w:color="auto"/>
              <w:bottom w:val="single" w:sz="4" w:space="0" w:color="auto"/>
            </w:tcBorders>
            <w:noWrap/>
            <w:vAlign w:val="center"/>
            <w:hideMark/>
          </w:tcPr>
          <w:p w14:paraId="1CEB1EB0"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12,83</w:t>
            </w:r>
          </w:p>
        </w:tc>
        <w:tc>
          <w:tcPr>
            <w:tcW w:w="1051" w:type="dxa"/>
            <w:tcBorders>
              <w:top w:val="single" w:sz="4" w:space="0" w:color="auto"/>
              <w:bottom w:val="single" w:sz="4" w:space="0" w:color="auto"/>
            </w:tcBorders>
            <w:noWrap/>
            <w:vAlign w:val="center"/>
            <w:hideMark/>
          </w:tcPr>
          <w:p w14:paraId="03050CD3"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21,81</w:t>
            </w:r>
          </w:p>
        </w:tc>
        <w:tc>
          <w:tcPr>
            <w:tcW w:w="1054" w:type="dxa"/>
            <w:tcBorders>
              <w:top w:val="single" w:sz="4" w:space="0" w:color="auto"/>
              <w:bottom w:val="single" w:sz="4" w:space="0" w:color="auto"/>
            </w:tcBorders>
            <w:noWrap/>
            <w:vAlign w:val="center"/>
            <w:hideMark/>
          </w:tcPr>
          <w:p w14:paraId="73C9A7AE"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13,73</w:t>
            </w:r>
          </w:p>
        </w:tc>
        <w:tc>
          <w:tcPr>
            <w:tcW w:w="1053" w:type="dxa"/>
            <w:tcBorders>
              <w:top w:val="single" w:sz="4" w:space="0" w:color="auto"/>
              <w:bottom w:val="single" w:sz="4" w:space="0" w:color="auto"/>
            </w:tcBorders>
            <w:noWrap/>
            <w:vAlign w:val="center"/>
            <w:hideMark/>
          </w:tcPr>
          <w:p w14:paraId="1A32C4CA"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25,74</w:t>
            </w:r>
          </w:p>
        </w:tc>
        <w:tc>
          <w:tcPr>
            <w:tcW w:w="1052" w:type="dxa"/>
            <w:tcBorders>
              <w:top w:val="single" w:sz="4" w:space="0" w:color="auto"/>
              <w:bottom w:val="single" w:sz="4" w:space="0" w:color="auto"/>
            </w:tcBorders>
            <w:noWrap/>
            <w:vAlign w:val="center"/>
            <w:hideMark/>
          </w:tcPr>
          <w:p w14:paraId="28B42644"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78,56</w:t>
            </w:r>
          </w:p>
        </w:tc>
      </w:tr>
      <w:tr w:rsidR="00225B52" w:rsidRPr="00225B52" w14:paraId="77587A14" w14:textId="77777777" w:rsidTr="00225B52">
        <w:trPr>
          <w:trHeight w:val="20"/>
        </w:trPr>
        <w:tc>
          <w:tcPr>
            <w:tcW w:w="1838" w:type="dxa"/>
            <w:tcBorders>
              <w:top w:val="single" w:sz="4" w:space="0" w:color="auto"/>
              <w:bottom w:val="single" w:sz="4" w:space="0" w:color="auto"/>
            </w:tcBorders>
          </w:tcPr>
          <w:p w14:paraId="2C59CB3B" w14:textId="77777777" w:rsidR="00225B52" w:rsidRPr="00225B52" w:rsidRDefault="00225B52" w:rsidP="00225B52">
            <w:pPr>
              <w:spacing w:line="240" w:lineRule="auto"/>
              <w:jc w:val="center"/>
              <w:rPr>
                <w:color w:val="auto"/>
                <w:sz w:val="16"/>
                <w:szCs w:val="16"/>
                <w:lang w:eastAsia="ru-RU"/>
              </w:rPr>
            </w:pPr>
          </w:p>
        </w:tc>
        <w:tc>
          <w:tcPr>
            <w:tcW w:w="1134" w:type="dxa"/>
            <w:tcBorders>
              <w:top w:val="single" w:sz="4" w:space="0" w:color="auto"/>
              <w:bottom w:val="single" w:sz="4" w:space="0" w:color="auto"/>
            </w:tcBorders>
          </w:tcPr>
          <w:p w14:paraId="0BD66A0F" w14:textId="77777777" w:rsidR="00225B52" w:rsidRPr="00225B52" w:rsidRDefault="00225B52" w:rsidP="00225B52">
            <w:pPr>
              <w:spacing w:line="240" w:lineRule="auto"/>
              <w:jc w:val="center"/>
              <w:rPr>
                <w:color w:val="auto"/>
                <w:sz w:val="16"/>
                <w:szCs w:val="16"/>
                <w:lang w:eastAsia="ru-RU"/>
              </w:rPr>
            </w:pPr>
            <w:r w:rsidRPr="00225B52">
              <w:rPr>
                <w:b/>
                <w:color w:val="auto"/>
                <w:sz w:val="16"/>
                <w:szCs w:val="16"/>
                <w:lang w:eastAsia="ru-RU"/>
              </w:rPr>
              <w:t>Groups</w:t>
            </w:r>
          </w:p>
        </w:tc>
        <w:tc>
          <w:tcPr>
            <w:tcW w:w="992" w:type="dxa"/>
            <w:tcBorders>
              <w:top w:val="single" w:sz="4" w:space="0" w:color="auto"/>
              <w:bottom w:val="single" w:sz="4" w:space="0" w:color="auto"/>
            </w:tcBorders>
            <w:noWrap/>
            <w:vAlign w:val="center"/>
          </w:tcPr>
          <w:p w14:paraId="3BAF69D6"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A</w:t>
            </w:r>
          </w:p>
        </w:tc>
        <w:tc>
          <w:tcPr>
            <w:tcW w:w="993" w:type="dxa"/>
            <w:tcBorders>
              <w:top w:val="single" w:sz="4" w:space="0" w:color="auto"/>
              <w:bottom w:val="single" w:sz="4" w:space="0" w:color="auto"/>
            </w:tcBorders>
            <w:noWrap/>
            <w:vAlign w:val="center"/>
          </w:tcPr>
          <w:p w14:paraId="537C0CE9"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B</w:t>
            </w:r>
          </w:p>
        </w:tc>
        <w:tc>
          <w:tcPr>
            <w:tcW w:w="954" w:type="dxa"/>
            <w:tcBorders>
              <w:top w:val="single" w:sz="4" w:space="0" w:color="auto"/>
              <w:bottom w:val="single" w:sz="4" w:space="0" w:color="auto"/>
            </w:tcBorders>
            <w:noWrap/>
            <w:vAlign w:val="center"/>
          </w:tcPr>
          <w:p w14:paraId="59081C23"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D</w:t>
            </w:r>
          </w:p>
        </w:tc>
        <w:tc>
          <w:tcPr>
            <w:tcW w:w="1037" w:type="dxa"/>
            <w:tcBorders>
              <w:top w:val="single" w:sz="4" w:space="0" w:color="auto"/>
              <w:bottom w:val="single" w:sz="4" w:space="0" w:color="auto"/>
            </w:tcBorders>
            <w:noWrap/>
            <w:vAlign w:val="center"/>
          </w:tcPr>
          <w:p w14:paraId="272C4E39"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B</w:t>
            </w:r>
          </w:p>
        </w:tc>
        <w:tc>
          <w:tcPr>
            <w:tcW w:w="1051" w:type="dxa"/>
            <w:tcBorders>
              <w:top w:val="single" w:sz="4" w:space="0" w:color="auto"/>
              <w:bottom w:val="single" w:sz="4" w:space="0" w:color="auto"/>
            </w:tcBorders>
            <w:noWrap/>
            <w:vAlign w:val="center"/>
          </w:tcPr>
          <w:p w14:paraId="69C19C93"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B</w:t>
            </w:r>
          </w:p>
        </w:tc>
        <w:tc>
          <w:tcPr>
            <w:tcW w:w="1102" w:type="dxa"/>
            <w:tcBorders>
              <w:top w:val="single" w:sz="4" w:space="0" w:color="auto"/>
              <w:bottom w:val="single" w:sz="4" w:space="0" w:color="auto"/>
            </w:tcBorders>
            <w:noWrap/>
            <w:vAlign w:val="center"/>
          </w:tcPr>
          <w:p w14:paraId="43A09243"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D</w:t>
            </w:r>
          </w:p>
        </w:tc>
        <w:tc>
          <w:tcPr>
            <w:tcW w:w="1000" w:type="dxa"/>
            <w:tcBorders>
              <w:top w:val="single" w:sz="4" w:space="0" w:color="auto"/>
              <w:bottom w:val="single" w:sz="4" w:space="0" w:color="auto"/>
            </w:tcBorders>
            <w:noWrap/>
            <w:vAlign w:val="center"/>
          </w:tcPr>
          <w:p w14:paraId="0217EC89"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D</w:t>
            </w:r>
          </w:p>
        </w:tc>
        <w:tc>
          <w:tcPr>
            <w:tcW w:w="1051" w:type="dxa"/>
            <w:tcBorders>
              <w:top w:val="single" w:sz="4" w:space="0" w:color="auto"/>
              <w:bottom w:val="single" w:sz="4" w:space="0" w:color="auto"/>
            </w:tcBorders>
            <w:noWrap/>
            <w:vAlign w:val="center"/>
          </w:tcPr>
          <w:p w14:paraId="6AD9EF3A"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C</w:t>
            </w:r>
          </w:p>
        </w:tc>
        <w:tc>
          <w:tcPr>
            <w:tcW w:w="1054" w:type="dxa"/>
            <w:tcBorders>
              <w:top w:val="single" w:sz="4" w:space="0" w:color="auto"/>
              <w:bottom w:val="single" w:sz="4" w:space="0" w:color="auto"/>
            </w:tcBorders>
            <w:noWrap/>
            <w:vAlign w:val="center"/>
          </w:tcPr>
          <w:p w14:paraId="45BB6B66"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C</w:t>
            </w:r>
          </w:p>
        </w:tc>
        <w:tc>
          <w:tcPr>
            <w:tcW w:w="1053" w:type="dxa"/>
            <w:tcBorders>
              <w:top w:val="single" w:sz="4" w:space="0" w:color="auto"/>
              <w:bottom w:val="single" w:sz="4" w:space="0" w:color="auto"/>
            </w:tcBorders>
            <w:noWrap/>
            <w:vAlign w:val="center"/>
          </w:tcPr>
          <w:p w14:paraId="4214050A"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C</w:t>
            </w:r>
          </w:p>
        </w:tc>
        <w:tc>
          <w:tcPr>
            <w:tcW w:w="1052" w:type="dxa"/>
            <w:tcBorders>
              <w:top w:val="single" w:sz="4" w:space="0" w:color="auto"/>
              <w:bottom w:val="single" w:sz="4" w:space="0" w:color="auto"/>
            </w:tcBorders>
            <w:noWrap/>
            <w:vAlign w:val="center"/>
          </w:tcPr>
          <w:p w14:paraId="15123A6F"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A</w:t>
            </w:r>
          </w:p>
        </w:tc>
      </w:tr>
      <w:tr w:rsidR="00225B52" w:rsidRPr="00225B52" w14:paraId="6BE43796" w14:textId="77777777" w:rsidTr="00225B52">
        <w:trPr>
          <w:trHeight w:val="20"/>
        </w:trPr>
        <w:tc>
          <w:tcPr>
            <w:tcW w:w="1838" w:type="dxa"/>
            <w:tcBorders>
              <w:top w:val="single" w:sz="4" w:space="0" w:color="auto"/>
              <w:bottom w:val="single" w:sz="4" w:space="0" w:color="auto"/>
            </w:tcBorders>
          </w:tcPr>
          <w:p w14:paraId="18505597" w14:textId="77777777" w:rsidR="00225B52" w:rsidRPr="00225B52" w:rsidRDefault="00225B52" w:rsidP="00225B52">
            <w:pPr>
              <w:spacing w:line="240" w:lineRule="auto"/>
              <w:jc w:val="center"/>
              <w:rPr>
                <w:b/>
                <w:i/>
                <w:color w:val="auto"/>
                <w:sz w:val="16"/>
                <w:szCs w:val="16"/>
                <w:lang w:eastAsia="ru-RU"/>
              </w:rPr>
            </w:pPr>
            <w:r w:rsidRPr="00225B52">
              <w:rPr>
                <w:b/>
                <w:i/>
                <w:color w:val="auto"/>
                <w:sz w:val="16"/>
                <w:szCs w:val="16"/>
                <w:lang w:eastAsia="ru-RU"/>
              </w:rPr>
              <w:t>A.niger</w:t>
            </w:r>
          </w:p>
          <w:p w14:paraId="5CF0534D"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rPr>
              <w:t>ATCC 6275</w:t>
            </w:r>
          </w:p>
        </w:tc>
        <w:tc>
          <w:tcPr>
            <w:tcW w:w="1134" w:type="dxa"/>
            <w:tcBorders>
              <w:top w:val="single" w:sz="4" w:space="0" w:color="auto"/>
              <w:bottom w:val="single" w:sz="4" w:space="0" w:color="auto"/>
            </w:tcBorders>
          </w:tcPr>
          <w:p w14:paraId="0AB89BD3" w14:textId="77777777" w:rsidR="00225B52" w:rsidRPr="00225B52" w:rsidRDefault="00225B52" w:rsidP="00225B52">
            <w:pPr>
              <w:spacing w:line="240" w:lineRule="auto"/>
              <w:jc w:val="center"/>
              <w:rPr>
                <w:color w:val="auto"/>
                <w:sz w:val="16"/>
                <w:szCs w:val="16"/>
                <w:lang w:eastAsia="ru-RU"/>
              </w:rPr>
            </w:pPr>
          </w:p>
        </w:tc>
        <w:tc>
          <w:tcPr>
            <w:tcW w:w="992" w:type="dxa"/>
            <w:tcBorders>
              <w:top w:val="single" w:sz="4" w:space="0" w:color="auto"/>
              <w:bottom w:val="single" w:sz="4" w:space="0" w:color="auto"/>
            </w:tcBorders>
            <w:noWrap/>
            <w:vAlign w:val="center"/>
            <w:hideMark/>
          </w:tcPr>
          <w:p w14:paraId="673EA1E0"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77,76</w:t>
            </w:r>
          </w:p>
        </w:tc>
        <w:tc>
          <w:tcPr>
            <w:tcW w:w="993" w:type="dxa"/>
            <w:tcBorders>
              <w:top w:val="single" w:sz="4" w:space="0" w:color="auto"/>
              <w:bottom w:val="single" w:sz="4" w:space="0" w:color="auto"/>
            </w:tcBorders>
            <w:noWrap/>
            <w:vAlign w:val="center"/>
            <w:hideMark/>
          </w:tcPr>
          <w:p w14:paraId="68D4FF5D"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70,54</w:t>
            </w:r>
          </w:p>
        </w:tc>
        <w:tc>
          <w:tcPr>
            <w:tcW w:w="954" w:type="dxa"/>
            <w:tcBorders>
              <w:top w:val="single" w:sz="4" w:space="0" w:color="auto"/>
              <w:bottom w:val="single" w:sz="4" w:space="0" w:color="auto"/>
            </w:tcBorders>
            <w:noWrap/>
            <w:vAlign w:val="center"/>
            <w:hideMark/>
          </w:tcPr>
          <w:p w14:paraId="4E558FB1"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23,1</w:t>
            </w:r>
          </w:p>
        </w:tc>
        <w:tc>
          <w:tcPr>
            <w:tcW w:w="1037" w:type="dxa"/>
            <w:tcBorders>
              <w:top w:val="single" w:sz="4" w:space="0" w:color="auto"/>
              <w:bottom w:val="single" w:sz="4" w:space="0" w:color="auto"/>
            </w:tcBorders>
            <w:noWrap/>
            <w:vAlign w:val="center"/>
            <w:hideMark/>
          </w:tcPr>
          <w:p w14:paraId="43764B46"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56,96</w:t>
            </w:r>
          </w:p>
        </w:tc>
        <w:tc>
          <w:tcPr>
            <w:tcW w:w="1051" w:type="dxa"/>
            <w:tcBorders>
              <w:top w:val="single" w:sz="4" w:space="0" w:color="auto"/>
              <w:bottom w:val="single" w:sz="4" w:space="0" w:color="auto"/>
            </w:tcBorders>
            <w:noWrap/>
            <w:vAlign w:val="center"/>
            <w:hideMark/>
          </w:tcPr>
          <w:p w14:paraId="2C328B55"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63,43</w:t>
            </w:r>
          </w:p>
        </w:tc>
        <w:tc>
          <w:tcPr>
            <w:tcW w:w="1102" w:type="dxa"/>
            <w:tcBorders>
              <w:top w:val="single" w:sz="4" w:space="0" w:color="auto"/>
              <w:bottom w:val="single" w:sz="4" w:space="0" w:color="auto"/>
            </w:tcBorders>
            <w:noWrap/>
            <w:vAlign w:val="center"/>
            <w:hideMark/>
          </w:tcPr>
          <w:p w14:paraId="2A17F99F"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25,74</w:t>
            </w:r>
          </w:p>
        </w:tc>
        <w:tc>
          <w:tcPr>
            <w:tcW w:w="1000" w:type="dxa"/>
            <w:tcBorders>
              <w:top w:val="single" w:sz="4" w:space="0" w:color="auto"/>
              <w:bottom w:val="single" w:sz="4" w:space="0" w:color="auto"/>
            </w:tcBorders>
            <w:noWrap/>
            <w:vAlign w:val="center"/>
            <w:hideMark/>
          </w:tcPr>
          <w:p w14:paraId="74D01603"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26,8</w:t>
            </w:r>
          </w:p>
        </w:tc>
        <w:tc>
          <w:tcPr>
            <w:tcW w:w="1051" w:type="dxa"/>
            <w:tcBorders>
              <w:top w:val="single" w:sz="4" w:space="0" w:color="auto"/>
              <w:bottom w:val="single" w:sz="4" w:space="0" w:color="auto"/>
            </w:tcBorders>
            <w:noWrap/>
            <w:vAlign w:val="center"/>
            <w:hideMark/>
          </w:tcPr>
          <w:p w14:paraId="6DE95557"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37,87</w:t>
            </w:r>
          </w:p>
        </w:tc>
        <w:tc>
          <w:tcPr>
            <w:tcW w:w="1054" w:type="dxa"/>
            <w:tcBorders>
              <w:top w:val="single" w:sz="4" w:space="0" w:color="auto"/>
              <w:bottom w:val="single" w:sz="4" w:space="0" w:color="auto"/>
            </w:tcBorders>
            <w:noWrap/>
            <w:vAlign w:val="center"/>
            <w:hideMark/>
          </w:tcPr>
          <w:p w14:paraId="2B7BEC4F"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27,94</w:t>
            </w:r>
          </w:p>
        </w:tc>
        <w:tc>
          <w:tcPr>
            <w:tcW w:w="1053" w:type="dxa"/>
            <w:tcBorders>
              <w:top w:val="single" w:sz="4" w:space="0" w:color="auto"/>
              <w:bottom w:val="single" w:sz="4" w:space="0" w:color="auto"/>
            </w:tcBorders>
            <w:noWrap/>
            <w:vAlign w:val="center"/>
            <w:hideMark/>
          </w:tcPr>
          <w:p w14:paraId="4C25565C"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22,98</w:t>
            </w:r>
          </w:p>
        </w:tc>
        <w:tc>
          <w:tcPr>
            <w:tcW w:w="1052" w:type="dxa"/>
            <w:tcBorders>
              <w:top w:val="single" w:sz="4" w:space="0" w:color="auto"/>
              <w:bottom w:val="single" w:sz="4" w:space="0" w:color="auto"/>
            </w:tcBorders>
            <w:noWrap/>
            <w:vAlign w:val="center"/>
            <w:hideMark/>
          </w:tcPr>
          <w:p w14:paraId="4F6EE216"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71,35</w:t>
            </w:r>
          </w:p>
        </w:tc>
      </w:tr>
      <w:tr w:rsidR="00225B52" w:rsidRPr="00225B52" w14:paraId="3E351FF1" w14:textId="77777777" w:rsidTr="00225B52">
        <w:trPr>
          <w:trHeight w:val="20"/>
        </w:trPr>
        <w:tc>
          <w:tcPr>
            <w:tcW w:w="1838" w:type="dxa"/>
            <w:tcBorders>
              <w:top w:val="single" w:sz="4" w:space="0" w:color="auto"/>
              <w:bottom w:val="single" w:sz="4" w:space="0" w:color="auto"/>
            </w:tcBorders>
          </w:tcPr>
          <w:p w14:paraId="2D356E47" w14:textId="77777777" w:rsidR="00225B52" w:rsidRPr="00225B52" w:rsidRDefault="00225B52" w:rsidP="00225B52">
            <w:pPr>
              <w:spacing w:line="240" w:lineRule="auto"/>
              <w:jc w:val="center"/>
              <w:rPr>
                <w:color w:val="auto"/>
                <w:sz w:val="16"/>
                <w:szCs w:val="16"/>
                <w:lang w:eastAsia="ru-RU"/>
              </w:rPr>
            </w:pPr>
          </w:p>
        </w:tc>
        <w:tc>
          <w:tcPr>
            <w:tcW w:w="1134" w:type="dxa"/>
            <w:tcBorders>
              <w:top w:val="single" w:sz="4" w:space="0" w:color="auto"/>
              <w:bottom w:val="single" w:sz="4" w:space="0" w:color="auto"/>
            </w:tcBorders>
          </w:tcPr>
          <w:p w14:paraId="75D46C23" w14:textId="77777777" w:rsidR="00225B52" w:rsidRPr="00225B52" w:rsidRDefault="00225B52" w:rsidP="00225B52">
            <w:pPr>
              <w:spacing w:line="240" w:lineRule="auto"/>
              <w:jc w:val="center"/>
              <w:rPr>
                <w:color w:val="auto"/>
                <w:sz w:val="16"/>
                <w:szCs w:val="16"/>
                <w:lang w:eastAsia="ru-RU"/>
              </w:rPr>
            </w:pPr>
            <w:r w:rsidRPr="00225B52">
              <w:rPr>
                <w:b/>
                <w:color w:val="auto"/>
                <w:sz w:val="16"/>
                <w:szCs w:val="16"/>
                <w:lang w:eastAsia="ru-RU"/>
              </w:rPr>
              <w:t>Groups</w:t>
            </w:r>
          </w:p>
        </w:tc>
        <w:tc>
          <w:tcPr>
            <w:tcW w:w="992" w:type="dxa"/>
            <w:tcBorders>
              <w:top w:val="single" w:sz="4" w:space="0" w:color="auto"/>
              <w:bottom w:val="single" w:sz="4" w:space="0" w:color="auto"/>
            </w:tcBorders>
            <w:noWrap/>
            <w:vAlign w:val="center"/>
          </w:tcPr>
          <w:p w14:paraId="71456C74"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A</w:t>
            </w:r>
          </w:p>
        </w:tc>
        <w:tc>
          <w:tcPr>
            <w:tcW w:w="993" w:type="dxa"/>
            <w:tcBorders>
              <w:top w:val="single" w:sz="4" w:space="0" w:color="auto"/>
              <w:bottom w:val="single" w:sz="4" w:space="0" w:color="auto"/>
            </w:tcBorders>
            <w:noWrap/>
            <w:vAlign w:val="center"/>
          </w:tcPr>
          <w:p w14:paraId="0F5E9428"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B</w:t>
            </w:r>
          </w:p>
        </w:tc>
        <w:tc>
          <w:tcPr>
            <w:tcW w:w="954" w:type="dxa"/>
            <w:tcBorders>
              <w:top w:val="single" w:sz="4" w:space="0" w:color="auto"/>
              <w:bottom w:val="single" w:sz="4" w:space="0" w:color="auto"/>
            </w:tcBorders>
            <w:noWrap/>
            <w:vAlign w:val="center"/>
          </w:tcPr>
          <w:p w14:paraId="3A66794E"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D</w:t>
            </w:r>
          </w:p>
        </w:tc>
        <w:tc>
          <w:tcPr>
            <w:tcW w:w="1037" w:type="dxa"/>
            <w:tcBorders>
              <w:top w:val="single" w:sz="4" w:space="0" w:color="auto"/>
              <w:bottom w:val="single" w:sz="4" w:space="0" w:color="auto"/>
            </w:tcBorders>
            <w:noWrap/>
            <w:vAlign w:val="center"/>
          </w:tcPr>
          <w:p w14:paraId="084876B6"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B</w:t>
            </w:r>
          </w:p>
        </w:tc>
        <w:tc>
          <w:tcPr>
            <w:tcW w:w="1051" w:type="dxa"/>
            <w:tcBorders>
              <w:top w:val="single" w:sz="4" w:space="0" w:color="auto"/>
              <w:bottom w:val="single" w:sz="4" w:space="0" w:color="auto"/>
            </w:tcBorders>
            <w:noWrap/>
            <w:vAlign w:val="center"/>
          </w:tcPr>
          <w:p w14:paraId="5EFEE1A2"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B</w:t>
            </w:r>
          </w:p>
        </w:tc>
        <w:tc>
          <w:tcPr>
            <w:tcW w:w="1102" w:type="dxa"/>
            <w:tcBorders>
              <w:top w:val="single" w:sz="4" w:space="0" w:color="auto"/>
              <w:bottom w:val="single" w:sz="4" w:space="0" w:color="auto"/>
            </w:tcBorders>
            <w:noWrap/>
            <w:vAlign w:val="center"/>
          </w:tcPr>
          <w:p w14:paraId="7322E28F"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C</w:t>
            </w:r>
          </w:p>
        </w:tc>
        <w:tc>
          <w:tcPr>
            <w:tcW w:w="1000" w:type="dxa"/>
            <w:tcBorders>
              <w:top w:val="single" w:sz="4" w:space="0" w:color="auto"/>
              <w:bottom w:val="single" w:sz="4" w:space="0" w:color="auto"/>
            </w:tcBorders>
            <w:noWrap/>
            <w:vAlign w:val="center"/>
          </w:tcPr>
          <w:p w14:paraId="1C5A7892"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C</w:t>
            </w:r>
          </w:p>
        </w:tc>
        <w:tc>
          <w:tcPr>
            <w:tcW w:w="1051" w:type="dxa"/>
            <w:tcBorders>
              <w:top w:val="single" w:sz="4" w:space="0" w:color="auto"/>
              <w:bottom w:val="single" w:sz="4" w:space="0" w:color="auto"/>
            </w:tcBorders>
            <w:noWrap/>
            <w:vAlign w:val="center"/>
          </w:tcPr>
          <w:p w14:paraId="55D02CD0"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C</w:t>
            </w:r>
          </w:p>
        </w:tc>
        <w:tc>
          <w:tcPr>
            <w:tcW w:w="1054" w:type="dxa"/>
            <w:tcBorders>
              <w:top w:val="single" w:sz="4" w:space="0" w:color="auto"/>
              <w:bottom w:val="single" w:sz="4" w:space="0" w:color="auto"/>
            </w:tcBorders>
            <w:noWrap/>
            <w:vAlign w:val="center"/>
          </w:tcPr>
          <w:p w14:paraId="2E54151C"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C</w:t>
            </w:r>
          </w:p>
        </w:tc>
        <w:tc>
          <w:tcPr>
            <w:tcW w:w="1053" w:type="dxa"/>
            <w:tcBorders>
              <w:top w:val="single" w:sz="4" w:space="0" w:color="auto"/>
              <w:bottom w:val="single" w:sz="4" w:space="0" w:color="auto"/>
            </w:tcBorders>
            <w:noWrap/>
            <w:vAlign w:val="center"/>
          </w:tcPr>
          <w:p w14:paraId="6ABA9C13"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D</w:t>
            </w:r>
          </w:p>
        </w:tc>
        <w:tc>
          <w:tcPr>
            <w:tcW w:w="1052" w:type="dxa"/>
            <w:tcBorders>
              <w:top w:val="single" w:sz="4" w:space="0" w:color="auto"/>
              <w:bottom w:val="single" w:sz="4" w:space="0" w:color="auto"/>
            </w:tcBorders>
            <w:noWrap/>
            <w:vAlign w:val="center"/>
          </w:tcPr>
          <w:p w14:paraId="14027AFE"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A</w:t>
            </w:r>
          </w:p>
        </w:tc>
      </w:tr>
      <w:tr w:rsidR="00225B52" w:rsidRPr="00225B52" w14:paraId="7BA8D3F2" w14:textId="77777777" w:rsidTr="00225B52">
        <w:trPr>
          <w:trHeight w:val="20"/>
        </w:trPr>
        <w:tc>
          <w:tcPr>
            <w:tcW w:w="1838" w:type="dxa"/>
            <w:tcBorders>
              <w:top w:val="single" w:sz="4" w:space="0" w:color="auto"/>
              <w:bottom w:val="single" w:sz="4" w:space="0" w:color="auto"/>
            </w:tcBorders>
          </w:tcPr>
          <w:p w14:paraId="171726D6" w14:textId="77777777" w:rsidR="00225B52" w:rsidRPr="00225B52" w:rsidRDefault="00225B52" w:rsidP="00225B52">
            <w:pPr>
              <w:spacing w:line="240" w:lineRule="auto"/>
              <w:jc w:val="center"/>
              <w:rPr>
                <w:b/>
                <w:i/>
                <w:color w:val="auto"/>
                <w:sz w:val="16"/>
                <w:szCs w:val="16"/>
                <w:lang w:eastAsia="ru-RU"/>
              </w:rPr>
            </w:pPr>
            <w:r w:rsidRPr="00225B52">
              <w:rPr>
                <w:b/>
                <w:i/>
                <w:color w:val="auto"/>
                <w:sz w:val="16"/>
                <w:szCs w:val="16"/>
                <w:lang w:eastAsia="ru-RU"/>
              </w:rPr>
              <w:lastRenderedPageBreak/>
              <w:t>R.stolonifer</w:t>
            </w:r>
          </w:p>
          <w:p w14:paraId="6E39A1C0"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rPr>
              <w:t>ATCC 6227b</w:t>
            </w:r>
          </w:p>
        </w:tc>
        <w:tc>
          <w:tcPr>
            <w:tcW w:w="1134" w:type="dxa"/>
            <w:tcBorders>
              <w:top w:val="single" w:sz="4" w:space="0" w:color="auto"/>
              <w:bottom w:val="single" w:sz="4" w:space="0" w:color="auto"/>
            </w:tcBorders>
          </w:tcPr>
          <w:p w14:paraId="33FF43ED" w14:textId="77777777" w:rsidR="00225B52" w:rsidRPr="00225B52" w:rsidRDefault="00225B52" w:rsidP="00225B52">
            <w:pPr>
              <w:spacing w:line="240" w:lineRule="auto"/>
              <w:jc w:val="center"/>
              <w:rPr>
                <w:color w:val="auto"/>
                <w:sz w:val="16"/>
                <w:szCs w:val="16"/>
                <w:lang w:eastAsia="ru-RU"/>
              </w:rPr>
            </w:pPr>
          </w:p>
        </w:tc>
        <w:tc>
          <w:tcPr>
            <w:tcW w:w="992" w:type="dxa"/>
            <w:tcBorders>
              <w:top w:val="single" w:sz="4" w:space="0" w:color="auto"/>
              <w:bottom w:val="single" w:sz="4" w:space="0" w:color="auto"/>
            </w:tcBorders>
            <w:noWrap/>
            <w:vAlign w:val="center"/>
            <w:hideMark/>
          </w:tcPr>
          <w:p w14:paraId="62DDBAA1"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73,57</w:t>
            </w:r>
          </w:p>
        </w:tc>
        <w:tc>
          <w:tcPr>
            <w:tcW w:w="993" w:type="dxa"/>
            <w:tcBorders>
              <w:top w:val="single" w:sz="4" w:space="0" w:color="auto"/>
              <w:bottom w:val="single" w:sz="4" w:space="0" w:color="auto"/>
            </w:tcBorders>
            <w:noWrap/>
            <w:vAlign w:val="center"/>
            <w:hideMark/>
          </w:tcPr>
          <w:p w14:paraId="6F4DA307"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68,68</w:t>
            </w:r>
          </w:p>
        </w:tc>
        <w:tc>
          <w:tcPr>
            <w:tcW w:w="954" w:type="dxa"/>
            <w:tcBorders>
              <w:top w:val="single" w:sz="4" w:space="0" w:color="auto"/>
              <w:bottom w:val="single" w:sz="4" w:space="0" w:color="auto"/>
            </w:tcBorders>
            <w:noWrap/>
            <w:vAlign w:val="center"/>
            <w:hideMark/>
          </w:tcPr>
          <w:p w14:paraId="10743D01"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10,8</w:t>
            </w:r>
          </w:p>
        </w:tc>
        <w:tc>
          <w:tcPr>
            <w:tcW w:w="1037" w:type="dxa"/>
            <w:tcBorders>
              <w:top w:val="single" w:sz="4" w:space="0" w:color="auto"/>
              <w:bottom w:val="single" w:sz="4" w:space="0" w:color="auto"/>
            </w:tcBorders>
            <w:noWrap/>
            <w:vAlign w:val="center"/>
            <w:hideMark/>
          </w:tcPr>
          <w:p w14:paraId="565513C6"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68,16</w:t>
            </w:r>
          </w:p>
        </w:tc>
        <w:tc>
          <w:tcPr>
            <w:tcW w:w="1051" w:type="dxa"/>
            <w:tcBorders>
              <w:top w:val="single" w:sz="4" w:space="0" w:color="auto"/>
              <w:bottom w:val="single" w:sz="4" w:space="0" w:color="auto"/>
            </w:tcBorders>
            <w:noWrap/>
            <w:vAlign w:val="center"/>
            <w:hideMark/>
          </w:tcPr>
          <w:p w14:paraId="18E4668D"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70,88</w:t>
            </w:r>
          </w:p>
        </w:tc>
        <w:tc>
          <w:tcPr>
            <w:tcW w:w="1102" w:type="dxa"/>
            <w:tcBorders>
              <w:top w:val="single" w:sz="4" w:space="0" w:color="auto"/>
              <w:bottom w:val="single" w:sz="4" w:space="0" w:color="auto"/>
            </w:tcBorders>
            <w:noWrap/>
            <w:vAlign w:val="center"/>
            <w:hideMark/>
          </w:tcPr>
          <w:p w14:paraId="0D3EFDFA"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13,6</w:t>
            </w:r>
          </w:p>
        </w:tc>
        <w:tc>
          <w:tcPr>
            <w:tcW w:w="1000" w:type="dxa"/>
            <w:tcBorders>
              <w:top w:val="single" w:sz="4" w:space="0" w:color="auto"/>
              <w:bottom w:val="single" w:sz="4" w:space="0" w:color="auto"/>
            </w:tcBorders>
            <w:noWrap/>
            <w:vAlign w:val="center"/>
            <w:hideMark/>
          </w:tcPr>
          <w:p w14:paraId="44A20FA0"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15,44</w:t>
            </w:r>
          </w:p>
        </w:tc>
        <w:tc>
          <w:tcPr>
            <w:tcW w:w="1051" w:type="dxa"/>
            <w:tcBorders>
              <w:top w:val="single" w:sz="4" w:space="0" w:color="auto"/>
              <w:bottom w:val="single" w:sz="4" w:space="0" w:color="auto"/>
            </w:tcBorders>
            <w:noWrap/>
            <w:vAlign w:val="center"/>
            <w:hideMark/>
          </w:tcPr>
          <w:p w14:paraId="183E429F"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20,45</w:t>
            </w:r>
          </w:p>
        </w:tc>
        <w:tc>
          <w:tcPr>
            <w:tcW w:w="1054" w:type="dxa"/>
            <w:tcBorders>
              <w:top w:val="single" w:sz="4" w:space="0" w:color="auto"/>
              <w:bottom w:val="single" w:sz="4" w:space="0" w:color="auto"/>
            </w:tcBorders>
            <w:noWrap/>
            <w:vAlign w:val="center"/>
            <w:hideMark/>
          </w:tcPr>
          <w:p w14:paraId="278E8AE8"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12,55</w:t>
            </w:r>
          </w:p>
        </w:tc>
        <w:tc>
          <w:tcPr>
            <w:tcW w:w="1053" w:type="dxa"/>
            <w:tcBorders>
              <w:top w:val="single" w:sz="4" w:space="0" w:color="auto"/>
              <w:bottom w:val="single" w:sz="4" w:space="0" w:color="auto"/>
            </w:tcBorders>
            <w:noWrap/>
            <w:vAlign w:val="center"/>
            <w:hideMark/>
          </w:tcPr>
          <w:p w14:paraId="2273A227"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17,32</w:t>
            </w:r>
          </w:p>
        </w:tc>
        <w:tc>
          <w:tcPr>
            <w:tcW w:w="1052" w:type="dxa"/>
            <w:tcBorders>
              <w:top w:val="single" w:sz="4" w:space="0" w:color="auto"/>
              <w:bottom w:val="single" w:sz="4" w:space="0" w:color="auto"/>
            </w:tcBorders>
            <w:noWrap/>
            <w:vAlign w:val="center"/>
            <w:hideMark/>
          </w:tcPr>
          <w:p w14:paraId="49206AAA"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76,33</w:t>
            </w:r>
          </w:p>
        </w:tc>
      </w:tr>
      <w:tr w:rsidR="00225B52" w:rsidRPr="00225B52" w14:paraId="0B9EC99E" w14:textId="77777777" w:rsidTr="00225B52">
        <w:trPr>
          <w:trHeight w:val="20"/>
        </w:trPr>
        <w:tc>
          <w:tcPr>
            <w:tcW w:w="1838" w:type="dxa"/>
            <w:tcBorders>
              <w:top w:val="single" w:sz="4" w:space="0" w:color="auto"/>
              <w:bottom w:val="single" w:sz="4" w:space="0" w:color="auto"/>
            </w:tcBorders>
          </w:tcPr>
          <w:p w14:paraId="16D7E31A" w14:textId="77777777" w:rsidR="00225B52" w:rsidRPr="00225B52" w:rsidRDefault="00225B52" w:rsidP="00225B52">
            <w:pPr>
              <w:spacing w:line="240" w:lineRule="auto"/>
              <w:jc w:val="center"/>
              <w:rPr>
                <w:color w:val="auto"/>
                <w:sz w:val="16"/>
                <w:szCs w:val="16"/>
                <w:lang w:eastAsia="ru-RU"/>
              </w:rPr>
            </w:pPr>
          </w:p>
        </w:tc>
        <w:tc>
          <w:tcPr>
            <w:tcW w:w="1134" w:type="dxa"/>
            <w:tcBorders>
              <w:top w:val="single" w:sz="4" w:space="0" w:color="auto"/>
              <w:bottom w:val="single" w:sz="4" w:space="0" w:color="auto"/>
            </w:tcBorders>
          </w:tcPr>
          <w:p w14:paraId="73301D68" w14:textId="77777777" w:rsidR="00225B52" w:rsidRPr="00225B52" w:rsidRDefault="00225B52" w:rsidP="00225B52">
            <w:pPr>
              <w:spacing w:line="240" w:lineRule="auto"/>
              <w:jc w:val="center"/>
              <w:rPr>
                <w:color w:val="auto"/>
                <w:sz w:val="16"/>
                <w:szCs w:val="16"/>
                <w:lang w:eastAsia="ru-RU"/>
              </w:rPr>
            </w:pPr>
            <w:r w:rsidRPr="00225B52">
              <w:rPr>
                <w:b/>
                <w:color w:val="auto"/>
                <w:sz w:val="16"/>
                <w:szCs w:val="16"/>
                <w:lang w:eastAsia="ru-RU"/>
              </w:rPr>
              <w:t>Groups</w:t>
            </w:r>
          </w:p>
        </w:tc>
        <w:tc>
          <w:tcPr>
            <w:tcW w:w="992" w:type="dxa"/>
            <w:tcBorders>
              <w:top w:val="single" w:sz="4" w:space="0" w:color="auto"/>
              <w:bottom w:val="single" w:sz="4" w:space="0" w:color="auto"/>
            </w:tcBorders>
            <w:noWrap/>
            <w:vAlign w:val="center"/>
          </w:tcPr>
          <w:p w14:paraId="17E50B21"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A</w:t>
            </w:r>
          </w:p>
        </w:tc>
        <w:tc>
          <w:tcPr>
            <w:tcW w:w="993" w:type="dxa"/>
            <w:tcBorders>
              <w:top w:val="single" w:sz="4" w:space="0" w:color="auto"/>
              <w:bottom w:val="single" w:sz="4" w:space="0" w:color="auto"/>
            </w:tcBorders>
            <w:noWrap/>
            <w:vAlign w:val="center"/>
          </w:tcPr>
          <w:p w14:paraId="48E8BDA4"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B</w:t>
            </w:r>
          </w:p>
        </w:tc>
        <w:tc>
          <w:tcPr>
            <w:tcW w:w="954" w:type="dxa"/>
            <w:tcBorders>
              <w:top w:val="single" w:sz="4" w:space="0" w:color="auto"/>
              <w:bottom w:val="single" w:sz="4" w:space="0" w:color="auto"/>
            </w:tcBorders>
            <w:noWrap/>
            <w:vAlign w:val="center"/>
          </w:tcPr>
          <w:p w14:paraId="23C00F73"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D</w:t>
            </w:r>
          </w:p>
        </w:tc>
        <w:tc>
          <w:tcPr>
            <w:tcW w:w="1037" w:type="dxa"/>
            <w:tcBorders>
              <w:top w:val="single" w:sz="4" w:space="0" w:color="auto"/>
              <w:bottom w:val="single" w:sz="4" w:space="0" w:color="auto"/>
            </w:tcBorders>
            <w:noWrap/>
            <w:vAlign w:val="center"/>
          </w:tcPr>
          <w:p w14:paraId="1A1D8493"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B</w:t>
            </w:r>
          </w:p>
        </w:tc>
        <w:tc>
          <w:tcPr>
            <w:tcW w:w="1051" w:type="dxa"/>
            <w:tcBorders>
              <w:top w:val="single" w:sz="4" w:space="0" w:color="auto"/>
              <w:bottom w:val="single" w:sz="4" w:space="0" w:color="auto"/>
            </w:tcBorders>
            <w:noWrap/>
            <w:vAlign w:val="center"/>
          </w:tcPr>
          <w:p w14:paraId="7973AE0D"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A</w:t>
            </w:r>
          </w:p>
        </w:tc>
        <w:tc>
          <w:tcPr>
            <w:tcW w:w="1102" w:type="dxa"/>
            <w:tcBorders>
              <w:top w:val="single" w:sz="4" w:space="0" w:color="auto"/>
              <w:bottom w:val="single" w:sz="4" w:space="0" w:color="auto"/>
            </w:tcBorders>
            <w:noWrap/>
            <w:vAlign w:val="center"/>
          </w:tcPr>
          <w:p w14:paraId="65E920D5"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D</w:t>
            </w:r>
          </w:p>
        </w:tc>
        <w:tc>
          <w:tcPr>
            <w:tcW w:w="1000" w:type="dxa"/>
            <w:tcBorders>
              <w:top w:val="single" w:sz="4" w:space="0" w:color="auto"/>
              <w:bottom w:val="single" w:sz="4" w:space="0" w:color="auto"/>
            </w:tcBorders>
            <w:noWrap/>
            <w:vAlign w:val="center"/>
          </w:tcPr>
          <w:p w14:paraId="3B9D6BD0"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C</w:t>
            </w:r>
          </w:p>
        </w:tc>
        <w:tc>
          <w:tcPr>
            <w:tcW w:w="1051" w:type="dxa"/>
            <w:tcBorders>
              <w:top w:val="single" w:sz="4" w:space="0" w:color="auto"/>
              <w:bottom w:val="single" w:sz="4" w:space="0" w:color="auto"/>
            </w:tcBorders>
            <w:noWrap/>
            <w:vAlign w:val="center"/>
          </w:tcPr>
          <w:p w14:paraId="213DDBA3"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C</w:t>
            </w:r>
          </w:p>
        </w:tc>
        <w:tc>
          <w:tcPr>
            <w:tcW w:w="1054" w:type="dxa"/>
            <w:tcBorders>
              <w:top w:val="single" w:sz="4" w:space="0" w:color="auto"/>
              <w:bottom w:val="single" w:sz="4" w:space="0" w:color="auto"/>
            </w:tcBorders>
            <w:noWrap/>
            <w:vAlign w:val="center"/>
          </w:tcPr>
          <w:p w14:paraId="5D1FC438"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D</w:t>
            </w:r>
          </w:p>
        </w:tc>
        <w:tc>
          <w:tcPr>
            <w:tcW w:w="1053" w:type="dxa"/>
            <w:tcBorders>
              <w:top w:val="single" w:sz="4" w:space="0" w:color="auto"/>
              <w:bottom w:val="single" w:sz="4" w:space="0" w:color="auto"/>
            </w:tcBorders>
            <w:noWrap/>
            <w:vAlign w:val="center"/>
          </w:tcPr>
          <w:p w14:paraId="26B7878A"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C</w:t>
            </w:r>
          </w:p>
        </w:tc>
        <w:tc>
          <w:tcPr>
            <w:tcW w:w="1052" w:type="dxa"/>
            <w:tcBorders>
              <w:top w:val="single" w:sz="4" w:space="0" w:color="auto"/>
              <w:bottom w:val="single" w:sz="4" w:space="0" w:color="auto"/>
            </w:tcBorders>
            <w:noWrap/>
            <w:vAlign w:val="center"/>
          </w:tcPr>
          <w:p w14:paraId="69D781E3" w14:textId="77777777" w:rsidR="00225B52" w:rsidRPr="00225B52" w:rsidRDefault="00225B52" w:rsidP="00225B52">
            <w:pPr>
              <w:spacing w:line="240" w:lineRule="auto"/>
              <w:jc w:val="center"/>
              <w:rPr>
                <w:color w:val="auto"/>
                <w:sz w:val="16"/>
                <w:szCs w:val="16"/>
                <w:lang w:eastAsia="ru-RU"/>
              </w:rPr>
            </w:pPr>
            <w:r w:rsidRPr="00225B52">
              <w:rPr>
                <w:color w:val="auto"/>
                <w:sz w:val="16"/>
                <w:szCs w:val="16"/>
                <w:lang w:eastAsia="ru-RU"/>
              </w:rPr>
              <w:t>A</w:t>
            </w:r>
          </w:p>
        </w:tc>
      </w:tr>
    </w:tbl>
    <w:p w14:paraId="3179343C" w14:textId="77777777" w:rsidR="00225B52" w:rsidRPr="00125A2F" w:rsidRDefault="00225B52" w:rsidP="00225B52">
      <w:pPr>
        <w:spacing w:line="240" w:lineRule="auto"/>
        <w:rPr>
          <w:color w:val="auto"/>
          <w:szCs w:val="24"/>
          <w:lang w:eastAsia="ru-RU"/>
        </w:rPr>
      </w:pPr>
      <w:r w:rsidRPr="00125A2F">
        <w:rPr>
          <w:color w:val="auto"/>
          <w:szCs w:val="24"/>
          <w:vertAlign w:val="superscript"/>
          <w:lang w:eastAsia="ru-RU"/>
        </w:rPr>
        <w:t>♣</w:t>
      </w:r>
      <w:r w:rsidRPr="00125A2F">
        <w:rPr>
          <w:color w:val="auto"/>
          <w:szCs w:val="24"/>
          <w:lang w:eastAsia="ru-RU"/>
        </w:rPr>
        <w:t xml:space="preserve"> Values were calculated using Formula (2) from Section 2.8 in the Materials and Methods. </w:t>
      </w:r>
    </w:p>
    <w:p w14:paraId="11D5AADB" w14:textId="77777777" w:rsidR="00225B52" w:rsidRPr="00125A2F" w:rsidRDefault="00225B52" w:rsidP="00225B52">
      <w:pPr>
        <w:spacing w:line="240" w:lineRule="auto"/>
        <w:rPr>
          <w:color w:val="auto"/>
          <w:szCs w:val="24"/>
          <w:lang w:eastAsia="ru-RU"/>
        </w:rPr>
      </w:pPr>
      <w:r w:rsidRPr="00125A2F">
        <w:rPr>
          <w:color w:val="auto"/>
          <w:szCs w:val="24"/>
          <w:vertAlign w:val="superscript"/>
          <w:lang w:eastAsia="ru-RU"/>
        </w:rPr>
        <w:t xml:space="preserve">¥ </w:t>
      </w:r>
      <w:r w:rsidRPr="00125A2F">
        <w:rPr>
          <w:color w:val="auto"/>
          <w:szCs w:val="24"/>
          <w:lang w:eastAsia="ru-RU"/>
        </w:rPr>
        <w:t>Groups are sourced from Table 1A.</w:t>
      </w:r>
    </w:p>
    <w:p w14:paraId="3DAB0DBA" w14:textId="4D084ADB" w:rsidR="00225B52" w:rsidRDefault="00225B52" w:rsidP="00225B52">
      <w:pPr>
        <w:spacing w:line="240" w:lineRule="auto"/>
        <w:rPr>
          <w:color w:val="auto"/>
          <w:szCs w:val="24"/>
          <w:lang w:eastAsia="ru-RU"/>
        </w:rPr>
      </w:pPr>
      <w:r w:rsidRPr="00125A2F">
        <w:rPr>
          <w:b/>
          <w:color w:val="auto"/>
          <w:szCs w:val="24"/>
          <w:vertAlign w:val="superscript"/>
          <w:lang w:eastAsia="ru-RU"/>
        </w:rPr>
        <w:t xml:space="preserve">♯ </w:t>
      </w:r>
      <w:r w:rsidRPr="00125A2F">
        <w:rPr>
          <w:color w:val="auto"/>
          <w:szCs w:val="24"/>
          <w:lang w:eastAsia="ru-RU"/>
        </w:rPr>
        <w:t>A2 -</w:t>
      </w:r>
      <w:r w:rsidRPr="00125A2F">
        <w:rPr>
          <w:b/>
          <w:color w:val="auto"/>
          <w:szCs w:val="24"/>
          <w:lang w:eastAsia="ru-RU"/>
        </w:rPr>
        <w:t xml:space="preserve"> </w:t>
      </w:r>
      <w:r w:rsidRPr="00125A2F">
        <w:rPr>
          <w:i/>
          <w:color w:val="auto"/>
          <w:szCs w:val="24"/>
          <w:lang w:eastAsia="ru-RU"/>
        </w:rPr>
        <w:t xml:space="preserve">M. pulcherrima </w:t>
      </w:r>
      <w:r w:rsidRPr="00125A2F">
        <w:rPr>
          <w:color w:val="auto"/>
          <w:szCs w:val="24"/>
          <w:lang w:eastAsia="ru-RU"/>
        </w:rPr>
        <w:t xml:space="preserve">A2; AP – </w:t>
      </w:r>
      <w:r w:rsidRPr="00125A2F">
        <w:rPr>
          <w:i/>
          <w:color w:val="auto"/>
          <w:szCs w:val="24"/>
          <w:lang w:eastAsia="ru-RU"/>
        </w:rPr>
        <w:t>A. pullulans</w:t>
      </w:r>
      <w:r w:rsidRPr="00125A2F">
        <w:rPr>
          <w:color w:val="auto"/>
          <w:szCs w:val="24"/>
          <w:lang w:eastAsia="ru-RU"/>
        </w:rPr>
        <w:t xml:space="preserve"> strains 13, 06, 11, 04, 08, 12, and 05; CL – </w:t>
      </w:r>
      <w:r w:rsidRPr="00125A2F">
        <w:rPr>
          <w:i/>
          <w:color w:val="auto"/>
          <w:szCs w:val="24"/>
          <w:lang w:eastAsia="ru-RU"/>
        </w:rPr>
        <w:t>C. lusitaniae</w:t>
      </w:r>
      <w:r w:rsidRPr="00125A2F">
        <w:rPr>
          <w:color w:val="auto"/>
          <w:szCs w:val="24"/>
          <w:lang w:eastAsia="ru-RU"/>
        </w:rPr>
        <w:t xml:space="preserve"> strains 03 and 01; HU – </w:t>
      </w:r>
      <w:r w:rsidRPr="00125A2F">
        <w:rPr>
          <w:i/>
          <w:color w:val="auto"/>
          <w:szCs w:val="24"/>
          <w:lang w:eastAsia="ru-RU"/>
        </w:rPr>
        <w:t>H. uvarum</w:t>
      </w:r>
      <w:r w:rsidRPr="00125A2F">
        <w:rPr>
          <w:color w:val="auto"/>
          <w:szCs w:val="24"/>
          <w:lang w:eastAsia="ru-RU"/>
        </w:rPr>
        <w:t xml:space="preserve"> strain 15.</w:t>
      </w:r>
    </w:p>
    <w:p w14:paraId="41CE5E30" w14:textId="77777777" w:rsidR="00225B52" w:rsidRDefault="00225B52" w:rsidP="00225B52">
      <w:pPr>
        <w:spacing w:line="360" w:lineRule="auto"/>
        <w:rPr>
          <w:color w:val="auto"/>
          <w:szCs w:val="24"/>
          <w:lang w:eastAsia="ru-RU"/>
        </w:rPr>
      </w:pPr>
    </w:p>
    <w:p w14:paraId="358E5748" w14:textId="77777777" w:rsidR="008F5A8D" w:rsidRPr="0024445D" w:rsidRDefault="008F5A8D" w:rsidP="008F5A8D">
      <w:pPr>
        <w:pStyle w:val="MDPI41tablecaption"/>
        <w:spacing w:before="0" w:after="0" w:line="240" w:lineRule="auto"/>
        <w:ind w:left="0"/>
        <w:rPr>
          <w:rFonts w:ascii="Times New Roman" w:hAnsi="Times New Roman" w:cs="Times New Roman"/>
          <w:color w:val="auto"/>
          <w:sz w:val="24"/>
          <w:szCs w:val="24"/>
        </w:rPr>
      </w:pPr>
      <w:r>
        <w:rPr>
          <w:rFonts w:ascii="Times New Roman" w:hAnsi="Times New Roman" w:cs="Times New Roman"/>
          <w:b/>
          <w:color w:val="auto"/>
          <w:sz w:val="24"/>
          <w:szCs w:val="24"/>
        </w:rPr>
        <w:t>Table 2</w:t>
      </w:r>
      <w:r w:rsidRPr="00125A2F">
        <w:rPr>
          <w:rFonts w:ascii="Times New Roman" w:hAnsi="Times New Roman" w:cs="Times New Roman"/>
          <w:b/>
          <w:color w:val="auto"/>
          <w:sz w:val="24"/>
          <w:szCs w:val="24"/>
        </w:rPr>
        <w:t>B</w:t>
      </w:r>
      <w:r w:rsidRPr="0024445D">
        <w:rPr>
          <w:rFonts w:ascii="Times New Roman" w:hAnsi="Times New Roman" w:cs="Times New Roman"/>
          <w:b/>
          <w:color w:val="auto"/>
          <w:sz w:val="24"/>
          <w:szCs w:val="24"/>
        </w:rPr>
        <w:t>:</w:t>
      </w:r>
      <w:r w:rsidRPr="00125A2F">
        <w:rPr>
          <w:rFonts w:ascii="Times New Roman" w:hAnsi="Times New Roman" w:cs="Times New Roman"/>
          <w:color w:val="auto"/>
          <w:sz w:val="24"/>
          <w:szCs w:val="24"/>
        </w:rPr>
        <w:t xml:space="preserve"> Biological control efficacy of B systems with targeted antagonist yeast strains against </w:t>
      </w:r>
      <w:r w:rsidRPr="00125A2F">
        <w:rPr>
          <w:rFonts w:ascii="Times New Roman" w:hAnsi="Times New Roman" w:cs="Times New Roman"/>
          <w:i/>
          <w:color w:val="auto"/>
          <w:sz w:val="24"/>
          <w:szCs w:val="24"/>
        </w:rPr>
        <w:t>B. cinerea</w:t>
      </w:r>
      <w:r w:rsidRPr="00125A2F">
        <w:rPr>
          <w:rFonts w:ascii="Times New Roman" w:hAnsi="Times New Roman" w:cs="Times New Roman"/>
          <w:color w:val="auto"/>
          <w:sz w:val="24"/>
          <w:szCs w:val="24"/>
        </w:rPr>
        <w:t xml:space="preserve"> F-RKM 1032, </w:t>
      </w:r>
      <w:r w:rsidRPr="00125A2F">
        <w:rPr>
          <w:rFonts w:ascii="Times New Roman" w:hAnsi="Times New Roman" w:cs="Times New Roman"/>
          <w:i/>
          <w:color w:val="auto"/>
          <w:sz w:val="24"/>
          <w:szCs w:val="24"/>
        </w:rPr>
        <w:t xml:space="preserve">A. </w:t>
      </w:r>
      <w:proofErr w:type="spellStart"/>
      <w:r w:rsidRPr="00125A2F">
        <w:rPr>
          <w:rFonts w:ascii="Times New Roman" w:hAnsi="Times New Roman" w:cs="Times New Roman"/>
          <w:i/>
          <w:color w:val="auto"/>
          <w:sz w:val="24"/>
          <w:szCs w:val="24"/>
        </w:rPr>
        <w:t>niger</w:t>
      </w:r>
      <w:proofErr w:type="spellEnd"/>
      <w:r w:rsidRPr="00125A2F">
        <w:rPr>
          <w:rFonts w:ascii="Times New Roman" w:hAnsi="Times New Roman" w:cs="Times New Roman"/>
          <w:color w:val="auto"/>
          <w:sz w:val="24"/>
          <w:szCs w:val="24"/>
        </w:rPr>
        <w:t xml:space="preserve"> ATCC 6275, and </w:t>
      </w:r>
      <w:r w:rsidRPr="00125A2F">
        <w:rPr>
          <w:rFonts w:ascii="Times New Roman" w:hAnsi="Times New Roman" w:cs="Times New Roman"/>
          <w:i/>
          <w:color w:val="auto"/>
          <w:sz w:val="24"/>
          <w:szCs w:val="24"/>
        </w:rPr>
        <w:t xml:space="preserve">R. </w:t>
      </w:r>
      <w:proofErr w:type="spellStart"/>
      <w:r w:rsidRPr="00125A2F">
        <w:rPr>
          <w:rFonts w:ascii="Times New Roman" w:hAnsi="Times New Roman" w:cs="Times New Roman"/>
          <w:i/>
          <w:color w:val="auto"/>
          <w:sz w:val="24"/>
          <w:szCs w:val="24"/>
        </w:rPr>
        <w:t>stolonifer</w:t>
      </w:r>
      <w:proofErr w:type="spellEnd"/>
      <w:r>
        <w:rPr>
          <w:rFonts w:ascii="Times New Roman" w:hAnsi="Times New Roman" w:cs="Times New Roman"/>
          <w:color w:val="auto"/>
          <w:sz w:val="24"/>
          <w:szCs w:val="24"/>
        </w:rPr>
        <w:t xml:space="preserve"> ATCC 6227b</w:t>
      </w:r>
    </w:p>
    <w:tbl>
      <w:tblPr>
        <w:tblW w:w="9015" w:type="dxa"/>
        <w:tblLook w:val="04A0" w:firstRow="1" w:lastRow="0" w:firstColumn="1" w:lastColumn="0" w:noHBand="0" w:noVBand="1"/>
      </w:tblPr>
      <w:tblGrid>
        <w:gridCol w:w="1696"/>
        <w:gridCol w:w="1560"/>
        <w:gridCol w:w="1559"/>
        <w:gridCol w:w="1417"/>
        <w:gridCol w:w="1418"/>
        <w:gridCol w:w="1365"/>
      </w:tblGrid>
      <w:tr w:rsidR="008F5A8D" w:rsidRPr="008F5A8D" w14:paraId="4734DD96" w14:textId="77777777" w:rsidTr="0050531E">
        <w:trPr>
          <w:trHeight w:val="20"/>
        </w:trPr>
        <w:tc>
          <w:tcPr>
            <w:tcW w:w="1696" w:type="dxa"/>
            <w:vMerge w:val="restart"/>
            <w:tcBorders>
              <w:top w:val="single" w:sz="4" w:space="0" w:color="auto"/>
              <w:bottom w:val="single" w:sz="4" w:space="0" w:color="auto"/>
            </w:tcBorders>
            <w:vAlign w:val="center"/>
          </w:tcPr>
          <w:p w14:paraId="30B7448B" w14:textId="77777777" w:rsidR="008F5A8D" w:rsidRPr="008F5A8D" w:rsidRDefault="008F5A8D" w:rsidP="008F5A8D">
            <w:pPr>
              <w:spacing w:line="240" w:lineRule="auto"/>
              <w:jc w:val="center"/>
              <w:rPr>
                <w:b/>
                <w:bCs/>
                <w:color w:val="auto"/>
                <w:szCs w:val="24"/>
                <w:lang w:eastAsia="ru-RU"/>
              </w:rPr>
            </w:pPr>
            <w:r w:rsidRPr="008F5A8D">
              <w:rPr>
                <w:b/>
                <w:bCs/>
                <w:color w:val="auto"/>
                <w:szCs w:val="24"/>
                <w:lang w:eastAsia="ru-RU"/>
              </w:rPr>
              <w:t xml:space="preserve">Fungal </w:t>
            </w:r>
          </w:p>
          <w:p w14:paraId="01CD44BE" w14:textId="77777777" w:rsidR="008F5A8D" w:rsidRPr="008F5A8D" w:rsidRDefault="008F5A8D" w:rsidP="008F5A8D">
            <w:pPr>
              <w:spacing w:line="240" w:lineRule="auto"/>
              <w:jc w:val="center"/>
              <w:rPr>
                <w:b/>
                <w:bCs/>
                <w:color w:val="auto"/>
                <w:szCs w:val="24"/>
                <w:lang w:eastAsia="ru-RU"/>
              </w:rPr>
            </w:pPr>
            <w:r w:rsidRPr="008F5A8D">
              <w:rPr>
                <w:b/>
                <w:bCs/>
                <w:color w:val="auto"/>
                <w:szCs w:val="24"/>
                <w:lang w:eastAsia="ru-RU"/>
              </w:rPr>
              <w:t>pathogens</w:t>
            </w:r>
          </w:p>
        </w:tc>
        <w:tc>
          <w:tcPr>
            <w:tcW w:w="7319" w:type="dxa"/>
            <w:gridSpan w:val="5"/>
            <w:tcBorders>
              <w:top w:val="single" w:sz="4" w:space="0" w:color="auto"/>
              <w:bottom w:val="single" w:sz="4" w:space="0" w:color="auto"/>
            </w:tcBorders>
            <w:noWrap/>
            <w:vAlign w:val="center"/>
          </w:tcPr>
          <w:p w14:paraId="3AD2E200" w14:textId="77777777" w:rsidR="008F5A8D" w:rsidRPr="008F5A8D" w:rsidRDefault="008F5A8D" w:rsidP="008F5A8D">
            <w:pPr>
              <w:spacing w:line="240" w:lineRule="auto"/>
              <w:jc w:val="center"/>
              <w:rPr>
                <w:b/>
                <w:color w:val="auto"/>
                <w:szCs w:val="24"/>
                <w:vertAlign w:val="superscript"/>
                <w:lang w:val="ru-RU" w:eastAsia="ru-RU"/>
              </w:rPr>
            </w:pPr>
            <w:r w:rsidRPr="008F5A8D">
              <w:rPr>
                <w:b/>
                <w:color w:val="auto"/>
                <w:szCs w:val="24"/>
                <w:lang w:eastAsia="ru-RU"/>
              </w:rPr>
              <w:t>Yeast strains</w:t>
            </w:r>
            <w:r w:rsidRPr="008F5A8D">
              <w:rPr>
                <w:b/>
                <w:color w:val="auto"/>
                <w:szCs w:val="24"/>
                <w:lang w:val="ru-RU" w:eastAsia="ru-RU"/>
              </w:rPr>
              <w:t xml:space="preserve"> </w:t>
            </w:r>
            <w:r w:rsidRPr="008F5A8D">
              <w:rPr>
                <w:color w:val="auto"/>
                <w:szCs w:val="24"/>
                <w:vertAlign w:val="superscript"/>
                <w:lang w:eastAsia="ru-RU"/>
              </w:rPr>
              <w:t>♯</w:t>
            </w:r>
          </w:p>
        </w:tc>
      </w:tr>
      <w:tr w:rsidR="0050531E" w:rsidRPr="008F5A8D" w14:paraId="67BA585F" w14:textId="77777777" w:rsidTr="0050531E">
        <w:trPr>
          <w:trHeight w:val="20"/>
        </w:trPr>
        <w:tc>
          <w:tcPr>
            <w:tcW w:w="1696" w:type="dxa"/>
            <w:vMerge/>
            <w:tcBorders>
              <w:top w:val="single" w:sz="4" w:space="0" w:color="auto"/>
              <w:bottom w:val="single" w:sz="4" w:space="0" w:color="auto"/>
            </w:tcBorders>
            <w:vAlign w:val="center"/>
          </w:tcPr>
          <w:p w14:paraId="5225AE30" w14:textId="77777777" w:rsidR="008F5A8D" w:rsidRPr="008F5A8D" w:rsidRDefault="008F5A8D" w:rsidP="008F5A8D">
            <w:pPr>
              <w:spacing w:line="240" w:lineRule="auto"/>
              <w:jc w:val="center"/>
              <w:rPr>
                <w:b/>
                <w:color w:val="auto"/>
                <w:szCs w:val="24"/>
                <w:lang w:eastAsia="ru-RU"/>
              </w:rPr>
            </w:pPr>
          </w:p>
        </w:tc>
        <w:tc>
          <w:tcPr>
            <w:tcW w:w="1560" w:type="dxa"/>
            <w:tcBorders>
              <w:top w:val="single" w:sz="4" w:space="0" w:color="auto"/>
              <w:bottom w:val="single" w:sz="4" w:space="0" w:color="auto"/>
            </w:tcBorders>
            <w:noWrap/>
            <w:vAlign w:val="center"/>
            <w:hideMark/>
          </w:tcPr>
          <w:p w14:paraId="0A985A75" w14:textId="77777777" w:rsidR="008F5A8D" w:rsidRPr="008F5A8D" w:rsidRDefault="008F5A8D" w:rsidP="008F5A8D">
            <w:pPr>
              <w:spacing w:line="240" w:lineRule="auto"/>
              <w:jc w:val="center"/>
              <w:rPr>
                <w:b/>
                <w:color w:val="auto"/>
                <w:szCs w:val="24"/>
                <w:lang w:eastAsia="ru-RU"/>
              </w:rPr>
            </w:pPr>
            <w:r w:rsidRPr="008F5A8D">
              <w:rPr>
                <w:b/>
                <w:color w:val="auto"/>
                <w:szCs w:val="24"/>
                <w:lang w:eastAsia="ru-RU"/>
              </w:rPr>
              <w:t>A2</w:t>
            </w:r>
          </w:p>
        </w:tc>
        <w:tc>
          <w:tcPr>
            <w:tcW w:w="1559" w:type="dxa"/>
            <w:tcBorders>
              <w:top w:val="single" w:sz="4" w:space="0" w:color="auto"/>
              <w:bottom w:val="single" w:sz="4" w:space="0" w:color="auto"/>
            </w:tcBorders>
            <w:noWrap/>
            <w:vAlign w:val="center"/>
            <w:hideMark/>
          </w:tcPr>
          <w:p w14:paraId="11D2E704" w14:textId="77777777" w:rsidR="008F5A8D" w:rsidRPr="008F5A8D" w:rsidRDefault="008F5A8D" w:rsidP="008F5A8D">
            <w:pPr>
              <w:spacing w:line="240" w:lineRule="auto"/>
              <w:jc w:val="center"/>
              <w:rPr>
                <w:b/>
                <w:color w:val="auto"/>
                <w:szCs w:val="24"/>
                <w:lang w:eastAsia="ru-RU"/>
              </w:rPr>
            </w:pPr>
            <w:r w:rsidRPr="008F5A8D">
              <w:rPr>
                <w:b/>
                <w:color w:val="auto"/>
                <w:szCs w:val="24"/>
                <w:lang w:eastAsia="ru-RU"/>
              </w:rPr>
              <w:t>CL03</w:t>
            </w:r>
          </w:p>
        </w:tc>
        <w:tc>
          <w:tcPr>
            <w:tcW w:w="1417" w:type="dxa"/>
            <w:tcBorders>
              <w:top w:val="single" w:sz="4" w:space="0" w:color="auto"/>
              <w:bottom w:val="single" w:sz="4" w:space="0" w:color="auto"/>
            </w:tcBorders>
            <w:noWrap/>
            <w:vAlign w:val="center"/>
            <w:hideMark/>
          </w:tcPr>
          <w:p w14:paraId="62F533E2" w14:textId="77777777" w:rsidR="008F5A8D" w:rsidRPr="008F5A8D" w:rsidRDefault="008F5A8D" w:rsidP="008F5A8D">
            <w:pPr>
              <w:spacing w:line="240" w:lineRule="auto"/>
              <w:jc w:val="center"/>
              <w:rPr>
                <w:b/>
                <w:color w:val="auto"/>
                <w:szCs w:val="24"/>
                <w:lang w:eastAsia="ru-RU"/>
              </w:rPr>
            </w:pPr>
            <w:r w:rsidRPr="008F5A8D">
              <w:rPr>
                <w:b/>
                <w:color w:val="auto"/>
                <w:szCs w:val="24"/>
                <w:lang w:eastAsia="ru-RU"/>
              </w:rPr>
              <w:t>AP 11</w:t>
            </w:r>
          </w:p>
        </w:tc>
        <w:tc>
          <w:tcPr>
            <w:tcW w:w="1418" w:type="dxa"/>
            <w:tcBorders>
              <w:top w:val="single" w:sz="4" w:space="0" w:color="auto"/>
              <w:bottom w:val="single" w:sz="4" w:space="0" w:color="auto"/>
            </w:tcBorders>
            <w:noWrap/>
            <w:vAlign w:val="center"/>
            <w:hideMark/>
          </w:tcPr>
          <w:p w14:paraId="73D43E1D" w14:textId="77777777" w:rsidR="008F5A8D" w:rsidRPr="008F5A8D" w:rsidRDefault="008F5A8D" w:rsidP="008F5A8D">
            <w:pPr>
              <w:spacing w:line="240" w:lineRule="auto"/>
              <w:jc w:val="center"/>
              <w:rPr>
                <w:b/>
                <w:color w:val="auto"/>
                <w:szCs w:val="24"/>
                <w:lang w:eastAsia="ru-RU"/>
              </w:rPr>
            </w:pPr>
            <w:r w:rsidRPr="008F5A8D">
              <w:rPr>
                <w:b/>
                <w:color w:val="auto"/>
                <w:szCs w:val="24"/>
                <w:lang w:eastAsia="ru-RU"/>
              </w:rPr>
              <w:t>AP 13</w:t>
            </w:r>
          </w:p>
        </w:tc>
        <w:tc>
          <w:tcPr>
            <w:tcW w:w="1365" w:type="dxa"/>
            <w:tcBorders>
              <w:top w:val="single" w:sz="4" w:space="0" w:color="auto"/>
              <w:bottom w:val="single" w:sz="4" w:space="0" w:color="auto"/>
            </w:tcBorders>
            <w:noWrap/>
            <w:vAlign w:val="center"/>
            <w:hideMark/>
          </w:tcPr>
          <w:p w14:paraId="305FD6A6" w14:textId="77777777" w:rsidR="008F5A8D" w:rsidRPr="008F5A8D" w:rsidRDefault="008F5A8D" w:rsidP="008F5A8D">
            <w:pPr>
              <w:spacing w:line="240" w:lineRule="auto"/>
              <w:jc w:val="center"/>
              <w:rPr>
                <w:b/>
                <w:color w:val="auto"/>
                <w:szCs w:val="24"/>
                <w:lang w:eastAsia="ru-RU"/>
              </w:rPr>
            </w:pPr>
            <w:r w:rsidRPr="008F5A8D">
              <w:rPr>
                <w:b/>
                <w:color w:val="auto"/>
                <w:szCs w:val="24"/>
                <w:lang w:eastAsia="ru-RU"/>
              </w:rPr>
              <w:t>HU 15</w:t>
            </w:r>
          </w:p>
        </w:tc>
      </w:tr>
      <w:tr w:rsidR="008F5A8D" w:rsidRPr="008F5A8D" w14:paraId="56C8A66C" w14:textId="77777777" w:rsidTr="0050531E">
        <w:trPr>
          <w:trHeight w:val="20"/>
        </w:trPr>
        <w:tc>
          <w:tcPr>
            <w:tcW w:w="1696" w:type="dxa"/>
            <w:tcBorders>
              <w:top w:val="single" w:sz="4" w:space="0" w:color="auto"/>
              <w:bottom w:val="single" w:sz="4" w:space="0" w:color="auto"/>
            </w:tcBorders>
            <w:vAlign w:val="center"/>
          </w:tcPr>
          <w:p w14:paraId="72DD2BF2" w14:textId="77777777" w:rsidR="008F5A8D" w:rsidRPr="008F5A8D" w:rsidRDefault="008F5A8D" w:rsidP="008F5A8D">
            <w:pPr>
              <w:spacing w:line="240" w:lineRule="auto"/>
              <w:jc w:val="center"/>
              <w:rPr>
                <w:b/>
                <w:color w:val="auto"/>
                <w:szCs w:val="24"/>
                <w:lang w:eastAsia="ru-RU"/>
              </w:rPr>
            </w:pPr>
          </w:p>
        </w:tc>
        <w:tc>
          <w:tcPr>
            <w:tcW w:w="7319" w:type="dxa"/>
            <w:gridSpan w:val="5"/>
            <w:tcBorders>
              <w:top w:val="single" w:sz="4" w:space="0" w:color="auto"/>
              <w:bottom w:val="single" w:sz="4" w:space="0" w:color="auto"/>
            </w:tcBorders>
            <w:noWrap/>
            <w:vAlign w:val="center"/>
          </w:tcPr>
          <w:p w14:paraId="29EBD149" w14:textId="77777777" w:rsidR="008F5A8D" w:rsidRPr="008F5A8D" w:rsidRDefault="008F5A8D" w:rsidP="008F5A8D">
            <w:pPr>
              <w:spacing w:line="240" w:lineRule="auto"/>
              <w:jc w:val="center"/>
              <w:rPr>
                <w:b/>
                <w:color w:val="auto"/>
                <w:szCs w:val="24"/>
                <w:lang w:eastAsia="ru-RU"/>
              </w:rPr>
            </w:pPr>
            <w:r w:rsidRPr="008F5A8D">
              <w:rPr>
                <w:b/>
                <w:color w:val="auto"/>
                <w:szCs w:val="24"/>
              </w:rPr>
              <w:t xml:space="preserve">Biocontrol efficacy, BEB(pat) </w:t>
            </w:r>
            <w:r w:rsidRPr="008F5A8D">
              <w:rPr>
                <w:b/>
                <w:color w:val="auto"/>
                <w:szCs w:val="24"/>
                <w:vertAlign w:val="superscript"/>
              </w:rPr>
              <w:t>♠</w:t>
            </w:r>
          </w:p>
        </w:tc>
      </w:tr>
      <w:tr w:rsidR="0050531E" w:rsidRPr="008F5A8D" w14:paraId="3DF4D6FA" w14:textId="77777777" w:rsidTr="0050531E">
        <w:trPr>
          <w:trHeight w:val="20"/>
        </w:trPr>
        <w:tc>
          <w:tcPr>
            <w:tcW w:w="1696" w:type="dxa"/>
            <w:tcBorders>
              <w:top w:val="single" w:sz="4" w:space="0" w:color="auto"/>
            </w:tcBorders>
            <w:vAlign w:val="center"/>
          </w:tcPr>
          <w:p w14:paraId="6AA57352" w14:textId="77777777" w:rsidR="008F5A8D" w:rsidRPr="008F5A8D" w:rsidRDefault="008F5A8D" w:rsidP="008F5A8D">
            <w:pPr>
              <w:spacing w:line="240" w:lineRule="auto"/>
              <w:jc w:val="center"/>
              <w:rPr>
                <w:b/>
                <w:bCs/>
                <w:i/>
                <w:color w:val="auto"/>
                <w:szCs w:val="24"/>
                <w:lang w:eastAsia="ru-RU"/>
              </w:rPr>
            </w:pPr>
            <w:r w:rsidRPr="008F5A8D">
              <w:rPr>
                <w:b/>
                <w:bCs/>
                <w:i/>
                <w:color w:val="auto"/>
                <w:szCs w:val="24"/>
                <w:lang w:eastAsia="ru-RU"/>
              </w:rPr>
              <w:t>B. cinerea</w:t>
            </w:r>
          </w:p>
          <w:p w14:paraId="6845F4D1" w14:textId="77777777" w:rsidR="008F5A8D" w:rsidRPr="008F5A8D" w:rsidRDefault="008F5A8D" w:rsidP="008F5A8D">
            <w:pPr>
              <w:spacing w:line="240" w:lineRule="auto"/>
              <w:jc w:val="center"/>
              <w:rPr>
                <w:color w:val="auto"/>
                <w:szCs w:val="24"/>
                <w:lang w:eastAsia="ru-RU"/>
              </w:rPr>
            </w:pPr>
            <w:r w:rsidRPr="008F5A8D">
              <w:rPr>
                <w:color w:val="auto"/>
                <w:kern w:val="2"/>
                <w:szCs w:val="24"/>
                <w14:ligatures w14:val="standardContextual"/>
              </w:rPr>
              <w:t>F-RKM 1032</w:t>
            </w:r>
          </w:p>
        </w:tc>
        <w:tc>
          <w:tcPr>
            <w:tcW w:w="1560" w:type="dxa"/>
            <w:tcBorders>
              <w:top w:val="single" w:sz="4" w:space="0" w:color="auto"/>
            </w:tcBorders>
            <w:noWrap/>
            <w:vAlign w:val="center"/>
            <w:hideMark/>
          </w:tcPr>
          <w:p w14:paraId="5ECDE292" w14:textId="77777777" w:rsidR="008F5A8D" w:rsidRPr="008F5A8D" w:rsidRDefault="008F5A8D" w:rsidP="008F5A8D">
            <w:pPr>
              <w:spacing w:line="240" w:lineRule="auto"/>
              <w:jc w:val="center"/>
              <w:rPr>
                <w:color w:val="auto"/>
                <w:szCs w:val="24"/>
                <w:lang w:eastAsia="ru-RU"/>
              </w:rPr>
            </w:pPr>
            <w:r w:rsidRPr="008F5A8D">
              <w:rPr>
                <w:color w:val="auto"/>
                <w:szCs w:val="24"/>
                <w:lang w:eastAsia="ru-RU"/>
              </w:rPr>
              <w:t>78,02</w:t>
            </w:r>
          </w:p>
        </w:tc>
        <w:tc>
          <w:tcPr>
            <w:tcW w:w="1559" w:type="dxa"/>
            <w:tcBorders>
              <w:top w:val="single" w:sz="4" w:space="0" w:color="auto"/>
            </w:tcBorders>
            <w:noWrap/>
            <w:vAlign w:val="center"/>
            <w:hideMark/>
          </w:tcPr>
          <w:p w14:paraId="1B79E36B" w14:textId="77777777" w:rsidR="008F5A8D" w:rsidRPr="008F5A8D" w:rsidRDefault="008F5A8D" w:rsidP="008F5A8D">
            <w:pPr>
              <w:spacing w:line="240" w:lineRule="auto"/>
              <w:jc w:val="center"/>
              <w:rPr>
                <w:color w:val="auto"/>
                <w:szCs w:val="24"/>
                <w:lang w:eastAsia="ru-RU"/>
              </w:rPr>
            </w:pPr>
            <w:r w:rsidRPr="008F5A8D">
              <w:rPr>
                <w:color w:val="auto"/>
                <w:szCs w:val="24"/>
                <w:lang w:eastAsia="ru-RU"/>
              </w:rPr>
              <w:t>65,66</w:t>
            </w:r>
          </w:p>
        </w:tc>
        <w:tc>
          <w:tcPr>
            <w:tcW w:w="1417" w:type="dxa"/>
            <w:tcBorders>
              <w:top w:val="single" w:sz="4" w:space="0" w:color="auto"/>
            </w:tcBorders>
            <w:noWrap/>
            <w:vAlign w:val="center"/>
            <w:hideMark/>
          </w:tcPr>
          <w:p w14:paraId="2E163453" w14:textId="77777777" w:rsidR="008F5A8D" w:rsidRPr="008F5A8D" w:rsidRDefault="008F5A8D" w:rsidP="008F5A8D">
            <w:pPr>
              <w:spacing w:line="240" w:lineRule="auto"/>
              <w:jc w:val="center"/>
              <w:rPr>
                <w:color w:val="auto"/>
                <w:szCs w:val="24"/>
                <w:lang w:eastAsia="ru-RU"/>
              </w:rPr>
            </w:pPr>
            <w:r w:rsidRPr="008F5A8D">
              <w:rPr>
                <w:color w:val="auto"/>
                <w:szCs w:val="24"/>
                <w:lang w:eastAsia="ru-RU"/>
              </w:rPr>
              <w:t>39,74</w:t>
            </w:r>
          </w:p>
        </w:tc>
        <w:tc>
          <w:tcPr>
            <w:tcW w:w="1418" w:type="dxa"/>
            <w:tcBorders>
              <w:top w:val="single" w:sz="4" w:space="0" w:color="auto"/>
            </w:tcBorders>
            <w:noWrap/>
            <w:vAlign w:val="center"/>
            <w:hideMark/>
          </w:tcPr>
          <w:p w14:paraId="24E20D53" w14:textId="77777777" w:rsidR="008F5A8D" w:rsidRPr="008F5A8D" w:rsidRDefault="008F5A8D" w:rsidP="008F5A8D">
            <w:pPr>
              <w:spacing w:line="240" w:lineRule="auto"/>
              <w:jc w:val="center"/>
              <w:rPr>
                <w:color w:val="auto"/>
                <w:szCs w:val="24"/>
                <w:lang w:eastAsia="ru-RU"/>
              </w:rPr>
            </w:pPr>
            <w:r w:rsidRPr="008F5A8D">
              <w:rPr>
                <w:color w:val="auto"/>
                <w:szCs w:val="24"/>
                <w:lang w:eastAsia="ru-RU"/>
              </w:rPr>
              <w:t>39,93</w:t>
            </w:r>
          </w:p>
        </w:tc>
        <w:tc>
          <w:tcPr>
            <w:tcW w:w="1365" w:type="dxa"/>
            <w:tcBorders>
              <w:top w:val="single" w:sz="4" w:space="0" w:color="auto"/>
            </w:tcBorders>
            <w:noWrap/>
            <w:vAlign w:val="center"/>
            <w:hideMark/>
          </w:tcPr>
          <w:p w14:paraId="0F25F356" w14:textId="77777777" w:rsidR="008F5A8D" w:rsidRPr="008F5A8D" w:rsidRDefault="008F5A8D" w:rsidP="008F5A8D">
            <w:pPr>
              <w:spacing w:line="240" w:lineRule="auto"/>
              <w:jc w:val="center"/>
              <w:rPr>
                <w:color w:val="auto"/>
                <w:szCs w:val="24"/>
                <w:lang w:eastAsia="ru-RU"/>
              </w:rPr>
            </w:pPr>
            <w:r w:rsidRPr="008F5A8D">
              <w:rPr>
                <w:color w:val="auto"/>
                <w:szCs w:val="24"/>
                <w:lang w:eastAsia="ru-RU"/>
              </w:rPr>
              <w:t>72,83</w:t>
            </w:r>
          </w:p>
        </w:tc>
      </w:tr>
      <w:tr w:rsidR="0050531E" w:rsidRPr="008F5A8D" w14:paraId="35012E4C" w14:textId="77777777" w:rsidTr="0050531E">
        <w:trPr>
          <w:trHeight w:val="20"/>
        </w:trPr>
        <w:tc>
          <w:tcPr>
            <w:tcW w:w="1696" w:type="dxa"/>
            <w:vAlign w:val="center"/>
          </w:tcPr>
          <w:p w14:paraId="74E7F927" w14:textId="77777777" w:rsidR="008F5A8D" w:rsidRPr="008F5A8D" w:rsidRDefault="008F5A8D" w:rsidP="008F5A8D">
            <w:pPr>
              <w:spacing w:line="240" w:lineRule="auto"/>
              <w:jc w:val="center"/>
              <w:rPr>
                <w:color w:val="auto"/>
                <w:szCs w:val="24"/>
                <w:lang w:eastAsia="ru-RU"/>
              </w:rPr>
            </w:pPr>
            <w:r w:rsidRPr="008F5A8D">
              <w:rPr>
                <w:color w:val="auto"/>
                <w:szCs w:val="24"/>
                <w:lang w:eastAsia="ru-RU"/>
              </w:rPr>
              <w:t xml:space="preserve">Groups </w:t>
            </w:r>
            <w:r w:rsidRPr="008F5A8D">
              <w:rPr>
                <w:b/>
                <w:color w:val="auto"/>
                <w:szCs w:val="24"/>
                <w:vertAlign w:val="superscript"/>
                <w:lang w:eastAsia="ru-RU"/>
              </w:rPr>
              <w:t>¥</w:t>
            </w:r>
          </w:p>
        </w:tc>
        <w:tc>
          <w:tcPr>
            <w:tcW w:w="1560" w:type="dxa"/>
            <w:noWrap/>
            <w:vAlign w:val="center"/>
          </w:tcPr>
          <w:p w14:paraId="024E4030" w14:textId="77777777" w:rsidR="008F5A8D" w:rsidRPr="008F5A8D" w:rsidRDefault="008F5A8D" w:rsidP="008F5A8D">
            <w:pPr>
              <w:spacing w:line="240" w:lineRule="auto"/>
              <w:jc w:val="center"/>
              <w:rPr>
                <w:b/>
                <w:color w:val="auto"/>
                <w:szCs w:val="24"/>
                <w:lang w:eastAsia="ru-RU"/>
              </w:rPr>
            </w:pPr>
            <w:r w:rsidRPr="008F5A8D">
              <w:rPr>
                <w:b/>
                <w:color w:val="auto"/>
                <w:szCs w:val="24"/>
                <w:lang w:eastAsia="ru-RU"/>
              </w:rPr>
              <w:t>A</w:t>
            </w:r>
          </w:p>
        </w:tc>
        <w:tc>
          <w:tcPr>
            <w:tcW w:w="1559" w:type="dxa"/>
            <w:noWrap/>
            <w:vAlign w:val="center"/>
          </w:tcPr>
          <w:p w14:paraId="0F011E06" w14:textId="77777777" w:rsidR="008F5A8D" w:rsidRPr="008F5A8D" w:rsidRDefault="008F5A8D" w:rsidP="008F5A8D">
            <w:pPr>
              <w:spacing w:line="240" w:lineRule="auto"/>
              <w:jc w:val="center"/>
              <w:rPr>
                <w:b/>
                <w:color w:val="auto"/>
                <w:szCs w:val="24"/>
                <w:lang w:eastAsia="ru-RU"/>
              </w:rPr>
            </w:pPr>
            <w:r w:rsidRPr="008F5A8D">
              <w:rPr>
                <w:b/>
                <w:color w:val="auto"/>
                <w:szCs w:val="24"/>
                <w:lang w:eastAsia="ru-RU"/>
              </w:rPr>
              <w:t>A</w:t>
            </w:r>
          </w:p>
        </w:tc>
        <w:tc>
          <w:tcPr>
            <w:tcW w:w="1417" w:type="dxa"/>
            <w:noWrap/>
            <w:vAlign w:val="center"/>
          </w:tcPr>
          <w:p w14:paraId="38E98295" w14:textId="77777777" w:rsidR="008F5A8D" w:rsidRPr="008F5A8D" w:rsidRDefault="008F5A8D" w:rsidP="008F5A8D">
            <w:pPr>
              <w:spacing w:line="240" w:lineRule="auto"/>
              <w:jc w:val="center"/>
              <w:rPr>
                <w:b/>
                <w:color w:val="auto"/>
                <w:szCs w:val="24"/>
                <w:lang w:eastAsia="ru-RU"/>
              </w:rPr>
            </w:pPr>
            <w:r w:rsidRPr="008F5A8D">
              <w:rPr>
                <w:b/>
                <w:color w:val="auto"/>
                <w:szCs w:val="24"/>
                <w:lang w:eastAsia="ru-RU"/>
              </w:rPr>
              <w:t>B</w:t>
            </w:r>
          </w:p>
        </w:tc>
        <w:tc>
          <w:tcPr>
            <w:tcW w:w="1418" w:type="dxa"/>
            <w:noWrap/>
            <w:vAlign w:val="center"/>
          </w:tcPr>
          <w:p w14:paraId="714353A9" w14:textId="77777777" w:rsidR="008F5A8D" w:rsidRPr="008F5A8D" w:rsidRDefault="008F5A8D" w:rsidP="008F5A8D">
            <w:pPr>
              <w:spacing w:line="240" w:lineRule="auto"/>
              <w:jc w:val="center"/>
              <w:rPr>
                <w:b/>
                <w:color w:val="auto"/>
                <w:szCs w:val="24"/>
                <w:lang w:eastAsia="ru-RU"/>
              </w:rPr>
            </w:pPr>
            <w:r w:rsidRPr="008F5A8D">
              <w:rPr>
                <w:b/>
                <w:color w:val="auto"/>
                <w:szCs w:val="24"/>
                <w:lang w:eastAsia="ru-RU"/>
              </w:rPr>
              <w:t>B</w:t>
            </w:r>
          </w:p>
        </w:tc>
        <w:tc>
          <w:tcPr>
            <w:tcW w:w="1365" w:type="dxa"/>
            <w:noWrap/>
            <w:vAlign w:val="center"/>
          </w:tcPr>
          <w:p w14:paraId="3EED69D0" w14:textId="77777777" w:rsidR="008F5A8D" w:rsidRPr="008F5A8D" w:rsidRDefault="008F5A8D" w:rsidP="008F5A8D">
            <w:pPr>
              <w:spacing w:line="240" w:lineRule="auto"/>
              <w:jc w:val="center"/>
              <w:rPr>
                <w:b/>
                <w:color w:val="auto"/>
                <w:szCs w:val="24"/>
                <w:lang w:eastAsia="ru-RU"/>
              </w:rPr>
            </w:pPr>
            <w:r w:rsidRPr="008F5A8D">
              <w:rPr>
                <w:b/>
                <w:color w:val="auto"/>
                <w:szCs w:val="24"/>
                <w:lang w:eastAsia="ru-RU"/>
              </w:rPr>
              <w:t>A</w:t>
            </w:r>
          </w:p>
        </w:tc>
      </w:tr>
      <w:tr w:rsidR="0050531E" w:rsidRPr="008F5A8D" w14:paraId="693DE48F" w14:textId="77777777" w:rsidTr="0050531E">
        <w:trPr>
          <w:trHeight w:val="20"/>
        </w:trPr>
        <w:tc>
          <w:tcPr>
            <w:tcW w:w="1696" w:type="dxa"/>
            <w:vAlign w:val="center"/>
          </w:tcPr>
          <w:p w14:paraId="0959FC5E" w14:textId="77777777" w:rsidR="008F5A8D" w:rsidRPr="008F5A8D" w:rsidRDefault="008F5A8D" w:rsidP="008F5A8D">
            <w:pPr>
              <w:spacing w:line="240" w:lineRule="auto"/>
              <w:jc w:val="center"/>
              <w:rPr>
                <w:b/>
                <w:bCs/>
                <w:i/>
                <w:color w:val="auto"/>
                <w:szCs w:val="24"/>
              </w:rPr>
            </w:pPr>
            <w:r w:rsidRPr="008F5A8D">
              <w:rPr>
                <w:b/>
                <w:bCs/>
                <w:i/>
                <w:color w:val="auto"/>
                <w:szCs w:val="24"/>
              </w:rPr>
              <w:t>A.niger</w:t>
            </w:r>
          </w:p>
          <w:p w14:paraId="5C33650F" w14:textId="77777777" w:rsidR="008F5A8D" w:rsidRPr="008F5A8D" w:rsidRDefault="008F5A8D" w:rsidP="008F5A8D">
            <w:pPr>
              <w:spacing w:line="240" w:lineRule="auto"/>
              <w:jc w:val="center"/>
              <w:rPr>
                <w:bCs/>
                <w:color w:val="auto"/>
                <w:szCs w:val="24"/>
                <w:lang w:eastAsia="ru-RU"/>
              </w:rPr>
            </w:pPr>
            <w:r w:rsidRPr="008F5A8D">
              <w:rPr>
                <w:bCs/>
                <w:color w:val="auto"/>
                <w:szCs w:val="24"/>
                <w:lang w:eastAsia="ru-RU"/>
              </w:rPr>
              <w:t>ATCC 6275</w:t>
            </w:r>
          </w:p>
        </w:tc>
        <w:tc>
          <w:tcPr>
            <w:tcW w:w="1560" w:type="dxa"/>
            <w:noWrap/>
            <w:vAlign w:val="center"/>
            <w:hideMark/>
          </w:tcPr>
          <w:p w14:paraId="3AB8D228" w14:textId="77777777" w:rsidR="008F5A8D" w:rsidRPr="008F5A8D" w:rsidRDefault="008F5A8D" w:rsidP="008F5A8D">
            <w:pPr>
              <w:spacing w:line="240" w:lineRule="auto"/>
              <w:jc w:val="center"/>
              <w:rPr>
                <w:color w:val="auto"/>
                <w:szCs w:val="24"/>
                <w:lang w:eastAsia="ru-RU"/>
              </w:rPr>
            </w:pPr>
            <w:r w:rsidRPr="008F5A8D">
              <w:rPr>
                <w:color w:val="auto"/>
                <w:szCs w:val="24"/>
                <w:lang w:eastAsia="ru-RU"/>
              </w:rPr>
              <w:t>64,64</w:t>
            </w:r>
          </w:p>
        </w:tc>
        <w:tc>
          <w:tcPr>
            <w:tcW w:w="1559" w:type="dxa"/>
            <w:noWrap/>
            <w:vAlign w:val="center"/>
            <w:hideMark/>
          </w:tcPr>
          <w:p w14:paraId="5F631CF9" w14:textId="77777777" w:rsidR="008F5A8D" w:rsidRPr="008F5A8D" w:rsidRDefault="008F5A8D" w:rsidP="008F5A8D">
            <w:pPr>
              <w:spacing w:line="240" w:lineRule="auto"/>
              <w:jc w:val="center"/>
              <w:rPr>
                <w:color w:val="auto"/>
                <w:szCs w:val="24"/>
                <w:lang w:eastAsia="ru-RU"/>
              </w:rPr>
            </w:pPr>
            <w:r w:rsidRPr="008F5A8D">
              <w:rPr>
                <w:color w:val="auto"/>
                <w:szCs w:val="24"/>
                <w:lang w:eastAsia="ru-RU"/>
              </w:rPr>
              <w:t>49,12</w:t>
            </w:r>
          </w:p>
        </w:tc>
        <w:tc>
          <w:tcPr>
            <w:tcW w:w="1417" w:type="dxa"/>
            <w:noWrap/>
            <w:vAlign w:val="center"/>
            <w:hideMark/>
          </w:tcPr>
          <w:p w14:paraId="785B717E" w14:textId="77777777" w:rsidR="008F5A8D" w:rsidRPr="008F5A8D" w:rsidRDefault="008F5A8D" w:rsidP="008F5A8D">
            <w:pPr>
              <w:spacing w:line="240" w:lineRule="auto"/>
              <w:jc w:val="center"/>
              <w:rPr>
                <w:color w:val="auto"/>
                <w:szCs w:val="24"/>
                <w:lang w:eastAsia="ru-RU"/>
              </w:rPr>
            </w:pPr>
            <w:r w:rsidRPr="008F5A8D">
              <w:rPr>
                <w:color w:val="auto"/>
                <w:szCs w:val="24"/>
                <w:lang w:eastAsia="ru-RU"/>
              </w:rPr>
              <w:t>34,56</w:t>
            </w:r>
          </w:p>
        </w:tc>
        <w:tc>
          <w:tcPr>
            <w:tcW w:w="1418" w:type="dxa"/>
            <w:noWrap/>
            <w:vAlign w:val="center"/>
            <w:hideMark/>
          </w:tcPr>
          <w:p w14:paraId="671DE455" w14:textId="77777777" w:rsidR="008F5A8D" w:rsidRPr="008F5A8D" w:rsidRDefault="008F5A8D" w:rsidP="008F5A8D">
            <w:pPr>
              <w:spacing w:line="240" w:lineRule="auto"/>
              <w:jc w:val="center"/>
              <w:rPr>
                <w:color w:val="auto"/>
                <w:szCs w:val="24"/>
                <w:lang w:eastAsia="ru-RU"/>
              </w:rPr>
            </w:pPr>
            <w:r w:rsidRPr="008F5A8D">
              <w:rPr>
                <w:color w:val="auto"/>
                <w:szCs w:val="24"/>
                <w:lang w:eastAsia="ru-RU"/>
              </w:rPr>
              <w:t>22,96</w:t>
            </w:r>
          </w:p>
        </w:tc>
        <w:tc>
          <w:tcPr>
            <w:tcW w:w="1365" w:type="dxa"/>
            <w:noWrap/>
            <w:vAlign w:val="center"/>
            <w:hideMark/>
          </w:tcPr>
          <w:p w14:paraId="00CD90EF" w14:textId="77777777" w:rsidR="008F5A8D" w:rsidRPr="008F5A8D" w:rsidRDefault="008F5A8D" w:rsidP="008F5A8D">
            <w:pPr>
              <w:spacing w:line="240" w:lineRule="auto"/>
              <w:jc w:val="center"/>
              <w:rPr>
                <w:color w:val="auto"/>
                <w:szCs w:val="24"/>
                <w:lang w:eastAsia="ru-RU"/>
              </w:rPr>
            </w:pPr>
            <w:r w:rsidRPr="008F5A8D">
              <w:rPr>
                <w:color w:val="auto"/>
                <w:szCs w:val="24"/>
                <w:lang w:eastAsia="ru-RU"/>
              </w:rPr>
              <w:t>64,55</w:t>
            </w:r>
          </w:p>
        </w:tc>
      </w:tr>
      <w:tr w:rsidR="0050531E" w:rsidRPr="008F5A8D" w14:paraId="78068C20" w14:textId="77777777" w:rsidTr="0050531E">
        <w:trPr>
          <w:trHeight w:val="20"/>
        </w:trPr>
        <w:tc>
          <w:tcPr>
            <w:tcW w:w="1696" w:type="dxa"/>
            <w:vAlign w:val="center"/>
          </w:tcPr>
          <w:p w14:paraId="06762396" w14:textId="77777777" w:rsidR="008F5A8D" w:rsidRPr="008F5A8D" w:rsidRDefault="008F5A8D" w:rsidP="008F5A8D">
            <w:pPr>
              <w:spacing w:line="240" w:lineRule="auto"/>
              <w:jc w:val="center"/>
              <w:rPr>
                <w:color w:val="auto"/>
                <w:szCs w:val="24"/>
                <w:lang w:val="ru-RU" w:eastAsia="ru-RU"/>
              </w:rPr>
            </w:pPr>
            <w:r w:rsidRPr="008F5A8D">
              <w:rPr>
                <w:color w:val="auto"/>
                <w:szCs w:val="24"/>
                <w:lang w:eastAsia="ru-RU"/>
              </w:rPr>
              <w:t>Groups</w:t>
            </w:r>
            <w:r w:rsidRPr="008F5A8D">
              <w:rPr>
                <w:color w:val="auto"/>
                <w:szCs w:val="24"/>
                <w:lang w:val="ru-RU" w:eastAsia="ru-RU"/>
              </w:rPr>
              <w:t xml:space="preserve"> </w:t>
            </w:r>
            <w:r w:rsidRPr="008F5A8D">
              <w:rPr>
                <w:b/>
                <w:color w:val="auto"/>
                <w:szCs w:val="24"/>
                <w:vertAlign w:val="superscript"/>
                <w:lang w:eastAsia="ru-RU"/>
              </w:rPr>
              <w:t>¥</w:t>
            </w:r>
          </w:p>
        </w:tc>
        <w:tc>
          <w:tcPr>
            <w:tcW w:w="1560" w:type="dxa"/>
            <w:noWrap/>
            <w:vAlign w:val="center"/>
          </w:tcPr>
          <w:p w14:paraId="7D3FE411" w14:textId="77777777" w:rsidR="008F5A8D" w:rsidRPr="008F5A8D" w:rsidRDefault="008F5A8D" w:rsidP="008F5A8D">
            <w:pPr>
              <w:spacing w:line="240" w:lineRule="auto"/>
              <w:jc w:val="center"/>
              <w:rPr>
                <w:b/>
                <w:color w:val="auto"/>
                <w:szCs w:val="24"/>
                <w:lang w:eastAsia="ru-RU"/>
              </w:rPr>
            </w:pPr>
            <w:r w:rsidRPr="008F5A8D">
              <w:rPr>
                <w:b/>
                <w:color w:val="auto"/>
                <w:szCs w:val="24"/>
                <w:lang w:eastAsia="ru-RU"/>
              </w:rPr>
              <w:t>A</w:t>
            </w:r>
          </w:p>
        </w:tc>
        <w:tc>
          <w:tcPr>
            <w:tcW w:w="1559" w:type="dxa"/>
            <w:noWrap/>
            <w:vAlign w:val="center"/>
          </w:tcPr>
          <w:p w14:paraId="171D5152" w14:textId="77777777" w:rsidR="008F5A8D" w:rsidRPr="008F5A8D" w:rsidRDefault="008F5A8D" w:rsidP="008F5A8D">
            <w:pPr>
              <w:spacing w:line="240" w:lineRule="auto"/>
              <w:jc w:val="center"/>
              <w:rPr>
                <w:b/>
                <w:color w:val="auto"/>
                <w:szCs w:val="24"/>
                <w:lang w:eastAsia="ru-RU"/>
              </w:rPr>
            </w:pPr>
            <w:r w:rsidRPr="008F5A8D">
              <w:rPr>
                <w:b/>
                <w:color w:val="auto"/>
                <w:szCs w:val="24"/>
                <w:lang w:eastAsia="ru-RU"/>
              </w:rPr>
              <w:t>B</w:t>
            </w:r>
          </w:p>
        </w:tc>
        <w:tc>
          <w:tcPr>
            <w:tcW w:w="1417" w:type="dxa"/>
            <w:noWrap/>
            <w:vAlign w:val="center"/>
          </w:tcPr>
          <w:p w14:paraId="5AC5750E" w14:textId="77777777" w:rsidR="008F5A8D" w:rsidRPr="008F5A8D" w:rsidRDefault="008F5A8D" w:rsidP="008F5A8D">
            <w:pPr>
              <w:spacing w:line="240" w:lineRule="auto"/>
              <w:jc w:val="center"/>
              <w:rPr>
                <w:b/>
                <w:color w:val="auto"/>
                <w:szCs w:val="24"/>
                <w:lang w:eastAsia="ru-RU"/>
              </w:rPr>
            </w:pPr>
            <w:r w:rsidRPr="008F5A8D">
              <w:rPr>
                <w:b/>
                <w:color w:val="auto"/>
                <w:szCs w:val="24"/>
                <w:lang w:eastAsia="ru-RU"/>
              </w:rPr>
              <w:t>B</w:t>
            </w:r>
          </w:p>
        </w:tc>
        <w:tc>
          <w:tcPr>
            <w:tcW w:w="1418" w:type="dxa"/>
            <w:noWrap/>
            <w:vAlign w:val="center"/>
          </w:tcPr>
          <w:p w14:paraId="642871C0" w14:textId="77777777" w:rsidR="008F5A8D" w:rsidRPr="008F5A8D" w:rsidRDefault="008F5A8D" w:rsidP="008F5A8D">
            <w:pPr>
              <w:spacing w:line="240" w:lineRule="auto"/>
              <w:jc w:val="center"/>
              <w:rPr>
                <w:b/>
                <w:color w:val="auto"/>
                <w:szCs w:val="24"/>
                <w:lang w:eastAsia="ru-RU"/>
              </w:rPr>
            </w:pPr>
            <w:r w:rsidRPr="008F5A8D">
              <w:rPr>
                <w:b/>
                <w:color w:val="auto"/>
                <w:szCs w:val="24"/>
                <w:lang w:eastAsia="ru-RU"/>
              </w:rPr>
              <w:t>B</w:t>
            </w:r>
          </w:p>
        </w:tc>
        <w:tc>
          <w:tcPr>
            <w:tcW w:w="1365" w:type="dxa"/>
            <w:noWrap/>
            <w:vAlign w:val="center"/>
          </w:tcPr>
          <w:p w14:paraId="7EA0C084" w14:textId="77777777" w:rsidR="008F5A8D" w:rsidRPr="008F5A8D" w:rsidRDefault="008F5A8D" w:rsidP="008F5A8D">
            <w:pPr>
              <w:spacing w:line="240" w:lineRule="auto"/>
              <w:jc w:val="center"/>
              <w:rPr>
                <w:b/>
                <w:color w:val="auto"/>
                <w:szCs w:val="24"/>
                <w:lang w:eastAsia="ru-RU"/>
              </w:rPr>
            </w:pPr>
            <w:r w:rsidRPr="008F5A8D">
              <w:rPr>
                <w:b/>
                <w:color w:val="auto"/>
                <w:szCs w:val="24"/>
                <w:lang w:eastAsia="ru-RU"/>
              </w:rPr>
              <w:t>A</w:t>
            </w:r>
          </w:p>
        </w:tc>
      </w:tr>
      <w:tr w:rsidR="0050531E" w:rsidRPr="008F5A8D" w14:paraId="2FB5FC38" w14:textId="77777777" w:rsidTr="0050531E">
        <w:trPr>
          <w:trHeight w:val="20"/>
        </w:trPr>
        <w:tc>
          <w:tcPr>
            <w:tcW w:w="1696" w:type="dxa"/>
            <w:vAlign w:val="center"/>
          </w:tcPr>
          <w:p w14:paraId="2E3A915A" w14:textId="77777777" w:rsidR="008F5A8D" w:rsidRPr="008F5A8D" w:rsidRDefault="008F5A8D" w:rsidP="008F5A8D">
            <w:pPr>
              <w:spacing w:line="240" w:lineRule="auto"/>
              <w:jc w:val="center"/>
              <w:rPr>
                <w:b/>
                <w:bCs/>
                <w:i/>
                <w:color w:val="auto"/>
                <w:szCs w:val="24"/>
                <w:lang w:eastAsia="ru-RU"/>
              </w:rPr>
            </w:pPr>
            <w:r w:rsidRPr="008F5A8D">
              <w:rPr>
                <w:b/>
                <w:bCs/>
                <w:i/>
                <w:color w:val="auto"/>
                <w:szCs w:val="24"/>
                <w:lang w:eastAsia="ru-RU"/>
              </w:rPr>
              <w:t>R. stolonifer</w:t>
            </w:r>
          </w:p>
          <w:p w14:paraId="17E6E890" w14:textId="77777777" w:rsidR="008F5A8D" w:rsidRPr="008F5A8D" w:rsidRDefault="008F5A8D" w:rsidP="008F5A8D">
            <w:pPr>
              <w:spacing w:line="240" w:lineRule="auto"/>
              <w:jc w:val="center"/>
              <w:rPr>
                <w:color w:val="auto"/>
                <w:kern w:val="2"/>
                <w:szCs w:val="24"/>
                <w14:ligatures w14:val="standardContextual"/>
              </w:rPr>
            </w:pPr>
            <w:r w:rsidRPr="008F5A8D">
              <w:rPr>
                <w:color w:val="auto"/>
                <w:kern w:val="2"/>
                <w:szCs w:val="24"/>
                <w14:ligatures w14:val="standardContextual"/>
              </w:rPr>
              <w:t>ATCC 6227b.</w:t>
            </w:r>
          </w:p>
          <w:p w14:paraId="10749F00" w14:textId="77777777" w:rsidR="008F5A8D" w:rsidRPr="008F5A8D" w:rsidRDefault="008F5A8D" w:rsidP="008F5A8D">
            <w:pPr>
              <w:spacing w:line="240" w:lineRule="auto"/>
              <w:jc w:val="center"/>
              <w:rPr>
                <w:color w:val="auto"/>
                <w:szCs w:val="24"/>
                <w:lang w:eastAsia="ru-RU"/>
              </w:rPr>
            </w:pPr>
          </w:p>
        </w:tc>
        <w:tc>
          <w:tcPr>
            <w:tcW w:w="1560" w:type="dxa"/>
            <w:noWrap/>
            <w:vAlign w:val="center"/>
            <w:hideMark/>
          </w:tcPr>
          <w:p w14:paraId="65048FCD" w14:textId="77777777" w:rsidR="008F5A8D" w:rsidRPr="008F5A8D" w:rsidRDefault="008F5A8D" w:rsidP="008F5A8D">
            <w:pPr>
              <w:spacing w:line="240" w:lineRule="auto"/>
              <w:jc w:val="center"/>
              <w:rPr>
                <w:color w:val="auto"/>
                <w:szCs w:val="24"/>
                <w:lang w:eastAsia="ru-RU"/>
              </w:rPr>
            </w:pPr>
            <w:r w:rsidRPr="008F5A8D">
              <w:rPr>
                <w:color w:val="auto"/>
                <w:szCs w:val="24"/>
                <w:lang w:eastAsia="ru-RU"/>
              </w:rPr>
              <w:t>48,91</w:t>
            </w:r>
          </w:p>
        </w:tc>
        <w:tc>
          <w:tcPr>
            <w:tcW w:w="1559" w:type="dxa"/>
            <w:noWrap/>
            <w:vAlign w:val="center"/>
            <w:hideMark/>
          </w:tcPr>
          <w:p w14:paraId="7B0D8C47" w14:textId="77777777" w:rsidR="008F5A8D" w:rsidRPr="008F5A8D" w:rsidRDefault="008F5A8D" w:rsidP="008F5A8D">
            <w:pPr>
              <w:spacing w:line="240" w:lineRule="auto"/>
              <w:jc w:val="center"/>
              <w:rPr>
                <w:color w:val="auto"/>
                <w:szCs w:val="24"/>
                <w:lang w:eastAsia="ru-RU"/>
              </w:rPr>
            </w:pPr>
            <w:r w:rsidRPr="008F5A8D">
              <w:rPr>
                <w:color w:val="auto"/>
                <w:szCs w:val="24"/>
                <w:lang w:eastAsia="ru-RU"/>
              </w:rPr>
              <w:t>32,38</w:t>
            </w:r>
          </w:p>
        </w:tc>
        <w:tc>
          <w:tcPr>
            <w:tcW w:w="1417" w:type="dxa"/>
            <w:noWrap/>
            <w:vAlign w:val="center"/>
            <w:hideMark/>
          </w:tcPr>
          <w:p w14:paraId="51CB73B5" w14:textId="77777777" w:rsidR="008F5A8D" w:rsidRPr="008F5A8D" w:rsidRDefault="008F5A8D" w:rsidP="008F5A8D">
            <w:pPr>
              <w:spacing w:line="240" w:lineRule="auto"/>
              <w:jc w:val="center"/>
              <w:rPr>
                <w:color w:val="auto"/>
                <w:szCs w:val="24"/>
                <w:lang w:eastAsia="ru-RU"/>
              </w:rPr>
            </w:pPr>
            <w:r w:rsidRPr="008F5A8D">
              <w:rPr>
                <w:color w:val="auto"/>
                <w:szCs w:val="24"/>
                <w:lang w:eastAsia="ru-RU"/>
              </w:rPr>
              <w:t>34,99</w:t>
            </w:r>
          </w:p>
        </w:tc>
        <w:tc>
          <w:tcPr>
            <w:tcW w:w="1418" w:type="dxa"/>
            <w:noWrap/>
            <w:vAlign w:val="center"/>
            <w:hideMark/>
          </w:tcPr>
          <w:p w14:paraId="0522C099" w14:textId="77777777" w:rsidR="008F5A8D" w:rsidRPr="008F5A8D" w:rsidRDefault="008F5A8D" w:rsidP="008F5A8D">
            <w:pPr>
              <w:spacing w:line="240" w:lineRule="auto"/>
              <w:jc w:val="center"/>
              <w:rPr>
                <w:color w:val="auto"/>
                <w:szCs w:val="24"/>
                <w:lang w:eastAsia="ru-RU"/>
              </w:rPr>
            </w:pPr>
            <w:r w:rsidRPr="008F5A8D">
              <w:rPr>
                <w:color w:val="auto"/>
                <w:szCs w:val="24"/>
                <w:lang w:eastAsia="ru-RU"/>
              </w:rPr>
              <w:t>34,22</w:t>
            </w:r>
          </w:p>
        </w:tc>
        <w:tc>
          <w:tcPr>
            <w:tcW w:w="1365" w:type="dxa"/>
            <w:noWrap/>
            <w:vAlign w:val="center"/>
            <w:hideMark/>
          </w:tcPr>
          <w:p w14:paraId="214358E5" w14:textId="77777777" w:rsidR="008F5A8D" w:rsidRPr="008F5A8D" w:rsidRDefault="008F5A8D" w:rsidP="008F5A8D">
            <w:pPr>
              <w:spacing w:line="240" w:lineRule="auto"/>
              <w:jc w:val="center"/>
              <w:rPr>
                <w:color w:val="auto"/>
                <w:szCs w:val="24"/>
                <w:lang w:eastAsia="ru-RU"/>
              </w:rPr>
            </w:pPr>
            <w:r w:rsidRPr="008F5A8D">
              <w:rPr>
                <w:color w:val="auto"/>
                <w:szCs w:val="24"/>
                <w:lang w:eastAsia="ru-RU"/>
              </w:rPr>
              <w:t>52,49</w:t>
            </w:r>
          </w:p>
        </w:tc>
      </w:tr>
      <w:tr w:rsidR="0050531E" w:rsidRPr="008F5A8D" w14:paraId="6CE5C677" w14:textId="77777777" w:rsidTr="0050531E">
        <w:trPr>
          <w:trHeight w:val="20"/>
        </w:trPr>
        <w:tc>
          <w:tcPr>
            <w:tcW w:w="1696" w:type="dxa"/>
            <w:tcBorders>
              <w:bottom w:val="single" w:sz="4" w:space="0" w:color="auto"/>
            </w:tcBorders>
            <w:vAlign w:val="center"/>
          </w:tcPr>
          <w:p w14:paraId="7399BE91" w14:textId="77777777" w:rsidR="008F5A8D" w:rsidRPr="008F5A8D" w:rsidRDefault="008F5A8D" w:rsidP="008F5A8D">
            <w:pPr>
              <w:spacing w:line="240" w:lineRule="auto"/>
              <w:jc w:val="center"/>
              <w:rPr>
                <w:color w:val="auto"/>
                <w:szCs w:val="24"/>
                <w:lang w:val="ru-RU" w:eastAsia="ru-RU"/>
              </w:rPr>
            </w:pPr>
            <w:r w:rsidRPr="008F5A8D">
              <w:rPr>
                <w:color w:val="auto"/>
                <w:szCs w:val="24"/>
                <w:lang w:eastAsia="ru-RU"/>
              </w:rPr>
              <w:t>Groups</w:t>
            </w:r>
            <w:r w:rsidRPr="008F5A8D">
              <w:rPr>
                <w:color w:val="auto"/>
                <w:szCs w:val="24"/>
                <w:lang w:val="ru-RU" w:eastAsia="ru-RU"/>
              </w:rPr>
              <w:t xml:space="preserve"> </w:t>
            </w:r>
            <w:r w:rsidRPr="008F5A8D">
              <w:rPr>
                <w:b/>
                <w:color w:val="auto"/>
                <w:szCs w:val="24"/>
                <w:vertAlign w:val="superscript"/>
                <w:lang w:eastAsia="ru-RU"/>
              </w:rPr>
              <w:t>¥</w:t>
            </w:r>
          </w:p>
        </w:tc>
        <w:tc>
          <w:tcPr>
            <w:tcW w:w="1560" w:type="dxa"/>
            <w:tcBorders>
              <w:bottom w:val="single" w:sz="4" w:space="0" w:color="auto"/>
            </w:tcBorders>
            <w:noWrap/>
            <w:vAlign w:val="center"/>
          </w:tcPr>
          <w:p w14:paraId="6C30B2CA" w14:textId="77777777" w:rsidR="008F5A8D" w:rsidRPr="008F5A8D" w:rsidRDefault="008F5A8D" w:rsidP="008F5A8D">
            <w:pPr>
              <w:spacing w:line="240" w:lineRule="auto"/>
              <w:jc w:val="center"/>
              <w:rPr>
                <w:b/>
                <w:color w:val="auto"/>
                <w:szCs w:val="24"/>
                <w:lang w:eastAsia="ru-RU"/>
              </w:rPr>
            </w:pPr>
            <w:r w:rsidRPr="008F5A8D">
              <w:rPr>
                <w:b/>
                <w:color w:val="auto"/>
                <w:szCs w:val="24"/>
                <w:lang w:eastAsia="ru-RU"/>
              </w:rPr>
              <w:t>A</w:t>
            </w:r>
          </w:p>
        </w:tc>
        <w:tc>
          <w:tcPr>
            <w:tcW w:w="1559" w:type="dxa"/>
            <w:tcBorders>
              <w:bottom w:val="single" w:sz="4" w:space="0" w:color="auto"/>
            </w:tcBorders>
            <w:noWrap/>
            <w:vAlign w:val="center"/>
          </w:tcPr>
          <w:p w14:paraId="2347E1CD" w14:textId="77777777" w:rsidR="008F5A8D" w:rsidRPr="008F5A8D" w:rsidRDefault="008F5A8D" w:rsidP="008F5A8D">
            <w:pPr>
              <w:spacing w:line="240" w:lineRule="auto"/>
              <w:jc w:val="center"/>
              <w:rPr>
                <w:b/>
                <w:color w:val="auto"/>
                <w:szCs w:val="24"/>
                <w:lang w:eastAsia="ru-RU"/>
              </w:rPr>
            </w:pPr>
            <w:r w:rsidRPr="008F5A8D">
              <w:rPr>
                <w:b/>
                <w:color w:val="auto"/>
                <w:szCs w:val="24"/>
                <w:lang w:eastAsia="ru-RU"/>
              </w:rPr>
              <w:t>B</w:t>
            </w:r>
          </w:p>
        </w:tc>
        <w:tc>
          <w:tcPr>
            <w:tcW w:w="1417" w:type="dxa"/>
            <w:tcBorders>
              <w:bottom w:val="single" w:sz="4" w:space="0" w:color="auto"/>
            </w:tcBorders>
            <w:noWrap/>
            <w:vAlign w:val="center"/>
          </w:tcPr>
          <w:p w14:paraId="17AE370A" w14:textId="77777777" w:rsidR="008F5A8D" w:rsidRPr="008F5A8D" w:rsidRDefault="008F5A8D" w:rsidP="008F5A8D">
            <w:pPr>
              <w:spacing w:line="240" w:lineRule="auto"/>
              <w:jc w:val="center"/>
              <w:rPr>
                <w:b/>
                <w:color w:val="auto"/>
                <w:szCs w:val="24"/>
                <w:lang w:eastAsia="ru-RU"/>
              </w:rPr>
            </w:pPr>
            <w:r w:rsidRPr="008F5A8D">
              <w:rPr>
                <w:b/>
                <w:color w:val="auto"/>
                <w:szCs w:val="24"/>
                <w:lang w:eastAsia="ru-RU"/>
              </w:rPr>
              <w:t>B</w:t>
            </w:r>
          </w:p>
        </w:tc>
        <w:tc>
          <w:tcPr>
            <w:tcW w:w="1418" w:type="dxa"/>
            <w:tcBorders>
              <w:bottom w:val="single" w:sz="4" w:space="0" w:color="auto"/>
            </w:tcBorders>
            <w:noWrap/>
            <w:vAlign w:val="center"/>
          </w:tcPr>
          <w:p w14:paraId="11822BA4" w14:textId="77777777" w:rsidR="008F5A8D" w:rsidRPr="008F5A8D" w:rsidRDefault="008F5A8D" w:rsidP="008F5A8D">
            <w:pPr>
              <w:spacing w:line="240" w:lineRule="auto"/>
              <w:jc w:val="center"/>
              <w:rPr>
                <w:b/>
                <w:color w:val="auto"/>
                <w:szCs w:val="24"/>
                <w:lang w:eastAsia="ru-RU"/>
              </w:rPr>
            </w:pPr>
            <w:r w:rsidRPr="008F5A8D">
              <w:rPr>
                <w:b/>
                <w:color w:val="auto"/>
                <w:szCs w:val="24"/>
                <w:lang w:eastAsia="ru-RU"/>
              </w:rPr>
              <w:t>B</w:t>
            </w:r>
          </w:p>
        </w:tc>
        <w:tc>
          <w:tcPr>
            <w:tcW w:w="1365" w:type="dxa"/>
            <w:tcBorders>
              <w:bottom w:val="single" w:sz="4" w:space="0" w:color="auto"/>
            </w:tcBorders>
            <w:noWrap/>
            <w:vAlign w:val="center"/>
          </w:tcPr>
          <w:p w14:paraId="49D0DE1C" w14:textId="77777777" w:rsidR="008F5A8D" w:rsidRPr="008F5A8D" w:rsidRDefault="008F5A8D" w:rsidP="008F5A8D">
            <w:pPr>
              <w:spacing w:line="240" w:lineRule="auto"/>
              <w:jc w:val="center"/>
              <w:rPr>
                <w:b/>
                <w:color w:val="auto"/>
                <w:szCs w:val="24"/>
                <w:lang w:eastAsia="ru-RU"/>
              </w:rPr>
            </w:pPr>
            <w:r w:rsidRPr="008F5A8D">
              <w:rPr>
                <w:b/>
                <w:color w:val="auto"/>
                <w:szCs w:val="24"/>
                <w:lang w:eastAsia="ru-RU"/>
              </w:rPr>
              <w:t>A</w:t>
            </w:r>
          </w:p>
        </w:tc>
      </w:tr>
    </w:tbl>
    <w:p w14:paraId="62ED7474" w14:textId="77777777" w:rsidR="008F5A8D" w:rsidRPr="00A05CB6" w:rsidRDefault="008F5A8D" w:rsidP="00A05CB6">
      <w:pPr>
        <w:pStyle w:val="MDPI31text"/>
        <w:spacing w:line="240" w:lineRule="auto"/>
        <w:ind w:left="0" w:firstLine="0"/>
        <w:rPr>
          <w:rFonts w:ascii="Times New Roman" w:hAnsi="Times New Roman"/>
          <w:snapToGrid/>
          <w:color w:val="auto"/>
          <w:sz w:val="24"/>
          <w:szCs w:val="24"/>
          <w:lang w:eastAsia="ru-RU" w:bidi="ar-SA"/>
        </w:rPr>
      </w:pPr>
      <w:r w:rsidRPr="00A05CB6">
        <w:rPr>
          <w:rFonts w:ascii="Times New Roman" w:hAnsi="Times New Roman"/>
          <w:snapToGrid/>
          <w:color w:val="auto"/>
          <w:sz w:val="24"/>
          <w:szCs w:val="24"/>
          <w:vertAlign w:val="superscript"/>
          <w:lang w:eastAsia="ru-RU" w:bidi="ar-SA"/>
        </w:rPr>
        <w:t>♯</w:t>
      </w:r>
      <w:r w:rsidRPr="00A05CB6">
        <w:rPr>
          <w:rFonts w:ascii="Times New Roman" w:hAnsi="Times New Roman"/>
          <w:snapToGrid/>
          <w:color w:val="auto"/>
          <w:sz w:val="24"/>
          <w:szCs w:val="24"/>
          <w:lang w:eastAsia="ru-RU" w:bidi="ar-SA"/>
        </w:rPr>
        <w:t xml:space="preserve"> A2 - </w:t>
      </w:r>
      <w:r w:rsidRPr="00A05CB6">
        <w:rPr>
          <w:rFonts w:ascii="Times New Roman" w:hAnsi="Times New Roman"/>
          <w:i/>
          <w:snapToGrid/>
          <w:color w:val="auto"/>
          <w:sz w:val="24"/>
          <w:szCs w:val="24"/>
          <w:lang w:eastAsia="ru-RU" w:bidi="ar-SA"/>
        </w:rPr>
        <w:t>M. pulcherrima</w:t>
      </w:r>
      <w:r w:rsidRPr="00A05CB6">
        <w:rPr>
          <w:rFonts w:ascii="Times New Roman" w:hAnsi="Times New Roman"/>
          <w:snapToGrid/>
          <w:color w:val="auto"/>
          <w:sz w:val="24"/>
          <w:szCs w:val="24"/>
          <w:lang w:eastAsia="ru-RU" w:bidi="ar-SA"/>
        </w:rPr>
        <w:t xml:space="preserve"> strain; AP11 and AP13 – </w:t>
      </w:r>
      <w:r w:rsidRPr="00A05CB6">
        <w:rPr>
          <w:rFonts w:ascii="Times New Roman" w:hAnsi="Times New Roman"/>
          <w:i/>
          <w:snapToGrid/>
          <w:color w:val="auto"/>
          <w:sz w:val="24"/>
          <w:szCs w:val="24"/>
          <w:lang w:eastAsia="ru-RU" w:bidi="ar-SA"/>
        </w:rPr>
        <w:t>A. pullulans</w:t>
      </w:r>
      <w:r w:rsidRPr="00A05CB6">
        <w:rPr>
          <w:rFonts w:ascii="Times New Roman" w:hAnsi="Times New Roman"/>
          <w:snapToGrid/>
          <w:color w:val="auto"/>
          <w:sz w:val="24"/>
          <w:szCs w:val="24"/>
          <w:lang w:eastAsia="ru-RU" w:bidi="ar-SA"/>
        </w:rPr>
        <w:t xml:space="preserve"> strains; CL03 – </w:t>
      </w:r>
      <w:r w:rsidRPr="00A05CB6">
        <w:rPr>
          <w:rFonts w:ascii="Times New Roman" w:hAnsi="Times New Roman"/>
          <w:i/>
          <w:snapToGrid/>
          <w:color w:val="auto"/>
          <w:sz w:val="24"/>
          <w:szCs w:val="24"/>
          <w:lang w:eastAsia="ru-RU" w:bidi="ar-SA"/>
        </w:rPr>
        <w:t xml:space="preserve">C. </w:t>
      </w:r>
      <w:proofErr w:type="spellStart"/>
      <w:r w:rsidRPr="00A05CB6">
        <w:rPr>
          <w:rFonts w:ascii="Times New Roman" w:hAnsi="Times New Roman"/>
          <w:i/>
          <w:snapToGrid/>
          <w:color w:val="auto"/>
          <w:sz w:val="24"/>
          <w:szCs w:val="24"/>
          <w:lang w:eastAsia="ru-RU" w:bidi="ar-SA"/>
        </w:rPr>
        <w:t>lusitaniae</w:t>
      </w:r>
      <w:proofErr w:type="spellEnd"/>
      <w:r w:rsidRPr="00A05CB6">
        <w:rPr>
          <w:rFonts w:ascii="Times New Roman" w:hAnsi="Times New Roman"/>
          <w:snapToGrid/>
          <w:color w:val="auto"/>
          <w:sz w:val="24"/>
          <w:szCs w:val="24"/>
          <w:lang w:eastAsia="ru-RU" w:bidi="ar-SA"/>
        </w:rPr>
        <w:t xml:space="preserve"> strain; HU15 – </w:t>
      </w:r>
      <w:r w:rsidRPr="00A05CB6">
        <w:rPr>
          <w:rFonts w:ascii="Times New Roman" w:hAnsi="Times New Roman"/>
          <w:i/>
          <w:snapToGrid/>
          <w:color w:val="auto"/>
          <w:sz w:val="24"/>
          <w:szCs w:val="24"/>
          <w:lang w:eastAsia="ru-RU" w:bidi="ar-SA"/>
        </w:rPr>
        <w:t xml:space="preserve">H. </w:t>
      </w:r>
      <w:proofErr w:type="spellStart"/>
      <w:r w:rsidRPr="00A05CB6">
        <w:rPr>
          <w:rFonts w:ascii="Times New Roman" w:hAnsi="Times New Roman"/>
          <w:i/>
          <w:snapToGrid/>
          <w:color w:val="auto"/>
          <w:sz w:val="24"/>
          <w:szCs w:val="24"/>
          <w:lang w:eastAsia="ru-RU" w:bidi="ar-SA"/>
        </w:rPr>
        <w:t>uvarum</w:t>
      </w:r>
      <w:proofErr w:type="spellEnd"/>
      <w:r w:rsidRPr="00A05CB6">
        <w:rPr>
          <w:rFonts w:ascii="Times New Roman" w:hAnsi="Times New Roman"/>
          <w:snapToGrid/>
          <w:color w:val="auto"/>
          <w:sz w:val="24"/>
          <w:szCs w:val="24"/>
          <w:lang w:eastAsia="ru-RU" w:bidi="ar-SA"/>
        </w:rPr>
        <w:t xml:space="preserve"> strain.</w:t>
      </w:r>
    </w:p>
    <w:p w14:paraId="4A9974E2" w14:textId="77777777" w:rsidR="008F5A8D" w:rsidRPr="00A05CB6" w:rsidRDefault="008F5A8D" w:rsidP="00A05CB6">
      <w:pPr>
        <w:pStyle w:val="MDPI32textnoindent"/>
        <w:spacing w:line="240" w:lineRule="auto"/>
        <w:ind w:left="0"/>
        <w:rPr>
          <w:rFonts w:ascii="Times New Roman" w:hAnsi="Times New Roman"/>
          <w:color w:val="auto"/>
          <w:sz w:val="24"/>
          <w:szCs w:val="24"/>
        </w:rPr>
      </w:pPr>
      <w:r w:rsidRPr="00A05CB6">
        <w:rPr>
          <w:rFonts w:ascii="Times New Roman" w:hAnsi="Times New Roman"/>
          <w:color w:val="auto"/>
          <w:sz w:val="24"/>
          <w:szCs w:val="24"/>
          <w:vertAlign w:val="superscript"/>
        </w:rPr>
        <w:t>♠</w:t>
      </w:r>
      <w:r w:rsidRPr="00A05CB6">
        <w:rPr>
          <w:rFonts w:ascii="Times New Roman" w:hAnsi="Times New Roman"/>
          <w:color w:val="auto"/>
          <w:sz w:val="24"/>
          <w:szCs w:val="24"/>
        </w:rPr>
        <w:t xml:space="preserve"> Values were calculated using Formula (3) from Section 2.10 in the Materials and Methods. </w:t>
      </w:r>
    </w:p>
    <w:p w14:paraId="07852ADF" w14:textId="7E14E696" w:rsidR="00225B52" w:rsidRDefault="008F5A8D" w:rsidP="00A05CB6">
      <w:pPr>
        <w:spacing w:line="240" w:lineRule="auto"/>
        <w:rPr>
          <w:color w:val="auto"/>
          <w:szCs w:val="24"/>
        </w:rPr>
      </w:pPr>
      <w:r w:rsidRPr="00A05CB6">
        <w:rPr>
          <w:color w:val="auto"/>
          <w:szCs w:val="24"/>
          <w:vertAlign w:val="superscript"/>
        </w:rPr>
        <w:t>¥</w:t>
      </w:r>
      <w:r w:rsidRPr="00A05CB6">
        <w:rPr>
          <w:color w:val="auto"/>
          <w:szCs w:val="24"/>
        </w:rPr>
        <w:t xml:space="preserve"> Data are sourced from Table 2A</w:t>
      </w:r>
      <w:r w:rsidR="00A05CB6">
        <w:rPr>
          <w:color w:val="auto"/>
          <w:szCs w:val="24"/>
        </w:rPr>
        <w:t>.</w:t>
      </w:r>
    </w:p>
    <w:p w14:paraId="3410A84A" w14:textId="77777777" w:rsidR="00A05CB6" w:rsidRDefault="00A05CB6" w:rsidP="00A05CB6">
      <w:pPr>
        <w:spacing w:line="360" w:lineRule="auto"/>
        <w:rPr>
          <w:color w:val="auto"/>
          <w:szCs w:val="24"/>
        </w:rPr>
      </w:pPr>
    </w:p>
    <w:p w14:paraId="36D23344" w14:textId="77777777" w:rsidR="00D97F06" w:rsidRPr="00125A2F" w:rsidRDefault="00D97F06" w:rsidP="00D97F06">
      <w:pPr>
        <w:pStyle w:val="MDPI41tablecaption"/>
        <w:spacing w:before="0" w:after="0" w:line="240" w:lineRule="auto"/>
        <w:ind w:left="0"/>
        <w:rPr>
          <w:rFonts w:ascii="Times New Roman" w:hAnsi="Times New Roman" w:cs="Times New Roman"/>
          <w:color w:val="auto"/>
          <w:sz w:val="24"/>
          <w:szCs w:val="24"/>
        </w:rPr>
      </w:pPr>
      <w:r w:rsidRPr="00D97F06">
        <w:rPr>
          <w:rFonts w:ascii="Times New Roman" w:hAnsi="Times New Roman" w:cs="Times New Roman"/>
          <w:b/>
          <w:color w:val="auto"/>
          <w:sz w:val="24"/>
          <w:szCs w:val="24"/>
        </w:rPr>
        <w:t>Table 3:</w:t>
      </w:r>
      <w:r w:rsidRPr="00D97F06">
        <w:rPr>
          <w:rFonts w:ascii="Times New Roman" w:hAnsi="Times New Roman" w:cs="Times New Roman"/>
          <w:color w:val="auto"/>
          <w:sz w:val="24"/>
          <w:szCs w:val="24"/>
        </w:rPr>
        <w:t xml:space="preserve"> Comparison of the biological control efficacy against three pathogens between the W and B systems for each of the target strains of antagonistic yeasts</w:t>
      </w:r>
    </w:p>
    <w:tbl>
      <w:tblPr>
        <w:tblW w:w="9015" w:type="dxa"/>
        <w:tblLayout w:type="fixed"/>
        <w:tblLook w:val="04A0" w:firstRow="1" w:lastRow="0" w:firstColumn="1" w:lastColumn="0" w:noHBand="0" w:noVBand="1"/>
      </w:tblPr>
      <w:tblGrid>
        <w:gridCol w:w="1276"/>
        <w:gridCol w:w="933"/>
        <w:gridCol w:w="791"/>
        <w:gridCol w:w="949"/>
        <w:gridCol w:w="792"/>
        <w:gridCol w:w="792"/>
        <w:gridCol w:w="955"/>
        <w:gridCol w:w="786"/>
        <w:gridCol w:w="806"/>
        <w:gridCol w:w="935"/>
      </w:tblGrid>
      <w:tr w:rsidR="00D97F06" w:rsidRPr="00D97F06" w14:paraId="21914281" w14:textId="77777777" w:rsidTr="00D97F06">
        <w:trPr>
          <w:trHeight w:val="227"/>
        </w:trPr>
        <w:tc>
          <w:tcPr>
            <w:tcW w:w="9015" w:type="dxa"/>
            <w:gridSpan w:val="10"/>
            <w:tcBorders>
              <w:top w:val="single" w:sz="4" w:space="0" w:color="auto"/>
              <w:bottom w:val="single" w:sz="4" w:space="0" w:color="auto"/>
            </w:tcBorders>
            <w:vAlign w:val="center"/>
          </w:tcPr>
          <w:p w14:paraId="3905761F" w14:textId="77777777" w:rsidR="00D97F06" w:rsidRPr="00D97F06" w:rsidRDefault="00D97F06" w:rsidP="00D97F06">
            <w:pPr>
              <w:tabs>
                <w:tab w:val="left" w:pos="5387"/>
              </w:tabs>
              <w:spacing w:line="240" w:lineRule="auto"/>
              <w:jc w:val="center"/>
              <w:rPr>
                <w:b/>
                <w:color w:val="auto"/>
                <w:szCs w:val="24"/>
                <w:lang w:eastAsia="ru-RU"/>
              </w:rPr>
            </w:pPr>
            <w:r w:rsidRPr="00D97F06">
              <w:rPr>
                <w:b/>
                <w:color w:val="auto"/>
                <w:szCs w:val="24"/>
                <w:lang w:eastAsia="ru-RU"/>
              </w:rPr>
              <w:t>Postharvest biological control system</w:t>
            </w:r>
            <w:r w:rsidRPr="00D97F06">
              <w:rPr>
                <w:b/>
                <w:color w:val="auto"/>
                <w:szCs w:val="24"/>
              </w:rPr>
              <w:t xml:space="preserve"> </w:t>
            </w:r>
            <w:r w:rsidRPr="00D97F06">
              <w:rPr>
                <w:b/>
                <w:color w:val="auto"/>
                <w:szCs w:val="24"/>
                <w:lang w:eastAsia="ru-RU"/>
              </w:rPr>
              <w:t>models</w:t>
            </w:r>
          </w:p>
        </w:tc>
      </w:tr>
      <w:tr w:rsidR="00D97F06" w:rsidRPr="00D97F06" w14:paraId="5A820196" w14:textId="77777777" w:rsidTr="00D97F06">
        <w:trPr>
          <w:trHeight w:val="340"/>
        </w:trPr>
        <w:tc>
          <w:tcPr>
            <w:tcW w:w="1276" w:type="dxa"/>
            <w:tcBorders>
              <w:top w:val="single" w:sz="4" w:space="0" w:color="auto"/>
              <w:bottom w:val="single" w:sz="4" w:space="0" w:color="auto"/>
            </w:tcBorders>
            <w:vAlign w:val="center"/>
          </w:tcPr>
          <w:p w14:paraId="5CB10E07" w14:textId="77777777" w:rsidR="00D97F06" w:rsidRPr="00D97F06" w:rsidRDefault="00D97F06" w:rsidP="00D97F06">
            <w:pPr>
              <w:tabs>
                <w:tab w:val="left" w:pos="5387"/>
              </w:tabs>
              <w:spacing w:line="240" w:lineRule="auto"/>
              <w:jc w:val="center"/>
              <w:rPr>
                <w:b/>
                <w:color w:val="auto"/>
                <w:kern w:val="2"/>
                <w:szCs w:val="24"/>
                <w14:ligatures w14:val="standardContextual"/>
              </w:rPr>
            </w:pPr>
            <w:r w:rsidRPr="00D97F06">
              <w:rPr>
                <w:b/>
                <w:color w:val="auto"/>
                <w:kern w:val="2"/>
                <w:szCs w:val="24"/>
                <w14:ligatures w14:val="standardContextual"/>
              </w:rPr>
              <w:t>Fungal pathogens</w:t>
            </w:r>
          </w:p>
        </w:tc>
        <w:tc>
          <w:tcPr>
            <w:tcW w:w="2673" w:type="dxa"/>
            <w:gridSpan w:val="3"/>
            <w:tcBorders>
              <w:top w:val="single" w:sz="4" w:space="0" w:color="auto"/>
              <w:bottom w:val="single" w:sz="4" w:space="0" w:color="auto"/>
            </w:tcBorders>
            <w:vAlign w:val="center"/>
            <w:hideMark/>
          </w:tcPr>
          <w:p w14:paraId="0F74011B" w14:textId="77777777" w:rsidR="00D97F06" w:rsidRPr="00D97F06" w:rsidRDefault="00D97F06" w:rsidP="00D97F06">
            <w:pPr>
              <w:tabs>
                <w:tab w:val="left" w:pos="5387"/>
              </w:tabs>
              <w:spacing w:line="240" w:lineRule="auto"/>
              <w:jc w:val="center"/>
              <w:rPr>
                <w:b/>
                <w:i/>
                <w:color w:val="auto"/>
                <w:kern w:val="2"/>
                <w:szCs w:val="24"/>
                <w14:ligatures w14:val="standardContextual"/>
              </w:rPr>
            </w:pPr>
            <w:r w:rsidRPr="00D97F06">
              <w:rPr>
                <w:b/>
                <w:i/>
                <w:color w:val="auto"/>
                <w:kern w:val="2"/>
                <w:szCs w:val="24"/>
                <w14:ligatures w14:val="standardContextual"/>
              </w:rPr>
              <w:t>Botrytis cinerea</w:t>
            </w:r>
          </w:p>
          <w:p w14:paraId="705B2520" w14:textId="77777777" w:rsidR="00D97F06" w:rsidRPr="00D97F06" w:rsidRDefault="00D97F06" w:rsidP="00D97F06">
            <w:pPr>
              <w:tabs>
                <w:tab w:val="left" w:pos="5387"/>
              </w:tabs>
              <w:spacing w:line="240" w:lineRule="auto"/>
              <w:jc w:val="center"/>
              <w:rPr>
                <w:b/>
                <w:color w:val="auto"/>
                <w:kern w:val="2"/>
                <w:szCs w:val="24"/>
                <w:lang w:val="kk-KZ"/>
                <w14:ligatures w14:val="standardContextual"/>
              </w:rPr>
            </w:pPr>
            <w:r w:rsidRPr="00D97F06">
              <w:rPr>
                <w:color w:val="auto"/>
                <w:szCs w:val="24"/>
              </w:rPr>
              <w:t>F-RKM 1032</w:t>
            </w:r>
          </w:p>
        </w:tc>
        <w:tc>
          <w:tcPr>
            <w:tcW w:w="2539" w:type="dxa"/>
            <w:gridSpan w:val="3"/>
            <w:tcBorders>
              <w:top w:val="single" w:sz="4" w:space="0" w:color="auto"/>
              <w:bottom w:val="single" w:sz="4" w:space="0" w:color="auto"/>
            </w:tcBorders>
            <w:vAlign w:val="center"/>
            <w:hideMark/>
          </w:tcPr>
          <w:p w14:paraId="73AC1EEE" w14:textId="77777777" w:rsidR="00D97F06" w:rsidRPr="00D97F06" w:rsidRDefault="00D97F06" w:rsidP="00D97F06">
            <w:pPr>
              <w:tabs>
                <w:tab w:val="left" w:pos="5387"/>
              </w:tabs>
              <w:spacing w:line="240" w:lineRule="auto"/>
              <w:jc w:val="center"/>
              <w:rPr>
                <w:b/>
                <w:i/>
                <w:color w:val="auto"/>
                <w:kern w:val="2"/>
                <w:szCs w:val="24"/>
                <w14:ligatures w14:val="standardContextual"/>
              </w:rPr>
            </w:pPr>
            <w:r w:rsidRPr="00D97F06">
              <w:rPr>
                <w:b/>
                <w:i/>
                <w:color w:val="auto"/>
                <w:kern w:val="2"/>
                <w:szCs w:val="24"/>
                <w14:ligatures w14:val="standardContextual"/>
              </w:rPr>
              <w:t>Aspergillus niger</w:t>
            </w:r>
          </w:p>
          <w:p w14:paraId="2D2B764A" w14:textId="77777777" w:rsidR="00D97F06" w:rsidRPr="00D97F06" w:rsidRDefault="00D97F06" w:rsidP="00D97F06">
            <w:pPr>
              <w:tabs>
                <w:tab w:val="left" w:pos="5387"/>
              </w:tabs>
              <w:spacing w:line="240" w:lineRule="auto"/>
              <w:jc w:val="center"/>
              <w:rPr>
                <w:b/>
                <w:color w:val="auto"/>
                <w:kern w:val="2"/>
                <w:szCs w:val="24"/>
                <w:lang w:val="kk-KZ"/>
                <w14:ligatures w14:val="standardContextual"/>
              </w:rPr>
            </w:pPr>
            <w:r w:rsidRPr="00D97F06">
              <w:rPr>
                <w:color w:val="auto"/>
                <w:szCs w:val="24"/>
              </w:rPr>
              <w:t>ATCC 6275</w:t>
            </w:r>
          </w:p>
        </w:tc>
        <w:tc>
          <w:tcPr>
            <w:tcW w:w="2527" w:type="dxa"/>
            <w:gridSpan w:val="3"/>
            <w:tcBorders>
              <w:top w:val="single" w:sz="4" w:space="0" w:color="auto"/>
              <w:bottom w:val="single" w:sz="4" w:space="0" w:color="auto"/>
            </w:tcBorders>
            <w:vAlign w:val="center"/>
            <w:hideMark/>
          </w:tcPr>
          <w:p w14:paraId="7765C906" w14:textId="77777777" w:rsidR="00D97F06" w:rsidRPr="00D97F06" w:rsidRDefault="00D97F06" w:rsidP="00D97F06">
            <w:pPr>
              <w:tabs>
                <w:tab w:val="left" w:pos="5387"/>
              </w:tabs>
              <w:spacing w:line="240" w:lineRule="auto"/>
              <w:jc w:val="center"/>
              <w:rPr>
                <w:b/>
                <w:i/>
                <w:color w:val="auto"/>
                <w:kern w:val="2"/>
                <w:szCs w:val="24"/>
                <w14:ligatures w14:val="standardContextual"/>
              </w:rPr>
            </w:pPr>
            <w:r w:rsidRPr="00D97F06">
              <w:rPr>
                <w:b/>
                <w:i/>
                <w:color w:val="auto"/>
                <w:kern w:val="2"/>
                <w:szCs w:val="24"/>
                <w14:ligatures w14:val="standardContextual"/>
              </w:rPr>
              <w:t>Rhizopus stolonifer</w:t>
            </w:r>
          </w:p>
          <w:p w14:paraId="16DDEAB6" w14:textId="77777777" w:rsidR="00D97F06" w:rsidRPr="00D97F06" w:rsidRDefault="00D97F06" w:rsidP="00D97F06">
            <w:pPr>
              <w:tabs>
                <w:tab w:val="left" w:pos="5387"/>
              </w:tabs>
              <w:spacing w:line="240" w:lineRule="auto"/>
              <w:jc w:val="center"/>
              <w:rPr>
                <w:b/>
                <w:color w:val="auto"/>
                <w:kern w:val="2"/>
                <w:szCs w:val="24"/>
                <w:lang w:val="kk-KZ"/>
                <w14:ligatures w14:val="standardContextual"/>
              </w:rPr>
            </w:pPr>
            <w:r w:rsidRPr="00D97F06">
              <w:rPr>
                <w:color w:val="auto"/>
                <w:szCs w:val="24"/>
              </w:rPr>
              <w:t>ATCC 6227b</w:t>
            </w:r>
          </w:p>
        </w:tc>
      </w:tr>
      <w:tr w:rsidR="00D97F06" w:rsidRPr="00D97F06" w14:paraId="306F7A5B" w14:textId="77777777" w:rsidTr="00D97F06">
        <w:trPr>
          <w:cantSplit/>
          <w:trHeight w:val="20"/>
        </w:trPr>
        <w:tc>
          <w:tcPr>
            <w:tcW w:w="1276" w:type="dxa"/>
            <w:vMerge w:val="restart"/>
            <w:tcBorders>
              <w:top w:val="single" w:sz="4" w:space="0" w:color="auto"/>
            </w:tcBorders>
            <w:textDirection w:val="btLr"/>
            <w:vAlign w:val="center"/>
            <w:hideMark/>
          </w:tcPr>
          <w:p w14:paraId="4883BD8B" w14:textId="77777777" w:rsidR="00D97F06" w:rsidRPr="00D97F06" w:rsidRDefault="00D97F06" w:rsidP="00D97F06">
            <w:pPr>
              <w:tabs>
                <w:tab w:val="left" w:pos="5387"/>
              </w:tabs>
              <w:spacing w:line="240" w:lineRule="auto"/>
              <w:jc w:val="center"/>
              <w:rPr>
                <w:b/>
                <w:color w:val="auto"/>
                <w:kern w:val="2"/>
                <w:szCs w:val="24"/>
                <w:lang w:val="ru-RU"/>
                <w14:ligatures w14:val="standardContextual"/>
              </w:rPr>
            </w:pPr>
            <w:r w:rsidRPr="00D97F06">
              <w:rPr>
                <w:b/>
                <w:color w:val="auto"/>
                <w:kern w:val="2"/>
                <w:szCs w:val="24"/>
                <w14:ligatures w14:val="standardContextual"/>
              </w:rPr>
              <w:t>Yeast strains</w:t>
            </w:r>
            <w:r w:rsidRPr="00D97F06">
              <w:rPr>
                <w:b/>
                <w:color w:val="auto"/>
                <w:kern w:val="2"/>
                <w:szCs w:val="24"/>
                <w:lang w:val="ru-RU"/>
                <w14:ligatures w14:val="standardContextual"/>
              </w:rPr>
              <w:t xml:space="preserve"> </w:t>
            </w:r>
            <w:r w:rsidRPr="00D97F06">
              <w:rPr>
                <w:b/>
                <w:color w:val="auto"/>
                <w:kern w:val="2"/>
                <w:szCs w:val="24"/>
                <w:vertAlign w:val="superscript"/>
                <w:lang w:val="ru-RU"/>
                <w14:ligatures w14:val="standardContextual"/>
              </w:rPr>
              <w:t>♯</w:t>
            </w:r>
          </w:p>
        </w:tc>
        <w:tc>
          <w:tcPr>
            <w:tcW w:w="933" w:type="dxa"/>
            <w:tcBorders>
              <w:top w:val="single" w:sz="4" w:space="0" w:color="auto"/>
              <w:bottom w:val="single" w:sz="4" w:space="0" w:color="auto"/>
            </w:tcBorders>
            <w:vAlign w:val="center"/>
            <w:hideMark/>
          </w:tcPr>
          <w:p w14:paraId="010B667A" w14:textId="77777777" w:rsidR="00D97F06" w:rsidRPr="00D97F06" w:rsidRDefault="00D97F06" w:rsidP="00D97F06">
            <w:pPr>
              <w:tabs>
                <w:tab w:val="left" w:pos="5387"/>
              </w:tabs>
              <w:spacing w:line="240" w:lineRule="auto"/>
              <w:jc w:val="center"/>
              <w:rPr>
                <w:color w:val="auto"/>
                <w:kern w:val="2"/>
                <w:szCs w:val="24"/>
                <w:lang w:val="kk-KZ"/>
                <w14:ligatures w14:val="standardContextual"/>
              </w:rPr>
            </w:pPr>
            <w:r w:rsidRPr="00D97F06">
              <w:rPr>
                <w:color w:val="auto"/>
                <w:szCs w:val="24"/>
                <w:lang w:eastAsia="ru-RU"/>
              </w:rPr>
              <w:t>W</w:t>
            </w:r>
          </w:p>
        </w:tc>
        <w:tc>
          <w:tcPr>
            <w:tcW w:w="791" w:type="dxa"/>
            <w:tcBorders>
              <w:top w:val="single" w:sz="4" w:space="0" w:color="auto"/>
              <w:bottom w:val="single" w:sz="4" w:space="0" w:color="auto"/>
            </w:tcBorders>
            <w:vAlign w:val="center"/>
            <w:hideMark/>
          </w:tcPr>
          <w:p w14:paraId="2D66F5CB" w14:textId="77777777" w:rsidR="00D97F06" w:rsidRPr="00D97F06" w:rsidRDefault="00D97F06" w:rsidP="00D97F06">
            <w:pPr>
              <w:tabs>
                <w:tab w:val="left" w:pos="5387"/>
              </w:tabs>
              <w:spacing w:line="240" w:lineRule="auto"/>
              <w:jc w:val="center"/>
              <w:rPr>
                <w:color w:val="auto"/>
                <w:kern w:val="2"/>
                <w:szCs w:val="24"/>
                <w:lang w:val="kk-KZ"/>
                <w14:ligatures w14:val="standardContextual"/>
              </w:rPr>
            </w:pPr>
            <w:r w:rsidRPr="00D97F06">
              <w:rPr>
                <w:color w:val="auto"/>
                <w:szCs w:val="24"/>
                <w:lang w:eastAsia="ru-RU"/>
              </w:rPr>
              <w:t>B</w:t>
            </w:r>
          </w:p>
        </w:tc>
        <w:tc>
          <w:tcPr>
            <w:tcW w:w="949" w:type="dxa"/>
            <w:vMerge w:val="restart"/>
            <w:tcBorders>
              <w:top w:val="single" w:sz="4" w:space="0" w:color="auto"/>
            </w:tcBorders>
            <w:textDirection w:val="btLr"/>
            <w:vAlign w:val="center"/>
            <w:hideMark/>
          </w:tcPr>
          <w:p w14:paraId="61F02B50" w14:textId="77777777" w:rsidR="00D97F06" w:rsidRPr="00D97F06" w:rsidRDefault="00D97F06" w:rsidP="00D97F06">
            <w:pPr>
              <w:tabs>
                <w:tab w:val="left" w:pos="5387"/>
              </w:tabs>
              <w:spacing w:line="240" w:lineRule="auto"/>
              <w:jc w:val="center"/>
              <w:rPr>
                <w:color w:val="auto"/>
                <w:kern w:val="2"/>
                <w:szCs w:val="24"/>
                <w:vertAlign w:val="superscript"/>
                <w14:ligatures w14:val="standardContextual"/>
              </w:rPr>
            </w:pPr>
            <w:r w:rsidRPr="00D97F06">
              <w:rPr>
                <w:color w:val="auto"/>
                <w:kern w:val="2"/>
                <w:szCs w:val="24"/>
                <w14:ligatures w14:val="standardContextual"/>
              </w:rPr>
              <w:t xml:space="preserve">R(pat) </w:t>
            </w:r>
            <w:r w:rsidRPr="00D97F06">
              <w:rPr>
                <w:color w:val="auto"/>
                <w:kern w:val="2"/>
                <w:szCs w:val="24"/>
                <w:vertAlign w:val="superscript"/>
                <w14:ligatures w14:val="standardContextual"/>
              </w:rPr>
              <w:t>♠</w:t>
            </w:r>
            <w:r w:rsidRPr="00D97F06">
              <w:rPr>
                <w:color w:val="auto"/>
                <w:kern w:val="2"/>
                <w:szCs w:val="24"/>
                <w14:ligatures w14:val="standardContextual"/>
              </w:rPr>
              <w:t xml:space="preserve"> =</w:t>
            </w:r>
          </w:p>
          <w:p w14:paraId="55BA74BD"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BEW/BEB</w:t>
            </w:r>
          </w:p>
        </w:tc>
        <w:tc>
          <w:tcPr>
            <w:tcW w:w="792" w:type="dxa"/>
            <w:tcBorders>
              <w:top w:val="single" w:sz="4" w:space="0" w:color="auto"/>
              <w:bottom w:val="single" w:sz="4" w:space="0" w:color="auto"/>
            </w:tcBorders>
            <w:vAlign w:val="center"/>
            <w:hideMark/>
          </w:tcPr>
          <w:p w14:paraId="6D1D628E" w14:textId="77777777" w:rsidR="00D97F06" w:rsidRPr="00D97F06" w:rsidRDefault="00D97F06" w:rsidP="00D97F06">
            <w:pPr>
              <w:tabs>
                <w:tab w:val="left" w:pos="5387"/>
              </w:tabs>
              <w:spacing w:line="240" w:lineRule="auto"/>
              <w:jc w:val="center"/>
              <w:rPr>
                <w:color w:val="auto"/>
                <w:szCs w:val="24"/>
                <w:lang w:eastAsia="ru-RU"/>
              </w:rPr>
            </w:pPr>
            <w:r w:rsidRPr="00D97F06">
              <w:rPr>
                <w:color w:val="auto"/>
                <w:szCs w:val="24"/>
                <w:lang w:eastAsia="ru-RU"/>
              </w:rPr>
              <w:t>W</w:t>
            </w:r>
          </w:p>
        </w:tc>
        <w:tc>
          <w:tcPr>
            <w:tcW w:w="792" w:type="dxa"/>
            <w:tcBorders>
              <w:top w:val="single" w:sz="4" w:space="0" w:color="auto"/>
              <w:bottom w:val="single" w:sz="4" w:space="0" w:color="auto"/>
            </w:tcBorders>
            <w:vAlign w:val="center"/>
            <w:hideMark/>
          </w:tcPr>
          <w:p w14:paraId="1B5AD102" w14:textId="77777777" w:rsidR="00D97F06" w:rsidRPr="00D97F06" w:rsidRDefault="00D97F06" w:rsidP="00D97F06">
            <w:pPr>
              <w:tabs>
                <w:tab w:val="left" w:pos="5387"/>
              </w:tabs>
              <w:spacing w:line="240" w:lineRule="auto"/>
              <w:jc w:val="center"/>
              <w:rPr>
                <w:color w:val="auto"/>
                <w:szCs w:val="24"/>
                <w:lang w:eastAsia="ru-RU"/>
              </w:rPr>
            </w:pPr>
            <w:r w:rsidRPr="00D97F06">
              <w:rPr>
                <w:color w:val="auto"/>
                <w:szCs w:val="24"/>
                <w:lang w:eastAsia="ru-RU"/>
              </w:rPr>
              <w:t>B</w:t>
            </w:r>
          </w:p>
        </w:tc>
        <w:tc>
          <w:tcPr>
            <w:tcW w:w="955" w:type="dxa"/>
            <w:vMerge w:val="restart"/>
            <w:tcBorders>
              <w:top w:val="single" w:sz="4" w:space="0" w:color="auto"/>
            </w:tcBorders>
            <w:textDirection w:val="btLr"/>
            <w:vAlign w:val="center"/>
            <w:hideMark/>
          </w:tcPr>
          <w:p w14:paraId="0610F11A"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 xml:space="preserve">R(pat) </w:t>
            </w:r>
            <w:r w:rsidRPr="00D97F06">
              <w:rPr>
                <w:color w:val="auto"/>
                <w:kern w:val="2"/>
                <w:szCs w:val="24"/>
                <w:vertAlign w:val="superscript"/>
                <w14:ligatures w14:val="standardContextual"/>
              </w:rPr>
              <w:t>♠</w:t>
            </w:r>
            <w:r w:rsidRPr="00D97F06">
              <w:rPr>
                <w:color w:val="auto"/>
                <w:kern w:val="2"/>
                <w:szCs w:val="24"/>
                <w14:ligatures w14:val="standardContextual"/>
              </w:rPr>
              <w:t xml:space="preserve"> =</w:t>
            </w:r>
          </w:p>
          <w:p w14:paraId="52FE2ED6"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BEW/BEB</w:t>
            </w:r>
          </w:p>
        </w:tc>
        <w:tc>
          <w:tcPr>
            <w:tcW w:w="786" w:type="dxa"/>
            <w:tcBorders>
              <w:top w:val="single" w:sz="4" w:space="0" w:color="auto"/>
              <w:bottom w:val="single" w:sz="4" w:space="0" w:color="auto"/>
            </w:tcBorders>
            <w:vAlign w:val="center"/>
            <w:hideMark/>
          </w:tcPr>
          <w:p w14:paraId="7C57B103" w14:textId="77777777" w:rsidR="00D97F06" w:rsidRPr="00D97F06" w:rsidRDefault="00D97F06" w:rsidP="00D97F06">
            <w:pPr>
              <w:tabs>
                <w:tab w:val="left" w:pos="5387"/>
              </w:tabs>
              <w:spacing w:line="240" w:lineRule="auto"/>
              <w:jc w:val="center"/>
              <w:rPr>
                <w:color w:val="auto"/>
                <w:kern w:val="2"/>
                <w:szCs w:val="24"/>
                <w:lang w:val="kk-KZ"/>
                <w14:ligatures w14:val="standardContextual"/>
              </w:rPr>
            </w:pPr>
            <w:r w:rsidRPr="00D97F06">
              <w:rPr>
                <w:color w:val="auto"/>
                <w:szCs w:val="24"/>
                <w:lang w:eastAsia="ru-RU"/>
              </w:rPr>
              <w:t>W</w:t>
            </w:r>
          </w:p>
        </w:tc>
        <w:tc>
          <w:tcPr>
            <w:tcW w:w="806" w:type="dxa"/>
            <w:tcBorders>
              <w:top w:val="single" w:sz="4" w:space="0" w:color="auto"/>
              <w:bottom w:val="single" w:sz="4" w:space="0" w:color="auto"/>
            </w:tcBorders>
            <w:vAlign w:val="center"/>
            <w:hideMark/>
          </w:tcPr>
          <w:p w14:paraId="4B2EC829" w14:textId="77777777" w:rsidR="00D97F06" w:rsidRPr="00D97F06" w:rsidRDefault="00D97F06" w:rsidP="00D97F06">
            <w:pPr>
              <w:tabs>
                <w:tab w:val="left" w:pos="5387"/>
              </w:tabs>
              <w:spacing w:line="240" w:lineRule="auto"/>
              <w:jc w:val="center"/>
              <w:rPr>
                <w:color w:val="auto"/>
                <w:kern w:val="2"/>
                <w:szCs w:val="24"/>
                <w:lang w:val="kk-KZ"/>
                <w14:ligatures w14:val="standardContextual"/>
              </w:rPr>
            </w:pPr>
            <w:r w:rsidRPr="00D97F06">
              <w:rPr>
                <w:color w:val="auto"/>
                <w:szCs w:val="24"/>
                <w:lang w:eastAsia="ru-RU"/>
              </w:rPr>
              <w:t>B</w:t>
            </w:r>
          </w:p>
        </w:tc>
        <w:tc>
          <w:tcPr>
            <w:tcW w:w="935" w:type="dxa"/>
            <w:vMerge w:val="restart"/>
            <w:tcBorders>
              <w:top w:val="single" w:sz="4" w:space="0" w:color="auto"/>
            </w:tcBorders>
            <w:textDirection w:val="btLr"/>
            <w:vAlign w:val="center"/>
            <w:hideMark/>
          </w:tcPr>
          <w:p w14:paraId="5CC1A156"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 xml:space="preserve">R(pat) </w:t>
            </w:r>
            <w:r w:rsidRPr="00D97F06">
              <w:rPr>
                <w:color w:val="auto"/>
                <w:kern w:val="2"/>
                <w:szCs w:val="24"/>
                <w:vertAlign w:val="superscript"/>
                <w14:ligatures w14:val="standardContextual"/>
              </w:rPr>
              <w:t>♠</w:t>
            </w:r>
            <w:r w:rsidRPr="00D97F06">
              <w:rPr>
                <w:color w:val="auto"/>
                <w:kern w:val="2"/>
                <w:szCs w:val="24"/>
                <w14:ligatures w14:val="standardContextual"/>
              </w:rPr>
              <w:t xml:space="preserve"> =</w:t>
            </w:r>
          </w:p>
          <w:p w14:paraId="0B575549"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BEW/BEB</w:t>
            </w:r>
          </w:p>
        </w:tc>
      </w:tr>
      <w:tr w:rsidR="00D97F06" w:rsidRPr="00D97F06" w14:paraId="178E656D" w14:textId="77777777" w:rsidTr="00D97F06">
        <w:trPr>
          <w:trHeight w:val="794"/>
        </w:trPr>
        <w:tc>
          <w:tcPr>
            <w:tcW w:w="1276" w:type="dxa"/>
            <w:vMerge/>
            <w:vAlign w:val="center"/>
            <w:hideMark/>
          </w:tcPr>
          <w:p w14:paraId="3FB5CEAC" w14:textId="77777777" w:rsidR="00D97F06" w:rsidRPr="00D97F06" w:rsidRDefault="00D97F06" w:rsidP="00D97F06">
            <w:pPr>
              <w:spacing w:line="240" w:lineRule="auto"/>
              <w:jc w:val="center"/>
              <w:rPr>
                <w:color w:val="auto"/>
                <w:kern w:val="2"/>
                <w:szCs w:val="24"/>
                <w14:ligatures w14:val="standardContextual"/>
              </w:rPr>
            </w:pPr>
          </w:p>
        </w:tc>
        <w:tc>
          <w:tcPr>
            <w:tcW w:w="1724" w:type="dxa"/>
            <w:gridSpan w:val="2"/>
            <w:tcBorders>
              <w:top w:val="single" w:sz="4" w:space="0" w:color="auto"/>
              <w:bottom w:val="single" w:sz="4" w:space="0" w:color="auto"/>
            </w:tcBorders>
            <w:vAlign w:val="center"/>
            <w:hideMark/>
          </w:tcPr>
          <w:p w14:paraId="3CC67F9D" w14:textId="77777777" w:rsidR="00D97F06" w:rsidRPr="00D97F06" w:rsidRDefault="00D97F06" w:rsidP="00D97F06">
            <w:pPr>
              <w:spacing w:line="240" w:lineRule="auto"/>
              <w:jc w:val="center"/>
              <w:rPr>
                <w:i/>
                <w:color w:val="auto"/>
                <w:szCs w:val="24"/>
                <w:lang w:eastAsia="ru-RU"/>
              </w:rPr>
            </w:pPr>
            <w:r w:rsidRPr="00D97F06">
              <w:rPr>
                <w:i/>
                <w:color w:val="auto"/>
                <w:szCs w:val="24"/>
                <w:lang w:eastAsia="ru-RU"/>
              </w:rPr>
              <w:t>Biocontrol</w:t>
            </w:r>
          </w:p>
          <w:p w14:paraId="261A8FCA" w14:textId="77777777" w:rsidR="00D97F06" w:rsidRPr="00D97F06" w:rsidRDefault="00D97F06" w:rsidP="00D97F06">
            <w:pPr>
              <w:spacing w:line="240" w:lineRule="auto"/>
              <w:jc w:val="center"/>
              <w:rPr>
                <w:i/>
                <w:color w:val="auto"/>
                <w:szCs w:val="24"/>
                <w:lang w:eastAsia="ru-RU"/>
              </w:rPr>
            </w:pPr>
            <w:r w:rsidRPr="00D97F06">
              <w:rPr>
                <w:i/>
                <w:color w:val="auto"/>
                <w:szCs w:val="24"/>
                <w:lang w:eastAsia="ru-RU"/>
              </w:rPr>
              <w:t>efficacy, %</w:t>
            </w:r>
          </w:p>
        </w:tc>
        <w:tc>
          <w:tcPr>
            <w:tcW w:w="949" w:type="dxa"/>
            <w:vMerge/>
            <w:tcBorders>
              <w:top w:val="single" w:sz="4" w:space="0" w:color="auto"/>
              <w:bottom w:val="single" w:sz="4" w:space="0" w:color="auto"/>
            </w:tcBorders>
            <w:vAlign w:val="center"/>
            <w:hideMark/>
          </w:tcPr>
          <w:p w14:paraId="640B057B" w14:textId="77777777" w:rsidR="00D97F06" w:rsidRPr="00D97F06" w:rsidRDefault="00D97F06" w:rsidP="00D97F06">
            <w:pPr>
              <w:spacing w:line="240" w:lineRule="auto"/>
              <w:jc w:val="center"/>
              <w:rPr>
                <w:color w:val="auto"/>
                <w:kern w:val="2"/>
                <w:szCs w:val="24"/>
                <w14:ligatures w14:val="standardContextual"/>
              </w:rPr>
            </w:pPr>
          </w:p>
        </w:tc>
        <w:tc>
          <w:tcPr>
            <w:tcW w:w="1584" w:type="dxa"/>
            <w:gridSpan w:val="2"/>
            <w:tcBorders>
              <w:top w:val="single" w:sz="4" w:space="0" w:color="auto"/>
              <w:bottom w:val="single" w:sz="4" w:space="0" w:color="auto"/>
            </w:tcBorders>
            <w:vAlign w:val="center"/>
            <w:hideMark/>
          </w:tcPr>
          <w:p w14:paraId="15DE3C5E" w14:textId="77777777" w:rsidR="00D97F06" w:rsidRPr="00D97F06" w:rsidRDefault="00D97F06" w:rsidP="00D97F06">
            <w:pPr>
              <w:spacing w:line="240" w:lineRule="auto"/>
              <w:jc w:val="center"/>
              <w:rPr>
                <w:i/>
                <w:color w:val="auto"/>
                <w:szCs w:val="24"/>
                <w:lang w:eastAsia="ru-RU"/>
              </w:rPr>
            </w:pPr>
            <w:r w:rsidRPr="00D97F06">
              <w:rPr>
                <w:i/>
                <w:color w:val="auto"/>
                <w:szCs w:val="24"/>
                <w:lang w:eastAsia="ru-RU"/>
              </w:rPr>
              <w:t xml:space="preserve">Biocontrol </w:t>
            </w:r>
            <w:r w:rsidRPr="00D97F06">
              <w:rPr>
                <w:i/>
                <w:color w:val="auto"/>
                <w:szCs w:val="24"/>
                <w:lang w:val="kk-KZ"/>
              </w:rPr>
              <w:t>effic</w:t>
            </w:r>
            <w:r w:rsidRPr="00D97F06">
              <w:rPr>
                <w:i/>
                <w:color w:val="auto"/>
                <w:szCs w:val="24"/>
              </w:rPr>
              <w:t>acy</w:t>
            </w:r>
            <w:r w:rsidRPr="00D97F06">
              <w:rPr>
                <w:i/>
                <w:color w:val="auto"/>
                <w:szCs w:val="24"/>
                <w:lang w:eastAsia="ru-RU"/>
              </w:rPr>
              <w:t>, %</w:t>
            </w:r>
          </w:p>
        </w:tc>
        <w:tc>
          <w:tcPr>
            <w:tcW w:w="955" w:type="dxa"/>
            <w:vMerge/>
            <w:tcBorders>
              <w:top w:val="single" w:sz="4" w:space="0" w:color="auto"/>
              <w:bottom w:val="single" w:sz="4" w:space="0" w:color="auto"/>
            </w:tcBorders>
            <w:vAlign w:val="center"/>
            <w:hideMark/>
          </w:tcPr>
          <w:p w14:paraId="09BE9F38" w14:textId="77777777" w:rsidR="00D97F06" w:rsidRPr="00D97F06" w:rsidRDefault="00D97F06" w:rsidP="00D97F06">
            <w:pPr>
              <w:spacing w:line="240" w:lineRule="auto"/>
              <w:jc w:val="center"/>
              <w:rPr>
                <w:color w:val="auto"/>
                <w:kern w:val="2"/>
                <w:szCs w:val="24"/>
                <w14:ligatures w14:val="standardContextual"/>
              </w:rPr>
            </w:pPr>
          </w:p>
        </w:tc>
        <w:tc>
          <w:tcPr>
            <w:tcW w:w="1592" w:type="dxa"/>
            <w:gridSpan w:val="2"/>
            <w:tcBorders>
              <w:top w:val="single" w:sz="4" w:space="0" w:color="auto"/>
              <w:bottom w:val="single" w:sz="4" w:space="0" w:color="auto"/>
            </w:tcBorders>
            <w:vAlign w:val="center"/>
            <w:hideMark/>
          </w:tcPr>
          <w:p w14:paraId="70EEDC3E" w14:textId="77777777" w:rsidR="00D97F06" w:rsidRPr="00D97F06" w:rsidRDefault="00D97F06" w:rsidP="00D97F06">
            <w:pPr>
              <w:spacing w:line="240" w:lineRule="auto"/>
              <w:jc w:val="center"/>
              <w:rPr>
                <w:i/>
                <w:color w:val="auto"/>
                <w:szCs w:val="24"/>
                <w:lang w:eastAsia="ru-RU"/>
              </w:rPr>
            </w:pPr>
            <w:r w:rsidRPr="00D97F06">
              <w:rPr>
                <w:i/>
                <w:color w:val="auto"/>
                <w:szCs w:val="24"/>
                <w:lang w:eastAsia="ru-RU"/>
              </w:rPr>
              <w:t>Biocontrol</w:t>
            </w:r>
          </w:p>
          <w:p w14:paraId="16841982" w14:textId="77777777" w:rsidR="00D97F06" w:rsidRPr="00D97F06" w:rsidRDefault="00D97F06" w:rsidP="00D97F06">
            <w:pPr>
              <w:spacing w:line="240" w:lineRule="auto"/>
              <w:jc w:val="center"/>
              <w:rPr>
                <w:i/>
                <w:color w:val="auto"/>
                <w:szCs w:val="24"/>
                <w:lang w:eastAsia="ru-RU"/>
              </w:rPr>
            </w:pPr>
            <w:r w:rsidRPr="00D97F06">
              <w:rPr>
                <w:i/>
                <w:color w:val="auto"/>
                <w:szCs w:val="24"/>
                <w:lang w:eastAsia="ru-RU"/>
              </w:rPr>
              <w:t>efficacy,%</w:t>
            </w:r>
          </w:p>
        </w:tc>
        <w:tc>
          <w:tcPr>
            <w:tcW w:w="935" w:type="dxa"/>
            <w:vMerge/>
            <w:tcBorders>
              <w:bottom w:val="single" w:sz="4" w:space="0" w:color="auto"/>
            </w:tcBorders>
            <w:vAlign w:val="center"/>
            <w:hideMark/>
          </w:tcPr>
          <w:p w14:paraId="64D341C1" w14:textId="77777777" w:rsidR="00D97F06" w:rsidRPr="00D97F06" w:rsidRDefault="00D97F06" w:rsidP="00D97F06">
            <w:pPr>
              <w:spacing w:line="240" w:lineRule="auto"/>
              <w:jc w:val="center"/>
              <w:rPr>
                <w:color w:val="auto"/>
                <w:kern w:val="2"/>
                <w:szCs w:val="24"/>
                <w14:ligatures w14:val="standardContextual"/>
              </w:rPr>
            </w:pPr>
          </w:p>
        </w:tc>
      </w:tr>
      <w:tr w:rsidR="00D97F06" w:rsidRPr="00D97F06" w14:paraId="107297F6" w14:textId="77777777" w:rsidTr="00D97F06">
        <w:trPr>
          <w:cantSplit/>
          <w:trHeight w:val="1090"/>
        </w:trPr>
        <w:tc>
          <w:tcPr>
            <w:tcW w:w="1276" w:type="dxa"/>
            <w:vMerge/>
            <w:tcBorders>
              <w:bottom w:val="single" w:sz="4" w:space="0" w:color="auto"/>
            </w:tcBorders>
            <w:vAlign w:val="center"/>
            <w:hideMark/>
          </w:tcPr>
          <w:p w14:paraId="4CD5D80B" w14:textId="77777777" w:rsidR="00D97F06" w:rsidRPr="00D97F06" w:rsidRDefault="00D97F06" w:rsidP="00D97F06">
            <w:pPr>
              <w:spacing w:line="240" w:lineRule="auto"/>
              <w:jc w:val="center"/>
              <w:rPr>
                <w:color w:val="auto"/>
                <w:kern w:val="2"/>
                <w:szCs w:val="24"/>
                <w14:ligatures w14:val="standardContextual"/>
              </w:rPr>
            </w:pPr>
          </w:p>
        </w:tc>
        <w:tc>
          <w:tcPr>
            <w:tcW w:w="933" w:type="dxa"/>
            <w:tcBorders>
              <w:top w:val="single" w:sz="4" w:space="0" w:color="auto"/>
              <w:bottom w:val="single" w:sz="4" w:space="0" w:color="auto"/>
            </w:tcBorders>
            <w:textDirection w:val="btLr"/>
            <w:vAlign w:val="center"/>
            <w:hideMark/>
          </w:tcPr>
          <w:p w14:paraId="42CE08D8"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i/>
                <w:color w:val="auto"/>
                <w:szCs w:val="24"/>
                <w:lang w:eastAsia="ru-RU"/>
              </w:rPr>
              <w:t>BEW(cin)</w:t>
            </w:r>
          </w:p>
        </w:tc>
        <w:tc>
          <w:tcPr>
            <w:tcW w:w="791" w:type="dxa"/>
            <w:tcBorders>
              <w:top w:val="single" w:sz="4" w:space="0" w:color="auto"/>
              <w:bottom w:val="single" w:sz="4" w:space="0" w:color="auto"/>
            </w:tcBorders>
            <w:textDirection w:val="btLr"/>
            <w:vAlign w:val="center"/>
            <w:hideMark/>
          </w:tcPr>
          <w:p w14:paraId="7536210E"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i/>
                <w:color w:val="auto"/>
                <w:szCs w:val="24"/>
                <w:lang w:eastAsia="ru-RU"/>
              </w:rPr>
              <w:t>BEB(cin)</w:t>
            </w:r>
          </w:p>
        </w:tc>
        <w:tc>
          <w:tcPr>
            <w:tcW w:w="949" w:type="dxa"/>
            <w:tcBorders>
              <w:top w:val="single" w:sz="4" w:space="0" w:color="auto"/>
              <w:bottom w:val="single" w:sz="4" w:space="0" w:color="auto"/>
            </w:tcBorders>
            <w:textDirection w:val="btLr"/>
            <w:vAlign w:val="center"/>
            <w:hideMark/>
          </w:tcPr>
          <w:p w14:paraId="389F0714" w14:textId="77777777" w:rsidR="00D97F06" w:rsidRPr="00D97F06" w:rsidRDefault="00D97F06" w:rsidP="00D97F06">
            <w:pPr>
              <w:spacing w:line="240" w:lineRule="auto"/>
              <w:jc w:val="center"/>
              <w:rPr>
                <w:color w:val="auto"/>
                <w:kern w:val="2"/>
                <w:szCs w:val="24"/>
                <w14:ligatures w14:val="standardContextual"/>
              </w:rPr>
            </w:pPr>
            <w:r w:rsidRPr="00D97F06">
              <w:rPr>
                <w:color w:val="auto"/>
                <w:kern w:val="2"/>
                <w:szCs w:val="24"/>
                <w14:ligatures w14:val="standardContextual"/>
              </w:rPr>
              <w:t>R(cin)</w:t>
            </w:r>
          </w:p>
        </w:tc>
        <w:tc>
          <w:tcPr>
            <w:tcW w:w="792" w:type="dxa"/>
            <w:tcBorders>
              <w:top w:val="single" w:sz="4" w:space="0" w:color="auto"/>
              <w:bottom w:val="single" w:sz="4" w:space="0" w:color="auto"/>
            </w:tcBorders>
            <w:textDirection w:val="btLr"/>
            <w:vAlign w:val="center"/>
            <w:hideMark/>
          </w:tcPr>
          <w:p w14:paraId="47DF60CF"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i/>
                <w:color w:val="auto"/>
                <w:szCs w:val="24"/>
                <w:lang w:eastAsia="ru-RU"/>
              </w:rPr>
              <w:t>BEW(nig)</w:t>
            </w:r>
          </w:p>
        </w:tc>
        <w:tc>
          <w:tcPr>
            <w:tcW w:w="792" w:type="dxa"/>
            <w:tcBorders>
              <w:top w:val="single" w:sz="4" w:space="0" w:color="auto"/>
              <w:bottom w:val="single" w:sz="4" w:space="0" w:color="auto"/>
            </w:tcBorders>
            <w:textDirection w:val="btLr"/>
            <w:vAlign w:val="center"/>
            <w:hideMark/>
          </w:tcPr>
          <w:p w14:paraId="5F91B72B"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i/>
                <w:color w:val="auto"/>
                <w:szCs w:val="24"/>
                <w:lang w:eastAsia="ru-RU"/>
              </w:rPr>
              <w:t>BEB(nig)</w:t>
            </w:r>
          </w:p>
        </w:tc>
        <w:tc>
          <w:tcPr>
            <w:tcW w:w="955" w:type="dxa"/>
            <w:tcBorders>
              <w:top w:val="single" w:sz="4" w:space="0" w:color="auto"/>
              <w:bottom w:val="single" w:sz="4" w:space="0" w:color="auto"/>
            </w:tcBorders>
            <w:textDirection w:val="btLr"/>
            <w:vAlign w:val="center"/>
            <w:hideMark/>
          </w:tcPr>
          <w:p w14:paraId="742CE1E2" w14:textId="77777777" w:rsidR="00D97F06" w:rsidRPr="00D97F06" w:rsidRDefault="00D97F06" w:rsidP="00D97F06">
            <w:pPr>
              <w:spacing w:line="240" w:lineRule="auto"/>
              <w:jc w:val="center"/>
              <w:rPr>
                <w:color w:val="auto"/>
                <w:kern w:val="2"/>
                <w:szCs w:val="24"/>
                <w14:ligatures w14:val="standardContextual"/>
              </w:rPr>
            </w:pPr>
            <w:r w:rsidRPr="00D97F06">
              <w:rPr>
                <w:color w:val="auto"/>
                <w:kern w:val="2"/>
                <w:szCs w:val="24"/>
                <w14:ligatures w14:val="standardContextual"/>
              </w:rPr>
              <w:t>R(nig)</w:t>
            </w:r>
          </w:p>
        </w:tc>
        <w:tc>
          <w:tcPr>
            <w:tcW w:w="786" w:type="dxa"/>
            <w:tcBorders>
              <w:top w:val="single" w:sz="4" w:space="0" w:color="auto"/>
              <w:bottom w:val="single" w:sz="4" w:space="0" w:color="auto"/>
            </w:tcBorders>
            <w:textDirection w:val="btLr"/>
            <w:vAlign w:val="center"/>
            <w:hideMark/>
          </w:tcPr>
          <w:p w14:paraId="78E27F34"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i/>
                <w:color w:val="auto"/>
                <w:szCs w:val="24"/>
                <w:lang w:eastAsia="ru-RU"/>
              </w:rPr>
              <w:t>BEW(st)</w:t>
            </w:r>
          </w:p>
        </w:tc>
        <w:tc>
          <w:tcPr>
            <w:tcW w:w="806" w:type="dxa"/>
            <w:tcBorders>
              <w:top w:val="single" w:sz="4" w:space="0" w:color="auto"/>
              <w:bottom w:val="single" w:sz="4" w:space="0" w:color="auto"/>
            </w:tcBorders>
            <w:textDirection w:val="btLr"/>
            <w:vAlign w:val="center"/>
            <w:hideMark/>
          </w:tcPr>
          <w:p w14:paraId="2436E182"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i/>
                <w:color w:val="auto"/>
                <w:szCs w:val="24"/>
                <w:lang w:eastAsia="ru-RU"/>
              </w:rPr>
              <w:t>BEB(st)</w:t>
            </w:r>
          </w:p>
        </w:tc>
        <w:tc>
          <w:tcPr>
            <w:tcW w:w="935" w:type="dxa"/>
            <w:tcBorders>
              <w:top w:val="single" w:sz="4" w:space="0" w:color="auto"/>
              <w:bottom w:val="single" w:sz="4" w:space="0" w:color="auto"/>
            </w:tcBorders>
            <w:textDirection w:val="btLr"/>
            <w:vAlign w:val="center"/>
            <w:hideMark/>
          </w:tcPr>
          <w:p w14:paraId="6875F631" w14:textId="77777777" w:rsidR="00D97F06" w:rsidRPr="00D97F06" w:rsidRDefault="00D97F06" w:rsidP="00D97F06">
            <w:pPr>
              <w:spacing w:line="240" w:lineRule="auto"/>
              <w:jc w:val="center"/>
              <w:rPr>
                <w:color w:val="auto"/>
                <w:kern w:val="2"/>
                <w:szCs w:val="24"/>
                <w14:ligatures w14:val="standardContextual"/>
              </w:rPr>
            </w:pPr>
            <w:r w:rsidRPr="00D97F06">
              <w:rPr>
                <w:color w:val="auto"/>
                <w:kern w:val="2"/>
                <w:szCs w:val="24"/>
                <w14:ligatures w14:val="standardContextual"/>
              </w:rPr>
              <w:t>R(st)</w:t>
            </w:r>
          </w:p>
        </w:tc>
      </w:tr>
      <w:tr w:rsidR="00D97F06" w:rsidRPr="00D97F06" w14:paraId="33D28446" w14:textId="77777777" w:rsidTr="00D97F06">
        <w:trPr>
          <w:trHeight w:val="20"/>
        </w:trPr>
        <w:tc>
          <w:tcPr>
            <w:tcW w:w="1276" w:type="dxa"/>
            <w:tcBorders>
              <w:top w:val="single" w:sz="4" w:space="0" w:color="auto"/>
            </w:tcBorders>
            <w:vAlign w:val="center"/>
            <w:hideMark/>
          </w:tcPr>
          <w:p w14:paraId="173C69E6" w14:textId="77777777" w:rsidR="00D97F06" w:rsidRPr="00D97F06" w:rsidRDefault="00D97F06" w:rsidP="00D97F06">
            <w:pPr>
              <w:tabs>
                <w:tab w:val="left" w:pos="5387"/>
              </w:tabs>
              <w:spacing w:line="240" w:lineRule="auto"/>
              <w:jc w:val="center"/>
              <w:rPr>
                <w:b/>
                <w:color w:val="auto"/>
                <w:kern w:val="2"/>
                <w:szCs w:val="24"/>
                <w14:ligatures w14:val="standardContextual"/>
              </w:rPr>
            </w:pPr>
            <w:r w:rsidRPr="00D97F06">
              <w:rPr>
                <w:b/>
                <w:i/>
                <w:color w:val="auto"/>
                <w:szCs w:val="24"/>
                <w:lang w:eastAsia="ru-RU"/>
              </w:rPr>
              <w:t>A2</w:t>
            </w:r>
          </w:p>
        </w:tc>
        <w:tc>
          <w:tcPr>
            <w:tcW w:w="933" w:type="dxa"/>
            <w:tcBorders>
              <w:top w:val="single" w:sz="4" w:space="0" w:color="auto"/>
            </w:tcBorders>
            <w:vAlign w:val="center"/>
            <w:hideMark/>
          </w:tcPr>
          <w:p w14:paraId="03B75282"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77,47</w:t>
            </w:r>
          </w:p>
        </w:tc>
        <w:tc>
          <w:tcPr>
            <w:tcW w:w="791" w:type="dxa"/>
            <w:tcBorders>
              <w:top w:val="single" w:sz="4" w:space="0" w:color="auto"/>
            </w:tcBorders>
            <w:vAlign w:val="center"/>
            <w:hideMark/>
          </w:tcPr>
          <w:p w14:paraId="2AE4F050"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78,02</w:t>
            </w:r>
          </w:p>
        </w:tc>
        <w:tc>
          <w:tcPr>
            <w:tcW w:w="949" w:type="dxa"/>
            <w:tcBorders>
              <w:top w:val="single" w:sz="4" w:space="0" w:color="auto"/>
            </w:tcBorders>
            <w:vAlign w:val="center"/>
            <w:hideMark/>
          </w:tcPr>
          <w:p w14:paraId="2BE3F18C"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0,99</w:t>
            </w:r>
          </w:p>
        </w:tc>
        <w:tc>
          <w:tcPr>
            <w:tcW w:w="792" w:type="dxa"/>
            <w:tcBorders>
              <w:top w:val="single" w:sz="4" w:space="0" w:color="auto"/>
            </w:tcBorders>
            <w:vAlign w:val="center"/>
            <w:hideMark/>
          </w:tcPr>
          <w:p w14:paraId="62B66272"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77,76</w:t>
            </w:r>
          </w:p>
        </w:tc>
        <w:tc>
          <w:tcPr>
            <w:tcW w:w="792" w:type="dxa"/>
            <w:tcBorders>
              <w:top w:val="single" w:sz="4" w:space="0" w:color="auto"/>
            </w:tcBorders>
            <w:vAlign w:val="center"/>
            <w:hideMark/>
          </w:tcPr>
          <w:p w14:paraId="09EBA069"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64,64</w:t>
            </w:r>
          </w:p>
        </w:tc>
        <w:tc>
          <w:tcPr>
            <w:tcW w:w="955" w:type="dxa"/>
            <w:tcBorders>
              <w:top w:val="single" w:sz="4" w:space="0" w:color="auto"/>
            </w:tcBorders>
            <w:vAlign w:val="center"/>
            <w:hideMark/>
          </w:tcPr>
          <w:p w14:paraId="2F758C53"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1,20</w:t>
            </w:r>
          </w:p>
        </w:tc>
        <w:tc>
          <w:tcPr>
            <w:tcW w:w="786" w:type="dxa"/>
            <w:tcBorders>
              <w:top w:val="single" w:sz="4" w:space="0" w:color="auto"/>
            </w:tcBorders>
            <w:vAlign w:val="center"/>
            <w:hideMark/>
          </w:tcPr>
          <w:p w14:paraId="4B951E20"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73,57</w:t>
            </w:r>
          </w:p>
        </w:tc>
        <w:tc>
          <w:tcPr>
            <w:tcW w:w="806" w:type="dxa"/>
            <w:tcBorders>
              <w:top w:val="single" w:sz="4" w:space="0" w:color="auto"/>
            </w:tcBorders>
            <w:vAlign w:val="center"/>
            <w:hideMark/>
          </w:tcPr>
          <w:p w14:paraId="32B18087"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48,91</w:t>
            </w:r>
          </w:p>
        </w:tc>
        <w:tc>
          <w:tcPr>
            <w:tcW w:w="935" w:type="dxa"/>
            <w:tcBorders>
              <w:top w:val="single" w:sz="4" w:space="0" w:color="auto"/>
            </w:tcBorders>
            <w:vAlign w:val="center"/>
            <w:hideMark/>
          </w:tcPr>
          <w:p w14:paraId="5E9C78C8"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1,50</w:t>
            </w:r>
          </w:p>
        </w:tc>
      </w:tr>
      <w:tr w:rsidR="00D97F06" w:rsidRPr="00D97F06" w14:paraId="633FE98C" w14:textId="77777777" w:rsidTr="00D97F06">
        <w:trPr>
          <w:trHeight w:val="57"/>
        </w:trPr>
        <w:tc>
          <w:tcPr>
            <w:tcW w:w="1276" w:type="dxa"/>
            <w:vAlign w:val="center"/>
            <w:hideMark/>
          </w:tcPr>
          <w:p w14:paraId="2E292F52" w14:textId="77777777" w:rsidR="00D97F06" w:rsidRPr="00D97F06" w:rsidRDefault="00D97F06" w:rsidP="00D97F06">
            <w:pPr>
              <w:tabs>
                <w:tab w:val="left" w:pos="5387"/>
              </w:tabs>
              <w:spacing w:line="240" w:lineRule="auto"/>
              <w:jc w:val="center"/>
              <w:rPr>
                <w:b/>
                <w:color w:val="auto"/>
                <w:kern w:val="2"/>
                <w:szCs w:val="24"/>
                <w14:ligatures w14:val="standardContextual"/>
              </w:rPr>
            </w:pPr>
            <w:r w:rsidRPr="00D97F06">
              <w:rPr>
                <w:b/>
                <w:color w:val="auto"/>
                <w:szCs w:val="24"/>
                <w:lang w:eastAsia="ru-RU"/>
              </w:rPr>
              <w:t>HU15</w:t>
            </w:r>
          </w:p>
        </w:tc>
        <w:tc>
          <w:tcPr>
            <w:tcW w:w="933" w:type="dxa"/>
            <w:vAlign w:val="center"/>
            <w:hideMark/>
          </w:tcPr>
          <w:p w14:paraId="7D0937F9"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78,56</w:t>
            </w:r>
          </w:p>
        </w:tc>
        <w:tc>
          <w:tcPr>
            <w:tcW w:w="791" w:type="dxa"/>
            <w:vAlign w:val="center"/>
            <w:hideMark/>
          </w:tcPr>
          <w:p w14:paraId="65B54DD5"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72,83</w:t>
            </w:r>
          </w:p>
        </w:tc>
        <w:tc>
          <w:tcPr>
            <w:tcW w:w="949" w:type="dxa"/>
            <w:vAlign w:val="center"/>
            <w:hideMark/>
          </w:tcPr>
          <w:p w14:paraId="7777C050"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1,08</w:t>
            </w:r>
          </w:p>
        </w:tc>
        <w:tc>
          <w:tcPr>
            <w:tcW w:w="792" w:type="dxa"/>
            <w:vAlign w:val="center"/>
            <w:hideMark/>
          </w:tcPr>
          <w:p w14:paraId="4819B865"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71,35</w:t>
            </w:r>
          </w:p>
        </w:tc>
        <w:tc>
          <w:tcPr>
            <w:tcW w:w="792" w:type="dxa"/>
            <w:vAlign w:val="center"/>
            <w:hideMark/>
          </w:tcPr>
          <w:p w14:paraId="1DC3D3EF"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64,55</w:t>
            </w:r>
          </w:p>
        </w:tc>
        <w:tc>
          <w:tcPr>
            <w:tcW w:w="955" w:type="dxa"/>
            <w:vAlign w:val="center"/>
            <w:hideMark/>
          </w:tcPr>
          <w:p w14:paraId="7CA6381C"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1,11</w:t>
            </w:r>
          </w:p>
        </w:tc>
        <w:tc>
          <w:tcPr>
            <w:tcW w:w="786" w:type="dxa"/>
            <w:vAlign w:val="center"/>
            <w:hideMark/>
          </w:tcPr>
          <w:p w14:paraId="0FC38488"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76,33</w:t>
            </w:r>
          </w:p>
        </w:tc>
        <w:tc>
          <w:tcPr>
            <w:tcW w:w="806" w:type="dxa"/>
            <w:vAlign w:val="center"/>
            <w:hideMark/>
          </w:tcPr>
          <w:p w14:paraId="5AC020B5"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52,49</w:t>
            </w:r>
          </w:p>
        </w:tc>
        <w:tc>
          <w:tcPr>
            <w:tcW w:w="935" w:type="dxa"/>
            <w:vAlign w:val="center"/>
            <w:hideMark/>
          </w:tcPr>
          <w:p w14:paraId="17B3AEA7"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1,45</w:t>
            </w:r>
          </w:p>
        </w:tc>
      </w:tr>
      <w:tr w:rsidR="00D97F06" w:rsidRPr="00D97F06" w14:paraId="69B9DB25" w14:textId="77777777" w:rsidTr="00D97F06">
        <w:trPr>
          <w:trHeight w:val="57"/>
        </w:trPr>
        <w:tc>
          <w:tcPr>
            <w:tcW w:w="1276" w:type="dxa"/>
            <w:vAlign w:val="center"/>
            <w:hideMark/>
          </w:tcPr>
          <w:p w14:paraId="25EF987F" w14:textId="77777777" w:rsidR="00D97F06" w:rsidRPr="00D97F06" w:rsidRDefault="00D97F06" w:rsidP="00D97F06">
            <w:pPr>
              <w:tabs>
                <w:tab w:val="left" w:pos="5387"/>
              </w:tabs>
              <w:spacing w:line="240" w:lineRule="auto"/>
              <w:jc w:val="center"/>
              <w:rPr>
                <w:b/>
                <w:color w:val="auto"/>
                <w:kern w:val="2"/>
                <w:szCs w:val="24"/>
                <w14:ligatures w14:val="standardContextual"/>
              </w:rPr>
            </w:pPr>
            <w:r w:rsidRPr="00D97F06">
              <w:rPr>
                <w:b/>
                <w:color w:val="auto"/>
                <w:szCs w:val="24"/>
                <w:lang w:eastAsia="ru-RU"/>
              </w:rPr>
              <w:t>AP11</w:t>
            </w:r>
          </w:p>
        </w:tc>
        <w:tc>
          <w:tcPr>
            <w:tcW w:w="933" w:type="dxa"/>
            <w:vAlign w:val="center"/>
            <w:hideMark/>
          </w:tcPr>
          <w:p w14:paraId="73BA048B"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73,43</w:t>
            </w:r>
          </w:p>
        </w:tc>
        <w:tc>
          <w:tcPr>
            <w:tcW w:w="791" w:type="dxa"/>
            <w:vAlign w:val="center"/>
            <w:hideMark/>
          </w:tcPr>
          <w:p w14:paraId="424D427B"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39,74</w:t>
            </w:r>
          </w:p>
        </w:tc>
        <w:tc>
          <w:tcPr>
            <w:tcW w:w="949" w:type="dxa"/>
            <w:vAlign w:val="center"/>
            <w:hideMark/>
          </w:tcPr>
          <w:p w14:paraId="28FC376F"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1,85</w:t>
            </w:r>
          </w:p>
        </w:tc>
        <w:tc>
          <w:tcPr>
            <w:tcW w:w="792" w:type="dxa"/>
            <w:vAlign w:val="center"/>
            <w:hideMark/>
          </w:tcPr>
          <w:p w14:paraId="6EE7737D"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63,43</w:t>
            </w:r>
          </w:p>
        </w:tc>
        <w:tc>
          <w:tcPr>
            <w:tcW w:w="792" w:type="dxa"/>
            <w:vAlign w:val="center"/>
            <w:hideMark/>
          </w:tcPr>
          <w:p w14:paraId="40467E44"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34,56</w:t>
            </w:r>
          </w:p>
        </w:tc>
        <w:tc>
          <w:tcPr>
            <w:tcW w:w="955" w:type="dxa"/>
            <w:vAlign w:val="center"/>
            <w:hideMark/>
          </w:tcPr>
          <w:p w14:paraId="6B66DA48"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1,84</w:t>
            </w:r>
          </w:p>
        </w:tc>
        <w:tc>
          <w:tcPr>
            <w:tcW w:w="786" w:type="dxa"/>
            <w:vAlign w:val="center"/>
            <w:hideMark/>
          </w:tcPr>
          <w:p w14:paraId="63D0E55B"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70,88</w:t>
            </w:r>
          </w:p>
        </w:tc>
        <w:tc>
          <w:tcPr>
            <w:tcW w:w="806" w:type="dxa"/>
            <w:vAlign w:val="center"/>
            <w:hideMark/>
          </w:tcPr>
          <w:p w14:paraId="5FFBAECC"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34,99</w:t>
            </w:r>
          </w:p>
        </w:tc>
        <w:tc>
          <w:tcPr>
            <w:tcW w:w="935" w:type="dxa"/>
            <w:vAlign w:val="center"/>
            <w:hideMark/>
          </w:tcPr>
          <w:p w14:paraId="556DA0AC"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2,03</w:t>
            </w:r>
          </w:p>
        </w:tc>
      </w:tr>
      <w:tr w:rsidR="00D97F06" w:rsidRPr="00D97F06" w14:paraId="1E23CFEE" w14:textId="77777777" w:rsidTr="00D97F06">
        <w:trPr>
          <w:trHeight w:val="57"/>
        </w:trPr>
        <w:tc>
          <w:tcPr>
            <w:tcW w:w="1276" w:type="dxa"/>
            <w:vAlign w:val="center"/>
            <w:hideMark/>
          </w:tcPr>
          <w:p w14:paraId="1A191387" w14:textId="77777777" w:rsidR="00D97F06" w:rsidRPr="00D97F06" w:rsidRDefault="00D97F06" w:rsidP="00D97F06">
            <w:pPr>
              <w:tabs>
                <w:tab w:val="left" w:pos="5387"/>
              </w:tabs>
              <w:spacing w:line="240" w:lineRule="auto"/>
              <w:jc w:val="center"/>
              <w:rPr>
                <w:b/>
                <w:color w:val="auto"/>
                <w:kern w:val="2"/>
                <w:szCs w:val="24"/>
                <w14:ligatures w14:val="standardContextual"/>
              </w:rPr>
            </w:pPr>
            <w:r w:rsidRPr="00D97F06">
              <w:rPr>
                <w:b/>
                <w:color w:val="auto"/>
                <w:kern w:val="2"/>
                <w:szCs w:val="24"/>
                <w14:ligatures w14:val="standardContextual"/>
              </w:rPr>
              <w:t>AP13</w:t>
            </w:r>
          </w:p>
        </w:tc>
        <w:tc>
          <w:tcPr>
            <w:tcW w:w="933" w:type="dxa"/>
            <w:vAlign w:val="center"/>
            <w:hideMark/>
          </w:tcPr>
          <w:p w14:paraId="4F0EE9E6"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lang w:val="kk-KZ"/>
                <w14:ligatures w14:val="standardContextual"/>
              </w:rPr>
              <w:t>7</w:t>
            </w:r>
            <w:r w:rsidRPr="00D97F06">
              <w:rPr>
                <w:color w:val="auto"/>
                <w:kern w:val="2"/>
                <w:szCs w:val="24"/>
                <w14:ligatures w14:val="standardContextual"/>
              </w:rPr>
              <w:t>1</w:t>
            </w:r>
            <w:r w:rsidRPr="00D97F06">
              <w:rPr>
                <w:color w:val="auto"/>
                <w:kern w:val="2"/>
                <w:szCs w:val="24"/>
                <w:lang w:val="kk-KZ"/>
                <w14:ligatures w14:val="standardContextual"/>
              </w:rPr>
              <w:t>,</w:t>
            </w:r>
            <w:r w:rsidRPr="00D97F06">
              <w:rPr>
                <w:color w:val="auto"/>
                <w:kern w:val="2"/>
                <w:szCs w:val="24"/>
                <w14:ligatures w14:val="standardContextual"/>
              </w:rPr>
              <w:t>65</w:t>
            </w:r>
          </w:p>
        </w:tc>
        <w:tc>
          <w:tcPr>
            <w:tcW w:w="791" w:type="dxa"/>
            <w:vAlign w:val="center"/>
            <w:hideMark/>
          </w:tcPr>
          <w:p w14:paraId="0A2FFDD1"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39</w:t>
            </w:r>
            <w:r w:rsidRPr="00D97F06">
              <w:rPr>
                <w:color w:val="auto"/>
                <w:kern w:val="2"/>
                <w:szCs w:val="24"/>
                <w:lang w:val="kk-KZ"/>
                <w14:ligatures w14:val="standardContextual"/>
              </w:rPr>
              <w:t>,</w:t>
            </w:r>
            <w:r w:rsidRPr="00D97F06">
              <w:rPr>
                <w:color w:val="auto"/>
                <w:kern w:val="2"/>
                <w:szCs w:val="24"/>
                <w14:ligatures w14:val="standardContextual"/>
              </w:rPr>
              <w:t>93</w:t>
            </w:r>
          </w:p>
        </w:tc>
        <w:tc>
          <w:tcPr>
            <w:tcW w:w="949" w:type="dxa"/>
            <w:vAlign w:val="center"/>
            <w:hideMark/>
          </w:tcPr>
          <w:p w14:paraId="6E28E58F"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1,79</w:t>
            </w:r>
          </w:p>
        </w:tc>
        <w:tc>
          <w:tcPr>
            <w:tcW w:w="792" w:type="dxa"/>
            <w:vAlign w:val="center"/>
            <w:hideMark/>
          </w:tcPr>
          <w:p w14:paraId="31FB865A"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70,54</w:t>
            </w:r>
          </w:p>
        </w:tc>
        <w:tc>
          <w:tcPr>
            <w:tcW w:w="792" w:type="dxa"/>
            <w:vAlign w:val="center"/>
            <w:hideMark/>
          </w:tcPr>
          <w:p w14:paraId="195DF7A6"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22</w:t>
            </w:r>
            <w:r w:rsidRPr="00D97F06">
              <w:rPr>
                <w:color w:val="auto"/>
                <w:kern w:val="2"/>
                <w:szCs w:val="24"/>
                <w:lang w:val="kk-KZ"/>
                <w14:ligatures w14:val="standardContextual"/>
              </w:rPr>
              <w:t>,</w:t>
            </w:r>
            <w:r w:rsidRPr="00D97F06">
              <w:rPr>
                <w:color w:val="auto"/>
                <w:kern w:val="2"/>
                <w:szCs w:val="24"/>
                <w14:ligatures w14:val="standardContextual"/>
              </w:rPr>
              <w:t>96</w:t>
            </w:r>
          </w:p>
        </w:tc>
        <w:tc>
          <w:tcPr>
            <w:tcW w:w="955" w:type="dxa"/>
            <w:vAlign w:val="center"/>
            <w:hideMark/>
          </w:tcPr>
          <w:p w14:paraId="44F263AF"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3,07</w:t>
            </w:r>
          </w:p>
        </w:tc>
        <w:tc>
          <w:tcPr>
            <w:tcW w:w="786" w:type="dxa"/>
            <w:vAlign w:val="center"/>
            <w:hideMark/>
          </w:tcPr>
          <w:p w14:paraId="21E71C40"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68</w:t>
            </w:r>
            <w:r w:rsidRPr="00D97F06">
              <w:rPr>
                <w:color w:val="auto"/>
                <w:kern w:val="2"/>
                <w:szCs w:val="24"/>
                <w:lang w:val="kk-KZ"/>
                <w14:ligatures w14:val="standardContextual"/>
              </w:rPr>
              <w:t>,</w:t>
            </w:r>
            <w:r w:rsidRPr="00D97F06">
              <w:rPr>
                <w:color w:val="auto"/>
                <w:kern w:val="2"/>
                <w:szCs w:val="24"/>
                <w14:ligatures w14:val="standardContextual"/>
              </w:rPr>
              <w:t>68</w:t>
            </w:r>
          </w:p>
        </w:tc>
        <w:tc>
          <w:tcPr>
            <w:tcW w:w="806" w:type="dxa"/>
            <w:vAlign w:val="center"/>
            <w:hideMark/>
          </w:tcPr>
          <w:p w14:paraId="3A337767"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34</w:t>
            </w:r>
            <w:r w:rsidRPr="00D97F06">
              <w:rPr>
                <w:color w:val="auto"/>
                <w:kern w:val="2"/>
                <w:szCs w:val="24"/>
                <w:lang w:val="kk-KZ"/>
                <w14:ligatures w14:val="standardContextual"/>
              </w:rPr>
              <w:t>,</w:t>
            </w:r>
            <w:r w:rsidRPr="00D97F06">
              <w:rPr>
                <w:color w:val="auto"/>
                <w:kern w:val="2"/>
                <w:szCs w:val="24"/>
                <w14:ligatures w14:val="standardContextual"/>
              </w:rPr>
              <w:t>22</w:t>
            </w:r>
          </w:p>
        </w:tc>
        <w:tc>
          <w:tcPr>
            <w:tcW w:w="935" w:type="dxa"/>
            <w:vAlign w:val="center"/>
            <w:hideMark/>
          </w:tcPr>
          <w:p w14:paraId="63786E14"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2,01</w:t>
            </w:r>
          </w:p>
        </w:tc>
      </w:tr>
      <w:tr w:rsidR="00D97F06" w:rsidRPr="00D97F06" w14:paraId="4748F7E9" w14:textId="77777777" w:rsidTr="00D97F06">
        <w:trPr>
          <w:trHeight w:val="57"/>
        </w:trPr>
        <w:tc>
          <w:tcPr>
            <w:tcW w:w="1276" w:type="dxa"/>
            <w:tcBorders>
              <w:bottom w:val="single" w:sz="4" w:space="0" w:color="auto"/>
            </w:tcBorders>
            <w:vAlign w:val="center"/>
            <w:hideMark/>
          </w:tcPr>
          <w:p w14:paraId="5EECAF0E" w14:textId="77777777" w:rsidR="00D97F06" w:rsidRPr="00D97F06" w:rsidRDefault="00D97F06" w:rsidP="00D97F06">
            <w:pPr>
              <w:tabs>
                <w:tab w:val="left" w:pos="5387"/>
              </w:tabs>
              <w:spacing w:line="240" w:lineRule="auto"/>
              <w:jc w:val="center"/>
              <w:rPr>
                <w:b/>
                <w:color w:val="auto"/>
                <w:kern w:val="2"/>
                <w:szCs w:val="24"/>
                <w14:ligatures w14:val="standardContextual"/>
              </w:rPr>
            </w:pPr>
            <w:r w:rsidRPr="00D97F06">
              <w:rPr>
                <w:b/>
                <w:color w:val="auto"/>
                <w:kern w:val="2"/>
                <w:szCs w:val="24"/>
                <w14:ligatures w14:val="standardContextual"/>
              </w:rPr>
              <w:t>CL03</w:t>
            </w:r>
          </w:p>
        </w:tc>
        <w:tc>
          <w:tcPr>
            <w:tcW w:w="933" w:type="dxa"/>
            <w:tcBorders>
              <w:bottom w:val="single" w:sz="4" w:space="0" w:color="auto"/>
            </w:tcBorders>
            <w:vAlign w:val="center"/>
            <w:hideMark/>
          </w:tcPr>
          <w:p w14:paraId="3904A4DF"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65,06</w:t>
            </w:r>
          </w:p>
        </w:tc>
        <w:tc>
          <w:tcPr>
            <w:tcW w:w="791" w:type="dxa"/>
            <w:tcBorders>
              <w:bottom w:val="single" w:sz="4" w:space="0" w:color="auto"/>
            </w:tcBorders>
            <w:vAlign w:val="center"/>
            <w:hideMark/>
          </w:tcPr>
          <w:p w14:paraId="0235D15D"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65</w:t>
            </w:r>
            <w:r w:rsidRPr="00D97F06">
              <w:rPr>
                <w:color w:val="auto"/>
                <w:kern w:val="2"/>
                <w:szCs w:val="24"/>
                <w:lang w:val="kk-KZ"/>
                <w14:ligatures w14:val="standardContextual"/>
              </w:rPr>
              <w:t>,</w:t>
            </w:r>
            <w:r w:rsidRPr="00D97F06">
              <w:rPr>
                <w:color w:val="auto"/>
                <w:kern w:val="2"/>
                <w:szCs w:val="24"/>
                <w14:ligatures w14:val="standardContextual"/>
              </w:rPr>
              <w:t>66</w:t>
            </w:r>
          </w:p>
        </w:tc>
        <w:tc>
          <w:tcPr>
            <w:tcW w:w="949" w:type="dxa"/>
            <w:tcBorders>
              <w:bottom w:val="single" w:sz="4" w:space="0" w:color="auto"/>
            </w:tcBorders>
            <w:vAlign w:val="center"/>
            <w:hideMark/>
          </w:tcPr>
          <w:p w14:paraId="65AD81CC"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0,99</w:t>
            </w:r>
          </w:p>
        </w:tc>
        <w:tc>
          <w:tcPr>
            <w:tcW w:w="792" w:type="dxa"/>
            <w:tcBorders>
              <w:bottom w:val="single" w:sz="4" w:space="0" w:color="auto"/>
            </w:tcBorders>
            <w:vAlign w:val="center"/>
            <w:hideMark/>
          </w:tcPr>
          <w:p w14:paraId="4C5964F9"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56,96</w:t>
            </w:r>
          </w:p>
        </w:tc>
        <w:tc>
          <w:tcPr>
            <w:tcW w:w="792" w:type="dxa"/>
            <w:tcBorders>
              <w:bottom w:val="single" w:sz="4" w:space="0" w:color="auto"/>
            </w:tcBorders>
            <w:vAlign w:val="center"/>
            <w:hideMark/>
          </w:tcPr>
          <w:p w14:paraId="1C838A96"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49,12</w:t>
            </w:r>
          </w:p>
        </w:tc>
        <w:tc>
          <w:tcPr>
            <w:tcW w:w="955" w:type="dxa"/>
            <w:tcBorders>
              <w:bottom w:val="single" w:sz="4" w:space="0" w:color="auto"/>
            </w:tcBorders>
            <w:vAlign w:val="center"/>
            <w:hideMark/>
          </w:tcPr>
          <w:p w14:paraId="7D686611"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1,16</w:t>
            </w:r>
          </w:p>
        </w:tc>
        <w:tc>
          <w:tcPr>
            <w:tcW w:w="786" w:type="dxa"/>
            <w:tcBorders>
              <w:bottom w:val="single" w:sz="4" w:space="0" w:color="auto"/>
            </w:tcBorders>
            <w:vAlign w:val="center"/>
            <w:hideMark/>
          </w:tcPr>
          <w:p w14:paraId="2920A89E"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68,16</w:t>
            </w:r>
          </w:p>
        </w:tc>
        <w:tc>
          <w:tcPr>
            <w:tcW w:w="806" w:type="dxa"/>
            <w:tcBorders>
              <w:bottom w:val="single" w:sz="4" w:space="0" w:color="auto"/>
            </w:tcBorders>
            <w:vAlign w:val="center"/>
            <w:hideMark/>
          </w:tcPr>
          <w:p w14:paraId="64F17469"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32,38</w:t>
            </w:r>
          </w:p>
        </w:tc>
        <w:tc>
          <w:tcPr>
            <w:tcW w:w="935" w:type="dxa"/>
            <w:tcBorders>
              <w:bottom w:val="single" w:sz="4" w:space="0" w:color="auto"/>
            </w:tcBorders>
            <w:vAlign w:val="center"/>
            <w:hideMark/>
          </w:tcPr>
          <w:p w14:paraId="1E0BD722" w14:textId="77777777" w:rsidR="00D97F06" w:rsidRPr="00D97F06" w:rsidRDefault="00D97F06" w:rsidP="00D97F06">
            <w:pPr>
              <w:tabs>
                <w:tab w:val="left" w:pos="5387"/>
              </w:tabs>
              <w:spacing w:line="240" w:lineRule="auto"/>
              <w:jc w:val="center"/>
              <w:rPr>
                <w:color w:val="auto"/>
                <w:kern w:val="2"/>
                <w:szCs w:val="24"/>
                <w14:ligatures w14:val="standardContextual"/>
              </w:rPr>
            </w:pPr>
            <w:r w:rsidRPr="00D97F06">
              <w:rPr>
                <w:color w:val="auto"/>
                <w:kern w:val="2"/>
                <w:szCs w:val="24"/>
                <w14:ligatures w14:val="standardContextual"/>
              </w:rPr>
              <w:t>2,11</w:t>
            </w:r>
          </w:p>
        </w:tc>
      </w:tr>
    </w:tbl>
    <w:p w14:paraId="7E14015F" w14:textId="64DE2DAB" w:rsidR="00D97F06" w:rsidRPr="00125A2F" w:rsidRDefault="00D97F06" w:rsidP="00D97F06">
      <w:pPr>
        <w:pStyle w:val="MDPI31text"/>
        <w:spacing w:line="240" w:lineRule="auto"/>
        <w:ind w:left="0" w:firstLine="0"/>
        <w:rPr>
          <w:rFonts w:ascii="Times New Roman" w:hAnsi="Times New Roman"/>
          <w:snapToGrid/>
          <w:color w:val="auto"/>
          <w:sz w:val="24"/>
          <w:szCs w:val="24"/>
          <w:lang w:eastAsia="ru-RU" w:bidi="ar-SA"/>
        </w:rPr>
      </w:pPr>
      <w:r w:rsidRPr="00125A2F">
        <w:rPr>
          <w:rFonts w:ascii="Times New Roman" w:hAnsi="Times New Roman"/>
          <w:snapToGrid/>
          <w:color w:val="auto"/>
          <w:sz w:val="24"/>
          <w:szCs w:val="24"/>
          <w:vertAlign w:val="superscript"/>
          <w:lang w:eastAsia="ru-RU" w:bidi="ar-SA"/>
        </w:rPr>
        <w:t>♯</w:t>
      </w:r>
      <w:r w:rsidRPr="00125A2F">
        <w:rPr>
          <w:rFonts w:ascii="Times New Roman" w:hAnsi="Times New Roman"/>
          <w:snapToGrid/>
          <w:color w:val="auto"/>
          <w:sz w:val="24"/>
          <w:szCs w:val="24"/>
          <w:lang w:eastAsia="ru-RU" w:bidi="ar-SA"/>
        </w:rPr>
        <w:t xml:space="preserve"> A2 - </w:t>
      </w:r>
      <w:r w:rsidRPr="00125A2F">
        <w:rPr>
          <w:rFonts w:ascii="Times New Roman" w:hAnsi="Times New Roman"/>
          <w:i/>
          <w:snapToGrid/>
          <w:color w:val="auto"/>
          <w:sz w:val="24"/>
          <w:szCs w:val="24"/>
          <w:lang w:eastAsia="ru-RU" w:bidi="ar-SA"/>
        </w:rPr>
        <w:t>M. pulcherrima</w:t>
      </w:r>
      <w:r w:rsidRPr="00125A2F">
        <w:rPr>
          <w:rFonts w:ascii="Times New Roman" w:hAnsi="Times New Roman"/>
          <w:snapToGrid/>
          <w:color w:val="auto"/>
          <w:sz w:val="24"/>
          <w:szCs w:val="24"/>
          <w:lang w:eastAsia="ru-RU" w:bidi="ar-SA"/>
        </w:rPr>
        <w:t xml:space="preserve"> strain; HU15 – </w:t>
      </w:r>
      <w:r w:rsidRPr="00125A2F">
        <w:rPr>
          <w:rFonts w:ascii="Times New Roman" w:hAnsi="Times New Roman"/>
          <w:i/>
          <w:snapToGrid/>
          <w:color w:val="auto"/>
          <w:sz w:val="24"/>
          <w:szCs w:val="24"/>
          <w:lang w:eastAsia="ru-RU" w:bidi="ar-SA"/>
        </w:rPr>
        <w:t xml:space="preserve">H. </w:t>
      </w:r>
      <w:proofErr w:type="spellStart"/>
      <w:r w:rsidRPr="00125A2F">
        <w:rPr>
          <w:rFonts w:ascii="Times New Roman" w:hAnsi="Times New Roman"/>
          <w:i/>
          <w:snapToGrid/>
          <w:color w:val="auto"/>
          <w:sz w:val="24"/>
          <w:szCs w:val="24"/>
          <w:lang w:eastAsia="ru-RU" w:bidi="ar-SA"/>
        </w:rPr>
        <w:t>uvarum</w:t>
      </w:r>
      <w:proofErr w:type="spellEnd"/>
      <w:r w:rsidRPr="00125A2F">
        <w:rPr>
          <w:rFonts w:ascii="Times New Roman" w:hAnsi="Times New Roman"/>
          <w:snapToGrid/>
          <w:color w:val="auto"/>
          <w:sz w:val="24"/>
          <w:szCs w:val="24"/>
          <w:lang w:eastAsia="ru-RU" w:bidi="ar-SA"/>
        </w:rPr>
        <w:t xml:space="preserve"> strain; AP11 and AP13 – </w:t>
      </w:r>
      <w:r w:rsidRPr="00125A2F">
        <w:rPr>
          <w:rFonts w:ascii="Times New Roman" w:hAnsi="Times New Roman"/>
          <w:i/>
          <w:snapToGrid/>
          <w:color w:val="auto"/>
          <w:sz w:val="24"/>
          <w:szCs w:val="24"/>
          <w:lang w:eastAsia="ru-RU" w:bidi="ar-SA"/>
        </w:rPr>
        <w:t>A. pullulans</w:t>
      </w:r>
      <w:r w:rsidRPr="00125A2F">
        <w:rPr>
          <w:rFonts w:ascii="Times New Roman" w:hAnsi="Times New Roman"/>
          <w:snapToGrid/>
          <w:color w:val="auto"/>
          <w:sz w:val="24"/>
          <w:szCs w:val="24"/>
          <w:lang w:eastAsia="ru-RU" w:bidi="ar-SA"/>
        </w:rPr>
        <w:t xml:space="preserve"> strains; CL03 – </w:t>
      </w:r>
      <w:r w:rsidRPr="00125A2F">
        <w:rPr>
          <w:rFonts w:ascii="Times New Roman" w:hAnsi="Times New Roman"/>
          <w:i/>
          <w:snapToGrid/>
          <w:color w:val="auto"/>
          <w:sz w:val="24"/>
          <w:szCs w:val="24"/>
          <w:lang w:eastAsia="ru-RU" w:bidi="ar-SA"/>
        </w:rPr>
        <w:t xml:space="preserve">C. </w:t>
      </w:r>
      <w:proofErr w:type="spellStart"/>
      <w:r w:rsidRPr="00125A2F">
        <w:rPr>
          <w:rFonts w:ascii="Times New Roman" w:hAnsi="Times New Roman"/>
          <w:i/>
          <w:snapToGrid/>
          <w:color w:val="auto"/>
          <w:sz w:val="24"/>
          <w:szCs w:val="24"/>
          <w:lang w:eastAsia="ru-RU" w:bidi="ar-SA"/>
        </w:rPr>
        <w:t>lusitaniae</w:t>
      </w:r>
      <w:proofErr w:type="spellEnd"/>
      <w:r w:rsidRPr="00125A2F">
        <w:rPr>
          <w:rFonts w:ascii="Times New Roman" w:hAnsi="Times New Roman"/>
          <w:snapToGrid/>
          <w:color w:val="auto"/>
          <w:sz w:val="24"/>
          <w:szCs w:val="24"/>
          <w:lang w:eastAsia="ru-RU" w:bidi="ar-SA"/>
        </w:rPr>
        <w:t xml:space="preserve"> strain.</w:t>
      </w:r>
    </w:p>
    <w:p w14:paraId="335E9C66" w14:textId="77777777" w:rsidR="00D97F06" w:rsidRPr="00125A2F" w:rsidRDefault="00D97F06" w:rsidP="00D97F06">
      <w:pPr>
        <w:pStyle w:val="MDPI31text"/>
        <w:spacing w:line="240" w:lineRule="auto"/>
        <w:ind w:left="0" w:firstLine="0"/>
        <w:rPr>
          <w:rFonts w:ascii="Times New Roman" w:hAnsi="Times New Roman"/>
          <w:color w:val="auto"/>
          <w:sz w:val="24"/>
          <w:szCs w:val="24"/>
        </w:rPr>
      </w:pPr>
      <w:r w:rsidRPr="00125A2F">
        <w:rPr>
          <w:rFonts w:ascii="Times New Roman" w:hAnsi="Times New Roman"/>
          <w:color w:val="auto"/>
          <w:sz w:val="24"/>
          <w:szCs w:val="24"/>
          <w:vertAlign w:val="superscript"/>
        </w:rPr>
        <w:lastRenderedPageBreak/>
        <w:t xml:space="preserve">♠ </w:t>
      </w:r>
      <w:r w:rsidRPr="00125A2F">
        <w:rPr>
          <w:rFonts w:ascii="Times New Roman" w:hAnsi="Times New Roman"/>
          <w:color w:val="auto"/>
          <w:sz w:val="24"/>
          <w:szCs w:val="24"/>
        </w:rPr>
        <w:t>The coefficients R (pat) indicate the ratio of the biological control efficacy of system W to that of system B.</w:t>
      </w:r>
    </w:p>
    <w:p w14:paraId="16F34D37" w14:textId="77777777" w:rsidR="00A05CB6" w:rsidRDefault="00A05CB6" w:rsidP="00D97F06">
      <w:pPr>
        <w:spacing w:line="360" w:lineRule="auto"/>
        <w:rPr>
          <w:b/>
          <w:color w:val="FF0000"/>
          <w:szCs w:val="24"/>
        </w:rPr>
      </w:pPr>
    </w:p>
    <w:p w14:paraId="3CA4F45D" w14:textId="77777777" w:rsidR="00D97F06" w:rsidRPr="00125A2F" w:rsidRDefault="00D97F06" w:rsidP="00D97F06">
      <w:pPr>
        <w:pStyle w:val="MDPI41tablecaption"/>
        <w:spacing w:before="0" w:after="0" w:line="240" w:lineRule="auto"/>
        <w:ind w:left="0"/>
        <w:rPr>
          <w:rFonts w:ascii="Times New Roman" w:hAnsi="Times New Roman" w:cs="Times New Roman"/>
          <w:color w:val="auto"/>
          <w:sz w:val="24"/>
          <w:szCs w:val="24"/>
        </w:rPr>
      </w:pPr>
      <w:r w:rsidRPr="00D97F06">
        <w:rPr>
          <w:rFonts w:ascii="Times New Roman" w:hAnsi="Times New Roman" w:cs="Times New Roman"/>
          <w:b/>
          <w:color w:val="auto"/>
          <w:sz w:val="24"/>
          <w:szCs w:val="24"/>
        </w:rPr>
        <w:t xml:space="preserve">Table 4: </w:t>
      </w:r>
      <w:r w:rsidRPr="00D97F06">
        <w:rPr>
          <w:rFonts w:ascii="Times New Roman" w:hAnsi="Times New Roman" w:cs="Times New Roman"/>
          <w:color w:val="auto"/>
          <w:sz w:val="24"/>
          <w:szCs w:val="24"/>
        </w:rPr>
        <w:t>The necessary data to evaluate the B systems’ selectivity for protection against fungal pathogens, along with the corresponding Gap values (</w:t>
      </w:r>
      <w:proofErr w:type="spellStart"/>
      <w:r w:rsidRPr="00D97F06">
        <w:rPr>
          <w:rFonts w:ascii="Times New Roman" w:hAnsi="Times New Roman" w:cs="Times New Roman"/>
          <w:color w:val="auto"/>
          <w:sz w:val="24"/>
          <w:szCs w:val="24"/>
        </w:rPr>
        <w:t>cin</w:t>
      </w:r>
      <w:proofErr w:type="spellEnd"/>
      <w:r w:rsidRPr="00D97F06">
        <w:rPr>
          <w:rFonts w:ascii="Times New Roman" w:hAnsi="Times New Roman" w:cs="Times New Roman"/>
          <w:color w:val="auto"/>
          <w:sz w:val="24"/>
          <w:szCs w:val="24"/>
        </w:rPr>
        <w:t xml:space="preserve">/nig, </w:t>
      </w:r>
      <w:proofErr w:type="spellStart"/>
      <w:r w:rsidRPr="00D97F06">
        <w:rPr>
          <w:rFonts w:ascii="Times New Roman" w:hAnsi="Times New Roman" w:cs="Times New Roman"/>
          <w:color w:val="auto"/>
          <w:sz w:val="24"/>
          <w:szCs w:val="24"/>
        </w:rPr>
        <w:t>cin</w:t>
      </w:r>
      <w:proofErr w:type="spellEnd"/>
      <w:r w:rsidRPr="00D97F06">
        <w:rPr>
          <w:rFonts w:ascii="Times New Roman" w:hAnsi="Times New Roman" w:cs="Times New Roman"/>
          <w:color w:val="auto"/>
          <w:sz w:val="24"/>
          <w:szCs w:val="24"/>
        </w:rPr>
        <w:t>/</w:t>
      </w:r>
      <w:proofErr w:type="spellStart"/>
      <w:r w:rsidRPr="00D97F06">
        <w:rPr>
          <w:rFonts w:ascii="Times New Roman" w:hAnsi="Times New Roman" w:cs="Times New Roman"/>
          <w:color w:val="auto"/>
          <w:sz w:val="24"/>
          <w:szCs w:val="24"/>
        </w:rPr>
        <w:t>st</w:t>
      </w:r>
      <w:proofErr w:type="spellEnd"/>
      <w:r w:rsidRPr="00D97F06">
        <w:rPr>
          <w:rFonts w:ascii="Times New Roman" w:hAnsi="Times New Roman" w:cs="Times New Roman"/>
          <w:color w:val="auto"/>
          <w:sz w:val="24"/>
          <w:szCs w:val="24"/>
        </w:rPr>
        <w:t>, and nig/</w:t>
      </w:r>
      <w:proofErr w:type="spellStart"/>
      <w:r w:rsidRPr="00D97F06">
        <w:rPr>
          <w:rFonts w:ascii="Times New Roman" w:hAnsi="Times New Roman" w:cs="Times New Roman"/>
          <w:color w:val="auto"/>
          <w:sz w:val="24"/>
          <w:szCs w:val="24"/>
        </w:rPr>
        <w:t>st</w:t>
      </w:r>
      <w:proofErr w:type="spellEnd"/>
      <w:r w:rsidRPr="00D97F06">
        <w:rPr>
          <w:rFonts w:ascii="Times New Roman" w:hAnsi="Times New Roman" w:cs="Times New Roman"/>
          <w:color w:val="auto"/>
          <w:sz w:val="24"/>
          <w:szCs w:val="24"/>
        </w:rPr>
        <w:t>)</w:t>
      </w:r>
    </w:p>
    <w:tbl>
      <w:tblPr>
        <w:tblW w:w="9015" w:type="dxa"/>
        <w:tblLook w:val="04A0" w:firstRow="1" w:lastRow="0" w:firstColumn="1" w:lastColumn="0" w:noHBand="0" w:noVBand="1"/>
      </w:tblPr>
      <w:tblGrid>
        <w:gridCol w:w="975"/>
        <w:gridCol w:w="1570"/>
        <w:gridCol w:w="1322"/>
        <w:gridCol w:w="1287"/>
        <w:gridCol w:w="1287"/>
        <w:gridCol w:w="1287"/>
        <w:gridCol w:w="1287"/>
      </w:tblGrid>
      <w:tr w:rsidR="00D97F06" w:rsidRPr="00D97F06" w14:paraId="2F43DC85" w14:textId="77777777" w:rsidTr="00D97F06">
        <w:trPr>
          <w:cantSplit/>
          <w:trHeight w:val="567"/>
        </w:trPr>
        <w:tc>
          <w:tcPr>
            <w:tcW w:w="797" w:type="dxa"/>
            <w:vMerge w:val="restart"/>
            <w:tcBorders>
              <w:top w:val="single" w:sz="4" w:space="0" w:color="auto"/>
              <w:bottom w:val="single" w:sz="4" w:space="0" w:color="auto"/>
            </w:tcBorders>
            <w:textDirection w:val="btLr"/>
            <w:vAlign w:val="center"/>
          </w:tcPr>
          <w:p w14:paraId="1F3F7844" w14:textId="77777777" w:rsidR="00D97F06" w:rsidRPr="00D97F06" w:rsidRDefault="00D97F06" w:rsidP="00D97F06">
            <w:pPr>
              <w:spacing w:line="240" w:lineRule="auto"/>
              <w:jc w:val="center"/>
              <w:rPr>
                <w:b/>
                <w:color w:val="auto"/>
                <w:szCs w:val="24"/>
                <w:vertAlign w:val="superscript"/>
                <w:lang w:eastAsia="ru-RU"/>
              </w:rPr>
            </w:pPr>
            <w:r w:rsidRPr="00D97F06">
              <w:rPr>
                <w:b/>
                <w:color w:val="auto"/>
                <w:szCs w:val="24"/>
                <w:lang w:eastAsia="ru-RU"/>
              </w:rPr>
              <w:t>Fungal pathogens</w:t>
            </w:r>
            <w:r w:rsidRPr="00D97F06">
              <w:rPr>
                <w:b/>
                <w:color w:val="auto"/>
                <w:szCs w:val="24"/>
                <w:vertAlign w:val="superscript"/>
                <w:lang w:eastAsia="ru-RU"/>
              </w:rPr>
              <w:t>¥</w:t>
            </w:r>
          </w:p>
        </w:tc>
        <w:tc>
          <w:tcPr>
            <w:tcW w:w="1105" w:type="dxa"/>
            <w:vMerge w:val="restart"/>
            <w:tcBorders>
              <w:top w:val="single" w:sz="4" w:space="0" w:color="auto"/>
              <w:bottom w:val="single" w:sz="4" w:space="0" w:color="auto"/>
            </w:tcBorders>
            <w:noWrap/>
            <w:textDirection w:val="btLr"/>
            <w:vAlign w:val="center"/>
          </w:tcPr>
          <w:p w14:paraId="60F5926E" w14:textId="77777777" w:rsidR="00D97F06" w:rsidRPr="00D97F06" w:rsidRDefault="00D97F06" w:rsidP="00D97F06">
            <w:pPr>
              <w:spacing w:line="240" w:lineRule="auto"/>
              <w:jc w:val="center"/>
              <w:rPr>
                <w:b/>
                <w:color w:val="auto"/>
                <w:szCs w:val="24"/>
                <w:vertAlign w:val="superscript"/>
                <w:lang w:eastAsia="ru-RU"/>
              </w:rPr>
            </w:pPr>
            <w:r w:rsidRPr="00D97F06">
              <w:rPr>
                <w:b/>
                <w:color w:val="auto"/>
                <w:szCs w:val="24"/>
                <w:lang w:eastAsia="ru-RU"/>
              </w:rPr>
              <w:t>values</w:t>
            </w:r>
            <w:r w:rsidRPr="00D97F06">
              <w:rPr>
                <w:b/>
                <w:color w:val="auto"/>
                <w:szCs w:val="24"/>
                <w:vertAlign w:val="superscript"/>
                <w:lang w:eastAsia="ru-RU"/>
              </w:rPr>
              <w:t>§</w:t>
            </w:r>
          </w:p>
        </w:tc>
        <w:tc>
          <w:tcPr>
            <w:tcW w:w="5260" w:type="dxa"/>
            <w:gridSpan w:val="5"/>
            <w:tcBorders>
              <w:top w:val="single" w:sz="4" w:space="0" w:color="auto"/>
              <w:bottom w:val="single" w:sz="4" w:space="0" w:color="auto"/>
            </w:tcBorders>
            <w:vAlign w:val="center"/>
          </w:tcPr>
          <w:p w14:paraId="47FF7BF9" w14:textId="77777777" w:rsidR="00D97F06" w:rsidRPr="00D97F06" w:rsidRDefault="00D97F06" w:rsidP="00D97F06">
            <w:pPr>
              <w:spacing w:line="240" w:lineRule="auto"/>
              <w:jc w:val="center"/>
              <w:rPr>
                <w:b/>
                <w:color w:val="auto"/>
                <w:szCs w:val="24"/>
                <w:vertAlign w:val="superscript"/>
                <w:lang w:eastAsia="ru-RU"/>
              </w:rPr>
            </w:pPr>
            <w:r w:rsidRPr="00D97F06">
              <w:rPr>
                <w:b/>
                <w:color w:val="auto"/>
                <w:szCs w:val="24"/>
                <w:lang w:eastAsia="ru-RU"/>
              </w:rPr>
              <w:t xml:space="preserve">Yeast strains </w:t>
            </w:r>
            <w:r w:rsidRPr="00D97F06">
              <w:rPr>
                <w:b/>
                <w:color w:val="auto"/>
                <w:szCs w:val="24"/>
                <w:vertAlign w:val="superscript"/>
                <w:lang w:eastAsia="ru-RU"/>
              </w:rPr>
              <w:t>♯</w:t>
            </w:r>
          </w:p>
        </w:tc>
      </w:tr>
      <w:tr w:rsidR="00D97F06" w:rsidRPr="00D97F06" w14:paraId="44ADC6EF" w14:textId="77777777" w:rsidTr="00D97F06">
        <w:trPr>
          <w:trHeight w:val="300"/>
        </w:trPr>
        <w:tc>
          <w:tcPr>
            <w:tcW w:w="797" w:type="dxa"/>
            <w:vMerge/>
            <w:tcBorders>
              <w:top w:val="single" w:sz="4" w:space="0" w:color="auto"/>
              <w:bottom w:val="single" w:sz="4" w:space="0" w:color="auto"/>
            </w:tcBorders>
            <w:vAlign w:val="center"/>
          </w:tcPr>
          <w:p w14:paraId="596FA4B8" w14:textId="77777777" w:rsidR="00D97F06" w:rsidRPr="00D97F06" w:rsidRDefault="00D97F06" w:rsidP="00D97F06">
            <w:pPr>
              <w:spacing w:line="240" w:lineRule="auto"/>
              <w:jc w:val="center"/>
              <w:rPr>
                <w:b/>
                <w:color w:val="auto"/>
                <w:szCs w:val="24"/>
                <w:lang w:eastAsia="ru-RU"/>
              </w:rPr>
            </w:pPr>
          </w:p>
        </w:tc>
        <w:tc>
          <w:tcPr>
            <w:tcW w:w="1105" w:type="dxa"/>
            <w:vMerge/>
            <w:tcBorders>
              <w:top w:val="single" w:sz="4" w:space="0" w:color="auto"/>
              <w:bottom w:val="single" w:sz="4" w:space="0" w:color="auto"/>
            </w:tcBorders>
            <w:noWrap/>
            <w:vAlign w:val="center"/>
            <w:hideMark/>
          </w:tcPr>
          <w:p w14:paraId="2B0F0ED9" w14:textId="77777777" w:rsidR="00D97F06" w:rsidRPr="00D97F06" w:rsidRDefault="00D97F06" w:rsidP="00D97F06">
            <w:pPr>
              <w:spacing w:line="240" w:lineRule="auto"/>
              <w:jc w:val="center"/>
              <w:rPr>
                <w:b/>
                <w:color w:val="auto"/>
                <w:szCs w:val="24"/>
                <w:lang w:eastAsia="ru-RU"/>
              </w:rPr>
            </w:pPr>
          </w:p>
        </w:tc>
        <w:tc>
          <w:tcPr>
            <w:tcW w:w="1052" w:type="dxa"/>
            <w:tcBorders>
              <w:top w:val="single" w:sz="4" w:space="0" w:color="auto"/>
              <w:bottom w:val="single" w:sz="4" w:space="0" w:color="auto"/>
            </w:tcBorders>
            <w:noWrap/>
            <w:vAlign w:val="center"/>
            <w:hideMark/>
          </w:tcPr>
          <w:p w14:paraId="7BB952CD" w14:textId="77777777" w:rsidR="00D97F06" w:rsidRPr="00D97F06" w:rsidRDefault="00D97F06" w:rsidP="00D97F06">
            <w:pPr>
              <w:spacing w:line="240" w:lineRule="auto"/>
              <w:jc w:val="center"/>
              <w:rPr>
                <w:b/>
                <w:color w:val="auto"/>
                <w:szCs w:val="24"/>
                <w:lang w:eastAsia="ru-RU"/>
              </w:rPr>
            </w:pPr>
            <w:r w:rsidRPr="00D97F06">
              <w:rPr>
                <w:b/>
                <w:color w:val="auto"/>
                <w:szCs w:val="24"/>
                <w:lang w:eastAsia="ru-RU"/>
              </w:rPr>
              <w:t>A2</w:t>
            </w:r>
          </w:p>
        </w:tc>
        <w:tc>
          <w:tcPr>
            <w:tcW w:w="1052" w:type="dxa"/>
            <w:tcBorders>
              <w:top w:val="single" w:sz="4" w:space="0" w:color="auto"/>
              <w:bottom w:val="single" w:sz="4" w:space="0" w:color="auto"/>
            </w:tcBorders>
            <w:noWrap/>
            <w:vAlign w:val="center"/>
            <w:hideMark/>
          </w:tcPr>
          <w:p w14:paraId="0FAA769D" w14:textId="77777777" w:rsidR="00D97F06" w:rsidRPr="00D97F06" w:rsidRDefault="00D97F06" w:rsidP="00D97F06">
            <w:pPr>
              <w:spacing w:line="240" w:lineRule="auto"/>
              <w:jc w:val="center"/>
              <w:rPr>
                <w:b/>
                <w:strike/>
                <w:color w:val="auto"/>
                <w:szCs w:val="24"/>
                <w:lang w:eastAsia="ru-RU"/>
              </w:rPr>
            </w:pPr>
            <w:r w:rsidRPr="00D97F06">
              <w:rPr>
                <w:b/>
                <w:color w:val="auto"/>
                <w:szCs w:val="24"/>
                <w:lang w:eastAsia="ru-RU"/>
              </w:rPr>
              <w:t>CL03</w:t>
            </w:r>
          </w:p>
        </w:tc>
        <w:tc>
          <w:tcPr>
            <w:tcW w:w="1052" w:type="dxa"/>
            <w:tcBorders>
              <w:top w:val="single" w:sz="4" w:space="0" w:color="auto"/>
              <w:bottom w:val="single" w:sz="4" w:space="0" w:color="auto"/>
            </w:tcBorders>
            <w:noWrap/>
            <w:vAlign w:val="center"/>
            <w:hideMark/>
          </w:tcPr>
          <w:p w14:paraId="19952D7E" w14:textId="77777777" w:rsidR="00D97F06" w:rsidRPr="00D97F06" w:rsidRDefault="00D97F06" w:rsidP="00D97F06">
            <w:pPr>
              <w:spacing w:line="240" w:lineRule="auto"/>
              <w:jc w:val="center"/>
              <w:rPr>
                <w:b/>
                <w:color w:val="auto"/>
                <w:szCs w:val="24"/>
                <w:lang w:eastAsia="ru-RU"/>
              </w:rPr>
            </w:pPr>
            <w:r w:rsidRPr="00D97F06">
              <w:rPr>
                <w:b/>
                <w:color w:val="auto"/>
                <w:szCs w:val="24"/>
                <w:lang w:eastAsia="ru-RU"/>
              </w:rPr>
              <w:t>AP 11</w:t>
            </w:r>
          </w:p>
        </w:tc>
        <w:tc>
          <w:tcPr>
            <w:tcW w:w="1052" w:type="dxa"/>
            <w:tcBorders>
              <w:top w:val="single" w:sz="4" w:space="0" w:color="auto"/>
              <w:bottom w:val="single" w:sz="4" w:space="0" w:color="auto"/>
            </w:tcBorders>
            <w:noWrap/>
            <w:vAlign w:val="center"/>
            <w:hideMark/>
          </w:tcPr>
          <w:p w14:paraId="0AFF070E" w14:textId="77777777" w:rsidR="00D97F06" w:rsidRPr="00D97F06" w:rsidRDefault="00D97F06" w:rsidP="00D97F06">
            <w:pPr>
              <w:spacing w:line="240" w:lineRule="auto"/>
              <w:jc w:val="center"/>
              <w:rPr>
                <w:b/>
                <w:color w:val="auto"/>
                <w:szCs w:val="24"/>
                <w:lang w:eastAsia="ru-RU"/>
              </w:rPr>
            </w:pPr>
            <w:r w:rsidRPr="00D97F06">
              <w:rPr>
                <w:b/>
                <w:color w:val="auto"/>
                <w:szCs w:val="24"/>
                <w:lang w:eastAsia="ru-RU"/>
              </w:rPr>
              <w:t>AP 13</w:t>
            </w:r>
          </w:p>
        </w:tc>
        <w:tc>
          <w:tcPr>
            <w:tcW w:w="1052" w:type="dxa"/>
            <w:tcBorders>
              <w:top w:val="single" w:sz="4" w:space="0" w:color="auto"/>
              <w:bottom w:val="single" w:sz="4" w:space="0" w:color="auto"/>
            </w:tcBorders>
            <w:noWrap/>
            <w:vAlign w:val="center"/>
            <w:hideMark/>
          </w:tcPr>
          <w:p w14:paraId="74BE541D" w14:textId="77777777" w:rsidR="00D97F06" w:rsidRPr="00D97F06" w:rsidRDefault="00D97F06" w:rsidP="00D97F06">
            <w:pPr>
              <w:spacing w:line="240" w:lineRule="auto"/>
              <w:jc w:val="center"/>
              <w:rPr>
                <w:b/>
                <w:color w:val="auto"/>
                <w:szCs w:val="24"/>
                <w:lang w:eastAsia="ru-RU"/>
              </w:rPr>
            </w:pPr>
            <w:r w:rsidRPr="00D97F06">
              <w:rPr>
                <w:b/>
                <w:color w:val="auto"/>
                <w:szCs w:val="24"/>
                <w:lang w:eastAsia="ru-RU"/>
              </w:rPr>
              <w:t>HU 15</w:t>
            </w:r>
          </w:p>
        </w:tc>
      </w:tr>
      <w:tr w:rsidR="00D97F06" w:rsidRPr="00D97F06" w14:paraId="4B60BF9F" w14:textId="77777777" w:rsidTr="00C0219D">
        <w:trPr>
          <w:trHeight w:val="300"/>
        </w:trPr>
        <w:tc>
          <w:tcPr>
            <w:tcW w:w="797" w:type="dxa"/>
            <w:vMerge/>
            <w:tcBorders>
              <w:top w:val="single" w:sz="4" w:space="0" w:color="auto"/>
              <w:bottom w:val="single" w:sz="4" w:space="0" w:color="auto"/>
            </w:tcBorders>
            <w:vAlign w:val="center"/>
          </w:tcPr>
          <w:p w14:paraId="59B595F7" w14:textId="77777777" w:rsidR="00D97F06" w:rsidRPr="00D97F06" w:rsidRDefault="00D97F06" w:rsidP="00D97F06">
            <w:pPr>
              <w:spacing w:line="240" w:lineRule="auto"/>
              <w:jc w:val="center"/>
              <w:rPr>
                <w:b/>
                <w:color w:val="auto"/>
                <w:szCs w:val="24"/>
                <w:lang w:eastAsia="ru-RU"/>
              </w:rPr>
            </w:pPr>
          </w:p>
        </w:tc>
        <w:tc>
          <w:tcPr>
            <w:tcW w:w="1105" w:type="dxa"/>
            <w:vMerge/>
            <w:tcBorders>
              <w:bottom w:val="single" w:sz="4" w:space="0" w:color="auto"/>
            </w:tcBorders>
            <w:noWrap/>
            <w:vAlign w:val="center"/>
          </w:tcPr>
          <w:p w14:paraId="26470816" w14:textId="77777777" w:rsidR="00D97F06" w:rsidRPr="00D97F06" w:rsidRDefault="00D97F06" w:rsidP="00D97F06">
            <w:pPr>
              <w:spacing w:line="240" w:lineRule="auto"/>
              <w:jc w:val="center"/>
              <w:rPr>
                <w:b/>
                <w:color w:val="auto"/>
                <w:szCs w:val="24"/>
                <w:lang w:eastAsia="ru-RU"/>
              </w:rPr>
            </w:pPr>
          </w:p>
        </w:tc>
        <w:tc>
          <w:tcPr>
            <w:tcW w:w="5260" w:type="dxa"/>
            <w:gridSpan w:val="5"/>
            <w:tcBorders>
              <w:top w:val="single" w:sz="4" w:space="0" w:color="auto"/>
              <w:bottom w:val="single" w:sz="4" w:space="0" w:color="auto"/>
            </w:tcBorders>
            <w:vAlign w:val="center"/>
          </w:tcPr>
          <w:p w14:paraId="0E0E084A" w14:textId="77777777" w:rsidR="00D97F06" w:rsidRPr="00D97F06" w:rsidRDefault="00D97F06" w:rsidP="00D97F06">
            <w:pPr>
              <w:spacing w:line="240" w:lineRule="auto"/>
              <w:jc w:val="center"/>
              <w:rPr>
                <w:b/>
                <w:color w:val="auto"/>
                <w:szCs w:val="24"/>
                <w:lang w:eastAsia="ru-RU"/>
              </w:rPr>
            </w:pPr>
            <w:r w:rsidRPr="00D97F06">
              <w:rPr>
                <w:b/>
                <w:color w:val="auto"/>
                <w:kern w:val="2"/>
                <w:szCs w:val="24"/>
              </w:rPr>
              <w:t>Percentage of infected grape berries (</w:t>
            </w:r>
            <w:r w:rsidRPr="00D97F06">
              <w:rPr>
                <w:b/>
                <w:color w:val="auto"/>
                <w:szCs w:val="24"/>
              </w:rPr>
              <w:t>PIBpat), PIBB</w:t>
            </w:r>
          </w:p>
        </w:tc>
      </w:tr>
      <w:tr w:rsidR="00D97F06" w:rsidRPr="00D97F06" w14:paraId="6A8F727F" w14:textId="77777777" w:rsidTr="00C0219D">
        <w:trPr>
          <w:cantSplit/>
          <w:trHeight w:val="340"/>
        </w:trPr>
        <w:tc>
          <w:tcPr>
            <w:tcW w:w="797" w:type="dxa"/>
            <w:vMerge w:val="restart"/>
            <w:tcBorders>
              <w:top w:val="single" w:sz="4" w:space="0" w:color="auto"/>
            </w:tcBorders>
            <w:textDirection w:val="btLr"/>
            <w:vAlign w:val="center"/>
          </w:tcPr>
          <w:p w14:paraId="59A40E34" w14:textId="77777777" w:rsidR="00D97F06" w:rsidRPr="00D97F06" w:rsidRDefault="00D97F06" w:rsidP="00D97F06">
            <w:pPr>
              <w:spacing w:line="240" w:lineRule="auto"/>
              <w:jc w:val="center"/>
              <w:rPr>
                <w:b/>
                <w:i/>
                <w:color w:val="auto"/>
                <w:szCs w:val="24"/>
                <w:lang w:eastAsia="ru-RU"/>
              </w:rPr>
            </w:pPr>
            <w:r w:rsidRPr="00D97F06">
              <w:rPr>
                <w:b/>
                <w:i/>
                <w:color w:val="auto"/>
                <w:szCs w:val="24"/>
                <w:lang w:eastAsia="ru-RU"/>
              </w:rPr>
              <w:t>B.cinerea</w:t>
            </w:r>
          </w:p>
        </w:tc>
        <w:tc>
          <w:tcPr>
            <w:tcW w:w="1105" w:type="dxa"/>
            <w:tcBorders>
              <w:top w:val="single" w:sz="4" w:space="0" w:color="auto"/>
            </w:tcBorders>
            <w:noWrap/>
            <w:vAlign w:val="center"/>
            <w:hideMark/>
          </w:tcPr>
          <w:p w14:paraId="05C1B9C2" w14:textId="77777777" w:rsidR="00D97F06" w:rsidRPr="00D97F06" w:rsidRDefault="00D97F06" w:rsidP="00D97F06">
            <w:pPr>
              <w:spacing w:line="240" w:lineRule="auto"/>
              <w:jc w:val="center"/>
              <w:rPr>
                <w:b/>
                <w:color w:val="auto"/>
                <w:szCs w:val="24"/>
                <w:lang w:eastAsia="ru-RU"/>
              </w:rPr>
            </w:pPr>
            <w:r w:rsidRPr="00D97F06">
              <w:rPr>
                <w:b/>
                <w:color w:val="auto"/>
                <w:szCs w:val="24"/>
                <w:lang w:eastAsia="ru-RU"/>
              </w:rPr>
              <w:t>Mean(cin)</w:t>
            </w:r>
          </w:p>
        </w:tc>
        <w:tc>
          <w:tcPr>
            <w:tcW w:w="1052" w:type="dxa"/>
            <w:tcBorders>
              <w:top w:val="single" w:sz="4" w:space="0" w:color="auto"/>
            </w:tcBorders>
            <w:noWrap/>
            <w:vAlign w:val="center"/>
            <w:hideMark/>
          </w:tcPr>
          <w:p w14:paraId="74000B49" w14:textId="77777777" w:rsidR="00D97F06" w:rsidRPr="00D97F06" w:rsidRDefault="00D97F06" w:rsidP="00D97F06">
            <w:pPr>
              <w:spacing w:line="240" w:lineRule="auto"/>
              <w:jc w:val="center"/>
              <w:rPr>
                <w:color w:val="auto"/>
                <w:szCs w:val="24"/>
                <w:lang w:val="ru-RU" w:eastAsia="ru-RU"/>
              </w:rPr>
            </w:pPr>
            <w:r w:rsidRPr="00D97F06">
              <w:rPr>
                <w:color w:val="auto"/>
                <w:szCs w:val="24"/>
                <w:lang w:eastAsia="ru-RU"/>
              </w:rPr>
              <w:t>13,3</w:t>
            </w:r>
            <w:r w:rsidRPr="00D97F06">
              <w:rPr>
                <w:color w:val="auto"/>
                <w:szCs w:val="24"/>
                <w:lang w:val="ru-RU" w:eastAsia="ru-RU"/>
              </w:rPr>
              <w:t>3</w:t>
            </w:r>
          </w:p>
        </w:tc>
        <w:tc>
          <w:tcPr>
            <w:tcW w:w="1052" w:type="dxa"/>
            <w:tcBorders>
              <w:top w:val="single" w:sz="4" w:space="0" w:color="auto"/>
            </w:tcBorders>
            <w:noWrap/>
            <w:vAlign w:val="center"/>
            <w:hideMark/>
          </w:tcPr>
          <w:p w14:paraId="40BDD81F" w14:textId="77777777" w:rsidR="00D97F06" w:rsidRPr="00D97F06" w:rsidRDefault="00D97F06" w:rsidP="00D97F06">
            <w:pPr>
              <w:spacing w:line="240" w:lineRule="auto"/>
              <w:jc w:val="center"/>
              <w:rPr>
                <w:color w:val="auto"/>
                <w:szCs w:val="24"/>
                <w:lang w:val="ru-RU" w:eastAsia="ru-RU"/>
              </w:rPr>
            </w:pPr>
            <w:r w:rsidRPr="00D97F06">
              <w:rPr>
                <w:color w:val="auto"/>
                <w:szCs w:val="24"/>
                <w:lang w:eastAsia="ru-RU"/>
              </w:rPr>
              <w:t>2</w:t>
            </w:r>
            <w:r w:rsidRPr="00D97F06">
              <w:rPr>
                <w:color w:val="auto"/>
                <w:szCs w:val="24"/>
                <w:lang w:val="ru-RU" w:eastAsia="ru-RU"/>
              </w:rPr>
              <w:t>5</w:t>
            </w:r>
            <w:r w:rsidRPr="00D97F06">
              <w:rPr>
                <w:color w:val="auto"/>
                <w:szCs w:val="24"/>
                <w:lang w:eastAsia="ru-RU"/>
              </w:rPr>
              <w:t>,</w:t>
            </w:r>
            <w:r w:rsidRPr="00D97F06">
              <w:rPr>
                <w:color w:val="auto"/>
                <w:szCs w:val="24"/>
                <w:lang w:val="ru-RU" w:eastAsia="ru-RU"/>
              </w:rPr>
              <w:t>55</w:t>
            </w:r>
          </w:p>
        </w:tc>
        <w:tc>
          <w:tcPr>
            <w:tcW w:w="1052" w:type="dxa"/>
            <w:tcBorders>
              <w:top w:val="single" w:sz="4" w:space="0" w:color="auto"/>
            </w:tcBorders>
            <w:noWrap/>
            <w:vAlign w:val="center"/>
            <w:hideMark/>
          </w:tcPr>
          <w:p w14:paraId="4E18E69E" w14:textId="77777777" w:rsidR="00D97F06" w:rsidRPr="00D97F06" w:rsidRDefault="00D97F06" w:rsidP="00D97F06">
            <w:pPr>
              <w:spacing w:line="240" w:lineRule="auto"/>
              <w:jc w:val="center"/>
              <w:rPr>
                <w:color w:val="auto"/>
                <w:szCs w:val="24"/>
                <w:lang w:val="ru-RU" w:eastAsia="ru-RU"/>
              </w:rPr>
            </w:pPr>
            <w:r w:rsidRPr="00D97F06">
              <w:rPr>
                <w:color w:val="auto"/>
                <w:szCs w:val="24"/>
                <w:lang w:eastAsia="ru-RU"/>
              </w:rPr>
              <w:t>3</w:t>
            </w:r>
            <w:r w:rsidRPr="00D97F06">
              <w:rPr>
                <w:color w:val="auto"/>
                <w:szCs w:val="24"/>
                <w:lang w:val="ru-RU" w:eastAsia="ru-RU"/>
              </w:rPr>
              <w:t>4</w:t>
            </w:r>
            <w:r w:rsidRPr="00D97F06">
              <w:rPr>
                <w:color w:val="auto"/>
                <w:szCs w:val="24"/>
                <w:lang w:eastAsia="ru-RU"/>
              </w:rPr>
              <w:t>,</w:t>
            </w:r>
            <w:r w:rsidRPr="00D97F06">
              <w:rPr>
                <w:color w:val="auto"/>
                <w:szCs w:val="24"/>
                <w:lang w:val="ru-RU" w:eastAsia="ru-RU"/>
              </w:rPr>
              <w:t>57</w:t>
            </w:r>
          </w:p>
        </w:tc>
        <w:tc>
          <w:tcPr>
            <w:tcW w:w="1052" w:type="dxa"/>
            <w:tcBorders>
              <w:top w:val="single" w:sz="4" w:space="0" w:color="auto"/>
            </w:tcBorders>
            <w:noWrap/>
            <w:vAlign w:val="center"/>
            <w:hideMark/>
          </w:tcPr>
          <w:p w14:paraId="2C540E92" w14:textId="77777777" w:rsidR="00D97F06" w:rsidRPr="00D97F06" w:rsidRDefault="00D97F06" w:rsidP="00D97F06">
            <w:pPr>
              <w:spacing w:line="240" w:lineRule="auto"/>
              <w:jc w:val="center"/>
              <w:rPr>
                <w:color w:val="auto"/>
                <w:szCs w:val="24"/>
                <w:lang w:val="ru-RU" w:eastAsia="ru-RU"/>
              </w:rPr>
            </w:pPr>
            <w:r w:rsidRPr="00D97F06">
              <w:rPr>
                <w:color w:val="auto"/>
                <w:szCs w:val="24"/>
                <w:lang w:eastAsia="ru-RU"/>
              </w:rPr>
              <w:t>36,3</w:t>
            </w:r>
            <w:r w:rsidRPr="00D97F06">
              <w:rPr>
                <w:color w:val="auto"/>
                <w:szCs w:val="24"/>
                <w:lang w:val="ru-RU" w:eastAsia="ru-RU"/>
              </w:rPr>
              <w:t>0</w:t>
            </w:r>
          </w:p>
        </w:tc>
        <w:tc>
          <w:tcPr>
            <w:tcW w:w="1052" w:type="dxa"/>
            <w:tcBorders>
              <w:top w:val="single" w:sz="4" w:space="0" w:color="auto"/>
            </w:tcBorders>
            <w:noWrap/>
            <w:vAlign w:val="center"/>
            <w:hideMark/>
          </w:tcPr>
          <w:p w14:paraId="2FBFC258" w14:textId="77777777" w:rsidR="00D97F06" w:rsidRPr="00D97F06" w:rsidRDefault="00D97F06" w:rsidP="00D97F06">
            <w:pPr>
              <w:spacing w:line="240" w:lineRule="auto"/>
              <w:jc w:val="center"/>
              <w:rPr>
                <w:color w:val="auto"/>
                <w:szCs w:val="24"/>
                <w:lang w:val="ru-RU" w:eastAsia="ru-RU"/>
              </w:rPr>
            </w:pPr>
            <w:r w:rsidRPr="00D97F06">
              <w:rPr>
                <w:color w:val="auto"/>
                <w:szCs w:val="24"/>
                <w:lang w:eastAsia="ru-RU"/>
              </w:rPr>
              <w:t>16,</w:t>
            </w:r>
            <w:r w:rsidRPr="00D97F06">
              <w:rPr>
                <w:color w:val="auto"/>
                <w:szCs w:val="24"/>
                <w:lang w:val="ru-RU" w:eastAsia="ru-RU"/>
              </w:rPr>
              <w:t>30</w:t>
            </w:r>
          </w:p>
        </w:tc>
      </w:tr>
      <w:tr w:rsidR="00D97F06" w:rsidRPr="00D97F06" w14:paraId="71A6F64F" w14:textId="77777777" w:rsidTr="00C0219D">
        <w:trPr>
          <w:cantSplit/>
          <w:trHeight w:val="340"/>
        </w:trPr>
        <w:tc>
          <w:tcPr>
            <w:tcW w:w="797" w:type="dxa"/>
            <w:vMerge/>
            <w:vAlign w:val="center"/>
          </w:tcPr>
          <w:p w14:paraId="1C286BBF" w14:textId="77777777" w:rsidR="00D97F06" w:rsidRPr="00D97F06" w:rsidRDefault="00D97F06" w:rsidP="00D97F06">
            <w:pPr>
              <w:spacing w:line="240" w:lineRule="auto"/>
              <w:jc w:val="center"/>
              <w:rPr>
                <w:b/>
                <w:color w:val="auto"/>
                <w:szCs w:val="24"/>
                <w:lang w:eastAsia="ru-RU"/>
              </w:rPr>
            </w:pPr>
          </w:p>
        </w:tc>
        <w:tc>
          <w:tcPr>
            <w:tcW w:w="1105" w:type="dxa"/>
            <w:noWrap/>
            <w:vAlign w:val="center"/>
            <w:hideMark/>
          </w:tcPr>
          <w:p w14:paraId="55BA50A8" w14:textId="77777777" w:rsidR="00D97F06" w:rsidRPr="00D97F06" w:rsidRDefault="00D97F06" w:rsidP="00D97F06">
            <w:pPr>
              <w:spacing w:line="240" w:lineRule="auto"/>
              <w:jc w:val="center"/>
              <w:rPr>
                <w:b/>
                <w:color w:val="auto"/>
                <w:szCs w:val="24"/>
                <w:lang w:eastAsia="ru-RU"/>
              </w:rPr>
            </w:pPr>
            <w:r w:rsidRPr="00D97F06">
              <w:rPr>
                <w:b/>
                <w:color w:val="auto"/>
                <w:szCs w:val="24"/>
                <w:lang w:eastAsia="ru-RU"/>
              </w:rPr>
              <w:t>SD(cin)</w:t>
            </w:r>
          </w:p>
        </w:tc>
        <w:tc>
          <w:tcPr>
            <w:tcW w:w="1052" w:type="dxa"/>
            <w:noWrap/>
            <w:vAlign w:val="center"/>
            <w:hideMark/>
          </w:tcPr>
          <w:p w14:paraId="67B527CD" w14:textId="77777777" w:rsidR="00D97F06" w:rsidRPr="00D97F06" w:rsidRDefault="00D97F06" w:rsidP="00D97F06">
            <w:pPr>
              <w:spacing w:line="240" w:lineRule="auto"/>
              <w:jc w:val="center"/>
              <w:rPr>
                <w:color w:val="auto"/>
                <w:szCs w:val="24"/>
                <w:lang w:val="ru-RU" w:eastAsia="ru-RU"/>
              </w:rPr>
            </w:pPr>
            <w:r w:rsidRPr="00D97F06">
              <w:rPr>
                <w:color w:val="auto"/>
                <w:szCs w:val="24"/>
                <w:lang w:eastAsia="ru-RU"/>
              </w:rPr>
              <w:t>2,</w:t>
            </w:r>
            <w:r w:rsidRPr="00D97F06">
              <w:rPr>
                <w:color w:val="auto"/>
                <w:szCs w:val="24"/>
                <w:lang w:val="ru-RU" w:eastAsia="ru-RU"/>
              </w:rPr>
              <w:t>94</w:t>
            </w:r>
          </w:p>
        </w:tc>
        <w:tc>
          <w:tcPr>
            <w:tcW w:w="1052" w:type="dxa"/>
            <w:noWrap/>
            <w:vAlign w:val="center"/>
            <w:hideMark/>
          </w:tcPr>
          <w:p w14:paraId="2BC4DD75" w14:textId="77777777" w:rsidR="00D97F06" w:rsidRPr="00D97F06" w:rsidRDefault="00D97F06" w:rsidP="00D97F06">
            <w:pPr>
              <w:spacing w:line="240" w:lineRule="auto"/>
              <w:jc w:val="center"/>
              <w:rPr>
                <w:color w:val="auto"/>
                <w:szCs w:val="24"/>
                <w:lang w:eastAsia="ru-RU"/>
              </w:rPr>
            </w:pPr>
            <w:r w:rsidRPr="00D97F06">
              <w:rPr>
                <w:color w:val="auto"/>
                <w:szCs w:val="24"/>
                <w:lang w:val="ru-RU" w:eastAsia="ru-RU"/>
              </w:rPr>
              <w:t>5</w:t>
            </w:r>
            <w:r w:rsidRPr="00D97F06">
              <w:rPr>
                <w:color w:val="auto"/>
                <w:szCs w:val="24"/>
                <w:lang w:eastAsia="ru-RU"/>
              </w:rPr>
              <w:t>,56</w:t>
            </w:r>
          </w:p>
        </w:tc>
        <w:tc>
          <w:tcPr>
            <w:tcW w:w="1052" w:type="dxa"/>
            <w:noWrap/>
            <w:vAlign w:val="center"/>
            <w:hideMark/>
          </w:tcPr>
          <w:p w14:paraId="3A70A041" w14:textId="77777777" w:rsidR="00D97F06" w:rsidRPr="00D97F06" w:rsidRDefault="00D97F06" w:rsidP="00D97F06">
            <w:pPr>
              <w:spacing w:line="240" w:lineRule="auto"/>
              <w:jc w:val="center"/>
              <w:rPr>
                <w:color w:val="auto"/>
                <w:szCs w:val="24"/>
                <w:lang w:val="ru-RU" w:eastAsia="ru-RU"/>
              </w:rPr>
            </w:pPr>
            <w:r w:rsidRPr="00D97F06">
              <w:rPr>
                <w:color w:val="auto"/>
                <w:szCs w:val="24"/>
                <w:lang w:val="ru-RU" w:eastAsia="ru-RU"/>
              </w:rPr>
              <w:t>2</w:t>
            </w:r>
            <w:r w:rsidRPr="00D97F06">
              <w:rPr>
                <w:color w:val="auto"/>
                <w:szCs w:val="24"/>
                <w:lang w:eastAsia="ru-RU"/>
              </w:rPr>
              <w:t>,</w:t>
            </w:r>
            <w:r w:rsidRPr="00D97F06">
              <w:rPr>
                <w:color w:val="auto"/>
                <w:szCs w:val="24"/>
                <w:lang w:val="ru-RU" w:eastAsia="ru-RU"/>
              </w:rPr>
              <w:t>04</w:t>
            </w:r>
          </w:p>
        </w:tc>
        <w:tc>
          <w:tcPr>
            <w:tcW w:w="1052" w:type="dxa"/>
            <w:noWrap/>
            <w:vAlign w:val="center"/>
            <w:hideMark/>
          </w:tcPr>
          <w:p w14:paraId="0DC0B3C9" w14:textId="77777777" w:rsidR="00D97F06" w:rsidRPr="00D97F06" w:rsidRDefault="00D97F06" w:rsidP="00D97F06">
            <w:pPr>
              <w:spacing w:line="240" w:lineRule="auto"/>
              <w:jc w:val="center"/>
              <w:rPr>
                <w:color w:val="auto"/>
                <w:szCs w:val="24"/>
                <w:lang w:val="ru-RU" w:eastAsia="ru-RU"/>
              </w:rPr>
            </w:pPr>
            <w:r w:rsidRPr="00D97F06">
              <w:rPr>
                <w:color w:val="auto"/>
                <w:szCs w:val="24"/>
                <w:lang w:eastAsia="ru-RU"/>
              </w:rPr>
              <w:t>3,</w:t>
            </w:r>
            <w:r w:rsidRPr="00D97F06">
              <w:rPr>
                <w:color w:val="auto"/>
                <w:szCs w:val="24"/>
                <w:lang w:val="ru-RU" w:eastAsia="ru-RU"/>
              </w:rPr>
              <w:t>40</w:t>
            </w:r>
          </w:p>
        </w:tc>
        <w:tc>
          <w:tcPr>
            <w:tcW w:w="1052" w:type="dxa"/>
            <w:noWrap/>
            <w:vAlign w:val="center"/>
            <w:hideMark/>
          </w:tcPr>
          <w:p w14:paraId="34BDD527" w14:textId="77777777" w:rsidR="00D97F06" w:rsidRPr="00D97F06" w:rsidRDefault="00D97F06" w:rsidP="00D97F06">
            <w:pPr>
              <w:spacing w:line="240" w:lineRule="auto"/>
              <w:jc w:val="center"/>
              <w:rPr>
                <w:color w:val="auto"/>
                <w:szCs w:val="24"/>
                <w:lang w:val="ru-RU" w:eastAsia="ru-RU"/>
              </w:rPr>
            </w:pPr>
            <w:r w:rsidRPr="00D97F06">
              <w:rPr>
                <w:color w:val="auto"/>
                <w:szCs w:val="24"/>
                <w:lang w:eastAsia="ru-RU"/>
              </w:rPr>
              <w:t>3,9</w:t>
            </w:r>
            <w:r w:rsidRPr="00D97F06">
              <w:rPr>
                <w:color w:val="auto"/>
                <w:szCs w:val="24"/>
                <w:lang w:val="ru-RU" w:eastAsia="ru-RU"/>
              </w:rPr>
              <w:t>0</w:t>
            </w:r>
          </w:p>
        </w:tc>
      </w:tr>
      <w:tr w:rsidR="00D97F06" w:rsidRPr="00D97F06" w14:paraId="41F25C45" w14:textId="77777777" w:rsidTr="00C0219D">
        <w:trPr>
          <w:cantSplit/>
          <w:trHeight w:val="340"/>
        </w:trPr>
        <w:tc>
          <w:tcPr>
            <w:tcW w:w="797" w:type="dxa"/>
            <w:vMerge/>
            <w:tcBorders>
              <w:bottom w:val="single" w:sz="4" w:space="0" w:color="auto"/>
            </w:tcBorders>
            <w:vAlign w:val="center"/>
          </w:tcPr>
          <w:p w14:paraId="2D4416EF" w14:textId="77777777" w:rsidR="00D97F06" w:rsidRPr="00D97F06" w:rsidRDefault="00D97F06" w:rsidP="00D97F06">
            <w:pPr>
              <w:spacing w:line="240" w:lineRule="auto"/>
              <w:jc w:val="center"/>
              <w:rPr>
                <w:b/>
                <w:color w:val="auto"/>
                <w:szCs w:val="24"/>
                <w:lang w:eastAsia="ru-RU"/>
              </w:rPr>
            </w:pPr>
          </w:p>
        </w:tc>
        <w:tc>
          <w:tcPr>
            <w:tcW w:w="1105" w:type="dxa"/>
            <w:tcBorders>
              <w:bottom w:val="single" w:sz="4" w:space="0" w:color="auto"/>
            </w:tcBorders>
            <w:noWrap/>
            <w:vAlign w:val="center"/>
            <w:hideMark/>
          </w:tcPr>
          <w:p w14:paraId="28308766" w14:textId="77777777" w:rsidR="00D97F06" w:rsidRPr="00D97F06" w:rsidRDefault="00D97F06" w:rsidP="00D97F06">
            <w:pPr>
              <w:spacing w:line="240" w:lineRule="auto"/>
              <w:jc w:val="center"/>
              <w:rPr>
                <w:b/>
                <w:color w:val="auto"/>
                <w:szCs w:val="24"/>
                <w:lang w:eastAsia="ru-RU"/>
              </w:rPr>
            </w:pPr>
            <w:r w:rsidRPr="00D97F06">
              <w:rPr>
                <w:b/>
                <w:color w:val="auto"/>
                <w:szCs w:val="24"/>
                <w:lang w:eastAsia="ru-RU"/>
              </w:rPr>
              <w:t>SE(cin)</w:t>
            </w:r>
          </w:p>
        </w:tc>
        <w:tc>
          <w:tcPr>
            <w:tcW w:w="1052" w:type="dxa"/>
            <w:tcBorders>
              <w:bottom w:val="single" w:sz="4" w:space="0" w:color="auto"/>
            </w:tcBorders>
            <w:noWrap/>
            <w:vAlign w:val="center"/>
            <w:hideMark/>
          </w:tcPr>
          <w:p w14:paraId="68C70CD9" w14:textId="77777777" w:rsidR="00D97F06" w:rsidRPr="00D97F06" w:rsidRDefault="00D97F06" w:rsidP="00D97F06">
            <w:pPr>
              <w:spacing w:line="240" w:lineRule="auto"/>
              <w:jc w:val="center"/>
              <w:rPr>
                <w:color w:val="auto"/>
                <w:szCs w:val="24"/>
                <w:lang w:val="ru-RU" w:eastAsia="ru-RU"/>
              </w:rPr>
            </w:pPr>
            <w:r w:rsidRPr="00D97F06">
              <w:rPr>
                <w:color w:val="auto"/>
                <w:szCs w:val="24"/>
                <w:lang w:eastAsia="ru-RU"/>
              </w:rPr>
              <w:t>1,</w:t>
            </w:r>
            <w:r w:rsidRPr="00D97F06">
              <w:rPr>
                <w:color w:val="auto"/>
                <w:szCs w:val="24"/>
                <w:lang w:val="ru-RU" w:eastAsia="ru-RU"/>
              </w:rPr>
              <w:t>70</w:t>
            </w:r>
          </w:p>
        </w:tc>
        <w:tc>
          <w:tcPr>
            <w:tcW w:w="1052" w:type="dxa"/>
            <w:tcBorders>
              <w:bottom w:val="single" w:sz="4" w:space="0" w:color="auto"/>
            </w:tcBorders>
            <w:noWrap/>
            <w:vAlign w:val="center"/>
            <w:hideMark/>
          </w:tcPr>
          <w:p w14:paraId="3744D4E6" w14:textId="77777777" w:rsidR="00D97F06" w:rsidRPr="00D97F06" w:rsidRDefault="00D97F06" w:rsidP="00D97F06">
            <w:pPr>
              <w:spacing w:line="240" w:lineRule="auto"/>
              <w:jc w:val="center"/>
              <w:rPr>
                <w:color w:val="auto"/>
                <w:szCs w:val="24"/>
                <w:lang w:val="ru-RU" w:eastAsia="ru-RU"/>
              </w:rPr>
            </w:pPr>
            <w:r w:rsidRPr="00D97F06">
              <w:rPr>
                <w:color w:val="auto"/>
                <w:szCs w:val="24"/>
                <w:lang w:val="ru-RU" w:eastAsia="ru-RU"/>
              </w:rPr>
              <w:t>3</w:t>
            </w:r>
            <w:r w:rsidRPr="00D97F06">
              <w:rPr>
                <w:color w:val="auto"/>
                <w:szCs w:val="24"/>
                <w:lang w:eastAsia="ru-RU"/>
              </w:rPr>
              <w:t>,</w:t>
            </w:r>
            <w:r w:rsidRPr="00D97F06">
              <w:rPr>
                <w:color w:val="auto"/>
                <w:szCs w:val="24"/>
                <w:lang w:val="ru-RU" w:eastAsia="ru-RU"/>
              </w:rPr>
              <w:t>21</w:t>
            </w:r>
          </w:p>
        </w:tc>
        <w:tc>
          <w:tcPr>
            <w:tcW w:w="1052" w:type="dxa"/>
            <w:tcBorders>
              <w:bottom w:val="single" w:sz="4" w:space="0" w:color="auto"/>
            </w:tcBorders>
            <w:noWrap/>
            <w:vAlign w:val="center"/>
            <w:hideMark/>
          </w:tcPr>
          <w:p w14:paraId="66A83CE4" w14:textId="77777777" w:rsidR="00D97F06" w:rsidRPr="00D97F06" w:rsidRDefault="00D97F06" w:rsidP="00D97F06">
            <w:pPr>
              <w:spacing w:line="240" w:lineRule="auto"/>
              <w:jc w:val="center"/>
              <w:rPr>
                <w:color w:val="auto"/>
                <w:szCs w:val="24"/>
                <w:lang w:val="ru-RU" w:eastAsia="ru-RU"/>
              </w:rPr>
            </w:pPr>
            <w:r w:rsidRPr="00D97F06">
              <w:rPr>
                <w:color w:val="auto"/>
                <w:szCs w:val="24"/>
                <w:lang w:val="ru-RU" w:eastAsia="ru-RU"/>
              </w:rPr>
              <w:t>1</w:t>
            </w:r>
            <w:r w:rsidRPr="00D97F06">
              <w:rPr>
                <w:color w:val="auto"/>
                <w:szCs w:val="24"/>
                <w:lang w:eastAsia="ru-RU"/>
              </w:rPr>
              <w:t>,</w:t>
            </w:r>
            <w:r w:rsidRPr="00D97F06">
              <w:rPr>
                <w:color w:val="auto"/>
                <w:szCs w:val="24"/>
                <w:lang w:val="ru-RU" w:eastAsia="ru-RU"/>
              </w:rPr>
              <w:t>18</w:t>
            </w:r>
          </w:p>
        </w:tc>
        <w:tc>
          <w:tcPr>
            <w:tcW w:w="1052" w:type="dxa"/>
            <w:tcBorders>
              <w:bottom w:val="single" w:sz="4" w:space="0" w:color="auto"/>
            </w:tcBorders>
            <w:noWrap/>
            <w:vAlign w:val="center"/>
            <w:hideMark/>
          </w:tcPr>
          <w:p w14:paraId="5F34DFA7" w14:textId="77777777" w:rsidR="00D97F06" w:rsidRPr="00D97F06" w:rsidRDefault="00D97F06" w:rsidP="00D97F06">
            <w:pPr>
              <w:spacing w:line="240" w:lineRule="auto"/>
              <w:jc w:val="center"/>
              <w:rPr>
                <w:color w:val="auto"/>
                <w:szCs w:val="24"/>
                <w:lang w:val="ru-RU" w:eastAsia="ru-RU"/>
              </w:rPr>
            </w:pPr>
            <w:r w:rsidRPr="00D97F06">
              <w:rPr>
                <w:color w:val="auto"/>
                <w:szCs w:val="24"/>
                <w:lang w:val="ru-RU" w:eastAsia="ru-RU"/>
              </w:rPr>
              <w:t>1</w:t>
            </w:r>
            <w:r w:rsidRPr="00D97F06">
              <w:rPr>
                <w:color w:val="auto"/>
                <w:szCs w:val="24"/>
                <w:lang w:eastAsia="ru-RU"/>
              </w:rPr>
              <w:t>,</w:t>
            </w:r>
            <w:r w:rsidRPr="00D97F06">
              <w:rPr>
                <w:color w:val="auto"/>
                <w:szCs w:val="24"/>
                <w:lang w:val="ru-RU" w:eastAsia="ru-RU"/>
              </w:rPr>
              <w:t>96</w:t>
            </w:r>
          </w:p>
        </w:tc>
        <w:tc>
          <w:tcPr>
            <w:tcW w:w="1052" w:type="dxa"/>
            <w:tcBorders>
              <w:bottom w:val="single" w:sz="4" w:space="0" w:color="auto"/>
            </w:tcBorders>
            <w:noWrap/>
            <w:vAlign w:val="center"/>
            <w:hideMark/>
          </w:tcPr>
          <w:p w14:paraId="0A74E7EE" w14:textId="77777777" w:rsidR="00D97F06" w:rsidRPr="00D97F06" w:rsidRDefault="00D97F06" w:rsidP="00D97F06">
            <w:pPr>
              <w:spacing w:line="240" w:lineRule="auto"/>
              <w:jc w:val="center"/>
              <w:rPr>
                <w:color w:val="auto"/>
                <w:szCs w:val="24"/>
                <w:lang w:eastAsia="ru-RU"/>
              </w:rPr>
            </w:pPr>
            <w:r w:rsidRPr="00D97F06">
              <w:rPr>
                <w:color w:val="auto"/>
                <w:szCs w:val="24"/>
                <w:lang w:eastAsia="ru-RU"/>
              </w:rPr>
              <w:t>2,26</w:t>
            </w:r>
          </w:p>
        </w:tc>
      </w:tr>
      <w:tr w:rsidR="00C0219D" w:rsidRPr="00D97F06" w14:paraId="369377D6" w14:textId="77777777" w:rsidTr="00C0219D">
        <w:trPr>
          <w:trHeight w:val="300"/>
        </w:trPr>
        <w:tc>
          <w:tcPr>
            <w:tcW w:w="797" w:type="dxa"/>
            <w:tcBorders>
              <w:top w:val="single" w:sz="4" w:space="0" w:color="auto"/>
              <w:bottom w:val="single" w:sz="4" w:space="0" w:color="auto"/>
            </w:tcBorders>
            <w:vAlign w:val="center"/>
          </w:tcPr>
          <w:p w14:paraId="09CA8F7F" w14:textId="77777777" w:rsidR="00D97F06" w:rsidRPr="00D97F06" w:rsidRDefault="00D97F06" w:rsidP="00D97F06">
            <w:pPr>
              <w:spacing w:line="240" w:lineRule="auto"/>
              <w:jc w:val="center"/>
              <w:rPr>
                <w:b/>
                <w:color w:val="auto"/>
                <w:szCs w:val="24"/>
                <w:lang w:eastAsia="ru-RU"/>
              </w:rPr>
            </w:pPr>
          </w:p>
        </w:tc>
        <w:tc>
          <w:tcPr>
            <w:tcW w:w="1105" w:type="dxa"/>
            <w:tcBorders>
              <w:top w:val="single" w:sz="4" w:space="0" w:color="auto"/>
              <w:bottom w:val="single" w:sz="4" w:space="0" w:color="auto"/>
            </w:tcBorders>
            <w:noWrap/>
            <w:vAlign w:val="center"/>
          </w:tcPr>
          <w:p w14:paraId="3AEFB91A" w14:textId="77777777" w:rsidR="00D97F06" w:rsidRPr="00D97F06" w:rsidRDefault="00D97F06" w:rsidP="00D97F06">
            <w:pPr>
              <w:spacing w:line="240" w:lineRule="auto"/>
              <w:jc w:val="center"/>
              <w:rPr>
                <w:b/>
                <w:color w:val="auto"/>
                <w:szCs w:val="24"/>
                <w:lang w:eastAsia="ru-RU"/>
              </w:rPr>
            </w:pPr>
          </w:p>
        </w:tc>
        <w:tc>
          <w:tcPr>
            <w:tcW w:w="5260" w:type="dxa"/>
            <w:gridSpan w:val="5"/>
            <w:tcBorders>
              <w:top w:val="single" w:sz="4" w:space="0" w:color="auto"/>
              <w:bottom w:val="single" w:sz="4" w:space="0" w:color="auto"/>
            </w:tcBorders>
            <w:vAlign w:val="center"/>
          </w:tcPr>
          <w:p w14:paraId="199CFC9B" w14:textId="77777777" w:rsidR="00D97F06" w:rsidRPr="00D97F06" w:rsidRDefault="00D97F06" w:rsidP="00D97F06">
            <w:pPr>
              <w:spacing w:line="240" w:lineRule="auto"/>
              <w:jc w:val="center"/>
              <w:rPr>
                <w:b/>
                <w:color w:val="auto"/>
                <w:szCs w:val="24"/>
                <w:lang w:eastAsia="ru-RU"/>
              </w:rPr>
            </w:pPr>
            <w:r w:rsidRPr="00D97F06">
              <w:rPr>
                <w:b/>
                <w:color w:val="auto"/>
                <w:szCs w:val="24"/>
                <w:lang w:eastAsia="ru-RU"/>
              </w:rPr>
              <w:t>Percentage of infected grape berries (</w:t>
            </w:r>
            <w:r w:rsidRPr="00D97F06">
              <w:rPr>
                <w:b/>
                <w:color w:val="auto"/>
                <w:szCs w:val="24"/>
              </w:rPr>
              <w:t xml:space="preserve">PIBpat), </w:t>
            </w:r>
            <w:r w:rsidRPr="00D97F06">
              <w:rPr>
                <w:b/>
                <w:color w:val="auto"/>
                <w:szCs w:val="24"/>
                <w:lang w:eastAsia="ru-RU"/>
              </w:rPr>
              <w:t>PIBA</w:t>
            </w:r>
          </w:p>
        </w:tc>
      </w:tr>
      <w:tr w:rsidR="00D97F06" w:rsidRPr="00D97F06" w14:paraId="63FD9D17" w14:textId="77777777" w:rsidTr="00C0219D">
        <w:trPr>
          <w:trHeight w:val="300"/>
        </w:trPr>
        <w:tc>
          <w:tcPr>
            <w:tcW w:w="797" w:type="dxa"/>
            <w:vMerge w:val="restart"/>
            <w:tcBorders>
              <w:top w:val="single" w:sz="4" w:space="0" w:color="auto"/>
            </w:tcBorders>
            <w:textDirection w:val="btLr"/>
            <w:vAlign w:val="center"/>
          </w:tcPr>
          <w:p w14:paraId="5269290E" w14:textId="77777777" w:rsidR="00D97F06" w:rsidRPr="00D97F06" w:rsidRDefault="00D97F06" w:rsidP="00D97F06">
            <w:pPr>
              <w:spacing w:line="240" w:lineRule="auto"/>
              <w:jc w:val="center"/>
              <w:rPr>
                <w:b/>
                <w:i/>
                <w:color w:val="auto"/>
                <w:szCs w:val="24"/>
                <w:lang w:eastAsia="ru-RU"/>
              </w:rPr>
            </w:pPr>
            <w:r w:rsidRPr="00D97F06">
              <w:rPr>
                <w:b/>
                <w:i/>
                <w:color w:val="auto"/>
                <w:szCs w:val="24"/>
                <w:lang w:eastAsia="ru-RU"/>
              </w:rPr>
              <w:t>A.niger</w:t>
            </w:r>
          </w:p>
        </w:tc>
        <w:tc>
          <w:tcPr>
            <w:tcW w:w="1105" w:type="dxa"/>
            <w:tcBorders>
              <w:top w:val="single" w:sz="4" w:space="0" w:color="auto"/>
            </w:tcBorders>
            <w:noWrap/>
            <w:vAlign w:val="center"/>
            <w:hideMark/>
          </w:tcPr>
          <w:p w14:paraId="2758CF89" w14:textId="77777777" w:rsidR="00D97F06" w:rsidRPr="00D97F06" w:rsidRDefault="00D97F06" w:rsidP="00D97F06">
            <w:pPr>
              <w:spacing w:line="240" w:lineRule="auto"/>
              <w:jc w:val="center"/>
              <w:rPr>
                <w:b/>
                <w:color w:val="auto"/>
                <w:szCs w:val="24"/>
                <w:vertAlign w:val="subscript"/>
                <w:lang w:eastAsia="ru-RU"/>
              </w:rPr>
            </w:pPr>
            <w:r w:rsidRPr="00D97F06">
              <w:rPr>
                <w:b/>
                <w:color w:val="auto"/>
                <w:szCs w:val="24"/>
                <w:lang w:eastAsia="ru-RU"/>
              </w:rPr>
              <w:t>Mean(nig)</w:t>
            </w:r>
          </w:p>
        </w:tc>
        <w:tc>
          <w:tcPr>
            <w:tcW w:w="1052" w:type="dxa"/>
            <w:tcBorders>
              <w:top w:val="single" w:sz="4" w:space="0" w:color="auto"/>
            </w:tcBorders>
            <w:noWrap/>
            <w:vAlign w:val="center"/>
            <w:hideMark/>
          </w:tcPr>
          <w:p w14:paraId="151E7F42" w14:textId="77777777" w:rsidR="00D97F06" w:rsidRPr="00D97F06" w:rsidRDefault="00D97F06" w:rsidP="00D97F06">
            <w:pPr>
              <w:spacing w:line="240" w:lineRule="auto"/>
              <w:jc w:val="center"/>
              <w:rPr>
                <w:color w:val="auto"/>
                <w:szCs w:val="24"/>
                <w:lang w:eastAsia="ru-RU"/>
              </w:rPr>
            </w:pPr>
            <w:r w:rsidRPr="00D97F06">
              <w:rPr>
                <w:color w:val="auto"/>
                <w:szCs w:val="24"/>
                <w:lang w:eastAsia="ru-RU"/>
              </w:rPr>
              <w:t>16,</w:t>
            </w:r>
            <w:r w:rsidRPr="00D97F06">
              <w:rPr>
                <w:color w:val="auto"/>
                <w:szCs w:val="24"/>
                <w:lang w:val="ru-RU" w:eastAsia="ru-RU"/>
              </w:rPr>
              <w:t>3</w:t>
            </w:r>
            <w:r w:rsidRPr="00D97F06">
              <w:rPr>
                <w:color w:val="auto"/>
                <w:szCs w:val="24"/>
                <w:lang w:eastAsia="ru-RU"/>
              </w:rPr>
              <w:t>0</w:t>
            </w:r>
          </w:p>
        </w:tc>
        <w:tc>
          <w:tcPr>
            <w:tcW w:w="1052" w:type="dxa"/>
            <w:tcBorders>
              <w:top w:val="single" w:sz="4" w:space="0" w:color="auto"/>
            </w:tcBorders>
            <w:noWrap/>
            <w:vAlign w:val="center"/>
            <w:hideMark/>
          </w:tcPr>
          <w:p w14:paraId="4E04BB33" w14:textId="77777777" w:rsidR="00D97F06" w:rsidRPr="00D97F06" w:rsidRDefault="00D97F06" w:rsidP="00D97F06">
            <w:pPr>
              <w:spacing w:line="240" w:lineRule="auto"/>
              <w:jc w:val="center"/>
              <w:rPr>
                <w:color w:val="auto"/>
                <w:szCs w:val="24"/>
                <w:lang w:val="ru-RU" w:eastAsia="ru-RU"/>
              </w:rPr>
            </w:pPr>
            <w:r w:rsidRPr="00D97F06">
              <w:rPr>
                <w:color w:val="auto"/>
                <w:szCs w:val="24"/>
                <w:lang w:eastAsia="ru-RU"/>
              </w:rPr>
              <w:t>23,</w:t>
            </w:r>
            <w:r w:rsidRPr="00D97F06">
              <w:rPr>
                <w:color w:val="auto"/>
                <w:szCs w:val="24"/>
                <w:lang w:val="ru-RU" w:eastAsia="ru-RU"/>
              </w:rPr>
              <w:t>70</w:t>
            </w:r>
          </w:p>
        </w:tc>
        <w:tc>
          <w:tcPr>
            <w:tcW w:w="1052" w:type="dxa"/>
            <w:tcBorders>
              <w:top w:val="single" w:sz="4" w:space="0" w:color="auto"/>
            </w:tcBorders>
            <w:noWrap/>
            <w:vAlign w:val="center"/>
            <w:hideMark/>
          </w:tcPr>
          <w:p w14:paraId="268E8485" w14:textId="77777777" w:rsidR="00D97F06" w:rsidRPr="00D97F06" w:rsidRDefault="00D97F06" w:rsidP="00D97F06">
            <w:pPr>
              <w:spacing w:line="240" w:lineRule="auto"/>
              <w:jc w:val="center"/>
              <w:rPr>
                <w:color w:val="auto"/>
                <w:szCs w:val="24"/>
                <w:lang w:val="ru-RU" w:eastAsia="ru-RU"/>
              </w:rPr>
            </w:pPr>
            <w:r w:rsidRPr="00D97F06">
              <w:rPr>
                <w:color w:val="auto"/>
                <w:szCs w:val="24"/>
                <w:lang w:eastAsia="ru-RU"/>
              </w:rPr>
              <w:t>30,</w:t>
            </w:r>
            <w:r w:rsidRPr="00D97F06">
              <w:rPr>
                <w:color w:val="auto"/>
                <w:szCs w:val="24"/>
                <w:lang w:val="ru-RU" w:eastAsia="ru-RU"/>
              </w:rPr>
              <w:t>00</w:t>
            </w:r>
          </w:p>
        </w:tc>
        <w:tc>
          <w:tcPr>
            <w:tcW w:w="1052" w:type="dxa"/>
            <w:tcBorders>
              <w:top w:val="single" w:sz="4" w:space="0" w:color="auto"/>
            </w:tcBorders>
            <w:noWrap/>
            <w:vAlign w:val="center"/>
            <w:hideMark/>
          </w:tcPr>
          <w:p w14:paraId="447EB8DC" w14:textId="77777777" w:rsidR="00D97F06" w:rsidRPr="00D97F06" w:rsidRDefault="00D97F06" w:rsidP="00D97F06">
            <w:pPr>
              <w:spacing w:line="240" w:lineRule="auto"/>
              <w:jc w:val="center"/>
              <w:rPr>
                <w:color w:val="auto"/>
                <w:szCs w:val="24"/>
                <w:lang w:val="ru-RU" w:eastAsia="ru-RU"/>
              </w:rPr>
            </w:pPr>
            <w:r w:rsidRPr="00D97F06">
              <w:rPr>
                <w:color w:val="auto"/>
                <w:szCs w:val="24"/>
                <w:lang w:eastAsia="ru-RU"/>
              </w:rPr>
              <w:t>35,</w:t>
            </w:r>
            <w:r w:rsidRPr="00D97F06">
              <w:rPr>
                <w:color w:val="auto"/>
                <w:szCs w:val="24"/>
                <w:lang w:val="ru-RU" w:eastAsia="ru-RU"/>
              </w:rPr>
              <w:t>56</w:t>
            </w:r>
          </w:p>
        </w:tc>
        <w:tc>
          <w:tcPr>
            <w:tcW w:w="1052" w:type="dxa"/>
            <w:tcBorders>
              <w:top w:val="single" w:sz="4" w:space="0" w:color="auto"/>
            </w:tcBorders>
            <w:noWrap/>
            <w:vAlign w:val="center"/>
            <w:hideMark/>
          </w:tcPr>
          <w:p w14:paraId="4C86A1E5" w14:textId="77777777" w:rsidR="00D97F06" w:rsidRPr="00D97F06" w:rsidRDefault="00D97F06" w:rsidP="00D97F06">
            <w:pPr>
              <w:spacing w:line="240" w:lineRule="auto"/>
              <w:jc w:val="center"/>
              <w:rPr>
                <w:color w:val="auto"/>
                <w:szCs w:val="24"/>
                <w:lang w:val="ru-RU" w:eastAsia="ru-RU"/>
              </w:rPr>
            </w:pPr>
            <w:r w:rsidRPr="00D97F06">
              <w:rPr>
                <w:color w:val="auto"/>
                <w:szCs w:val="24"/>
                <w:lang w:eastAsia="ru-RU"/>
              </w:rPr>
              <w:t>16,</w:t>
            </w:r>
            <w:r w:rsidRPr="00D97F06">
              <w:rPr>
                <w:color w:val="auto"/>
                <w:szCs w:val="24"/>
                <w:lang w:val="ru-RU" w:eastAsia="ru-RU"/>
              </w:rPr>
              <w:t>67</w:t>
            </w:r>
          </w:p>
        </w:tc>
      </w:tr>
      <w:tr w:rsidR="00D97F06" w:rsidRPr="00D97F06" w14:paraId="5771732D" w14:textId="77777777" w:rsidTr="00C0219D">
        <w:trPr>
          <w:trHeight w:val="300"/>
        </w:trPr>
        <w:tc>
          <w:tcPr>
            <w:tcW w:w="797" w:type="dxa"/>
            <w:vMerge/>
            <w:vAlign w:val="center"/>
          </w:tcPr>
          <w:p w14:paraId="13805F76" w14:textId="77777777" w:rsidR="00D97F06" w:rsidRPr="00D97F06" w:rsidRDefault="00D97F06" w:rsidP="00D97F06">
            <w:pPr>
              <w:spacing w:line="240" w:lineRule="auto"/>
              <w:jc w:val="center"/>
              <w:rPr>
                <w:b/>
                <w:color w:val="auto"/>
                <w:szCs w:val="24"/>
                <w:lang w:eastAsia="ru-RU"/>
              </w:rPr>
            </w:pPr>
          </w:p>
        </w:tc>
        <w:tc>
          <w:tcPr>
            <w:tcW w:w="1105" w:type="dxa"/>
            <w:noWrap/>
            <w:vAlign w:val="center"/>
            <w:hideMark/>
          </w:tcPr>
          <w:p w14:paraId="3EDAFF1E" w14:textId="77777777" w:rsidR="00D97F06" w:rsidRPr="00D97F06" w:rsidRDefault="00D97F06" w:rsidP="00D97F06">
            <w:pPr>
              <w:spacing w:line="240" w:lineRule="auto"/>
              <w:jc w:val="center"/>
              <w:rPr>
                <w:b/>
                <w:color w:val="auto"/>
                <w:szCs w:val="24"/>
                <w:lang w:eastAsia="ru-RU"/>
              </w:rPr>
            </w:pPr>
            <w:r w:rsidRPr="00D97F06">
              <w:rPr>
                <w:b/>
                <w:color w:val="auto"/>
                <w:szCs w:val="24"/>
                <w:lang w:eastAsia="ru-RU"/>
              </w:rPr>
              <w:t>SD(nig)</w:t>
            </w:r>
          </w:p>
        </w:tc>
        <w:tc>
          <w:tcPr>
            <w:tcW w:w="1052" w:type="dxa"/>
            <w:noWrap/>
            <w:vAlign w:val="center"/>
            <w:hideMark/>
          </w:tcPr>
          <w:p w14:paraId="727A0626" w14:textId="77777777" w:rsidR="00D97F06" w:rsidRPr="00D97F06" w:rsidRDefault="00D97F06" w:rsidP="00D97F06">
            <w:pPr>
              <w:spacing w:line="240" w:lineRule="auto"/>
              <w:jc w:val="center"/>
              <w:rPr>
                <w:color w:val="auto"/>
                <w:szCs w:val="24"/>
                <w:lang w:val="ru-RU" w:eastAsia="ru-RU"/>
              </w:rPr>
            </w:pPr>
            <w:r w:rsidRPr="00D97F06">
              <w:rPr>
                <w:color w:val="auto"/>
                <w:szCs w:val="24"/>
                <w:lang w:eastAsia="ru-RU"/>
              </w:rPr>
              <w:t>3,</w:t>
            </w:r>
            <w:r w:rsidRPr="00D97F06">
              <w:rPr>
                <w:color w:val="auto"/>
                <w:szCs w:val="24"/>
                <w:lang w:val="ru-RU" w:eastAsia="ru-RU"/>
              </w:rPr>
              <w:t>57</w:t>
            </w:r>
          </w:p>
        </w:tc>
        <w:tc>
          <w:tcPr>
            <w:tcW w:w="1052" w:type="dxa"/>
            <w:noWrap/>
            <w:vAlign w:val="center"/>
            <w:hideMark/>
          </w:tcPr>
          <w:p w14:paraId="4E4AE15B" w14:textId="77777777" w:rsidR="00D97F06" w:rsidRPr="00D97F06" w:rsidRDefault="00D97F06" w:rsidP="00D97F06">
            <w:pPr>
              <w:spacing w:line="240" w:lineRule="auto"/>
              <w:jc w:val="center"/>
              <w:rPr>
                <w:color w:val="auto"/>
                <w:szCs w:val="24"/>
                <w:lang w:val="ru-RU" w:eastAsia="ru-RU"/>
              </w:rPr>
            </w:pPr>
            <w:r w:rsidRPr="00D97F06">
              <w:rPr>
                <w:color w:val="auto"/>
                <w:szCs w:val="24"/>
                <w:lang w:eastAsia="ru-RU"/>
              </w:rPr>
              <w:t>3,</w:t>
            </w:r>
            <w:r w:rsidRPr="00D97F06">
              <w:rPr>
                <w:color w:val="auto"/>
                <w:szCs w:val="24"/>
                <w:lang w:val="ru-RU" w:eastAsia="ru-RU"/>
              </w:rPr>
              <w:t>40</w:t>
            </w:r>
          </w:p>
        </w:tc>
        <w:tc>
          <w:tcPr>
            <w:tcW w:w="1052" w:type="dxa"/>
            <w:noWrap/>
            <w:vAlign w:val="center"/>
            <w:hideMark/>
          </w:tcPr>
          <w:p w14:paraId="29B43C26" w14:textId="77777777" w:rsidR="00D97F06" w:rsidRPr="00D97F06" w:rsidRDefault="00D97F06" w:rsidP="00D97F06">
            <w:pPr>
              <w:spacing w:line="240" w:lineRule="auto"/>
              <w:jc w:val="center"/>
              <w:rPr>
                <w:color w:val="auto"/>
                <w:szCs w:val="24"/>
                <w:lang w:val="ru-RU" w:eastAsia="ru-RU"/>
              </w:rPr>
            </w:pPr>
            <w:r w:rsidRPr="00D97F06">
              <w:rPr>
                <w:color w:val="auto"/>
                <w:szCs w:val="24"/>
                <w:lang w:eastAsia="ru-RU"/>
              </w:rPr>
              <w:t>2,</w:t>
            </w:r>
            <w:r w:rsidRPr="00D97F06">
              <w:rPr>
                <w:color w:val="auto"/>
                <w:szCs w:val="24"/>
                <w:lang w:val="ru-RU" w:eastAsia="ru-RU"/>
              </w:rPr>
              <w:t>22</w:t>
            </w:r>
          </w:p>
        </w:tc>
        <w:tc>
          <w:tcPr>
            <w:tcW w:w="1052" w:type="dxa"/>
            <w:noWrap/>
            <w:vAlign w:val="center"/>
            <w:hideMark/>
          </w:tcPr>
          <w:p w14:paraId="02743A5A" w14:textId="77777777" w:rsidR="00D97F06" w:rsidRPr="00D97F06" w:rsidRDefault="00D97F06" w:rsidP="00D97F06">
            <w:pPr>
              <w:spacing w:line="240" w:lineRule="auto"/>
              <w:jc w:val="center"/>
              <w:rPr>
                <w:color w:val="auto"/>
                <w:szCs w:val="24"/>
                <w:lang w:val="ru-RU" w:eastAsia="ru-RU"/>
              </w:rPr>
            </w:pPr>
            <w:r w:rsidRPr="00D97F06">
              <w:rPr>
                <w:color w:val="auto"/>
                <w:szCs w:val="24"/>
                <w:lang w:val="ru-RU" w:eastAsia="ru-RU"/>
              </w:rPr>
              <w:t>2</w:t>
            </w:r>
            <w:r w:rsidRPr="00D97F06">
              <w:rPr>
                <w:color w:val="auto"/>
                <w:szCs w:val="24"/>
                <w:lang w:eastAsia="ru-RU"/>
              </w:rPr>
              <w:t>,</w:t>
            </w:r>
            <w:r w:rsidRPr="00D97F06">
              <w:rPr>
                <w:color w:val="auto"/>
                <w:szCs w:val="24"/>
                <w:lang w:val="ru-RU" w:eastAsia="ru-RU"/>
              </w:rPr>
              <w:t>94</w:t>
            </w:r>
          </w:p>
        </w:tc>
        <w:tc>
          <w:tcPr>
            <w:tcW w:w="1052" w:type="dxa"/>
            <w:noWrap/>
            <w:vAlign w:val="center"/>
            <w:hideMark/>
          </w:tcPr>
          <w:p w14:paraId="3FEF392E" w14:textId="77777777" w:rsidR="00D97F06" w:rsidRPr="00D97F06" w:rsidRDefault="00D97F06" w:rsidP="00D97F06">
            <w:pPr>
              <w:spacing w:line="240" w:lineRule="auto"/>
              <w:jc w:val="center"/>
              <w:rPr>
                <w:color w:val="auto"/>
                <w:szCs w:val="24"/>
                <w:lang w:val="ru-RU" w:eastAsia="ru-RU"/>
              </w:rPr>
            </w:pPr>
            <w:r w:rsidRPr="00D97F06">
              <w:rPr>
                <w:color w:val="auto"/>
                <w:szCs w:val="24"/>
                <w:lang w:eastAsia="ru-RU"/>
              </w:rPr>
              <w:t>2,</w:t>
            </w:r>
            <w:r w:rsidRPr="00D97F06">
              <w:rPr>
                <w:color w:val="auto"/>
                <w:szCs w:val="24"/>
                <w:lang w:val="ru-RU" w:eastAsia="ru-RU"/>
              </w:rPr>
              <w:t>23</w:t>
            </w:r>
          </w:p>
        </w:tc>
      </w:tr>
      <w:tr w:rsidR="00D97F06" w:rsidRPr="00D97F06" w14:paraId="6EE46181" w14:textId="77777777" w:rsidTr="00C0219D">
        <w:trPr>
          <w:trHeight w:val="300"/>
        </w:trPr>
        <w:tc>
          <w:tcPr>
            <w:tcW w:w="797" w:type="dxa"/>
            <w:vMerge/>
            <w:tcBorders>
              <w:bottom w:val="single" w:sz="4" w:space="0" w:color="auto"/>
            </w:tcBorders>
            <w:vAlign w:val="center"/>
          </w:tcPr>
          <w:p w14:paraId="365C718C" w14:textId="77777777" w:rsidR="00D97F06" w:rsidRPr="00D97F06" w:rsidRDefault="00D97F06" w:rsidP="00D97F06">
            <w:pPr>
              <w:spacing w:line="240" w:lineRule="auto"/>
              <w:jc w:val="center"/>
              <w:rPr>
                <w:b/>
                <w:color w:val="auto"/>
                <w:szCs w:val="24"/>
                <w:lang w:eastAsia="ru-RU"/>
              </w:rPr>
            </w:pPr>
          </w:p>
        </w:tc>
        <w:tc>
          <w:tcPr>
            <w:tcW w:w="1105" w:type="dxa"/>
            <w:tcBorders>
              <w:bottom w:val="single" w:sz="4" w:space="0" w:color="auto"/>
            </w:tcBorders>
            <w:noWrap/>
            <w:vAlign w:val="center"/>
            <w:hideMark/>
          </w:tcPr>
          <w:p w14:paraId="137CC66D" w14:textId="77777777" w:rsidR="00D97F06" w:rsidRPr="00D97F06" w:rsidRDefault="00D97F06" w:rsidP="00D97F06">
            <w:pPr>
              <w:spacing w:line="240" w:lineRule="auto"/>
              <w:jc w:val="center"/>
              <w:rPr>
                <w:b/>
                <w:color w:val="auto"/>
                <w:szCs w:val="24"/>
                <w:lang w:eastAsia="ru-RU"/>
              </w:rPr>
            </w:pPr>
            <w:r w:rsidRPr="00D97F06">
              <w:rPr>
                <w:b/>
                <w:color w:val="auto"/>
                <w:szCs w:val="24"/>
                <w:lang w:eastAsia="ru-RU"/>
              </w:rPr>
              <w:t>SE(nig)</w:t>
            </w:r>
          </w:p>
        </w:tc>
        <w:tc>
          <w:tcPr>
            <w:tcW w:w="1052" w:type="dxa"/>
            <w:tcBorders>
              <w:bottom w:val="single" w:sz="4" w:space="0" w:color="auto"/>
            </w:tcBorders>
            <w:noWrap/>
            <w:vAlign w:val="center"/>
          </w:tcPr>
          <w:p w14:paraId="34D510C6" w14:textId="77777777" w:rsidR="00D97F06" w:rsidRPr="00D97F06" w:rsidRDefault="00D97F06" w:rsidP="00D97F06">
            <w:pPr>
              <w:spacing w:line="240" w:lineRule="auto"/>
              <w:jc w:val="center"/>
              <w:rPr>
                <w:color w:val="auto"/>
                <w:szCs w:val="24"/>
                <w:lang w:val="ru-RU" w:eastAsia="ru-RU"/>
              </w:rPr>
            </w:pPr>
            <w:r w:rsidRPr="00D97F06">
              <w:rPr>
                <w:color w:val="auto"/>
                <w:szCs w:val="24"/>
                <w:lang w:val="ru-RU" w:eastAsia="ru-RU"/>
              </w:rPr>
              <w:t>2,07</w:t>
            </w:r>
          </w:p>
        </w:tc>
        <w:tc>
          <w:tcPr>
            <w:tcW w:w="1052" w:type="dxa"/>
            <w:tcBorders>
              <w:bottom w:val="single" w:sz="4" w:space="0" w:color="auto"/>
            </w:tcBorders>
            <w:noWrap/>
            <w:vAlign w:val="center"/>
          </w:tcPr>
          <w:p w14:paraId="6CF15937" w14:textId="77777777" w:rsidR="00D97F06" w:rsidRPr="00D97F06" w:rsidRDefault="00D97F06" w:rsidP="00D97F06">
            <w:pPr>
              <w:spacing w:line="240" w:lineRule="auto"/>
              <w:jc w:val="center"/>
              <w:rPr>
                <w:color w:val="auto"/>
                <w:szCs w:val="24"/>
                <w:lang w:val="ru-RU" w:eastAsia="ru-RU"/>
              </w:rPr>
            </w:pPr>
            <w:r w:rsidRPr="00D97F06">
              <w:rPr>
                <w:color w:val="auto"/>
                <w:szCs w:val="24"/>
                <w:lang w:val="ru-RU" w:eastAsia="ru-RU"/>
              </w:rPr>
              <w:t>1</w:t>
            </w:r>
            <w:r w:rsidRPr="00D97F06">
              <w:rPr>
                <w:color w:val="auto"/>
                <w:szCs w:val="24"/>
                <w:lang w:eastAsia="ru-RU"/>
              </w:rPr>
              <w:t>,</w:t>
            </w:r>
            <w:r w:rsidRPr="00D97F06">
              <w:rPr>
                <w:color w:val="auto"/>
                <w:szCs w:val="24"/>
                <w:lang w:val="ru-RU" w:eastAsia="ru-RU"/>
              </w:rPr>
              <w:t>96</w:t>
            </w:r>
          </w:p>
        </w:tc>
        <w:tc>
          <w:tcPr>
            <w:tcW w:w="1052" w:type="dxa"/>
            <w:tcBorders>
              <w:bottom w:val="single" w:sz="4" w:space="0" w:color="auto"/>
            </w:tcBorders>
            <w:noWrap/>
            <w:vAlign w:val="center"/>
          </w:tcPr>
          <w:p w14:paraId="01F8724B" w14:textId="77777777" w:rsidR="00D97F06" w:rsidRPr="00D97F06" w:rsidRDefault="00D97F06" w:rsidP="00D97F06">
            <w:pPr>
              <w:spacing w:line="240" w:lineRule="auto"/>
              <w:jc w:val="center"/>
              <w:rPr>
                <w:color w:val="auto"/>
                <w:szCs w:val="24"/>
                <w:lang w:val="ru-RU" w:eastAsia="ru-RU"/>
              </w:rPr>
            </w:pPr>
            <w:r w:rsidRPr="00D97F06">
              <w:rPr>
                <w:color w:val="auto"/>
                <w:szCs w:val="24"/>
                <w:lang w:eastAsia="ru-RU"/>
              </w:rPr>
              <w:t>1,</w:t>
            </w:r>
            <w:r w:rsidRPr="00D97F06">
              <w:rPr>
                <w:color w:val="auto"/>
                <w:szCs w:val="24"/>
                <w:lang w:val="ru-RU" w:eastAsia="ru-RU"/>
              </w:rPr>
              <w:t>28</w:t>
            </w:r>
          </w:p>
        </w:tc>
        <w:tc>
          <w:tcPr>
            <w:tcW w:w="1052" w:type="dxa"/>
            <w:tcBorders>
              <w:bottom w:val="single" w:sz="4" w:space="0" w:color="auto"/>
            </w:tcBorders>
            <w:noWrap/>
            <w:vAlign w:val="center"/>
          </w:tcPr>
          <w:p w14:paraId="33455C85" w14:textId="77777777" w:rsidR="00D97F06" w:rsidRPr="00D97F06" w:rsidRDefault="00D97F06" w:rsidP="00D97F06">
            <w:pPr>
              <w:spacing w:line="240" w:lineRule="auto"/>
              <w:jc w:val="center"/>
              <w:rPr>
                <w:color w:val="auto"/>
                <w:szCs w:val="24"/>
                <w:lang w:val="ru-RU" w:eastAsia="ru-RU"/>
              </w:rPr>
            </w:pPr>
            <w:r w:rsidRPr="00D97F06">
              <w:rPr>
                <w:color w:val="auto"/>
                <w:szCs w:val="24"/>
                <w:lang w:eastAsia="ru-RU"/>
              </w:rPr>
              <w:t>1,</w:t>
            </w:r>
            <w:r w:rsidRPr="00D97F06">
              <w:rPr>
                <w:color w:val="auto"/>
                <w:szCs w:val="24"/>
                <w:lang w:val="ru-RU" w:eastAsia="ru-RU"/>
              </w:rPr>
              <w:t>70</w:t>
            </w:r>
          </w:p>
        </w:tc>
        <w:tc>
          <w:tcPr>
            <w:tcW w:w="1052" w:type="dxa"/>
            <w:tcBorders>
              <w:bottom w:val="single" w:sz="4" w:space="0" w:color="auto"/>
            </w:tcBorders>
            <w:noWrap/>
            <w:vAlign w:val="center"/>
            <w:hideMark/>
          </w:tcPr>
          <w:p w14:paraId="06FB39C8" w14:textId="77777777" w:rsidR="00D97F06" w:rsidRPr="00D97F06" w:rsidRDefault="00D97F06" w:rsidP="00D97F06">
            <w:pPr>
              <w:spacing w:line="240" w:lineRule="auto"/>
              <w:jc w:val="center"/>
              <w:rPr>
                <w:color w:val="auto"/>
                <w:szCs w:val="24"/>
                <w:lang w:val="ru-RU" w:eastAsia="ru-RU"/>
              </w:rPr>
            </w:pPr>
            <w:r w:rsidRPr="00D97F06">
              <w:rPr>
                <w:color w:val="auto"/>
                <w:szCs w:val="24"/>
                <w:lang w:eastAsia="ru-RU"/>
              </w:rPr>
              <w:t>1,</w:t>
            </w:r>
            <w:r w:rsidRPr="00D97F06">
              <w:rPr>
                <w:color w:val="auto"/>
                <w:szCs w:val="24"/>
                <w:lang w:val="ru-RU" w:eastAsia="ru-RU"/>
              </w:rPr>
              <w:t>29</w:t>
            </w:r>
          </w:p>
        </w:tc>
      </w:tr>
      <w:tr w:rsidR="00D97F06" w:rsidRPr="00D97F06" w14:paraId="2F5A522F" w14:textId="77777777" w:rsidTr="00C0219D">
        <w:trPr>
          <w:trHeight w:val="300"/>
        </w:trPr>
        <w:tc>
          <w:tcPr>
            <w:tcW w:w="1902" w:type="dxa"/>
            <w:gridSpan w:val="2"/>
            <w:tcBorders>
              <w:top w:val="single" w:sz="4" w:space="0" w:color="auto"/>
            </w:tcBorders>
            <w:vAlign w:val="center"/>
          </w:tcPr>
          <w:p w14:paraId="4A7D8660" w14:textId="77777777" w:rsidR="00D97F06" w:rsidRPr="00D97F06" w:rsidRDefault="00D97F06" w:rsidP="00D97F06">
            <w:pPr>
              <w:spacing w:line="240" w:lineRule="auto"/>
              <w:jc w:val="center"/>
              <w:rPr>
                <w:b/>
                <w:color w:val="auto"/>
                <w:szCs w:val="24"/>
                <w:lang w:eastAsia="ru-RU"/>
              </w:rPr>
            </w:pPr>
            <w:r w:rsidRPr="00D97F06">
              <w:rPr>
                <w:b/>
                <w:color w:val="auto"/>
                <w:szCs w:val="24"/>
                <w:lang w:eastAsia="ru-RU"/>
              </w:rPr>
              <w:t>Gap (cin/nig)</w:t>
            </w:r>
          </w:p>
        </w:tc>
        <w:tc>
          <w:tcPr>
            <w:tcW w:w="1052" w:type="dxa"/>
            <w:tcBorders>
              <w:top w:val="single" w:sz="4" w:space="0" w:color="auto"/>
            </w:tcBorders>
            <w:noWrap/>
            <w:vAlign w:val="center"/>
          </w:tcPr>
          <w:p w14:paraId="4C98FC19" w14:textId="77777777" w:rsidR="00D97F06" w:rsidRPr="00D97F06" w:rsidRDefault="00D97F06" w:rsidP="00D97F06">
            <w:pPr>
              <w:spacing w:line="240" w:lineRule="auto"/>
              <w:jc w:val="center"/>
              <w:rPr>
                <w:b/>
                <w:bCs/>
                <w:color w:val="auto"/>
                <w:szCs w:val="24"/>
              </w:rPr>
            </w:pPr>
            <w:r w:rsidRPr="00D97F06">
              <w:rPr>
                <w:b/>
                <w:bCs/>
                <w:color w:val="auto"/>
                <w:szCs w:val="24"/>
              </w:rPr>
              <w:t>-0,4265</w:t>
            </w:r>
            <w:r w:rsidRPr="00D97F06">
              <w:rPr>
                <w:b/>
                <w:bCs/>
                <w:color w:val="auto"/>
                <w:szCs w:val="24"/>
                <w:vertAlign w:val="superscript"/>
              </w:rPr>
              <w:t>Nd</w:t>
            </w:r>
          </w:p>
        </w:tc>
        <w:tc>
          <w:tcPr>
            <w:tcW w:w="1052" w:type="dxa"/>
            <w:tcBorders>
              <w:top w:val="single" w:sz="4" w:space="0" w:color="auto"/>
            </w:tcBorders>
            <w:noWrap/>
            <w:vAlign w:val="center"/>
          </w:tcPr>
          <w:p w14:paraId="240C2227" w14:textId="77777777" w:rsidR="00D97F06" w:rsidRPr="00D97F06" w:rsidRDefault="00D97F06" w:rsidP="00D97F06">
            <w:pPr>
              <w:spacing w:line="240" w:lineRule="auto"/>
              <w:jc w:val="center"/>
              <w:rPr>
                <w:b/>
                <w:bCs/>
                <w:color w:val="auto"/>
                <w:szCs w:val="24"/>
              </w:rPr>
            </w:pPr>
            <w:r w:rsidRPr="00D97F06">
              <w:rPr>
                <w:b/>
                <w:bCs/>
                <w:color w:val="auto"/>
                <w:szCs w:val="24"/>
              </w:rPr>
              <w:t>-2,7152</w:t>
            </w:r>
          </w:p>
        </w:tc>
        <w:tc>
          <w:tcPr>
            <w:tcW w:w="1052" w:type="dxa"/>
            <w:tcBorders>
              <w:top w:val="single" w:sz="4" w:space="0" w:color="auto"/>
            </w:tcBorders>
            <w:noWrap/>
            <w:vAlign w:val="center"/>
          </w:tcPr>
          <w:p w14:paraId="0086E832" w14:textId="77777777" w:rsidR="00D97F06" w:rsidRPr="00D97F06" w:rsidRDefault="00D97F06" w:rsidP="00D97F06">
            <w:pPr>
              <w:spacing w:line="240" w:lineRule="auto"/>
              <w:jc w:val="center"/>
              <w:rPr>
                <w:b/>
                <w:bCs/>
                <w:color w:val="auto"/>
                <w:szCs w:val="24"/>
              </w:rPr>
            </w:pPr>
            <w:r w:rsidRPr="00D97F06">
              <w:rPr>
                <w:b/>
                <w:bCs/>
                <w:color w:val="auto"/>
                <w:szCs w:val="24"/>
              </w:rPr>
              <w:t>-5,7089</w:t>
            </w:r>
          </w:p>
        </w:tc>
        <w:tc>
          <w:tcPr>
            <w:tcW w:w="1052" w:type="dxa"/>
            <w:tcBorders>
              <w:top w:val="single" w:sz="4" w:space="0" w:color="auto"/>
            </w:tcBorders>
            <w:noWrap/>
            <w:vAlign w:val="center"/>
          </w:tcPr>
          <w:p w14:paraId="52867837" w14:textId="77777777" w:rsidR="00D97F06" w:rsidRPr="00D97F06" w:rsidRDefault="00D97F06" w:rsidP="00D97F06">
            <w:pPr>
              <w:spacing w:line="240" w:lineRule="auto"/>
              <w:jc w:val="center"/>
              <w:rPr>
                <w:b/>
                <w:bCs/>
                <w:color w:val="auto"/>
                <w:szCs w:val="24"/>
              </w:rPr>
            </w:pPr>
            <w:r w:rsidRPr="00D97F06">
              <w:rPr>
                <w:b/>
                <w:bCs/>
                <w:color w:val="auto"/>
                <w:szCs w:val="24"/>
              </w:rPr>
              <w:t>-2,404</w:t>
            </w:r>
          </w:p>
        </w:tc>
        <w:tc>
          <w:tcPr>
            <w:tcW w:w="1052" w:type="dxa"/>
            <w:tcBorders>
              <w:top w:val="single" w:sz="4" w:space="0" w:color="auto"/>
            </w:tcBorders>
            <w:noWrap/>
            <w:vAlign w:val="center"/>
          </w:tcPr>
          <w:p w14:paraId="0BBEBCB6" w14:textId="77777777" w:rsidR="00D97F06" w:rsidRPr="00D97F06" w:rsidRDefault="00D97F06" w:rsidP="00D97F06">
            <w:pPr>
              <w:spacing w:line="240" w:lineRule="auto"/>
              <w:jc w:val="center"/>
              <w:rPr>
                <w:b/>
                <w:bCs/>
                <w:color w:val="auto"/>
                <w:szCs w:val="24"/>
              </w:rPr>
            </w:pPr>
            <w:r w:rsidRPr="00D97F06">
              <w:rPr>
                <w:b/>
                <w:bCs/>
                <w:color w:val="auto"/>
                <w:szCs w:val="24"/>
              </w:rPr>
              <w:t>-1,7911</w:t>
            </w:r>
          </w:p>
        </w:tc>
      </w:tr>
      <w:tr w:rsidR="00D97F06" w:rsidRPr="00D97F06" w14:paraId="6C61AFD8" w14:textId="77777777" w:rsidTr="00C0219D">
        <w:trPr>
          <w:trHeight w:val="300"/>
        </w:trPr>
        <w:tc>
          <w:tcPr>
            <w:tcW w:w="1902" w:type="dxa"/>
            <w:gridSpan w:val="2"/>
            <w:tcBorders>
              <w:bottom w:val="single" w:sz="4" w:space="0" w:color="auto"/>
            </w:tcBorders>
            <w:vAlign w:val="center"/>
          </w:tcPr>
          <w:p w14:paraId="370F942A" w14:textId="77777777" w:rsidR="00D97F06" w:rsidRPr="00D97F06" w:rsidRDefault="00D97F06" w:rsidP="00D97F06">
            <w:pPr>
              <w:spacing w:line="240" w:lineRule="auto"/>
              <w:jc w:val="center"/>
              <w:rPr>
                <w:b/>
                <w:color w:val="auto"/>
                <w:szCs w:val="24"/>
                <w:lang w:eastAsia="ru-RU"/>
              </w:rPr>
            </w:pPr>
            <w:r w:rsidRPr="00D97F06">
              <w:rPr>
                <w:b/>
                <w:color w:val="auto"/>
                <w:szCs w:val="24"/>
                <w:lang w:eastAsia="ru-RU"/>
              </w:rPr>
              <w:t>Gap (nig/cin)</w:t>
            </w:r>
          </w:p>
        </w:tc>
        <w:tc>
          <w:tcPr>
            <w:tcW w:w="1052" w:type="dxa"/>
            <w:tcBorders>
              <w:bottom w:val="single" w:sz="4" w:space="0" w:color="auto"/>
            </w:tcBorders>
            <w:noWrap/>
            <w:vAlign w:val="center"/>
          </w:tcPr>
          <w:p w14:paraId="6BB3E6D9" w14:textId="77777777" w:rsidR="00D97F06" w:rsidRPr="00D97F06" w:rsidRDefault="00D97F06" w:rsidP="00D97F06">
            <w:pPr>
              <w:spacing w:line="240" w:lineRule="auto"/>
              <w:jc w:val="center"/>
              <w:rPr>
                <w:b/>
                <w:bCs/>
                <w:color w:val="auto"/>
                <w:szCs w:val="24"/>
              </w:rPr>
            </w:pPr>
            <w:r w:rsidRPr="00D97F06">
              <w:rPr>
                <w:b/>
                <w:bCs/>
                <w:color w:val="auto"/>
                <w:szCs w:val="24"/>
              </w:rPr>
              <w:t>-3,5735</w:t>
            </w:r>
          </w:p>
        </w:tc>
        <w:tc>
          <w:tcPr>
            <w:tcW w:w="1052" w:type="dxa"/>
            <w:tcBorders>
              <w:bottom w:val="single" w:sz="4" w:space="0" w:color="auto"/>
            </w:tcBorders>
            <w:noWrap/>
            <w:vAlign w:val="center"/>
          </w:tcPr>
          <w:p w14:paraId="6FABF9A2" w14:textId="77777777" w:rsidR="00D97F06" w:rsidRPr="00D97F06" w:rsidRDefault="00D97F06" w:rsidP="00D97F06">
            <w:pPr>
              <w:spacing w:line="240" w:lineRule="auto"/>
              <w:jc w:val="center"/>
              <w:rPr>
                <w:b/>
                <w:bCs/>
                <w:color w:val="auto"/>
                <w:szCs w:val="24"/>
              </w:rPr>
            </w:pPr>
            <w:r w:rsidRPr="00D97F06">
              <w:rPr>
                <w:b/>
                <w:bCs/>
                <w:color w:val="auto"/>
                <w:szCs w:val="24"/>
              </w:rPr>
              <w:t>-1,2848</w:t>
            </w:r>
          </w:p>
        </w:tc>
        <w:tc>
          <w:tcPr>
            <w:tcW w:w="1052" w:type="dxa"/>
            <w:tcBorders>
              <w:bottom w:val="single" w:sz="4" w:space="0" w:color="auto"/>
            </w:tcBorders>
            <w:noWrap/>
            <w:vAlign w:val="center"/>
          </w:tcPr>
          <w:p w14:paraId="33949DC9" w14:textId="77777777" w:rsidR="00D97F06" w:rsidRPr="00D97F06" w:rsidRDefault="00D97F06" w:rsidP="00D97F06">
            <w:pPr>
              <w:spacing w:line="240" w:lineRule="auto"/>
              <w:jc w:val="center"/>
              <w:rPr>
                <w:b/>
                <w:bCs/>
                <w:color w:val="auto"/>
                <w:szCs w:val="24"/>
              </w:rPr>
            </w:pPr>
            <w:r w:rsidRPr="00D97F06">
              <w:rPr>
                <w:b/>
                <w:bCs/>
                <w:color w:val="auto"/>
                <w:szCs w:val="24"/>
              </w:rPr>
              <w:t>1,70888</w:t>
            </w:r>
          </w:p>
        </w:tc>
        <w:tc>
          <w:tcPr>
            <w:tcW w:w="1052" w:type="dxa"/>
            <w:tcBorders>
              <w:bottom w:val="single" w:sz="4" w:space="0" w:color="auto"/>
            </w:tcBorders>
            <w:noWrap/>
            <w:vAlign w:val="center"/>
          </w:tcPr>
          <w:p w14:paraId="6775EB14" w14:textId="77777777" w:rsidR="00D97F06" w:rsidRPr="00D97F06" w:rsidRDefault="00D97F06" w:rsidP="00D97F06">
            <w:pPr>
              <w:spacing w:line="240" w:lineRule="auto"/>
              <w:jc w:val="center"/>
              <w:rPr>
                <w:b/>
                <w:bCs/>
                <w:color w:val="auto"/>
                <w:szCs w:val="24"/>
              </w:rPr>
            </w:pPr>
            <w:r w:rsidRPr="00D97F06">
              <w:rPr>
                <w:b/>
                <w:bCs/>
                <w:color w:val="auto"/>
                <w:szCs w:val="24"/>
              </w:rPr>
              <w:t>-1,596</w:t>
            </w:r>
          </w:p>
        </w:tc>
        <w:tc>
          <w:tcPr>
            <w:tcW w:w="1052" w:type="dxa"/>
            <w:tcBorders>
              <w:bottom w:val="single" w:sz="4" w:space="0" w:color="auto"/>
            </w:tcBorders>
            <w:noWrap/>
            <w:vAlign w:val="center"/>
          </w:tcPr>
          <w:p w14:paraId="31C84DE9" w14:textId="77777777" w:rsidR="00D97F06" w:rsidRPr="00D97F06" w:rsidRDefault="00D97F06" w:rsidP="00D97F06">
            <w:pPr>
              <w:spacing w:line="240" w:lineRule="auto"/>
              <w:jc w:val="center"/>
              <w:rPr>
                <w:b/>
                <w:bCs/>
                <w:color w:val="auto"/>
                <w:szCs w:val="24"/>
              </w:rPr>
            </w:pPr>
            <w:r w:rsidRPr="00D97F06">
              <w:rPr>
                <w:b/>
                <w:bCs/>
                <w:color w:val="auto"/>
                <w:szCs w:val="24"/>
              </w:rPr>
              <w:t>-2,2089</w:t>
            </w:r>
          </w:p>
        </w:tc>
      </w:tr>
      <w:tr w:rsidR="00D97F06" w:rsidRPr="00D97F06" w14:paraId="4686A7B8" w14:textId="77777777" w:rsidTr="00C0219D">
        <w:trPr>
          <w:trHeight w:val="300"/>
        </w:trPr>
        <w:tc>
          <w:tcPr>
            <w:tcW w:w="797" w:type="dxa"/>
            <w:tcBorders>
              <w:top w:val="single" w:sz="4" w:space="0" w:color="auto"/>
              <w:bottom w:val="single" w:sz="4" w:space="0" w:color="auto"/>
            </w:tcBorders>
            <w:vAlign w:val="center"/>
          </w:tcPr>
          <w:p w14:paraId="7AA3E741" w14:textId="77777777" w:rsidR="00D97F06" w:rsidRPr="00D97F06" w:rsidRDefault="00D97F06" w:rsidP="00D97F06">
            <w:pPr>
              <w:spacing w:line="240" w:lineRule="auto"/>
              <w:jc w:val="center"/>
              <w:rPr>
                <w:b/>
                <w:color w:val="auto"/>
                <w:szCs w:val="24"/>
                <w:lang w:eastAsia="ru-RU"/>
              </w:rPr>
            </w:pPr>
          </w:p>
        </w:tc>
        <w:tc>
          <w:tcPr>
            <w:tcW w:w="1105" w:type="dxa"/>
            <w:tcBorders>
              <w:top w:val="single" w:sz="4" w:space="0" w:color="auto"/>
              <w:bottom w:val="single" w:sz="4" w:space="0" w:color="auto"/>
            </w:tcBorders>
            <w:noWrap/>
            <w:vAlign w:val="center"/>
          </w:tcPr>
          <w:p w14:paraId="7CEB9721" w14:textId="77777777" w:rsidR="00D97F06" w:rsidRPr="00D97F06" w:rsidRDefault="00D97F06" w:rsidP="00D97F06">
            <w:pPr>
              <w:spacing w:line="240" w:lineRule="auto"/>
              <w:jc w:val="center"/>
              <w:rPr>
                <w:b/>
                <w:color w:val="auto"/>
                <w:szCs w:val="24"/>
                <w:lang w:eastAsia="ru-RU"/>
              </w:rPr>
            </w:pPr>
          </w:p>
        </w:tc>
        <w:tc>
          <w:tcPr>
            <w:tcW w:w="5260" w:type="dxa"/>
            <w:gridSpan w:val="5"/>
            <w:tcBorders>
              <w:top w:val="single" w:sz="4" w:space="0" w:color="auto"/>
              <w:bottom w:val="single" w:sz="4" w:space="0" w:color="auto"/>
            </w:tcBorders>
            <w:vAlign w:val="center"/>
          </w:tcPr>
          <w:p w14:paraId="7511CA31" w14:textId="77777777" w:rsidR="00D97F06" w:rsidRPr="00D97F06" w:rsidRDefault="00D97F06" w:rsidP="00D97F06">
            <w:pPr>
              <w:spacing w:line="240" w:lineRule="auto"/>
              <w:jc w:val="center"/>
              <w:rPr>
                <w:b/>
                <w:color w:val="auto"/>
                <w:szCs w:val="24"/>
                <w:lang w:eastAsia="ru-RU"/>
              </w:rPr>
            </w:pPr>
            <w:r w:rsidRPr="00D97F06">
              <w:rPr>
                <w:b/>
                <w:color w:val="auto"/>
                <w:szCs w:val="24"/>
                <w:lang w:eastAsia="ru-RU"/>
              </w:rPr>
              <w:t>Percentage of infected grape berries,(</w:t>
            </w:r>
            <w:r w:rsidRPr="00D97F06">
              <w:rPr>
                <w:b/>
                <w:color w:val="auto"/>
                <w:szCs w:val="24"/>
              </w:rPr>
              <w:t>PIBpat), PIBR</w:t>
            </w:r>
          </w:p>
        </w:tc>
      </w:tr>
      <w:tr w:rsidR="00D97F06" w:rsidRPr="00D97F06" w14:paraId="3FDAA759" w14:textId="77777777" w:rsidTr="00C0219D">
        <w:trPr>
          <w:cantSplit/>
          <w:trHeight w:val="397"/>
        </w:trPr>
        <w:tc>
          <w:tcPr>
            <w:tcW w:w="797" w:type="dxa"/>
            <w:vMerge w:val="restart"/>
            <w:tcBorders>
              <w:top w:val="single" w:sz="4" w:space="0" w:color="auto"/>
              <w:bottom w:val="single" w:sz="4" w:space="0" w:color="auto"/>
            </w:tcBorders>
            <w:textDirection w:val="btLr"/>
            <w:vAlign w:val="center"/>
          </w:tcPr>
          <w:p w14:paraId="36DD29AB" w14:textId="77777777" w:rsidR="00D97F06" w:rsidRPr="00D97F06" w:rsidRDefault="00D97F06" w:rsidP="00D97F06">
            <w:pPr>
              <w:spacing w:line="240" w:lineRule="auto"/>
              <w:jc w:val="center"/>
              <w:rPr>
                <w:b/>
                <w:i/>
                <w:color w:val="auto"/>
                <w:szCs w:val="24"/>
                <w:lang w:eastAsia="ru-RU"/>
              </w:rPr>
            </w:pPr>
            <w:r w:rsidRPr="00D97F06">
              <w:rPr>
                <w:b/>
                <w:i/>
                <w:color w:val="auto"/>
                <w:szCs w:val="24"/>
                <w:lang w:eastAsia="ru-RU"/>
              </w:rPr>
              <w:t>R.stolonifer</w:t>
            </w:r>
          </w:p>
        </w:tc>
        <w:tc>
          <w:tcPr>
            <w:tcW w:w="1105" w:type="dxa"/>
            <w:tcBorders>
              <w:top w:val="single" w:sz="4" w:space="0" w:color="auto"/>
            </w:tcBorders>
            <w:noWrap/>
            <w:vAlign w:val="center"/>
            <w:hideMark/>
          </w:tcPr>
          <w:p w14:paraId="5D944735" w14:textId="77777777" w:rsidR="00D97F06" w:rsidRPr="00D97F06" w:rsidRDefault="00D97F06" w:rsidP="00D97F06">
            <w:pPr>
              <w:spacing w:line="240" w:lineRule="auto"/>
              <w:jc w:val="center"/>
              <w:rPr>
                <w:b/>
                <w:color w:val="auto"/>
                <w:szCs w:val="24"/>
                <w:vertAlign w:val="subscript"/>
                <w:lang w:eastAsia="ru-RU"/>
              </w:rPr>
            </w:pPr>
            <w:r w:rsidRPr="00D97F06">
              <w:rPr>
                <w:b/>
                <w:color w:val="auto"/>
                <w:szCs w:val="24"/>
                <w:lang w:eastAsia="ru-RU"/>
              </w:rPr>
              <w:t>Mean(st)</w:t>
            </w:r>
          </w:p>
        </w:tc>
        <w:tc>
          <w:tcPr>
            <w:tcW w:w="1052" w:type="dxa"/>
            <w:tcBorders>
              <w:top w:val="single" w:sz="4" w:space="0" w:color="auto"/>
            </w:tcBorders>
            <w:noWrap/>
            <w:vAlign w:val="center"/>
            <w:hideMark/>
          </w:tcPr>
          <w:p w14:paraId="1C7C9E0A" w14:textId="77777777" w:rsidR="00D97F06" w:rsidRPr="00D97F06" w:rsidRDefault="00D97F06" w:rsidP="00D97F06">
            <w:pPr>
              <w:spacing w:line="240" w:lineRule="auto"/>
              <w:jc w:val="center"/>
              <w:rPr>
                <w:color w:val="auto"/>
                <w:szCs w:val="24"/>
                <w:lang w:eastAsia="ru-RU"/>
              </w:rPr>
            </w:pPr>
            <w:r w:rsidRPr="00D97F06">
              <w:rPr>
                <w:color w:val="auto"/>
                <w:szCs w:val="24"/>
                <w:lang w:eastAsia="ru-RU"/>
              </w:rPr>
              <w:t>32,22</w:t>
            </w:r>
          </w:p>
        </w:tc>
        <w:tc>
          <w:tcPr>
            <w:tcW w:w="1052" w:type="dxa"/>
            <w:tcBorders>
              <w:top w:val="single" w:sz="4" w:space="0" w:color="auto"/>
            </w:tcBorders>
            <w:noWrap/>
            <w:vAlign w:val="center"/>
            <w:hideMark/>
          </w:tcPr>
          <w:p w14:paraId="73C79AAE" w14:textId="77777777" w:rsidR="00D97F06" w:rsidRPr="00D97F06" w:rsidRDefault="00D97F06" w:rsidP="00D97F06">
            <w:pPr>
              <w:spacing w:line="240" w:lineRule="auto"/>
              <w:jc w:val="center"/>
              <w:rPr>
                <w:color w:val="auto"/>
                <w:szCs w:val="24"/>
                <w:lang w:eastAsia="ru-RU"/>
              </w:rPr>
            </w:pPr>
            <w:r w:rsidRPr="00D97F06">
              <w:rPr>
                <w:color w:val="auto"/>
                <w:szCs w:val="24"/>
                <w:lang w:eastAsia="ru-RU"/>
              </w:rPr>
              <w:t>42,96</w:t>
            </w:r>
          </w:p>
        </w:tc>
        <w:tc>
          <w:tcPr>
            <w:tcW w:w="1052" w:type="dxa"/>
            <w:tcBorders>
              <w:top w:val="single" w:sz="4" w:space="0" w:color="auto"/>
            </w:tcBorders>
            <w:noWrap/>
            <w:vAlign w:val="center"/>
            <w:hideMark/>
          </w:tcPr>
          <w:p w14:paraId="4B85F621" w14:textId="77777777" w:rsidR="00D97F06" w:rsidRPr="00D97F06" w:rsidRDefault="00D97F06" w:rsidP="00D97F06">
            <w:pPr>
              <w:spacing w:line="240" w:lineRule="auto"/>
              <w:jc w:val="center"/>
              <w:rPr>
                <w:color w:val="auto"/>
                <w:szCs w:val="24"/>
                <w:lang w:eastAsia="ru-RU"/>
              </w:rPr>
            </w:pPr>
            <w:r w:rsidRPr="00D97F06">
              <w:rPr>
                <w:color w:val="auto"/>
                <w:szCs w:val="24"/>
                <w:lang w:eastAsia="ru-RU"/>
              </w:rPr>
              <w:t>41,11</w:t>
            </w:r>
          </w:p>
        </w:tc>
        <w:tc>
          <w:tcPr>
            <w:tcW w:w="1052" w:type="dxa"/>
            <w:tcBorders>
              <w:top w:val="single" w:sz="4" w:space="0" w:color="auto"/>
            </w:tcBorders>
            <w:noWrap/>
            <w:vAlign w:val="center"/>
            <w:hideMark/>
          </w:tcPr>
          <w:p w14:paraId="6D401FA2" w14:textId="77777777" w:rsidR="00D97F06" w:rsidRPr="00D97F06" w:rsidRDefault="00D97F06" w:rsidP="00D97F06">
            <w:pPr>
              <w:spacing w:line="240" w:lineRule="auto"/>
              <w:jc w:val="center"/>
              <w:rPr>
                <w:color w:val="auto"/>
                <w:szCs w:val="24"/>
                <w:lang w:eastAsia="ru-RU"/>
              </w:rPr>
            </w:pPr>
            <w:r w:rsidRPr="00D97F06">
              <w:rPr>
                <w:color w:val="auto"/>
                <w:szCs w:val="24"/>
                <w:lang w:eastAsia="ru-RU"/>
              </w:rPr>
              <w:t>41,85</w:t>
            </w:r>
          </w:p>
        </w:tc>
        <w:tc>
          <w:tcPr>
            <w:tcW w:w="1052" w:type="dxa"/>
            <w:tcBorders>
              <w:top w:val="single" w:sz="4" w:space="0" w:color="auto"/>
            </w:tcBorders>
            <w:noWrap/>
            <w:vAlign w:val="center"/>
            <w:hideMark/>
          </w:tcPr>
          <w:p w14:paraId="500A8D46" w14:textId="77777777" w:rsidR="00D97F06" w:rsidRPr="00D97F06" w:rsidRDefault="00D97F06" w:rsidP="00D97F06">
            <w:pPr>
              <w:spacing w:line="240" w:lineRule="auto"/>
              <w:jc w:val="center"/>
              <w:rPr>
                <w:color w:val="auto"/>
                <w:szCs w:val="24"/>
                <w:lang w:eastAsia="ru-RU"/>
              </w:rPr>
            </w:pPr>
            <w:r w:rsidRPr="00D97F06">
              <w:rPr>
                <w:color w:val="auto"/>
                <w:szCs w:val="24"/>
                <w:lang w:eastAsia="ru-RU"/>
              </w:rPr>
              <w:t>30,00</w:t>
            </w:r>
          </w:p>
        </w:tc>
      </w:tr>
      <w:tr w:rsidR="00D97F06" w:rsidRPr="00D97F06" w14:paraId="564781C1" w14:textId="77777777" w:rsidTr="00D97F06">
        <w:trPr>
          <w:cantSplit/>
          <w:trHeight w:val="397"/>
        </w:trPr>
        <w:tc>
          <w:tcPr>
            <w:tcW w:w="797" w:type="dxa"/>
            <w:vMerge/>
            <w:tcBorders>
              <w:bottom w:val="single" w:sz="4" w:space="0" w:color="auto"/>
            </w:tcBorders>
            <w:vAlign w:val="center"/>
          </w:tcPr>
          <w:p w14:paraId="4252D0E8" w14:textId="77777777" w:rsidR="00D97F06" w:rsidRPr="00D97F06" w:rsidRDefault="00D97F06" w:rsidP="00D97F06">
            <w:pPr>
              <w:spacing w:line="240" w:lineRule="auto"/>
              <w:jc w:val="center"/>
              <w:rPr>
                <w:color w:val="auto"/>
                <w:szCs w:val="24"/>
                <w:lang w:eastAsia="ru-RU"/>
              </w:rPr>
            </w:pPr>
          </w:p>
        </w:tc>
        <w:tc>
          <w:tcPr>
            <w:tcW w:w="1105" w:type="dxa"/>
            <w:noWrap/>
            <w:vAlign w:val="center"/>
            <w:hideMark/>
          </w:tcPr>
          <w:p w14:paraId="7E252A5F" w14:textId="77777777" w:rsidR="00D97F06" w:rsidRPr="00D97F06" w:rsidRDefault="00D97F06" w:rsidP="00D97F06">
            <w:pPr>
              <w:spacing w:line="240" w:lineRule="auto"/>
              <w:jc w:val="center"/>
              <w:rPr>
                <w:b/>
                <w:color w:val="auto"/>
                <w:szCs w:val="24"/>
                <w:lang w:eastAsia="ru-RU"/>
              </w:rPr>
            </w:pPr>
            <w:r w:rsidRPr="00D97F06">
              <w:rPr>
                <w:b/>
                <w:color w:val="auto"/>
                <w:szCs w:val="24"/>
                <w:lang w:eastAsia="ru-RU"/>
              </w:rPr>
              <w:t>SD(st)</w:t>
            </w:r>
          </w:p>
        </w:tc>
        <w:tc>
          <w:tcPr>
            <w:tcW w:w="1052" w:type="dxa"/>
            <w:noWrap/>
            <w:vAlign w:val="center"/>
            <w:hideMark/>
          </w:tcPr>
          <w:p w14:paraId="72D77366" w14:textId="77777777" w:rsidR="00D97F06" w:rsidRPr="00D97F06" w:rsidRDefault="00D97F06" w:rsidP="00D97F06">
            <w:pPr>
              <w:spacing w:line="240" w:lineRule="auto"/>
              <w:jc w:val="center"/>
              <w:rPr>
                <w:color w:val="auto"/>
                <w:szCs w:val="24"/>
                <w:lang w:eastAsia="ru-RU"/>
              </w:rPr>
            </w:pPr>
            <w:r w:rsidRPr="00D97F06">
              <w:rPr>
                <w:color w:val="auto"/>
                <w:szCs w:val="24"/>
                <w:lang w:eastAsia="ru-RU"/>
              </w:rPr>
              <w:t>2,22</w:t>
            </w:r>
          </w:p>
        </w:tc>
        <w:tc>
          <w:tcPr>
            <w:tcW w:w="1052" w:type="dxa"/>
            <w:noWrap/>
            <w:vAlign w:val="center"/>
            <w:hideMark/>
          </w:tcPr>
          <w:p w14:paraId="4E72F7AE" w14:textId="77777777" w:rsidR="00D97F06" w:rsidRPr="00D97F06" w:rsidRDefault="00D97F06" w:rsidP="00D97F06">
            <w:pPr>
              <w:spacing w:line="240" w:lineRule="auto"/>
              <w:jc w:val="center"/>
              <w:rPr>
                <w:color w:val="auto"/>
                <w:szCs w:val="24"/>
                <w:lang w:eastAsia="ru-RU"/>
              </w:rPr>
            </w:pPr>
            <w:r w:rsidRPr="00D97F06">
              <w:rPr>
                <w:color w:val="auto"/>
                <w:szCs w:val="24"/>
                <w:lang w:eastAsia="ru-RU"/>
              </w:rPr>
              <w:t>3,40</w:t>
            </w:r>
          </w:p>
        </w:tc>
        <w:tc>
          <w:tcPr>
            <w:tcW w:w="1052" w:type="dxa"/>
            <w:noWrap/>
            <w:vAlign w:val="center"/>
            <w:hideMark/>
          </w:tcPr>
          <w:p w14:paraId="2B94B025" w14:textId="77777777" w:rsidR="00D97F06" w:rsidRPr="00D97F06" w:rsidRDefault="00D97F06" w:rsidP="00D97F06">
            <w:pPr>
              <w:spacing w:line="240" w:lineRule="auto"/>
              <w:jc w:val="center"/>
              <w:rPr>
                <w:color w:val="auto"/>
                <w:szCs w:val="24"/>
                <w:lang w:eastAsia="ru-RU"/>
              </w:rPr>
            </w:pPr>
            <w:r w:rsidRPr="00D97F06">
              <w:rPr>
                <w:color w:val="auto"/>
                <w:szCs w:val="24"/>
                <w:lang w:eastAsia="ru-RU"/>
              </w:rPr>
              <w:t>1,11</w:t>
            </w:r>
          </w:p>
        </w:tc>
        <w:tc>
          <w:tcPr>
            <w:tcW w:w="1052" w:type="dxa"/>
            <w:noWrap/>
            <w:vAlign w:val="center"/>
            <w:hideMark/>
          </w:tcPr>
          <w:p w14:paraId="02363E6E" w14:textId="77777777" w:rsidR="00D97F06" w:rsidRPr="00D97F06" w:rsidRDefault="00D97F06" w:rsidP="00D97F06">
            <w:pPr>
              <w:spacing w:line="240" w:lineRule="auto"/>
              <w:jc w:val="center"/>
              <w:rPr>
                <w:color w:val="auto"/>
                <w:szCs w:val="24"/>
                <w:lang w:eastAsia="ru-RU"/>
              </w:rPr>
            </w:pPr>
            <w:r w:rsidRPr="00D97F06">
              <w:rPr>
                <w:color w:val="auto"/>
                <w:szCs w:val="24"/>
                <w:lang w:eastAsia="ru-RU"/>
              </w:rPr>
              <w:t>2,79</w:t>
            </w:r>
          </w:p>
        </w:tc>
        <w:tc>
          <w:tcPr>
            <w:tcW w:w="1052" w:type="dxa"/>
            <w:noWrap/>
            <w:vAlign w:val="center"/>
            <w:hideMark/>
          </w:tcPr>
          <w:p w14:paraId="7605C445" w14:textId="77777777" w:rsidR="00D97F06" w:rsidRPr="00D97F06" w:rsidRDefault="00D97F06" w:rsidP="00D97F06">
            <w:pPr>
              <w:spacing w:line="240" w:lineRule="auto"/>
              <w:jc w:val="center"/>
              <w:rPr>
                <w:color w:val="auto"/>
                <w:szCs w:val="24"/>
                <w:lang w:eastAsia="ru-RU"/>
              </w:rPr>
            </w:pPr>
            <w:r w:rsidRPr="00D97F06">
              <w:rPr>
                <w:color w:val="auto"/>
                <w:szCs w:val="24"/>
                <w:lang w:eastAsia="ru-RU"/>
              </w:rPr>
              <w:t>2,22</w:t>
            </w:r>
          </w:p>
        </w:tc>
      </w:tr>
      <w:tr w:rsidR="00D97F06" w:rsidRPr="00D97F06" w14:paraId="173BC663" w14:textId="77777777" w:rsidTr="00D97F06">
        <w:trPr>
          <w:cantSplit/>
          <w:trHeight w:val="397"/>
        </w:trPr>
        <w:tc>
          <w:tcPr>
            <w:tcW w:w="797" w:type="dxa"/>
            <w:vMerge/>
            <w:tcBorders>
              <w:bottom w:val="single" w:sz="4" w:space="0" w:color="auto"/>
            </w:tcBorders>
            <w:vAlign w:val="center"/>
          </w:tcPr>
          <w:p w14:paraId="1049AF3E" w14:textId="77777777" w:rsidR="00D97F06" w:rsidRPr="00D97F06" w:rsidRDefault="00D97F06" w:rsidP="00D97F06">
            <w:pPr>
              <w:spacing w:line="240" w:lineRule="auto"/>
              <w:jc w:val="center"/>
              <w:rPr>
                <w:color w:val="auto"/>
                <w:szCs w:val="24"/>
                <w:lang w:eastAsia="ru-RU"/>
              </w:rPr>
            </w:pPr>
          </w:p>
        </w:tc>
        <w:tc>
          <w:tcPr>
            <w:tcW w:w="1105" w:type="dxa"/>
            <w:tcBorders>
              <w:bottom w:val="single" w:sz="4" w:space="0" w:color="auto"/>
            </w:tcBorders>
            <w:noWrap/>
            <w:vAlign w:val="center"/>
            <w:hideMark/>
          </w:tcPr>
          <w:p w14:paraId="75D4A71A" w14:textId="77777777" w:rsidR="00D97F06" w:rsidRPr="00D97F06" w:rsidRDefault="00D97F06" w:rsidP="00D97F06">
            <w:pPr>
              <w:spacing w:line="240" w:lineRule="auto"/>
              <w:jc w:val="center"/>
              <w:rPr>
                <w:b/>
                <w:color w:val="auto"/>
                <w:szCs w:val="24"/>
                <w:lang w:eastAsia="ru-RU"/>
              </w:rPr>
            </w:pPr>
            <w:r w:rsidRPr="00D97F06">
              <w:rPr>
                <w:b/>
                <w:color w:val="auto"/>
                <w:szCs w:val="24"/>
                <w:lang w:eastAsia="ru-RU"/>
              </w:rPr>
              <w:t>SE(st)</w:t>
            </w:r>
          </w:p>
        </w:tc>
        <w:tc>
          <w:tcPr>
            <w:tcW w:w="1052" w:type="dxa"/>
            <w:tcBorders>
              <w:bottom w:val="single" w:sz="4" w:space="0" w:color="auto"/>
            </w:tcBorders>
            <w:noWrap/>
            <w:vAlign w:val="center"/>
            <w:hideMark/>
          </w:tcPr>
          <w:p w14:paraId="7A1B7884" w14:textId="77777777" w:rsidR="00D97F06" w:rsidRPr="00D97F06" w:rsidRDefault="00D97F06" w:rsidP="00D97F06">
            <w:pPr>
              <w:spacing w:line="240" w:lineRule="auto"/>
              <w:jc w:val="center"/>
              <w:rPr>
                <w:color w:val="auto"/>
                <w:szCs w:val="24"/>
                <w:lang w:eastAsia="ru-RU"/>
              </w:rPr>
            </w:pPr>
            <w:r w:rsidRPr="00D97F06">
              <w:rPr>
                <w:color w:val="auto"/>
                <w:szCs w:val="24"/>
                <w:lang w:eastAsia="ru-RU"/>
              </w:rPr>
              <w:t>1,28</w:t>
            </w:r>
          </w:p>
        </w:tc>
        <w:tc>
          <w:tcPr>
            <w:tcW w:w="1052" w:type="dxa"/>
            <w:tcBorders>
              <w:bottom w:val="single" w:sz="4" w:space="0" w:color="auto"/>
            </w:tcBorders>
            <w:noWrap/>
            <w:vAlign w:val="center"/>
            <w:hideMark/>
          </w:tcPr>
          <w:p w14:paraId="0AEB6BB3" w14:textId="77777777" w:rsidR="00D97F06" w:rsidRPr="00D97F06" w:rsidRDefault="00D97F06" w:rsidP="00D97F06">
            <w:pPr>
              <w:spacing w:line="240" w:lineRule="auto"/>
              <w:jc w:val="center"/>
              <w:rPr>
                <w:color w:val="auto"/>
                <w:szCs w:val="24"/>
                <w:lang w:eastAsia="ru-RU"/>
              </w:rPr>
            </w:pPr>
            <w:r w:rsidRPr="00D97F06">
              <w:rPr>
                <w:color w:val="auto"/>
                <w:szCs w:val="24"/>
                <w:lang w:eastAsia="ru-RU"/>
              </w:rPr>
              <w:t>1,96</w:t>
            </w:r>
          </w:p>
        </w:tc>
        <w:tc>
          <w:tcPr>
            <w:tcW w:w="1052" w:type="dxa"/>
            <w:tcBorders>
              <w:bottom w:val="single" w:sz="4" w:space="0" w:color="auto"/>
            </w:tcBorders>
            <w:noWrap/>
            <w:vAlign w:val="center"/>
            <w:hideMark/>
          </w:tcPr>
          <w:p w14:paraId="048F5C5E" w14:textId="77777777" w:rsidR="00D97F06" w:rsidRPr="00D97F06" w:rsidRDefault="00D97F06" w:rsidP="00D97F06">
            <w:pPr>
              <w:spacing w:line="240" w:lineRule="auto"/>
              <w:jc w:val="center"/>
              <w:rPr>
                <w:color w:val="auto"/>
                <w:szCs w:val="24"/>
                <w:lang w:eastAsia="ru-RU"/>
              </w:rPr>
            </w:pPr>
            <w:r w:rsidRPr="00D97F06">
              <w:rPr>
                <w:color w:val="auto"/>
                <w:szCs w:val="24"/>
                <w:lang w:eastAsia="ru-RU"/>
              </w:rPr>
              <w:t>0,64</w:t>
            </w:r>
          </w:p>
        </w:tc>
        <w:tc>
          <w:tcPr>
            <w:tcW w:w="1052" w:type="dxa"/>
            <w:tcBorders>
              <w:bottom w:val="single" w:sz="4" w:space="0" w:color="auto"/>
            </w:tcBorders>
            <w:noWrap/>
            <w:vAlign w:val="center"/>
            <w:hideMark/>
          </w:tcPr>
          <w:p w14:paraId="0AD72751" w14:textId="77777777" w:rsidR="00D97F06" w:rsidRPr="00D97F06" w:rsidRDefault="00D97F06" w:rsidP="00D97F06">
            <w:pPr>
              <w:spacing w:line="240" w:lineRule="auto"/>
              <w:jc w:val="center"/>
              <w:rPr>
                <w:color w:val="auto"/>
                <w:szCs w:val="24"/>
                <w:lang w:eastAsia="ru-RU"/>
              </w:rPr>
            </w:pPr>
            <w:r w:rsidRPr="00D97F06">
              <w:rPr>
                <w:color w:val="auto"/>
                <w:szCs w:val="24"/>
                <w:lang w:eastAsia="ru-RU"/>
              </w:rPr>
              <w:t>1,61</w:t>
            </w:r>
          </w:p>
        </w:tc>
        <w:tc>
          <w:tcPr>
            <w:tcW w:w="1052" w:type="dxa"/>
            <w:tcBorders>
              <w:bottom w:val="single" w:sz="4" w:space="0" w:color="auto"/>
            </w:tcBorders>
            <w:noWrap/>
            <w:vAlign w:val="center"/>
            <w:hideMark/>
          </w:tcPr>
          <w:p w14:paraId="7B0C057F" w14:textId="77777777" w:rsidR="00D97F06" w:rsidRPr="00D97F06" w:rsidRDefault="00D97F06" w:rsidP="00D97F06">
            <w:pPr>
              <w:spacing w:line="240" w:lineRule="auto"/>
              <w:jc w:val="center"/>
              <w:rPr>
                <w:color w:val="auto"/>
                <w:szCs w:val="24"/>
                <w:lang w:eastAsia="ru-RU"/>
              </w:rPr>
            </w:pPr>
            <w:r w:rsidRPr="00D97F06">
              <w:rPr>
                <w:color w:val="auto"/>
                <w:szCs w:val="24"/>
                <w:lang w:eastAsia="ru-RU"/>
              </w:rPr>
              <w:t>1,28</w:t>
            </w:r>
          </w:p>
        </w:tc>
      </w:tr>
      <w:tr w:rsidR="00D97F06" w:rsidRPr="00D97F06" w14:paraId="2958240C" w14:textId="77777777" w:rsidTr="00D97F06">
        <w:trPr>
          <w:trHeight w:val="300"/>
        </w:trPr>
        <w:tc>
          <w:tcPr>
            <w:tcW w:w="1902" w:type="dxa"/>
            <w:gridSpan w:val="2"/>
            <w:vAlign w:val="center"/>
          </w:tcPr>
          <w:p w14:paraId="6B367125" w14:textId="77777777" w:rsidR="00D97F06" w:rsidRPr="00D97F06" w:rsidRDefault="00D97F06" w:rsidP="00D97F06">
            <w:pPr>
              <w:spacing w:line="240" w:lineRule="auto"/>
              <w:jc w:val="center"/>
              <w:rPr>
                <w:b/>
                <w:color w:val="auto"/>
                <w:szCs w:val="24"/>
                <w:lang w:eastAsia="ru-RU"/>
              </w:rPr>
            </w:pPr>
            <w:r w:rsidRPr="00D97F06">
              <w:rPr>
                <w:b/>
                <w:color w:val="auto"/>
                <w:szCs w:val="24"/>
                <w:lang w:eastAsia="ru-RU"/>
              </w:rPr>
              <w:t>Gap (cin/st)</w:t>
            </w:r>
          </w:p>
        </w:tc>
        <w:tc>
          <w:tcPr>
            <w:tcW w:w="1052" w:type="dxa"/>
            <w:noWrap/>
            <w:vAlign w:val="center"/>
          </w:tcPr>
          <w:p w14:paraId="229F8697" w14:textId="77777777" w:rsidR="00D97F06" w:rsidRPr="00D97F06" w:rsidRDefault="00D97F06" w:rsidP="00D97F06">
            <w:pPr>
              <w:spacing w:line="240" w:lineRule="auto"/>
              <w:jc w:val="center"/>
              <w:rPr>
                <w:b/>
                <w:bCs/>
                <w:color w:val="auto"/>
                <w:szCs w:val="24"/>
              </w:rPr>
            </w:pPr>
            <w:r w:rsidRPr="00D97F06">
              <w:rPr>
                <w:b/>
                <w:bCs/>
                <w:color w:val="auto"/>
                <w:szCs w:val="24"/>
              </w:rPr>
              <w:t>10,6583</w:t>
            </w:r>
          </w:p>
        </w:tc>
        <w:tc>
          <w:tcPr>
            <w:tcW w:w="1052" w:type="dxa"/>
            <w:noWrap/>
            <w:vAlign w:val="center"/>
          </w:tcPr>
          <w:p w14:paraId="5CFB02EE" w14:textId="77777777" w:rsidR="00D97F06" w:rsidRPr="00D97F06" w:rsidRDefault="00D97F06" w:rsidP="00D97F06">
            <w:pPr>
              <w:spacing w:line="240" w:lineRule="auto"/>
              <w:jc w:val="center"/>
              <w:rPr>
                <w:b/>
                <w:bCs/>
                <w:color w:val="auto"/>
                <w:szCs w:val="24"/>
              </w:rPr>
            </w:pPr>
            <w:r w:rsidRPr="00D97F06">
              <w:rPr>
                <w:b/>
                <w:bCs/>
                <w:color w:val="auto"/>
                <w:szCs w:val="24"/>
              </w:rPr>
              <w:t>4,72939</w:t>
            </w:r>
          </w:p>
        </w:tc>
        <w:tc>
          <w:tcPr>
            <w:tcW w:w="1052" w:type="dxa"/>
            <w:noWrap/>
            <w:vAlign w:val="center"/>
          </w:tcPr>
          <w:p w14:paraId="24AC4785" w14:textId="77777777" w:rsidR="00D97F06" w:rsidRPr="00D97F06" w:rsidRDefault="00D97F06" w:rsidP="00D97F06">
            <w:pPr>
              <w:spacing w:line="240" w:lineRule="auto"/>
              <w:jc w:val="center"/>
              <w:rPr>
                <w:b/>
                <w:bCs/>
                <w:color w:val="auto"/>
                <w:szCs w:val="24"/>
              </w:rPr>
            </w:pPr>
            <w:r w:rsidRPr="00D97F06">
              <w:rPr>
                <w:b/>
                <w:bCs/>
                <w:color w:val="auto"/>
                <w:szCs w:val="24"/>
              </w:rPr>
              <w:t>5,18676</w:t>
            </w:r>
          </w:p>
        </w:tc>
        <w:tc>
          <w:tcPr>
            <w:tcW w:w="1052" w:type="dxa"/>
            <w:noWrap/>
            <w:vAlign w:val="center"/>
          </w:tcPr>
          <w:p w14:paraId="004071BE" w14:textId="77777777" w:rsidR="00D97F06" w:rsidRPr="00D97F06" w:rsidRDefault="00D97F06" w:rsidP="00D97F06">
            <w:pPr>
              <w:spacing w:line="240" w:lineRule="auto"/>
              <w:jc w:val="center"/>
              <w:rPr>
                <w:b/>
                <w:bCs/>
                <w:color w:val="auto"/>
                <w:szCs w:val="24"/>
              </w:rPr>
            </w:pPr>
            <w:r w:rsidRPr="00D97F06">
              <w:rPr>
                <w:b/>
                <w:bCs/>
                <w:color w:val="auto"/>
                <w:szCs w:val="24"/>
              </w:rPr>
              <w:t>1,10467</w:t>
            </w:r>
          </w:p>
        </w:tc>
        <w:tc>
          <w:tcPr>
            <w:tcW w:w="1052" w:type="dxa"/>
            <w:noWrap/>
            <w:vAlign w:val="center"/>
          </w:tcPr>
          <w:p w14:paraId="435830E2" w14:textId="77777777" w:rsidR="00D97F06" w:rsidRPr="00D97F06" w:rsidRDefault="00D97F06" w:rsidP="00D97F06">
            <w:pPr>
              <w:spacing w:line="240" w:lineRule="auto"/>
              <w:jc w:val="center"/>
              <w:rPr>
                <w:b/>
                <w:bCs/>
                <w:color w:val="auto"/>
                <w:szCs w:val="24"/>
              </w:rPr>
            </w:pPr>
            <w:r w:rsidRPr="00D97F06">
              <w:rPr>
                <w:b/>
                <w:bCs/>
                <w:color w:val="auto"/>
                <w:szCs w:val="24"/>
              </w:rPr>
              <w:t>5,74299</w:t>
            </w:r>
          </w:p>
        </w:tc>
      </w:tr>
      <w:tr w:rsidR="00D97F06" w:rsidRPr="00D97F06" w14:paraId="145FD0E8" w14:textId="77777777" w:rsidTr="00D97F06">
        <w:trPr>
          <w:trHeight w:val="300"/>
        </w:trPr>
        <w:tc>
          <w:tcPr>
            <w:tcW w:w="1902" w:type="dxa"/>
            <w:gridSpan w:val="2"/>
            <w:tcBorders>
              <w:bottom w:val="single" w:sz="4" w:space="0" w:color="auto"/>
            </w:tcBorders>
            <w:vAlign w:val="center"/>
          </w:tcPr>
          <w:p w14:paraId="356BAF56" w14:textId="77777777" w:rsidR="00D97F06" w:rsidRPr="00D97F06" w:rsidRDefault="00D97F06" w:rsidP="00D97F06">
            <w:pPr>
              <w:spacing w:line="240" w:lineRule="auto"/>
              <w:jc w:val="center"/>
              <w:rPr>
                <w:b/>
                <w:color w:val="auto"/>
                <w:szCs w:val="24"/>
                <w:vertAlign w:val="subscript"/>
                <w:lang w:eastAsia="ru-RU"/>
              </w:rPr>
            </w:pPr>
            <w:r w:rsidRPr="00D97F06">
              <w:rPr>
                <w:b/>
                <w:color w:val="auto"/>
                <w:szCs w:val="24"/>
                <w:lang w:eastAsia="ru-RU"/>
              </w:rPr>
              <w:t>Gap (nig/st)</w:t>
            </w:r>
          </w:p>
        </w:tc>
        <w:tc>
          <w:tcPr>
            <w:tcW w:w="1052" w:type="dxa"/>
            <w:tcBorders>
              <w:bottom w:val="single" w:sz="4" w:space="0" w:color="auto"/>
            </w:tcBorders>
            <w:noWrap/>
            <w:vAlign w:val="center"/>
          </w:tcPr>
          <w:p w14:paraId="7F323AF3" w14:textId="77777777" w:rsidR="00D97F06" w:rsidRPr="00D97F06" w:rsidRDefault="00D97F06" w:rsidP="00D97F06">
            <w:pPr>
              <w:spacing w:line="240" w:lineRule="auto"/>
              <w:jc w:val="center"/>
              <w:rPr>
                <w:b/>
                <w:bCs/>
                <w:color w:val="auto"/>
                <w:szCs w:val="24"/>
              </w:rPr>
            </w:pPr>
            <w:r w:rsidRPr="00D97F06">
              <w:rPr>
                <w:b/>
                <w:bCs/>
                <w:color w:val="auto"/>
                <w:szCs w:val="24"/>
              </w:rPr>
              <w:t>7,50917</w:t>
            </w:r>
          </w:p>
        </w:tc>
        <w:tc>
          <w:tcPr>
            <w:tcW w:w="1052" w:type="dxa"/>
            <w:tcBorders>
              <w:bottom w:val="single" w:sz="4" w:space="0" w:color="auto"/>
            </w:tcBorders>
            <w:noWrap/>
            <w:vAlign w:val="center"/>
          </w:tcPr>
          <w:p w14:paraId="450C6BC5" w14:textId="77777777" w:rsidR="00D97F06" w:rsidRPr="00D97F06" w:rsidRDefault="00D97F06" w:rsidP="00D97F06">
            <w:pPr>
              <w:spacing w:line="240" w:lineRule="auto"/>
              <w:jc w:val="center"/>
              <w:rPr>
                <w:b/>
                <w:bCs/>
                <w:color w:val="auto"/>
                <w:szCs w:val="24"/>
              </w:rPr>
            </w:pPr>
            <w:r w:rsidRPr="00D97F06">
              <w:rPr>
                <w:b/>
                <w:bCs/>
                <w:color w:val="auto"/>
                <w:szCs w:val="24"/>
              </w:rPr>
              <w:t>7,81143</w:t>
            </w:r>
          </w:p>
        </w:tc>
        <w:tc>
          <w:tcPr>
            <w:tcW w:w="1052" w:type="dxa"/>
            <w:tcBorders>
              <w:bottom w:val="single" w:sz="4" w:space="0" w:color="auto"/>
            </w:tcBorders>
            <w:noWrap/>
            <w:vAlign w:val="center"/>
          </w:tcPr>
          <w:p w14:paraId="088F4933" w14:textId="77777777" w:rsidR="00D97F06" w:rsidRPr="00D97F06" w:rsidRDefault="00D97F06" w:rsidP="00D97F06">
            <w:pPr>
              <w:spacing w:line="240" w:lineRule="auto"/>
              <w:jc w:val="center"/>
              <w:rPr>
                <w:b/>
                <w:bCs/>
                <w:color w:val="auto"/>
                <w:szCs w:val="24"/>
              </w:rPr>
            </w:pPr>
            <w:r w:rsidRPr="00D97F06">
              <w:rPr>
                <w:b/>
                <w:bCs/>
                <w:color w:val="auto"/>
                <w:szCs w:val="24"/>
              </w:rPr>
              <w:t>9,54372</w:t>
            </w:r>
          </w:p>
        </w:tc>
        <w:tc>
          <w:tcPr>
            <w:tcW w:w="1052" w:type="dxa"/>
            <w:tcBorders>
              <w:bottom w:val="single" w:sz="4" w:space="0" w:color="auto"/>
            </w:tcBorders>
            <w:noWrap/>
            <w:vAlign w:val="center"/>
          </w:tcPr>
          <w:p w14:paraId="7BF7DAD4" w14:textId="77777777" w:rsidR="00D97F06" w:rsidRPr="00D97F06" w:rsidRDefault="00D97F06" w:rsidP="00D97F06">
            <w:pPr>
              <w:spacing w:line="240" w:lineRule="auto"/>
              <w:jc w:val="center"/>
              <w:rPr>
                <w:b/>
                <w:bCs/>
                <w:color w:val="auto"/>
                <w:szCs w:val="24"/>
              </w:rPr>
            </w:pPr>
            <w:r w:rsidRPr="00D97F06">
              <w:rPr>
                <w:b/>
                <w:bCs/>
                <w:color w:val="auto"/>
                <w:szCs w:val="24"/>
              </w:rPr>
              <w:t>1,79626</w:t>
            </w:r>
          </w:p>
        </w:tc>
        <w:tc>
          <w:tcPr>
            <w:tcW w:w="1052" w:type="dxa"/>
            <w:tcBorders>
              <w:bottom w:val="single" w:sz="4" w:space="0" w:color="auto"/>
            </w:tcBorders>
            <w:noWrap/>
            <w:vAlign w:val="center"/>
          </w:tcPr>
          <w:p w14:paraId="6E92E4C8" w14:textId="77777777" w:rsidR="00D97F06" w:rsidRPr="00D97F06" w:rsidRDefault="00D97F06" w:rsidP="00D97F06">
            <w:pPr>
              <w:spacing w:line="240" w:lineRule="auto"/>
              <w:jc w:val="center"/>
              <w:rPr>
                <w:b/>
                <w:bCs/>
                <w:color w:val="auto"/>
                <w:szCs w:val="24"/>
              </w:rPr>
            </w:pPr>
            <w:r w:rsidRPr="00D97F06">
              <w:rPr>
                <w:b/>
                <w:bCs/>
                <w:color w:val="auto"/>
                <w:szCs w:val="24"/>
              </w:rPr>
              <w:t>8,3787</w:t>
            </w:r>
          </w:p>
        </w:tc>
      </w:tr>
    </w:tbl>
    <w:p w14:paraId="3ADE1EB0" w14:textId="77777777" w:rsidR="00D97F06" w:rsidRPr="00125A2F" w:rsidRDefault="00D97F06" w:rsidP="00D97F06">
      <w:pPr>
        <w:pStyle w:val="MDPI31text"/>
        <w:spacing w:line="240" w:lineRule="auto"/>
        <w:ind w:left="0" w:firstLine="0"/>
        <w:rPr>
          <w:rFonts w:ascii="Times New Roman" w:hAnsi="Times New Roman"/>
          <w:snapToGrid/>
          <w:color w:val="auto"/>
          <w:sz w:val="24"/>
          <w:szCs w:val="24"/>
          <w:lang w:eastAsia="ru-RU" w:bidi="ar-SA"/>
        </w:rPr>
      </w:pPr>
      <w:r w:rsidRPr="00125A2F">
        <w:rPr>
          <w:rFonts w:ascii="Times New Roman" w:hAnsi="Times New Roman"/>
          <w:color w:val="auto"/>
          <w:sz w:val="24"/>
          <w:szCs w:val="24"/>
          <w:vertAlign w:val="superscript"/>
          <w:lang w:eastAsia="ru-RU"/>
        </w:rPr>
        <w:t>♯</w:t>
      </w:r>
      <w:r w:rsidRPr="00125A2F">
        <w:rPr>
          <w:rFonts w:ascii="Times New Roman" w:hAnsi="Times New Roman"/>
          <w:b/>
          <w:color w:val="auto"/>
          <w:sz w:val="24"/>
          <w:szCs w:val="24"/>
          <w:lang w:eastAsia="ru-RU"/>
        </w:rPr>
        <w:t xml:space="preserve"> </w:t>
      </w:r>
      <w:r w:rsidRPr="00125A2F">
        <w:rPr>
          <w:rFonts w:ascii="Times New Roman" w:hAnsi="Times New Roman"/>
          <w:snapToGrid/>
          <w:color w:val="auto"/>
          <w:sz w:val="24"/>
          <w:szCs w:val="24"/>
          <w:lang w:eastAsia="ru-RU" w:bidi="ar-SA"/>
        </w:rPr>
        <w:t xml:space="preserve">A2 - </w:t>
      </w:r>
      <w:r w:rsidRPr="00125A2F">
        <w:rPr>
          <w:rFonts w:ascii="Times New Roman" w:hAnsi="Times New Roman"/>
          <w:i/>
          <w:snapToGrid/>
          <w:color w:val="auto"/>
          <w:sz w:val="24"/>
          <w:szCs w:val="24"/>
          <w:lang w:eastAsia="ru-RU" w:bidi="ar-SA"/>
        </w:rPr>
        <w:t>M. pulcherrima</w:t>
      </w:r>
      <w:r w:rsidRPr="00125A2F">
        <w:rPr>
          <w:rFonts w:ascii="Times New Roman" w:hAnsi="Times New Roman"/>
          <w:snapToGrid/>
          <w:color w:val="auto"/>
          <w:sz w:val="24"/>
          <w:szCs w:val="24"/>
          <w:lang w:eastAsia="ru-RU" w:bidi="ar-SA"/>
        </w:rPr>
        <w:t xml:space="preserve"> strain; AP11 and AP13 – </w:t>
      </w:r>
      <w:r w:rsidRPr="00125A2F">
        <w:rPr>
          <w:rFonts w:ascii="Times New Roman" w:hAnsi="Times New Roman"/>
          <w:i/>
          <w:snapToGrid/>
          <w:color w:val="auto"/>
          <w:sz w:val="24"/>
          <w:szCs w:val="24"/>
          <w:lang w:eastAsia="ru-RU" w:bidi="ar-SA"/>
        </w:rPr>
        <w:t>A. pullulans</w:t>
      </w:r>
      <w:r w:rsidRPr="00125A2F">
        <w:rPr>
          <w:rFonts w:ascii="Times New Roman" w:hAnsi="Times New Roman"/>
          <w:snapToGrid/>
          <w:color w:val="auto"/>
          <w:sz w:val="24"/>
          <w:szCs w:val="24"/>
          <w:lang w:eastAsia="ru-RU" w:bidi="ar-SA"/>
        </w:rPr>
        <w:t xml:space="preserve"> strains; CL03 – </w:t>
      </w:r>
      <w:r w:rsidRPr="00125A2F">
        <w:rPr>
          <w:rFonts w:ascii="Times New Roman" w:hAnsi="Times New Roman"/>
          <w:i/>
          <w:snapToGrid/>
          <w:color w:val="auto"/>
          <w:sz w:val="24"/>
          <w:szCs w:val="24"/>
          <w:lang w:eastAsia="ru-RU" w:bidi="ar-SA"/>
        </w:rPr>
        <w:t xml:space="preserve">C. </w:t>
      </w:r>
      <w:proofErr w:type="spellStart"/>
      <w:r w:rsidRPr="00125A2F">
        <w:rPr>
          <w:rFonts w:ascii="Times New Roman" w:hAnsi="Times New Roman"/>
          <w:i/>
          <w:snapToGrid/>
          <w:color w:val="auto"/>
          <w:sz w:val="24"/>
          <w:szCs w:val="24"/>
          <w:lang w:eastAsia="ru-RU" w:bidi="ar-SA"/>
        </w:rPr>
        <w:t>lusitaniae</w:t>
      </w:r>
      <w:proofErr w:type="spellEnd"/>
      <w:r w:rsidRPr="00125A2F">
        <w:rPr>
          <w:rFonts w:ascii="Times New Roman" w:hAnsi="Times New Roman"/>
          <w:snapToGrid/>
          <w:color w:val="auto"/>
          <w:sz w:val="24"/>
          <w:szCs w:val="24"/>
          <w:lang w:eastAsia="ru-RU" w:bidi="ar-SA"/>
        </w:rPr>
        <w:t xml:space="preserve"> strain; HU15 – </w:t>
      </w:r>
      <w:r w:rsidRPr="00125A2F">
        <w:rPr>
          <w:rFonts w:ascii="Times New Roman" w:hAnsi="Times New Roman"/>
          <w:i/>
          <w:snapToGrid/>
          <w:color w:val="auto"/>
          <w:sz w:val="24"/>
          <w:szCs w:val="24"/>
          <w:lang w:eastAsia="ru-RU" w:bidi="ar-SA"/>
        </w:rPr>
        <w:t xml:space="preserve">H. </w:t>
      </w:r>
      <w:proofErr w:type="spellStart"/>
      <w:r w:rsidRPr="00125A2F">
        <w:rPr>
          <w:rFonts w:ascii="Times New Roman" w:hAnsi="Times New Roman"/>
          <w:i/>
          <w:snapToGrid/>
          <w:color w:val="auto"/>
          <w:sz w:val="24"/>
          <w:szCs w:val="24"/>
          <w:lang w:eastAsia="ru-RU" w:bidi="ar-SA"/>
        </w:rPr>
        <w:t>uvarum</w:t>
      </w:r>
      <w:proofErr w:type="spellEnd"/>
      <w:r w:rsidRPr="00125A2F">
        <w:rPr>
          <w:rFonts w:ascii="Times New Roman" w:hAnsi="Times New Roman"/>
          <w:snapToGrid/>
          <w:color w:val="auto"/>
          <w:sz w:val="24"/>
          <w:szCs w:val="24"/>
          <w:lang w:eastAsia="ru-RU" w:bidi="ar-SA"/>
        </w:rPr>
        <w:t xml:space="preserve"> strain.</w:t>
      </w:r>
    </w:p>
    <w:p w14:paraId="764C0792" w14:textId="77777777" w:rsidR="00D97F06" w:rsidRPr="00125A2F" w:rsidRDefault="00D97F06" w:rsidP="00D97F06">
      <w:pPr>
        <w:spacing w:line="240" w:lineRule="auto"/>
        <w:rPr>
          <w:color w:val="auto"/>
          <w:szCs w:val="24"/>
        </w:rPr>
      </w:pPr>
      <w:r w:rsidRPr="00125A2F">
        <w:rPr>
          <w:color w:val="auto"/>
          <w:szCs w:val="24"/>
          <w:vertAlign w:val="superscript"/>
        </w:rPr>
        <w:t xml:space="preserve">¥ </w:t>
      </w:r>
      <w:r w:rsidRPr="00125A2F">
        <w:rPr>
          <w:i/>
          <w:iCs/>
          <w:color w:val="auto"/>
          <w:kern w:val="2"/>
          <w:szCs w:val="24"/>
          <w14:ligatures w14:val="standardContextual"/>
        </w:rPr>
        <w:t>B. cinerea</w:t>
      </w:r>
      <w:r w:rsidRPr="00125A2F">
        <w:rPr>
          <w:color w:val="auto"/>
          <w:kern w:val="2"/>
          <w:szCs w:val="24"/>
          <w14:ligatures w14:val="standardContextual"/>
        </w:rPr>
        <w:t xml:space="preserve"> (F-RKM 1032) from the Republican Collection of Microorganisms LLC, </w:t>
      </w:r>
      <w:r w:rsidRPr="00125A2F">
        <w:rPr>
          <w:i/>
          <w:iCs/>
          <w:color w:val="auto"/>
          <w:kern w:val="2"/>
          <w:szCs w:val="24"/>
          <w14:ligatures w14:val="standardContextual"/>
        </w:rPr>
        <w:t>A. niger</w:t>
      </w:r>
      <w:r w:rsidRPr="00125A2F">
        <w:rPr>
          <w:color w:val="auto"/>
          <w:kern w:val="2"/>
          <w:szCs w:val="24"/>
          <w14:ligatures w14:val="standardContextual"/>
        </w:rPr>
        <w:t xml:space="preserve"> (ATCC 6275), and </w:t>
      </w:r>
      <w:r w:rsidRPr="00125A2F">
        <w:rPr>
          <w:i/>
          <w:iCs/>
          <w:color w:val="auto"/>
          <w:kern w:val="2"/>
          <w:szCs w:val="24"/>
          <w14:ligatures w14:val="standardContextual"/>
        </w:rPr>
        <w:t>R. stolonifer</w:t>
      </w:r>
      <w:r w:rsidRPr="00125A2F">
        <w:rPr>
          <w:color w:val="auto"/>
          <w:kern w:val="2"/>
          <w:szCs w:val="24"/>
          <w14:ligatures w14:val="standardContextual"/>
        </w:rPr>
        <w:t xml:space="preserve"> (ATCC 6227b) from the American Type Culture Collection</w:t>
      </w:r>
    </w:p>
    <w:p w14:paraId="5DCB70BC" w14:textId="77777777" w:rsidR="00D97F06" w:rsidRPr="00125A2F" w:rsidRDefault="00D97F06" w:rsidP="00D97F06">
      <w:pPr>
        <w:pStyle w:val="MDPI32textnoindent"/>
        <w:spacing w:line="240" w:lineRule="auto"/>
        <w:ind w:left="0"/>
        <w:rPr>
          <w:rFonts w:ascii="Times New Roman" w:hAnsi="Times New Roman"/>
          <w:color w:val="auto"/>
          <w:sz w:val="24"/>
          <w:szCs w:val="24"/>
        </w:rPr>
      </w:pPr>
      <w:r w:rsidRPr="00125A2F">
        <w:rPr>
          <w:rFonts w:ascii="Times New Roman" w:hAnsi="Times New Roman"/>
          <w:b/>
          <w:color w:val="auto"/>
          <w:sz w:val="24"/>
          <w:szCs w:val="24"/>
          <w:vertAlign w:val="superscript"/>
        </w:rPr>
        <w:t>§</w:t>
      </w:r>
      <w:r w:rsidRPr="00125A2F">
        <w:rPr>
          <w:rFonts w:ascii="Times New Roman" w:hAnsi="Times New Roman"/>
          <w:color w:val="auto"/>
          <w:sz w:val="24"/>
          <w:szCs w:val="24"/>
        </w:rPr>
        <w:t xml:space="preserve"> Values are taken from Tables S6A through S8A in the Supplementary materials. </w:t>
      </w:r>
    </w:p>
    <w:p w14:paraId="60B0D082" w14:textId="77777777" w:rsidR="00D97F06" w:rsidRPr="00125A2F" w:rsidRDefault="00D97F06" w:rsidP="00D97F06">
      <w:pPr>
        <w:pStyle w:val="MDPI32textnoindent"/>
        <w:spacing w:line="240" w:lineRule="auto"/>
        <w:ind w:left="0"/>
        <w:rPr>
          <w:rFonts w:ascii="Times New Roman" w:hAnsi="Times New Roman"/>
          <w:color w:val="auto"/>
          <w:sz w:val="24"/>
          <w:szCs w:val="24"/>
        </w:rPr>
      </w:pPr>
      <w:r w:rsidRPr="00125A2F">
        <w:rPr>
          <w:rFonts w:ascii="Times New Roman" w:hAnsi="Times New Roman"/>
          <w:color w:val="auto"/>
          <w:sz w:val="24"/>
          <w:szCs w:val="24"/>
          <w:vertAlign w:val="superscript"/>
        </w:rPr>
        <w:t>Nd</w:t>
      </w:r>
      <w:r w:rsidRPr="00125A2F">
        <w:rPr>
          <w:rFonts w:ascii="Times New Roman" w:hAnsi="Times New Roman"/>
          <w:color w:val="auto"/>
          <w:sz w:val="24"/>
          <w:szCs w:val="24"/>
        </w:rPr>
        <w:t xml:space="preserve"> - not determined, a value was not determined due to a non-significant difference between means.</w:t>
      </w:r>
    </w:p>
    <w:p w14:paraId="7A3C00DC" w14:textId="77777777" w:rsidR="00D97F06" w:rsidRPr="00125A2F" w:rsidRDefault="00D97F06" w:rsidP="00D97F06">
      <w:pPr>
        <w:pStyle w:val="MDPI32textnoindent"/>
        <w:spacing w:line="240" w:lineRule="auto"/>
        <w:ind w:left="0"/>
        <w:rPr>
          <w:rFonts w:ascii="Times New Roman" w:hAnsi="Times New Roman"/>
          <w:color w:val="auto"/>
          <w:sz w:val="24"/>
          <w:szCs w:val="24"/>
        </w:rPr>
      </w:pPr>
      <w:r w:rsidRPr="00125A2F">
        <w:rPr>
          <w:rFonts w:ascii="Times New Roman" w:hAnsi="Times New Roman"/>
          <w:color w:val="auto"/>
          <w:sz w:val="24"/>
          <w:szCs w:val="24"/>
        </w:rPr>
        <w:t>Gap(</w:t>
      </w:r>
      <w:proofErr w:type="spellStart"/>
      <w:r w:rsidRPr="00125A2F">
        <w:rPr>
          <w:rFonts w:ascii="Times New Roman" w:hAnsi="Times New Roman"/>
          <w:color w:val="auto"/>
          <w:sz w:val="24"/>
          <w:szCs w:val="24"/>
        </w:rPr>
        <w:t>cin</w:t>
      </w:r>
      <w:proofErr w:type="spellEnd"/>
      <w:r w:rsidRPr="00125A2F">
        <w:rPr>
          <w:rFonts w:ascii="Times New Roman" w:hAnsi="Times New Roman"/>
          <w:color w:val="auto"/>
          <w:sz w:val="24"/>
          <w:szCs w:val="24"/>
        </w:rPr>
        <w:t xml:space="preserve">/nig) &gt; 2 indicates that the B system is selective for protection against </w:t>
      </w:r>
      <w:r w:rsidRPr="00125A2F">
        <w:rPr>
          <w:rFonts w:ascii="Times New Roman" w:hAnsi="Times New Roman"/>
          <w:i/>
          <w:color w:val="auto"/>
          <w:sz w:val="24"/>
          <w:szCs w:val="24"/>
        </w:rPr>
        <w:t>B. cinerea</w:t>
      </w:r>
      <w:r w:rsidRPr="00125A2F">
        <w:rPr>
          <w:rFonts w:ascii="Times New Roman" w:hAnsi="Times New Roman"/>
          <w:color w:val="auto"/>
          <w:sz w:val="24"/>
          <w:szCs w:val="24"/>
        </w:rPr>
        <w:t xml:space="preserve"> over </w:t>
      </w:r>
      <w:r w:rsidRPr="00125A2F">
        <w:rPr>
          <w:rFonts w:ascii="Times New Roman" w:hAnsi="Times New Roman"/>
          <w:i/>
          <w:color w:val="auto"/>
          <w:sz w:val="24"/>
          <w:szCs w:val="24"/>
        </w:rPr>
        <w:t xml:space="preserve">A. </w:t>
      </w:r>
      <w:proofErr w:type="spellStart"/>
      <w:r w:rsidRPr="00125A2F">
        <w:rPr>
          <w:rFonts w:ascii="Times New Roman" w:hAnsi="Times New Roman"/>
          <w:i/>
          <w:color w:val="auto"/>
          <w:sz w:val="24"/>
          <w:szCs w:val="24"/>
        </w:rPr>
        <w:t>niger</w:t>
      </w:r>
      <w:proofErr w:type="spellEnd"/>
      <w:r w:rsidRPr="00125A2F">
        <w:rPr>
          <w:rFonts w:ascii="Times New Roman" w:hAnsi="Times New Roman"/>
          <w:color w:val="auto"/>
          <w:sz w:val="24"/>
          <w:szCs w:val="24"/>
        </w:rPr>
        <w:t>.</w:t>
      </w:r>
    </w:p>
    <w:p w14:paraId="6AF9FEDE" w14:textId="77777777" w:rsidR="00D97F06" w:rsidRPr="00125A2F" w:rsidRDefault="00D97F06" w:rsidP="00D97F06">
      <w:pPr>
        <w:pStyle w:val="MDPI32textnoindent"/>
        <w:spacing w:line="240" w:lineRule="auto"/>
        <w:ind w:left="0"/>
        <w:rPr>
          <w:rFonts w:ascii="Times New Roman" w:hAnsi="Times New Roman"/>
          <w:color w:val="auto"/>
          <w:sz w:val="24"/>
          <w:szCs w:val="24"/>
        </w:rPr>
      </w:pPr>
      <w:r w:rsidRPr="00125A2F">
        <w:rPr>
          <w:rFonts w:ascii="Times New Roman" w:hAnsi="Times New Roman"/>
          <w:color w:val="auto"/>
          <w:sz w:val="24"/>
          <w:szCs w:val="24"/>
        </w:rPr>
        <w:t>Gap(</w:t>
      </w:r>
      <w:proofErr w:type="spellStart"/>
      <w:r w:rsidRPr="00125A2F">
        <w:rPr>
          <w:rFonts w:ascii="Times New Roman" w:hAnsi="Times New Roman"/>
          <w:color w:val="auto"/>
          <w:sz w:val="24"/>
          <w:szCs w:val="24"/>
        </w:rPr>
        <w:t>cin</w:t>
      </w:r>
      <w:proofErr w:type="spellEnd"/>
      <w:r w:rsidRPr="00125A2F">
        <w:rPr>
          <w:rFonts w:ascii="Times New Roman" w:hAnsi="Times New Roman"/>
          <w:color w:val="auto"/>
          <w:sz w:val="24"/>
          <w:szCs w:val="24"/>
        </w:rPr>
        <w:t>/</w:t>
      </w:r>
      <w:proofErr w:type="spellStart"/>
      <w:r w:rsidRPr="00125A2F">
        <w:rPr>
          <w:rFonts w:ascii="Times New Roman" w:hAnsi="Times New Roman"/>
          <w:color w:val="auto"/>
          <w:sz w:val="24"/>
          <w:szCs w:val="24"/>
        </w:rPr>
        <w:t>st</w:t>
      </w:r>
      <w:proofErr w:type="spellEnd"/>
      <w:r w:rsidRPr="00125A2F">
        <w:rPr>
          <w:rFonts w:ascii="Times New Roman" w:hAnsi="Times New Roman"/>
          <w:color w:val="auto"/>
          <w:sz w:val="24"/>
          <w:szCs w:val="24"/>
        </w:rPr>
        <w:t>) &gt; 2 suggests that the B system is selective for protection against</w:t>
      </w:r>
      <w:r w:rsidRPr="00125A2F">
        <w:rPr>
          <w:rFonts w:ascii="Times New Roman" w:hAnsi="Times New Roman"/>
          <w:i/>
          <w:color w:val="auto"/>
          <w:sz w:val="24"/>
          <w:szCs w:val="24"/>
        </w:rPr>
        <w:t xml:space="preserve"> B. cinerea </w:t>
      </w:r>
      <w:r w:rsidRPr="00125A2F">
        <w:rPr>
          <w:rFonts w:ascii="Times New Roman" w:hAnsi="Times New Roman"/>
          <w:color w:val="auto"/>
          <w:sz w:val="24"/>
          <w:szCs w:val="24"/>
        </w:rPr>
        <w:t xml:space="preserve">over </w:t>
      </w:r>
      <w:r w:rsidRPr="00125A2F">
        <w:rPr>
          <w:rFonts w:ascii="Times New Roman" w:hAnsi="Times New Roman"/>
          <w:i/>
          <w:color w:val="auto"/>
          <w:sz w:val="24"/>
          <w:szCs w:val="24"/>
        </w:rPr>
        <w:t xml:space="preserve">R. </w:t>
      </w:r>
      <w:proofErr w:type="spellStart"/>
      <w:r w:rsidRPr="00125A2F">
        <w:rPr>
          <w:rFonts w:ascii="Times New Roman" w:hAnsi="Times New Roman"/>
          <w:i/>
          <w:color w:val="auto"/>
          <w:sz w:val="24"/>
          <w:szCs w:val="24"/>
        </w:rPr>
        <w:t>stolonifer</w:t>
      </w:r>
      <w:proofErr w:type="spellEnd"/>
      <w:r w:rsidRPr="00125A2F">
        <w:rPr>
          <w:rFonts w:ascii="Times New Roman" w:hAnsi="Times New Roman"/>
          <w:color w:val="auto"/>
          <w:sz w:val="24"/>
          <w:szCs w:val="24"/>
        </w:rPr>
        <w:t>.</w:t>
      </w:r>
    </w:p>
    <w:p w14:paraId="13B369BC" w14:textId="77777777" w:rsidR="00D97F06" w:rsidRPr="00125A2F" w:rsidRDefault="00D97F06" w:rsidP="00D97F06">
      <w:pPr>
        <w:pStyle w:val="MDPI32textnoindent"/>
        <w:spacing w:line="240" w:lineRule="auto"/>
        <w:ind w:left="0"/>
        <w:rPr>
          <w:rFonts w:ascii="Times New Roman" w:hAnsi="Times New Roman"/>
          <w:color w:val="auto"/>
          <w:sz w:val="24"/>
          <w:szCs w:val="24"/>
        </w:rPr>
      </w:pPr>
      <w:r w:rsidRPr="00125A2F">
        <w:rPr>
          <w:rFonts w:ascii="Times New Roman" w:hAnsi="Times New Roman"/>
          <w:color w:val="auto"/>
          <w:sz w:val="24"/>
          <w:szCs w:val="24"/>
        </w:rPr>
        <w:t>Gap(nig/</w:t>
      </w:r>
      <w:proofErr w:type="spellStart"/>
      <w:r w:rsidRPr="00125A2F">
        <w:rPr>
          <w:rFonts w:ascii="Times New Roman" w:hAnsi="Times New Roman"/>
          <w:color w:val="auto"/>
          <w:sz w:val="24"/>
          <w:szCs w:val="24"/>
        </w:rPr>
        <w:t>st</w:t>
      </w:r>
      <w:proofErr w:type="spellEnd"/>
      <w:r w:rsidRPr="00125A2F">
        <w:rPr>
          <w:rFonts w:ascii="Times New Roman" w:hAnsi="Times New Roman"/>
          <w:color w:val="auto"/>
          <w:sz w:val="24"/>
          <w:szCs w:val="24"/>
        </w:rPr>
        <w:t xml:space="preserve">) &gt; 2 indicates that the B system is selective for protection against </w:t>
      </w:r>
      <w:r w:rsidRPr="00125A2F">
        <w:rPr>
          <w:rFonts w:ascii="Times New Roman" w:hAnsi="Times New Roman"/>
          <w:i/>
          <w:color w:val="auto"/>
          <w:sz w:val="24"/>
          <w:szCs w:val="24"/>
        </w:rPr>
        <w:t xml:space="preserve">A. </w:t>
      </w:r>
      <w:proofErr w:type="spellStart"/>
      <w:r w:rsidRPr="00125A2F">
        <w:rPr>
          <w:rFonts w:ascii="Times New Roman" w:hAnsi="Times New Roman"/>
          <w:i/>
          <w:color w:val="auto"/>
          <w:sz w:val="24"/>
          <w:szCs w:val="24"/>
        </w:rPr>
        <w:t>niger</w:t>
      </w:r>
      <w:proofErr w:type="spellEnd"/>
      <w:r w:rsidRPr="00125A2F">
        <w:rPr>
          <w:rFonts w:ascii="Times New Roman" w:hAnsi="Times New Roman"/>
          <w:color w:val="auto"/>
          <w:sz w:val="24"/>
          <w:szCs w:val="24"/>
        </w:rPr>
        <w:t xml:space="preserve"> over </w:t>
      </w:r>
      <w:r w:rsidRPr="00125A2F">
        <w:rPr>
          <w:rFonts w:ascii="Times New Roman" w:hAnsi="Times New Roman"/>
          <w:i/>
          <w:color w:val="auto"/>
          <w:sz w:val="24"/>
          <w:szCs w:val="24"/>
        </w:rPr>
        <w:t xml:space="preserve">R. </w:t>
      </w:r>
      <w:proofErr w:type="spellStart"/>
      <w:r w:rsidRPr="00125A2F">
        <w:rPr>
          <w:rFonts w:ascii="Times New Roman" w:hAnsi="Times New Roman"/>
          <w:i/>
          <w:color w:val="auto"/>
          <w:sz w:val="24"/>
          <w:szCs w:val="24"/>
        </w:rPr>
        <w:t>stolonifer</w:t>
      </w:r>
      <w:proofErr w:type="spellEnd"/>
      <w:r w:rsidRPr="00125A2F">
        <w:rPr>
          <w:rFonts w:ascii="Times New Roman" w:hAnsi="Times New Roman"/>
          <w:color w:val="auto"/>
          <w:sz w:val="24"/>
          <w:szCs w:val="24"/>
        </w:rPr>
        <w:t>.</w:t>
      </w:r>
    </w:p>
    <w:p w14:paraId="19DB9B2B" w14:textId="77777777" w:rsidR="00D97F06" w:rsidRDefault="00D97F06" w:rsidP="00C0219D">
      <w:pPr>
        <w:spacing w:line="360" w:lineRule="auto"/>
        <w:rPr>
          <w:b/>
          <w:color w:val="FF0000"/>
          <w:szCs w:val="24"/>
        </w:rPr>
      </w:pPr>
    </w:p>
    <w:p w14:paraId="34E9C3E3" w14:textId="77777777" w:rsidR="00C0219D" w:rsidRPr="00125A2F" w:rsidRDefault="00C0219D" w:rsidP="00C0219D">
      <w:pPr>
        <w:pStyle w:val="MDPI41tablecaption"/>
        <w:spacing w:before="0" w:after="0" w:line="240" w:lineRule="auto"/>
        <w:ind w:left="0"/>
        <w:rPr>
          <w:rFonts w:ascii="Times New Roman" w:hAnsi="Times New Roman" w:cs="Times New Roman"/>
          <w:color w:val="auto"/>
          <w:sz w:val="24"/>
          <w:szCs w:val="24"/>
        </w:rPr>
      </w:pPr>
      <w:r w:rsidRPr="00C0219D">
        <w:rPr>
          <w:rFonts w:ascii="Times New Roman" w:hAnsi="Times New Roman" w:cs="Times New Roman"/>
          <w:b/>
          <w:color w:val="auto"/>
          <w:sz w:val="24"/>
          <w:szCs w:val="24"/>
        </w:rPr>
        <w:t xml:space="preserve">Table 5: </w:t>
      </w:r>
      <w:r w:rsidRPr="00C0219D">
        <w:rPr>
          <w:rFonts w:ascii="Times New Roman" w:hAnsi="Times New Roman" w:cs="Times New Roman"/>
          <w:color w:val="auto"/>
          <w:sz w:val="24"/>
          <w:szCs w:val="24"/>
        </w:rPr>
        <w:t>The necessary data to evaluate the W system's selectivity for protection against fungal pathogens, along with the corresponding gap values (</w:t>
      </w:r>
      <w:proofErr w:type="spellStart"/>
      <w:r w:rsidRPr="00C0219D">
        <w:rPr>
          <w:rFonts w:ascii="Times New Roman" w:hAnsi="Times New Roman" w:cs="Times New Roman"/>
          <w:color w:val="auto"/>
          <w:sz w:val="24"/>
          <w:szCs w:val="24"/>
        </w:rPr>
        <w:t>cin</w:t>
      </w:r>
      <w:proofErr w:type="spellEnd"/>
      <w:r w:rsidRPr="00C0219D">
        <w:rPr>
          <w:rFonts w:ascii="Times New Roman" w:hAnsi="Times New Roman" w:cs="Times New Roman"/>
          <w:color w:val="auto"/>
          <w:sz w:val="24"/>
          <w:szCs w:val="24"/>
        </w:rPr>
        <w:t xml:space="preserve">/nig, </w:t>
      </w:r>
      <w:proofErr w:type="spellStart"/>
      <w:r w:rsidRPr="00C0219D">
        <w:rPr>
          <w:rFonts w:ascii="Times New Roman" w:hAnsi="Times New Roman" w:cs="Times New Roman"/>
          <w:color w:val="auto"/>
          <w:sz w:val="24"/>
          <w:szCs w:val="24"/>
        </w:rPr>
        <w:t>cin</w:t>
      </w:r>
      <w:proofErr w:type="spellEnd"/>
      <w:r w:rsidRPr="00C0219D">
        <w:rPr>
          <w:rFonts w:ascii="Times New Roman" w:hAnsi="Times New Roman" w:cs="Times New Roman"/>
          <w:color w:val="auto"/>
          <w:sz w:val="24"/>
          <w:szCs w:val="24"/>
        </w:rPr>
        <w:t>/</w:t>
      </w:r>
      <w:proofErr w:type="spellStart"/>
      <w:r w:rsidRPr="00C0219D">
        <w:rPr>
          <w:rFonts w:ascii="Times New Roman" w:hAnsi="Times New Roman" w:cs="Times New Roman"/>
          <w:color w:val="auto"/>
          <w:sz w:val="24"/>
          <w:szCs w:val="24"/>
        </w:rPr>
        <w:t>st</w:t>
      </w:r>
      <w:proofErr w:type="spellEnd"/>
      <w:r w:rsidRPr="00C0219D">
        <w:rPr>
          <w:rFonts w:ascii="Times New Roman" w:hAnsi="Times New Roman" w:cs="Times New Roman"/>
          <w:color w:val="auto"/>
          <w:sz w:val="24"/>
          <w:szCs w:val="24"/>
        </w:rPr>
        <w:t xml:space="preserve">, and </w:t>
      </w:r>
      <w:proofErr w:type="spellStart"/>
      <w:r w:rsidRPr="00C0219D">
        <w:rPr>
          <w:rFonts w:ascii="Times New Roman" w:hAnsi="Times New Roman" w:cs="Times New Roman"/>
          <w:color w:val="auto"/>
          <w:sz w:val="24"/>
          <w:szCs w:val="24"/>
        </w:rPr>
        <w:t>st</w:t>
      </w:r>
      <w:proofErr w:type="spellEnd"/>
      <w:r w:rsidRPr="00C0219D">
        <w:rPr>
          <w:rFonts w:ascii="Times New Roman" w:hAnsi="Times New Roman" w:cs="Times New Roman"/>
          <w:color w:val="auto"/>
          <w:sz w:val="24"/>
          <w:szCs w:val="24"/>
        </w:rPr>
        <w:t>/nig)</w:t>
      </w:r>
    </w:p>
    <w:tbl>
      <w:tblPr>
        <w:tblW w:w="9015" w:type="dxa"/>
        <w:tblLook w:val="04A0" w:firstRow="1" w:lastRow="0" w:firstColumn="1" w:lastColumn="0" w:noHBand="0" w:noVBand="1"/>
      </w:tblPr>
      <w:tblGrid>
        <w:gridCol w:w="955"/>
        <w:gridCol w:w="1850"/>
        <w:gridCol w:w="1300"/>
        <w:gridCol w:w="1198"/>
        <w:gridCol w:w="1198"/>
        <w:gridCol w:w="1239"/>
        <w:gridCol w:w="1275"/>
      </w:tblGrid>
      <w:tr w:rsidR="00C0219D" w:rsidRPr="00C0219D" w14:paraId="26BAE921" w14:textId="77777777" w:rsidTr="00C0219D">
        <w:trPr>
          <w:cantSplit/>
          <w:trHeight w:val="964"/>
        </w:trPr>
        <w:tc>
          <w:tcPr>
            <w:tcW w:w="793" w:type="dxa"/>
            <w:vMerge w:val="restart"/>
            <w:tcBorders>
              <w:top w:val="single" w:sz="4" w:space="0" w:color="auto"/>
              <w:bottom w:val="single" w:sz="4" w:space="0" w:color="auto"/>
            </w:tcBorders>
            <w:textDirection w:val="btLr"/>
            <w:vAlign w:val="center"/>
          </w:tcPr>
          <w:p w14:paraId="070CAA98" w14:textId="77777777" w:rsidR="00C0219D" w:rsidRPr="00C0219D" w:rsidRDefault="00C0219D" w:rsidP="00C0219D">
            <w:pPr>
              <w:spacing w:line="240" w:lineRule="auto"/>
              <w:jc w:val="center"/>
              <w:rPr>
                <w:b/>
                <w:color w:val="auto"/>
                <w:szCs w:val="24"/>
                <w:lang w:eastAsia="ru-RU"/>
              </w:rPr>
            </w:pPr>
            <w:r w:rsidRPr="00C0219D">
              <w:rPr>
                <w:b/>
                <w:color w:val="auto"/>
                <w:szCs w:val="24"/>
                <w:lang w:eastAsia="ru-RU"/>
              </w:rPr>
              <w:t>Fungal pathogens</w:t>
            </w:r>
          </w:p>
        </w:tc>
        <w:tc>
          <w:tcPr>
            <w:tcW w:w="1538" w:type="dxa"/>
            <w:vMerge w:val="restart"/>
            <w:tcBorders>
              <w:top w:val="single" w:sz="4" w:space="0" w:color="auto"/>
              <w:bottom w:val="single" w:sz="4" w:space="0" w:color="auto"/>
            </w:tcBorders>
            <w:noWrap/>
            <w:vAlign w:val="center"/>
          </w:tcPr>
          <w:p w14:paraId="0BF93581" w14:textId="77777777" w:rsidR="00C0219D" w:rsidRPr="00C0219D" w:rsidRDefault="00C0219D" w:rsidP="00C0219D">
            <w:pPr>
              <w:spacing w:line="240" w:lineRule="auto"/>
              <w:jc w:val="center"/>
              <w:rPr>
                <w:b/>
                <w:color w:val="auto"/>
                <w:szCs w:val="24"/>
                <w:lang w:eastAsia="ru-RU"/>
              </w:rPr>
            </w:pPr>
            <w:r w:rsidRPr="00C0219D">
              <w:rPr>
                <w:b/>
                <w:color w:val="auto"/>
                <w:szCs w:val="24"/>
                <w:lang w:eastAsia="ru-RU"/>
              </w:rPr>
              <w:t>Values</w:t>
            </w:r>
            <w:r w:rsidRPr="00C0219D">
              <w:rPr>
                <w:b/>
                <w:color w:val="auto"/>
                <w:szCs w:val="24"/>
                <w:vertAlign w:val="superscript"/>
                <w:lang w:eastAsia="ru-RU"/>
              </w:rPr>
              <w:t>§</w:t>
            </w:r>
          </w:p>
        </w:tc>
        <w:tc>
          <w:tcPr>
            <w:tcW w:w="5088" w:type="dxa"/>
            <w:gridSpan w:val="5"/>
            <w:tcBorders>
              <w:top w:val="single" w:sz="4" w:space="0" w:color="auto"/>
              <w:bottom w:val="single" w:sz="4" w:space="0" w:color="auto"/>
            </w:tcBorders>
            <w:noWrap/>
            <w:vAlign w:val="center"/>
          </w:tcPr>
          <w:p w14:paraId="728656C0" w14:textId="77777777" w:rsidR="00C0219D" w:rsidRPr="00C0219D" w:rsidRDefault="00C0219D" w:rsidP="00C0219D">
            <w:pPr>
              <w:spacing w:line="240" w:lineRule="auto"/>
              <w:jc w:val="center"/>
              <w:rPr>
                <w:color w:val="auto"/>
                <w:szCs w:val="24"/>
                <w:lang w:eastAsia="ru-RU"/>
              </w:rPr>
            </w:pPr>
            <w:r w:rsidRPr="00C0219D">
              <w:rPr>
                <w:b/>
                <w:color w:val="auto"/>
                <w:szCs w:val="24"/>
                <w:lang w:eastAsia="ru-RU"/>
              </w:rPr>
              <w:t>Yeast strains</w:t>
            </w:r>
            <w:r w:rsidRPr="00C0219D">
              <w:rPr>
                <w:b/>
                <w:color w:val="auto"/>
                <w:szCs w:val="24"/>
                <w:vertAlign w:val="superscript"/>
                <w:lang w:eastAsia="ru-RU"/>
              </w:rPr>
              <w:t>♯</w:t>
            </w:r>
          </w:p>
        </w:tc>
      </w:tr>
      <w:tr w:rsidR="00C0219D" w:rsidRPr="00C0219D" w14:paraId="39F8722E" w14:textId="77777777" w:rsidTr="00C0219D">
        <w:trPr>
          <w:trHeight w:val="60"/>
        </w:trPr>
        <w:tc>
          <w:tcPr>
            <w:tcW w:w="793" w:type="dxa"/>
            <w:vMerge/>
            <w:tcBorders>
              <w:top w:val="single" w:sz="4" w:space="0" w:color="auto"/>
            </w:tcBorders>
            <w:vAlign w:val="center"/>
          </w:tcPr>
          <w:p w14:paraId="6B8E67AF" w14:textId="77777777" w:rsidR="00C0219D" w:rsidRPr="00C0219D" w:rsidRDefault="00C0219D" w:rsidP="00C0219D">
            <w:pPr>
              <w:spacing w:line="240" w:lineRule="auto"/>
              <w:jc w:val="center"/>
              <w:rPr>
                <w:color w:val="auto"/>
                <w:szCs w:val="24"/>
                <w:lang w:eastAsia="ru-RU"/>
              </w:rPr>
            </w:pPr>
          </w:p>
        </w:tc>
        <w:tc>
          <w:tcPr>
            <w:tcW w:w="1538" w:type="dxa"/>
            <w:vMerge/>
            <w:tcBorders>
              <w:top w:val="single" w:sz="4" w:space="0" w:color="auto"/>
            </w:tcBorders>
            <w:noWrap/>
            <w:vAlign w:val="center"/>
            <w:hideMark/>
          </w:tcPr>
          <w:p w14:paraId="512C9677" w14:textId="77777777" w:rsidR="00C0219D" w:rsidRPr="00C0219D" w:rsidRDefault="00C0219D" w:rsidP="00C0219D">
            <w:pPr>
              <w:spacing w:line="240" w:lineRule="auto"/>
              <w:jc w:val="center"/>
              <w:rPr>
                <w:color w:val="auto"/>
                <w:szCs w:val="24"/>
                <w:lang w:eastAsia="ru-RU"/>
              </w:rPr>
            </w:pPr>
          </w:p>
        </w:tc>
        <w:tc>
          <w:tcPr>
            <w:tcW w:w="1066" w:type="dxa"/>
            <w:tcBorders>
              <w:top w:val="single" w:sz="4" w:space="0" w:color="auto"/>
              <w:bottom w:val="single" w:sz="4" w:space="0" w:color="auto"/>
            </w:tcBorders>
            <w:noWrap/>
            <w:vAlign w:val="center"/>
            <w:hideMark/>
          </w:tcPr>
          <w:p w14:paraId="369530AB" w14:textId="77777777" w:rsidR="00C0219D" w:rsidRPr="00C0219D" w:rsidRDefault="00C0219D" w:rsidP="00C0219D">
            <w:pPr>
              <w:spacing w:line="240" w:lineRule="auto"/>
              <w:jc w:val="center"/>
              <w:rPr>
                <w:b/>
                <w:color w:val="auto"/>
                <w:szCs w:val="24"/>
                <w:lang w:eastAsia="ru-RU"/>
              </w:rPr>
            </w:pPr>
            <w:r w:rsidRPr="00C0219D">
              <w:rPr>
                <w:b/>
                <w:color w:val="auto"/>
                <w:szCs w:val="24"/>
                <w:lang w:eastAsia="ru-RU"/>
              </w:rPr>
              <w:t>A2</w:t>
            </w:r>
          </w:p>
        </w:tc>
        <w:tc>
          <w:tcPr>
            <w:tcW w:w="959" w:type="dxa"/>
            <w:tcBorders>
              <w:top w:val="single" w:sz="4" w:space="0" w:color="auto"/>
              <w:bottom w:val="single" w:sz="4" w:space="0" w:color="auto"/>
            </w:tcBorders>
            <w:noWrap/>
            <w:vAlign w:val="center"/>
            <w:hideMark/>
          </w:tcPr>
          <w:p w14:paraId="1478D702" w14:textId="77777777" w:rsidR="00C0219D" w:rsidRPr="00C0219D" w:rsidRDefault="00C0219D" w:rsidP="00C0219D">
            <w:pPr>
              <w:spacing w:line="240" w:lineRule="auto"/>
              <w:jc w:val="center"/>
              <w:rPr>
                <w:b/>
                <w:color w:val="auto"/>
                <w:szCs w:val="24"/>
                <w:lang w:eastAsia="ru-RU"/>
              </w:rPr>
            </w:pPr>
            <w:r w:rsidRPr="00C0219D">
              <w:rPr>
                <w:b/>
                <w:color w:val="auto"/>
                <w:szCs w:val="24"/>
                <w:lang w:eastAsia="ru-RU"/>
              </w:rPr>
              <w:t>CL03</w:t>
            </w:r>
            <w:r w:rsidRPr="00C0219D">
              <w:rPr>
                <w:color w:val="auto"/>
                <w:szCs w:val="24"/>
                <w:vertAlign w:val="superscript"/>
              </w:rPr>
              <w:t>♣</w:t>
            </w:r>
          </w:p>
        </w:tc>
        <w:tc>
          <w:tcPr>
            <w:tcW w:w="973" w:type="dxa"/>
            <w:tcBorders>
              <w:top w:val="single" w:sz="4" w:space="0" w:color="auto"/>
              <w:bottom w:val="single" w:sz="4" w:space="0" w:color="auto"/>
            </w:tcBorders>
            <w:noWrap/>
            <w:vAlign w:val="center"/>
            <w:hideMark/>
          </w:tcPr>
          <w:p w14:paraId="7ADD14C1" w14:textId="77777777" w:rsidR="00C0219D" w:rsidRPr="00C0219D" w:rsidRDefault="00C0219D" w:rsidP="00C0219D">
            <w:pPr>
              <w:spacing w:line="240" w:lineRule="auto"/>
              <w:jc w:val="center"/>
              <w:rPr>
                <w:b/>
                <w:color w:val="auto"/>
                <w:szCs w:val="24"/>
                <w:lang w:eastAsia="ru-RU"/>
              </w:rPr>
            </w:pPr>
            <w:r w:rsidRPr="00C0219D">
              <w:rPr>
                <w:b/>
                <w:color w:val="auto"/>
                <w:szCs w:val="24"/>
                <w:lang w:eastAsia="ru-RU"/>
              </w:rPr>
              <w:t>AP11</w:t>
            </w:r>
            <w:r w:rsidRPr="00C0219D">
              <w:rPr>
                <w:color w:val="auto"/>
                <w:szCs w:val="24"/>
                <w:vertAlign w:val="superscript"/>
              </w:rPr>
              <w:t>♣</w:t>
            </w:r>
          </w:p>
        </w:tc>
        <w:tc>
          <w:tcPr>
            <w:tcW w:w="1030" w:type="dxa"/>
            <w:tcBorders>
              <w:top w:val="single" w:sz="4" w:space="0" w:color="auto"/>
              <w:bottom w:val="single" w:sz="4" w:space="0" w:color="auto"/>
            </w:tcBorders>
            <w:vAlign w:val="center"/>
          </w:tcPr>
          <w:p w14:paraId="0E7236B0" w14:textId="77777777" w:rsidR="00C0219D" w:rsidRPr="00C0219D" w:rsidRDefault="00C0219D" w:rsidP="00C0219D">
            <w:pPr>
              <w:spacing w:line="240" w:lineRule="auto"/>
              <w:jc w:val="center"/>
              <w:rPr>
                <w:b/>
                <w:color w:val="auto"/>
                <w:szCs w:val="24"/>
                <w:lang w:eastAsia="ru-RU"/>
              </w:rPr>
            </w:pPr>
            <w:r w:rsidRPr="00C0219D">
              <w:rPr>
                <w:b/>
                <w:color w:val="auto"/>
                <w:szCs w:val="24"/>
                <w:lang w:eastAsia="ru-RU"/>
              </w:rPr>
              <w:t>AP13</w:t>
            </w:r>
          </w:p>
        </w:tc>
        <w:tc>
          <w:tcPr>
            <w:tcW w:w="1060" w:type="dxa"/>
            <w:tcBorders>
              <w:top w:val="single" w:sz="4" w:space="0" w:color="auto"/>
              <w:bottom w:val="single" w:sz="4" w:space="0" w:color="auto"/>
            </w:tcBorders>
            <w:noWrap/>
            <w:vAlign w:val="center"/>
            <w:hideMark/>
          </w:tcPr>
          <w:p w14:paraId="4EA8BA1B" w14:textId="77777777" w:rsidR="00C0219D" w:rsidRPr="00C0219D" w:rsidRDefault="00C0219D" w:rsidP="00C0219D">
            <w:pPr>
              <w:spacing w:line="240" w:lineRule="auto"/>
              <w:jc w:val="center"/>
              <w:rPr>
                <w:b/>
                <w:color w:val="auto"/>
                <w:szCs w:val="24"/>
                <w:lang w:eastAsia="ru-RU"/>
              </w:rPr>
            </w:pPr>
            <w:r w:rsidRPr="00C0219D">
              <w:rPr>
                <w:b/>
                <w:color w:val="auto"/>
                <w:szCs w:val="24"/>
                <w:lang w:eastAsia="ru-RU"/>
              </w:rPr>
              <w:t>HU15</w:t>
            </w:r>
            <w:r w:rsidRPr="00C0219D">
              <w:rPr>
                <w:color w:val="auto"/>
                <w:szCs w:val="24"/>
                <w:vertAlign w:val="superscript"/>
              </w:rPr>
              <w:t>♣</w:t>
            </w:r>
          </w:p>
        </w:tc>
      </w:tr>
      <w:tr w:rsidR="00C0219D" w:rsidRPr="00C0219D" w14:paraId="60345D48" w14:textId="77777777" w:rsidTr="00BF1572">
        <w:trPr>
          <w:trHeight w:val="300"/>
        </w:trPr>
        <w:tc>
          <w:tcPr>
            <w:tcW w:w="793" w:type="dxa"/>
            <w:vMerge/>
            <w:tcBorders>
              <w:bottom w:val="single" w:sz="4" w:space="0" w:color="auto"/>
            </w:tcBorders>
            <w:vAlign w:val="center"/>
          </w:tcPr>
          <w:p w14:paraId="0B41166C" w14:textId="77777777" w:rsidR="00C0219D" w:rsidRPr="00C0219D" w:rsidRDefault="00C0219D" w:rsidP="00C0219D">
            <w:pPr>
              <w:spacing w:line="240" w:lineRule="auto"/>
              <w:jc w:val="center"/>
              <w:rPr>
                <w:color w:val="auto"/>
                <w:szCs w:val="24"/>
                <w:lang w:eastAsia="ru-RU"/>
              </w:rPr>
            </w:pPr>
          </w:p>
        </w:tc>
        <w:tc>
          <w:tcPr>
            <w:tcW w:w="1538" w:type="dxa"/>
            <w:vMerge/>
            <w:tcBorders>
              <w:bottom w:val="single" w:sz="4" w:space="0" w:color="auto"/>
            </w:tcBorders>
            <w:noWrap/>
            <w:vAlign w:val="center"/>
            <w:hideMark/>
          </w:tcPr>
          <w:p w14:paraId="5B05DA31" w14:textId="77777777" w:rsidR="00C0219D" w:rsidRPr="00C0219D" w:rsidRDefault="00C0219D" w:rsidP="00C0219D">
            <w:pPr>
              <w:spacing w:line="240" w:lineRule="auto"/>
              <w:jc w:val="center"/>
              <w:rPr>
                <w:color w:val="auto"/>
                <w:szCs w:val="24"/>
                <w:lang w:eastAsia="ru-RU"/>
              </w:rPr>
            </w:pPr>
          </w:p>
        </w:tc>
        <w:tc>
          <w:tcPr>
            <w:tcW w:w="5088" w:type="dxa"/>
            <w:gridSpan w:val="5"/>
            <w:tcBorders>
              <w:top w:val="single" w:sz="4" w:space="0" w:color="auto"/>
              <w:bottom w:val="single" w:sz="4" w:space="0" w:color="auto"/>
            </w:tcBorders>
            <w:vAlign w:val="center"/>
          </w:tcPr>
          <w:p w14:paraId="0A90630B" w14:textId="77777777" w:rsidR="00C0219D" w:rsidRPr="00C0219D" w:rsidRDefault="00C0219D" w:rsidP="00C0219D">
            <w:pPr>
              <w:spacing w:line="240" w:lineRule="auto"/>
              <w:jc w:val="center"/>
              <w:rPr>
                <w:b/>
                <w:color w:val="auto"/>
                <w:szCs w:val="24"/>
                <w:lang w:eastAsia="ru-RU"/>
              </w:rPr>
            </w:pPr>
            <w:r w:rsidRPr="00C0219D">
              <w:rPr>
                <w:b/>
                <w:color w:val="auto"/>
                <w:kern w:val="2"/>
                <w:szCs w:val="24"/>
              </w:rPr>
              <w:t>Percentage of infected artificial wounds (PIWpat), PIWB</w:t>
            </w:r>
          </w:p>
        </w:tc>
      </w:tr>
      <w:tr w:rsidR="00C0219D" w:rsidRPr="00C0219D" w14:paraId="79F5F7F3" w14:textId="77777777" w:rsidTr="00BF1572">
        <w:trPr>
          <w:trHeight w:val="300"/>
        </w:trPr>
        <w:tc>
          <w:tcPr>
            <w:tcW w:w="793" w:type="dxa"/>
            <w:vMerge w:val="restart"/>
            <w:tcBorders>
              <w:top w:val="single" w:sz="4" w:space="0" w:color="auto"/>
              <w:bottom w:val="single" w:sz="4" w:space="0" w:color="auto"/>
            </w:tcBorders>
            <w:textDirection w:val="btLr"/>
            <w:vAlign w:val="center"/>
          </w:tcPr>
          <w:p w14:paraId="53EB8D83" w14:textId="77777777" w:rsidR="00C0219D" w:rsidRPr="00C0219D" w:rsidRDefault="00C0219D" w:rsidP="00C0219D">
            <w:pPr>
              <w:spacing w:line="240" w:lineRule="auto"/>
              <w:jc w:val="center"/>
              <w:rPr>
                <w:b/>
                <w:color w:val="auto"/>
                <w:szCs w:val="24"/>
                <w:lang w:eastAsia="ru-RU"/>
              </w:rPr>
            </w:pPr>
            <w:r w:rsidRPr="00C0219D">
              <w:rPr>
                <w:b/>
                <w:i/>
                <w:color w:val="auto"/>
                <w:szCs w:val="24"/>
              </w:rPr>
              <w:lastRenderedPageBreak/>
              <w:t>B. cinerea</w:t>
            </w:r>
          </w:p>
        </w:tc>
        <w:tc>
          <w:tcPr>
            <w:tcW w:w="1538" w:type="dxa"/>
            <w:tcBorders>
              <w:top w:val="single" w:sz="4" w:space="0" w:color="auto"/>
            </w:tcBorders>
            <w:noWrap/>
            <w:vAlign w:val="center"/>
            <w:hideMark/>
          </w:tcPr>
          <w:p w14:paraId="0EA0CC2F" w14:textId="77777777" w:rsidR="00C0219D" w:rsidRPr="00C0219D" w:rsidRDefault="00C0219D" w:rsidP="00C0219D">
            <w:pPr>
              <w:spacing w:line="240" w:lineRule="auto"/>
              <w:jc w:val="center"/>
              <w:rPr>
                <w:b/>
                <w:color w:val="auto"/>
                <w:szCs w:val="24"/>
                <w:lang w:eastAsia="ru-RU"/>
              </w:rPr>
            </w:pPr>
            <w:r w:rsidRPr="00C0219D">
              <w:rPr>
                <w:b/>
                <w:color w:val="auto"/>
                <w:szCs w:val="24"/>
                <w:lang w:eastAsia="ru-RU"/>
              </w:rPr>
              <w:t>Mean</w:t>
            </w:r>
            <w:r w:rsidRPr="00C0219D">
              <w:rPr>
                <w:b/>
                <w:color w:val="auto"/>
                <w:szCs w:val="24"/>
                <w:vertAlign w:val="subscript"/>
                <w:lang w:eastAsia="ru-RU"/>
              </w:rPr>
              <w:t>cin</w:t>
            </w:r>
          </w:p>
        </w:tc>
        <w:tc>
          <w:tcPr>
            <w:tcW w:w="1066" w:type="dxa"/>
            <w:tcBorders>
              <w:top w:val="single" w:sz="4" w:space="0" w:color="auto"/>
            </w:tcBorders>
            <w:noWrap/>
            <w:vAlign w:val="center"/>
            <w:hideMark/>
          </w:tcPr>
          <w:p w14:paraId="49C5E8A3" w14:textId="77777777" w:rsidR="00C0219D" w:rsidRPr="00C0219D" w:rsidRDefault="00C0219D" w:rsidP="00C0219D">
            <w:pPr>
              <w:spacing w:line="240" w:lineRule="auto"/>
              <w:jc w:val="center"/>
              <w:rPr>
                <w:color w:val="auto"/>
                <w:szCs w:val="24"/>
                <w:lang w:eastAsia="ru-RU"/>
              </w:rPr>
            </w:pPr>
            <w:r w:rsidRPr="00C0219D">
              <w:rPr>
                <w:color w:val="auto"/>
                <w:szCs w:val="24"/>
                <w:lang w:eastAsia="ru-RU"/>
              </w:rPr>
              <w:t>15,28</w:t>
            </w:r>
          </w:p>
        </w:tc>
        <w:tc>
          <w:tcPr>
            <w:tcW w:w="959" w:type="dxa"/>
            <w:tcBorders>
              <w:top w:val="single" w:sz="4" w:space="0" w:color="auto"/>
            </w:tcBorders>
            <w:noWrap/>
            <w:vAlign w:val="center"/>
            <w:hideMark/>
          </w:tcPr>
          <w:p w14:paraId="487A8C95" w14:textId="77777777" w:rsidR="00C0219D" w:rsidRPr="00C0219D" w:rsidRDefault="00C0219D" w:rsidP="00C0219D">
            <w:pPr>
              <w:spacing w:line="240" w:lineRule="auto"/>
              <w:jc w:val="center"/>
              <w:rPr>
                <w:color w:val="auto"/>
                <w:szCs w:val="24"/>
                <w:lang w:val="ru-RU" w:eastAsia="ru-RU"/>
              </w:rPr>
            </w:pPr>
            <w:r w:rsidRPr="00C0219D">
              <w:rPr>
                <w:color w:val="auto"/>
                <w:szCs w:val="24"/>
                <w:lang w:eastAsia="ru-RU"/>
              </w:rPr>
              <w:t>2</w:t>
            </w:r>
            <w:r w:rsidRPr="00C0219D">
              <w:rPr>
                <w:color w:val="auto"/>
                <w:szCs w:val="24"/>
                <w:lang w:val="ru-RU" w:eastAsia="ru-RU"/>
              </w:rPr>
              <w:t>5</w:t>
            </w:r>
            <w:r w:rsidRPr="00C0219D">
              <w:rPr>
                <w:color w:val="auto"/>
                <w:szCs w:val="24"/>
                <w:lang w:eastAsia="ru-RU"/>
              </w:rPr>
              <w:t>,0</w:t>
            </w:r>
            <w:r w:rsidRPr="00C0219D">
              <w:rPr>
                <w:color w:val="auto"/>
                <w:szCs w:val="24"/>
                <w:lang w:val="ru-RU" w:eastAsia="ru-RU"/>
              </w:rPr>
              <w:t>0</w:t>
            </w:r>
          </w:p>
        </w:tc>
        <w:tc>
          <w:tcPr>
            <w:tcW w:w="973" w:type="dxa"/>
            <w:tcBorders>
              <w:top w:val="single" w:sz="4" w:space="0" w:color="auto"/>
            </w:tcBorders>
            <w:noWrap/>
            <w:vAlign w:val="center"/>
            <w:hideMark/>
          </w:tcPr>
          <w:p w14:paraId="20700207" w14:textId="77777777" w:rsidR="00C0219D" w:rsidRPr="00C0219D" w:rsidRDefault="00C0219D" w:rsidP="00C0219D">
            <w:pPr>
              <w:spacing w:line="240" w:lineRule="auto"/>
              <w:jc w:val="center"/>
              <w:rPr>
                <w:color w:val="auto"/>
                <w:szCs w:val="24"/>
                <w:lang w:val="ru-RU" w:eastAsia="ru-RU"/>
              </w:rPr>
            </w:pPr>
            <w:r w:rsidRPr="00C0219D">
              <w:rPr>
                <w:color w:val="auto"/>
                <w:szCs w:val="24"/>
                <w:lang w:eastAsia="ru-RU"/>
              </w:rPr>
              <w:t>18,</w:t>
            </w:r>
            <w:r w:rsidRPr="00C0219D">
              <w:rPr>
                <w:color w:val="auto"/>
                <w:szCs w:val="24"/>
                <w:lang w:val="ru-RU" w:eastAsia="ru-RU"/>
              </w:rPr>
              <w:t>06</w:t>
            </w:r>
          </w:p>
        </w:tc>
        <w:tc>
          <w:tcPr>
            <w:tcW w:w="1030" w:type="dxa"/>
            <w:tcBorders>
              <w:top w:val="single" w:sz="4" w:space="0" w:color="auto"/>
            </w:tcBorders>
          </w:tcPr>
          <w:p w14:paraId="040A8E7A" w14:textId="77777777" w:rsidR="00C0219D" w:rsidRPr="00C0219D" w:rsidRDefault="00C0219D" w:rsidP="00C0219D">
            <w:pPr>
              <w:spacing w:line="240" w:lineRule="auto"/>
              <w:jc w:val="center"/>
              <w:rPr>
                <w:color w:val="auto"/>
                <w:szCs w:val="24"/>
                <w:lang w:val="ru-RU" w:eastAsia="ru-RU"/>
              </w:rPr>
            </w:pPr>
            <w:r w:rsidRPr="00C0219D">
              <w:rPr>
                <w:color w:val="auto"/>
                <w:szCs w:val="24"/>
                <w:lang w:eastAsia="ru-RU"/>
              </w:rPr>
              <w:t>19,</w:t>
            </w:r>
            <w:r w:rsidRPr="00C0219D">
              <w:rPr>
                <w:color w:val="auto"/>
                <w:szCs w:val="24"/>
                <w:lang w:val="ru-RU" w:eastAsia="ru-RU"/>
              </w:rPr>
              <w:t>45</w:t>
            </w:r>
          </w:p>
        </w:tc>
        <w:tc>
          <w:tcPr>
            <w:tcW w:w="1060" w:type="dxa"/>
            <w:tcBorders>
              <w:top w:val="single" w:sz="4" w:space="0" w:color="auto"/>
            </w:tcBorders>
            <w:noWrap/>
            <w:vAlign w:val="center"/>
            <w:hideMark/>
          </w:tcPr>
          <w:p w14:paraId="2408A02F" w14:textId="77777777" w:rsidR="00C0219D" w:rsidRPr="00C0219D" w:rsidRDefault="00C0219D" w:rsidP="00C0219D">
            <w:pPr>
              <w:spacing w:line="240" w:lineRule="auto"/>
              <w:jc w:val="center"/>
              <w:rPr>
                <w:color w:val="auto"/>
                <w:szCs w:val="24"/>
                <w:lang w:val="ru-RU" w:eastAsia="ru-RU"/>
              </w:rPr>
            </w:pPr>
            <w:r w:rsidRPr="00C0219D">
              <w:rPr>
                <w:color w:val="auto"/>
                <w:szCs w:val="24"/>
                <w:lang w:eastAsia="ru-RU"/>
              </w:rPr>
              <w:t>1</w:t>
            </w:r>
            <w:r w:rsidRPr="00C0219D">
              <w:rPr>
                <w:color w:val="auto"/>
                <w:szCs w:val="24"/>
                <w:lang w:val="ru-RU" w:eastAsia="ru-RU"/>
              </w:rPr>
              <w:t>6</w:t>
            </w:r>
            <w:r w:rsidRPr="00C0219D">
              <w:rPr>
                <w:color w:val="auto"/>
                <w:szCs w:val="24"/>
                <w:lang w:eastAsia="ru-RU"/>
              </w:rPr>
              <w:t>,</w:t>
            </w:r>
            <w:r w:rsidRPr="00C0219D">
              <w:rPr>
                <w:color w:val="auto"/>
                <w:szCs w:val="24"/>
                <w:lang w:val="ru-RU" w:eastAsia="ru-RU"/>
              </w:rPr>
              <w:t>67</w:t>
            </w:r>
          </w:p>
        </w:tc>
      </w:tr>
      <w:tr w:rsidR="00C0219D" w:rsidRPr="00C0219D" w14:paraId="1497DAFF" w14:textId="77777777" w:rsidTr="00BF1572">
        <w:trPr>
          <w:trHeight w:val="300"/>
        </w:trPr>
        <w:tc>
          <w:tcPr>
            <w:tcW w:w="793" w:type="dxa"/>
            <w:vMerge/>
            <w:tcBorders>
              <w:bottom w:val="single" w:sz="4" w:space="0" w:color="auto"/>
            </w:tcBorders>
            <w:vAlign w:val="center"/>
          </w:tcPr>
          <w:p w14:paraId="6C360D0D" w14:textId="77777777" w:rsidR="00C0219D" w:rsidRPr="00C0219D" w:rsidRDefault="00C0219D" w:rsidP="00C0219D">
            <w:pPr>
              <w:spacing w:line="240" w:lineRule="auto"/>
              <w:jc w:val="center"/>
              <w:rPr>
                <w:b/>
                <w:color w:val="auto"/>
                <w:szCs w:val="24"/>
                <w:lang w:eastAsia="ru-RU"/>
              </w:rPr>
            </w:pPr>
          </w:p>
        </w:tc>
        <w:tc>
          <w:tcPr>
            <w:tcW w:w="1538" w:type="dxa"/>
            <w:noWrap/>
            <w:vAlign w:val="center"/>
            <w:hideMark/>
          </w:tcPr>
          <w:p w14:paraId="709F9B97" w14:textId="77777777" w:rsidR="00C0219D" w:rsidRPr="00C0219D" w:rsidRDefault="00C0219D" w:rsidP="00C0219D">
            <w:pPr>
              <w:spacing w:line="240" w:lineRule="auto"/>
              <w:jc w:val="center"/>
              <w:rPr>
                <w:b/>
                <w:color w:val="auto"/>
                <w:szCs w:val="24"/>
                <w:lang w:eastAsia="ru-RU"/>
              </w:rPr>
            </w:pPr>
            <w:r w:rsidRPr="00C0219D">
              <w:rPr>
                <w:b/>
                <w:color w:val="auto"/>
                <w:szCs w:val="24"/>
                <w:lang w:eastAsia="ru-RU"/>
              </w:rPr>
              <w:t>SD</w:t>
            </w:r>
            <w:r w:rsidRPr="00C0219D">
              <w:rPr>
                <w:b/>
                <w:color w:val="auto"/>
                <w:szCs w:val="24"/>
                <w:vertAlign w:val="subscript"/>
                <w:lang w:eastAsia="ru-RU"/>
              </w:rPr>
              <w:t>cin</w:t>
            </w:r>
          </w:p>
        </w:tc>
        <w:tc>
          <w:tcPr>
            <w:tcW w:w="1066" w:type="dxa"/>
            <w:noWrap/>
            <w:vAlign w:val="center"/>
            <w:hideMark/>
          </w:tcPr>
          <w:p w14:paraId="3620D10A" w14:textId="77777777" w:rsidR="00C0219D" w:rsidRPr="00C0219D" w:rsidRDefault="00C0219D" w:rsidP="00C0219D">
            <w:pPr>
              <w:spacing w:line="240" w:lineRule="auto"/>
              <w:jc w:val="center"/>
              <w:rPr>
                <w:color w:val="auto"/>
                <w:szCs w:val="24"/>
                <w:lang w:eastAsia="ru-RU"/>
              </w:rPr>
            </w:pPr>
            <w:r w:rsidRPr="00C0219D">
              <w:rPr>
                <w:color w:val="auto"/>
                <w:szCs w:val="24"/>
                <w:lang w:eastAsia="ru-RU"/>
              </w:rPr>
              <w:t>5,32</w:t>
            </w:r>
          </w:p>
        </w:tc>
        <w:tc>
          <w:tcPr>
            <w:tcW w:w="959" w:type="dxa"/>
            <w:noWrap/>
            <w:vAlign w:val="center"/>
            <w:hideMark/>
          </w:tcPr>
          <w:p w14:paraId="240036BD" w14:textId="77777777" w:rsidR="00C0219D" w:rsidRPr="00C0219D" w:rsidRDefault="00C0219D" w:rsidP="00C0219D">
            <w:pPr>
              <w:spacing w:line="240" w:lineRule="auto"/>
              <w:jc w:val="center"/>
              <w:rPr>
                <w:color w:val="auto"/>
                <w:szCs w:val="24"/>
                <w:lang w:val="ru-RU" w:eastAsia="ru-RU"/>
              </w:rPr>
            </w:pPr>
            <w:r w:rsidRPr="00C0219D">
              <w:rPr>
                <w:color w:val="auto"/>
                <w:szCs w:val="24"/>
                <w:lang w:val="ru-RU" w:eastAsia="ru-RU"/>
              </w:rPr>
              <w:t>3</w:t>
            </w:r>
            <w:r w:rsidRPr="00C0219D">
              <w:rPr>
                <w:color w:val="auto"/>
                <w:szCs w:val="24"/>
                <w:lang w:eastAsia="ru-RU"/>
              </w:rPr>
              <w:t>,</w:t>
            </w:r>
            <w:r w:rsidRPr="00C0219D">
              <w:rPr>
                <w:color w:val="auto"/>
                <w:szCs w:val="24"/>
                <w:lang w:val="ru-RU" w:eastAsia="ru-RU"/>
              </w:rPr>
              <w:t>21</w:t>
            </w:r>
          </w:p>
        </w:tc>
        <w:tc>
          <w:tcPr>
            <w:tcW w:w="973" w:type="dxa"/>
            <w:noWrap/>
            <w:vAlign w:val="center"/>
            <w:hideMark/>
          </w:tcPr>
          <w:p w14:paraId="3740BCCA" w14:textId="77777777" w:rsidR="00C0219D" w:rsidRPr="00C0219D" w:rsidRDefault="00C0219D" w:rsidP="00C0219D">
            <w:pPr>
              <w:spacing w:line="240" w:lineRule="auto"/>
              <w:jc w:val="center"/>
              <w:rPr>
                <w:color w:val="auto"/>
                <w:szCs w:val="24"/>
                <w:lang w:val="ru-RU" w:eastAsia="ru-RU"/>
              </w:rPr>
            </w:pPr>
            <w:r w:rsidRPr="00C0219D">
              <w:rPr>
                <w:color w:val="auto"/>
                <w:szCs w:val="24"/>
                <w:lang w:eastAsia="ru-RU"/>
              </w:rPr>
              <w:t>2,</w:t>
            </w:r>
            <w:r w:rsidRPr="00C0219D">
              <w:rPr>
                <w:color w:val="auto"/>
                <w:szCs w:val="24"/>
                <w:lang w:val="ru-RU" w:eastAsia="ru-RU"/>
              </w:rPr>
              <w:t>78</w:t>
            </w:r>
          </w:p>
        </w:tc>
        <w:tc>
          <w:tcPr>
            <w:tcW w:w="1030" w:type="dxa"/>
          </w:tcPr>
          <w:p w14:paraId="499759D7" w14:textId="77777777" w:rsidR="00C0219D" w:rsidRPr="00C0219D" w:rsidRDefault="00C0219D" w:rsidP="00C0219D">
            <w:pPr>
              <w:spacing w:line="240" w:lineRule="auto"/>
              <w:jc w:val="center"/>
              <w:rPr>
                <w:color w:val="auto"/>
                <w:szCs w:val="24"/>
                <w:lang w:val="ru-RU" w:eastAsia="ru-RU"/>
              </w:rPr>
            </w:pPr>
            <w:r w:rsidRPr="00C0219D">
              <w:rPr>
                <w:color w:val="auto"/>
                <w:szCs w:val="24"/>
                <w:lang w:val="ru-RU" w:eastAsia="ru-RU"/>
              </w:rPr>
              <w:t>5</w:t>
            </w:r>
            <w:r w:rsidRPr="00C0219D">
              <w:rPr>
                <w:color w:val="auto"/>
                <w:szCs w:val="24"/>
                <w:lang w:eastAsia="ru-RU"/>
              </w:rPr>
              <w:t>,</w:t>
            </w:r>
            <w:r w:rsidRPr="00C0219D">
              <w:rPr>
                <w:color w:val="auto"/>
                <w:szCs w:val="24"/>
                <w:lang w:val="ru-RU" w:eastAsia="ru-RU"/>
              </w:rPr>
              <w:t>56</w:t>
            </w:r>
          </w:p>
        </w:tc>
        <w:tc>
          <w:tcPr>
            <w:tcW w:w="1060" w:type="dxa"/>
            <w:noWrap/>
            <w:vAlign w:val="center"/>
            <w:hideMark/>
          </w:tcPr>
          <w:p w14:paraId="4E5E5962" w14:textId="77777777" w:rsidR="00C0219D" w:rsidRPr="00C0219D" w:rsidRDefault="00C0219D" w:rsidP="00C0219D">
            <w:pPr>
              <w:spacing w:line="240" w:lineRule="auto"/>
              <w:jc w:val="center"/>
              <w:rPr>
                <w:color w:val="auto"/>
                <w:szCs w:val="24"/>
                <w:lang w:val="ru-RU" w:eastAsia="ru-RU"/>
              </w:rPr>
            </w:pPr>
            <w:r w:rsidRPr="00C0219D">
              <w:rPr>
                <w:color w:val="auto"/>
                <w:szCs w:val="24"/>
                <w:lang w:eastAsia="ru-RU"/>
              </w:rPr>
              <w:t>0,</w:t>
            </w:r>
            <w:r w:rsidRPr="00C0219D">
              <w:rPr>
                <w:color w:val="auto"/>
                <w:szCs w:val="24"/>
                <w:lang w:val="ru-RU" w:eastAsia="ru-RU"/>
              </w:rPr>
              <w:t>00</w:t>
            </w:r>
          </w:p>
        </w:tc>
      </w:tr>
      <w:tr w:rsidR="00C0219D" w:rsidRPr="00C0219D" w14:paraId="27A91FC6" w14:textId="77777777" w:rsidTr="00C0219D">
        <w:trPr>
          <w:trHeight w:val="227"/>
        </w:trPr>
        <w:tc>
          <w:tcPr>
            <w:tcW w:w="793" w:type="dxa"/>
            <w:vMerge/>
            <w:tcBorders>
              <w:bottom w:val="single" w:sz="4" w:space="0" w:color="auto"/>
            </w:tcBorders>
            <w:vAlign w:val="center"/>
          </w:tcPr>
          <w:p w14:paraId="20B92CAD" w14:textId="77777777" w:rsidR="00C0219D" w:rsidRPr="00C0219D" w:rsidRDefault="00C0219D" w:rsidP="00C0219D">
            <w:pPr>
              <w:spacing w:line="240" w:lineRule="auto"/>
              <w:jc w:val="center"/>
              <w:rPr>
                <w:b/>
                <w:color w:val="auto"/>
                <w:szCs w:val="24"/>
                <w:lang w:eastAsia="ru-RU"/>
              </w:rPr>
            </w:pPr>
          </w:p>
        </w:tc>
        <w:tc>
          <w:tcPr>
            <w:tcW w:w="1538" w:type="dxa"/>
            <w:tcBorders>
              <w:bottom w:val="single" w:sz="4" w:space="0" w:color="auto"/>
            </w:tcBorders>
            <w:noWrap/>
            <w:vAlign w:val="center"/>
            <w:hideMark/>
          </w:tcPr>
          <w:p w14:paraId="7AF3999F" w14:textId="77777777" w:rsidR="00C0219D" w:rsidRPr="00C0219D" w:rsidRDefault="00C0219D" w:rsidP="00C0219D">
            <w:pPr>
              <w:spacing w:line="240" w:lineRule="auto"/>
              <w:jc w:val="center"/>
              <w:rPr>
                <w:b/>
                <w:color w:val="auto"/>
                <w:szCs w:val="24"/>
                <w:lang w:eastAsia="ru-RU"/>
              </w:rPr>
            </w:pPr>
            <w:r w:rsidRPr="00C0219D">
              <w:rPr>
                <w:b/>
                <w:color w:val="auto"/>
                <w:szCs w:val="24"/>
                <w:lang w:eastAsia="ru-RU"/>
              </w:rPr>
              <w:t>SE</w:t>
            </w:r>
            <w:r w:rsidRPr="00C0219D">
              <w:rPr>
                <w:b/>
                <w:color w:val="auto"/>
                <w:szCs w:val="24"/>
                <w:vertAlign w:val="subscript"/>
                <w:lang w:eastAsia="ru-RU"/>
              </w:rPr>
              <w:t>cin</w:t>
            </w:r>
          </w:p>
        </w:tc>
        <w:tc>
          <w:tcPr>
            <w:tcW w:w="1066" w:type="dxa"/>
            <w:tcBorders>
              <w:bottom w:val="single" w:sz="4" w:space="0" w:color="auto"/>
            </w:tcBorders>
            <w:noWrap/>
            <w:vAlign w:val="center"/>
            <w:hideMark/>
          </w:tcPr>
          <w:p w14:paraId="6E59727A" w14:textId="77777777" w:rsidR="00C0219D" w:rsidRPr="00C0219D" w:rsidRDefault="00C0219D" w:rsidP="00C0219D">
            <w:pPr>
              <w:spacing w:line="240" w:lineRule="auto"/>
              <w:jc w:val="center"/>
              <w:rPr>
                <w:color w:val="auto"/>
                <w:szCs w:val="24"/>
                <w:lang w:val="ru-RU" w:eastAsia="ru-RU"/>
              </w:rPr>
            </w:pPr>
            <w:r w:rsidRPr="00C0219D">
              <w:rPr>
                <w:color w:val="auto"/>
                <w:szCs w:val="24"/>
                <w:lang w:eastAsia="ru-RU"/>
              </w:rPr>
              <w:t>2,66</w:t>
            </w:r>
          </w:p>
        </w:tc>
        <w:tc>
          <w:tcPr>
            <w:tcW w:w="959" w:type="dxa"/>
            <w:tcBorders>
              <w:bottom w:val="single" w:sz="4" w:space="0" w:color="auto"/>
            </w:tcBorders>
            <w:noWrap/>
            <w:vAlign w:val="center"/>
            <w:hideMark/>
          </w:tcPr>
          <w:p w14:paraId="7889AD20" w14:textId="77777777" w:rsidR="00C0219D" w:rsidRPr="00C0219D" w:rsidRDefault="00C0219D" w:rsidP="00C0219D">
            <w:pPr>
              <w:spacing w:line="240" w:lineRule="auto"/>
              <w:jc w:val="center"/>
              <w:rPr>
                <w:color w:val="auto"/>
                <w:szCs w:val="24"/>
                <w:lang w:val="ru-RU" w:eastAsia="ru-RU"/>
              </w:rPr>
            </w:pPr>
            <w:r w:rsidRPr="00C0219D">
              <w:rPr>
                <w:color w:val="auto"/>
                <w:szCs w:val="24"/>
                <w:lang w:eastAsia="ru-RU"/>
              </w:rPr>
              <w:t>1,</w:t>
            </w:r>
            <w:r w:rsidRPr="00C0219D">
              <w:rPr>
                <w:color w:val="auto"/>
                <w:szCs w:val="24"/>
                <w:lang w:val="ru-RU" w:eastAsia="ru-RU"/>
              </w:rPr>
              <w:t>61</w:t>
            </w:r>
          </w:p>
        </w:tc>
        <w:tc>
          <w:tcPr>
            <w:tcW w:w="973" w:type="dxa"/>
            <w:tcBorders>
              <w:bottom w:val="single" w:sz="4" w:space="0" w:color="auto"/>
            </w:tcBorders>
            <w:noWrap/>
            <w:vAlign w:val="center"/>
            <w:hideMark/>
          </w:tcPr>
          <w:p w14:paraId="54C399BD" w14:textId="77777777" w:rsidR="00C0219D" w:rsidRPr="00C0219D" w:rsidRDefault="00C0219D" w:rsidP="00C0219D">
            <w:pPr>
              <w:spacing w:line="240" w:lineRule="auto"/>
              <w:jc w:val="center"/>
              <w:rPr>
                <w:color w:val="auto"/>
                <w:szCs w:val="24"/>
                <w:lang w:val="ru-RU" w:eastAsia="ru-RU"/>
              </w:rPr>
            </w:pPr>
            <w:r w:rsidRPr="00C0219D">
              <w:rPr>
                <w:color w:val="auto"/>
                <w:szCs w:val="24"/>
                <w:lang w:eastAsia="ru-RU"/>
              </w:rPr>
              <w:t>1,</w:t>
            </w:r>
            <w:r w:rsidRPr="00C0219D">
              <w:rPr>
                <w:color w:val="auto"/>
                <w:szCs w:val="24"/>
                <w:lang w:val="ru-RU" w:eastAsia="ru-RU"/>
              </w:rPr>
              <w:t>39</w:t>
            </w:r>
          </w:p>
        </w:tc>
        <w:tc>
          <w:tcPr>
            <w:tcW w:w="1030" w:type="dxa"/>
            <w:tcBorders>
              <w:bottom w:val="single" w:sz="4" w:space="0" w:color="auto"/>
            </w:tcBorders>
          </w:tcPr>
          <w:p w14:paraId="6EEDBDE6" w14:textId="77777777" w:rsidR="00C0219D" w:rsidRPr="00C0219D" w:rsidRDefault="00C0219D" w:rsidP="00C0219D">
            <w:pPr>
              <w:spacing w:line="240" w:lineRule="auto"/>
              <w:jc w:val="center"/>
              <w:rPr>
                <w:color w:val="auto"/>
                <w:szCs w:val="24"/>
                <w:lang w:val="ru-RU" w:eastAsia="ru-RU"/>
              </w:rPr>
            </w:pPr>
            <w:r w:rsidRPr="00C0219D">
              <w:rPr>
                <w:color w:val="auto"/>
                <w:szCs w:val="24"/>
                <w:lang w:eastAsia="ru-RU"/>
              </w:rPr>
              <w:t>2,</w:t>
            </w:r>
            <w:r w:rsidRPr="00C0219D">
              <w:rPr>
                <w:color w:val="auto"/>
                <w:szCs w:val="24"/>
                <w:lang w:val="ru-RU" w:eastAsia="ru-RU"/>
              </w:rPr>
              <w:t>78</w:t>
            </w:r>
          </w:p>
        </w:tc>
        <w:tc>
          <w:tcPr>
            <w:tcW w:w="1060" w:type="dxa"/>
            <w:tcBorders>
              <w:bottom w:val="single" w:sz="4" w:space="0" w:color="auto"/>
            </w:tcBorders>
            <w:noWrap/>
            <w:vAlign w:val="center"/>
            <w:hideMark/>
          </w:tcPr>
          <w:p w14:paraId="319B2361" w14:textId="77777777" w:rsidR="00C0219D" w:rsidRPr="00C0219D" w:rsidRDefault="00C0219D" w:rsidP="00C0219D">
            <w:pPr>
              <w:spacing w:line="240" w:lineRule="auto"/>
              <w:jc w:val="center"/>
              <w:rPr>
                <w:color w:val="auto"/>
                <w:szCs w:val="24"/>
                <w:lang w:val="ru-RU" w:eastAsia="ru-RU"/>
              </w:rPr>
            </w:pPr>
            <w:r w:rsidRPr="00C0219D">
              <w:rPr>
                <w:color w:val="auto"/>
                <w:szCs w:val="24"/>
                <w:lang w:eastAsia="ru-RU"/>
              </w:rPr>
              <w:t>0,</w:t>
            </w:r>
            <w:r w:rsidRPr="00C0219D">
              <w:rPr>
                <w:color w:val="auto"/>
                <w:szCs w:val="24"/>
                <w:lang w:val="ru-RU" w:eastAsia="ru-RU"/>
              </w:rPr>
              <w:t>00</w:t>
            </w:r>
          </w:p>
        </w:tc>
      </w:tr>
      <w:tr w:rsidR="00C0219D" w:rsidRPr="00C0219D" w14:paraId="2F209512" w14:textId="77777777" w:rsidTr="00C0219D">
        <w:trPr>
          <w:trHeight w:val="300"/>
        </w:trPr>
        <w:tc>
          <w:tcPr>
            <w:tcW w:w="793" w:type="dxa"/>
            <w:tcBorders>
              <w:top w:val="single" w:sz="4" w:space="0" w:color="auto"/>
              <w:bottom w:val="single" w:sz="4" w:space="0" w:color="auto"/>
            </w:tcBorders>
            <w:textDirection w:val="btLr"/>
            <w:vAlign w:val="center"/>
          </w:tcPr>
          <w:p w14:paraId="1E34B91C" w14:textId="77777777" w:rsidR="00C0219D" w:rsidRPr="00C0219D" w:rsidRDefault="00C0219D" w:rsidP="00C0219D">
            <w:pPr>
              <w:spacing w:line="240" w:lineRule="auto"/>
              <w:jc w:val="center"/>
              <w:rPr>
                <w:b/>
                <w:i/>
                <w:color w:val="auto"/>
                <w:szCs w:val="24"/>
              </w:rPr>
            </w:pPr>
          </w:p>
        </w:tc>
        <w:tc>
          <w:tcPr>
            <w:tcW w:w="1538" w:type="dxa"/>
            <w:tcBorders>
              <w:top w:val="single" w:sz="4" w:space="0" w:color="auto"/>
              <w:bottom w:val="single" w:sz="4" w:space="0" w:color="auto"/>
            </w:tcBorders>
            <w:noWrap/>
            <w:vAlign w:val="center"/>
          </w:tcPr>
          <w:p w14:paraId="67AE3A44" w14:textId="77777777" w:rsidR="00C0219D" w:rsidRPr="00C0219D" w:rsidRDefault="00C0219D" w:rsidP="00C0219D">
            <w:pPr>
              <w:spacing w:line="240" w:lineRule="auto"/>
              <w:jc w:val="center"/>
              <w:rPr>
                <w:b/>
                <w:color w:val="auto"/>
                <w:szCs w:val="24"/>
                <w:lang w:eastAsia="ru-RU"/>
              </w:rPr>
            </w:pPr>
          </w:p>
        </w:tc>
        <w:tc>
          <w:tcPr>
            <w:tcW w:w="5088" w:type="dxa"/>
            <w:gridSpan w:val="5"/>
            <w:tcBorders>
              <w:top w:val="single" w:sz="4" w:space="0" w:color="auto"/>
              <w:bottom w:val="single" w:sz="4" w:space="0" w:color="auto"/>
            </w:tcBorders>
            <w:vAlign w:val="center"/>
          </w:tcPr>
          <w:p w14:paraId="21FE2D67" w14:textId="77777777" w:rsidR="00C0219D" w:rsidRPr="00C0219D" w:rsidRDefault="00C0219D" w:rsidP="00C0219D">
            <w:pPr>
              <w:spacing w:line="240" w:lineRule="auto"/>
              <w:jc w:val="center"/>
              <w:rPr>
                <w:color w:val="auto"/>
                <w:szCs w:val="24"/>
                <w:lang w:eastAsia="ru-RU"/>
              </w:rPr>
            </w:pPr>
            <w:r w:rsidRPr="00C0219D">
              <w:rPr>
                <w:b/>
                <w:color w:val="auto"/>
                <w:kern w:val="2"/>
                <w:szCs w:val="24"/>
              </w:rPr>
              <w:t>Percentage of infected artificial wounds (PIWpat), PIWA</w:t>
            </w:r>
          </w:p>
        </w:tc>
      </w:tr>
      <w:tr w:rsidR="00C0219D" w:rsidRPr="00C0219D" w14:paraId="418C8384" w14:textId="77777777" w:rsidTr="00C0219D">
        <w:trPr>
          <w:trHeight w:val="300"/>
        </w:trPr>
        <w:tc>
          <w:tcPr>
            <w:tcW w:w="793" w:type="dxa"/>
            <w:vMerge w:val="restart"/>
            <w:tcBorders>
              <w:top w:val="single" w:sz="4" w:space="0" w:color="auto"/>
            </w:tcBorders>
            <w:textDirection w:val="btLr"/>
            <w:vAlign w:val="center"/>
          </w:tcPr>
          <w:p w14:paraId="1003A66A" w14:textId="77777777" w:rsidR="00C0219D" w:rsidRPr="00C0219D" w:rsidRDefault="00C0219D" w:rsidP="00C0219D">
            <w:pPr>
              <w:spacing w:line="240" w:lineRule="auto"/>
              <w:jc w:val="center"/>
              <w:rPr>
                <w:b/>
                <w:i/>
                <w:color w:val="auto"/>
                <w:szCs w:val="24"/>
              </w:rPr>
            </w:pPr>
            <w:r w:rsidRPr="00C0219D">
              <w:rPr>
                <w:b/>
                <w:i/>
                <w:color w:val="auto"/>
                <w:szCs w:val="24"/>
              </w:rPr>
              <w:t>A.niger</w:t>
            </w:r>
          </w:p>
        </w:tc>
        <w:tc>
          <w:tcPr>
            <w:tcW w:w="1538" w:type="dxa"/>
            <w:tcBorders>
              <w:top w:val="single" w:sz="4" w:space="0" w:color="auto"/>
            </w:tcBorders>
            <w:noWrap/>
            <w:vAlign w:val="center"/>
            <w:hideMark/>
          </w:tcPr>
          <w:p w14:paraId="7713DFEF" w14:textId="77777777" w:rsidR="00C0219D" w:rsidRPr="00C0219D" w:rsidRDefault="00C0219D" w:rsidP="00C0219D">
            <w:pPr>
              <w:spacing w:line="240" w:lineRule="auto"/>
              <w:jc w:val="center"/>
              <w:rPr>
                <w:b/>
                <w:color w:val="auto"/>
                <w:szCs w:val="24"/>
                <w:lang w:eastAsia="ru-RU"/>
              </w:rPr>
            </w:pPr>
            <w:r w:rsidRPr="00C0219D">
              <w:rPr>
                <w:b/>
                <w:color w:val="auto"/>
                <w:szCs w:val="24"/>
                <w:lang w:eastAsia="ru-RU"/>
              </w:rPr>
              <w:t>Mean</w:t>
            </w:r>
            <w:r w:rsidRPr="00C0219D">
              <w:rPr>
                <w:b/>
                <w:color w:val="auto"/>
                <w:szCs w:val="24"/>
                <w:vertAlign w:val="subscript"/>
                <w:lang w:eastAsia="ru-RU"/>
              </w:rPr>
              <w:t>nig</w:t>
            </w:r>
          </w:p>
        </w:tc>
        <w:tc>
          <w:tcPr>
            <w:tcW w:w="1066" w:type="dxa"/>
            <w:tcBorders>
              <w:top w:val="single" w:sz="4" w:space="0" w:color="auto"/>
            </w:tcBorders>
            <w:noWrap/>
            <w:vAlign w:val="center"/>
            <w:hideMark/>
          </w:tcPr>
          <w:p w14:paraId="5082D334" w14:textId="77777777" w:rsidR="00C0219D" w:rsidRPr="00C0219D" w:rsidRDefault="00C0219D" w:rsidP="00C0219D">
            <w:pPr>
              <w:spacing w:line="240" w:lineRule="auto"/>
              <w:jc w:val="center"/>
              <w:rPr>
                <w:color w:val="auto"/>
                <w:szCs w:val="24"/>
                <w:lang w:val="ru-RU" w:eastAsia="ru-RU"/>
              </w:rPr>
            </w:pPr>
            <w:r w:rsidRPr="00C0219D">
              <w:rPr>
                <w:color w:val="auto"/>
                <w:szCs w:val="24"/>
                <w:lang w:eastAsia="ru-RU"/>
              </w:rPr>
              <w:t>1</w:t>
            </w:r>
            <w:r w:rsidRPr="00C0219D">
              <w:rPr>
                <w:color w:val="auto"/>
                <w:szCs w:val="24"/>
                <w:lang w:val="ru-RU" w:eastAsia="ru-RU"/>
              </w:rPr>
              <w:t>6</w:t>
            </w:r>
            <w:r w:rsidRPr="00C0219D">
              <w:rPr>
                <w:color w:val="auto"/>
                <w:szCs w:val="24"/>
                <w:lang w:eastAsia="ru-RU"/>
              </w:rPr>
              <w:t>,</w:t>
            </w:r>
            <w:r w:rsidRPr="00C0219D">
              <w:rPr>
                <w:color w:val="auto"/>
                <w:szCs w:val="24"/>
                <w:lang w:val="ru-RU" w:eastAsia="ru-RU"/>
              </w:rPr>
              <w:t>67</w:t>
            </w:r>
          </w:p>
        </w:tc>
        <w:tc>
          <w:tcPr>
            <w:tcW w:w="959" w:type="dxa"/>
            <w:tcBorders>
              <w:top w:val="single" w:sz="4" w:space="0" w:color="auto"/>
            </w:tcBorders>
            <w:noWrap/>
            <w:vAlign w:val="center"/>
            <w:hideMark/>
          </w:tcPr>
          <w:p w14:paraId="45ED43A3" w14:textId="77777777" w:rsidR="00C0219D" w:rsidRPr="00C0219D" w:rsidRDefault="00C0219D" w:rsidP="00C0219D">
            <w:pPr>
              <w:spacing w:line="240" w:lineRule="auto"/>
              <w:jc w:val="center"/>
              <w:rPr>
                <w:color w:val="auto"/>
                <w:szCs w:val="24"/>
                <w:lang w:val="ru-RU" w:eastAsia="ru-RU"/>
              </w:rPr>
            </w:pPr>
            <w:r w:rsidRPr="00C0219D">
              <w:rPr>
                <w:color w:val="auto"/>
                <w:szCs w:val="24"/>
                <w:lang w:val="ru-RU" w:eastAsia="ru-RU"/>
              </w:rPr>
              <w:t>34,72</w:t>
            </w:r>
          </w:p>
        </w:tc>
        <w:tc>
          <w:tcPr>
            <w:tcW w:w="973" w:type="dxa"/>
            <w:tcBorders>
              <w:top w:val="single" w:sz="4" w:space="0" w:color="auto"/>
            </w:tcBorders>
            <w:noWrap/>
            <w:vAlign w:val="center"/>
            <w:hideMark/>
          </w:tcPr>
          <w:p w14:paraId="3A48A493" w14:textId="77777777" w:rsidR="00C0219D" w:rsidRPr="00C0219D" w:rsidRDefault="00C0219D" w:rsidP="00C0219D">
            <w:pPr>
              <w:spacing w:line="240" w:lineRule="auto"/>
              <w:jc w:val="center"/>
              <w:rPr>
                <w:color w:val="auto"/>
                <w:szCs w:val="24"/>
                <w:lang w:val="ru-RU" w:eastAsia="ru-RU"/>
              </w:rPr>
            </w:pPr>
            <w:r w:rsidRPr="00C0219D">
              <w:rPr>
                <w:color w:val="auto"/>
                <w:szCs w:val="24"/>
                <w:lang w:val="ru-RU" w:eastAsia="ru-RU"/>
              </w:rPr>
              <w:t>30,56</w:t>
            </w:r>
          </w:p>
        </w:tc>
        <w:tc>
          <w:tcPr>
            <w:tcW w:w="1030" w:type="dxa"/>
            <w:tcBorders>
              <w:top w:val="single" w:sz="4" w:space="0" w:color="auto"/>
            </w:tcBorders>
            <w:vAlign w:val="center"/>
          </w:tcPr>
          <w:p w14:paraId="0FDE6582" w14:textId="77777777" w:rsidR="00C0219D" w:rsidRPr="00C0219D" w:rsidRDefault="00C0219D" w:rsidP="00C0219D">
            <w:pPr>
              <w:spacing w:line="240" w:lineRule="auto"/>
              <w:jc w:val="center"/>
              <w:rPr>
                <w:color w:val="auto"/>
                <w:szCs w:val="24"/>
                <w:lang w:val="ru-RU" w:eastAsia="ru-RU"/>
              </w:rPr>
            </w:pPr>
            <w:r w:rsidRPr="00C0219D">
              <w:rPr>
                <w:color w:val="auto"/>
                <w:szCs w:val="24"/>
                <w:lang w:val="ru-RU" w:eastAsia="ru-RU"/>
              </w:rPr>
              <w:t>23,61</w:t>
            </w:r>
          </w:p>
        </w:tc>
        <w:tc>
          <w:tcPr>
            <w:tcW w:w="1060" w:type="dxa"/>
            <w:tcBorders>
              <w:top w:val="single" w:sz="4" w:space="0" w:color="auto"/>
            </w:tcBorders>
            <w:noWrap/>
            <w:vAlign w:val="center"/>
            <w:hideMark/>
          </w:tcPr>
          <w:p w14:paraId="61E8F85A" w14:textId="77777777" w:rsidR="00C0219D" w:rsidRPr="00C0219D" w:rsidRDefault="00C0219D" w:rsidP="00C0219D">
            <w:pPr>
              <w:spacing w:line="240" w:lineRule="auto"/>
              <w:jc w:val="center"/>
              <w:rPr>
                <w:color w:val="auto"/>
                <w:szCs w:val="24"/>
                <w:lang w:val="ru-RU" w:eastAsia="ru-RU"/>
              </w:rPr>
            </w:pPr>
            <w:r w:rsidRPr="00C0219D">
              <w:rPr>
                <w:color w:val="auto"/>
                <w:szCs w:val="24"/>
                <w:lang w:val="ru-RU" w:eastAsia="ru-RU"/>
              </w:rPr>
              <w:t>22,22</w:t>
            </w:r>
          </w:p>
        </w:tc>
      </w:tr>
      <w:tr w:rsidR="00C0219D" w:rsidRPr="00C0219D" w14:paraId="5228882E" w14:textId="77777777" w:rsidTr="00C0219D">
        <w:trPr>
          <w:trHeight w:val="300"/>
        </w:trPr>
        <w:tc>
          <w:tcPr>
            <w:tcW w:w="793" w:type="dxa"/>
            <w:vMerge/>
            <w:vAlign w:val="center"/>
          </w:tcPr>
          <w:p w14:paraId="469E2B3B" w14:textId="77777777" w:rsidR="00C0219D" w:rsidRPr="00C0219D" w:rsidRDefault="00C0219D" w:rsidP="00C0219D">
            <w:pPr>
              <w:spacing w:line="240" w:lineRule="auto"/>
              <w:jc w:val="center"/>
              <w:rPr>
                <w:b/>
                <w:i/>
                <w:color w:val="auto"/>
                <w:szCs w:val="24"/>
              </w:rPr>
            </w:pPr>
          </w:p>
        </w:tc>
        <w:tc>
          <w:tcPr>
            <w:tcW w:w="1538" w:type="dxa"/>
            <w:noWrap/>
            <w:vAlign w:val="center"/>
            <w:hideMark/>
          </w:tcPr>
          <w:p w14:paraId="3CED4CD4" w14:textId="77777777" w:rsidR="00C0219D" w:rsidRPr="00C0219D" w:rsidRDefault="00C0219D" w:rsidP="00C0219D">
            <w:pPr>
              <w:spacing w:line="240" w:lineRule="auto"/>
              <w:jc w:val="center"/>
              <w:rPr>
                <w:b/>
                <w:color w:val="auto"/>
                <w:szCs w:val="24"/>
                <w:lang w:eastAsia="ru-RU"/>
              </w:rPr>
            </w:pPr>
            <w:r w:rsidRPr="00C0219D">
              <w:rPr>
                <w:b/>
                <w:color w:val="auto"/>
                <w:szCs w:val="24"/>
                <w:lang w:eastAsia="ru-RU"/>
              </w:rPr>
              <w:t>SD</w:t>
            </w:r>
            <w:r w:rsidRPr="00C0219D">
              <w:rPr>
                <w:b/>
                <w:color w:val="auto"/>
                <w:szCs w:val="24"/>
                <w:vertAlign w:val="subscript"/>
                <w:lang w:eastAsia="ru-RU"/>
              </w:rPr>
              <w:t>nig</w:t>
            </w:r>
          </w:p>
        </w:tc>
        <w:tc>
          <w:tcPr>
            <w:tcW w:w="1066" w:type="dxa"/>
            <w:noWrap/>
            <w:vAlign w:val="center"/>
            <w:hideMark/>
          </w:tcPr>
          <w:p w14:paraId="76A9250C" w14:textId="77777777" w:rsidR="00C0219D" w:rsidRPr="00C0219D" w:rsidRDefault="00C0219D" w:rsidP="00C0219D">
            <w:pPr>
              <w:spacing w:line="240" w:lineRule="auto"/>
              <w:jc w:val="center"/>
              <w:rPr>
                <w:color w:val="auto"/>
                <w:szCs w:val="24"/>
                <w:lang w:val="ru-RU" w:eastAsia="ru-RU"/>
              </w:rPr>
            </w:pPr>
            <w:r w:rsidRPr="00C0219D">
              <w:rPr>
                <w:color w:val="auto"/>
                <w:szCs w:val="24"/>
                <w:lang w:val="ru-RU" w:eastAsia="ru-RU"/>
              </w:rPr>
              <w:t>4</w:t>
            </w:r>
            <w:r w:rsidRPr="00C0219D">
              <w:rPr>
                <w:color w:val="auto"/>
                <w:szCs w:val="24"/>
                <w:lang w:eastAsia="ru-RU"/>
              </w:rPr>
              <w:t>,5</w:t>
            </w:r>
            <w:r w:rsidRPr="00C0219D">
              <w:rPr>
                <w:color w:val="auto"/>
                <w:szCs w:val="24"/>
                <w:lang w:val="ru-RU" w:eastAsia="ru-RU"/>
              </w:rPr>
              <w:t>4</w:t>
            </w:r>
          </w:p>
        </w:tc>
        <w:tc>
          <w:tcPr>
            <w:tcW w:w="959" w:type="dxa"/>
            <w:noWrap/>
            <w:vAlign w:val="center"/>
            <w:hideMark/>
          </w:tcPr>
          <w:p w14:paraId="51FF3ADD" w14:textId="77777777" w:rsidR="00C0219D" w:rsidRPr="00C0219D" w:rsidRDefault="00C0219D" w:rsidP="00C0219D">
            <w:pPr>
              <w:spacing w:line="240" w:lineRule="auto"/>
              <w:jc w:val="center"/>
              <w:rPr>
                <w:color w:val="auto"/>
                <w:szCs w:val="24"/>
                <w:lang w:val="ru-RU" w:eastAsia="ru-RU"/>
              </w:rPr>
            </w:pPr>
            <w:r w:rsidRPr="00C0219D">
              <w:rPr>
                <w:color w:val="auto"/>
                <w:szCs w:val="24"/>
                <w:lang w:val="ru-RU" w:eastAsia="ru-RU"/>
              </w:rPr>
              <w:t>2,78</w:t>
            </w:r>
          </w:p>
        </w:tc>
        <w:tc>
          <w:tcPr>
            <w:tcW w:w="973" w:type="dxa"/>
            <w:noWrap/>
            <w:vAlign w:val="center"/>
            <w:hideMark/>
          </w:tcPr>
          <w:p w14:paraId="478213B7" w14:textId="77777777" w:rsidR="00C0219D" w:rsidRPr="00C0219D" w:rsidRDefault="00C0219D" w:rsidP="00C0219D">
            <w:pPr>
              <w:spacing w:line="240" w:lineRule="auto"/>
              <w:jc w:val="center"/>
              <w:rPr>
                <w:color w:val="auto"/>
                <w:szCs w:val="24"/>
                <w:lang w:val="ru-RU" w:eastAsia="ru-RU"/>
              </w:rPr>
            </w:pPr>
            <w:r w:rsidRPr="00C0219D">
              <w:rPr>
                <w:color w:val="auto"/>
                <w:szCs w:val="24"/>
                <w:lang w:val="ru-RU" w:eastAsia="ru-RU"/>
              </w:rPr>
              <w:t>3,20</w:t>
            </w:r>
          </w:p>
        </w:tc>
        <w:tc>
          <w:tcPr>
            <w:tcW w:w="1030" w:type="dxa"/>
            <w:vAlign w:val="center"/>
          </w:tcPr>
          <w:p w14:paraId="643B2EBE" w14:textId="77777777" w:rsidR="00C0219D" w:rsidRPr="00C0219D" w:rsidRDefault="00C0219D" w:rsidP="00C0219D">
            <w:pPr>
              <w:spacing w:line="240" w:lineRule="auto"/>
              <w:jc w:val="center"/>
              <w:rPr>
                <w:color w:val="auto"/>
                <w:szCs w:val="24"/>
                <w:lang w:val="ru-RU" w:eastAsia="ru-RU"/>
              </w:rPr>
            </w:pPr>
            <w:r w:rsidRPr="00C0219D">
              <w:rPr>
                <w:color w:val="auto"/>
                <w:szCs w:val="24"/>
                <w:lang w:val="ru-RU" w:eastAsia="ru-RU"/>
              </w:rPr>
              <w:t>2,78</w:t>
            </w:r>
          </w:p>
        </w:tc>
        <w:tc>
          <w:tcPr>
            <w:tcW w:w="1060" w:type="dxa"/>
            <w:noWrap/>
            <w:vAlign w:val="center"/>
            <w:hideMark/>
          </w:tcPr>
          <w:p w14:paraId="4D7D1201" w14:textId="77777777" w:rsidR="00C0219D" w:rsidRPr="00C0219D" w:rsidRDefault="00C0219D" w:rsidP="00C0219D">
            <w:pPr>
              <w:spacing w:line="240" w:lineRule="auto"/>
              <w:jc w:val="center"/>
              <w:rPr>
                <w:color w:val="auto"/>
                <w:szCs w:val="24"/>
                <w:lang w:val="ru-RU" w:eastAsia="ru-RU"/>
              </w:rPr>
            </w:pPr>
            <w:r w:rsidRPr="00C0219D">
              <w:rPr>
                <w:color w:val="auto"/>
                <w:szCs w:val="24"/>
                <w:lang w:val="ru-RU" w:eastAsia="ru-RU"/>
              </w:rPr>
              <w:t>9,07</w:t>
            </w:r>
          </w:p>
        </w:tc>
      </w:tr>
      <w:tr w:rsidR="00C0219D" w:rsidRPr="00C0219D" w14:paraId="2539D867" w14:textId="77777777" w:rsidTr="00C0219D">
        <w:trPr>
          <w:trHeight w:val="300"/>
        </w:trPr>
        <w:tc>
          <w:tcPr>
            <w:tcW w:w="793" w:type="dxa"/>
            <w:vMerge/>
            <w:vAlign w:val="center"/>
          </w:tcPr>
          <w:p w14:paraId="77FD220D" w14:textId="77777777" w:rsidR="00C0219D" w:rsidRPr="00C0219D" w:rsidRDefault="00C0219D" w:rsidP="00C0219D">
            <w:pPr>
              <w:spacing w:line="240" w:lineRule="auto"/>
              <w:jc w:val="center"/>
              <w:rPr>
                <w:b/>
                <w:i/>
                <w:color w:val="auto"/>
                <w:szCs w:val="24"/>
              </w:rPr>
            </w:pPr>
          </w:p>
        </w:tc>
        <w:tc>
          <w:tcPr>
            <w:tcW w:w="1538" w:type="dxa"/>
            <w:noWrap/>
            <w:vAlign w:val="center"/>
            <w:hideMark/>
          </w:tcPr>
          <w:p w14:paraId="451048A7" w14:textId="77777777" w:rsidR="00C0219D" w:rsidRPr="00C0219D" w:rsidRDefault="00C0219D" w:rsidP="00C0219D">
            <w:pPr>
              <w:spacing w:line="240" w:lineRule="auto"/>
              <w:jc w:val="center"/>
              <w:rPr>
                <w:b/>
                <w:color w:val="auto"/>
                <w:szCs w:val="24"/>
                <w:lang w:eastAsia="ru-RU"/>
              </w:rPr>
            </w:pPr>
            <w:r w:rsidRPr="00C0219D">
              <w:rPr>
                <w:b/>
                <w:color w:val="auto"/>
                <w:szCs w:val="24"/>
                <w:lang w:eastAsia="ru-RU"/>
              </w:rPr>
              <w:t>SE</w:t>
            </w:r>
            <w:r w:rsidRPr="00C0219D">
              <w:rPr>
                <w:b/>
                <w:color w:val="auto"/>
                <w:szCs w:val="24"/>
                <w:vertAlign w:val="subscript"/>
                <w:lang w:eastAsia="ru-RU"/>
              </w:rPr>
              <w:t>nig</w:t>
            </w:r>
          </w:p>
        </w:tc>
        <w:tc>
          <w:tcPr>
            <w:tcW w:w="1066" w:type="dxa"/>
            <w:noWrap/>
            <w:vAlign w:val="center"/>
            <w:hideMark/>
          </w:tcPr>
          <w:p w14:paraId="1CC0194B" w14:textId="77777777" w:rsidR="00C0219D" w:rsidRPr="00C0219D" w:rsidRDefault="00C0219D" w:rsidP="00C0219D">
            <w:pPr>
              <w:spacing w:line="240" w:lineRule="auto"/>
              <w:jc w:val="center"/>
              <w:rPr>
                <w:color w:val="auto"/>
                <w:szCs w:val="24"/>
                <w:lang w:val="ru-RU" w:eastAsia="ru-RU"/>
              </w:rPr>
            </w:pPr>
            <w:r w:rsidRPr="00C0219D">
              <w:rPr>
                <w:color w:val="auto"/>
                <w:szCs w:val="24"/>
                <w:lang w:val="ru-RU" w:eastAsia="ru-RU"/>
              </w:rPr>
              <w:t>2</w:t>
            </w:r>
            <w:r w:rsidRPr="00C0219D">
              <w:rPr>
                <w:color w:val="auto"/>
                <w:szCs w:val="24"/>
                <w:lang w:eastAsia="ru-RU"/>
              </w:rPr>
              <w:t>,</w:t>
            </w:r>
            <w:r w:rsidRPr="00C0219D">
              <w:rPr>
                <w:color w:val="auto"/>
                <w:szCs w:val="24"/>
                <w:lang w:val="ru-RU" w:eastAsia="ru-RU"/>
              </w:rPr>
              <w:t>27</w:t>
            </w:r>
          </w:p>
        </w:tc>
        <w:tc>
          <w:tcPr>
            <w:tcW w:w="959" w:type="dxa"/>
            <w:noWrap/>
            <w:vAlign w:val="center"/>
            <w:hideMark/>
          </w:tcPr>
          <w:p w14:paraId="109717EF" w14:textId="77777777" w:rsidR="00C0219D" w:rsidRPr="00C0219D" w:rsidRDefault="00C0219D" w:rsidP="00C0219D">
            <w:pPr>
              <w:spacing w:line="240" w:lineRule="auto"/>
              <w:jc w:val="center"/>
              <w:rPr>
                <w:color w:val="auto"/>
                <w:szCs w:val="24"/>
                <w:lang w:val="ru-RU" w:eastAsia="ru-RU"/>
              </w:rPr>
            </w:pPr>
            <w:r w:rsidRPr="00C0219D">
              <w:rPr>
                <w:color w:val="auto"/>
                <w:szCs w:val="24"/>
                <w:lang w:val="ru-RU" w:eastAsia="ru-RU"/>
              </w:rPr>
              <w:t>1,39</w:t>
            </w:r>
          </w:p>
        </w:tc>
        <w:tc>
          <w:tcPr>
            <w:tcW w:w="973" w:type="dxa"/>
            <w:noWrap/>
            <w:vAlign w:val="center"/>
            <w:hideMark/>
          </w:tcPr>
          <w:p w14:paraId="0F7DDC75" w14:textId="77777777" w:rsidR="00C0219D" w:rsidRPr="00C0219D" w:rsidRDefault="00C0219D" w:rsidP="00C0219D">
            <w:pPr>
              <w:spacing w:line="240" w:lineRule="auto"/>
              <w:jc w:val="center"/>
              <w:rPr>
                <w:color w:val="auto"/>
                <w:szCs w:val="24"/>
                <w:lang w:val="ru-RU" w:eastAsia="ru-RU"/>
              </w:rPr>
            </w:pPr>
            <w:r w:rsidRPr="00C0219D">
              <w:rPr>
                <w:color w:val="auto"/>
                <w:szCs w:val="24"/>
                <w:lang w:val="ru-RU" w:eastAsia="ru-RU"/>
              </w:rPr>
              <w:t>1,60</w:t>
            </w:r>
          </w:p>
        </w:tc>
        <w:tc>
          <w:tcPr>
            <w:tcW w:w="1030" w:type="dxa"/>
            <w:vAlign w:val="center"/>
          </w:tcPr>
          <w:p w14:paraId="6A7F238E" w14:textId="77777777" w:rsidR="00C0219D" w:rsidRPr="00C0219D" w:rsidRDefault="00C0219D" w:rsidP="00C0219D">
            <w:pPr>
              <w:spacing w:line="240" w:lineRule="auto"/>
              <w:jc w:val="center"/>
              <w:rPr>
                <w:color w:val="auto"/>
                <w:szCs w:val="24"/>
                <w:lang w:val="ru-RU" w:eastAsia="ru-RU"/>
              </w:rPr>
            </w:pPr>
            <w:r w:rsidRPr="00C0219D">
              <w:rPr>
                <w:color w:val="auto"/>
                <w:szCs w:val="24"/>
                <w:lang w:val="ru-RU" w:eastAsia="ru-RU"/>
              </w:rPr>
              <w:t>1,39</w:t>
            </w:r>
          </w:p>
        </w:tc>
        <w:tc>
          <w:tcPr>
            <w:tcW w:w="1060" w:type="dxa"/>
            <w:noWrap/>
            <w:vAlign w:val="center"/>
            <w:hideMark/>
          </w:tcPr>
          <w:p w14:paraId="2A84017D" w14:textId="77777777" w:rsidR="00C0219D" w:rsidRPr="00C0219D" w:rsidRDefault="00C0219D" w:rsidP="00C0219D">
            <w:pPr>
              <w:spacing w:line="240" w:lineRule="auto"/>
              <w:jc w:val="center"/>
              <w:rPr>
                <w:color w:val="auto"/>
                <w:szCs w:val="24"/>
                <w:lang w:val="ru-RU" w:eastAsia="ru-RU"/>
              </w:rPr>
            </w:pPr>
            <w:r w:rsidRPr="00C0219D">
              <w:rPr>
                <w:color w:val="auto"/>
                <w:szCs w:val="24"/>
                <w:lang w:val="ru-RU" w:eastAsia="ru-RU"/>
              </w:rPr>
              <w:t>4,54</w:t>
            </w:r>
          </w:p>
        </w:tc>
      </w:tr>
      <w:tr w:rsidR="00C0219D" w:rsidRPr="00C0219D" w14:paraId="5EF06E6C" w14:textId="77777777" w:rsidTr="00C0219D">
        <w:trPr>
          <w:trHeight w:val="300"/>
        </w:trPr>
        <w:tc>
          <w:tcPr>
            <w:tcW w:w="793" w:type="dxa"/>
            <w:vMerge/>
            <w:tcBorders>
              <w:bottom w:val="single" w:sz="4" w:space="0" w:color="auto"/>
            </w:tcBorders>
            <w:vAlign w:val="center"/>
          </w:tcPr>
          <w:p w14:paraId="372F9F8A" w14:textId="77777777" w:rsidR="00C0219D" w:rsidRPr="00C0219D" w:rsidRDefault="00C0219D" w:rsidP="00C0219D">
            <w:pPr>
              <w:spacing w:line="240" w:lineRule="auto"/>
              <w:jc w:val="center"/>
              <w:rPr>
                <w:b/>
                <w:i/>
                <w:color w:val="auto"/>
                <w:szCs w:val="24"/>
              </w:rPr>
            </w:pPr>
          </w:p>
        </w:tc>
        <w:tc>
          <w:tcPr>
            <w:tcW w:w="1538" w:type="dxa"/>
            <w:tcBorders>
              <w:bottom w:val="single" w:sz="4" w:space="0" w:color="auto"/>
            </w:tcBorders>
            <w:noWrap/>
            <w:vAlign w:val="center"/>
          </w:tcPr>
          <w:p w14:paraId="39084CD9" w14:textId="77777777" w:rsidR="00C0219D" w:rsidRPr="00C0219D" w:rsidRDefault="00C0219D" w:rsidP="00C0219D">
            <w:pPr>
              <w:spacing w:line="240" w:lineRule="auto"/>
              <w:jc w:val="left"/>
              <w:rPr>
                <w:b/>
                <w:color w:val="auto"/>
                <w:szCs w:val="24"/>
                <w:lang w:eastAsia="ru-RU"/>
              </w:rPr>
            </w:pPr>
            <w:r w:rsidRPr="00C0219D">
              <w:rPr>
                <w:b/>
                <w:color w:val="auto"/>
                <w:szCs w:val="24"/>
                <w:lang w:eastAsia="ru-RU"/>
              </w:rPr>
              <w:t>Gap (cin/nig)</w:t>
            </w:r>
          </w:p>
        </w:tc>
        <w:tc>
          <w:tcPr>
            <w:tcW w:w="1066" w:type="dxa"/>
            <w:tcBorders>
              <w:bottom w:val="single" w:sz="4" w:space="0" w:color="auto"/>
            </w:tcBorders>
            <w:noWrap/>
            <w:vAlign w:val="center"/>
          </w:tcPr>
          <w:p w14:paraId="0E78E0E6" w14:textId="77777777" w:rsidR="00C0219D" w:rsidRPr="00C0219D" w:rsidRDefault="00C0219D" w:rsidP="00C0219D">
            <w:pPr>
              <w:spacing w:line="240" w:lineRule="auto"/>
              <w:jc w:val="left"/>
              <w:rPr>
                <w:b/>
                <w:bCs/>
                <w:color w:val="auto"/>
                <w:szCs w:val="24"/>
              </w:rPr>
            </w:pPr>
            <w:r w:rsidRPr="00C0219D">
              <w:rPr>
                <w:b/>
                <w:bCs/>
                <w:color w:val="auto"/>
                <w:szCs w:val="24"/>
              </w:rPr>
              <w:t>-1,4358</w:t>
            </w:r>
            <w:r w:rsidRPr="00C0219D">
              <w:rPr>
                <w:b/>
                <w:bCs/>
                <w:color w:val="auto"/>
                <w:szCs w:val="24"/>
                <w:vertAlign w:val="superscript"/>
              </w:rPr>
              <w:t>Nd</w:t>
            </w:r>
          </w:p>
        </w:tc>
        <w:tc>
          <w:tcPr>
            <w:tcW w:w="959" w:type="dxa"/>
            <w:tcBorders>
              <w:bottom w:val="single" w:sz="4" w:space="0" w:color="auto"/>
            </w:tcBorders>
            <w:noWrap/>
            <w:vAlign w:val="center"/>
          </w:tcPr>
          <w:p w14:paraId="4E5896A5" w14:textId="77777777" w:rsidR="00C0219D" w:rsidRPr="00C0219D" w:rsidRDefault="00C0219D" w:rsidP="00C0219D">
            <w:pPr>
              <w:spacing w:line="240" w:lineRule="auto"/>
              <w:jc w:val="center"/>
              <w:rPr>
                <w:b/>
                <w:bCs/>
                <w:color w:val="auto"/>
                <w:szCs w:val="24"/>
              </w:rPr>
            </w:pPr>
            <w:r w:rsidRPr="00C0219D">
              <w:rPr>
                <w:b/>
                <w:bCs/>
                <w:color w:val="auto"/>
                <w:szCs w:val="24"/>
              </w:rPr>
              <w:t>4,49074</w:t>
            </w:r>
          </w:p>
        </w:tc>
        <w:tc>
          <w:tcPr>
            <w:tcW w:w="973" w:type="dxa"/>
            <w:tcBorders>
              <w:bottom w:val="single" w:sz="4" w:space="0" w:color="auto"/>
            </w:tcBorders>
            <w:noWrap/>
            <w:vAlign w:val="center"/>
          </w:tcPr>
          <w:p w14:paraId="37980F89" w14:textId="77777777" w:rsidR="00C0219D" w:rsidRPr="00C0219D" w:rsidRDefault="00C0219D" w:rsidP="00C0219D">
            <w:pPr>
              <w:spacing w:line="240" w:lineRule="auto"/>
              <w:jc w:val="center"/>
              <w:rPr>
                <w:b/>
                <w:bCs/>
                <w:color w:val="auto"/>
                <w:szCs w:val="24"/>
              </w:rPr>
            </w:pPr>
            <w:r w:rsidRPr="00C0219D">
              <w:rPr>
                <w:b/>
                <w:bCs/>
                <w:color w:val="auto"/>
                <w:szCs w:val="24"/>
              </w:rPr>
              <w:t>6,36052</w:t>
            </w:r>
          </w:p>
        </w:tc>
        <w:tc>
          <w:tcPr>
            <w:tcW w:w="1030" w:type="dxa"/>
            <w:tcBorders>
              <w:bottom w:val="single" w:sz="4" w:space="0" w:color="auto"/>
            </w:tcBorders>
            <w:vAlign w:val="center"/>
          </w:tcPr>
          <w:p w14:paraId="5F98BB35" w14:textId="77777777" w:rsidR="00C0219D" w:rsidRPr="00C0219D" w:rsidRDefault="00C0219D" w:rsidP="00C0219D">
            <w:pPr>
              <w:spacing w:line="240" w:lineRule="auto"/>
              <w:jc w:val="center"/>
              <w:rPr>
                <w:b/>
                <w:bCs/>
                <w:color w:val="auto"/>
                <w:szCs w:val="24"/>
              </w:rPr>
            </w:pPr>
            <w:r w:rsidRPr="00C0219D">
              <w:rPr>
                <w:b/>
                <w:bCs/>
                <w:color w:val="auto"/>
                <w:szCs w:val="24"/>
              </w:rPr>
              <w:t>-0,0024</w:t>
            </w:r>
          </w:p>
        </w:tc>
        <w:tc>
          <w:tcPr>
            <w:tcW w:w="1060" w:type="dxa"/>
            <w:tcBorders>
              <w:bottom w:val="single" w:sz="4" w:space="0" w:color="auto"/>
            </w:tcBorders>
            <w:noWrap/>
            <w:vAlign w:val="center"/>
          </w:tcPr>
          <w:p w14:paraId="0152C230" w14:textId="77777777" w:rsidR="00C0219D" w:rsidRPr="00C0219D" w:rsidRDefault="00C0219D" w:rsidP="00C0219D">
            <w:pPr>
              <w:spacing w:line="240" w:lineRule="auto"/>
              <w:jc w:val="center"/>
              <w:rPr>
                <w:b/>
                <w:bCs/>
                <w:color w:val="auto"/>
                <w:szCs w:val="24"/>
              </w:rPr>
            </w:pPr>
            <w:r w:rsidRPr="00C0219D">
              <w:rPr>
                <w:b/>
                <w:bCs/>
                <w:color w:val="auto"/>
                <w:szCs w:val="24"/>
              </w:rPr>
              <w:t>0,44728</w:t>
            </w:r>
          </w:p>
        </w:tc>
      </w:tr>
      <w:tr w:rsidR="00C0219D" w:rsidRPr="00C0219D" w14:paraId="5F256064" w14:textId="77777777" w:rsidTr="00C0219D">
        <w:trPr>
          <w:trHeight w:val="300"/>
        </w:trPr>
        <w:tc>
          <w:tcPr>
            <w:tcW w:w="793" w:type="dxa"/>
            <w:tcBorders>
              <w:top w:val="single" w:sz="4" w:space="0" w:color="auto"/>
              <w:bottom w:val="single" w:sz="4" w:space="0" w:color="auto"/>
            </w:tcBorders>
            <w:textDirection w:val="btLr"/>
            <w:vAlign w:val="center"/>
          </w:tcPr>
          <w:p w14:paraId="48C90DE9" w14:textId="77777777" w:rsidR="00C0219D" w:rsidRPr="00C0219D" w:rsidRDefault="00C0219D" w:rsidP="00C0219D">
            <w:pPr>
              <w:spacing w:line="240" w:lineRule="auto"/>
              <w:jc w:val="center"/>
              <w:rPr>
                <w:b/>
                <w:i/>
                <w:color w:val="auto"/>
                <w:szCs w:val="24"/>
              </w:rPr>
            </w:pPr>
          </w:p>
        </w:tc>
        <w:tc>
          <w:tcPr>
            <w:tcW w:w="1538" w:type="dxa"/>
            <w:tcBorders>
              <w:top w:val="single" w:sz="4" w:space="0" w:color="auto"/>
              <w:bottom w:val="single" w:sz="4" w:space="0" w:color="auto"/>
            </w:tcBorders>
            <w:noWrap/>
            <w:vAlign w:val="center"/>
          </w:tcPr>
          <w:p w14:paraId="64277F6E" w14:textId="77777777" w:rsidR="00C0219D" w:rsidRPr="00C0219D" w:rsidRDefault="00C0219D" w:rsidP="00C0219D">
            <w:pPr>
              <w:spacing w:line="240" w:lineRule="auto"/>
              <w:jc w:val="center"/>
              <w:rPr>
                <w:b/>
                <w:color w:val="auto"/>
                <w:szCs w:val="24"/>
                <w:lang w:eastAsia="ru-RU"/>
              </w:rPr>
            </w:pPr>
          </w:p>
        </w:tc>
        <w:tc>
          <w:tcPr>
            <w:tcW w:w="5088" w:type="dxa"/>
            <w:gridSpan w:val="5"/>
            <w:tcBorders>
              <w:top w:val="single" w:sz="4" w:space="0" w:color="auto"/>
              <w:bottom w:val="single" w:sz="4" w:space="0" w:color="auto"/>
            </w:tcBorders>
            <w:vAlign w:val="center"/>
          </w:tcPr>
          <w:p w14:paraId="5A508C5B" w14:textId="77777777" w:rsidR="00C0219D" w:rsidRPr="00C0219D" w:rsidRDefault="00C0219D" w:rsidP="00C0219D">
            <w:pPr>
              <w:spacing w:line="240" w:lineRule="auto"/>
              <w:jc w:val="center"/>
              <w:rPr>
                <w:color w:val="auto"/>
                <w:szCs w:val="24"/>
                <w:lang w:eastAsia="ru-RU"/>
              </w:rPr>
            </w:pPr>
            <w:r w:rsidRPr="00C0219D">
              <w:rPr>
                <w:b/>
                <w:color w:val="auto"/>
                <w:kern w:val="2"/>
                <w:szCs w:val="24"/>
              </w:rPr>
              <w:t>Percentage of infected artificial wounds (PIWpat), PIWR</w:t>
            </w:r>
          </w:p>
        </w:tc>
      </w:tr>
      <w:tr w:rsidR="00C0219D" w:rsidRPr="00C0219D" w14:paraId="024DAF1C" w14:textId="77777777" w:rsidTr="00C0219D">
        <w:trPr>
          <w:trHeight w:val="300"/>
        </w:trPr>
        <w:tc>
          <w:tcPr>
            <w:tcW w:w="793" w:type="dxa"/>
            <w:vMerge w:val="restart"/>
            <w:tcBorders>
              <w:top w:val="single" w:sz="4" w:space="0" w:color="auto"/>
            </w:tcBorders>
            <w:textDirection w:val="btLr"/>
            <w:vAlign w:val="center"/>
          </w:tcPr>
          <w:p w14:paraId="37EFB44B" w14:textId="77777777" w:rsidR="00C0219D" w:rsidRPr="00C0219D" w:rsidRDefault="00C0219D" w:rsidP="00C0219D">
            <w:pPr>
              <w:spacing w:line="240" w:lineRule="auto"/>
              <w:jc w:val="center"/>
              <w:rPr>
                <w:b/>
                <w:i/>
                <w:color w:val="auto"/>
                <w:szCs w:val="24"/>
              </w:rPr>
            </w:pPr>
            <w:r w:rsidRPr="00C0219D">
              <w:rPr>
                <w:b/>
                <w:i/>
                <w:color w:val="auto"/>
                <w:szCs w:val="24"/>
              </w:rPr>
              <w:t>R. stolonifer</w:t>
            </w:r>
          </w:p>
        </w:tc>
        <w:tc>
          <w:tcPr>
            <w:tcW w:w="1538" w:type="dxa"/>
            <w:tcBorders>
              <w:top w:val="single" w:sz="4" w:space="0" w:color="auto"/>
            </w:tcBorders>
            <w:noWrap/>
            <w:vAlign w:val="center"/>
            <w:hideMark/>
          </w:tcPr>
          <w:p w14:paraId="01E48488" w14:textId="77777777" w:rsidR="00C0219D" w:rsidRPr="00C0219D" w:rsidRDefault="00C0219D" w:rsidP="00C0219D">
            <w:pPr>
              <w:spacing w:line="240" w:lineRule="auto"/>
              <w:jc w:val="center"/>
              <w:rPr>
                <w:b/>
                <w:color w:val="auto"/>
                <w:szCs w:val="24"/>
                <w:lang w:eastAsia="ru-RU"/>
              </w:rPr>
            </w:pPr>
            <w:r w:rsidRPr="00C0219D">
              <w:rPr>
                <w:b/>
                <w:color w:val="auto"/>
                <w:szCs w:val="24"/>
                <w:lang w:eastAsia="ru-RU"/>
              </w:rPr>
              <w:t>Mean</w:t>
            </w:r>
            <w:r w:rsidRPr="00C0219D">
              <w:rPr>
                <w:b/>
                <w:color w:val="auto"/>
                <w:szCs w:val="24"/>
                <w:vertAlign w:val="subscript"/>
                <w:lang w:eastAsia="ru-RU"/>
              </w:rPr>
              <w:t>st</w:t>
            </w:r>
          </w:p>
        </w:tc>
        <w:tc>
          <w:tcPr>
            <w:tcW w:w="1066" w:type="dxa"/>
            <w:tcBorders>
              <w:top w:val="single" w:sz="4" w:space="0" w:color="auto"/>
            </w:tcBorders>
            <w:noWrap/>
            <w:vAlign w:val="center"/>
            <w:hideMark/>
          </w:tcPr>
          <w:p w14:paraId="36BCFC5F" w14:textId="77777777" w:rsidR="00C0219D" w:rsidRPr="00C0219D" w:rsidRDefault="00C0219D" w:rsidP="00C0219D">
            <w:pPr>
              <w:spacing w:line="240" w:lineRule="auto"/>
              <w:jc w:val="center"/>
              <w:rPr>
                <w:color w:val="auto"/>
                <w:szCs w:val="24"/>
                <w:lang w:val="ru-RU" w:eastAsia="ru-RU"/>
              </w:rPr>
            </w:pPr>
            <w:r w:rsidRPr="00C0219D">
              <w:rPr>
                <w:color w:val="auto"/>
                <w:szCs w:val="24"/>
                <w:lang w:val="ru-RU" w:eastAsia="ru-RU"/>
              </w:rPr>
              <w:t>22,22</w:t>
            </w:r>
          </w:p>
        </w:tc>
        <w:tc>
          <w:tcPr>
            <w:tcW w:w="959" w:type="dxa"/>
            <w:tcBorders>
              <w:top w:val="single" w:sz="4" w:space="0" w:color="auto"/>
            </w:tcBorders>
            <w:noWrap/>
            <w:vAlign w:val="center"/>
            <w:hideMark/>
          </w:tcPr>
          <w:p w14:paraId="0B2A8D60" w14:textId="77777777" w:rsidR="00C0219D" w:rsidRPr="00C0219D" w:rsidRDefault="00C0219D" w:rsidP="00C0219D">
            <w:pPr>
              <w:spacing w:line="240" w:lineRule="auto"/>
              <w:jc w:val="center"/>
              <w:rPr>
                <w:color w:val="auto"/>
                <w:szCs w:val="24"/>
                <w:lang w:val="ru-RU" w:eastAsia="ru-RU"/>
              </w:rPr>
            </w:pPr>
            <w:r w:rsidRPr="00C0219D">
              <w:rPr>
                <w:color w:val="auto"/>
                <w:szCs w:val="24"/>
                <w:lang w:val="ru-RU" w:eastAsia="ru-RU"/>
              </w:rPr>
              <w:t>26,39</w:t>
            </w:r>
          </w:p>
        </w:tc>
        <w:tc>
          <w:tcPr>
            <w:tcW w:w="973" w:type="dxa"/>
            <w:tcBorders>
              <w:top w:val="single" w:sz="4" w:space="0" w:color="auto"/>
            </w:tcBorders>
            <w:noWrap/>
            <w:vAlign w:val="center"/>
            <w:hideMark/>
          </w:tcPr>
          <w:p w14:paraId="7A7E6394" w14:textId="77777777" w:rsidR="00C0219D" w:rsidRPr="00C0219D" w:rsidRDefault="00C0219D" w:rsidP="00C0219D">
            <w:pPr>
              <w:spacing w:line="240" w:lineRule="auto"/>
              <w:jc w:val="center"/>
              <w:rPr>
                <w:color w:val="auto"/>
                <w:szCs w:val="24"/>
                <w:lang w:val="ru-RU" w:eastAsia="ru-RU"/>
              </w:rPr>
            </w:pPr>
            <w:r w:rsidRPr="00C0219D">
              <w:rPr>
                <w:color w:val="auto"/>
                <w:szCs w:val="24"/>
                <w:lang w:val="ru-RU" w:eastAsia="ru-RU"/>
              </w:rPr>
              <w:t>23,61</w:t>
            </w:r>
          </w:p>
        </w:tc>
        <w:tc>
          <w:tcPr>
            <w:tcW w:w="1030" w:type="dxa"/>
            <w:tcBorders>
              <w:top w:val="single" w:sz="4" w:space="0" w:color="auto"/>
            </w:tcBorders>
            <w:vAlign w:val="center"/>
          </w:tcPr>
          <w:p w14:paraId="5DBF1E73" w14:textId="77777777" w:rsidR="00C0219D" w:rsidRPr="00C0219D" w:rsidRDefault="00C0219D" w:rsidP="00C0219D">
            <w:pPr>
              <w:spacing w:line="240" w:lineRule="auto"/>
              <w:jc w:val="center"/>
              <w:rPr>
                <w:color w:val="auto"/>
                <w:szCs w:val="24"/>
                <w:lang w:val="ru-RU" w:eastAsia="ru-RU"/>
              </w:rPr>
            </w:pPr>
            <w:r w:rsidRPr="00C0219D">
              <w:rPr>
                <w:color w:val="auto"/>
                <w:szCs w:val="24"/>
                <w:lang w:val="ru-RU" w:eastAsia="ru-RU"/>
              </w:rPr>
              <w:t>26,39</w:t>
            </w:r>
          </w:p>
        </w:tc>
        <w:tc>
          <w:tcPr>
            <w:tcW w:w="1060" w:type="dxa"/>
            <w:tcBorders>
              <w:top w:val="single" w:sz="4" w:space="0" w:color="auto"/>
            </w:tcBorders>
            <w:noWrap/>
            <w:vAlign w:val="center"/>
            <w:hideMark/>
          </w:tcPr>
          <w:p w14:paraId="07FFFB05" w14:textId="77777777" w:rsidR="00C0219D" w:rsidRPr="00C0219D" w:rsidRDefault="00C0219D" w:rsidP="00C0219D">
            <w:pPr>
              <w:spacing w:line="240" w:lineRule="auto"/>
              <w:jc w:val="center"/>
              <w:rPr>
                <w:color w:val="auto"/>
                <w:szCs w:val="24"/>
                <w:lang w:val="ru-RU" w:eastAsia="ru-RU"/>
              </w:rPr>
            </w:pPr>
            <w:r w:rsidRPr="00C0219D">
              <w:rPr>
                <w:color w:val="auto"/>
                <w:szCs w:val="24"/>
                <w:lang w:val="ru-RU" w:eastAsia="ru-RU"/>
              </w:rPr>
              <w:t>18,06</w:t>
            </w:r>
          </w:p>
        </w:tc>
      </w:tr>
      <w:tr w:rsidR="00C0219D" w:rsidRPr="00C0219D" w14:paraId="43F61C34" w14:textId="77777777" w:rsidTr="00C0219D">
        <w:trPr>
          <w:trHeight w:val="300"/>
        </w:trPr>
        <w:tc>
          <w:tcPr>
            <w:tcW w:w="793" w:type="dxa"/>
            <w:vMerge/>
            <w:vAlign w:val="center"/>
          </w:tcPr>
          <w:p w14:paraId="794372CD" w14:textId="77777777" w:rsidR="00C0219D" w:rsidRPr="00C0219D" w:rsidRDefault="00C0219D" w:rsidP="00C0219D">
            <w:pPr>
              <w:spacing w:line="240" w:lineRule="auto"/>
              <w:jc w:val="center"/>
              <w:rPr>
                <w:b/>
                <w:color w:val="auto"/>
                <w:szCs w:val="24"/>
                <w:lang w:eastAsia="ru-RU"/>
              </w:rPr>
            </w:pPr>
          </w:p>
        </w:tc>
        <w:tc>
          <w:tcPr>
            <w:tcW w:w="1538" w:type="dxa"/>
            <w:noWrap/>
            <w:vAlign w:val="center"/>
            <w:hideMark/>
          </w:tcPr>
          <w:p w14:paraId="2B981411" w14:textId="77777777" w:rsidR="00C0219D" w:rsidRPr="00C0219D" w:rsidRDefault="00C0219D" w:rsidP="00C0219D">
            <w:pPr>
              <w:spacing w:line="240" w:lineRule="auto"/>
              <w:jc w:val="center"/>
              <w:rPr>
                <w:b/>
                <w:color w:val="auto"/>
                <w:szCs w:val="24"/>
                <w:lang w:eastAsia="ru-RU"/>
              </w:rPr>
            </w:pPr>
            <w:r w:rsidRPr="00C0219D">
              <w:rPr>
                <w:b/>
                <w:color w:val="auto"/>
                <w:szCs w:val="24"/>
                <w:lang w:eastAsia="ru-RU"/>
              </w:rPr>
              <w:t>SD</w:t>
            </w:r>
            <w:r w:rsidRPr="00C0219D">
              <w:rPr>
                <w:b/>
                <w:color w:val="auto"/>
                <w:szCs w:val="24"/>
                <w:vertAlign w:val="subscript"/>
                <w:lang w:eastAsia="ru-RU"/>
              </w:rPr>
              <w:t>st</w:t>
            </w:r>
          </w:p>
        </w:tc>
        <w:tc>
          <w:tcPr>
            <w:tcW w:w="1066" w:type="dxa"/>
            <w:noWrap/>
            <w:vAlign w:val="center"/>
            <w:hideMark/>
          </w:tcPr>
          <w:p w14:paraId="0446A8D2" w14:textId="77777777" w:rsidR="00C0219D" w:rsidRPr="00C0219D" w:rsidRDefault="00C0219D" w:rsidP="00C0219D">
            <w:pPr>
              <w:spacing w:line="240" w:lineRule="auto"/>
              <w:jc w:val="center"/>
              <w:rPr>
                <w:color w:val="auto"/>
                <w:szCs w:val="24"/>
                <w:lang w:val="ru-RU" w:eastAsia="ru-RU"/>
              </w:rPr>
            </w:pPr>
            <w:r w:rsidRPr="00C0219D">
              <w:rPr>
                <w:color w:val="auto"/>
                <w:szCs w:val="24"/>
                <w:lang w:val="ru-RU" w:eastAsia="ru-RU"/>
              </w:rPr>
              <w:t>4,54</w:t>
            </w:r>
          </w:p>
        </w:tc>
        <w:tc>
          <w:tcPr>
            <w:tcW w:w="959" w:type="dxa"/>
            <w:noWrap/>
            <w:vAlign w:val="center"/>
            <w:hideMark/>
          </w:tcPr>
          <w:p w14:paraId="25C72F32" w14:textId="77777777" w:rsidR="00C0219D" w:rsidRPr="00C0219D" w:rsidRDefault="00C0219D" w:rsidP="00C0219D">
            <w:pPr>
              <w:spacing w:line="240" w:lineRule="auto"/>
              <w:jc w:val="center"/>
              <w:rPr>
                <w:color w:val="auto"/>
                <w:szCs w:val="24"/>
                <w:lang w:val="ru-RU" w:eastAsia="ru-RU"/>
              </w:rPr>
            </w:pPr>
            <w:r w:rsidRPr="00C0219D">
              <w:rPr>
                <w:color w:val="auto"/>
                <w:szCs w:val="24"/>
                <w:lang w:val="ru-RU" w:eastAsia="ru-RU"/>
              </w:rPr>
              <w:t>2,78</w:t>
            </w:r>
          </w:p>
        </w:tc>
        <w:tc>
          <w:tcPr>
            <w:tcW w:w="973" w:type="dxa"/>
            <w:noWrap/>
            <w:vAlign w:val="center"/>
            <w:hideMark/>
          </w:tcPr>
          <w:p w14:paraId="656A5FC3" w14:textId="77777777" w:rsidR="00C0219D" w:rsidRPr="00C0219D" w:rsidRDefault="00C0219D" w:rsidP="00C0219D">
            <w:pPr>
              <w:spacing w:line="240" w:lineRule="auto"/>
              <w:jc w:val="center"/>
              <w:rPr>
                <w:color w:val="auto"/>
                <w:szCs w:val="24"/>
                <w:lang w:val="ru-RU" w:eastAsia="ru-RU"/>
              </w:rPr>
            </w:pPr>
            <w:r w:rsidRPr="00C0219D">
              <w:rPr>
                <w:color w:val="auto"/>
                <w:szCs w:val="24"/>
                <w:lang w:val="ru-RU" w:eastAsia="ru-RU"/>
              </w:rPr>
              <w:t>2,78</w:t>
            </w:r>
          </w:p>
        </w:tc>
        <w:tc>
          <w:tcPr>
            <w:tcW w:w="1030" w:type="dxa"/>
            <w:vAlign w:val="center"/>
          </w:tcPr>
          <w:p w14:paraId="3CE8AA6F" w14:textId="77777777" w:rsidR="00C0219D" w:rsidRPr="00C0219D" w:rsidRDefault="00C0219D" w:rsidP="00C0219D">
            <w:pPr>
              <w:spacing w:line="240" w:lineRule="auto"/>
              <w:jc w:val="center"/>
              <w:rPr>
                <w:color w:val="auto"/>
                <w:szCs w:val="24"/>
                <w:lang w:val="ru-RU" w:eastAsia="ru-RU"/>
              </w:rPr>
            </w:pPr>
            <w:r w:rsidRPr="00C0219D">
              <w:rPr>
                <w:color w:val="auto"/>
                <w:szCs w:val="24"/>
                <w:lang w:val="ru-RU" w:eastAsia="ru-RU"/>
              </w:rPr>
              <w:t>2,78</w:t>
            </w:r>
          </w:p>
        </w:tc>
        <w:tc>
          <w:tcPr>
            <w:tcW w:w="1060" w:type="dxa"/>
            <w:noWrap/>
            <w:vAlign w:val="center"/>
            <w:hideMark/>
          </w:tcPr>
          <w:p w14:paraId="44DF420F" w14:textId="77777777" w:rsidR="00C0219D" w:rsidRPr="00C0219D" w:rsidRDefault="00C0219D" w:rsidP="00C0219D">
            <w:pPr>
              <w:spacing w:line="240" w:lineRule="auto"/>
              <w:jc w:val="center"/>
              <w:rPr>
                <w:color w:val="auto"/>
                <w:szCs w:val="24"/>
                <w:lang w:val="ru-RU" w:eastAsia="ru-RU"/>
              </w:rPr>
            </w:pPr>
            <w:r w:rsidRPr="00C0219D">
              <w:rPr>
                <w:color w:val="auto"/>
                <w:szCs w:val="24"/>
                <w:lang w:val="ru-RU" w:eastAsia="ru-RU"/>
              </w:rPr>
              <w:t>2,78</w:t>
            </w:r>
          </w:p>
        </w:tc>
      </w:tr>
      <w:tr w:rsidR="00C0219D" w:rsidRPr="00C0219D" w14:paraId="509CFF46" w14:textId="77777777" w:rsidTr="00C0219D">
        <w:trPr>
          <w:trHeight w:val="113"/>
        </w:trPr>
        <w:tc>
          <w:tcPr>
            <w:tcW w:w="793" w:type="dxa"/>
            <w:vMerge/>
            <w:vAlign w:val="center"/>
          </w:tcPr>
          <w:p w14:paraId="53A4E02A" w14:textId="77777777" w:rsidR="00C0219D" w:rsidRPr="00C0219D" w:rsidRDefault="00C0219D" w:rsidP="00C0219D">
            <w:pPr>
              <w:spacing w:line="240" w:lineRule="auto"/>
              <w:jc w:val="center"/>
              <w:rPr>
                <w:b/>
                <w:color w:val="auto"/>
                <w:szCs w:val="24"/>
                <w:lang w:eastAsia="ru-RU"/>
              </w:rPr>
            </w:pPr>
          </w:p>
        </w:tc>
        <w:tc>
          <w:tcPr>
            <w:tcW w:w="1538" w:type="dxa"/>
            <w:noWrap/>
            <w:vAlign w:val="center"/>
            <w:hideMark/>
          </w:tcPr>
          <w:p w14:paraId="77388CF6" w14:textId="77777777" w:rsidR="00C0219D" w:rsidRPr="00C0219D" w:rsidRDefault="00C0219D" w:rsidP="00C0219D">
            <w:pPr>
              <w:spacing w:line="240" w:lineRule="auto"/>
              <w:jc w:val="center"/>
              <w:rPr>
                <w:b/>
                <w:color w:val="auto"/>
                <w:szCs w:val="24"/>
                <w:lang w:eastAsia="ru-RU"/>
              </w:rPr>
            </w:pPr>
            <w:r w:rsidRPr="00C0219D">
              <w:rPr>
                <w:b/>
                <w:color w:val="auto"/>
                <w:szCs w:val="24"/>
                <w:lang w:eastAsia="ru-RU"/>
              </w:rPr>
              <w:t>SE</w:t>
            </w:r>
            <w:r w:rsidRPr="00C0219D">
              <w:rPr>
                <w:b/>
                <w:color w:val="auto"/>
                <w:szCs w:val="24"/>
                <w:vertAlign w:val="subscript"/>
                <w:lang w:eastAsia="ru-RU"/>
              </w:rPr>
              <w:t>st</w:t>
            </w:r>
          </w:p>
        </w:tc>
        <w:tc>
          <w:tcPr>
            <w:tcW w:w="1066" w:type="dxa"/>
            <w:noWrap/>
            <w:vAlign w:val="center"/>
            <w:hideMark/>
          </w:tcPr>
          <w:p w14:paraId="4F84B42D" w14:textId="77777777" w:rsidR="00C0219D" w:rsidRPr="00C0219D" w:rsidRDefault="00C0219D" w:rsidP="00C0219D">
            <w:pPr>
              <w:spacing w:line="240" w:lineRule="auto"/>
              <w:jc w:val="center"/>
              <w:rPr>
                <w:color w:val="auto"/>
                <w:szCs w:val="24"/>
                <w:lang w:val="ru-RU" w:eastAsia="ru-RU"/>
              </w:rPr>
            </w:pPr>
            <w:r w:rsidRPr="00C0219D">
              <w:rPr>
                <w:color w:val="auto"/>
                <w:szCs w:val="24"/>
                <w:lang w:val="ru-RU" w:eastAsia="ru-RU"/>
              </w:rPr>
              <w:t>2,27</w:t>
            </w:r>
          </w:p>
        </w:tc>
        <w:tc>
          <w:tcPr>
            <w:tcW w:w="959" w:type="dxa"/>
            <w:noWrap/>
            <w:vAlign w:val="center"/>
            <w:hideMark/>
          </w:tcPr>
          <w:p w14:paraId="3100F119" w14:textId="77777777" w:rsidR="00C0219D" w:rsidRPr="00C0219D" w:rsidRDefault="00C0219D" w:rsidP="00C0219D">
            <w:pPr>
              <w:spacing w:line="240" w:lineRule="auto"/>
              <w:jc w:val="center"/>
              <w:rPr>
                <w:color w:val="auto"/>
                <w:szCs w:val="24"/>
                <w:lang w:val="ru-RU" w:eastAsia="ru-RU"/>
              </w:rPr>
            </w:pPr>
            <w:r w:rsidRPr="00C0219D">
              <w:rPr>
                <w:color w:val="auto"/>
                <w:szCs w:val="24"/>
                <w:lang w:val="ru-RU" w:eastAsia="ru-RU"/>
              </w:rPr>
              <w:t>1,39</w:t>
            </w:r>
          </w:p>
        </w:tc>
        <w:tc>
          <w:tcPr>
            <w:tcW w:w="973" w:type="dxa"/>
            <w:noWrap/>
            <w:vAlign w:val="center"/>
            <w:hideMark/>
          </w:tcPr>
          <w:p w14:paraId="0C2E2241" w14:textId="77777777" w:rsidR="00C0219D" w:rsidRPr="00C0219D" w:rsidRDefault="00C0219D" w:rsidP="00C0219D">
            <w:pPr>
              <w:spacing w:line="240" w:lineRule="auto"/>
              <w:jc w:val="center"/>
              <w:rPr>
                <w:color w:val="auto"/>
                <w:szCs w:val="24"/>
                <w:lang w:val="ru-RU" w:eastAsia="ru-RU"/>
              </w:rPr>
            </w:pPr>
            <w:r w:rsidRPr="00C0219D">
              <w:rPr>
                <w:color w:val="auto"/>
                <w:szCs w:val="24"/>
                <w:lang w:val="ru-RU" w:eastAsia="ru-RU"/>
              </w:rPr>
              <w:t>1,39</w:t>
            </w:r>
          </w:p>
        </w:tc>
        <w:tc>
          <w:tcPr>
            <w:tcW w:w="1030" w:type="dxa"/>
            <w:vAlign w:val="center"/>
          </w:tcPr>
          <w:p w14:paraId="60E4C6BE" w14:textId="77777777" w:rsidR="00C0219D" w:rsidRPr="00C0219D" w:rsidRDefault="00C0219D" w:rsidP="00C0219D">
            <w:pPr>
              <w:spacing w:line="240" w:lineRule="auto"/>
              <w:jc w:val="center"/>
              <w:rPr>
                <w:color w:val="auto"/>
                <w:szCs w:val="24"/>
                <w:lang w:val="ru-RU" w:eastAsia="ru-RU"/>
              </w:rPr>
            </w:pPr>
            <w:r w:rsidRPr="00C0219D">
              <w:rPr>
                <w:color w:val="auto"/>
                <w:szCs w:val="24"/>
                <w:lang w:val="ru-RU" w:eastAsia="ru-RU"/>
              </w:rPr>
              <w:t>1,39</w:t>
            </w:r>
          </w:p>
        </w:tc>
        <w:tc>
          <w:tcPr>
            <w:tcW w:w="1060" w:type="dxa"/>
            <w:noWrap/>
            <w:vAlign w:val="center"/>
            <w:hideMark/>
          </w:tcPr>
          <w:p w14:paraId="43A94A87" w14:textId="77777777" w:rsidR="00C0219D" w:rsidRPr="00C0219D" w:rsidRDefault="00C0219D" w:rsidP="00C0219D">
            <w:pPr>
              <w:spacing w:line="240" w:lineRule="auto"/>
              <w:jc w:val="center"/>
              <w:rPr>
                <w:color w:val="auto"/>
                <w:szCs w:val="24"/>
                <w:lang w:val="ru-RU" w:eastAsia="ru-RU"/>
              </w:rPr>
            </w:pPr>
            <w:r w:rsidRPr="00C0219D">
              <w:rPr>
                <w:color w:val="auto"/>
                <w:szCs w:val="24"/>
                <w:lang w:val="ru-RU" w:eastAsia="ru-RU"/>
              </w:rPr>
              <w:t>1,39</w:t>
            </w:r>
          </w:p>
        </w:tc>
      </w:tr>
      <w:tr w:rsidR="00C0219D" w:rsidRPr="00C0219D" w14:paraId="48D415B2" w14:textId="77777777" w:rsidTr="00C0219D">
        <w:trPr>
          <w:trHeight w:val="226"/>
        </w:trPr>
        <w:tc>
          <w:tcPr>
            <w:tcW w:w="793" w:type="dxa"/>
            <w:vMerge/>
            <w:vAlign w:val="center"/>
          </w:tcPr>
          <w:p w14:paraId="31F9FF4A" w14:textId="77777777" w:rsidR="00C0219D" w:rsidRPr="00C0219D" w:rsidRDefault="00C0219D" w:rsidP="00C0219D">
            <w:pPr>
              <w:spacing w:line="240" w:lineRule="auto"/>
              <w:jc w:val="center"/>
              <w:rPr>
                <w:b/>
                <w:color w:val="auto"/>
                <w:szCs w:val="24"/>
                <w:lang w:eastAsia="ru-RU"/>
              </w:rPr>
            </w:pPr>
          </w:p>
        </w:tc>
        <w:tc>
          <w:tcPr>
            <w:tcW w:w="1538" w:type="dxa"/>
            <w:noWrap/>
            <w:vAlign w:val="center"/>
            <w:hideMark/>
          </w:tcPr>
          <w:p w14:paraId="5EC39212" w14:textId="77777777" w:rsidR="00C0219D" w:rsidRPr="00C0219D" w:rsidRDefault="00C0219D" w:rsidP="00C0219D">
            <w:pPr>
              <w:spacing w:line="240" w:lineRule="auto"/>
              <w:jc w:val="center"/>
              <w:rPr>
                <w:b/>
                <w:color w:val="auto"/>
                <w:szCs w:val="24"/>
                <w:lang w:eastAsia="ru-RU"/>
              </w:rPr>
            </w:pPr>
            <w:r w:rsidRPr="00C0219D">
              <w:rPr>
                <w:b/>
                <w:color w:val="auto"/>
                <w:szCs w:val="24"/>
                <w:lang w:eastAsia="ru-RU"/>
              </w:rPr>
              <w:t>Gap (cin/st)</w:t>
            </w:r>
          </w:p>
        </w:tc>
        <w:tc>
          <w:tcPr>
            <w:tcW w:w="1066" w:type="dxa"/>
            <w:noWrap/>
            <w:vAlign w:val="center"/>
            <w:hideMark/>
          </w:tcPr>
          <w:p w14:paraId="0FC7B4BA" w14:textId="77777777" w:rsidR="00C0219D" w:rsidRPr="00C0219D" w:rsidRDefault="00C0219D" w:rsidP="00C0219D">
            <w:pPr>
              <w:spacing w:line="240" w:lineRule="auto"/>
              <w:jc w:val="center"/>
              <w:rPr>
                <w:b/>
                <w:bCs/>
                <w:color w:val="auto"/>
                <w:szCs w:val="24"/>
              </w:rPr>
            </w:pPr>
            <w:r w:rsidRPr="00C0219D">
              <w:rPr>
                <w:b/>
                <w:bCs/>
                <w:color w:val="auto"/>
                <w:szCs w:val="24"/>
              </w:rPr>
              <w:t>0,82</w:t>
            </w:r>
          </w:p>
        </w:tc>
        <w:tc>
          <w:tcPr>
            <w:tcW w:w="959" w:type="dxa"/>
            <w:noWrap/>
            <w:vAlign w:val="center"/>
            <w:hideMark/>
          </w:tcPr>
          <w:p w14:paraId="7B6D0488" w14:textId="77777777" w:rsidR="00C0219D" w:rsidRPr="00C0219D" w:rsidRDefault="00C0219D" w:rsidP="00C0219D">
            <w:pPr>
              <w:spacing w:line="240" w:lineRule="auto"/>
              <w:jc w:val="center"/>
              <w:rPr>
                <w:b/>
                <w:bCs/>
                <w:color w:val="auto"/>
                <w:szCs w:val="24"/>
              </w:rPr>
            </w:pPr>
            <w:r w:rsidRPr="00C0219D">
              <w:rPr>
                <w:b/>
                <w:bCs/>
                <w:color w:val="auto"/>
                <w:szCs w:val="24"/>
              </w:rPr>
              <w:t>-1,07</w:t>
            </w:r>
          </w:p>
        </w:tc>
        <w:tc>
          <w:tcPr>
            <w:tcW w:w="973" w:type="dxa"/>
            <w:noWrap/>
            <w:vAlign w:val="center"/>
            <w:hideMark/>
          </w:tcPr>
          <w:p w14:paraId="2053C1C1" w14:textId="77777777" w:rsidR="00C0219D" w:rsidRPr="00C0219D" w:rsidRDefault="00C0219D" w:rsidP="00C0219D">
            <w:pPr>
              <w:spacing w:line="240" w:lineRule="auto"/>
              <w:jc w:val="center"/>
              <w:rPr>
                <w:b/>
                <w:bCs/>
                <w:color w:val="auto"/>
                <w:szCs w:val="24"/>
              </w:rPr>
            </w:pPr>
            <w:r w:rsidRPr="00C0219D">
              <w:rPr>
                <w:b/>
                <w:bCs/>
                <w:color w:val="auto"/>
                <w:szCs w:val="24"/>
              </w:rPr>
              <w:t>2,00*</w:t>
            </w:r>
          </w:p>
        </w:tc>
        <w:tc>
          <w:tcPr>
            <w:tcW w:w="1030" w:type="dxa"/>
            <w:vAlign w:val="center"/>
          </w:tcPr>
          <w:p w14:paraId="483CD5C4" w14:textId="77777777" w:rsidR="00C0219D" w:rsidRPr="00C0219D" w:rsidRDefault="00C0219D" w:rsidP="00C0219D">
            <w:pPr>
              <w:spacing w:line="240" w:lineRule="auto"/>
              <w:jc w:val="center"/>
              <w:rPr>
                <w:b/>
                <w:bCs/>
                <w:color w:val="auto"/>
                <w:szCs w:val="24"/>
              </w:rPr>
            </w:pPr>
            <w:r w:rsidRPr="00C0219D">
              <w:rPr>
                <w:b/>
                <w:bCs/>
                <w:color w:val="auto"/>
                <w:szCs w:val="24"/>
              </w:rPr>
              <w:t>1,33</w:t>
            </w:r>
          </w:p>
        </w:tc>
        <w:tc>
          <w:tcPr>
            <w:tcW w:w="1060" w:type="dxa"/>
            <w:noWrap/>
            <w:vAlign w:val="center"/>
            <w:hideMark/>
          </w:tcPr>
          <w:p w14:paraId="60E19312" w14:textId="77777777" w:rsidR="00C0219D" w:rsidRPr="00C0219D" w:rsidRDefault="00C0219D" w:rsidP="00C0219D">
            <w:pPr>
              <w:spacing w:line="240" w:lineRule="auto"/>
              <w:jc w:val="center"/>
              <w:rPr>
                <w:b/>
                <w:bCs/>
                <w:color w:val="auto"/>
                <w:szCs w:val="24"/>
              </w:rPr>
            </w:pPr>
            <w:r w:rsidRPr="00C0219D">
              <w:rPr>
                <w:b/>
                <w:bCs/>
                <w:color w:val="auto"/>
                <w:szCs w:val="24"/>
              </w:rPr>
              <w:t>0,00</w:t>
            </w:r>
          </w:p>
        </w:tc>
      </w:tr>
      <w:tr w:rsidR="00C0219D" w:rsidRPr="00C0219D" w14:paraId="029CCBFD" w14:textId="77777777" w:rsidTr="00C0219D">
        <w:trPr>
          <w:trHeight w:val="226"/>
        </w:trPr>
        <w:tc>
          <w:tcPr>
            <w:tcW w:w="793" w:type="dxa"/>
            <w:vAlign w:val="center"/>
          </w:tcPr>
          <w:p w14:paraId="0B5126AF" w14:textId="77777777" w:rsidR="00C0219D" w:rsidRPr="00C0219D" w:rsidRDefault="00C0219D" w:rsidP="00C0219D">
            <w:pPr>
              <w:spacing w:line="240" w:lineRule="auto"/>
              <w:jc w:val="center"/>
              <w:rPr>
                <w:b/>
                <w:color w:val="auto"/>
                <w:szCs w:val="24"/>
                <w:lang w:eastAsia="ru-RU"/>
              </w:rPr>
            </w:pPr>
          </w:p>
        </w:tc>
        <w:tc>
          <w:tcPr>
            <w:tcW w:w="1538" w:type="dxa"/>
            <w:noWrap/>
            <w:vAlign w:val="center"/>
          </w:tcPr>
          <w:p w14:paraId="4345B2F5" w14:textId="77777777" w:rsidR="00C0219D" w:rsidRPr="00C0219D" w:rsidRDefault="00C0219D" w:rsidP="00C0219D">
            <w:pPr>
              <w:spacing w:line="240" w:lineRule="auto"/>
              <w:jc w:val="center"/>
              <w:rPr>
                <w:b/>
                <w:color w:val="auto"/>
                <w:szCs w:val="24"/>
                <w:lang w:eastAsia="ru-RU"/>
              </w:rPr>
            </w:pPr>
            <w:r w:rsidRPr="00C0219D">
              <w:rPr>
                <w:b/>
                <w:color w:val="auto"/>
                <w:szCs w:val="24"/>
                <w:lang w:eastAsia="ru-RU"/>
              </w:rPr>
              <w:t>Gap (st /nig)</w:t>
            </w:r>
          </w:p>
        </w:tc>
        <w:tc>
          <w:tcPr>
            <w:tcW w:w="1066" w:type="dxa"/>
            <w:noWrap/>
            <w:vAlign w:val="center"/>
          </w:tcPr>
          <w:p w14:paraId="63EF415C" w14:textId="77777777" w:rsidR="00C0219D" w:rsidRPr="00C0219D" w:rsidRDefault="00C0219D" w:rsidP="00C0219D">
            <w:pPr>
              <w:spacing w:line="240" w:lineRule="auto"/>
              <w:jc w:val="center"/>
              <w:rPr>
                <w:b/>
                <w:bCs/>
                <w:color w:val="auto"/>
                <w:szCs w:val="24"/>
              </w:rPr>
            </w:pPr>
            <w:r w:rsidRPr="00C0219D">
              <w:rPr>
                <w:b/>
                <w:bCs/>
                <w:color w:val="auto"/>
                <w:szCs w:val="24"/>
              </w:rPr>
              <w:t>-4,4495</w:t>
            </w:r>
          </w:p>
        </w:tc>
        <w:tc>
          <w:tcPr>
            <w:tcW w:w="959" w:type="dxa"/>
            <w:noWrap/>
            <w:vAlign w:val="center"/>
          </w:tcPr>
          <w:p w14:paraId="6CAB56E3" w14:textId="77777777" w:rsidR="00C0219D" w:rsidRPr="00C0219D" w:rsidRDefault="00C0219D" w:rsidP="00C0219D">
            <w:pPr>
              <w:spacing w:line="240" w:lineRule="auto"/>
              <w:jc w:val="center"/>
              <w:rPr>
                <w:b/>
                <w:bCs/>
                <w:color w:val="auto"/>
                <w:szCs w:val="24"/>
              </w:rPr>
            </w:pPr>
            <w:r w:rsidRPr="00C0219D">
              <w:rPr>
                <w:b/>
                <w:bCs/>
                <w:color w:val="auto"/>
                <w:szCs w:val="24"/>
              </w:rPr>
              <w:t>3,99281</w:t>
            </w:r>
          </w:p>
        </w:tc>
        <w:tc>
          <w:tcPr>
            <w:tcW w:w="973" w:type="dxa"/>
            <w:noWrap/>
            <w:vAlign w:val="center"/>
          </w:tcPr>
          <w:p w14:paraId="043134F6" w14:textId="77777777" w:rsidR="00C0219D" w:rsidRPr="00C0219D" w:rsidRDefault="00C0219D" w:rsidP="00C0219D">
            <w:pPr>
              <w:spacing w:line="240" w:lineRule="auto"/>
              <w:jc w:val="center"/>
              <w:rPr>
                <w:b/>
                <w:bCs/>
                <w:color w:val="auto"/>
                <w:szCs w:val="24"/>
              </w:rPr>
            </w:pPr>
            <w:r w:rsidRPr="00C0219D">
              <w:rPr>
                <w:b/>
                <w:bCs/>
                <w:color w:val="auto"/>
                <w:szCs w:val="24"/>
              </w:rPr>
              <w:t>2,64215</w:t>
            </w:r>
          </w:p>
        </w:tc>
        <w:tc>
          <w:tcPr>
            <w:tcW w:w="1030" w:type="dxa"/>
            <w:vAlign w:val="center"/>
          </w:tcPr>
          <w:p w14:paraId="6EC96375" w14:textId="77777777" w:rsidR="00C0219D" w:rsidRPr="00C0219D" w:rsidRDefault="00C0219D" w:rsidP="00C0219D">
            <w:pPr>
              <w:spacing w:line="240" w:lineRule="auto"/>
              <w:jc w:val="center"/>
              <w:rPr>
                <w:b/>
                <w:bCs/>
                <w:color w:val="auto"/>
                <w:szCs w:val="24"/>
              </w:rPr>
            </w:pPr>
            <w:r w:rsidRPr="00C0219D">
              <w:rPr>
                <w:b/>
                <w:bCs/>
                <w:color w:val="auto"/>
                <w:szCs w:val="24"/>
              </w:rPr>
              <w:t>-4</w:t>
            </w:r>
          </w:p>
        </w:tc>
        <w:tc>
          <w:tcPr>
            <w:tcW w:w="1060" w:type="dxa"/>
            <w:noWrap/>
            <w:vAlign w:val="center"/>
          </w:tcPr>
          <w:p w14:paraId="3EF97225" w14:textId="77777777" w:rsidR="00C0219D" w:rsidRPr="00C0219D" w:rsidRDefault="00C0219D" w:rsidP="00C0219D">
            <w:pPr>
              <w:spacing w:line="240" w:lineRule="auto"/>
              <w:jc w:val="center"/>
              <w:rPr>
                <w:b/>
                <w:bCs/>
                <w:color w:val="auto"/>
                <w:szCs w:val="24"/>
              </w:rPr>
            </w:pPr>
            <w:r w:rsidRPr="00C0219D">
              <w:rPr>
                <w:b/>
                <w:bCs/>
                <w:color w:val="auto"/>
                <w:szCs w:val="24"/>
              </w:rPr>
              <w:t>-0,5945</w:t>
            </w:r>
          </w:p>
        </w:tc>
      </w:tr>
      <w:tr w:rsidR="00C0219D" w:rsidRPr="00C0219D" w14:paraId="4C409DE1" w14:textId="77777777" w:rsidTr="00C0219D">
        <w:trPr>
          <w:trHeight w:val="226"/>
        </w:trPr>
        <w:tc>
          <w:tcPr>
            <w:tcW w:w="793" w:type="dxa"/>
            <w:tcBorders>
              <w:bottom w:val="single" w:sz="4" w:space="0" w:color="auto"/>
            </w:tcBorders>
            <w:vAlign w:val="center"/>
          </w:tcPr>
          <w:p w14:paraId="544A5484" w14:textId="77777777" w:rsidR="00C0219D" w:rsidRPr="00C0219D" w:rsidRDefault="00C0219D" w:rsidP="00C0219D">
            <w:pPr>
              <w:spacing w:line="240" w:lineRule="auto"/>
              <w:jc w:val="center"/>
              <w:rPr>
                <w:b/>
                <w:color w:val="auto"/>
                <w:szCs w:val="24"/>
                <w:lang w:eastAsia="ru-RU"/>
              </w:rPr>
            </w:pPr>
          </w:p>
        </w:tc>
        <w:tc>
          <w:tcPr>
            <w:tcW w:w="1538" w:type="dxa"/>
            <w:tcBorders>
              <w:bottom w:val="single" w:sz="4" w:space="0" w:color="auto"/>
            </w:tcBorders>
            <w:noWrap/>
            <w:vAlign w:val="center"/>
          </w:tcPr>
          <w:p w14:paraId="42994138" w14:textId="77777777" w:rsidR="00C0219D" w:rsidRPr="00C0219D" w:rsidRDefault="00C0219D" w:rsidP="00C0219D">
            <w:pPr>
              <w:spacing w:line="240" w:lineRule="auto"/>
              <w:jc w:val="center"/>
              <w:rPr>
                <w:b/>
                <w:color w:val="auto"/>
                <w:szCs w:val="24"/>
                <w:lang w:eastAsia="ru-RU"/>
              </w:rPr>
            </w:pPr>
            <w:r w:rsidRPr="00C0219D">
              <w:rPr>
                <w:b/>
                <w:color w:val="auto"/>
                <w:szCs w:val="24"/>
                <w:lang w:eastAsia="ru-RU"/>
              </w:rPr>
              <w:t>Gap (nig/st)</w:t>
            </w:r>
          </w:p>
        </w:tc>
        <w:tc>
          <w:tcPr>
            <w:tcW w:w="1066" w:type="dxa"/>
            <w:tcBorders>
              <w:bottom w:val="single" w:sz="4" w:space="0" w:color="auto"/>
            </w:tcBorders>
            <w:noWrap/>
            <w:vAlign w:val="center"/>
          </w:tcPr>
          <w:p w14:paraId="0C67D617" w14:textId="77777777" w:rsidR="00C0219D" w:rsidRPr="00C0219D" w:rsidRDefault="00C0219D" w:rsidP="00C0219D">
            <w:pPr>
              <w:spacing w:line="240" w:lineRule="auto"/>
              <w:jc w:val="center"/>
              <w:rPr>
                <w:b/>
                <w:bCs/>
                <w:color w:val="auto"/>
                <w:szCs w:val="24"/>
              </w:rPr>
            </w:pPr>
            <w:r w:rsidRPr="00C0219D">
              <w:rPr>
                <w:b/>
                <w:bCs/>
                <w:color w:val="auto"/>
                <w:szCs w:val="24"/>
              </w:rPr>
              <w:t>0,45</w:t>
            </w:r>
          </w:p>
        </w:tc>
        <w:tc>
          <w:tcPr>
            <w:tcW w:w="959" w:type="dxa"/>
            <w:tcBorders>
              <w:bottom w:val="single" w:sz="4" w:space="0" w:color="auto"/>
            </w:tcBorders>
            <w:noWrap/>
            <w:vAlign w:val="center"/>
          </w:tcPr>
          <w:p w14:paraId="068CF48B" w14:textId="77777777" w:rsidR="00C0219D" w:rsidRPr="00C0219D" w:rsidRDefault="00C0219D" w:rsidP="00C0219D">
            <w:pPr>
              <w:spacing w:line="240" w:lineRule="auto"/>
              <w:jc w:val="center"/>
              <w:rPr>
                <w:b/>
                <w:bCs/>
                <w:color w:val="auto"/>
                <w:szCs w:val="24"/>
              </w:rPr>
            </w:pPr>
            <w:r w:rsidRPr="00C0219D">
              <w:rPr>
                <w:b/>
                <w:bCs/>
                <w:color w:val="auto"/>
                <w:szCs w:val="24"/>
              </w:rPr>
              <w:t>-7,99</w:t>
            </w:r>
          </w:p>
        </w:tc>
        <w:tc>
          <w:tcPr>
            <w:tcW w:w="973" w:type="dxa"/>
            <w:tcBorders>
              <w:bottom w:val="single" w:sz="4" w:space="0" w:color="auto"/>
            </w:tcBorders>
            <w:noWrap/>
            <w:vAlign w:val="center"/>
          </w:tcPr>
          <w:p w14:paraId="688E3735" w14:textId="77777777" w:rsidR="00C0219D" w:rsidRPr="00C0219D" w:rsidRDefault="00C0219D" w:rsidP="00C0219D">
            <w:pPr>
              <w:spacing w:line="240" w:lineRule="auto"/>
              <w:jc w:val="center"/>
              <w:rPr>
                <w:b/>
                <w:bCs/>
                <w:color w:val="auto"/>
                <w:szCs w:val="24"/>
              </w:rPr>
            </w:pPr>
            <w:r w:rsidRPr="00C0219D">
              <w:rPr>
                <w:b/>
                <w:bCs/>
                <w:color w:val="auto"/>
                <w:szCs w:val="24"/>
              </w:rPr>
              <w:t>-6,64</w:t>
            </w:r>
          </w:p>
        </w:tc>
        <w:tc>
          <w:tcPr>
            <w:tcW w:w="1030" w:type="dxa"/>
            <w:tcBorders>
              <w:bottom w:val="single" w:sz="4" w:space="0" w:color="auto"/>
            </w:tcBorders>
            <w:vAlign w:val="center"/>
          </w:tcPr>
          <w:p w14:paraId="32E8EDBB" w14:textId="77777777" w:rsidR="00C0219D" w:rsidRPr="00C0219D" w:rsidRDefault="00C0219D" w:rsidP="00C0219D">
            <w:pPr>
              <w:spacing w:line="240" w:lineRule="auto"/>
              <w:jc w:val="center"/>
              <w:rPr>
                <w:b/>
                <w:bCs/>
                <w:color w:val="auto"/>
                <w:szCs w:val="24"/>
              </w:rPr>
            </w:pPr>
            <w:r w:rsidRPr="00C0219D">
              <w:rPr>
                <w:b/>
                <w:bCs/>
                <w:color w:val="auto"/>
                <w:szCs w:val="24"/>
              </w:rPr>
              <w:t>0,00</w:t>
            </w:r>
          </w:p>
        </w:tc>
        <w:tc>
          <w:tcPr>
            <w:tcW w:w="1060" w:type="dxa"/>
            <w:tcBorders>
              <w:bottom w:val="single" w:sz="4" w:space="0" w:color="auto"/>
            </w:tcBorders>
            <w:noWrap/>
            <w:vAlign w:val="center"/>
          </w:tcPr>
          <w:p w14:paraId="2CF4F3FB" w14:textId="77777777" w:rsidR="00C0219D" w:rsidRPr="00C0219D" w:rsidRDefault="00C0219D" w:rsidP="00C0219D">
            <w:pPr>
              <w:spacing w:line="240" w:lineRule="auto"/>
              <w:jc w:val="center"/>
              <w:rPr>
                <w:b/>
                <w:bCs/>
                <w:color w:val="auto"/>
                <w:szCs w:val="24"/>
              </w:rPr>
            </w:pPr>
            <w:r w:rsidRPr="00C0219D">
              <w:rPr>
                <w:b/>
                <w:bCs/>
                <w:color w:val="auto"/>
                <w:szCs w:val="24"/>
              </w:rPr>
              <w:t>-3,41</w:t>
            </w:r>
          </w:p>
        </w:tc>
      </w:tr>
    </w:tbl>
    <w:p w14:paraId="65F59555" w14:textId="77777777" w:rsidR="00C0219D" w:rsidRPr="00125A2F" w:rsidRDefault="00C0219D" w:rsidP="00C0219D">
      <w:pPr>
        <w:pStyle w:val="MDPI31text"/>
        <w:spacing w:line="240" w:lineRule="auto"/>
        <w:ind w:left="0" w:firstLine="0"/>
        <w:rPr>
          <w:rFonts w:ascii="Times New Roman" w:hAnsi="Times New Roman"/>
          <w:snapToGrid/>
          <w:color w:val="auto"/>
          <w:sz w:val="24"/>
          <w:szCs w:val="24"/>
          <w:lang w:eastAsia="ru-RU" w:bidi="ar-SA"/>
        </w:rPr>
      </w:pPr>
      <w:r w:rsidRPr="00125A2F">
        <w:rPr>
          <w:rFonts w:ascii="Times New Roman" w:hAnsi="Times New Roman"/>
          <w:color w:val="auto"/>
          <w:sz w:val="24"/>
          <w:szCs w:val="24"/>
          <w:vertAlign w:val="superscript"/>
          <w:lang w:eastAsia="ru-RU"/>
        </w:rPr>
        <w:t>♯</w:t>
      </w:r>
      <w:r w:rsidRPr="00125A2F">
        <w:rPr>
          <w:rFonts w:ascii="Times New Roman" w:hAnsi="Times New Roman"/>
          <w:b/>
          <w:color w:val="auto"/>
          <w:sz w:val="24"/>
          <w:szCs w:val="24"/>
          <w:lang w:eastAsia="ru-RU"/>
        </w:rPr>
        <w:t xml:space="preserve"> </w:t>
      </w:r>
      <w:r w:rsidRPr="00125A2F">
        <w:rPr>
          <w:rFonts w:ascii="Times New Roman" w:hAnsi="Times New Roman"/>
          <w:snapToGrid/>
          <w:color w:val="auto"/>
          <w:sz w:val="24"/>
          <w:szCs w:val="24"/>
          <w:lang w:eastAsia="ru-RU" w:bidi="ar-SA"/>
        </w:rPr>
        <w:t xml:space="preserve">A2 - </w:t>
      </w:r>
      <w:r w:rsidRPr="00125A2F">
        <w:rPr>
          <w:rFonts w:ascii="Times New Roman" w:hAnsi="Times New Roman"/>
          <w:i/>
          <w:snapToGrid/>
          <w:color w:val="auto"/>
          <w:sz w:val="24"/>
          <w:szCs w:val="24"/>
          <w:lang w:eastAsia="ru-RU" w:bidi="ar-SA"/>
        </w:rPr>
        <w:t>M. pulcherrima</w:t>
      </w:r>
      <w:r w:rsidRPr="00125A2F">
        <w:rPr>
          <w:rFonts w:ascii="Times New Roman" w:hAnsi="Times New Roman"/>
          <w:snapToGrid/>
          <w:color w:val="auto"/>
          <w:sz w:val="24"/>
          <w:szCs w:val="24"/>
          <w:lang w:eastAsia="ru-RU" w:bidi="ar-SA"/>
        </w:rPr>
        <w:t xml:space="preserve"> strain; AP11 and AP13 – </w:t>
      </w:r>
      <w:r w:rsidRPr="00125A2F">
        <w:rPr>
          <w:rFonts w:ascii="Times New Roman" w:hAnsi="Times New Roman"/>
          <w:i/>
          <w:snapToGrid/>
          <w:color w:val="auto"/>
          <w:sz w:val="24"/>
          <w:szCs w:val="24"/>
          <w:lang w:eastAsia="ru-RU" w:bidi="ar-SA"/>
        </w:rPr>
        <w:t>A. pullulans</w:t>
      </w:r>
      <w:r w:rsidRPr="00125A2F">
        <w:rPr>
          <w:rFonts w:ascii="Times New Roman" w:hAnsi="Times New Roman"/>
          <w:snapToGrid/>
          <w:color w:val="auto"/>
          <w:sz w:val="24"/>
          <w:szCs w:val="24"/>
          <w:lang w:eastAsia="ru-RU" w:bidi="ar-SA"/>
        </w:rPr>
        <w:t xml:space="preserve"> strains; CL03 – </w:t>
      </w:r>
      <w:r w:rsidRPr="00125A2F">
        <w:rPr>
          <w:rFonts w:ascii="Times New Roman" w:hAnsi="Times New Roman"/>
          <w:i/>
          <w:snapToGrid/>
          <w:color w:val="auto"/>
          <w:sz w:val="24"/>
          <w:szCs w:val="24"/>
          <w:lang w:eastAsia="ru-RU" w:bidi="ar-SA"/>
        </w:rPr>
        <w:t xml:space="preserve">C. </w:t>
      </w:r>
      <w:proofErr w:type="spellStart"/>
      <w:r w:rsidRPr="00125A2F">
        <w:rPr>
          <w:rFonts w:ascii="Times New Roman" w:hAnsi="Times New Roman"/>
          <w:i/>
          <w:snapToGrid/>
          <w:color w:val="auto"/>
          <w:sz w:val="24"/>
          <w:szCs w:val="24"/>
          <w:lang w:eastAsia="ru-RU" w:bidi="ar-SA"/>
        </w:rPr>
        <w:t>lusitaniae</w:t>
      </w:r>
      <w:proofErr w:type="spellEnd"/>
      <w:r w:rsidRPr="00125A2F">
        <w:rPr>
          <w:rFonts w:ascii="Times New Roman" w:hAnsi="Times New Roman"/>
          <w:snapToGrid/>
          <w:color w:val="auto"/>
          <w:sz w:val="24"/>
          <w:szCs w:val="24"/>
          <w:lang w:eastAsia="ru-RU" w:bidi="ar-SA"/>
        </w:rPr>
        <w:t xml:space="preserve"> strain; HU15 – </w:t>
      </w:r>
      <w:r w:rsidRPr="00125A2F">
        <w:rPr>
          <w:rFonts w:ascii="Times New Roman" w:hAnsi="Times New Roman"/>
          <w:i/>
          <w:snapToGrid/>
          <w:color w:val="auto"/>
          <w:sz w:val="24"/>
          <w:szCs w:val="24"/>
          <w:lang w:eastAsia="ru-RU" w:bidi="ar-SA"/>
        </w:rPr>
        <w:t xml:space="preserve">H. </w:t>
      </w:r>
      <w:proofErr w:type="spellStart"/>
      <w:r w:rsidRPr="00125A2F">
        <w:rPr>
          <w:rFonts w:ascii="Times New Roman" w:hAnsi="Times New Roman"/>
          <w:i/>
          <w:snapToGrid/>
          <w:color w:val="auto"/>
          <w:sz w:val="24"/>
          <w:szCs w:val="24"/>
          <w:lang w:eastAsia="ru-RU" w:bidi="ar-SA"/>
        </w:rPr>
        <w:t>uvarum</w:t>
      </w:r>
      <w:proofErr w:type="spellEnd"/>
      <w:r w:rsidRPr="00125A2F">
        <w:rPr>
          <w:rFonts w:ascii="Times New Roman" w:hAnsi="Times New Roman"/>
          <w:snapToGrid/>
          <w:color w:val="auto"/>
          <w:sz w:val="24"/>
          <w:szCs w:val="24"/>
          <w:lang w:eastAsia="ru-RU" w:bidi="ar-SA"/>
        </w:rPr>
        <w:t xml:space="preserve"> strain.</w:t>
      </w:r>
    </w:p>
    <w:p w14:paraId="196EBA7E" w14:textId="77777777" w:rsidR="00C0219D" w:rsidRPr="00125A2F" w:rsidRDefault="00C0219D" w:rsidP="00C0219D">
      <w:pPr>
        <w:spacing w:line="240" w:lineRule="auto"/>
        <w:rPr>
          <w:color w:val="auto"/>
          <w:szCs w:val="24"/>
        </w:rPr>
      </w:pPr>
      <w:r w:rsidRPr="00125A2F">
        <w:rPr>
          <w:color w:val="auto"/>
          <w:szCs w:val="24"/>
          <w:vertAlign w:val="superscript"/>
        </w:rPr>
        <w:t xml:space="preserve">¥ </w:t>
      </w:r>
      <w:r w:rsidRPr="00125A2F">
        <w:rPr>
          <w:i/>
          <w:iCs/>
          <w:color w:val="auto"/>
          <w:kern w:val="2"/>
          <w:szCs w:val="24"/>
          <w14:ligatures w14:val="standardContextual"/>
        </w:rPr>
        <w:t>B. cinerea</w:t>
      </w:r>
      <w:r w:rsidRPr="00125A2F">
        <w:rPr>
          <w:color w:val="auto"/>
          <w:kern w:val="2"/>
          <w:szCs w:val="24"/>
          <w14:ligatures w14:val="standardContextual"/>
        </w:rPr>
        <w:t xml:space="preserve"> (F-RKM 1032) from the Republican Collection of Microorganisms LLC, </w:t>
      </w:r>
      <w:r w:rsidRPr="00125A2F">
        <w:rPr>
          <w:i/>
          <w:iCs/>
          <w:color w:val="auto"/>
          <w:kern w:val="2"/>
          <w:szCs w:val="24"/>
          <w14:ligatures w14:val="standardContextual"/>
        </w:rPr>
        <w:t>A. niger</w:t>
      </w:r>
      <w:r w:rsidRPr="00125A2F">
        <w:rPr>
          <w:color w:val="auto"/>
          <w:kern w:val="2"/>
          <w:szCs w:val="24"/>
          <w14:ligatures w14:val="standardContextual"/>
        </w:rPr>
        <w:t xml:space="preserve"> (ATCC 6275), and </w:t>
      </w:r>
      <w:r w:rsidRPr="00125A2F">
        <w:rPr>
          <w:i/>
          <w:iCs/>
          <w:color w:val="auto"/>
          <w:kern w:val="2"/>
          <w:szCs w:val="24"/>
          <w14:ligatures w14:val="standardContextual"/>
        </w:rPr>
        <w:t>R. stolonifer</w:t>
      </w:r>
      <w:r w:rsidRPr="00125A2F">
        <w:rPr>
          <w:color w:val="auto"/>
          <w:kern w:val="2"/>
          <w:szCs w:val="24"/>
          <w14:ligatures w14:val="standardContextual"/>
        </w:rPr>
        <w:t xml:space="preserve"> (ATCC 6227b) from the American Type Culture Collection</w:t>
      </w:r>
    </w:p>
    <w:p w14:paraId="47F53ABB" w14:textId="77777777" w:rsidR="00C0219D" w:rsidRPr="00125A2F" w:rsidRDefault="00C0219D" w:rsidP="00C0219D">
      <w:pPr>
        <w:pStyle w:val="MDPI32textnoindent"/>
        <w:spacing w:line="240" w:lineRule="auto"/>
        <w:ind w:left="0"/>
        <w:rPr>
          <w:rFonts w:ascii="Times New Roman" w:hAnsi="Times New Roman"/>
          <w:color w:val="auto"/>
          <w:sz w:val="24"/>
          <w:szCs w:val="24"/>
        </w:rPr>
      </w:pPr>
      <w:r w:rsidRPr="00125A2F">
        <w:rPr>
          <w:rFonts w:ascii="Times New Roman" w:hAnsi="Times New Roman"/>
          <w:color w:val="auto"/>
          <w:sz w:val="24"/>
          <w:szCs w:val="24"/>
          <w:vertAlign w:val="superscript"/>
        </w:rPr>
        <w:t>§</w:t>
      </w:r>
      <w:r w:rsidRPr="00125A2F">
        <w:rPr>
          <w:rFonts w:ascii="Times New Roman" w:hAnsi="Times New Roman"/>
          <w:color w:val="auto"/>
          <w:sz w:val="24"/>
          <w:szCs w:val="24"/>
        </w:rPr>
        <w:t xml:space="preserve"> Values are taken from Tables S3A through S5A in the Supplementary Materials.</w:t>
      </w:r>
    </w:p>
    <w:p w14:paraId="25DAF24D" w14:textId="77777777" w:rsidR="00C0219D" w:rsidRPr="00125A2F" w:rsidRDefault="00C0219D" w:rsidP="00C0219D">
      <w:pPr>
        <w:pStyle w:val="MDPI32textnoindent"/>
        <w:spacing w:line="240" w:lineRule="auto"/>
        <w:ind w:left="0"/>
        <w:rPr>
          <w:rFonts w:ascii="Times New Roman" w:hAnsi="Times New Roman"/>
          <w:color w:val="auto"/>
          <w:sz w:val="24"/>
          <w:szCs w:val="24"/>
        </w:rPr>
      </w:pPr>
      <w:r w:rsidRPr="00125A2F">
        <w:rPr>
          <w:rFonts w:ascii="Times New Roman" w:hAnsi="Times New Roman"/>
          <w:color w:val="auto"/>
          <w:sz w:val="24"/>
          <w:szCs w:val="24"/>
          <w:vertAlign w:val="superscript"/>
        </w:rPr>
        <w:t>Nd</w:t>
      </w:r>
      <w:r w:rsidRPr="00125A2F">
        <w:rPr>
          <w:rFonts w:ascii="Times New Roman" w:hAnsi="Times New Roman"/>
          <w:color w:val="auto"/>
          <w:sz w:val="24"/>
          <w:szCs w:val="24"/>
        </w:rPr>
        <w:t xml:space="preserve"> - not determined, a value was not determined due to the impossibility of calculation.</w:t>
      </w:r>
    </w:p>
    <w:p w14:paraId="5B8E29B2" w14:textId="77777777" w:rsidR="00C0219D" w:rsidRPr="00125A2F" w:rsidRDefault="00C0219D" w:rsidP="00C0219D">
      <w:pPr>
        <w:pStyle w:val="MDPI32textnoindent"/>
        <w:spacing w:line="240" w:lineRule="auto"/>
        <w:ind w:left="0"/>
        <w:rPr>
          <w:rFonts w:ascii="Times New Roman" w:hAnsi="Times New Roman"/>
          <w:color w:val="auto"/>
          <w:sz w:val="24"/>
          <w:szCs w:val="24"/>
        </w:rPr>
      </w:pPr>
      <w:r w:rsidRPr="00125A2F">
        <w:rPr>
          <w:rFonts w:ascii="Times New Roman" w:hAnsi="Times New Roman"/>
          <w:color w:val="auto"/>
          <w:sz w:val="24"/>
          <w:szCs w:val="24"/>
          <w:vertAlign w:val="superscript"/>
        </w:rPr>
        <w:t>♣</w:t>
      </w:r>
      <w:r w:rsidRPr="00125A2F">
        <w:rPr>
          <w:rFonts w:ascii="Times New Roman" w:hAnsi="Times New Roman"/>
          <w:color w:val="auto"/>
          <w:sz w:val="24"/>
          <w:szCs w:val="24"/>
        </w:rPr>
        <w:t xml:space="preserve"> In this case, the Gap (</w:t>
      </w:r>
      <w:proofErr w:type="spellStart"/>
      <w:r w:rsidRPr="00125A2F">
        <w:rPr>
          <w:rFonts w:ascii="Times New Roman" w:hAnsi="Times New Roman"/>
          <w:color w:val="auto"/>
          <w:sz w:val="24"/>
          <w:szCs w:val="24"/>
        </w:rPr>
        <w:t>st</w:t>
      </w:r>
      <w:proofErr w:type="spellEnd"/>
      <w:r w:rsidRPr="00125A2F">
        <w:rPr>
          <w:rFonts w:ascii="Times New Roman" w:hAnsi="Times New Roman"/>
          <w:color w:val="auto"/>
          <w:sz w:val="24"/>
          <w:szCs w:val="24"/>
        </w:rPr>
        <w:t>/nig) was calculated based on the fact that Mean(nig) was higher than Mean(</w:t>
      </w:r>
      <w:proofErr w:type="spellStart"/>
      <w:r w:rsidRPr="00125A2F">
        <w:rPr>
          <w:rFonts w:ascii="Times New Roman" w:hAnsi="Times New Roman"/>
          <w:color w:val="auto"/>
          <w:sz w:val="24"/>
          <w:szCs w:val="24"/>
        </w:rPr>
        <w:t>st</w:t>
      </w:r>
      <w:proofErr w:type="spellEnd"/>
      <w:r w:rsidRPr="00125A2F">
        <w:rPr>
          <w:rFonts w:ascii="Times New Roman" w:hAnsi="Times New Roman"/>
          <w:color w:val="auto"/>
          <w:sz w:val="24"/>
          <w:szCs w:val="24"/>
        </w:rPr>
        <w:t>) (see Table 6).</w:t>
      </w:r>
    </w:p>
    <w:p w14:paraId="77E27491" w14:textId="77777777" w:rsidR="00C0219D" w:rsidRPr="00125A2F" w:rsidRDefault="00C0219D" w:rsidP="00C0219D">
      <w:pPr>
        <w:pStyle w:val="MDPI32textnoindent"/>
        <w:spacing w:line="240" w:lineRule="auto"/>
        <w:ind w:left="0"/>
        <w:rPr>
          <w:rFonts w:ascii="Times New Roman" w:hAnsi="Times New Roman"/>
          <w:color w:val="auto"/>
          <w:sz w:val="24"/>
          <w:szCs w:val="24"/>
        </w:rPr>
      </w:pPr>
      <w:r w:rsidRPr="00125A2F">
        <w:rPr>
          <w:rFonts w:ascii="Times New Roman" w:hAnsi="Times New Roman"/>
          <w:color w:val="auto"/>
          <w:sz w:val="24"/>
          <w:szCs w:val="24"/>
        </w:rPr>
        <w:t xml:space="preserve">* An asterisk sign indicates that the W system protects equally against both </w:t>
      </w:r>
      <w:r w:rsidRPr="00125A2F">
        <w:rPr>
          <w:rFonts w:ascii="Times New Roman" w:hAnsi="Times New Roman"/>
          <w:i/>
          <w:color w:val="auto"/>
          <w:sz w:val="24"/>
          <w:szCs w:val="24"/>
        </w:rPr>
        <w:t>B. cinerea</w:t>
      </w:r>
      <w:r w:rsidRPr="00125A2F">
        <w:rPr>
          <w:rFonts w:ascii="Times New Roman" w:hAnsi="Times New Roman"/>
          <w:color w:val="auto"/>
          <w:sz w:val="24"/>
          <w:szCs w:val="24"/>
        </w:rPr>
        <w:t xml:space="preserve"> and </w:t>
      </w:r>
      <w:r w:rsidRPr="00125A2F">
        <w:rPr>
          <w:rFonts w:ascii="Times New Roman" w:hAnsi="Times New Roman"/>
          <w:i/>
          <w:color w:val="auto"/>
          <w:sz w:val="24"/>
          <w:szCs w:val="24"/>
        </w:rPr>
        <w:t xml:space="preserve">R. </w:t>
      </w:r>
      <w:proofErr w:type="spellStart"/>
      <w:r w:rsidRPr="00125A2F">
        <w:rPr>
          <w:rFonts w:ascii="Times New Roman" w:hAnsi="Times New Roman"/>
          <w:i/>
          <w:color w:val="auto"/>
          <w:sz w:val="24"/>
          <w:szCs w:val="24"/>
        </w:rPr>
        <w:t>stolonifer</w:t>
      </w:r>
      <w:proofErr w:type="spellEnd"/>
      <w:r w:rsidRPr="00125A2F">
        <w:rPr>
          <w:rFonts w:ascii="Times New Roman" w:hAnsi="Times New Roman"/>
          <w:i/>
          <w:color w:val="auto"/>
          <w:sz w:val="24"/>
          <w:szCs w:val="24"/>
        </w:rPr>
        <w:t xml:space="preserve"> </w:t>
      </w:r>
      <w:r w:rsidRPr="00125A2F">
        <w:rPr>
          <w:rFonts w:ascii="Times New Roman" w:hAnsi="Times New Roman"/>
          <w:color w:val="auto"/>
          <w:sz w:val="24"/>
          <w:szCs w:val="24"/>
        </w:rPr>
        <w:t>with a probability of P=0.95.</w:t>
      </w:r>
    </w:p>
    <w:p w14:paraId="459ED5E3" w14:textId="77777777" w:rsidR="00C0219D" w:rsidRPr="00125A2F" w:rsidRDefault="00C0219D" w:rsidP="00C0219D">
      <w:pPr>
        <w:pStyle w:val="MDPI32textnoindent"/>
        <w:spacing w:line="240" w:lineRule="auto"/>
        <w:ind w:left="0"/>
        <w:rPr>
          <w:rFonts w:ascii="Times New Roman" w:hAnsi="Times New Roman"/>
          <w:color w:val="auto"/>
          <w:sz w:val="24"/>
          <w:szCs w:val="24"/>
        </w:rPr>
      </w:pPr>
      <w:r w:rsidRPr="00125A2F">
        <w:rPr>
          <w:rFonts w:ascii="Times New Roman" w:hAnsi="Times New Roman"/>
          <w:color w:val="auto"/>
          <w:sz w:val="24"/>
          <w:szCs w:val="24"/>
        </w:rPr>
        <w:t>Gap (</w:t>
      </w:r>
      <w:proofErr w:type="spellStart"/>
      <w:r w:rsidRPr="00125A2F">
        <w:rPr>
          <w:rFonts w:ascii="Times New Roman" w:hAnsi="Times New Roman"/>
          <w:color w:val="auto"/>
          <w:sz w:val="24"/>
          <w:szCs w:val="24"/>
        </w:rPr>
        <w:t>cin</w:t>
      </w:r>
      <w:proofErr w:type="spellEnd"/>
      <w:r w:rsidRPr="00125A2F">
        <w:rPr>
          <w:rFonts w:ascii="Times New Roman" w:hAnsi="Times New Roman"/>
          <w:color w:val="auto"/>
          <w:sz w:val="24"/>
          <w:szCs w:val="24"/>
        </w:rPr>
        <w:t xml:space="preserve">/nig) &gt; 2 indicates that the W system is selective for protection against </w:t>
      </w:r>
      <w:r w:rsidRPr="00125A2F">
        <w:rPr>
          <w:rFonts w:ascii="Times New Roman" w:hAnsi="Times New Roman"/>
          <w:i/>
          <w:color w:val="auto"/>
          <w:sz w:val="24"/>
          <w:szCs w:val="24"/>
        </w:rPr>
        <w:t>B. cinerea</w:t>
      </w:r>
      <w:r w:rsidRPr="00125A2F">
        <w:rPr>
          <w:rFonts w:ascii="Times New Roman" w:hAnsi="Times New Roman"/>
          <w:color w:val="auto"/>
          <w:sz w:val="24"/>
          <w:szCs w:val="24"/>
        </w:rPr>
        <w:t xml:space="preserve"> over </w:t>
      </w:r>
      <w:r w:rsidRPr="00125A2F">
        <w:rPr>
          <w:rFonts w:ascii="Times New Roman" w:hAnsi="Times New Roman"/>
          <w:i/>
          <w:color w:val="auto"/>
          <w:sz w:val="24"/>
          <w:szCs w:val="24"/>
        </w:rPr>
        <w:t xml:space="preserve">A. </w:t>
      </w:r>
      <w:proofErr w:type="spellStart"/>
      <w:r w:rsidRPr="00125A2F">
        <w:rPr>
          <w:rFonts w:ascii="Times New Roman" w:hAnsi="Times New Roman"/>
          <w:i/>
          <w:color w:val="auto"/>
          <w:sz w:val="24"/>
          <w:szCs w:val="24"/>
        </w:rPr>
        <w:t>niger</w:t>
      </w:r>
      <w:proofErr w:type="spellEnd"/>
      <w:r w:rsidRPr="00125A2F">
        <w:rPr>
          <w:rFonts w:ascii="Times New Roman" w:hAnsi="Times New Roman"/>
          <w:color w:val="auto"/>
          <w:sz w:val="24"/>
          <w:szCs w:val="24"/>
        </w:rPr>
        <w:t xml:space="preserve"> with a probability of P &gt; 0.95.</w:t>
      </w:r>
    </w:p>
    <w:p w14:paraId="79803F00" w14:textId="77777777" w:rsidR="00C0219D" w:rsidRPr="00125A2F" w:rsidRDefault="00C0219D" w:rsidP="00C0219D">
      <w:pPr>
        <w:pStyle w:val="MDPI32textnoindent"/>
        <w:spacing w:line="240" w:lineRule="auto"/>
        <w:ind w:left="0"/>
        <w:rPr>
          <w:rFonts w:ascii="Times New Roman" w:hAnsi="Times New Roman"/>
          <w:color w:val="auto"/>
          <w:sz w:val="24"/>
          <w:szCs w:val="24"/>
        </w:rPr>
      </w:pPr>
      <w:r w:rsidRPr="00125A2F">
        <w:rPr>
          <w:rFonts w:ascii="Times New Roman" w:hAnsi="Times New Roman"/>
          <w:color w:val="auto"/>
          <w:sz w:val="24"/>
          <w:szCs w:val="24"/>
        </w:rPr>
        <w:t>Gap (</w:t>
      </w:r>
      <w:proofErr w:type="spellStart"/>
      <w:r w:rsidRPr="00125A2F">
        <w:rPr>
          <w:rFonts w:ascii="Times New Roman" w:hAnsi="Times New Roman"/>
          <w:color w:val="auto"/>
          <w:sz w:val="24"/>
          <w:szCs w:val="24"/>
        </w:rPr>
        <w:t>cin</w:t>
      </w:r>
      <w:proofErr w:type="spellEnd"/>
      <w:r w:rsidRPr="00125A2F">
        <w:rPr>
          <w:rFonts w:ascii="Times New Roman" w:hAnsi="Times New Roman"/>
          <w:color w:val="auto"/>
          <w:sz w:val="24"/>
          <w:szCs w:val="24"/>
        </w:rPr>
        <w:t>/</w:t>
      </w:r>
      <w:proofErr w:type="spellStart"/>
      <w:r w:rsidRPr="00125A2F">
        <w:rPr>
          <w:rFonts w:ascii="Times New Roman" w:hAnsi="Times New Roman"/>
          <w:color w:val="auto"/>
          <w:sz w:val="24"/>
          <w:szCs w:val="24"/>
        </w:rPr>
        <w:t>st</w:t>
      </w:r>
      <w:proofErr w:type="spellEnd"/>
      <w:r w:rsidRPr="00125A2F">
        <w:rPr>
          <w:rFonts w:ascii="Times New Roman" w:hAnsi="Times New Roman"/>
          <w:color w:val="auto"/>
          <w:sz w:val="24"/>
          <w:szCs w:val="24"/>
        </w:rPr>
        <w:t xml:space="preserve">) &gt; 2 demonstrates that the W system is selective for protection against </w:t>
      </w:r>
      <w:r w:rsidRPr="00125A2F">
        <w:rPr>
          <w:rFonts w:ascii="Times New Roman" w:hAnsi="Times New Roman"/>
          <w:i/>
          <w:color w:val="auto"/>
          <w:sz w:val="24"/>
          <w:szCs w:val="24"/>
        </w:rPr>
        <w:t>B. cinerea</w:t>
      </w:r>
      <w:r w:rsidRPr="00125A2F">
        <w:rPr>
          <w:rFonts w:ascii="Times New Roman" w:hAnsi="Times New Roman"/>
          <w:color w:val="auto"/>
          <w:sz w:val="24"/>
          <w:szCs w:val="24"/>
        </w:rPr>
        <w:t xml:space="preserve"> over </w:t>
      </w:r>
      <w:r w:rsidRPr="00125A2F">
        <w:rPr>
          <w:rFonts w:ascii="Times New Roman" w:hAnsi="Times New Roman"/>
          <w:i/>
          <w:color w:val="auto"/>
          <w:sz w:val="24"/>
          <w:szCs w:val="24"/>
        </w:rPr>
        <w:t xml:space="preserve">R. </w:t>
      </w:r>
      <w:proofErr w:type="spellStart"/>
      <w:r w:rsidRPr="00125A2F">
        <w:rPr>
          <w:rFonts w:ascii="Times New Roman" w:hAnsi="Times New Roman"/>
          <w:i/>
          <w:color w:val="auto"/>
          <w:sz w:val="24"/>
          <w:szCs w:val="24"/>
        </w:rPr>
        <w:t>stolonifer</w:t>
      </w:r>
      <w:proofErr w:type="spellEnd"/>
      <w:r w:rsidRPr="00125A2F">
        <w:rPr>
          <w:rFonts w:ascii="Times New Roman" w:hAnsi="Times New Roman"/>
          <w:i/>
          <w:color w:val="auto"/>
          <w:sz w:val="24"/>
          <w:szCs w:val="24"/>
        </w:rPr>
        <w:t xml:space="preserve"> </w:t>
      </w:r>
      <w:r w:rsidRPr="00125A2F">
        <w:rPr>
          <w:rFonts w:ascii="Times New Roman" w:hAnsi="Times New Roman"/>
          <w:color w:val="auto"/>
          <w:sz w:val="24"/>
          <w:szCs w:val="24"/>
        </w:rPr>
        <w:t>with a probability of P &gt; 0.95.</w:t>
      </w:r>
    </w:p>
    <w:p w14:paraId="47FDE586" w14:textId="77777777" w:rsidR="00C0219D" w:rsidRPr="00125A2F" w:rsidRDefault="00C0219D" w:rsidP="00C0219D">
      <w:pPr>
        <w:pStyle w:val="MDPI32textnoindent"/>
        <w:spacing w:line="240" w:lineRule="auto"/>
        <w:ind w:left="0"/>
        <w:rPr>
          <w:rFonts w:ascii="Times New Roman" w:hAnsi="Times New Roman"/>
          <w:color w:val="auto"/>
          <w:sz w:val="24"/>
          <w:szCs w:val="24"/>
        </w:rPr>
      </w:pPr>
      <w:r w:rsidRPr="00125A2F">
        <w:rPr>
          <w:rFonts w:ascii="Times New Roman" w:hAnsi="Times New Roman"/>
          <w:color w:val="auto"/>
          <w:sz w:val="24"/>
          <w:szCs w:val="24"/>
        </w:rPr>
        <w:t>Gap (</w:t>
      </w:r>
      <w:proofErr w:type="spellStart"/>
      <w:r w:rsidRPr="00125A2F">
        <w:rPr>
          <w:rFonts w:ascii="Times New Roman" w:hAnsi="Times New Roman"/>
          <w:color w:val="auto"/>
          <w:sz w:val="24"/>
          <w:szCs w:val="24"/>
        </w:rPr>
        <w:t>st</w:t>
      </w:r>
      <w:proofErr w:type="spellEnd"/>
      <w:r w:rsidRPr="00125A2F">
        <w:rPr>
          <w:rFonts w:ascii="Times New Roman" w:hAnsi="Times New Roman"/>
          <w:color w:val="auto"/>
          <w:sz w:val="24"/>
          <w:szCs w:val="24"/>
        </w:rPr>
        <w:t xml:space="preserve">/nig) &gt; 2 indicates that the W system is selective for protection against </w:t>
      </w:r>
      <w:r w:rsidRPr="00125A2F">
        <w:rPr>
          <w:rFonts w:ascii="Times New Roman" w:hAnsi="Times New Roman"/>
          <w:i/>
          <w:color w:val="auto"/>
          <w:sz w:val="24"/>
          <w:szCs w:val="24"/>
        </w:rPr>
        <w:t xml:space="preserve">R. </w:t>
      </w:r>
      <w:proofErr w:type="spellStart"/>
      <w:r w:rsidRPr="00125A2F">
        <w:rPr>
          <w:rFonts w:ascii="Times New Roman" w:hAnsi="Times New Roman"/>
          <w:i/>
          <w:color w:val="auto"/>
          <w:sz w:val="24"/>
          <w:szCs w:val="24"/>
        </w:rPr>
        <w:t>stolonifer</w:t>
      </w:r>
      <w:proofErr w:type="spellEnd"/>
      <w:r w:rsidRPr="00125A2F">
        <w:rPr>
          <w:rFonts w:ascii="Times New Roman" w:hAnsi="Times New Roman"/>
          <w:color w:val="auto"/>
          <w:sz w:val="24"/>
          <w:szCs w:val="24"/>
        </w:rPr>
        <w:t xml:space="preserve"> over </w:t>
      </w:r>
      <w:r w:rsidRPr="00125A2F">
        <w:rPr>
          <w:rFonts w:ascii="Times New Roman" w:hAnsi="Times New Roman"/>
          <w:i/>
          <w:color w:val="auto"/>
          <w:sz w:val="24"/>
          <w:szCs w:val="24"/>
        </w:rPr>
        <w:t xml:space="preserve">A. </w:t>
      </w:r>
      <w:proofErr w:type="spellStart"/>
      <w:r w:rsidRPr="00125A2F">
        <w:rPr>
          <w:rFonts w:ascii="Times New Roman" w:hAnsi="Times New Roman"/>
          <w:i/>
          <w:color w:val="auto"/>
          <w:sz w:val="24"/>
          <w:szCs w:val="24"/>
        </w:rPr>
        <w:t>niger</w:t>
      </w:r>
      <w:proofErr w:type="spellEnd"/>
      <w:r w:rsidRPr="00125A2F">
        <w:rPr>
          <w:rFonts w:ascii="Times New Roman" w:hAnsi="Times New Roman"/>
          <w:color w:val="auto"/>
          <w:sz w:val="24"/>
          <w:szCs w:val="24"/>
        </w:rPr>
        <w:t xml:space="preserve"> with a probability of P &gt; 0.95. </w:t>
      </w:r>
    </w:p>
    <w:p w14:paraId="1A5D8125" w14:textId="77777777" w:rsidR="00C0219D" w:rsidRDefault="00C0219D" w:rsidP="00BE3ADB">
      <w:pPr>
        <w:spacing w:line="360" w:lineRule="auto"/>
        <w:rPr>
          <w:b/>
          <w:color w:val="FF0000"/>
          <w:szCs w:val="24"/>
        </w:rPr>
      </w:pPr>
    </w:p>
    <w:p w14:paraId="3A3343BC" w14:textId="77777777" w:rsidR="002A3C06" w:rsidRPr="00125A2F" w:rsidRDefault="002A3C06" w:rsidP="002A3C06">
      <w:pPr>
        <w:pStyle w:val="MDPI41tablecaption"/>
        <w:spacing w:before="0" w:after="0" w:line="240" w:lineRule="auto"/>
        <w:ind w:left="0"/>
        <w:rPr>
          <w:rFonts w:ascii="Times New Roman" w:hAnsi="Times New Roman" w:cs="Times New Roman"/>
          <w:b/>
          <w:color w:val="auto"/>
          <w:sz w:val="24"/>
          <w:szCs w:val="24"/>
        </w:rPr>
      </w:pPr>
      <w:r w:rsidRPr="002A3C06">
        <w:rPr>
          <w:rFonts w:ascii="Times New Roman" w:hAnsi="Times New Roman" w:cs="Times New Roman"/>
          <w:b/>
          <w:color w:val="auto"/>
          <w:sz w:val="24"/>
          <w:szCs w:val="24"/>
        </w:rPr>
        <w:t>Table 6: Combined data on the selectivity of W and B systems for fungal pathogens</w:t>
      </w:r>
    </w:p>
    <w:tbl>
      <w:tblPr>
        <w:tblW w:w="9015" w:type="dxa"/>
        <w:tblLook w:val="04A0" w:firstRow="1" w:lastRow="0" w:firstColumn="1" w:lastColumn="0" w:noHBand="0" w:noVBand="1"/>
      </w:tblPr>
      <w:tblGrid>
        <w:gridCol w:w="1296"/>
        <w:gridCol w:w="1710"/>
        <w:gridCol w:w="1034"/>
        <w:gridCol w:w="1147"/>
        <w:gridCol w:w="1276"/>
        <w:gridCol w:w="1276"/>
        <w:gridCol w:w="1276"/>
      </w:tblGrid>
      <w:tr w:rsidR="002A3C06" w:rsidRPr="002A3C06" w14:paraId="1D0BDDEE" w14:textId="77777777" w:rsidTr="002A3C06">
        <w:trPr>
          <w:trHeight w:val="20"/>
        </w:trPr>
        <w:tc>
          <w:tcPr>
            <w:tcW w:w="1296" w:type="dxa"/>
            <w:vMerge w:val="restart"/>
            <w:tcBorders>
              <w:top w:val="single" w:sz="4" w:space="0" w:color="auto"/>
              <w:bottom w:val="single" w:sz="4" w:space="0" w:color="auto"/>
            </w:tcBorders>
            <w:vAlign w:val="center"/>
          </w:tcPr>
          <w:p w14:paraId="5BBA48AE" w14:textId="77777777" w:rsidR="002A3C06" w:rsidRPr="002A3C06" w:rsidRDefault="002A3C06" w:rsidP="002A3C06">
            <w:pPr>
              <w:spacing w:line="240" w:lineRule="auto"/>
              <w:jc w:val="center"/>
              <w:rPr>
                <w:b/>
                <w:color w:val="auto"/>
                <w:szCs w:val="24"/>
              </w:rPr>
            </w:pPr>
            <w:r w:rsidRPr="002A3C06">
              <w:rPr>
                <w:b/>
                <w:color w:val="auto"/>
                <w:szCs w:val="24"/>
              </w:rPr>
              <w:t>Systems</w:t>
            </w:r>
          </w:p>
        </w:tc>
        <w:tc>
          <w:tcPr>
            <w:tcW w:w="1710" w:type="dxa"/>
            <w:vMerge w:val="restart"/>
            <w:tcBorders>
              <w:top w:val="single" w:sz="4" w:space="0" w:color="auto"/>
              <w:bottom w:val="single" w:sz="4" w:space="0" w:color="auto"/>
            </w:tcBorders>
            <w:vAlign w:val="center"/>
          </w:tcPr>
          <w:p w14:paraId="14831CB2" w14:textId="77777777" w:rsidR="002A3C06" w:rsidRPr="002A3C06" w:rsidRDefault="002A3C06" w:rsidP="002A3C06">
            <w:pPr>
              <w:spacing w:line="240" w:lineRule="auto"/>
              <w:jc w:val="center"/>
              <w:rPr>
                <w:b/>
                <w:color w:val="auto"/>
                <w:szCs w:val="24"/>
              </w:rPr>
            </w:pPr>
            <w:r w:rsidRPr="002A3C06">
              <w:rPr>
                <w:b/>
                <w:color w:val="auto"/>
                <w:szCs w:val="24"/>
                <w:lang w:eastAsia="ru-RU"/>
              </w:rPr>
              <w:t>Gap</w:t>
            </w:r>
          </w:p>
        </w:tc>
        <w:tc>
          <w:tcPr>
            <w:tcW w:w="6009" w:type="dxa"/>
            <w:gridSpan w:val="5"/>
            <w:tcBorders>
              <w:top w:val="single" w:sz="4" w:space="0" w:color="auto"/>
              <w:bottom w:val="single" w:sz="4" w:space="0" w:color="auto"/>
            </w:tcBorders>
            <w:vAlign w:val="center"/>
          </w:tcPr>
          <w:p w14:paraId="04F09835" w14:textId="77777777" w:rsidR="002A3C06" w:rsidRPr="002A3C06" w:rsidRDefault="002A3C06" w:rsidP="002A3C06">
            <w:pPr>
              <w:spacing w:line="240" w:lineRule="auto"/>
              <w:jc w:val="center"/>
              <w:rPr>
                <w:b/>
                <w:color w:val="auto"/>
                <w:szCs w:val="24"/>
                <w:lang w:eastAsia="ru-RU"/>
              </w:rPr>
            </w:pPr>
            <w:r w:rsidRPr="002A3C06">
              <w:rPr>
                <w:b/>
                <w:color w:val="auto"/>
                <w:szCs w:val="24"/>
                <w:lang w:eastAsia="ru-RU"/>
              </w:rPr>
              <w:t xml:space="preserve">Antagonistic yeasts </w:t>
            </w:r>
            <w:r w:rsidRPr="002A3C06">
              <w:rPr>
                <w:color w:val="auto"/>
                <w:szCs w:val="24"/>
                <w:vertAlign w:val="superscript"/>
                <w:lang w:eastAsia="ru-RU"/>
              </w:rPr>
              <w:t>♯</w:t>
            </w:r>
          </w:p>
        </w:tc>
      </w:tr>
      <w:tr w:rsidR="002A3C06" w:rsidRPr="002A3C06" w14:paraId="6E353A84" w14:textId="77777777" w:rsidTr="002A3C06">
        <w:trPr>
          <w:trHeight w:val="20"/>
        </w:trPr>
        <w:tc>
          <w:tcPr>
            <w:tcW w:w="1296" w:type="dxa"/>
            <w:vMerge/>
            <w:tcBorders>
              <w:top w:val="single" w:sz="4" w:space="0" w:color="auto"/>
            </w:tcBorders>
            <w:vAlign w:val="center"/>
          </w:tcPr>
          <w:p w14:paraId="6B4DC189" w14:textId="77777777" w:rsidR="002A3C06" w:rsidRPr="002A3C06" w:rsidRDefault="002A3C06" w:rsidP="002A3C06">
            <w:pPr>
              <w:spacing w:line="240" w:lineRule="auto"/>
              <w:jc w:val="center"/>
              <w:rPr>
                <w:color w:val="auto"/>
                <w:szCs w:val="24"/>
              </w:rPr>
            </w:pPr>
          </w:p>
        </w:tc>
        <w:tc>
          <w:tcPr>
            <w:tcW w:w="1710" w:type="dxa"/>
            <w:vMerge/>
            <w:tcBorders>
              <w:top w:val="single" w:sz="4" w:space="0" w:color="auto"/>
            </w:tcBorders>
            <w:vAlign w:val="center"/>
          </w:tcPr>
          <w:p w14:paraId="210688F3" w14:textId="77777777" w:rsidR="002A3C06" w:rsidRPr="002A3C06" w:rsidRDefault="002A3C06" w:rsidP="002A3C06">
            <w:pPr>
              <w:spacing w:line="240" w:lineRule="auto"/>
              <w:jc w:val="center"/>
              <w:rPr>
                <w:color w:val="auto"/>
                <w:szCs w:val="24"/>
              </w:rPr>
            </w:pPr>
          </w:p>
        </w:tc>
        <w:tc>
          <w:tcPr>
            <w:tcW w:w="2181" w:type="dxa"/>
            <w:gridSpan w:val="2"/>
            <w:tcBorders>
              <w:top w:val="single" w:sz="4" w:space="0" w:color="auto"/>
              <w:bottom w:val="single" w:sz="4" w:space="0" w:color="auto"/>
            </w:tcBorders>
            <w:vAlign w:val="center"/>
          </w:tcPr>
          <w:p w14:paraId="12C0A693" w14:textId="77777777" w:rsidR="002A3C06" w:rsidRPr="002A3C06" w:rsidRDefault="002A3C06" w:rsidP="002A3C06">
            <w:pPr>
              <w:spacing w:line="240" w:lineRule="auto"/>
              <w:jc w:val="center"/>
              <w:rPr>
                <w:b/>
                <w:color w:val="auto"/>
                <w:szCs w:val="24"/>
                <w:lang w:eastAsia="ru-RU"/>
              </w:rPr>
            </w:pPr>
            <w:r w:rsidRPr="002A3C06">
              <w:rPr>
                <w:b/>
                <w:color w:val="auto"/>
                <w:szCs w:val="24"/>
                <w:lang w:eastAsia="ru-RU"/>
              </w:rPr>
              <w:t>Group A</w:t>
            </w:r>
          </w:p>
        </w:tc>
        <w:tc>
          <w:tcPr>
            <w:tcW w:w="3828" w:type="dxa"/>
            <w:gridSpan w:val="3"/>
            <w:tcBorders>
              <w:top w:val="single" w:sz="4" w:space="0" w:color="auto"/>
              <w:bottom w:val="single" w:sz="4" w:space="0" w:color="auto"/>
            </w:tcBorders>
            <w:vAlign w:val="center"/>
          </w:tcPr>
          <w:p w14:paraId="03C31625" w14:textId="77777777" w:rsidR="002A3C06" w:rsidRPr="002A3C06" w:rsidRDefault="002A3C06" w:rsidP="002A3C06">
            <w:pPr>
              <w:spacing w:line="240" w:lineRule="auto"/>
              <w:jc w:val="center"/>
              <w:rPr>
                <w:b/>
                <w:color w:val="auto"/>
                <w:szCs w:val="24"/>
                <w:lang w:eastAsia="ru-RU"/>
              </w:rPr>
            </w:pPr>
            <w:r w:rsidRPr="002A3C06">
              <w:rPr>
                <w:b/>
                <w:color w:val="auto"/>
                <w:szCs w:val="24"/>
                <w:lang w:eastAsia="ru-RU"/>
              </w:rPr>
              <w:t>Group B</w:t>
            </w:r>
          </w:p>
        </w:tc>
      </w:tr>
      <w:tr w:rsidR="002A3C06" w:rsidRPr="002A3C06" w14:paraId="436DD1BC" w14:textId="77777777" w:rsidTr="002A3C06">
        <w:trPr>
          <w:trHeight w:val="20"/>
        </w:trPr>
        <w:tc>
          <w:tcPr>
            <w:tcW w:w="1296" w:type="dxa"/>
            <w:vMerge/>
            <w:tcBorders>
              <w:bottom w:val="single" w:sz="4" w:space="0" w:color="auto"/>
            </w:tcBorders>
            <w:vAlign w:val="center"/>
          </w:tcPr>
          <w:p w14:paraId="0B12D92F" w14:textId="77777777" w:rsidR="002A3C06" w:rsidRPr="002A3C06" w:rsidRDefault="002A3C06" w:rsidP="002A3C06">
            <w:pPr>
              <w:spacing w:line="240" w:lineRule="auto"/>
              <w:jc w:val="center"/>
              <w:rPr>
                <w:color w:val="auto"/>
                <w:szCs w:val="24"/>
              </w:rPr>
            </w:pPr>
          </w:p>
        </w:tc>
        <w:tc>
          <w:tcPr>
            <w:tcW w:w="1710" w:type="dxa"/>
            <w:vMerge/>
            <w:tcBorders>
              <w:bottom w:val="single" w:sz="4" w:space="0" w:color="auto"/>
            </w:tcBorders>
            <w:vAlign w:val="center"/>
          </w:tcPr>
          <w:p w14:paraId="6D22A408" w14:textId="77777777" w:rsidR="002A3C06" w:rsidRPr="002A3C06" w:rsidRDefault="002A3C06" w:rsidP="002A3C06">
            <w:pPr>
              <w:spacing w:line="240" w:lineRule="auto"/>
              <w:jc w:val="center"/>
              <w:rPr>
                <w:color w:val="auto"/>
                <w:szCs w:val="24"/>
              </w:rPr>
            </w:pPr>
          </w:p>
        </w:tc>
        <w:tc>
          <w:tcPr>
            <w:tcW w:w="1034" w:type="dxa"/>
            <w:tcBorders>
              <w:top w:val="single" w:sz="4" w:space="0" w:color="auto"/>
              <w:bottom w:val="single" w:sz="4" w:space="0" w:color="auto"/>
            </w:tcBorders>
            <w:vAlign w:val="center"/>
          </w:tcPr>
          <w:p w14:paraId="64FBBD71" w14:textId="77777777" w:rsidR="002A3C06" w:rsidRPr="002A3C06" w:rsidRDefault="002A3C06" w:rsidP="002A3C06">
            <w:pPr>
              <w:spacing w:line="240" w:lineRule="auto"/>
              <w:jc w:val="center"/>
              <w:rPr>
                <w:color w:val="auto"/>
                <w:szCs w:val="24"/>
              </w:rPr>
            </w:pPr>
            <w:r w:rsidRPr="002A3C06">
              <w:rPr>
                <w:color w:val="auto"/>
                <w:szCs w:val="24"/>
              </w:rPr>
              <w:t>A2</w:t>
            </w:r>
          </w:p>
        </w:tc>
        <w:tc>
          <w:tcPr>
            <w:tcW w:w="1147" w:type="dxa"/>
            <w:tcBorders>
              <w:top w:val="single" w:sz="4" w:space="0" w:color="auto"/>
              <w:bottom w:val="single" w:sz="4" w:space="0" w:color="auto"/>
            </w:tcBorders>
            <w:vAlign w:val="center"/>
          </w:tcPr>
          <w:p w14:paraId="289F7FAE" w14:textId="77777777" w:rsidR="002A3C06" w:rsidRPr="002A3C06" w:rsidRDefault="002A3C06" w:rsidP="002A3C06">
            <w:pPr>
              <w:spacing w:line="240" w:lineRule="auto"/>
              <w:jc w:val="center"/>
              <w:rPr>
                <w:color w:val="auto"/>
                <w:szCs w:val="24"/>
              </w:rPr>
            </w:pPr>
            <w:r w:rsidRPr="002A3C06">
              <w:rPr>
                <w:color w:val="auto"/>
                <w:szCs w:val="24"/>
                <w:lang w:eastAsia="ru-RU"/>
              </w:rPr>
              <w:t>HU15</w:t>
            </w:r>
          </w:p>
        </w:tc>
        <w:tc>
          <w:tcPr>
            <w:tcW w:w="1276" w:type="dxa"/>
            <w:tcBorders>
              <w:top w:val="single" w:sz="4" w:space="0" w:color="auto"/>
              <w:bottom w:val="single" w:sz="4" w:space="0" w:color="auto"/>
            </w:tcBorders>
            <w:vAlign w:val="center"/>
          </w:tcPr>
          <w:p w14:paraId="09F1F1B5" w14:textId="77777777" w:rsidR="002A3C06" w:rsidRPr="002A3C06" w:rsidRDefault="002A3C06" w:rsidP="002A3C06">
            <w:pPr>
              <w:spacing w:line="240" w:lineRule="auto"/>
              <w:jc w:val="center"/>
              <w:rPr>
                <w:color w:val="auto"/>
                <w:szCs w:val="24"/>
              </w:rPr>
            </w:pPr>
            <w:r w:rsidRPr="002A3C06">
              <w:rPr>
                <w:color w:val="auto"/>
                <w:szCs w:val="24"/>
                <w:lang w:eastAsia="ru-RU"/>
              </w:rPr>
              <w:t>CL03</w:t>
            </w:r>
            <w:r w:rsidRPr="002A3C06">
              <w:rPr>
                <w:b/>
                <w:color w:val="auto"/>
                <w:szCs w:val="24"/>
                <w:vertAlign w:val="superscript"/>
                <w:lang w:eastAsia="ru-RU"/>
              </w:rPr>
              <w:t>♪</w:t>
            </w:r>
          </w:p>
        </w:tc>
        <w:tc>
          <w:tcPr>
            <w:tcW w:w="1276" w:type="dxa"/>
            <w:tcBorders>
              <w:top w:val="single" w:sz="4" w:space="0" w:color="auto"/>
              <w:bottom w:val="single" w:sz="4" w:space="0" w:color="auto"/>
            </w:tcBorders>
            <w:vAlign w:val="center"/>
          </w:tcPr>
          <w:p w14:paraId="21D268C6" w14:textId="77777777" w:rsidR="002A3C06" w:rsidRPr="002A3C06" w:rsidRDefault="002A3C06" w:rsidP="002A3C06">
            <w:pPr>
              <w:spacing w:line="240" w:lineRule="auto"/>
              <w:jc w:val="center"/>
              <w:rPr>
                <w:color w:val="auto"/>
                <w:szCs w:val="24"/>
              </w:rPr>
            </w:pPr>
            <w:r w:rsidRPr="002A3C06">
              <w:rPr>
                <w:color w:val="auto"/>
                <w:szCs w:val="24"/>
                <w:lang w:eastAsia="ru-RU"/>
              </w:rPr>
              <w:t>AP11</w:t>
            </w:r>
          </w:p>
        </w:tc>
        <w:tc>
          <w:tcPr>
            <w:tcW w:w="1276" w:type="dxa"/>
            <w:tcBorders>
              <w:top w:val="single" w:sz="4" w:space="0" w:color="auto"/>
              <w:bottom w:val="single" w:sz="4" w:space="0" w:color="auto"/>
            </w:tcBorders>
            <w:vAlign w:val="center"/>
          </w:tcPr>
          <w:p w14:paraId="200A3A5D" w14:textId="77777777" w:rsidR="002A3C06" w:rsidRPr="002A3C06" w:rsidRDefault="002A3C06" w:rsidP="002A3C06">
            <w:pPr>
              <w:spacing w:line="240" w:lineRule="auto"/>
              <w:jc w:val="center"/>
              <w:rPr>
                <w:color w:val="auto"/>
                <w:szCs w:val="24"/>
              </w:rPr>
            </w:pPr>
            <w:r w:rsidRPr="002A3C06">
              <w:rPr>
                <w:color w:val="auto"/>
                <w:szCs w:val="24"/>
                <w:lang w:eastAsia="ru-RU"/>
              </w:rPr>
              <w:t>AP13</w:t>
            </w:r>
          </w:p>
        </w:tc>
      </w:tr>
      <w:tr w:rsidR="002A3C06" w:rsidRPr="002A3C06" w14:paraId="26AE94FD" w14:textId="77777777" w:rsidTr="002A3C06">
        <w:trPr>
          <w:trHeight w:val="20"/>
        </w:trPr>
        <w:tc>
          <w:tcPr>
            <w:tcW w:w="1296" w:type="dxa"/>
            <w:vMerge w:val="restart"/>
            <w:tcBorders>
              <w:top w:val="single" w:sz="4" w:space="0" w:color="auto"/>
            </w:tcBorders>
            <w:vAlign w:val="center"/>
          </w:tcPr>
          <w:p w14:paraId="6713EBDE" w14:textId="77777777" w:rsidR="002A3C06" w:rsidRPr="002A3C06" w:rsidRDefault="002A3C06" w:rsidP="002A3C06">
            <w:pPr>
              <w:spacing w:line="240" w:lineRule="auto"/>
              <w:jc w:val="center"/>
              <w:rPr>
                <w:b/>
                <w:color w:val="auto"/>
                <w:szCs w:val="24"/>
              </w:rPr>
            </w:pPr>
            <w:r w:rsidRPr="002A3C06">
              <w:rPr>
                <w:b/>
                <w:color w:val="auto"/>
                <w:szCs w:val="24"/>
              </w:rPr>
              <w:t>B</w:t>
            </w:r>
          </w:p>
        </w:tc>
        <w:tc>
          <w:tcPr>
            <w:tcW w:w="1710" w:type="dxa"/>
            <w:tcBorders>
              <w:top w:val="single" w:sz="4" w:space="0" w:color="auto"/>
            </w:tcBorders>
            <w:vAlign w:val="center"/>
          </w:tcPr>
          <w:p w14:paraId="024C83EF" w14:textId="77777777" w:rsidR="002A3C06" w:rsidRPr="002A3C06" w:rsidRDefault="002A3C06" w:rsidP="002A3C06">
            <w:pPr>
              <w:spacing w:line="240" w:lineRule="auto"/>
              <w:jc w:val="center"/>
              <w:rPr>
                <w:color w:val="auto"/>
                <w:szCs w:val="24"/>
              </w:rPr>
            </w:pPr>
            <w:r w:rsidRPr="002A3C06">
              <w:rPr>
                <w:color w:val="auto"/>
                <w:szCs w:val="24"/>
              </w:rPr>
              <w:t>Gap (cin/st)</w:t>
            </w:r>
          </w:p>
        </w:tc>
        <w:tc>
          <w:tcPr>
            <w:tcW w:w="1034" w:type="dxa"/>
            <w:tcBorders>
              <w:top w:val="single" w:sz="4" w:space="0" w:color="auto"/>
            </w:tcBorders>
            <w:vAlign w:val="center"/>
          </w:tcPr>
          <w:p w14:paraId="4C6E2AF6" w14:textId="77777777" w:rsidR="002A3C06" w:rsidRPr="002A3C06" w:rsidRDefault="002A3C06" w:rsidP="002A3C06">
            <w:pPr>
              <w:spacing w:line="240" w:lineRule="auto"/>
              <w:jc w:val="center"/>
              <w:rPr>
                <w:b/>
                <w:color w:val="auto"/>
                <w:szCs w:val="24"/>
              </w:rPr>
            </w:pPr>
            <w:r w:rsidRPr="002A3C06">
              <w:rPr>
                <w:b/>
                <w:color w:val="auto"/>
                <w:szCs w:val="24"/>
              </w:rPr>
              <w:t>+</w:t>
            </w:r>
            <w:r w:rsidRPr="002A3C06">
              <w:rPr>
                <w:b/>
                <w:color w:val="auto"/>
                <w:szCs w:val="24"/>
                <w:vertAlign w:val="superscript"/>
              </w:rPr>
              <w:t>§</w:t>
            </w:r>
          </w:p>
        </w:tc>
        <w:tc>
          <w:tcPr>
            <w:tcW w:w="1147" w:type="dxa"/>
            <w:tcBorders>
              <w:top w:val="single" w:sz="4" w:space="0" w:color="auto"/>
            </w:tcBorders>
            <w:vAlign w:val="center"/>
          </w:tcPr>
          <w:p w14:paraId="3972EF9E" w14:textId="77777777" w:rsidR="002A3C06" w:rsidRPr="002A3C06" w:rsidRDefault="002A3C06" w:rsidP="002A3C06">
            <w:pPr>
              <w:spacing w:line="240" w:lineRule="auto"/>
              <w:jc w:val="center"/>
              <w:rPr>
                <w:b/>
                <w:color w:val="auto"/>
                <w:szCs w:val="24"/>
              </w:rPr>
            </w:pPr>
            <w:r w:rsidRPr="002A3C06">
              <w:rPr>
                <w:b/>
                <w:color w:val="auto"/>
                <w:szCs w:val="24"/>
              </w:rPr>
              <w:t>+</w:t>
            </w:r>
          </w:p>
        </w:tc>
        <w:tc>
          <w:tcPr>
            <w:tcW w:w="1276" w:type="dxa"/>
            <w:tcBorders>
              <w:top w:val="single" w:sz="4" w:space="0" w:color="auto"/>
            </w:tcBorders>
            <w:vAlign w:val="center"/>
          </w:tcPr>
          <w:p w14:paraId="095F5F7C" w14:textId="77777777" w:rsidR="002A3C06" w:rsidRPr="002A3C06" w:rsidRDefault="002A3C06" w:rsidP="002A3C06">
            <w:pPr>
              <w:spacing w:line="240" w:lineRule="auto"/>
              <w:jc w:val="center"/>
              <w:rPr>
                <w:b/>
                <w:color w:val="auto"/>
                <w:szCs w:val="24"/>
              </w:rPr>
            </w:pPr>
            <w:r w:rsidRPr="002A3C06">
              <w:rPr>
                <w:b/>
                <w:color w:val="auto"/>
                <w:szCs w:val="24"/>
              </w:rPr>
              <w:t>+</w:t>
            </w:r>
          </w:p>
        </w:tc>
        <w:tc>
          <w:tcPr>
            <w:tcW w:w="1276" w:type="dxa"/>
            <w:tcBorders>
              <w:top w:val="single" w:sz="4" w:space="0" w:color="auto"/>
            </w:tcBorders>
            <w:vAlign w:val="center"/>
          </w:tcPr>
          <w:p w14:paraId="2ADEDEC8" w14:textId="77777777" w:rsidR="002A3C06" w:rsidRPr="002A3C06" w:rsidRDefault="002A3C06" w:rsidP="002A3C06">
            <w:pPr>
              <w:spacing w:line="240" w:lineRule="auto"/>
              <w:jc w:val="center"/>
              <w:rPr>
                <w:b/>
                <w:color w:val="auto"/>
                <w:szCs w:val="24"/>
                <w:lang w:val="ru-RU"/>
              </w:rPr>
            </w:pPr>
            <w:r w:rsidRPr="002A3C06">
              <w:rPr>
                <w:b/>
                <w:color w:val="auto"/>
                <w:szCs w:val="24"/>
                <w:lang w:val="ru-RU"/>
              </w:rPr>
              <w:t>+</w:t>
            </w:r>
          </w:p>
        </w:tc>
        <w:tc>
          <w:tcPr>
            <w:tcW w:w="1276" w:type="dxa"/>
            <w:tcBorders>
              <w:top w:val="single" w:sz="4" w:space="0" w:color="auto"/>
            </w:tcBorders>
            <w:vAlign w:val="center"/>
          </w:tcPr>
          <w:p w14:paraId="4315641D" w14:textId="77777777" w:rsidR="002A3C06" w:rsidRPr="002A3C06" w:rsidRDefault="002A3C06" w:rsidP="002A3C06">
            <w:pPr>
              <w:spacing w:line="240" w:lineRule="auto"/>
              <w:jc w:val="center"/>
              <w:rPr>
                <w:b/>
                <w:color w:val="auto"/>
                <w:szCs w:val="24"/>
                <w:lang w:val="ru-RU"/>
              </w:rPr>
            </w:pPr>
          </w:p>
        </w:tc>
      </w:tr>
      <w:tr w:rsidR="002A3C06" w:rsidRPr="002A3C06" w14:paraId="5797BB44" w14:textId="77777777" w:rsidTr="002A3C06">
        <w:trPr>
          <w:trHeight w:val="20"/>
        </w:trPr>
        <w:tc>
          <w:tcPr>
            <w:tcW w:w="1296" w:type="dxa"/>
            <w:vMerge/>
            <w:vAlign w:val="center"/>
          </w:tcPr>
          <w:p w14:paraId="12966955" w14:textId="77777777" w:rsidR="002A3C06" w:rsidRPr="002A3C06" w:rsidRDefault="002A3C06" w:rsidP="002A3C06">
            <w:pPr>
              <w:spacing w:line="240" w:lineRule="auto"/>
              <w:jc w:val="center"/>
              <w:rPr>
                <w:b/>
                <w:color w:val="auto"/>
                <w:szCs w:val="24"/>
              </w:rPr>
            </w:pPr>
          </w:p>
        </w:tc>
        <w:tc>
          <w:tcPr>
            <w:tcW w:w="1710" w:type="dxa"/>
            <w:vAlign w:val="center"/>
          </w:tcPr>
          <w:p w14:paraId="2F5396EE" w14:textId="77777777" w:rsidR="002A3C06" w:rsidRPr="002A3C06" w:rsidRDefault="002A3C06" w:rsidP="002A3C06">
            <w:pPr>
              <w:spacing w:line="240" w:lineRule="auto"/>
              <w:jc w:val="center"/>
              <w:rPr>
                <w:color w:val="auto"/>
                <w:szCs w:val="24"/>
                <w:lang w:eastAsia="ru-RU"/>
              </w:rPr>
            </w:pPr>
            <w:r w:rsidRPr="002A3C06">
              <w:rPr>
                <w:color w:val="auto"/>
                <w:szCs w:val="24"/>
                <w:lang w:eastAsia="ru-RU"/>
              </w:rPr>
              <w:t>Gap(nig/cin)</w:t>
            </w:r>
          </w:p>
        </w:tc>
        <w:tc>
          <w:tcPr>
            <w:tcW w:w="1034" w:type="dxa"/>
            <w:vAlign w:val="center"/>
          </w:tcPr>
          <w:p w14:paraId="34D1F304" w14:textId="77777777" w:rsidR="002A3C06" w:rsidRPr="002A3C06" w:rsidRDefault="002A3C06" w:rsidP="002A3C06">
            <w:pPr>
              <w:spacing w:line="240" w:lineRule="auto"/>
              <w:jc w:val="center"/>
              <w:rPr>
                <w:b/>
                <w:color w:val="auto"/>
                <w:szCs w:val="24"/>
              </w:rPr>
            </w:pPr>
          </w:p>
        </w:tc>
        <w:tc>
          <w:tcPr>
            <w:tcW w:w="1147" w:type="dxa"/>
            <w:vAlign w:val="center"/>
          </w:tcPr>
          <w:p w14:paraId="7564B006" w14:textId="77777777" w:rsidR="002A3C06" w:rsidRPr="002A3C06" w:rsidRDefault="002A3C06" w:rsidP="002A3C06">
            <w:pPr>
              <w:spacing w:line="240" w:lineRule="auto"/>
              <w:jc w:val="center"/>
              <w:rPr>
                <w:b/>
                <w:color w:val="auto"/>
                <w:szCs w:val="24"/>
              </w:rPr>
            </w:pPr>
          </w:p>
        </w:tc>
        <w:tc>
          <w:tcPr>
            <w:tcW w:w="1276" w:type="dxa"/>
            <w:vAlign w:val="center"/>
          </w:tcPr>
          <w:p w14:paraId="32C1D2A3" w14:textId="77777777" w:rsidR="002A3C06" w:rsidRPr="002A3C06" w:rsidRDefault="002A3C06" w:rsidP="002A3C06">
            <w:pPr>
              <w:spacing w:line="240" w:lineRule="auto"/>
              <w:jc w:val="center"/>
              <w:rPr>
                <w:b/>
                <w:color w:val="auto"/>
                <w:szCs w:val="24"/>
              </w:rPr>
            </w:pPr>
          </w:p>
        </w:tc>
        <w:tc>
          <w:tcPr>
            <w:tcW w:w="1276" w:type="dxa"/>
            <w:vAlign w:val="center"/>
          </w:tcPr>
          <w:p w14:paraId="50BA85D0" w14:textId="77777777" w:rsidR="002A3C06" w:rsidRPr="002A3C06" w:rsidRDefault="002A3C06" w:rsidP="002A3C06">
            <w:pPr>
              <w:spacing w:line="240" w:lineRule="auto"/>
              <w:jc w:val="center"/>
              <w:rPr>
                <w:b/>
                <w:color w:val="auto"/>
                <w:szCs w:val="24"/>
              </w:rPr>
            </w:pPr>
          </w:p>
        </w:tc>
        <w:tc>
          <w:tcPr>
            <w:tcW w:w="1276" w:type="dxa"/>
            <w:vAlign w:val="center"/>
          </w:tcPr>
          <w:p w14:paraId="1EAC6B29" w14:textId="77777777" w:rsidR="002A3C06" w:rsidRPr="002A3C06" w:rsidRDefault="002A3C06" w:rsidP="002A3C06">
            <w:pPr>
              <w:spacing w:line="240" w:lineRule="auto"/>
              <w:jc w:val="center"/>
              <w:rPr>
                <w:b/>
                <w:color w:val="auto"/>
                <w:szCs w:val="24"/>
                <w:lang w:val="ru-RU"/>
              </w:rPr>
            </w:pPr>
          </w:p>
        </w:tc>
      </w:tr>
      <w:tr w:rsidR="002A3C06" w:rsidRPr="002A3C06" w14:paraId="03792FA5" w14:textId="77777777" w:rsidTr="002A3C06">
        <w:trPr>
          <w:trHeight w:val="20"/>
        </w:trPr>
        <w:tc>
          <w:tcPr>
            <w:tcW w:w="1296" w:type="dxa"/>
            <w:vMerge/>
            <w:tcBorders>
              <w:bottom w:val="single" w:sz="4" w:space="0" w:color="auto"/>
            </w:tcBorders>
            <w:vAlign w:val="center"/>
          </w:tcPr>
          <w:p w14:paraId="72F80275" w14:textId="77777777" w:rsidR="002A3C06" w:rsidRPr="002A3C06" w:rsidRDefault="002A3C06" w:rsidP="002A3C06">
            <w:pPr>
              <w:spacing w:line="240" w:lineRule="auto"/>
              <w:jc w:val="center"/>
              <w:rPr>
                <w:b/>
                <w:color w:val="auto"/>
                <w:szCs w:val="24"/>
              </w:rPr>
            </w:pPr>
          </w:p>
        </w:tc>
        <w:tc>
          <w:tcPr>
            <w:tcW w:w="1710" w:type="dxa"/>
            <w:tcBorders>
              <w:bottom w:val="single" w:sz="4" w:space="0" w:color="auto"/>
            </w:tcBorders>
            <w:vAlign w:val="center"/>
          </w:tcPr>
          <w:p w14:paraId="2F832BC8" w14:textId="77777777" w:rsidR="002A3C06" w:rsidRPr="002A3C06" w:rsidRDefault="002A3C06" w:rsidP="002A3C06">
            <w:pPr>
              <w:spacing w:line="240" w:lineRule="auto"/>
              <w:jc w:val="center"/>
              <w:rPr>
                <w:color w:val="auto"/>
                <w:szCs w:val="24"/>
              </w:rPr>
            </w:pPr>
            <w:r w:rsidRPr="002A3C06">
              <w:rPr>
                <w:color w:val="auto"/>
                <w:szCs w:val="24"/>
                <w:lang w:eastAsia="ru-RU"/>
              </w:rPr>
              <w:t>Gap (nig/st)</w:t>
            </w:r>
          </w:p>
        </w:tc>
        <w:tc>
          <w:tcPr>
            <w:tcW w:w="1034" w:type="dxa"/>
            <w:tcBorders>
              <w:bottom w:val="single" w:sz="4" w:space="0" w:color="auto"/>
            </w:tcBorders>
            <w:vAlign w:val="center"/>
          </w:tcPr>
          <w:p w14:paraId="56335313" w14:textId="77777777" w:rsidR="002A3C06" w:rsidRPr="002A3C06" w:rsidRDefault="002A3C06" w:rsidP="002A3C06">
            <w:pPr>
              <w:spacing w:line="240" w:lineRule="auto"/>
              <w:jc w:val="center"/>
              <w:rPr>
                <w:b/>
                <w:color w:val="auto"/>
                <w:szCs w:val="24"/>
              </w:rPr>
            </w:pPr>
            <w:r w:rsidRPr="002A3C06">
              <w:rPr>
                <w:b/>
                <w:color w:val="auto"/>
                <w:szCs w:val="24"/>
              </w:rPr>
              <w:t>+</w:t>
            </w:r>
          </w:p>
        </w:tc>
        <w:tc>
          <w:tcPr>
            <w:tcW w:w="1147" w:type="dxa"/>
            <w:tcBorders>
              <w:bottom w:val="single" w:sz="4" w:space="0" w:color="auto"/>
            </w:tcBorders>
            <w:vAlign w:val="center"/>
          </w:tcPr>
          <w:p w14:paraId="0A06DB52" w14:textId="77777777" w:rsidR="002A3C06" w:rsidRPr="002A3C06" w:rsidRDefault="002A3C06" w:rsidP="002A3C06">
            <w:pPr>
              <w:spacing w:line="240" w:lineRule="auto"/>
              <w:jc w:val="center"/>
              <w:rPr>
                <w:b/>
                <w:color w:val="auto"/>
                <w:szCs w:val="24"/>
              </w:rPr>
            </w:pPr>
            <w:r w:rsidRPr="002A3C06">
              <w:rPr>
                <w:b/>
                <w:color w:val="auto"/>
                <w:szCs w:val="24"/>
              </w:rPr>
              <w:t>+</w:t>
            </w:r>
          </w:p>
        </w:tc>
        <w:tc>
          <w:tcPr>
            <w:tcW w:w="1276" w:type="dxa"/>
            <w:tcBorders>
              <w:bottom w:val="single" w:sz="4" w:space="0" w:color="auto"/>
            </w:tcBorders>
            <w:vAlign w:val="center"/>
          </w:tcPr>
          <w:p w14:paraId="44187CFB" w14:textId="77777777" w:rsidR="002A3C06" w:rsidRPr="002A3C06" w:rsidRDefault="002A3C06" w:rsidP="002A3C06">
            <w:pPr>
              <w:spacing w:line="240" w:lineRule="auto"/>
              <w:jc w:val="center"/>
              <w:rPr>
                <w:b/>
                <w:color w:val="auto"/>
                <w:szCs w:val="24"/>
              </w:rPr>
            </w:pPr>
            <w:r w:rsidRPr="002A3C06">
              <w:rPr>
                <w:b/>
                <w:color w:val="auto"/>
                <w:szCs w:val="24"/>
              </w:rPr>
              <w:t>+</w:t>
            </w:r>
          </w:p>
        </w:tc>
        <w:tc>
          <w:tcPr>
            <w:tcW w:w="1276" w:type="dxa"/>
            <w:tcBorders>
              <w:bottom w:val="single" w:sz="4" w:space="0" w:color="auto"/>
            </w:tcBorders>
            <w:vAlign w:val="center"/>
          </w:tcPr>
          <w:p w14:paraId="7A7F78C1" w14:textId="77777777" w:rsidR="002A3C06" w:rsidRPr="002A3C06" w:rsidRDefault="002A3C06" w:rsidP="002A3C06">
            <w:pPr>
              <w:spacing w:line="240" w:lineRule="auto"/>
              <w:jc w:val="center"/>
              <w:rPr>
                <w:b/>
                <w:color w:val="auto"/>
                <w:szCs w:val="24"/>
              </w:rPr>
            </w:pPr>
            <w:r w:rsidRPr="002A3C06">
              <w:rPr>
                <w:b/>
                <w:color w:val="auto"/>
                <w:szCs w:val="24"/>
              </w:rPr>
              <w:t>+</w:t>
            </w:r>
          </w:p>
        </w:tc>
        <w:tc>
          <w:tcPr>
            <w:tcW w:w="1276" w:type="dxa"/>
            <w:tcBorders>
              <w:bottom w:val="single" w:sz="4" w:space="0" w:color="auto"/>
            </w:tcBorders>
            <w:vAlign w:val="center"/>
          </w:tcPr>
          <w:p w14:paraId="07488093" w14:textId="77777777" w:rsidR="002A3C06" w:rsidRPr="002A3C06" w:rsidRDefault="002A3C06" w:rsidP="002A3C06">
            <w:pPr>
              <w:spacing w:line="240" w:lineRule="auto"/>
              <w:jc w:val="center"/>
              <w:rPr>
                <w:b/>
                <w:color w:val="auto"/>
                <w:szCs w:val="24"/>
                <w:lang w:val="ru-RU"/>
              </w:rPr>
            </w:pPr>
          </w:p>
        </w:tc>
      </w:tr>
      <w:tr w:rsidR="002A3C06" w:rsidRPr="002A3C06" w14:paraId="30C1DD34" w14:textId="77777777" w:rsidTr="002A3C06">
        <w:trPr>
          <w:trHeight w:val="20"/>
        </w:trPr>
        <w:tc>
          <w:tcPr>
            <w:tcW w:w="1296" w:type="dxa"/>
            <w:vMerge w:val="restart"/>
            <w:tcBorders>
              <w:top w:val="single" w:sz="4" w:space="0" w:color="auto"/>
              <w:bottom w:val="single" w:sz="4" w:space="0" w:color="auto"/>
            </w:tcBorders>
            <w:vAlign w:val="center"/>
          </w:tcPr>
          <w:p w14:paraId="42472B94" w14:textId="77777777" w:rsidR="002A3C06" w:rsidRPr="002A3C06" w:rsidRDefault="002A3C06" w:rsidP="002A3C06">
            <w:pPr>
              <w:spacing w:line="240" w:lineRule="auto"/>
              <w:jc w:val="center"/>
              <w:rPr>
                <w:b/>
                <w:color w:val="auto"/>
                <w:szCs w:val="24"/>
                <w:lang w:eastAsia="ru-RU"/>
              </w:rPr>
            </w:pPr>
            <w:r w:rsidRPr="002A3C06">
              <w:rPr>
                <w:b/>
                <w:color w:val="auto"/>
                <w:szCs w:val="24"/>
              </w:rPr>
              <w:t>W</w:t>
            </w:r>
          </w:p>
        </w:tc>
        <w:tc>
          <w:tcPr>
            <w:tcW w:w="1710" w:type="dxa"/>
            <w:tcBorders>
              <w:top w:val="single" w:sz="4" w:space="0" w:color="auto"/>
            </w:tcBorders>
            <w:vAlign w:val="center"/>
          </w:tcPr>
          <w:p w14:paraId="3F5FB60A" w14:textId="77777777" w:rsidR="002A3C06" w:rsidRPr="002A3C06" w:rsidRDefault="002A3C06" w:rsidP="002A3C06">
            <w:pPr>
              <w:spacing w:line="240" w:lineRule="auto"/>
              <w:jc w:val="center"/>
              <w:rPr>
                <w:color w:val="auto"/>
                <w:szCs w:val="24"/>
              </w:rPr>
            </w:pPr>
            <w:r w:rsidRPr="002A3C06">
              <w:rPr>
                <w:color w:val="auto"/>
                <w:szCs w:val="24"/>
                <w:lang w:eastAsia="ru-RU"/>
              </w:rPr>
              <w:t>Gap (cin/st)</w:t>
            </w:r>
          </w:p>
        </w:tc>
        <w:tc>
          <w:tcPr>
            <w:tcW w:w="1034" w:type="dxa"/>
            <w:tcBorders>
              <w:top w:val="single" w:sz="4" w:space="0" w:color="auto"/>
            </w:tcBorders>
            <w:vAlign w:val="center"/>
          </w:tcPr>
          <w:p w14:paraId="55D77F57" w14:textId="77777777" w:rsidR="002A3C06" w:rsidRPr="002A3C06" w:rsidRDefault="002A3C06" w:rsidP="002A3C06">
            <w:pPr>
              <w:spacing w:line="240" w:lineRule="auto"/>
              <w:jc w:val="center"/>
              <w:rPr>
                <w:b/>
                <w:color w:val="auto"/>
                <w:szCs w:val="24"/>
                <w:vertAlign w:val="superscript"/>
              </w:rPr>
            </w:pPr>
          </w:p>
        </w:tc>
        <w:tc>
          <w:tcPr>
            <w:tcW w:w="1147" w:type="dxa"/>
            <w:tcBorders>
              <w:top w:val="single" w:sz="4" w:space="0" w:color="auto"/>
            </w:tcBorders>
            <w:vAlign w:val="center"/>
          </w:tcPr>
          <w:p w14:paraId="473D010D" w14:textId="77777777" w:rsidR="002A3C06" w:rsidRPr="002A3C06" w:rsidRDefault="002A3C06" w:rsidP="002A3C06">
            <w:pPr>
              <w:spacing w:line="240" w:lineRule="auto"/>
              <w:jc w:val="center"/>
              <w:rPr>
                <w:b/>
                <w:color w:val="auto"/>
                <w:szCs w:val="24"/>
              </w:rPr>
            </w:pPr>
          </w:p>
        </w:tc>
        <w:tc>
          <w:tcPr>
            <w:tcW w:w="1276" w:type="dxa"/>
            <w:tcBorders>
              <w:top w:val="single" w:sz="4" w:space="0" w:color="auto"/>
            </w:tcBorders>
            <w:vAlign w:val="center"/>
          </w:tcPr>
          <w:p w14:paraId="0A5E1E67" w14:textId="77777777" w:rsidR="002A3C06" w:rsidRPr="002A3C06" w:rsidRDefault="002A3C06" w:rsidP="002A3C06">
            <w:pPr>
              <w:spacing w:line="240" w:lineRule="auto"/>
              <w:jc w:val="center"/>
              <w:rPr>
                <w:b/>
                <w:color w:val="auto"/>
                <w:szCs w:val="24"/>
              </w:rPr>
            </w:pPr>
          </w:p>
        </w:tc>
        <w:tc>
          <w:tcPr>
            <w:tcW w:w="1276" w:type="dxa"/>
            <w:tcBorders>
              <w:top w:val="single" w:sz="4" w:space="0" w:color="auto"/>
            </w:tcBorders>
            <w:vAlign w:val="center"/>
          </w:tcPr>
          <w:p w14:paraId="57C0FE41" w14:textId="77777777" w:rsidR="002A3C06" w:rsidRPr="002A3C06" w:rsidRDefault="002A3C06" w:rsidP="002A3C06">
            <w:pPr>
              <w:spacing w:line="240" w:lineRule="auto"/>
              <w:jc w:val="center"/>
              <w:rPr>
                <w:b/>
                <w:color w:val="auto"/>
                <w:szCs w:val="24"/>
                <w:lang w:val="ru-RU"/>
              </w:rPr>
            </w:pPr>
            <w:r w:rsidRPr="002A3C06">
              <w:rPr>
                <w:b/>
                <w:color w:val="auto"/>
                <w:szCs w:val="24"/>
                <w:lang w:val="ru-RU"/>
              </w:rPr>
              <w:t>*</w:t>
            </w:r>
          </w:p>
        </w:tc>
        <w:tc>
          <w:tcPr>
            <w:tcW w:w="1276" w:type="dxa"/>
            <w:tcBorders>
              <w:top w:val="single" w:sz="4" w:space="0" w:color="auto"/>
            </w:tcBorders>
            <w:vAlign w:val="center"/>
          </w:tcPr>
          <w:p w14:paraId="21E6DD3B" w14:textId="77777777" w:rsidR="002A3C06" w:rsidRPr="002A3C06" w:rsidRDefault="002A3C06" w:rsidP="002A3C06">
            <w:pPr>
              <w:spacing w:line="240" w:lineRule="auto"/>
              <w:jc w:val="center"/>
              <w:rPr>
                <w:b/>
                <w:color w:val="auto"/>
                <w:szCs w:val="24"/>
                <w:lang w:val="ru-RU"/>
              </w:rPr>
            </w:pPr>
          </w:p>
        </w:tc>
      </w:tr>
      <w:tr w:rsidR="002A3C06" w:rsidRPr="002A3C06" w14:paraId="52BDF0E4" w14:textId="77777777" w:rsidTr="002A3C06">
        <w:trPr>
          <w:trHeight w:val="20"/>
        </w:trPr>
        <w:tc>
          <w:tcPr>
            <w:tcW w:w="1296" w:type="dxa"/>
            <w:vMerge/>
            <w:tcBorders>
              <w:bottom w:val="single" w:sz="4" w:space="0" w:color="auto"/>
            </w:tcBorders>
            <w:vAlign w:val="center"/>
          </w:tcPr>
          <w:p w14:paraId="184FD348" w14:textId="77777777" w:rsidR="002A3C06" w:rsidRPr="002A3C06" w:rsidRDefault="002A3C06" w:rsidP="002A3C06">
            <w:pPr>
              <w:spacing w:line="240" w:lineRule="auto"/>
              <w:jc w:val="center"/>
              <w:rPr>
                <w:color w:val="auto"/>
                <w:szCs w:val="24"/>
                <w:lang w:eastAsia="ru-RU"/>
              </w:rPr>
            </w:pPr>
          </w:p>
        </w:tc>
        <w:tc>
          <w:tcPr>
            <w:tcW w:w="1710" w:type="dxa"/>
            <w:vAlign w:val="center"/>
          </w:tcPr>
          <w:p w14:paraId="49693E42" w14:textId="77777777" w:rsidR="002A3C06" w:rsidRPr="002A3C06" w:rsidRDefault="002A3C06" w:rsidP="002A3C06">
            <w:pPr>
              <w:spacing w:line="240" w:lineRule="auto"/>
              <w:jc w:val="center"/>
              <w:rPr>
                <w:color w:val="auto"/>
                <w:szCs w:val="24"/>
                <w:lang w:eastAsia="ru-RU"/>
              </w:rPr>
            </w:pPr>
            <w:r w:rsidRPr="002A3C06">
              <w:rPr>
                <w:color w:val="auto"/>
                <w:szCs w:val="24"/>
                <w:lang w:eastAsia="ru-RU"/>
              </w:rPr>
              <w:t>Gap(cin/nig)</w:t>
            </w:r>
          </w:p>
        </w:tc>
        <w:tc>
          <w:tcPr>
            <w:tcW w:w="1034" w:type="dxa"/>
            <w:vAlign w:val="center"/>
          </w:tcPr>
          <w:p w14:paraId="6586404B" w14:textId="77777777" w:rsidR="002A3C06" w:rsidRPr="002A3C06" w:rsidRDefault="002A3C06" w:rsidP="002A3C06">
            <w:pPr>
              <w:spacing w:line="240" w:lineRule="auto"/>
              <w:jc w:val="center"/>
              <w:rPr>
                <w:b/>
                <w:color w:val="auto"/>
                <w:szCs w:val="24"/>
              </w:rPr>
            </w:pPr>
          </w:p>
        </w:tc>
        <w:tc>
          <w:tcPr>
            <w:tcW w:w="1147" w:type="dxa"/>
            <w:vAlign w:val="center"/>
          </w:tcPr>
          <w:p w14:paraId="6A5D60AC" w14:textId="77777777" w:rsidR="002A3C06" w:rsidRPr="002A3C06" w:rsidRDefault="002A3C06" w:rsidP="002A3C06">
            <w:pPr>
              <w:spacing w:line="240" w:lineRule="auto"/>
              <w:jc w:val="center"/>
              <w:rPr>
                <w:b/>
                <w:color w:val="auto"/>
                <w:szCs w:val="24"/>
              </w:rPr>
            </w:pPr>
          </w:p>
        </w:tc>
        <w:tc>
          <w:tcPr>
            <w:tcW w:w="1276" w:type="dxa"/>
            <w:vAlign w:val="center"/>
          </w:tcPr>
          <w:p w14:paraId="1B52A81D" w14:textId="77777777" w:rsidR="002A3C06" w:rsidRPr="002A3C06" w:rsidRDefault="002A3C06" w:rsidP="002A3C06">
            <w:pPr>
              <w:spacing w:line="240" w:lineRule="auto"/>
              <w:jc w:val="center"/>
              <w:rPr>
                <w:b/>
                <w:color w:val="auto"/>
                <w:szCs w:val="24"/>
                <w:lang w:val="ru-RU"/>
              </w:rPr>
            </w:pPr>
            <w:r w:rsidRPr="002A3C06">
              <w:rPr>
                <w:b/>
                <w:color w:val="auto"/>
                <w:szCs w:val="24"/>
              </w:rPr>
              <w:t>+</w:t>
            </w:r>
            <w:r w:rsidRPr="002A3C06">
              <w:rPr>
                <w:b/>
                <w:color w:val="auto"/>
                <w:szCs w:val="24"/>
                <w:vertAlign w:val="superscript"/>
              </w:rPr>
              <w:t>§</w:t>
            </w:r>
            <w:r w:rsidRPr="002A3C06">
              <w:rPr>
                <w:b/>
                <w:color w:val="auto"/>
                <w:szCs w:val="24"/>
                <w:vertAlign w:val="superscript"/>
                <w:lang w:val="ru-RU"/>
              </w:rPr>
              <w:t xml:space="preserve"> </w:t>
            </w:r>
          </w:p>
        </w:tc>
        <w:tc>
          <w:tcPr>
            <w:tcW w:w="1276" w:type="dxa"/>
            <w:vAlign w:val="center"/>
          </w:tcPr>
          <w:p w14:paraId="4D081D27" w14:textId="77777777" w:rsidR="002A3C06" w:rsidRPr="002A3C06" w:rsidRDefault="002A3C06" w:rsidP="002A3C06">
            <w:pPr>
              <w:spacing w:line="240" w:lineRule="auto"/>
              <w:jc w:val="center"/>
              <w:rPr>
                <w:b/>
                <w:color w:val="auto"/>
                <w:szCs w:val="24"/>
              </w:rPr>
            </w:pPr>
            <w:r w:rsidRPr="002A3C06">
              <w:rPr>
                <w:b/>
                <w:color w:val="auto"/>
                <w:szCs w:val="24"/>
              </w:rPr>
              <w:t>+</w:t>
            </w:r>
          </w:p>
        </w:tc>
        <w:tc>
          <w:tcPr>
            <w:tcW w:w="1276" w:type="dxa"/>
            <w:vAlign w:val="center"/>
          </w:tcPr>
          <w:p w14:paraId="4B5338FC" w14:textId="77777777" w:rsidR="002A3C06" w:rsidRPr="002A3C06" w:rsidRDefault="002A3C06" w:rsidP="002A3C06">
            <w:pPr>
              <w:spacing w:line="240" w:lineRule="auto"/>
              <w:jc w:val="center"/>
              <w:rPr>
                <w:b/>
                <w:color w:val="auto"/>
                <w:szCs w:val="24"/>
                <w:lang w:val="ru-RU"/>
              </w:rPr>
            </w:pPr>
          </w:p>
        </w:tc>
      </w:tr>
      <w:tr w:rsidR="002A3C06" w:rsidRPr="002A3C06" w14:paraId="5884D3C2" w14:textId="77777777" w:rsidTr="002A3C06">
        <w:trPr>
          <w:trHeight w:val="20"/>
        </w:trPr>
        <w:tc>
          <w:tcPr>
            <w:tcW w:w="1296" w:type="dxa"/>
            <w:vMerge/>
            <w:tcBorders>
              <w:bottom w:val="single" w:sz="4" w:space="0" w:color="auto"/>
            </w:tcBorders>
            <w:vAlign w:val="center"/>
          </w:tcPr>
          <w:p w14:paraId="5BCF3065" w14:textId="77777777" w:rsidR="002A3C06" w:rsidRPr="002A3C06" w:rsidRDefault="002A3C06" w:rsidP="002A3C06">
            <w:pPr>
              <w:spacing w:line="240" w:lineRule="auto"/>
              <w:jc w:val="center"/>
              <w:rPr>
                <w:color w:val="auto"/>
                <w:szCs w:val="24"/>
                <w:lang w:eastAsia="ru-RU"/>
              </w:rPr>
            </w:pPr>
          </w:p>
        </w:tc>
        <w:tc>
          <w:tcPr>
            <w:tcW w:w="1710" w:type="dxa"/>
            <w:tcBorders>
              <w:bottom w:val="single" w:sz="4" w:space="0" w:color="auto"/>
            </w:tcBorders>
            <w:vAlign w:val="center"/>
          </w:tcPr>
          <w:p w14:paraId="36807D2A" w14:textId="77777777" w:rsidR="002A3C06" w:rsidRPr="002A3C06" w:rsidRDefault="002A3C06" w:rsidP="002A3C06">
            <w:pPr>
              <w:spacing w:line="240" w:lineRule="auto"/>
              <w:jc w:val="center"/>
              <w:rPr>
                <w:color w:val="auto"/>
                <w:szCs w:val="24"/>
              </w:rPr>
            </w:pPr>
            <w:r w:rsidRPr="002A3C06">
              <w:rPr>
                <w:color w:val="auto"/>
                <w:szCs w:val="24"/>
                <w:lang w:eastAsia="ru-RU"/>
              </w:rPr>
              <w:t>Gap (st /nig)</w:t>
            </w:r>
          </w:p>
        </w:tc>
        <w:tc>
          <w:tcPr>
            <w:tcW w:w="1034" w:type="dxa"/>
            <w:tcBorders>
              <w:bottom w:val="single" w:sz="4" w:space="0" w:color="auto"/>
            </w:tcBorders>
            <w:vAlign w:val="center"/>
          </w:tcPr>
          <w:p w14:paraId="7A4E925D" w14:textId="77777777" w:rsidR="002A3C06" w:rsidRPr="002A3C06" w:rsidRDefault="002A3C06" w:rsidP="002A3C06">
            <w:pPr>
              <w:spacing w:line="240" w:lineRule="auto"/>
              <w:jc w:val="center"/>
              <w:rPr>
                <w:b/>
                <w:color w:val="auto"/>
                <w:szCs w:val="24"/>
              </w:rPr>
            </w:pPr>
          </w:p>
        </w:tc>
        <w:tc>
          <w:tcPr>
            <w:tcW w:w="1147" w:type="dxa"/>
            <w:tcBorders>
              <w:bottom w:val="single" w:sz="4" w:space="0" w:color="auto"/>
            </w:tcBorders>
            <w:vAlign w:val="center"/>
          </w:tcPr>
          <w:p w14:paraId="3351FF62" w14:textId="77777777" w:rsidR="002A3C06" w:rsidRPr="002A3C06" w:rsidRDefault="002A3C06" w:rsidP="002A3C06">
            <w:pPr>
              <w:spacing w:line="240" w:lineRule="auto"/>
              <w:jc w:val="center"/>
              <w:rPr>
                <w:b/>
                <w:color w:val="auto"/>
                <w:szCs w:val="24"/>
              </w:rPr>
            </w:pPr>
          </w:p>
        </w:tc>
        <w:tc>
          <w:tcPr>
            <w:tcW w:w="1276" w:type="dxa"/>
            <w:tcBorders>
              <w:bottom w:val="single" w:sz="4" w:space="0" w:color="auto"/>
            </w:tcBorders>
            <w:vAlign w:val="center"/>
          </w:tcPr>
          <w:p w14:paraId="6BBF2758" w14:textId="77777777" w:rsidR="002A3C06" w:rsidRPr="002A3C06" w:rsidRDefault="002A3C06" w:rsidP="002A3C06">
            <w:pPr>
              <w:spacing w:line="240" w:lineRule="auto"/>
              <w:jc w:val="center"/>
              <w:rPr>
                <w:b/>
                <w:color w:val="auto"/>
                <w:szCs w:val="24"/>
              </w:rPr>
            </w:pPr>
            <w:r w:rsidRPr="002A3C06">
              <w:rPr>
                <w:b/>
                <w:color w:val="auto"/>
                <w:szCs w:val="24"/>
              </w:rPr>
              <w:t>+</w:t>
            </w:r>
          </w:p>
        </w:tc>
        <w:tc>
          <w:tcPr>
            <w:tcW w:w="1276" w:type="dxa"/>
            <w:tcBorders>
              <w:bottom w:val="single" w:sz="4" w:space="0" w:color="auto"/>
            </w:tcBorders>
            <w:vAlign w:val="center"/>
          </w:tcPr>
          <w:p w14:paraId="1F554585" w14:textId="77777777" w:rsidR="002A3C06" w:rsidRPr="002A3C06" w:rsidRDefault="002A3C06" w:rsidP="002A3C06">
            <w:pPr>
              <w:spacing w:line="240" w:lineRule="auto"/>
              <w:jc w:val="center"/>
              <w:rPr>
                <w:b/>
                <w:color w:val="auto"/>
                <w:szCs w:val="24"/>
              </w:rPr>
            </w:pPr>
            <w:r w:rsidRPr="002A3C06">
              <w:rPr>
                <w:b/>
                <w:color w:val="auto"/>
                <w:szCs w:val="24"/>
              </w:rPr>
              <w:t>+</w:t>
            </w:r>
          </w:p>
        </w:tc>
        <w:tc>
          <w:tcPr>
            <w:tcW w:w="1276" w:type="dxa"/>
            <w:tcBorders>
              <w:bottom w:val="single" w:sz="4" w:space="0" w:color="auto"/>
            </w:tcBorders>
            <w:vAlign w:val="center"/>
          </w:tcPr>
          <w:p w14:paraId="2558BE2F" w14:textId="77777777" w:rsidR="002A3C06" w:rsidRPr="002A3C06" w:rsidRDefault="002A3C06" w:rsidP="002A3C06">
            <w:pPr>
              <w:spacing w:line="240" w:lineRule="auto"/>
              <w:jc w:val="center"/>
              <w:rPr>
                <w:b/>
                <w:color w:val="auto"/>
                <w:szCs w:val="24"/>
                <w:lang w:val="ru-RU"/>
              </w:rPr>
            </w:pPr>
          </w:p>
        </w:tc>
      </w:tr>
    </w:tbl>
    <w:p w14:paraId="7ABCACA3" w14:textId="77777777" w:rsidR="002A3C06" w:rsidRPr="00125A2F" w:rsidRDefault="002A3C06" w:rsidP="002A3C06">
      <w:pPr>
        <w:pStyle w:val="MDPI31text"/>
        <w:spacing w:line="240" w:lineRule="auto"/>
        <w:ind w:left="0" w:firstLine="0"/>
        <w:rPr>
          <w:rFonts w:ascii="Times New Roman" w:hAnsi="Times New Roman"/>
          <w:snapToGrid/>
          <w:color w:val="auto"/>
          <w:sz w:val="24"/>
          <w:szCs w:val="24"/>
          <w:lang w:eastAsia="ru-RU" w:bidi="ar-SA"/>
        </w:rPr>
      </w:pPr>
      <w:r w:rsidRPr="00125A2F">
        <w:rPr>
          <w:rFonts w:ascii="Times New Roman" w:hAnsi="Times New Roman"/>
          <w:color w:val="auto"/>
          <w:sz w:val="24"/>
          <w:szCs w:val="24"/>
          <w:vertAlign w:val="superscript"/>
          <w:lang w:eastAsia="ru-RU"/>
        </w:rPr>
        <w:t>♯</w:t>
      </w:r>
      <w:r w:rsidRPr="00125A2F">
        <w:rPr>
          <w:rFonts w:ascii="Times New Roman" w:hAnsi="Times New Roman"/>
          <w:b/>
          <w:color w:val="auto"/>
          <w:sz w:val="24"/>
          <w:szCs w:val="24"/>
          <w:lang w:eastAsia="ru-RU"/>
        </w:rPr>
        <w:t xml:space="preserve"> </w:t>
      </w:r>
      <w:r w:rsidRPr="00125A2F">
        <w:rPr>
          <w:rFonts w:ascii="Times New Roman" w:hAnsi="Times New Roman"/>
          <w:snapToGrid/>
          <w:color w:val="auto"/>
          <w:sz w:val="24"/>
          <w:szCs w:val="24"/>
          <w:lang w:eastAsia="ru-RU" w:bidi="ar-SA"/>
        </w:rPr>
        <w:t xml:space="preserve">A2 - </w:t>
      </w:r>
      <w:r w:rsidRPr="00125A2F">
        <w:rPr>
          <w:rFonts w:ascii="Times New Roman" w:hAnsi="Times New Roman"/>
          <w:i/>
          <w:snapToGrid/>
          <w:color w:val="auto"/>
          <w:sz w:val="24"/>
          <w:szCs w:val="24"/>
          <w:lang w:eastAsia="ru-RU" w:bidi="ar-SA"/>
        </w:rPr>
        <w:t>M. pulcherrima</w:t>
      </w:r>
      <w:r w:rsidRPr="00125A2F">
        <w:rPr>
          <w:rFonts w:ascii="Times New Roman" w:hAnsi="Times New Roman"/>
          <w:snapToGrid/>
          <w:color w:val="auto"/>
          <w:sz w:val="24"/>
          <w:szCs w:val="24"/>
          <w:lang w:eastAsia="ru-RU" w:bidi="ar-SA"/>
        </w:rPr>
        <w:t xml:space="preserve"> strain; AP11 and AP13 – </w:t>
      </w:r>
      <w:r w:rsidRPr="00125A2F">
        <w:rPr>
          <w:rFonts w:ascii="Times New Roman" w:hAnsi="Times New Roman"/>
          <w:i/>
          <w:snapToGrid/>
          <w:color w:val="auto"/>
          <w:sz w:val="24"/>
          <w:szCs w:val="24"/>
          <w:lang w:eastAsia="ru-RU" w:bidi="ar-SA"/>
        </w:rPr>
        <w:t>A. pullulans</w:t>
      </w:r>
      <w:r w:rsidRPr="00125A2F">
        <w:rPr>
          <w:rFonts w:ascii="Times New Roman" w:hAnsi="Times New Roman"/>
          <w:snapToGrid/>
          <w:color w:val="auto"/>
          <w:sz w:val="24"/>
          <w:szCs w:val="24"/>
          <w:lang w:eastAsia="ru-RU" w:bidi="ar-SA"/>
        </w:rPr>
        <w:t xml:space="preserve"> strains; CL03 – </w:t>
      </w:r>
      <w:r w:rsidRPr="00125A2F">
        <w:rPr>
          <w:rFonts w:ascii="Times New Roman" w:hAnsi="Times New Roman"/>
          <w:i/>
          <w:snapToGrid/>
          <w:color w:val="auto"/>
          <w:sz w:val="24"/>
          <w:szCs w:val="24"/>
          <w:lang w:eastAsia="ru-RU" w:bidi="ar-SA"/>
        </w:rPr>
        <w:t xml:space="preserve">C. </w:t>
      </w:r>
      <w:proofErr w:type="spellStart"/>
      <w:r w:rsidRPr="00125A2F">
        <w:rPr>
          <w:rFonts w:ascii="Times New Roman" w:hAnsi="Times New Roman"/>
          <w:i/>
          <w:snapToGrid/>
          <w:color w:val="auto"/>
          <w:sz w:val="24"/>
          <w:szCs w:val="24"/>
          <w:lang w:eastAsia="ru-RU" w:bidi="ar-SA"/>
        </w:rPr>
        <w:t>lusitaniae</w:t>
      </w:r>
      <w:proofErr w:type="spellEnd"/>
      <w:r w:rsidRPr="00125A2F">
        <w:rPr>
          <w:rFonts w:ascii="Times New Roman" w:hAnsi="Times New Roman"/>
          <w:snapToGrid/>
          <w:color w:val="auto"/>
          <w:sz w:val="24"/>
          <w:szCs w:val="24"/>
          <w:lang w:eastAsia="ru-RU" w:bidi="ar-SA"/>
        </w:rPr>
        <w:t xml:space="preserve"> strain; HU15 – </w:t>
      </w:r>
      <w:r w:rsidRPr="00125A2F">
        <w:rPr>
          <w:rFonts w:ascii="Times New Roman" w:hAnsi="Times New Roman"/>
          <w:i/>
          <w:snapToGrid/>
          <w:color w:val="auto"/>
          <w:sz w:val="24"/>
          <w:szCs w:val="24"/>
          <w:lang w:eastAsia="ru-RU" w:bidi="ar-SA"/>
        </w:rPr>
        <w:t xml:space="preserve">H. </w:t>
      </w:r>
      <w:proofErr w:type="spellStart"/>
      <w:r w:rsidRPr="00125A2F">
        <w:rPr>
          <w:rFonts w:ascii="Times New Roman" w:hAnsi="Times New Roman"/>
          <w:i/>
          <w:snapToGrid/>
          <w:color w:val="auto"/>
          <w:sz w:val="24"/>
          <w:szCs w:val="24"/>
          <w:lang w:eastAsia="ru-RU" w:bidi="ar-SA"/>
        </w:rPr>
        <w:t>uvarum</w:t>
      </w:r>
      <w:proofErr w:type="spellEnd"/>
      <w:r w:rsidRPr="00125A2F">
        <w:rPr>
          <w:rFonts w:ascii="Times New Roman" w:hAnsi="Times New Roman"/>
          <w:snapToGrid/>
          <w:color w:val="auto"/>
          <w:sz w:val="24"/>
          <w:szCs w:val="24"/>
          <w:lang w:eastAsia="ru-RU" w:bidi="ar-SA"/>
        </w:rPr>
        <w:t xml:space="preserve"> strain.</w:t>
      </w:r>
    </w:p>
    <w:p w14:paraId="3337F063" w14:textId="77777777" w:rsidR="002A3C06" w:rsidRPr="00125A2F" w:rsidRDefault="002A3C06" w:rsidP="002A3C06">
      <w:pPr>
        <w:spacing w:line="240" w:lineRule="auto"/>
        <w:rPr>
          <w:color w:val="auto"/>
          <w:szCs w:val="24"/>
        </w:rPr>
      </w:pPr>
      <w:r w:rsidRPr="00125A2F">
        <w:rPr>
          <w:color w:val="auto"/>
          <w:szCs w:val="24"/>
          <w:vertAlign w:val="superscript"/>
        </w:rPr>
        <w:t xml:space="preserve">¥ </w:t>
      </w:r>
      <w:r w:rsidRPr="00125A2F">
        <w:rPr>
          <w:i/>
          <w:iCs/>
          <w:color w:val="auto"/>
          <w:kern w:val="2"/>
          <w:szCs w:val="24"/>
          <w14:ligatures w14:val="standardContextual"/>
        </w:rPr>
        <w:t>B. cinerea</w:t>
      </w:r>
      <w:r w:rsidRPr="00125A2F">
        <w:rPr>
          <w:color w:val="auto"/>
          <w:kern w:val="2"/>
          <w:szCs w:val="24"/>
          <w14:ligatures w14:val="standardContextual"/>
        </w:rPr>
        <w:t xml:space="preserve"> (F-RKM 1032) from the Republican Collection of Microorganisms LLC, </w:t>
      </w:r>
      <w:r w:rsidRPr="00125A2F">
        <w:rPr>
          <w:i/>
          <w:iCs/>
          <w:color w:val="auto"/>
          <w:kern w:val="2"/>
          <w:szCs w:val="24"/>
          <w14:ligatures w14:val="standardContextual"/>
        </w:rPr>
        <w:t>A. niger</w:t>
      </w:r>
      <w:r w:rsidRPr="00125A2F">
        <w:rPr>
          <w:color w:val="auto"/>
          <w:kern w:val="2"/>
          <w:szCs w:val="24"/>
          <w14:ligatures w14:val="standardContextual"/>
        </w:rPr>
        <w:t xml:space="preserve"> (ATCC 6275), and </w:t>
      </w:r>
      <w:r w:rsidRPr="00125A2F">
        <w:rPr>
          <w:i/>
          <w:iCs/>
          <w:color w:val="auto"/>
          <w:kern w:val="2"/>
          <w:szCs w:val="24"/>
          <w14:ligatures w14:val="standardContextual"/>
        </w:rPr>
        <w:t>R. stolonifer</w:t>
      </w:r>
      <w:r w:rsidRPr="00125A2F">
        <w:rPr>
          <w:color w:val="auto"/>
          <w:kern w:val="2"/>
          <w:szCs w:val="24"/>
          <w14:ligatures w14:val="standardContextual"/>
        </w:rPr>
        <w:t xml:space="preserve"> (ATCC 6227b) from the American Type Culture Collection</w:t>
      </w:r>
    </w:p>
    <w:p w14:paraId="040DD385" w14:textId="77777777" w:rsidR="002A3C06" w:rsidRPr="00125A2F" w:rsidRDefault="002A3C06" w:rsidP="002A3C06">
      <w:pPr>
        <w:pStyle w:val="MDPI32textnoindent"/>
        <w:spacing w:line="240" w:lineRule="auto"/>
        <w:ind w:left="0"/>
        <w:rPr>
          <w:rFonts w:ascii="Times New Roman" w:hAnsi="Times New Roman"/>
          <w:color w:val="auto"/>
          <w:sz w:val="24"/>
          <w:szCs w:val="24"/>
        </w:rPr>
      </w:pPr>
      <w:r w:rsidRPr="00125A2F">
        <w:rPr>
          <w:rFonts w:ascii="Times New Roman" w:hAnsi="Times New Roman"/>
          <w:color w:val="auto"/>
          <w:sz w:val="24"/>
          <w:szCs w:val="24"/>
          <w:vertAlign w:val="superscript"/>
        </w:rPr>
        <w:t xml:space="preserve">♪ </w:t>
      </w:r>
      <w:r w:rsidRPr="00125A2F">
        <w:rPr>
          <w:rFonts w:ascii="Times New Roman" w:hAnsi="Times New Roman"/>
          <w:color w:val="auto"/>
          <w:sz w:val="24"/>
          <w:szCs w:val="24"/>
        </w:rPr>
        <w:t xml:space="preserve">Strain CL03 is classified as Group A based on PIBS measurements after infection with </w:t>
      </w:r>
      <w:r w:rsidRPr="00125A2F">
        <w:rPr>
          <w:rFonts w:ascii="Times New Roman" w:hAnsi="Times New Roman"/>
          <w:i/>
          <w:color w:val="auto"/>
          <w:sz w:val="24"/>
          <w:szCs w:val="24"/>
        </w:rPr>
        <w:t>B. cinerea</w:t>
      </w:r>
      <w:r w:rsidRPr="00125A2F">
        <w:rPr>
          <w:rFonts w:ascii="Times New Roman" w:hAnsi="Times New Roman"/>
          <w:color w:val="auto"/>
          <w:sz w:val="24"/>
          <w:szCs w:val="24"/>
        </w:rPr>
        <w:t xml:space="preserve"> in the B system (see Table 2A).</w:t>
      </w:r>
    </w:p>
    <w:p w14:paraId="217848B8" w14:textId="77777777" w:rsidR="002A3C06" w:rsidRPr="00125A2F" w:rsidRDefault="002A3C06" w:rsidP="002A3C06">
      <w:pPr>
        <w:pStyle w:val="MDPI32textnoindent"/>
        <w:spacing w:line="240" w:lineRule="auto"/>
        <w:ind w:left="0"/>
        <w:rPr>
          <w:rFonts w:ascii="Times New Roman" w:hAnsi="Times New Roman"/>
          <w:color w:val="auto"/>
          <w:sz w:val="24"/>
          <w:szCs w:val="24"/>
        </w:rPr>
      </w:pPr>
      <w:r w:rsidRPr="00125A2F">
        <w:rPr>
          <w:rFonts w:ascii="Times New Roman" w:hAnsi="Times New Roman"/>
          <w:color w:val="auto"/>
          <w:sz w:val="24"/>
          <w:szCs w:val="24"/>
          <w:vertAlign w:val="superscript"/>
        </w:rPr>
        <w:lastRenderedPageBreak/>
        <w:t>§</w:t>
      </w:r>
      <w:r w:rsidRPr="00125A2F">
        <w:rPr>
          <w:rFonts w:ascii="Times New Roman" w:hAnsi="Times New Roman"/>
          <w:color w:val="auto"/>
          <w:sz w:val="24"/>
          <w:szCs w:val="24"/>
        </w:rPr>
        <w:t xml:space="preserve">A plus sign (+) indicates that the Gap distance exceeds 2. </w:t>
      </w:r>
    </w:p>
    <w:p w14:paraId="1E8A858D" w14:textId="77777777" w:rsidR="002A3C06" w:rsidRPr="00125A2F" w:rsidRDefault="002A3C06" w:rsidP="002A3C06">
      <w:pPr>
        <w:pStyle w:val="MDPI32textnoindent"/>
        <w:spacing w:line="240" w:lineRule="auto"/>
        <w:ind w:left="0"/>
        <w:rPr>
          <w:rFonts w:ascii="Times New Roman" w:hAnsi="Times New Roman"/>
          <w:color w:val="auto"/>
          <w:sz w:val="24"/>
          <w:szCs w:val="24"/>
        </w:rPr>
      </w:pPr>
      <w:r w:rsidRPr="00125A2F">
        <w:rPr>
          <w:rFonts w:ascii="Times New Roman" w:hAnsi="Times New Roman"/>
          <w:color w:val="auto"/>
          <w:sz w:val="24"/>
          <w:szCs w:val="24"/>
          <w:vertAlign w:val="superscript"/>
        </w:rPr>
        <w:t>*</w:t>
      </w:r>
      <w:r w:rsidRPr="00125A2F">
        <w:rPr>
          <w:rFonts w:ascii="Times New Roman" w:hAnsi="Times New Roman"/>
          <w:color w:val="auto"/>
          <w:sz w:val="24"/>
          <w:szCs w:val="24"/>
        </w:rPr>
        <w:t xml:space="preserve">An asterisk sign (*) indicates that the Gap distance equals 2. </w:t>
      </w:r>
    </w:p>
    <w:p w14:paraId="4332295F" w14:textId="77777777" w:rsidR="002A3C06" w:rsidRPr="00125A2F" w:rsidRDefault="002A3C06" w:rsidP="002A3C06">
      <w:pPr>
        <w:pStyle w:val="MDPI32textnoindent"/>
        <w:spacing w:line="240" w:lineRule="auto"/>
        <w:ind w:left="0"/>
        <w:rPr>
          <w:rFonts w:ascii="Times New Roman" w:hAnsi="Times New Roman"/>
          <w:color w:val="auto"/>
          <w:sz w:val="24"/>
          <w:szCs w:val="24"/>
        </w:rPr>
      </w:pPr>
      <w:r w:rsidRPr="00125A2F">
        <w:rPr>
          <w:rFonts w:ascii="Times New Roman" w:hAnsi="Times New Roman"/>
          <w:color w:val="auto"/>
          <w:sz w:val="24"/>
          <w:szCs w:val="24"/>
          <w:lang w:eastAsia="ru-RU"/>
        </w:rPr>
        <w:t>A gap (</w:t>
      </w:r>
      <w:proofErr w:type="spellStart"/>
      <w:r w:rsidRPr="00125A2F">
        <w:rPr>
          <w:rFonts w:ascii="Times New Roman" w:hAnsi="Times New Roman"/>
          <w:color w:val="auto"/>
          <w:sz w:val="24"/>
          <w:szCs w:val="24"/>
          <w:lang w:eastAsia="ru-RU"/>
        </w:rPr>
        <w:t>cin</w:t>
      </w:r>
      <w:proofErr w:type="spellEnd"/>
      <w:r w:rsidRPr="00125A2F">
        <w:rPr>
          <w:rFonts w:ascii="Times New Roman" w:hAnsi="Times New Roman"/>
          <w:color w:val="auto"/>
          <w:sz w:val="24"/>
          <w:szCs w:val="24"/>
          <w:lang w:eastAsia="ru-RU"/>
        </w:rPr>
        <w:t>/</w:t>
      </w:r>
      <w:proofErr w:type="spellStart"/>
      <w:r w:rsidRPr="00125A2F">
        <w:rPr>
          <w:rFonts w:ascii="Times New Roman" w:hAnsi="Times New Roman"/>
          <w:color w:val="auto"/>
          <w:sz w:val="24"/>
          <w:szCs w:val="24"/>
          <w:lang w:eastAsia="ru-RU"/>
        </w:rPr>
        <w:t>st</w:t>
      </w:r>
      <w:proofErr w:type="spellEnd"/>
      <w:r w:rsidRPr="00125A2F">
        <w:rPr>
          <w:rFonts w:ascii="Times New Roman" w:hAnsi="Times New Roman"/>
          <w:color w:val="auto"/>
          <w:sz w:val="24"/>
          <w:szCs w:val="24"/>
          <w:lang w:eastAsia="ru-RU"/>
        </w:rPr>
        <w:t xml:space="preserve">) of 2 </w:t>
      </w:r>
      <w:r w:rsidRPr="00125A2F">
        <w:rPr>
          <w:rFonts w:ascii="Times New Roman" w:hAnsi="Times New Roman"/>
          <w:color w:val="auto"/>
          <w:sz w:val="24"/>
          <w:szCs w:val="24"/>
        </w:rPr>
        <w:t xml:space="preserve">indicates that the W system protects equally against both </w:t>
      </w:r>
      <w:r w:rsidRPr="00125A2F">
        <w:rPr>
          <w:rFonts w:ascii="Times New Roman" w:hAnsi="Times New Roman"/>
          <w:i/>
          <w:color w:val="auto"/>
          <w:sz w:val="24"/>
          <w:szCs w:val="24"/>
        </w:rPr>
        <w:t>B. cinerea</w:t>
      </w:r>
      <w:r w:rsidRPr="00125A2F">
        <w:rPr>
          <w:rFonts w:ascii="Times New Roman" w:hAnsi="Times New Roman"/>
          <w:color w:val="auto"/>
          <w:sz w:val="24"/>
          <w:szCs w:val="24"/>
        </w:rPr>
        <w:t xml:space="preserve"> and </w:t>
      </w:r>
      <w:r w:rsidRPr="00125A2F">
        <w:rPr>
          <w:rFonts w:ascii="Times New Roman" w:hAnsi="Times New Roman"/>
          <w:i/>
          <w:color w:val="auto"/>
          <w:sz w:val="24"/>
          <w:szCs w:val="24"/>
        </w:rPr>
        <w:t xml:space="preserve">R. </w:t>
      </w:r>
      <w:proofErr w:type="spellStart"/>
      <w:r w:rsidRPr="00125A2F">
        <w:rPr>
          <w:rFonts w:ascii="Times New Roman" w:hAnsi="Times New Roman"/>
          <w:i/>
          <w:color w:val="auto"/>
          <w:sz w:val="24"/>
          <w:szCs w:val="24"/>
        </w:rPr>
        <w:t>stolonifer</w:t>
      </w:r>
      <w:proofErr w:type="spellEnd"/>
      <w:r w:rsidRPr="00125A2F">
        <w:rPr>
          <w:rFonts w:ascii="Times New Roman" w:hAnsi="Times New Roman"/>
          <w:i/>
          <w:color w:val="auto"/>
          <w:sz w:val="24"/>
          <w:szCs w:val="24"/>
        </w:rPr>
        <w:t>.</w:t>
      </w:r>
    </w:p>
    <w:p w14:paraId="7669EF5C" w14:textId="77777777" w:rsidR="002A3C06" w:rsidRPr="00125A2F" w:rsidRDefault="002A3C06" w:rsidP="002A3C06">
      <w:pPr>
        <w:pStyle w:val="MDPI32textnoindent"/>
        <w:spacing w:line="240" w:lineRule="auto"/>
        <w:ind w:left="0"/>
        <w:rPr>
          <w:rFonts w:ascii="Times New Roman" w:hAnsi="Times New Roman"/>
          <w:color w:val="auto"/>
          <w:sz w:val="24"/>
          <w:szCs w:val="24"/>
        </w:rPr>
      </w:pPr>
      <w:r w:rsidRPr="00125A2F">
        <w:rPr>
          <w:rFonts w:ascii="Times New Roman" w:hAnsi="Times New Roman"/>
          <w:color w:val="auto"/>
          <w:sz w:val="24"/>
          <w:szCs w:val="24"/>
        </w:rPr>
        <w:t>A gap (</w:t>
      </w:r>
      <w:proofErr w:type="spellStart"/>
      <w:r w:rsidRPr="00125A2F">
        <w:rPr>
          <w:rFonts w:ascii="Times New Roman" w:hAnsi="Times New Roman"/>
          <w:color w:val="auto"/>
          <w:sz w:val="24"/>
          <w:szCs w:val="24"/>
        </w:rPr>
        <w:t>cin</w:t>
      </w:r>
      <w:proofErr w:type="spellEnd"/>
      <w:r w:rsidRPr="00125A2F">
        <w:rPr>
          <w:rFonts w:ascii="Times New Roman" w:hAnsi="Times New Roman"/>
          <w:color w:val="auto"/>
          <w:sz w:val="24"/>
          <w:szCs w:val="24"/>
        </w:rPr>
        <w:t>/</w:t>
      </w:r>
      <w:proofErr w:type="spellStart"/>
      <w:r w:rsidRPr="00125A2F">
        <w:rPr>
          <w:rFonts w:ascii="Times New Roman" w:hAnsi="Times New Roman"/>
          <w:color w:val="auto"/>
          <w:sz w:val="24"/>
          <w:szCs w:val="24"/>
        </w:rPr>
        <w:t>st</w:t>
      </w:r>
      <w:proofErr w:type="spellEnd"/>
      <w:r w:rsidRPr="00125A2F">
        <w:rPr>
          <w:rFonts w:ascii="Times New Roman" w:hAnsi="Times New Roman"/>
          <w:color w:val="auto"/>
          <w:sz w:val="24"/>
          <w:szCs w:val="24"/>
        </w:rPr>
        <w:t xml:space="preserve">) &gt; 2 indicates that the W and B systems are selective for protection against B. cinerea rather than </w:t>
      </w:r>
      <w:r w:rsidRPr="00125A2F">
        <w:rPr>
          <w:rFonts w:ascii="Times New Roman" w:hAnsi="Times New Roman"/>
          <w:i/>
          <w:color w:val="auto"/>
          <w:sz w:val="24"/>
          <w:szCs w:val="24"/>
        </w:rPr>
        <w:t xml:space="preserve">R. </w:t>
      </w:r>
      <w:proofErr w:type="spellStart"/>
      <w:r w:rsidRPr="00125A2F">
        <w:rPr>
          <w:rFonts w:ascii="Times New Roman" w:hAnsi="Times New Roman"/>
          <w:i/>
          <w:color w:val="auto"/>
          <w:sz w:val="24"/>
          <w:szCs w:val="24"/>
        </w:rPr>
        <w:t>stolonifer</w:t>
      </w:r>
      <w:proofErr w:type="spellEnd"/>
      <w:r w:rsidRPr="00125A2F">
        <w:rPr>
          <w:rFonts w:ascii="Times New Roman" w:hAnsi="Times New Roman"/>
          <w:i/>
          <w:color w:val="auto"/>
          <w:sz w:val="24"/>
          <w:szCs w:val="24"/>
        </w:rPr>
        <w:t>.</w:t>
      </w:r>
    </w:p>
    <w:p w14:paraId="5910920F" w14:textId="77777777" w:rsidR="002A3C06" w:rsidRPr="00125A2F" w:rsidRDefault="002A3C06" w:rsidP="002A3C06">
      <w:pPr>
        <w:pStyle w:val="MDPI32textnoindent"/>
        <w:spacing w:line="240" w:lineRule="auto"/>
        <w:ind w:left="0"/>
        <w:rPr>
          <w:rFonts w:ascii="Times New Roman" w:hAnsi="Times New Roman"/>
          <w:color w:val="auto"/>
          <w:sz w:val="24"/>
          <w:szCs w:val="24"/>
        </w:rPr>
      </w:pPr>
      <w:r w:rsidRPr="00125A2F">
        <w:rPr>
          <w:rFonts w:ascii="Times New Roman" w:hAnsi="Times New Roman"/>
          <w:color w:val="auto"/>
          <w:sz w:val="24"/>
          <w:szCs w:val="24"/>
        </w:rPr>
        <w:t>Gap (</w:t>
      </w:r>
      <w:proofErr w:type="spellStart"/>
      <w:r w:rsidRPr="00125A2F">
        <w:rPr>
          <w:rFonts w:ascii="Times New Roman" w:hAnsi="Times New Roman"/>
          <w:color w:val="auto"/>
          <w:sz w:val="24"/>
          <w:szCs w:val="24"/>
        </w:rPr>
        <w:t>cin</w:t>
      </w:r>
      <w:proofErr w:type="spellEnd"/>
      <w:r w:rsidRPr="00125A2F">
        <w:rPr>
          <w:rFonts w:ascii="Times New Roman" w:hAnsi="Times New Roman"/>
          <w:color w:val="auto"/>
          <w:sz w:val="24"/>
          <w:szCs w:val="24"/>
        </w:rPr>
        <w:t xml:space="preserve">/nig) &gt; 2 indicates that the W system is selective for protection against </w:t>
      </w:r>
      <w:r w:rsidRPr="00125A2F">
        <w:rPr>
          <w:rFonts w:ascii="Times New Roman" w:hAnsi="Times New Roman"/>
          <w:i/>
          <w:color w:val="auto"/>
          <w:sz w:val="24"/>
          <w:szCs w:val="24"/>
        </w:rPr>
        <w:t>B. cinerea</w:t>
      </w:r>
      <w:r w:rsidRPr="00125A2F">
        <w:rPr>
          <w:rFonts w:ascii="Times New Roman" w:hAnsi="Times New Roman"/>
          <w:color w:val="auto"/>
          <w:sz w:val="24"/>
          <w:szCs w:val="24"/>
        </w:rPr>
        <w:t xml:space="preserve"> over </w:t>
      </w:r>
      <w:r w:rsidRPr="00125A2F">
        <w:rPr>
          <w:rFonts w:ascii="Times New Roman" w:hAnsi="Times New Roman"/>
          <w:i/>
          <w:color w:val="auto"/>
          <w:sz w:val="24"/>
          <w:szCs w:val="24"/>
        </w:rPr>
        <w:t xml:space="preserve">A. </w:t>
      </w:r>
      <w:proofErr w:type="spellStart"/>
      <w:r w:rsidRPr="00125A2F">
        <w:rPr>
          <w:rFonts w:ascii="Times New Roman" w:hAnsi="Times New Roman"/>
          <w:i/>
          <w:color w:val="auto"/>
          <w:sz w:val="24"/>
          <w:szCs w:val="24"/>
        </w:rPr>
        <w:t>niger</w:t>
      </w:r>
      <w:proofErr w:type="spellEnd"/>
      <w:r w:rsidRPr="00125A2F">
        <w:rPr>
          <w:rFonts w:ascii="Times New Roman" w:hAnsi="Times New Roman"/>
          <w:color w:val="auto"/>
          <w:sz w:val="24"/>
          <w:szCs w:val="24"/>
        </w:rPr>
        <w:t>.</w:t>
      </w:r>
    </w:p>
    <w:p w14:paraId="6BC02A2E" w14:textId="77777777" w:rsidR="002A3C06" w:rsidRPr="00125A2F" w:rsidRDefault="002A3C06" w:rsidP="002A3C06">
      <w:pPr>
        <w:pStyle w:val="MDPI32textnoindent"/>
        <w:spacing w:line="240" w:lineRule="auto"/>
        <w:ind w:left="0"/>
        <w:rPr>
          <w:rFonts w:ascii="Times New Roman" w:hAnsi="Times New Roman"/>
          <w:color w:val="auto"/>
          <w:sz w:val="24"/>
          <w:szCs w:val="24"/>
        </w:rPr>
      </w:pPr>
      <w:r w:rsidRPr="00125A2F">
        <w:rPr>
          <w:rFonts w:ascii="Times New Roman" w:hAnsi="Times New Roman"/>
          <w:color w:val="auto"/>
          <w:sz w:val="24"/>
          <w:szCs w:val="24"/>
        </w:rPr>
        <w:t>Gap (</w:t>
      </w:r>
      <w:proofErr w:type="spellStart"/>
      <w:r w:rsidRPr="00125A2F">
        <w:rPr>
          <w:rFonts w:ascii="Times New Roman" w:hAnsi="Times New Roman"/>
          <w:color w:val="auto"/>
          <w:sz w:val="24"/>
          <w:szCs w:val="24"/>
        </w:rPr>
        <w:t>st</w:t>
      </w:r>
      <w:proofErr w:type="spellEnd"/>
      <w:r w:rsidRPr="00125A2F">
        <w:rPr>
          <w:rFonts w:ascii="Times New Roman" w:hAnsi="Times New Roman"/>
          <w:color w:val="auto"/>
          <w:sz w:val="24"/>
          <w:szCs w:val="24"/>
        </w:rPr>
        <w:t xml:space="preserve">/nig) &gt; 2 indicates that the W system is selective for protection against </w:t>
      </w:r>
      <w:r w:rsidRPr="00125A2F">
        <w:rPr>
          <w:rFonts w:ascii="Times New Roman" w:hAnsi="Times New Roman"/>
          <w:i/>
          <w:color w:val="auto"/>
          <w:sz w:val="24"/>
          <w:szCs w:val="24"/>
        </w:rPr>
        <w:t xml:space="preserve">R. </w:t>
      </w:r>
      <w:proofErr w:type="spellStart"/>
      <w:r w:rsidRPr="00125A2F">
        <w:rPr>
          <w:rFonts w:ascii="Times New Roman" w:hAnsi="Times New Roman"/>
          <w:i/>
          <w:color w:val="auto"/>
          <w:sz w:val="24"/>
          <w:szCs w:val="24"/>
        </w:rPr>
        <w:t>stolonifer</w:t>
      </w:r>
      <w:proofErr w:type="spellEnd"/>
      <w:r w:rsidRPr="00125A2F">
        <w:rPr>
          <w:rFonts w:ascii="Times New Roman" w:hAnsi="Times New Roman"/>
          <w:color w:val="auto"/>
          <w:sz w:val="24"/>
          <w:szCs w:val="24"/>
        </w:rPr>
        <w:t xml:space="preserve"> over </w:t>
      </w:r>
      <w:r w:rsidRPr="00125A2F">
        <w:rPr>
          <w:rFonts w:ascii="Times New Roman" w:hAnsi="Times New Roman"/>
          <w:i/>
          <w:color w:val="auto"/>
          <w:sz w:val="24"/>
          <w:szCs w:val="24"/>
        </w:rPr>
        <w:t xml:space="preserve">A. </w:t>
      </w:r>
      <w:proofErr w:type="spellStart"/>
      <w:r w:rsidRPr="00125A2F">
        <w:rPr>
          <w:rFonts w:ascii="Times New Roman" w:hAnsi="Times New Roman"/>
          <w:i/>
          <w:color w:val="auto"/>
          <w:sz w:val="24"/>
          <w:szCs w:val="24"/>
        </w:rPr>
        <w:t>niger</w:t>
      </w:r>
      <w:proofErr w:type="spellEnd"/>
      <w:r w:rsidRPr="00125A2F">
        <w:rPr>
          <w:rFonts w:ascii="Times New Roman" w:hAnsi="Times New Roman"/>
          <w:color w:val="auto"/>
          <w:sz w:val="24"/>
          <w:szCs w:val="24"/>
        </w:rPr>
        <w:t>.</w:t>
      </w:r>
    </w:p>
    <w:p w14:paraId="27915E90" w14:textId="2A14295B" w:rsidR="00BE3ADB" w:rsidRDefault="002A3C06" w:rsidP="002A3C06">
      <w:pPr>
        <w:spacing w:line="240" w:lineRule="auto"/>
        <w:rPr>
          <w:i/>
          <w:color w:val="auto"/>
          <w:szCs w:val="24"/>
        </w:rPr>
      </w:pPr>
      <w:r w:rsidRPr="00125A2F">
        <w:rPr>
          <w:color w:val="auto"/>
          <w:szCs w:val="24"/>
        </w:rPr>
        <w:t xml:space="preserve">Gap (nig/st) &gt; 2 indicates that the B system is selective for protection against </w:t>
      </w:r>
      <w:r w:rsidRPr="00125A2F">
        <w:rPr>
          <w:i/>
          <w:color w:val="auto"/>
          <w:szCs w:val="24"/>
        </w:rPr>
        <w:t>A. niger</w:t>
      </w:r>
      <w:r w:rsidRPr="00125A2F">
        <w:rPr>
          <w:color w:val="auto"/>
          <w:szCs w:val="24"/>
        </w:rPr>
        <w:t xml:space="preserve"> over </w:t>
      </w:r>
      <w:r w:rsidRPr="00125A2F">
        <w:rPr>
          <w:i/>
          <w:color w:val="auto"/>
          <w:szCs w:val="24"/>
        </w:rPr>
        <w:t>R. stolonifer</w:t>
      </w:r>
      <w:r>
        <w:rPr>
          <w:i/>
          <w:color w:val="auto"/>
          <w:szCs w:val="24"/>
        </w:rPr>
        <w:t>.</w:t>
      </w:r>
    </w:p>
    <w:p w14:paraId="4FE227AC" w14:textId="77777777" w:rsidR="002A3C06" w:rsidRPr="002A3C06" w:rsidRDefault="002A3C06" w:rsidP="002A3C06">
      <w:pPr>
        <w:spacing w:line="360" w:lineRule="auto"/>
        <w:rPr>
          <w:color w:val="auto"/>
          <w:szCs w:val="24"/>
        </w:rPr>
      </w:pPr>
    </w:p>
    <w:p w14:paraId="0CA72116" w14:textId="77777777" w:rsidR="00DC5B73" w:rsidRPr="00C3614B" w:rsidRDefault="00DC5B73" w:rsidP="00DC5B73">
      <w:pPr>
        <w:spacing w:line="240" w:lineRule="auto"/>
        <w:rPr>
          <w:b/>
          <w:color w:val="auto"/>
          <w:sz w:val="32"/>
          <w:szCs w:val="24"/>
        </w:rPr>
      </w:pPr>
      <w:r w:rsidRPr="00C3614B">
        <w:rPr>
          <w:color w:val="auto"/>
          <w:lang w:val="ru-RU" w:eastAsia="ru-RU"/>
        </w:rPr>
        <w:drawing>
          <wp:inline distT="0" distB="0" distL="0" distR="0" wp14:anchorId="3F788F1F" wp14:editId="0F177793">
            <wp:extent cx="5086350" cy="1958631"/>
            <wp:effectExtent l="0" t="0" r="0"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1.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135228" cy="1977453"/>
                    </a:xfrm>
                    <a:prstGeom prst="rect">
                      <a:avLst/>
                    </a:prstGeom>
                  </pic:spPr>
                </pic:pic>
              </a:graphicData>
            </a:graphic>
          </wp:inline>
        </w:drawing>
      </w:r>
    </w:p>
    <w:p w14:paraId="02ACEFCF" w14:textId="681C3A79" w:rsidR="00DC5B73" w:rsidRPr="00C3614B" w:rsidRDefault="00DC5B73" w:rsidP="00DC5B73">
      <w:pPr>
        <w:pStyle w:val="MDPI31text"/>
        <w:spacing w:line="240" w:lineRule="auto"/>
        <w:ind w:left="0" w:firstLine="0"/>
        <w:rPr>
          <w:rFonts w:ascii="Times New Roman" w:hAnsi="Times New Roman"/>
          <w:color w:val="auto"/>
          <w:sz w:val="24"/>
          <w:szCs w:val="20"/>
        </w:rPr>
      </w:pPr>
      <w:r w:rsidRPr="00DC5B73">
        <w:rPr>
          <w:rFonts w:ascii="Times New Roman" w:hAnsi="Times New Roman"/>
          <w:b/>
          <w:color w:val="auto"/>
          <w:sz w:val="24"/>
          <w:szCs w:val="20"/>
        </w:rPr>
        <w:t xml:space="preserve">Fig. 1: </w:t>
      </w:r>
      <w:r w:rsidRPr="00DC5B73">
        <w:rPr>
          <w:rFonts w:ascii="Times New Roman" w:hAnsi="Times New Roman"/>
          <w:color w:val="auto"/>
          <w:sz w:val="24"/>
          <w:szCs w:val="20"/>
        </w:rPr>
        <w:t xml:space="preserve">Effects of yeast isolates on the radial growth of </w:t>
      </w:r>
      <w:r w:rsidRPr="00DC5B73">
        <w:rPr>
          <w:rFonts w:ascii="Times New Roman" w:hAnsi="Times New Roman"/>
          <w:i/>
          <w:color w:val="auto"/>
          <w:sz w:val="24"/>
          <w:szCs w:val="20"/>
        </w:rPr>
        <w:t>Botrytis cinerea</w:t>
      </w:r>
      <w:r w:rsidRPr="00DC5B73">
        <w:rPr>
          <w:rFonts w:ascii="Times New Roman" w:hAnsi="Times New Roman"/>
          <w:color w:val="auto"/>
          <w:sz w:val="24"/>
          <w:szCs w:val="20"/>
        </w:rPr>
        <w:t xml:space="preserve"> (F-RKM 1032) in a dual-culture assay after seven days of incubation at 28 ± 2 °C. PIRG indicates the percentage inhibition of fungal radial growth. Vertical bars show the standard errors of the means (n = 3). Columns with different letters indicate significant differences according to one-way ANOVA with post-hoc Tukey Honestly Significant Difference multiple range tests (P &lt; 0.01). </w:t>
      </w:r>
    </w:p>
    <w:p w14:paraId="4B3B59C7" w14:textId="77777777" w:rsidR="002A3C06" w:rsidRDefault="002A3C06" w:rsidP="00DC5B73">
      <w:pPr>
        <w:spacing w:line="360" w:lineRule="auto"/>
        <w:rPr>
          <w:color w:val="FF0000"/>
          <w:szCs w:val="24"/>
        </w:rPr>
      </w:pPr>
    </w:p>
    <w:p w14:paraId="6D2267B8" w14:textId="77777777" w:rsidR="00B71E99" w:rsidRPr="00C3614B" w:rsidRDefault="00B71E99" w:rsidP="00B71E99">
      <w:pPr>
        <w:pStyle w:val="MDPI31text"/>
        <w:spacing w:line="240" w:lineRule="auto"/>
        <w:ind w:left="0" w:firstLine="0"/>
        <w:rPr>
          <w:rFonts w:ascii="Times New Roman" w:hAnsi="Times New Roman"/>
          <w:color w:val="auto"/>
          <w:sz w:val="32"/>
          <w:szCs w:val="24"/>
        </w:rPr>
      </w:pPr>
      <w:r w:rsidRPr="00C3614B">
        <w:rPr>
          <w:rFonts w:ascii="Times New Roman" w:hAnsi="Times New Roman"/>
          <w:noProof/>
          <w:snapToGrid/>
          <w:color w:val="auto"/>
          <w:sz w:val="32"/>
          <w:szCs w:val="24"/>
          <w:lang w:val="ru-RU" w:eastAsia="ru-RU" w:bidi="ar-SA"/>
        </w:rPr>
        <w:drawing>
          <wp:inline distT="0" distB="0" distL="0" distR="0" wp14:anchorId="6BC05A25" wp14:editId="4D4F24FE">
            <wp:extent cx="3876925" cy="1637969"/>
            <wp:effectExtent l="0" t="0" r="0"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OFILM 0214.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932290" cy="1661360"/>
                    </a:xfrm>
                    <a:prstGeom prst="rect">
                      <a:avLst/>
                    </a:prstGeom>
                  </pic:spPr>
                </pic:pic>
              </a:graphicData>
            </a:graphic>
          </wp:inline>
        </w:drawing>
      </w:r>
    </w:p>
    <w:p w14:paraId="5BF1F13B" w14:textId="15ECA33C" w:rsidR="00B71E99" w:rsidRDefault="00B71E99" w:rsidP="00B71E99">
      <w:pPr>
        <w:pStyle w:val="MDPI31text"/>
        <w:spacing w:line="240" w:lineRule="auto"/>
        <w:ind w:left="0" w:firstLine="0"/>
        <w:rPr>
          <w:rFonts w:ascii="Times New Roman" w:hAnsi="Times New Roman"/>
          <w:color w:val="auto"/>
          <w:sz w:val="24"/>
          <w:szCs w:val="20"/>
        </w:rPr>
      </w:pPr>
      <w:r w:rsidRPr="00B71E99">
        <w:rPr>
          <w:rFonts w:ascii="Times New Roman" w:hAnsi="Times New Roman"/>
          <w:b/>
          <w:color w:val="auto"/>
          <w:sz w:val="24"/>
          <w:szCs w:val="20"/>
        </w:rPr>
        <w:t xml:space="preserve">Fig. 2: </w:t>
      </w:r>
      <w:r w:rsidRPr="00B71E99">
        <w:rPr>
          <w:rFonts w:ascii="Times New Roman" w:hAnsi="Times New Roman"/>
          <w:color w:val="auto"/>
          <w:sz w:val="24"/>
          <w:szCs w:val="20"/>
        </w:rPr>
        <w:t xml:space="preserve">In vitro biofilm-forming activity of yeast isolates. Vertical bars represent the standard errors of the means (n = 3). Columns labeled with different letters indicate significant differences, as determined by one-way ANOVA with post hoc Tukey honestly significant difference multiple-range tests (P &lt; 0.01) (Tables S2A, S2B, and Fig. S2 in the Supplementary materials). We categorized the yeast isolates by the OD550 values shown in Figure 2 into five groups: A, B, C, D, and E, and then analyzed these groups for statistical differences in their OD550 values. Finally, we selected 11 yeast isolates with the relatively highest biofilm-forming activity from groups A, B, and C </w:t>
      </w:r>
    </w:p>
    <w:p w14:paraId="63885B31" w14:textId="77777777" w:rsidR="00B71E99" w:rsidRDefault="00B71E99" w:rsidP="00B71E99">
      <w:pPr>
        <w:pStyle w:val="MDPI31text"/>
        <w:spacing w:line="360" w:lineRule="auto"/>
        <w:ind w:left="0" w:firstLine="0"/>
        <w:rPr>
          <w:rFonts w:ascii="Times New Roman" w:hAnsi="Times New Roman"/>
          <w:color w:val="auto"/>
          <w:sz w:val="24"/>
          <w:szCs w:val="20"/>
        </w:rPr>
      </w:pPr>
    </w:p>
    <w:p w14:paraId="4C9A29C1" w14:textId="77777777" w:rsidR="004C5E17" w:rsidRPr="004C5E17" w:rsidRDefault="004C5E17" w:rsidP="004C5E17">
      <w:pPr>
        <w:pStyle w:val="MDPI31text"/>
        <w:spacing w:line="240" w:lineRule="auto"/>
        <w:ind w:left="0" w:firstLine="0"/>
        <w:rPr>
          <w:rFonts w:ascii="Times New Roman" w:hAnsi="Times New Roman"/>
          <w:color w:val="auto"/>
          <w:sz w:val="32"/>
          <w:szCs w:val="24"/>
        </w:rPr>
      </w:pPr>
      <w:r w:rsidRPr="004C5E17">
        <w:rPr>
          <w:rFonts w:ascii="Times New Roman" w:hAnsi="Times New Roman"/>
          <w:b/>
          <w:noProof/>
          <w:snapToGrid/>
          <w:color w:val="auto"/>
          <w:sz w:val="32"/>
          <w:szCs w:val="24"/>
          <w:lang w:val="ru-RU" w:eastAsia="ru-RU" w:bidi="ar-SA"/>
        </w:rPr>
        <w:lastRenderedPageBreak/>
        <w:drawing>
          <wp:inline distT="0" distB="0" distL="0" distR="0" wp14:anchorId="39022347" wp14:editId="22103994">
            <wp:extent cx="4197985" cy="3078480"/>
            <wp:effectExtent l="0" t="0" r="0" b="762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1 Strains tiff.tif"/>
                    <pic:cNvPicPr/>
                  </pic:nvPicPr>
                  <pic:blipFill rotWithShape="1">
                    <a:blip r:embed="rId48">
                      <a:extLst>
                        <a:ext uri="{28A0092B-C50C-407E-A947-70E740481C1C}">
                          <a14:useLocalDpi xmlns:a14="http://schemas.microsoft.com/office/drawing/2010/main" val="0"/>
                        </a:ext>
                      </a:extLst>
                    </a:blip>
                    <a:srcRect b="2193"/>
                    <a:stretch/>
                  </pic:blipFill>
                  <pic:spPr bwMode="auto">
                    <a:xfrm>
                      <a:off x="0" y="0"/>
                      <a:ext cx="4212452" cy="3089089"/>
                    </a:xfrm>
                    <a:prstGeom prst="rect">
                      <a:avLst/>
                    </a:prstGeom>
                    <a:ln>
                      <a:noFill/>
                    </a:ln>
                    <a:extLst>
                      <a:ext uri="{53640926-AAD7-44D8-BBD7-CCE9431645EC}">
                        <a14:shadowObscured xmlns:a14="http://schemas.microsoft.com/office/drawing/2010/main"/>
                      </a:ext>
                    </a:extLst>
                  </pic:spPr>
                </pic:pic>
              </a:graphicData>
            </a:graphic>
          </wp:inline>
        </w:drawing>
      </w:r>
    </w:p>
    <w:p w14:paraId="5140AB8D" w14:textId="6CFAC528" w:rsidR="004C5E17" w:rsidRPr="004C5E17" w:rsidRDefault="004C5E17" w:rsidP="004C5E17">
      <w:pPr>
        <w:pStyle w:val="MDPI31text"/>
        <w:spacing w:line="240" w:lineRule="auto"/>
        <w:ind w:left="0" w:firstLine="0"/>
        <w:rPr>
          <w:rFonts w:ascii="Times New Roman" w:hAnsi="Times New Roman"/>
          <w:color w:val="auto"/>
          <w:sz w:val="24"/>
          <w:szCs w:val="20"/>
        </w:rPr>
      </w:pPr>
      <w:r w:rsidRPr="004C5E17">
        <w:rPr>
          <w:rFonts w:ascii="Times New Roman" w:hAnsi="Times New Roman"/>
          <w:b/>
          <w:color w:val="auto"/>
          <w:sz w:val="24"/>
          <w:szCs w:val="20"/>
        </w:rPr>
        <w:t xml:space="preserve">Fig. 3: </w:t>
      </w:r>
      <w:r w:rsidRPr="004C5E17">
        <w:rPr>
          <w:rFonts w:ascii="Times New Roman" w:hAnsi="Times New Roman"/>
          <w:color w:val="auto"/>
          <w:sz w:val="24"/>
          <w:szCs w:val="20"/>
        </w:rPr>
        <w:t xml:space="preserve">NJ analysis of antagonistic yeast species based on nucleotide sequences from the ITS1-5.8S-ITS2 region. Numbers above the branches show bootstrap support percentages, and the bars indicate 0.1 substitutions per site. Accession numbers for the type strains of each species are provided. Yeast strain designations are listed in bullet points. Symbols AP11, AP12, AP08, AP06, and AP13 at the top of the tree, and symbols AP04 and AP05 at the bottom, represent A. pullulans strains and correspond to isolates No. 12, No. 13, No. 9, No. 7, and No. 14 at the top, and isolates No. 5 and No. 6 at the bottom. Symbols HU15 and A2 refer to the H. </w:t>
      </w:r>
      <w:proofErr w:type="spellStart"/>
      <w:r w:rsidRPr="004C5E17">
        <w:rPr>
          <w:rFonts w:ascii="Times New Roman" w:hAnsi="Times New Roman"/>
          <w:color w:val="auto"/>
          <w:sz w:val="24"/>
          <w:szCs w:val="20"/>
        </w:rPr>
        <w:t>uvarum</w:t>
      </w:r>
      <w:proofErr w:type="spellEnd"/>
      <w:r w:rsidRPr="004C5E17">
        <w:rPr>
          <w:rFonts w:ascii="Times New Roman" w:hAnsi="Times New Roman"/>
          <w:color w:val="auto"/>
          <w:sz w:val="24"/>
          <w:szCs w:val="20"/>
        </w:rPr>
        <w:t xml:space="preserve"> and M. pulcherrima strains, corresponding to isolates #34 and #1, respectively. Symbols CL03 and CL01 refer to C. </w:t>
      </w:r>
      <w:proofErr w:type="spellStart"/>
      <w:r w:rsidRPr="004C5E17">
        <w:rPr>
          <w:rFonts w:ascii="Times New Roman" w:hAnsi="Times New Roman"/>
          <w:color w:val="auto"/>
          <w:sz w:val="24"/>
          <w:szCs w:val="20"/>
        </w:rPr>
        <w:t>lusitaniae</w:t>
      </w:r>
      <w:proofErr w:type="spellEnd"/>
      <w:r w:rsidRPr="004C5E17">
        <w:rPr>
          <w:rFonts w:ascii="Times New Roman" w:hAnsi="Times New Roman"/>
          <w:color w:val="auto"/>
          <w:sz w:val="24"/>
          <w:szCs w:val="20"/>
        </w:rPr>
        <w:t xml:space="preserve"> strains, corresponding to isolates #19 and #17</w:t>
      </w:r>
      <w:r>
        <w:rPr>
          <w:rFonts w:ascii="Times New Roman" w:hAnsi="Times New Roman"/>
          <w:color w:val="auto"/>
          <w:sz w:val="24"/>
          <w:szCs w:val="20"/>
        </w:rPr>
        <w:t>.</w:t>
      </w:r>
    </w:p>
    <w:sectPr w:rsidR="004C5E17" w:rsidRPr="004C5E17" w:rsidSect="00BB2249">
      <w:footerReference w:type="default" r:id="rId49"/>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AE515" w14:textId="77777777" w:rsidR="00EB34C2" w:rsidRDefault="00EB34C2" w:rsidP="00374E79">
      <w:pPr>
        <w:spacing w:line="240" w:lineRule="auto"/>
      </w:pPr>
      <w:r>
        <w:separator/>
      </w:r>
    </w:p>
  </w:endnote>
  <w:endnote w:type="continuationSeparator" w:id="0">
    <w:p w14:paraId="0EABF9DA" w14:textId="77777777" w:rsidR="00EB34C2" w:rsidRDefault="00EB34C2" w:rsidP="00374E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auto"/>
    <w:pitch w:val="default"/>
    <w:sig w:usb0="00000000" w:usb1="00000000" w:usb2="00000010" w:usb3="00000000" w:csb0="00000001" w:csb1="00000000"/>
  </w:font>
  <w:font w:name="Cambria Math">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7553716"/>
      <w:docPartObj>
        <w:docPartGallery w:val="Page Numbers (Bottom of Page)"/>
        <w:docPartUnique/>
      </w:docPartObj>
    </w:sdtPr>
    <w:sdtContent>
      <w:p w14:paraId="70AB5497" w14:textId="5C4ADD61" w:rsidR="009670C9" w:rsidRDefault="009670C9">
        <w:pPr>
          <w:pStyle w:val="ad"/>
          <w:jc w:val="right"/>
        </w:pPr>
        <w:r>
          <w:fldChar w:fldCharType="begin"/>
        </w:r>
        <w:r>
          <w:instrText>PAGE   \* MERGEFORMAT</w:instrText>
        </w:r>
        <w:r>
          <w:fldChar w:fldCharType="separate"/>
        </w:r>
        <w:r w:rsidR="007F060F" w:rsidRPr="007F060F">
          <w:rPr>
            <w:lang w:val="ru-RU"/>
          </w:rPr>
          <w:t>35</w:t>
        </w:r>
        <w:r>
          <w:fldChar w:fldCharType="end"/>
        </w:r>
      </w:p>
    </w:sdtContent>
  </w:sdt>
  <w:p w14:paraId="04E3E057" w14:textId="77777777" w:rsidR="009670C9" w:rsidRDefault="009670C9">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A1F8C" w14:textId="77777777" w:rsidR="00EB34C2" w:rsidRDefault="00EB34C2" w:rsidP="00374E79">
      <w:pPr>
        <w:spacing w:line="240" w:lineRule="auto"/>
      </w:pPr>
      <w:r>
        <w:separator/>
      </w:r>
    </w:p>
  </w:footnote>
  <w:footnote w:type="continuationSeparator" w:id="0">
    <w:p w14:paraId="572C25FB" w14:textId="77777777" w:rsidR="00EB34C2" w:rsidRDefault="00EB34C2" w:rsidP="00374E7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8B8F9A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0B81C61"/>
    <w:multiLevelType w:val="multilevel"/>
    <w:tmpl w:val="ECB0B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B42CE7"/>
    <w:multiLevelType w:val="hybridMultilevel"/>
    <w:tmpl w:val="BDFC26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6F203E"/>
    <w:multiLevelType w:val="hybridMultilevel"/>
    <w:tmpl w:val="44FA9C1E"/>
    <w:lvl w:ilvl="0" w:tplc="292A848A">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E05F50"/>
    <w:multiLevelType w:val="hybridMultilevel"/>
    <w:tmpl w:val="8E6C4B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B468F5"/>
    <w:multiLevelType w:val="hybridMultilevel"/>
    <w:tmpl w:val="D12ABC5C"/>
    <w:lvl w:ilvl="0" w:tplc="B1385928">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C26F74"/>
    <w:multiLevelType w:val="hybridMultilevel"/>
    <w:tmpl w:val="15D4B5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0C6F5D"/>
    <w:multiLevelType w:val="hybridMultilevel"/>
    <w:tmpl w:val="9C2CCA80"/>
    <w:lvl w:ilvl="0" w:tplc="3F26FAEA">
      <w:start w:val="1"/>
      <w:numFmt w:val="decimal"/>
      <w:lvlRestart w:val="0"/>
      <w:pStyle w:val="MDPI71FootNotes"/>
      <w:lvlText w:val="%1."/>
      <w:lvlJc w:val="left"/>
      <w:pPr>
        <w:ind w:left="425" w:hanging="425"/>
      </w:pPr>
      <w:rPr>
        <w:rFonts w:hint="default"/>
        <w:vertAlign w:val="superscrip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8" w15:restartNumberingAfterBreak="0">
    <w:nsid w:val="1F610C97"/>
    <w:multiLevelType w:val="hybridMultilevel"/>
    <w:tmpl w:val="65BEC940"/>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 w15:restartNumberingAfterBreak="0">
    <w:nsid w:val="248663B7"/>
    <w:multiLevelType w:val="hybridMultilevel"/>
    <w:tmpl w:val="60B8F936"/>
    <w:lvl w:ilvl="0" w:tplc="0419000F">
      <w:start w:val="1"/>
      <w:numFmt w:val="decimal"/>
      <w:lvlText w:val="%1."/>
      <w:lvlJc w:val="left"/>
      <w:pPr>
        <w:ind w:left="1282" w:hanging="360"/>
      </w:pPr>
    </w:lvl>
    <w:lvl w:ilvl="1" w:tplc="04190019" w:tentative="1">
      <w:start w:val="1"/>
      <w:numFmt w:val="lowerLetter"/>
      <w:lvlText w:val="%2."/>
      <w:lvlJc w:val="left"/>
      <w:pPr>
        <w:ind w:left="2002" w:hanging="360"/>
      </w:pPr>
    </w:lvl>
    <w:lvl w:ilvl="2" w:tplc="0419001B" w:tentative="1">
      <w:start w:val="1"/>
      <w:numFmt w:val="lowerRoman"/>
      <w:lvlText w:val="%3."/>
      <w:lvlJc w:val="right"/>
      <w:pPr>
        <w:ind w:left="2722" w:hanging="180"/>
      </w:pPr>
    </w:lvl>
    <w:lvl w:ilvl="3" w:tplc="0419000F" w:tentative="1">
      <w:start w:val="1"/>
      <w:numFmt w:val="decimal"/>
      <w:lvlText w:val="%4."/>
      <w:lvlJc w:val="left"/>
      <w:pPr>
        <w:ind w:left="3442" w:hanging="360"/>
      </w:pPr>
    </w:lvl>
    <w:lvl w:ilvl="4" w:tplc="04190019" w:tentative="1">
      <w:start w:val="1"/>
      <w:numFmt w:val="lowerLetter"/>
      <w:lvlText w:val="%5."/>
      <w:lvlJc w:val="left"/>
      <w:pPr>
        <w:ind w:left="4162" w:hanging="360"/>
      </w:pPr>
    </w:lvl>
    <w:lvl w:ilvl="5" w:tplc="0419001B" w:tentative="1">
      <w:start w:val="1"/>
      <w:numFmt w:val="lowerRoman"/>
      <w:lvlText w:val="%6."/>
      <w:lvlJc w:val="right"/>
      <w:pPr>
        <w:ind w:left="4882" w:hanging="180"/>
      </w:pPr>
    </w:lvl>
    <w:lvl w:ilvl="6" w:tplc="0419000F" w:tentative="1">
      <w:start w:val="1"/>
      <w:numFmt w:val="decimal"/>
      <w:lvlText w:val="%7."/>
      <w:lvlJc w:val="left"/>
      <w:pPr>
        <w:ind w:left="5602" w:hanging="360"/>
      </w:pPr>
    </w:lvl>
    <w:lvl w:ilvl="7" w:tplc="04190019" w:tentative="1">
      <w:start w:val="1"/>
      <w:numFmt w:val="lowerLetter"/>
      <w:lvlText w:val="%8."/>
      <w:lvlJc w:val="left"/>
      <w:pPr>
        <w:ind w:left="6322" w:hanging="360"/>
      </w:pPr>
    </w:lvl>
    <w:lvl w:ilvl="8" w:tplc="0419001B" w:tentative="1">
      <w:start w:val="1"/>
      <w:numFmt w:val="lowerRoman"/>
      <w:lvlText w:val="%9."/>
      <w:lvlJc w:val="right"/>
      <w:pPr>
        <w:ind w:left="7042" w:hanging="180"/>
      </w:pPr>
    </w:lvl>
  </w:abstractNum>
  <w:abstractNum w:abstractNumId="10"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C358B2"/>
    <w:multiLevelType w:val="hybridMultilevel"/>
    <w:tmpl w:val="C1767B44"/>
    <w:lvl w:ilvl="0" w:tplc="4C3E7B9E">
      <w:start w:val="1"/>
      <w:numFmt w:val="bullet"/>
      <w:lvlText w:val=""/>
      <w:lvlJc w:val="left"/>
      <w:pPr>
        <w:ind w:left="3753" w:hanging="360"/>
      </w:pPr>
      <w:rPr>
        <w:rFonts w:ascii="Symbol" w:hAnsi="Symbol" w:hint="default"/>
      </w:rPr>
    </w:lvl>
    <w:lvl w:ilvl="1" w:tplc="C45EE8E2" w:tentative="1">
      <w:start w:val="1"/>
      <w:numFmt w:val="bullet"/>
      <w:lvlText w:val="o"/>
      <w:lvlJc w:val="left"/>
      <w:pPr>
        <w:ind w:left="4473" w:hanging="360"/>
      </w:pPr>
      <w:rPr>
        <w:rFonts w:ascii="Courier New" w:hAnsi="Courier New" w:cs="Courier New" w:hint="default"/>
      </w:rPr>
    </w:lvl>
    <w:lvl w:ilvl="2" w:tplc="B10A71E6" w:tentative="1">
      <w:start w:val="1"/>
      <w:numFmt w:val="bullet"/>
      <w:lvlText w:val=""/>
      <w:lvlJc w:val="left"/>
      <w:pPr>
        <w:ind w:left="5193" w:hanging="360"/>
      </w:pPr>
      <w:rPr>
        <w:rFonts w:ascii="Wingdings" w:hAnsi="Wingdings" w:hint="default"/>
      </w:rPr>
    </w:lvl>
    <w:lvl w:ilvl="3" w:tplc="133A15C0" w:tentative="1">
      <w:start w:val="1"/>
      <w:numFmt w:val="bullet"/>
      <w:lvlText w:val=""/>
      <w:lvlJc w:val="left"/>
      <w:pPr>
        <w:ind w:left="5913" w:hanging="360"/>
      </w:pPr>
      <w:rPr>
        <w:rFonts w:ascii="Symbol" w:hAnsi="Symbol" w:hint="default"/>
      </w:rPr>
    </w:lvl>
    <w:lvl w:ilvl="4" w:tplc="C4A468FA" w:tentative="1">
      <w:start w:val="1"/>
      <w:numFmt w:val="bullet"/>
      <w:lvlText w:val="o"/>
      <w:lvlJc w:val="left"/>
      <w:pPr>
        <w:ind w:left="6633" w:hanging="360"/>
      </w:pPr>
      <w:rPr>
        <w:rFonts w:ascii="Courier New" w:hAnsi="Courier New" w:cs="Courier New" w:hint="default"/>
      </w:rPr>
    </w:lvl>
    <w:lvl w:ilvl="5" w:tplc="A16AD262" w:tentative="1">
      <w:start w:val="1"/>
      <w:numFmt w:val="bullet"/>
      <w:lvlText w:val=""/>
      <w:lvlJc w:val="left"/>
      <w:pPr>
        <w:ind w:left="7353" w:hanging="360"/>
      </w:pPr>
      <w:rPr>
        <w:rFonts w:ascii="Wingdings" w:hAnsi="Wingdings" w:hint="default"/>
      </w:rPr>
    </w:lvl>
    <w:lvl w:ilvl="6" w:tplc="9586E30C" w:tentative="1">
      <w:start w:val="1"/>
      <w:numFmt w:val="bullet"/>
      <w:lvlText w:val=""/>
      <w:lvlJc w:val="left"/>
      <w:pPr>
        <w:ind w:left="8073" w:hanging="360"/>
      </w:pPr>
      <w:rPr>
        <w:rFonts w:ascii="Symbol" w:hAnsi="Symbol" w:hint="default"/>
      </w:rPr>
    </w:lvl>
    <w:lvl w:ilvl="7" w:tplc="E57693B0" w:tentative="1">
      <w:start w:val="1"/>
      <w:numFmt w:val="bullet"/>
      <w:lvlText w:val="o"/>
      <w:lvlJc w:val="left"/>
      <w:pPr>
        <w:ind w:left="8793" w:hanging="360"/>
      </w:pPr>
      <w:rPr>
        <w:rFonts w:ascii="Courier New" w:hAnsi="Courier New" w:cs="Courier New" w:hint="default"/>
      </w:rPr>
    </w:lvl>
    <w:lvl w:ilvl="8" w:tplc="36A82F30" w:tentative="1">
      <w:start w:val="1"/>
      <w:numFmt w:val="bullet"/>
      <w:lvlText w:val=""/>
      <w:lvlJc w:val="left"/>
      <w:pPr>
        <w:ind w:left="9513" w:hanging="360"/>
      </w:pPr>
      <w:rPr>
        <w:rFonts w:ascii="Wingdings" w:hAnsi="Wingdings" w:hint="default"/>
      </w:rPr>
    </w:lvl>
  </w:abstractNum>
  <w:abstractNum w:abstractNumId="12" w15:restartNumberingAfterBreak="0">
    <w:nsid w:val="27867D35"/>
    <w:multiLevelType w:val="hybridMultilevel"/>
    <w:tmpl w:val="7C509BD8"/>
    <w:lvl w:ilvl="0" w:tplc="A4DCFD70">
      <w:start w:val="1"/>
      <w:numFmt w:val="decimal"/>
      <w:lvlText w:val="%1)"/>
      <w:lvlJc w:val="left"/>
      <w:pPr>
        <w:ind w:left="720" w:hanging="360"/>
      </w:pPr>
      <w:rPr>
        <w:rFonts w:hint="default"/>
      </w:rPr>
    </w:lvl>
    <w:lvl w:ilvl="1" w:tplc="3E887AE0" w:tentative="1">
      <w:start w:val="1"/>
      <w:numFmt w:val="lowerLetter"/>
      <w:lvlText w:val="%2."/>
      <w:lvlJc w:val="left"/>
      <w:pPr>
        <w:ind w:left="1440" w:hanging="360"/>
      </w:pPr>
    </w:lvl>
    <w:lvl w:ilvl="2" w:tplc="72940684" w:tentative="1">
      <w:start w:val="1"/>
      <w:numFmt w:val="lowerRoman"/>
      <w:lvlText w:val="%3."/>
      <w:lvlJc w:val="right"/>
      <w:pPr>
        <w:ind w:left="2160" w:hanging="180"/>
      </w:pPr>
    </w:lvl>
    <w:lvl w:ilvl="3" w:tplc="51687898" w:tentative="1">
      <w:start w:val="1"/>
      <w:numFmt w:val="decimal"/>
      <w:lvlText w:val="%4."/>
      <w:lvlJc w:val="left"/>
      <w:pPr>
        <w:ind w:left="2880" w:hanging="360"/>
      </w:pPr>
    </w:lvl>
    <w:lvl w:ilvl="4" w:tplc="E77AD1F6" w:tentative="1">
      <w:start w:val="1"/>
      <w:numFmt w:val="lowerLetter"/>
      <w:lvlText w:val="%5."/>
      <w:lvlJc w:val="left"/>
      <w:pPr>
        <w:ind w:left="3600" w:hanging="360"/>
      </w:pPr>
    </w:lvl>
    <w:lvl w:ilvl="5" w:tplc="48ECD3F8" w:tentative="1">
      <w:start w:val="1"/>
      <w:numFmt w:val="lowerRoman"/>
      <w:lvlText w:val="%6."/>
      <w:lvlJc w:val="right"/>
      <w:pPr>
        <w:ind w:left="4320" w:hanging="180"/>
      </w:pPr>
    </w:lvl>
    <w:lvl w:ilvl="6" w:tplc="6270C5B8" w:tentative="1">
      <w:start w:val="1"/>
      <w:numFmt w:val="decimal"/>
      <w:lvlText w:val="%7."/>
      <w:lvlJc w:val="left"/>
      <w:pPr>
        <w:ind w:left="5040" w:hanging="360"/>
      </w:pPr>
    </w:lvl>
    <w:lvl w:ilvl="7" w:tplc="C96499C0" w:tentative="1">
      <w:start w:val="1"/>
      <w:numFmt w:val="lowerLetter"/>
      <w:lvlText w:val="%8."/>
      <w:lvlJc w:val="left"/>
      <w:pPr>
        <w:ind w:left="5760" w:hanging="360"/>
      </w:pPr>
    </w:lvl>
    <w:lvl w:ilvl="8" w:tplc="09E60E90" w:tentative="1">
      <w:start w:val="1"/>
      <w:numFmt w:val="lowerRoman"/>
      <w:lvlText w:val="%9."/>
      <w:lvlJc w:val="right"/>
      <w:pPr>
        <w:ind w:left="6480" w:hanging="180"/>
      </w:pPr>
    </w:lvl>
  </w:abstractNum>
  <w:abstractNum w:abstractNumId="13"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4"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6" w15:restartNumberingAfterBreak="0">
    <w:nsid w:val="3AEA519F"/>
    <w:multiLevelType w:val="hybridMultilevel"/>
    <w:tmpl w:val="13841F72"/>
    <w:lvl w:ilvl="0" w:tplc="0419000F">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17" w15:restartNumberingAfterBreak="0">
    <w:nsid w:val="3B444E26"/>
    <w:multiLevelType w:val="hybridMultilevel"/>
    <w:tmpl w:val="7C8478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E865584"/>
    <w:multiLevelType w:val="multilevel"/>
    <w:tmpl w:val="AFEA10DE"/>
    <w:lvl w:ilvl="0">
      <w:start w:val="1"/>
      <w:numFmt w:val="decimal"/>
      <w:lvlText w:val="%1."/>
      <w:lvlJc w:val="left"/>
      <w:pPr>
        <w:ind w:left="720" w:hanging="360"/>
      </w:pPr>
      <w:rPr>
        <w:rFonts w:hint="default"/>
      </w:rPr>
    </w:lvl>
    <w:lvl w:ilvl="1">
      <w:start w:val="1"/>
      <w:numFmt w:val="decimal"/>
      <w:isLgl/>
      <w:lvlText w:val="%1.%2."/>
      <w:lvlJc w:val="left"/>
      <w:pPr>
        <w:ind w:left="5889" w:hanging="360"/>
      </w:pPr>
      <w:rPr>
        <w:rFonts w:hint="default"/>
        <w:b/>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A031142"/>
    <w:multiLevelType w:val="hybridMultilevel"/>
    <w:tmpl w:val="6D723C3A"/>
    <w:lvl w:ilvl="0" w:tplc="0419000F">
      <w:start w:val="1"/>
      <w:numFmt w:val="decimal"/>
      <w:lvlText w:val="%1."/>
      <w:lvlJc w:val="left"/>
      <w:pPr>
        <w:ind w:left="0" w:hanging="360"/>
      </w:p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20" w15:restartNumberingAfterBreak="0">
    <w:nsid w:val="503300DB"/>
    <w:multiLevelType w:val="multilevel"/>
    <w:tmpl w:val="FA0C399A"/>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23" w15:restartNumberingAfterBreak="0">
    <w:nsid w:val="55FD23D3"/>
    <w:multiLevelType w:val="multilevel"/>
    <w:tmpl w:val="169497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6CF7C60"/>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B36ADA"/>
    <w:multiLevelType w:val="hybridMultilevel"/>
    <w:tmpl w:val="E2520026"/>
    <w:lvl w:ilvl="0" w:tplc="04190011">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26" w15:restartNumberingAfterBreak="0">
    <w:nsid w:val="680D105D"/>
    <w:multiLevelType w:val="hybridMultilevel"/>
    <w:tmpl w:val="5246E0A4"/>
    <w:lvl w:ilvl="0" w:tplc="9940CBF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9BE709B"/>
    <w:multiLevelType w:val="hybridMultilevel"/>
    <w:tmpl w:val="AFB69002"/>
    <w:lvl w:ilvl="0" w:tplc="25EACA5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CEE24C2"/>
    <w:multiLevelType w:val="multilevel"/>
    <w:tmpl w:val="A9604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9B7FA4"/>
    <w:multiLevelType w:val="hybridMultilevel"/>
    <w:tmpl w:val="A5BA6A4E"/>
    <w:lvl w:ilvl="0" w:tplc="D7EE4E1A">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0"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CD0F96"/>
    <w:multiLevelType w:val="hybridMultilevel"/>
    <w:tmpl w:val="3FF64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33E54DF"/>
    <w:multiLevelType w:val="hybridMultilevel"/>
    <w:tmpl w:val="7832A22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37B152B"/>
    <w:multiLevelType w:val="hybridMultilevel"/>
    <w:tmpl w:val="46185D42"/>
    <w:lvl w:ilvl="0" w:tplc="22941264">
      <w:start w:val="1"/>
      <w:numFmt w:val="decimal"/>
      <w:pStyle w:val="msonormalcxspmiddle"/>
      <w:lvlText w:val="[%1]"/>
      <w:lvlJc w:val="left"/>
      <w:pPr>
        <w:ind w:left="425" w:hanging="425"/>
      </w:pPr>
      <w:rPr>
        <w:rFonts w:ascii="Times New Roman" w:hAnsi="Times New Roman" w:cs="Times New Roman" w:hint="default"/>
        <w:b w:val="0"/>
        <w:i w:val="0"/>
        <w:color w:val="auto"/>
        <w:sz w:val="24"/>
        <w:vertAlign w:val="baseline"/>
      </w:rPr>
    </w:lvl>
    <w:lvl w:ilvl="1" w:tplc="DF5093B2" w:tentative="1">
      <w:start w:val="1"/>
      <w:numFmt w:val="lowerLetter"/>
      <w:lvlText w:val="%2."/>
      <w:lvlJc w:val="left"/>
      <w:pPr>
        <w:ind w:left="1440" w:hanging="360"/>
      </w:pPr>
    </w:lvl>
    <w:lvl w:ilvl="2" w:tplc="A26CA902" w:tentative="1">
      <w:start w:val="1"/>
      <w:numFmt w:val="lowerRoman"/>
      <w:lvlText w:val="%3."/>
      <w:lvlJc w:val="right"/>
      <w:pPr>
        <w:ind w:left="2160" w:hanging="180"/>
      </w:pPr>
    </w:lvl>
    <w:lvl w:ilvl="3" w:tplc="3F589272" w:tentative="1">
      <w:start w:val="1"/>
      <w:numFmt w:val="decimal"/>
      <w:lvlText w:val="%4."/>
      <w:lvlJc w:val="left"/>
      <w:pPr>
        <w:ind w:left="2880" w:hanging="360"/>
      </w:pPr>
    </w:lvl>
    <w:lvl w:ilvl="4" w:tplc="848435C2" w:tentative="1">
      <w:start w:val="1"/>
      <w:numFmt w:val="lowerLetter"/>
      <w:lvlText w:val="%5."/>
      <w:lvlJc w:val="left"/>
      <w:pPr>
        <w:ind w:left="3600" w:hanging="360"/>
      </w:pPr>
    </w:lvl>
    <w:lvl w:ilvl="5" w:tplc="B016B6D6" w:tentative="1">
      <w:start w:val="1"/>
      <w:numFmt w:val="lowerRoman"/>
      <w:lvlText w:val="%6."/>
      <w:lvlJc w:val="right"/>
      <w:pPr>
        <w:ind w:left="4320" w:hanging="180"/>
      </w:pPr>
    </w:lvl>
    <w:lvl w:ilvl="6" w:tplc="D02009B8" w:tentative="1">
      <w:start w:val="1"/>
      <w:numFmt w:val="decimal"/>
      <w:lvlText w:val="%7."/>
      <w:lvlJc w:val="left"/>
      <w:pPr>
        <w:ind w:left="5040" w:hanging="360"/>
      </w:pPr>
    </w:lvl>
    <w:lvl w:ilvl="7" w:tplc="589CB4D4" w:tentative="1">
      <w:start w:val="1"/>
      <w:numFmt w:val="lowerLetter"/>
      <w:lvlText w:val="%8."/>
      <w:lvlJc w:val="left"/>
      <w:pPr>
        <w:ind w:left="5760" w:hanging="360"/>
      </w:pPr>
    </w:lvl>
    <w:lvl w:ilvl="8" w:tplc="DF30CD02" w:tentative="1">
      <w:start w:val="1"/>
      <w:numFmt w:val="lowerRoman"/>
      <w:lvlText w:val="%9."/>
      <w:lvlJc w:val="right"/>
      <w:pPr>
        <w:ind w:left="6480" w:hanging="180"/>
      </w:pPr>
    </w:lvl>
  </w:abstractNum>
  <w:abstractNum w:abstractNumId="34" w15:restartNumberingAfterBreak="0">
    <w:nsid w:val="7B413AE1"/>
    <w:multiLevelType w:val="multilevel"/>
    <w:tmpl w:val="1AA21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C05743"/>
    <w:multiLevelType w:val="multilevel"/>
    <w:tmpl w:val="E9945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9322436">
    <w:abstractNumId w:val="13"/>
  </w:num>
  <w:num w:numId="2" w16cid:durableId="636762080">
    <w:abstractNumId w:val="15"/>
  </w:num>
  <w:num w:numId="3" w16cid:durableId="1604413549">
    <w:abstractNumId w:val="10"/>
  </w:num>
  <w:num w:numId="4" w16cid:durableId="1709599005">
    <w:abstractNumId w:val="14"/>
  </w:num>
  <w:num w:numId="5" w16cid:durableId="157620140">
    <w:abstractNumId w:val="22"/>
  </w:num>
  <w:num w:numId="6" w16cid:durableId="1953975768">
    <w:abstractNumId w:val="7"/>
  </w:num>
  <w:num w:numId="7" w16cid:durableId="6642888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86728079">
    <w:abstractNumId w:val="24"/>
  </w:num>
  <w:num w:numId="9" w16cid:durableId="58482447">
    <w:abstractNumId w:val="30"/>
  </w:num>
  <w:num w:numId="10" w16cid:durableId="1004821083">
    <w:abstractNumId w:val="5"/>
  </w:num>
  <w:num w:numId="11" w16cid:durableId="356346074">
    <w:abstractNumId w:val="21"/>
  </w:num>
  <w:num w:numId="12" w16cid:durableId="1889217397">
    <w:abstractNumId w:val="3"/>
  </w:num>
  <w:num w:numId="13" w16cid:durableId="255477441">
    <w:abstractNumId w:val="29"/>
  </w:num>
  <w:num w:numId="14" w16cid:durableId="1687517747">
    <w:abstractNumId w:val="8"/>
  </w:num>
  <w:num w:numId="15" w16cid:durableId="654338083">
    <w:abstractNumId w:val="28"/>
  </w:num>
  <w:num w:numId="16" w16cid:durableId="1216501815">
    <w:abstractNumId w:val="32"/>
  </w:num>
  <w:num w:numId="17" w16cid:durableId="957879180">
    <w:abstractNumId w:val="17"/>
  </w:num>
  <w:num w:numId="18" w16cid:durableId="40058843">
    <w:abstractNumId w:val="27"/>
  </w:num>
  <w:num w:numId="19" w16cid:durableId="1778282730">
    <w:abstractNumId w:val="19"/>
  </w:num>
  <w:num w:numId="20" w16cid:durableId="2100980104">
    <w:abstractNumId w:val="12"/>
  </w:num>
  <w:num w:numId="21" w16cid:durableId="1061514885">
    <w:abstractNumId w:val="25"/>
  </w:num>
  <w:num w:numId="22" w16cid:durableId="1581014007">
    <w:abstractNumId w:val="26"/>
  </w:num>
  <w:num w:numId="23" w16cid:durableId="578370524">
    <w:abstractNumId w:val="11"/>
  </w:num>
  <w:num w:numId="24" w16cid:durableId="1876115999">
    <w:abstractNumId w:val="33"/>
  </w:num>
  <w:num w:numId="25" w16cid:durableId="1935042829">
    <w:abstractNumId w:val="20"/>
  </w:num>
  <w:num w:numId="26" w16cid:durableId="215822282">
    <w:abstractNumId w:val="9"/>
  </w:num>
  <w:num w:numId="27" w16cid:durableId="1583685335">
    <w:abstractNumId w:val="35"/>
  </w:num>
  <w:num w:numId="28" w16cid:durableId="1944917137">
    <w:abstractNumId w:val="16"/>
  </w:num>
  <w:num w:numId="29" w16cid:durableId="951134323">
    <w:abstractNumId w:val="23"/>
  </w:num>
  <w:num w:numId="30" w16cid:durableId="934291534">
    <w:abstractNumId w:val="18"/>
  </w:num>
  <w:num w:numId="31" w16cid:durableId="520625753">
    <w:abstractNumId w:val="34"/>
  </w:num>
  <w:num w:numId="32" w16cid:durableId="502821971">
    <w:abstractNumId w:val="1"/>
  </w:num>
  <w:num w:numId="33" w16cid:durableId="1997683597">
    <w:abstractNumId w:val="0"/>
  </w:num>
  <w:num w:numId="34" w16cid:durableId="296879889">
    <w:abstractNumId w:val="2"/>
  </w:num>
  <w:num w:numId="35" w16cid:durableId="546913597">
    <w:abstractNumId w:val="4"/>
  </w:num>
  <w:num w:numId="36" w16cid:durableId="1836919478">
    <w:abstractNumId w:val="31"/>
  </w:num>
  <w:num w:numId="37" w16cid:durableId="7890861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ru-RU" w:vendorID="64" w:dllVersion="6" w:nlCheck="1" w:checkStyle="0"/>
  <w:activeWritingStyle w:appName="MSWord" w:lang="en-US" w:vendorID="64" w:dllVersion="6" w:nlCheck="1" w:checkStyle="1"/>
  <w:activeWritingStyle w:appName="MSWord" w:lang="es-ES"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4096" w:nlCheck="1" w:checkStyle="0"/>
  <w:activeWritingStyle w:appName="MSWord" w:lang="ru-RU" w:vendorID="64" w:dllVersion="4096" w:nlCheck="1" w:checkStyle="0"/>
  <w:proofState w:spelling="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61B"/>
    <w:rsid w:val="000009A2"/>
    <w:rsid w:val="0000398F"/>
    <w:rsid w:val="00016599"/>
    <w:rsid w:val="00024210"/>
    <w:rsid w:val="00030CB4"/>
    <w:rsid w:val="000314E0"/>
    <w:rsid w:val="00033B75"/>
    <w:rsid w:val="00042F55"/>
    <w:rsid w:val="0004573C"/>
    <w:rsid w:val="00046977"/>
    <w:rsid w:val="000563D3"/>
    <w:rsid w:val="00066EDB"/>
    <w:rsid w:val="00075F16"/>
    <w:rsid w:val="00076431"/>
    <w:rsid w:val="000778CE"/>
    <w:rsid w:val="00083271"/>
    <w:rsid w:val="000A01F8"/>
    <w:rsid w:val="000A1D98"/>
    <w:rsid w:val="000B066F"/>
    <w:rsid w:val="000B6631"/>
    <w:rsid w:val="000B7E76"/>
    <w:rsid w:val="000C1E34"/>
    <w:rsid w:val="000C7CBD"/>
    <w:rsid w:val="000D3BD4"/>
    <w:rsid w:val="000D463E"/>
    <w:rsid w:val="000D5702"/>
    <w:rsid w:val="000E40E5"/>
    <w:rsid w:val="000F3BCD"/>
    <w:rsid w:val="00105096"/>
    <w:rsid w:val="001139B1"/>
    <w:rsid w:val="001361E4"/>
    <w:rsid w:val="0014336E"/>
    <w:rsid w:val="001437B4"/>
    <w:rsid w:val="00164AFA"/>
    <w:rsid w:val="00165B26"/>
    <w:rsid w:val="00171316"/>
    <w:rsid w:val="00175FF0"/>
    <w:rsid w:val="001815AA"/>
    <w:rsid w:val="00181954"/>
    <w:rsid w:val="00182F60"/>
    <w:rsid w:val="001A47E0"/>
    <w:rsid w:val="001B4D79"/>
    <w:rsid w:val="001C02B0"/>
    <w:rsid w:val="001C11E0"/>
    <w:rsid w:val="001D3F3D"/>
    <w:rsid w:val="001D5753"/>
    <w:rsid w:val="001F3B23"/>
    <w:rsid w:val="001F3D1D"/>
    <w:rsid w:val="00205408"/>
    <w:rsid w:val="00206E10"/>
    <w:rsid w:val="0022223C"/>
    <w:rsid w:val="00225B52"/>
    <w:rsid w:val="0022665E"/>
    <w:rsid w:val="002273A1"/>
    <w:rsid w:val="00245281"/>
    <w:rsid w:val="002503C3"/>
    <w:rsid w:val="002524EA"/>
    <w:rsid w:val="00253294"/>
    <w:rsid w:val="0026108A"/>
    <w:rsid w:val="002808EF"/>
    <w:rsid w:val="00287377"/>
    <w:rsid w:val="00297A99"/>
    <w:rsid w:val="00297CEC"/>
    <w:rsid w:val="002A1475"/>
    <w:rsid w:val="002A3C06"/>
    <w:rsid w:val="002B26AB"/>
    <w:rsid w:val="002C7DDA"/>
    <w:rsid w:val="002D09A4"/>
    <w:rsid w:val="002D5BD3"/>
    <w:rsid w:val="002E6641"/>
    <w:rsid w:val="003023E5"/>
    <w:rsid w:val="003136ED"/>
    <w:rsid w:val="003142CA"/>
    <w:rsid w:val="00314E3F"/>
    <w:rsid w:val="00317560"/>
    <w:rsid w:val="00320A9D"/>
    <w:rsid w:val="003334DF"/>
    <w:rsid w:val="00340D05"/>
    <w:rsid w:val="003567F0"/>
    <w:rsid w:val="00364307"/>
    <w:rsid w:val="00374E79"/>
    <w:rsid w:val="003823C8"/>
    <w:rsid w:val="00383FDB"/>
    <w:rsid w:val="00397A3C"/>
    <w:rsid w:val="003A682F"/>
    <w:rsid w:val="003A76E1"/>
    <w:rsid w:val="003C2865"/>
    <w:rsid w:val="003D614B"/>
    <w:rsid w:val="003E1F46"/>
    <w:rsid w:val="003E62D4"/>
    <w:rsid w:val="003F3DF6"/>
    <w:rsid w:val="0040161F"/>
    <w:rsid w:val="00403EDA"/>
    <w:rsid w:val="00425FA4"/>
    <w:rsid w:val="0044392C"/>
    <w:rsid w:val="00444B97"/>
    <w:rsid w:val="00452B7F"/>
    <w:rsid w:val="00457593"/>
    <w:rsid w:val="004617CA"/>
    <w:rsid w:val="0046185A"/>
    <w:rsid w:val="00472D0C"/>
    <w:rsid w:val="00480B1B"/>
    <w:rsid w:val="00482A77"/>
    <w:rsid w:val="0048717D"/>
    <w:rsid w:val="00491BC9"/>
    <w:rsid w:val="00496FDC"/>
    <w:rsid w:val="004B461B"/>
    <w:rsid w:val="004B507B"/>
    <w:rsid w:val="004C5E17"/>
    <w:rsid w:val="004E0A28"/>
    <w:rsid w:val="004E1BA8"/>
    <w:rsid w:val="004E1E67"/>
    <w:rsid w:val="004E4034"/>
    <w:rsid w:val="004E42AB"/>
    <w:rsid w:val="004F01B8"/>
    <w:rsid w:val="004F0F8B"/>
    <w:rsid w:val="004F4700"/>
    <w:rsid w:val="00503878"/>
    <w:rsid w:val="0050531E"/>
    <w:rsid w:val="00507037"/>
    <w:rsid w:val="00512157"/>
    <w:rsid w:val="005122E2"/>
    <w:rsid w:val="00512868"/>
    <w:rsid w:val="005153D0"/>
    <w:rsid w:val="00517D46"/>
    <w:rsid w:val="00524ABC"/>
    <w:rsid w:val="00536BE4"/>
    <w:rsid w:val="00541C8E"/>
    <w:rsid w:val="00543FBB"/>
    <w:rsid w:val="005624BB"/>
    <w:rsid w:val="00562BC7"/>
    <w:rsid w:val="00563486"/>
    <w:rsid w:val="00563D88"/>
    <w:rsid w:val="00564E77"/>
    <w:rsid w:val="0057611D"/>
    <w:rsid w:val="00581750"/>
    <w:rsid w:val="00593853"/>
    <w:rsid w:val="005A338D"/>
    <w:rsid w:val="005A3CF0"/>
    <w:rsid w:val="005B7712"/>
    <w:rsid w:val="005C3074"/>
    <w:rsid w:val="005C5989"/>
    <w:rsid w:val="005D74C7"/>
    <w:rsid w:val="005E5A8A"/>
    <w:rsid w:val="005E6E9F"/>
    <w:rsid w:val="00607D84"/>
    <w:rsid w:val="00620724"/>
    <w:rsid w:val="006218E9"/>
    <w:rsid w:val="00625D42"/>
    <w:rsid w:val="00650ED4"/>
    <w:rsid w:val="00660358"/>
    <w:rsid w:val="00662899"/>
    <w:rsid w:val="0067206E"/>
    <w:rsid w:val="0067360D"/>
    <w:rsid w:val="006848CF"/>
    <w:rsid w:val="0069523E"/>
    <w:rsid w:val="006958D4"/>
    <w:rsid w:val="006A5613"/>
    <w:rsid w:val="006A6660"/>
    <w:rsid w:val="006C70D3"/>
    <w:rsid w:val="006D24A2"/>
    <w:rsid w:val="007122A7"/>
    <w:rsid w:val="00717B82"/>
    <w:rsid w:val="00723856"/>
    <w:rsid w:val="00731CF2"/>
    <w:rsid w:val="007377DA"/>
    <w:rsid w:val="00742148"/>
    <w:rsid w:val="007471CF"/>
    <w:rsid w:val="00754A3B"/>
    <w:rsid w:val="007627FE"/>
    <w:rsid w:val="0076591E"/>
    <w:rsid w:val="0077303D"/>
    <w:rsid w:val="007932F1"/>
    <w:rsid w:val="007A103F"/>
    <w:rsid w:val="007A1B7F"/>
    <w:rsid w:val="007A3515"/>
    <w:rsid w:val="007A6DCD"/>
    <w:rsid w:val="007D0E99"/>
    <w:rsid w:val="007D4CFA"/>
    <w:rsid w:val="007E2B58"/>
    <w:rsid w:val="007E696D"/>
    <w:rsid w:val="007E74CC"/>
    <w:rsid w:val="007F060F"/>
    <w:rsid w:val="007F122E"/>
    <w:rsid w:val="007F50D1"/>
    <w:rsid w:val="008176FE"/>
    <w:rsid w:val="00825B71"/>
    <w:rsid w:val="0083045B"/>
    <w:rsid w:val="00846DD9"/>
    <w:rsid w:val="00851E4B"/>
    <w:rsid w:val="00860E68"/>
    <w:rsid w:val="008619DB"/>
    <w:rsid w:val="00862656"/>
    <w:rsid w:val="008627A2"/>
    <w:rsid w:val="00863F3F"/>
    <w:rsid w:val="008767C6"/>
    <w:rsid w:val="0087763F"/>
    <w:rsid w:val="00885437"/>
    <w:rsid w:val="00887DE4"/>
    <w:rsid w:val="00895FA2"/>
    <w:rsid w:val="008B4EA3"/>
    <w:rsid w:val="008C283F"/>
    <w:rsid w:val="008D1C74"/>
    <w:rsid w:val="008D327D"/>
    <w:rsid w:val="008E2C19"/>
    <w:rsid w:val="008E3C41"/>
    <w:rsid w:val="008F0352"/>
    <w:rsid w:val="008F228C"/>
    <w:rsid w:val="008F5A8D"/>
    <w:rsid w:val="00910B0D"/>
    <w:rsid w:val="00946F10"/>
    <w:rsid w:val="009514AC"/>
    <w:rsid w:val="009670C9"/>
    <w:rsid w:val="00971B31"/>
    <w:rsid w:val="009765F2"/>
    <w:rsid w:val="00981AFB"/>
    <w:rsid w:val="00986758"/>
    <w:rsid w:val="00997A2A"/>
    <w:rsid w:val="009A48CC"/>
    <w:rsid w:val="009B0A93"/>
    <w:rsid w:val="009B6EEA"/>
    <w:rsid w:val="009D30D3"/>
    <w:rsid w:val="009E64E5"/>
    <w:rsid w:val="009E7B2C"/>
    <w:rsid w:val="00A05CB6"/>
    <w:rsid w:val="00A22721"/>
    <w:rsid w:val="00A35FDE"/>
    <w:rsid w:val="00A6011B"/>
    <w:rsid w:val="00A64FAD"/>
    <w:rsid w:val="00A65FF3"/>
    <w:rsid w:val="00A7073B"/>
    <w:rsid w:val="00A71BEB"/>
    <w:rsid w:val="00A80EC6"/>
    <w:rsid w:val="00A84ABE"/>
    <w:rsid w:val="00A908A1"/>
    <w:rsid w:val="00AA0278"/>
    <w:rsid w:val="00AA3231"/>
    <w:rsid w:val="00AA3439"/>
    <w:rsid w:val="00AA6A30"/>
    <w:rsid w:val="00AB2E6B"/>
    <w:rsid w:val="00AB769A"/>
    <w:rsid w:val="00AD22B3"/>
    <w:rsid w:val="00AD74B7"/>
    <w:rsid w:val="00AE5B70"/>
    <w:rsid w:val="00AF3847"/>
    <w:rsid w:val="00B01DD3"/>
    <w:rsid w:val="00B06541"/>
    <w:rsid w:val="00B14726"/>
    <w:rsid w:val="00B330A7"/>
    <w:rsid w:val="00B42121"/>
    <w:rsid w:val="00B45DA6"/>
    <w:rsid w:val="00B5071B"/>
    <w:rsid w:val="00B63A47"/>
    <w:rsid w:val="00B63F4D"/>
    <w:rsid w:val="00B6672E"/>
    <w:rsid w:val="00B705C2"/>
    <w:rsid w:val="00B71E99"/>
    <w:rsid w:val="00B74863"/>
    <w:rsid w:val="00B834E8"/>
    <w:rsid w:val="00B845F9"/>
    <w:rsid w:val="00BA29ED"/>
    <w:rsid w:val="00BA41E6"/>
    <w:rsid w:val="00BA4FB9"/>
    <w:rsid w:val="00BB2249"/>
    <w:rsid w:val="00BC3539"/>
    <w:rsid w:val="00BD24B1"/>
    <w:rsid w:val="00BD2FC7"/>
    <w:rsid w:val="00BD47DE"/>
    <w:rsid w:val="00BE3ADB"/>
    <w:rsid w:val="00BF1572"/>
    <w:rsid w:val="00BF3507"/>
    <w:rsid w:val="00C01121"/>
    <w:rsid w:val="00C0219D"/>
    <w:rsid w:val="00C04D37"/>
    <w:rsid w:val="00C21019"/>
    <w:rsid w:val="00C32293"/>
    <w:rsid w:val="00C3527B"/>
    <w:rsid w:val="00C5353E"/>
    <w:rsid w:val="00C70AA0"/>
    <w:rsid w:val="00C745CA"/>
    <w:rsid w:val="00C85712"/>
    <w:rsid w:val="00C93009"/>
    <w:rsid w:val="00CA5C5C"/>
    <w:rsid w:val="00CB6038"/>
    <w:rsid w:val="00CB7983"/>
    <w:rsid w:val="00CD09EE"/>
    <w:rsid w:val="00CD314C"/>
    <w:rsid w:val="00CD77E0"/>
    <w:rsid w:val="00CE39A4"/>
    <w:rsid w:val="00CF3B8A"/>
    <w:rsid w:val="00D01586"/>
    <w:rsid w:val="00D05F3A"/>
    <w:rsid w:val="00D13C98"/>
    <w:rsid w:val="00D21453"/>
    <w:rsid w:val="00D21B78"/>
    <w:rsid w:val="00D40CBE"/>
    <w:rsid w:val="00D54155"/>
    <w:rsid w:val="00D54353"/>
    <w:rsid w:val="00D772AE"/>
    <w:rsid w:val="00D97F06"/>
    <w:rsid w:val="00DA6863"/>
    <w:rsid w:val="00DC5B73"/>
    <w:rsid w:val="00DD0660"/>
    <w:rsid w:val="00DD37A7"/>
    <w:rsid w:val="00DE5A5B"/>
    <w:rsid w:val="00DE6750"/>
    <w:rsid w:val="00DF1861"/>
    <w:rsid w:val="00E066E7"/>
    <w:rsid w:val="00E0793A"/>
    <w:rsid w:val="00E1211D"/>
    <w:rsid w:val="00E16F83"/>
    <w:rsid w:val="00E21E7C"/>
    <w:rsid w:val="00E46630"/>
    <w:rsid w:val="00E636EC"/>
    <w:rsid w:val="00E63C63"/>
    <w:rsid w:val="00E665C6"/>
    <w:rsid w:val="00E80C55"/>
    <w:rsid w:val="00E83AF7"/>
    <w:rsid w:val="00E86408"/>
    <w:rsid w:val="00E9202D"/>
    <w:rsid w:val="00EB2C85"/>
    <w:rsid w:val="00EB34C2"/>
    <w:rsid w:val="00EB674C"/>
    <w:rsid w:val="00ED5168"/>
    <w:rsid w:val="00EE44B6"/>
    <w:rsid w:val="00EE7A19"/>
    <w:rsid w:val="00F00CA5"/>
    <w:rsid w:val="00F16EF8"/>
    <w:rsid w:val="00F2389B"/>
    <w:rsid w:val="00F277D9"/>
    <w:rsid w:val="00F27F54"/>
    <w:rsid w:val="00F30585"/>
    <w:rsid w:val="00F34F54"/>
    <w:rsid w:val="00F4551E"/>
    <w:rsid w:val="00F4777F"/>
    <w:rsid w:val="00F5126D"/>
    <w:rsid w:val="00F62233"/>
    <w:rsid w:val="00F64F16"/>
    <w:rsid w:val="00F7164A"/>
    <w:rsid w:val="00F71F54"/>
    <w:rsid w:val="00F74B07"/>
    <w:rsid w:val="00FA4052"/>
    <w:rsid w:val="00FB0687"/>
    <w:rsid w:val="00FB4B79"/>
    <w:rsid w:val="00FC603D"/>
    <w:rsid w:val="00FC73F3"/>
    <w:rsid w:val="00FD033C"/>
    <w:rsid w:val="00FE3797"/>
    <w:rsid w:val="00FE57C5"/>
  </w:rsids>
  <m:mathPr>
    <m:mathFont m:val="Cambria Math"/>
    <m:brkBin m:val="before"/>
    <m:brkBinSub m:val="--"/>
    <m:smallFrac m:val="0"/>
    <m:dispDef/>
    <m:lMargin m:val="0"/>
    <m:rMargin m:val="0"/>
    <m:defJc m:val="centerGroup"/>
    <m:wrapIndent m:val="1440"/>
    <m:intLim m:val="subSup"/>
    <m:naryLim m:val="undOvr"/>
  </m:mathPr>
  <w:themeFontLang w:val="ru-R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C30ED"/>
  <w15:chartTrackingRefBased/>
  <w15:docId w15:val="{783EA662-CC8E-44F9-9CDA-5E3441ED4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B2249"/>
    <w:pPr>
      <w:spacing w:after="0" w:line="260" w:lineRule="atLeast"/>
      <w:jc w:val="both"/>
    </w:pPr>
    <w:rPr>
      <w:rFonts w:ascii="Times New Roman" w:eastAsia="Times New Roman" w:hAnsi="Times New Roman" w:cs="Times New Roman"/>
      <w:noProof/>
      <w:color w:val="000000"/>
      <w:sz w:val="24"/>
      <w:szCs w:val="20"/>
      <w:lang w:val="en-US" w:eastAsia="zh-CN"/>
    </w:rPr>
  </w:style>
  <w:style w:type="paragraph" w:styleId="1">
    <w:name w:val="heading 1"/>
    <w:basedOn w:val="a0"/>
    <w:next w:val="a0"/>
    <w:link w:val="10"/>
    <w:uiPriority w:val="9"/>
    <w:qFormat/>
    <w:rsid w:val="00397A3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uiPriority w:val="9"/>
    <w:semiHidden/>
    <w:unhideWhenUsed/>
    <w:qFormat/>
    <w:rsid w:val="00397A3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iPriority w:val="9"/>
    <w:semiHidden/>
    <w:unhideWhenUsed/>
    <w:qFormat/>
    <w:rsid w:val="00397A3C"/>
    <w:pPr>
      <w:keepNext/>
      <w:keepLines/>
      <w:spacing w:before="40" w:line="259" w:lineRule="auto"/>
      <w:jc w:val="left"/>
      <w:outlineLvl w:val="2"/>
    </w:pPr>
    <w:rPr>
      <w:rFonts w:asciiTheme="majorHAnsi" w:eastAsiaTheme="majorEastAsia" w:hAnsiTheme="majorHAnsi" w:cstheme="majorBidi"/>
      <w:noProof w:val="0"/>
      <w:color w:val="1F4D78" w:themeColor="accent1" w:themeShade="7F"/>
      <w:szCs w:val="24"/>
      <w:lang w:val="ru-RU" w:eastAsia="en-US"/>
    </w:rPr>
  </w:style>
  <w:style w:type="paragraph" w:styleId="4">
    <w:name w:val="heading 4"/>
    <w:basedOn w:val="a0"/>
    <w:next w:val="a0"/>
    <w:link w:val="40"/>
    <w:uiPriority w:val="9"/>
    <w:semiHidden/>
    <w:unhideWhenUsed/>
    <w:qFormat/>
    <w:rsid w:val="00397A3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semiHidden/>
    <w:unhideWhenUsed/>
    <w:qFormat/>
    <w:rsid w:val="00397A3C"/>
    <w:pPr>
      <w:keepNext/>
      <w:keepLines/>
      <w:spacing w:before="40"/>
      <w:outlineLvl w:val="4"/>
    </w:pPr>
    <w:rPr>
      <w:rFonts w:asciiTheme="majorHAnsi" w:eastAsiaTheme="majorEastAsia" w:hAnsiTheme="majorHAnsi" w:cstheme="majorBidi"/>
      <w:color w:val="2E74B5"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397A3C"/>
    <w:rPr>
      <w:rFonts w:asciiTheme="majorHAnsi" w:eastAsiaTheme="majorEastAsia" w:hAnsiTheme="majorHAnsi" w:cstheme="majorBidi"/>
      <w:noProof/>
      <w:color w:val="2E74B5" w:themeColor="accent1" w:themeShade="BF"/>
      <w:sz w:val="32"/>
      <w:szCs w:val="32"/>
      <w:lang w:val="en-US" w:eastAsia="zh-CN"/>
    </w:rPr>
  </w:style>
  <w:style w:type="character" w:customStyle="1" w:styleId="20">
    <w:name w:val="Заголовок 2 Знак"/>
    <w:basedOn w:val="a1"/>
    <w:link w:val="2"/>
    <w:uiPriority w:val="9"/>
    <w:semiHidden/>
    <w:rsid w:val="00397A3C"/>
    <w:rPr>
      <w:rFonts w:asciiTheme="majorHAnsi" w:eastAsiaTheme="majorEastAsia" w:hAnsiTheme="majorHAnsi" w:cstheme="majorBidi"/>
      <w:noProof/>
      <w:color w:val="2E74B5" w:themeColor="accent1" w:themeShade="BF"/>
      <w:sz w:val="26"/>
      <w:szCs w:val="26"/>
      <w:lang w:val="en-US" w:eastAsia="zh-CN"/>
    </w:rPr>
  </w:style>
  <w:style w:type="paragraph" w:customStyle="1" w:styleId="MDPI13authornames">
    <w:name w:val="MDPI_1.3_authornames"/>
    <w:next w:val="a0"/>
    <w:qFormat/>
    <w:rsid w:val="004B461B"/>
    <w:pPr>
      <w:adjustRightInd w:val="0"/>
      <w:snapToGrid w:val="0"/>
      <w:spacing w:after="360" w:line="260" w:lineRule="atLeast"/>
    </w:pPr>
    <w:rPr>
      <w:rFonts w:ascii="Palatino Linotype" w:eastAsia="Times New Roman" w:hAnsi="Palatino Linotype" w:cs="Times New Roman"/>
      <w:b/>
      <w:color w:val="000000"/>
      <w:sz w:val="20"/>
      <w:lang w:val="en-US" w:eastAsia="de-DE" w:bidi="en-US"/>
    </w:rPr>
  </w:style>
  <w:style w:type="character" w:styleId="a4">
    <w:name w:val="line number"/>
    <w:basedOn w:val="a1"/>
    <w:uiPriority w:val="99"/>
    <w:unhideWhenUsed/>
    <w:rsid w:val="004B461B"/>
  </w:style>
  <w:style w:type="paragraph" w:customStyle="1" w:styleId="MDPI16affiliation">
    <w:name w:val="MDPI_1.6_affiliation"/>
    <w:qFormat/>
    <w:rsid w:val="00BB2249"/>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customStyle="1" w:styleId="MDPI17abstract">
    <w:name w:val="MDPI_1.7_abstract"/>
    <w:next w:val="a0"/>
    <w:qFormat/>
    <w:rsid w:val="00BB2249"/>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 w:type="paragraph" w:customStyle="1" w:styleId="MDPI31text">
    <w:name w:val="MDPI_3.1_text"/>
    <w:link w:val="MDPI31text0"/>
    <w:qFormat/>
    <w:rsid w:val="00BB2249"/>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character" w:customStyle="1" w:styleId="MDPI31text0">
    <w:name w:val="MDPI_3.1_text Знак"/>
    <w:basedOn w:val="a1"/>
    <w:link w:val="MDPI31text"/>
    <w:qFormat/>
    <w:rsid w:val="00BB2249"/>
    <w:rPr>
      <w:rFonts w:ascii="Palatino Linotype" w:eastAsia="Times New Roman" w:hAnsi="Palatino Linotype" w:cs="Times New Roman"/>
      <w:snapToGrid w:val="0"/>
      <w:color w:val="000000"/>
      <w:sz w:val="20"/>
      <w:lang w:val="en-US" w:eastAsia="de-DE" w:bidi="en-US"/>
    </w:rPr>
  </w:style>
  <w:style w:type="character" w:styleId="a5">
    <w:name w:val="annotation reference"/>
    <w:basedOn w:val="a1"/>
    <w:uiPriority w:val="99"/>
    <w:unhideWhenUsed/>
    <w:qFormat/>
    <w:rsid w:val="00BB2249"/>
    <w:rPr>
      <w:sz w:val="16"/>
      <w:szCs w:val="16"/>
    </w:rPr>
  </w:style>
  <w:style w:type="paragraph" w:styleId="a6">
    <w:name w:val="annotation text"/>
    <w:basedOn w:val="a0"/>
    <w:link w:val="a7"/>
    <w:uiPriority w:val="99"/>
    <w:unhideWhenUsed/>
    <w:qFormat/>
    <w:rsid w:val="00BB2249"/>
    <w:pPr>
      <w:spacing w:line="240" w:lineRule="auto"/>
    </w:pPr>
    <w:rPr>
      <w:sz w:val="20"/>
    </w:rPr>
  </w:style>
  <w:style w:type="character" w:customStyle="1" w:styleId="a7">
    <w:name w:val="Текст примечания Знак"/>
    <w:basedOn w:val="a1"/>
    <w:link w:val="a6"/>
    <w:uiPriority w:val="99"/>
    <w:qFormat/>
    <w:rsid w:val="00BB2249"/>
    <w:rPr>
      <w:rFonts w:ascii="Times New Roman" w:eastAsia="Times New Roman" w:hAnsi="Times New Roman" w:cs="Times New Roman"/>
      <w:noProof/>
      <w:color w:val="000000"/>
      <w:sz w:val="20"/>
      <w:szCs w:val="20"/>
      <w:lang w:val="en-US" w:eastAsia="zh-CN"/>
    </w:rPr>
  </w:style>
  <w:style w:type="paragraph" w:styleId="a8">
    <w:name w:val="annotation subject"/>
    <w:basedOn w:val="a6"/>
    <w:next w:val="a6"/>
    <w:link w:val="a9"/>
    <w:unhideWhenUsed/>
    <w:qFormat/>
    <w:rsid w:val="00BB2249"/>
    <w:rPr>
      <w:b/>
      <w:bCs/>
    </w:rPr>
  </w:style>
  <w:style w:type="character" w:customStyle="1" w:styleId="a9">
    <w:name w:val="Тема примечания Знак"/>
    <w:basedOn w:val="a7"/>
    <w:link w:val="a8"/>
    <w:qFormat/>
    <w:rsid w:val="00BB2249"/>
    <w:rPr>
      <w:rFonts w:ascii="Times New Roman" w:eastAsia="Times New Roman" w:hAnsi="Times New Roman" w:cs="Times New Roman"/>
      <w:b/>
      <w:bCs/>
      <w:noProof/>
      <w:color w:val="000000"/>
      <w:sz w:val="20"/>
      <w:szCs w:val="20"/>
      <w:lang w:val="en-US" w:eastAsia="zh-CN"/>
    </w:rPr>
  </w:style>
  <w:style w:type="paragraph" w:styleId="aa">
    <w:name w:val="Balloon Text"/>
    <w:basedOn w:val="a0"/>
    <w:link w:val="ab"/>
    <w:uiPriority w:val="99"/>
    <w:unhideWhenUsed/>
    <w:qFormat/>
    <w:rsid w:val="00BB2249"/>
    <w:pPr>
      <w:spacing w:line="240" w:lineRule="auto"/>
    </w:pPr>
    <w:rPr>
      <w:rFonts w:ascii="Segoe UI" w:hAnsi="Segoe UI" w:cs="Segoe UI"/>
      <w:sz w:val="18"/>
      <w:szCs w:val="18"/>
    </w:rPr>
  </w:style>
  <w:style w:type="character" w:customStyle="1" w:styleId="ab">
    <w:name w:val="Текст выноски Знак"/>
    <w:basedOn w:val="a1"/>
    <w:link w:val="aa"/>
    <w:uiPriority w:val="99"/>
    <w:qFormat/>
    <w:rsid w:val="00BB2249"/>
    <w:rPr>
      <w:rFonts w:ascii="Segoe UI" w:eastAsia="Times New Roman" w:hAnsi="Segoe UI" w:cs="Segoe UI"/>
      <w:noProof/>
      <w:color w:val="000000"/>
      <w:sz w:val="18"/>
      <w:szCs w:val="18"/>
      <w:lang w:val="en-US" w:eastAsia="zh-CN"/>
    </w:rPr>
  </w:style>
  <w:style w:type="character" w:customStyle="1" w:styleId="30">
    <w:name w:val="Заголовок 3 Знак"/>
    <w:basedOn w:val="a1"/>
    <w:link w:val="3"/>
    <w:uiPriority w:val="9"/>
    <w:semiHidden/>
    <w:rsid w:val="00397A3C"/>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1"/>
    <w:link w:val="4"/>
    <w:uiPriority w:val="9"/>
    <w:semiHidden/>
    <w:rsid w:val="00397A3C"/>
    <w:rPr>
      <w:rFonts w:asciiTheme="majorHAnsi" w:eastAsiaTheme="majorEastAsia" w:hAnsiTheme="majorHAnsi" w:cstheme="majorBidi"/>
      <w:i/>
      <w:iCs/>
      <w:noProof/>
      <w:color w:val="2E74B5" w:themeColor="accent1" w:themeShade="BF"/>
      <w:sz w:val="24"/>
      <w:szCs w:val="20"/>
      <w:lang w:val="en-US" w:eastAsia="zh-CN"/>
    </w:rPr>
  </w:style>
  <w:style w:type="character" w:customStyle="1" w:styleId="50">
    <w:name w:val="Заголовок 5 Знак"/>
    <w:basedOn w:val="a1"/>
    <w:link w:val="5"/>
    <w:uiPriority w:val="9"/>
    <w:semiHidden/>
    <w:rsid w:val="00397A3C"/>
    <w:rPr>
      <w:rFonts w:asciiTheme="majorHAnsi" w:eastAsiaTheme="majorEastAsia" w:hAnsiTheme="majorHAnsi" w:cstheme="majorBidi"/>
      <w:noProof/>
      <w:color w:val="2E74B5" w:themeColor="accent1" w:themeShade="BF"/>
      <w:sz w:val="24"/>
      <w:szCs w:val="20"/>
      <w:lang w:val="en-US" w:eastAsia="zh-CN"/>
    </w:rPr>
  </w:style>
  <w:style w:type="paragraph" w:customStyle="1" w:styleId="MDPI11articletype">
    <w:name w:val="MDPI_1.1_article_type"/>
    <w:next w:val="a0"/>
    <w:qFormat/>
    <w:rsid w:val="00397A3C"/>
    <w:pPr>
      <w:adjustRightInd w:val="0"/>
      <w:snapToGrid w:val="0"/>
      <w:spacing w:before="240" w:after="0" w:line="240" w:lineRule="auto"/>
    </w:pPr>
    <w:rPr>
      <w:rFonts w:ascii="Palatino Linotype" w:eastAsia="Times New Roman" w:hAnsi="Palatino Linotype" w:cs="Times New Roman"/>
      <w:i/>
      <w:snapToGrid w:val="0"/>
      <w:color w:val="000000"/>
      <w:sz w:val="20"/>
      <w:lang w:val="en-US" w:eastAsia="de-DE" w:bidi="en-US"/>
    </w:rPr>
  </w:style>
  <w:style w:type="paragraph" w:customStyle="1" w:styleId="MDPI12title">
    <w:name w:val="MDPI_1.2_title"/>
    <w:next w:val="a0"/>
    <w:qFormat/>
    <w:rsid w:val="00397A3C"/>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4history">
    <w:name w:val="MDPI_1.4_history"/>
    <w:basedOn w:val="a0"/>
    <w:next w:val="a0"/>
    <w:qFormat/>
    <w:rsid w:val="00397A3C"/>
    <w:pPr>
      <w:adjustRightInd w:val="0"/>
      <w:snapToGrid w:val="0"/>
      <w:spacing w:line="240" w:lineRule="atLeast"/>
      <w:ind w:right="113"/>
      <w:jc w:val="left"/>
    </w:pPr>
    <w:rPr>
      <w:noProof w:val="0"/>
      <w:sz w:val="14"/>
      <w:lang w:eastAsia="de-DE" w:bidi="en-US"/>
    </w:rPr>
  </w:style>
  <w:style w:type="paragraph" w:customStyle="1" w:styleId="MDPI18keywords">
    <w:name w:val="MDPI_1.8_keywords"/>
    <w:next w:val="a0"/>
    <w:qFormat/>
    <w:rsid w:val="00397A3C"/>
    <w:pPr>
      <w:adjustRightInd w:val="0"/>
      <w:snapToGrid w:val="0"/>
      <w:spacing w:before="240" w:after="0" w:line="260" w:lineRule="atLeast"/>
      <w:ind w:left="2608"/>
      <w:jc w:val="both"/>
    </w:pPr>
    <w:rPr>
      <w:rFonts w:ascii="Palatino Linotype" w:eastAsia="Times New Roman" w:hAnsi="Palatino Linotype" w:cs="Times New Roman"/>
      <w:snapToGrid w:val="0"/>
      <w:color w:val="000000"/>
      <w:sz w:val="18"/>
      <w:lang w:val="en-US" w:eastAsia="de-DE" w:bidi="en-US"/>
    </w:rPr>
  </w:style>
  <w:style w:type="paragraph" w:customStyle="1" w:styleId="MDPI19line">
    <w:name w:val="MDPI_1.9_line"/>
    <w:qFormat/>
    <w:rsid w:val="00397A3C"/>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 w:val="20"/>
      <w:szCs w:val="24"/>
      <w:lang w:val="en-US" w:eastAsia="de-DE" w:bidi="en-US"/>
    </w:rPr>
  </w:style>
  <w:style w:type="table" w:styleId="ac">
    <w:name w:val="Table Grid"/>
    <w:aliases w:val="Сетка_таблицы"/>
    <w:basedOn w:val="a2"/>
    <w:uiPriority w:val="59"/>
    <w:qFormat/>
    <w:rsid w:val="00397A3C"/>
    <w:pPr>
      <w:spacing w:after="0" w:line="260" w:lineRule="atLeast"/>
      <w:jc w:val="both"/>
    </w:pPr>
    <w:rPr>
      <w:rFonts w:ascii="Palatino Linotype" w:eastAsia="SimSun" w:hAnsi="Palatino Linotype" w:cs="Times New Roman"/>
      <w:color w:val="00000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er"/>
    <w:basedOn w:val="a0"/>
    <w:link w:val="ae"/>
    <w:uiPriority w:val="99"/>
    <w:rsid w:val="00397A3C"/>
    <w:pPr>
      <w:tabs>
        <w:tab w:val="center" w:pos="4153"/>
        <w:tab w:val="right" w:pos="8306"/>
      </w:tabs>
      <w:snapToGrid w:val="0"/>
      <w:spacing w:line="240" w:lineRule="atLeast"/>
    </w:pPr>
    <w:rPr>
      <w:szCs w:val="18"/>
    </w:rPr>
  </w:style>
  <w:style w:type="character" w:customStyle="1" w:styleId="ae">
    <w:name w:val="Нижний колонтитул Знак"/>
    <w:basedOn w:val="a1"/>
    <w:link w:val="ad"/>
    <w:uiPriority w:val="99"/>
    <w:rsid w:val="00397A3C"/>
    <w:rPr>
      <w:rFonts w:ascii="Times New Roman" w:eastAsia="Times New Roman" w:hAnsi="Times New Roman" w:cs="Times New Roman"/>
      <w:noProof/>
      <w:color w:val="000000"/>
      <w:sz w:val="24"/>
      <w:szCs w:val="18"/>
      <w:lang w:val="en-US" w:eastAsia="zh-CN"/>
    </w:rPr>
  </w:style>
  <w:style w:type="paragraph" w:styleId="af">
    <w:name w:val="header"/>
    <w:basedOn w:val="a0"/>
    <w:link w:val="af0"/>
    <w:rsid w:val="00397A3C"/>
    <w:pPr>
      <w:pBdr>
        <w:bottom w:val="single" w:sz="6" w:space="1" w:color="auto"/>
      </w:pBdr>
      <w:tabs>
        <w:tab w:val="center" w:pos="4153"/>
        <w:tab w:val="right" w:pos="8306"/>
      </w:tabs>
      <w:snapToGrid w:val="0"/>
      <w:spacing w:line="240" w:lineRule="atLeast"/>
      <w:jc w:val="center"/>
    </w:pPr>
    <w:rPr>
      <w:szCs w:val="18"/>
    </w:rPr>
  </w:style>
  <w:style w:type="character" w:customStyle="1" w:styleId="af0">
    <w:name w:val="Верхний колонтитул Знак"/>
    <w:basedOn w:val="a1"/>
    <w:link w:val="af"/>
    <w:rsid w:val="00397A3C"/>
    <w:rPr>
      <w:rFonts w:ascii="Times New Roman" w:eastAsia="Times New Roman" w:hAnsi="Times New Roman" w:cs="Times New Roman"/>
      <w:noProof/>
      <w:color w:val="000000"/>
      <w:sz w:val="24"/>
      <w:szCs w:val="18"/>
      <w:lang w:val="en-US" w:eastAsia="zh-CN"/>
    </w:rPr>
  </w:style>
  <w:style w:type="paragraph" w:customStyle="1" w:styleId="MDPIheaderjournallogo">
    <w:name w:val="MDPI_header_journal_logo"/>
    <w:qFormat/>
    <w:rsid w:val="00397A3C"/>
    <w:pPr>
      <w:adjustRightInd w:val="0"/>
      <w:snapToGrid w:val="0"/>
      <w:spacing w:after="0" w:line="260" w:lineRule="atLeast"/>
      <w:jc w:val="both"/>
    </w:pPr>
    <w:rPr>
      <w:rFonts w:ascii="Palatino Linotype" w:eastAsia="Times New Roman" w:hAnsi="Palatino Linotype" w:cs="Times New Roman"/>
      <w:i/>
      <w:color w:val="000000"/>
      <w:sz w:val="24"/>
      <w:lang w:val="en-US" w:eastAsia="de-CH"/>
    </w:rPr>
  </w:style>
  <w:style w:type="paragraph" w:customStyle="1" w:styleId="MDPI32textnoindent">
    <w:name w:val="MDPI_3.2_text_no_indent"/>
    <w:basedOn w:val="MDPI31text"/>
    <w:qFormat/>
    <w:rsid w:val="00397A3C"/>
    <w:pPr>
      <w:ind w:firstLine="0"/>
    </w:pPr>
  </w:style>
  <w:style w:type="paragraph" w:customStyle="1" w:styleId="MDPI33textspaceafter">
    <w:name w:val="MDPI_3.3_text_space_after"/>
    <w:qFormat/>
    <w:rsid w:val="00397A3C"/>
    <w:pPr>
      <w:adjustRightInd w:val="0"/>
      <w:snapToGrid w:val="0"/>
      <w:spacing w:after="24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5textbeforelist">
    <w:name w:val="MDPI_3.5_text_before_list"/>
    <w:qFormat/>
    <w:rsid w:val="00397A3C"/>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6textafterlist">
    <w:name w:val="MDPI_3.6_text_after_list"/>
    <w:qFormat/>
    <w:rsid w:val="00397A3C"/>
    <w:pPr>
      <w:adjustRightInd w:val="0"/>
      <w:snapToGrid w:val="0"/>
      <w:spacing w:before="12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7itemize">
    <w:name w:val="MDPI_3.7_itemize"/>
    <w:qFormat/>
    <w:rsid w:val="00397A3C"/>
    <w:pPr>
      <w:numPr>
        <w:numId w:val="10"/>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8bullet">
    <w:name w:val="MDPI_3.8_bullet"/>
    <w:qFormat/>
    <w:rsid w:val="00397A3C"/>
    <w:pPr>
      <w:numPr>
        <w:numId w:val="13"/>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9equation">
    <w:name w:val="MDPI_3.9_equation"/>
    <w:qFormat/>
    <w:rsid w:val="00397A3C"/>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 w:val="20"/>
      <w:lang w:val="en-US" w:eastAsia="de-DE" w:bidi="en-US"/>
    </w:rPr>
  </w:style>
  <w:style w:type="paragraph" w:customStyle="1" w:styleId="MDPI3aequationnumber">
    <w:name w:val="MDPI_3.a_equation_number"/>
    <w:qFormat/>
    <w:rsid w:val="00397A3C"/>
    <w:pPr>
      <w:spacing w:before="120" w:after="120" w:line="240" w:lineRule="auto"/>
      <w:jc w:val="right"/>
    </w:pPr>
    <w:rPr>
      <w:rFonts w:ascii="Palatino Linotype" w:eastAsia="Times New Roman" w:hAnsi="Palatino Linotype" w:cs="Times New Roman"/>
      <w:snapToGrid w:val="0"/>
      <w:color w:val="000000"/>
      <w:sz w:val="20"/>
      <w:lang w:val="en-US" w:eastAsia="de-DE" w:bidi="en-US"/>
    </w:rPr>
  </w:style>
  <w:style w:type="paragraph" w:customStyle="1" w:styleId="MDPI41tablecaption">
    <w:name w:val="MDPI_4.1_table_caption"/>
    <w:qFormat/>
    <w:rsid w:val="00397A3C"/>
    <w:pPr>
      <w:adjustRightInd w:val="0"/>
      <w:snapToGrid w:val="0"/>
      <w:spacing w:before="240" w:after="12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42tablebody">
    <w:name w:val="MDPI_4.2_table_body"/>
    <w:qFormat/>
    <w:rsid w:val="00397A3C"/>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next w:val="MDPI31text"/>
    <w:qFormat/>
    <w:rsid w:val="00397A3C"/>
    <w:pPr>
      <w:adjustRightInd w:val="0"/>
      <w:snapToGrid w:val="0"/>
      <w:spacing w:after="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51figurecaption">
    <w:name w:val="MDPI_5.1_figure_caption"/>
    <w:qFormat/>
    <w:rsid w:val="00397A3C"/>
    <w:pPr>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val="en-US" w:eastAsia="de-DE" w:bidi="en-US"/>
    </w:rPr>
  </w:style>
  <w:style w:type="paragraph" w:customStyle="1" w:styleId="MDPI52figure">
    <w:name w:val="MDPI_5.2_figure"/>
    <w:qFormat/>
    <w:rsid w:val="00397A3C"/>
    <w:pPr>
      <w:adjustRightInd w:val="0"/>
      <w:snapToGrid w:val="0"/>
      <w:spacing w:before="240" w:after="120" w:line="240" w:lineRule="auto"/>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23heading3">
    <w:name w:val="MDPI_2.3_heading3"/>
    <w:qFormat/>
    <w:rsid w:val="00397A3C"/>
    <w:pPr>
      <w:adjustRightInd w:val="0"/>
      <w:snapToGrid w:val="0"/>
      <w:spacing w:before="60" w:after="60" w:line="228" w:lineRule="auto"/>
      <w:ind w:left="2608"/>
      <w:outlineLvl w:val="2"/>
    </w:pPr>
    <w:rPr>
      <w:rFonts w:ascii="Palatino Linotype" w:eastAsia="Times New Roman" w:hAnsi="Palatino Linotype" w:cs="Times New Roman"/>
      <w:snapToGrid w:val="0"/>
      <w:color w:val="000000"/>
      <w:sz w:val="20"/>
      <w:lang w:val="en-US" w:eastAsia="de-DE" w:bidi="en-US"/>
    </w:rPr>
  </w:style>
  <w:style w:type="paragraph" w:customStyle="1" w:styleId="MDPI21heading1">
    <w:name w:val="MDPI_2.1_heading1"/>
    <w:qFormat/>
    <w:rsid w:val="00397A3C"/>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val="en-US" w:eastAsia="de-DE" w:bidi="en-US"/>
    </w:rPr>
  </w:style>
  <w:style w:type="paragraph" w:customStyle="1" w:styleId="MDPI22heading2">
    <w:name w:val="MDPI_2.2_heading2"/>
    <w:qFormat/>
    <w:rsid w:val="00397A3C"/>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val="en-US" w:eastAsia="de-DE" w:bidi="en-US"/>
    </w:rPr>
  </w:style>
  <w:style w:type="paragraph" w:customStyle="1" w:styleId="MDPI71References">
    <w:name w:val="MDPI_7.1_References"/>
    <w:qFormat/>
    <w:rsid w:val="00397A3C"/>
    <w:pPr>
      <w:numPr>
        <w:numId w:val="12"/>
      </w:numPr>
      <w:adjustRightInd w:val="0"/>
      <w:snapToGrid w:val="0"/>
      <w:spacing w:after="0" w:line="228" w:lineRule="auto"/>
      <w:jc w:val="both"/>
    </w:pPr>
    <w:rPr>
      <w:rFonts w:ascii="Palatino Linotype" w:eastAsia="Times New Roman" w:hAnsi="Palatino Linotype" w:cs="Times New Roman"/>
      <w:color w:val="000000"/>
      <w:sz w:val="18"/>
      <w:szCs w:val="20"/>
      <w:lang w:val="en-US" w:eastAsia="de-DE" w:bidi="en-US"/>
    </w:rPr>
  </w:style>
  <w:style w:type="character" w:styleId="af1">
    <w:name w:val="Hyperlink"/>
    <w:uiPriority w:val="99"/>
    <w:qFormat/>
    <w:rsid w:val="00397A3C"/>
    <w:rPr>
      <w:color w:val="0000FF"/>
      <w:u w:val="single"/>
    </w:rPr>
  </w:style>
  <w:style w:type="paragraph" w:customStyle="1" w:styleId="MDPI34textspacebefore">
    <w:name w:val="MDPI_3.4_text_space_before"/>
    <w:qFormat/>
    <w:rsid w:val="00397A3C"/>
    <w:pPr>
      <w:adjustRightInd w:val="0"/>
      <w:snapToGrid w:val="0"/>
      <w:spacing w:before="24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81theorem">
    <w:name w:val="MDPI_8.1_theorem"/>
    <w:qFormat/>
    <w:rsid w:val="00397A3C"/>
    <w:pPr>
      <w:adjustRightInd w:val="0"/>
      <w:snapToGrid w:val="0"/>
      <w:spacing w:after="0" w:line="228" w:lineRule="auto"/>
      <w:ind w:left="2608"/>
      <w:jc w:val="both"/>
    </w:pPr>
    <w:rPr>
      <w:rFonts w:ascii="Palatino Linotype" w:eastAsia="Times New Roman" w:hAnsi="Palatino Linotype" w:cs="Times New Roman"/>
      <w:i/>
      <w:snapToGrid w:val="0"/>
      <w:color w:val="000000"/>
      <w:sz w:val="20"/>
      <w:lang w:val="en-US" w:eastAsia="de-DE" w:bidi="en-US"/>
    </w:rPr>
  </w:style>
  <w:style w:type="paragraph" w:customStyle="1" w:styleId="MDPI82proof">
    <w:name w:val="MDPI_8.2_proof"/>
    <w:qFormat/>
    <w:rsid w:val="00397A3C"/>
    <w:pPr>
      <w:adjustRightInd w:val="0"/>
      <w:snapToGrid w:val="0"/>
      <w:spacing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61Citation">
    <w:name w:val="MDPI_6.1_Citation"/>
    <w:qFormat/>
    <w:rsid w:val="00397A3C"/>
    <w:pPr>
      <w:adjustRightInd w:val="0"/>
      <w:snapToGrid w:val="0"/>
      <w:spacing w:after="0" w:line="240" w:lineRule="atLeast"/>
      <w:ind w:right="113"/>
    </w:pPr>
    <w:rPr>
      <w:rFonts w:ascii="Palatino Linotype" w:eastAsia="SimSun" w:hAnsi="Palatino Linotype" w:cs="Cordia New"/>
      <w:sz w:val="14"/>
      <w:lang w:val="en-US" w:eastAsia="zh-CN"/>
    </w:rPr>
  </w:style>
  <w:style w:type="paragraph" w:customStyle="1" w:styleId="MDPI62BackMatter">
    <w:name w:val="MDPI_6.2_BackMatter"/>
    <w:qFormat/>
    <w:rsid w:val="00397A3C"/>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val="en-US" w:bidi="en-US"/>
    </w:rPr>
  </w:style>
  <w:style w:type="paragraph" w:customStyle="1" w:styleId="MDPI63Notes">
    <w:name w:val="MDPI_6.3_Notes"/>
    <w:qFormat/>
    <w:rsid w:val="00397A3C"/>
    <w:pPr>
      <w:adjustRightInd w:val="0"/>
      <w:snapToGrid w:val="0"/>
      <w:spacing w:before="240" w:after="0" w:line="228" w:lineRule="auto"/>
      <w:jc w:val="both"/>
    </w:pPr>
    <w:rPr>
      <w:rFonts w:ascii="Palatino Linotype" w:eastAsia="SimSun" w:hAnsi="Palatino Linotype" w:cs="Times New Roman"/>
      <w:snapToGrid w:val="0"/>
      <w:color w:val="000000"/>
      <w:sz w:val="18"/>
      <w:szCs w:val="20"/>
      <w:lang w:val="en-US" w:bidi="en-US"/>
    </w:rPr>
  </w:style>
  <w:style w:type="paragraph" w:customStyle="1" w:styleId="MDPI15academiceditor">
    <w:name w:val="MDPI_1.5_academic_editor"/>
    <w:qFormat/>
    <w:rsid w:val="00397A3C"/>
    <w:pPr>
      <w:adjustRightInd w:val="0"/>
      <w:snapToGrid w:val="0"/>
      <w:spacing w:before="120" w:after="0" w:line="240" w:lineRule="atLeast"/>
      <w:ind w:right="113"/>
    </w:pPr>
    <w:rPr>
      <w:rFonts w:ascii="Palatino Linotype" w:eastAsia="Times New Roman" w:hAnsi="Palatino Linotype" w:cs="Times New Roman"/>
      <w:color w:val="000000"/>
      <w:sz w:val="14"/>
      <w:lang w:val="en-US" w:eastAsia="de-DE" w:bidi="en-US"/>
    </w:rPr>
  </w:style>
  <w:style w:type="paragraph" w:customStyle="1" w:styleId="MDPI19classification">
    <w:name w:val="MDPI_1.9_classification"/>
    <w:qFormat/>
    <w:rsid w:val="00397A3C"/>
    <w:pPr>
      <w:spacing w:before="240" w:after="0" w:line="260" w:lineRule="atLeast"/>
      <w:ind w:left="113"/>
      <w:jc w:val="both"/>
    </w:pPr>
    <w:rPr>
      <w:rFonts w:ascii="Palatino Linotype" w:eastAsia="Times New Roman" w:hAnsi="Palatino Linotype" w:cs="Times New Roman"/>
      <w:b/>
      <w:color w:val="000000"/>
      <w:sz w:val="20"/>
      <w:lang w:val="en-US" w:eastAsia="de-DE" w:bidi="en-US"/>
    </w:rPr>
  </w:style>
  <w:style w:type="paragraph" w:customStyle="1" w:styleId="MDPI411onetablecaption">
    <w:name w:val="MDPI_4.1.1_one_table_caption"/>
    <w:qFormat/>
    <w:rsid w:val="00397A3C"/>
    <w:pPr>
      <w:adjustRightInd w:val="0"/>
      <w:snapToGrid w:val="0"/>
      <w:spacing w:before="240" w:after="120" w:line="260" w:lineRule="atLeast"/>
      <w:jc w:val="center"/>
    </w:pPr>
    <w:rPr>
      <w:rFonts w:ascii="Palatino Linotype" w:eastAsia="SimSun" w:hAnsi="Palatino Linotype" w:cs="Cordia New"/>
      <w:noProof/>
      <w:color w:val="000000"/>
      <w:sz w:val="18"/>
      <w:lang w:val="en-US" w:eastAsia="zh-CN" w:bidi="en-US"/>
    </w:rPr>
  </w:style>
  <w:style w:type="paragraph" w:customStyle="1" w:styleId="MDPI511onefigurecaption">
    <w:name w:val="MDPI_5.1.1_one_figure_caption"/>
    <w:qFormat/>
    <w:rsid w:val="00397A3C"/>
    <w:pPr>
      <w:adjustRightInd w:val="0"/>
      <w:snapToGrid w:val="0"/>
      <w:spacing w:before="240" w:after="120" w:line="260" w:lineRule="atLeast"/>
      <w:jc w:val="center"/>
    </w:pPr>
    <w:rPr>
      <w:rFonts w:ascii="Palatino Linotype" w:eastAsia="SimSun" w:hAnsi="Palatino Linotype" w:cs="Times New Roman"/>
      <w:noProof/>
      <w:color w:val="000000"/>
      <w:sz w:val="18"/>
      <w:szCs w:val="20"/>
      <w:lang w:val="en-US" w:eastAsia="zh-CN" w:bidi="en-US"/>
    </w:rPr>
  </w:style>
  <w:style w:type="paragraph" w:customStyle="1" w:styleId="MDPI72Copyright">
    <w:name w:val="MDPI_7.2_Copyright"/>
    <w:qFormat/>
    <w:rsid w:val="00397A3C"/>
    <w:pPr>
      <w:adjustRightInd w:val="0"/>
      <w:snapToGrid w:val="0"/>
      <w:spacing w:before="60" w:after="0" w:line="240" w:lineRule="atLeast"/>
      <w:ind w:right="113"/>
      <w:jc w:val="both"/>
    </w:pPr>
    <w:rPr>
      <w:rFonts w:ascii="Palatino Linotype" w:eastAsia="Times New Roman" w:hAnsi="Palatino Linotype" w:cs="Times New Roman"/>
      <w:noProof/>
      <w:snapToGrid w:val="0"/>
      <w:color w:val="000000"/>
      <w:sz w:val="14"/>
      <w:szCs w:val="20"/>
      <w:lang w:val="en-GB" w:eastAsia="en-GB"/>
    </w:rPr>
  </w:style>
  <w:style w:type="paragraph" w:customStyle="1" w:styleId="MDPI73CopyrightImage">
    <w:name w:val="MDPI_7.3_CopyrightImage"/>
    <w:rsid w:val="00397A3C"/>
    <w:pPr>
      <w:adjustRightInd w:val="0"/>
      <w:snapToGrid w:val="0"/>
      <w:spacing w:after="100" w:line="260" w:lineRule="atLeast"/>
      <w:jc w:val="right"/>
    </w:pPr>
    <w:rPr>
      <w:rFonts w:ascii="Palatino Linotype" w:eastAsia="Times New Roman" w:hAnsi="Palatino Linotype" w:cs="Times New Roman"/>
      <w:color w:val="000000"/>
      <w:sz w:val="20"/>
      <w:szCs w:val="20"/>
      <w:lang w:val="en-US" w:eastAsia="de-CH"/>
    </w:rPr>
  </w:style>
  <w:style w:type="paragraph" w:customStyle="1" w:styleId="MDPIequationFram">
    <w:name w:val="MDPI_equationFram"/>
    <w:qFormat/>
    <w:rsid w:val="00397A3C"/>
    <w:pPr>
      <w:adjustRightInd w:val="0"/>
      <w:snapToGrid w:val="0"/>
      <w:spacing w:before="120" w:after="120" w:line="240" w:lineRule="auto"/>
      <w:jc w:val="center"/>
    </w:pPr>
    <w:rPr>
      <w:rFonts w:ascii="Palatino Linotype" w:eastAsia="Times New Roman" w:hAnsi="Palatino Linotype" w:cs="Times New Roman"/>
      <w:snapToGrid w:val="0"/>
      <w:color w:val="000000"/>
      <w:sz w:val="20"/>
      <w:lang w:val="en-US" w:eastAsia="de-DE" w:bidi="en-US"/>
    </w:rPr>
  </w:style>
  <w:style w:type="paragraph" w:customStyle="1" w:styleId="MDPIfooter">
    <w:name w:val="MDPI_footer"/>
    <w:qFormat/>
    <w:rsid w:val="00397A3C"/>
    <w:pPr>
      <w:adjustRightInd w:val="0"/>
      <w:snapToGrid w:val="0"/>
      <w:spacing w:before="120" w:after="0" w:line="260" w:lineRule="atLeast"/>
      <w:jc w:val="center"/>
    </w:pPr>
    <w:rPr>
      <w:rFonts w:ascii="Palatino Linotype" w:eastAsia="Times New Roman" w:hAnsi="Palatino Linotype" w:cs="Times New Roman"/>
      <w:color w:val="000000"/>
      <w:sz w:val="20"/>
      <w:szCs w:val="20"/>
      <w:lang w:val="en-US" w:eastAsia="de-DE"/>
    </w:rPr>
  </w:style>
  <w:style w:type="paragraph" w:customStyle="1" w:styleId="MDPIfooterfirstpage">
    <w:name w:val="MDPI_footer_firstpage"/>
    <w:qFormat/>
    <w:rsid w:val="00397A3C"/>
    <w:pPr>
      <w:tabs>
        <w:tab w:val="right" w:pos="8845"/>
      </w:tabs>
      <w:spacing w:after="0" w:line="160" w:lineRule="exact"/>
    </w:pPr>
    <w:rPr>
      <w:rFonts w:ascii="Palatino Linotype" w:eastAsia="Times New Roman" w:hAnsi="Palatino Linotype" w:cs="Times New Roman"/>
      <w:color w:val="000000"/>
      <w:sz w:val="16"/>
      <w:szCs w:val="20"/>
      <w:lang w:val="en-US" w:eastAsia="de-DE"/>
    </w:rPr>
  </w:style>
  <w:style w:type="paragraph" w:customStyle="1" w:styleId="MDPIheader">
    <w:name w:val="MDPI_header"/>
    <w:qFormat/>
    <w:rsid w:val="00397A3C"/>
    <w:pPr>
      <w:adjustRightInd w:val="0"/>
      <w:snapToGrid w:val="0"/>
      <w:spacing w:after="240" w:line="260" w:lineRule="atLeast"/>
      <w:jc w:val="both"/>
    </w:pPr>
    <w:rPr>
      <w:rFonts w:ascii="Palatino Linotype" w:eastAsia="Times New Roman" w:hAnsi="Palatino Linotype" w:cs="Times New Roman"/>
      <w:iCs/>
      <w:color w:val="000000"/>
      <w:sz w:val="16"/>
      <w:szCs w:val="20"/>
      <w:lang w:val="en-US" w:eastAsia="de-DE"/>
    </w:rPr>
  </w:style>
  <w:style w:type="paragraph" w:customStyle="1" w:styleId="MDPIheadercitation">
    <w:name w:val="MDPI_header_citation"/>
    <w:rsid w:val="00397A3C"/>
    <w:pPr>
      <w:spacing w:after="240" w:line="240" w:lineRule="auto"/>
    </w:pPr>
    <w:rPr>
      <w:rFonts w:ascii="Palatino Linotype" w:eastAsia="Times New Roman" w:hAnsi="Palatino Linotype" w:cs="Times New Roman"/>
      <w:snapToGrid w:val="0"/>
      <w:color w:val="000000"/>
      <w:sz w:val="18"/>
      <w:szCs w:val="20"/>
      <w:lang w:val="en-US" w:eastAsia="de-DE" w:bidi="en-US"/>
    </w:rPr>
  </w:style>
  <w:style w:type="paragraph" w:customStyle="1" w:styleId="MDPIheadermdpilogo">
    <w:name w:val="MDPI_header_mdpi_logo"/>
    <w:qFormat/>
    <w:rsid w:val="00397A3C"/>
    <w:pPr>
      <w:adjustRightInd w:val="0"/>
      <w:snapToGrid w:val="0"/>
      <w:spacing w:after="0" w:line="260" w:lineRule="atLeast"/>
      <w:jc w:val="right"/>
    </w:pPr>
    <w:rPr>
      <w:rFonts w:ascii="Palatino Linotype" w:eastAsia="Times New Roman" w:hAnsi="Palatino Linotype" w:cs="Times New Roman"/>
      <w:color w:val="000000"/>
      <w:sz w:val="24"/>
      <w:lang w:val="en-US" w:eastAsia="de-CH"/>
    </w:rPr>
  </w:style>
  <w:style w:type="paragraph" w:customStyle="1" w:styleId="MDPItext">
    <w:name w:val="MDPI_text"/>
    <w:qFormat/>
    <w:rsid w:val="00397A3C"/>
    <w:pPr>
      <w:spacing w:after="0" w:line="260" w:lineRule="atLeast"/>
      <w:ind w:left="425" w:right="425" w:firstLine="284"/>
      <w:jc w:val="both"/>
    </w:pPr>
    <w:rPr>
      <w:rFonts w:ascii="Times New Roman" w:eastAsia="Times New Roman" w:hAnsi="Times New Roman" w:cs="Times New Roman"/>
      <w:noProof/>
      <w:snapToGrid w:val="0"/>
      <w:color w:val="000000"/>
      <w:lang w:val="en-US" w:eastAsia="de-DE" w:bidi="en-US"/>
    </w:rPr>
  </w:style>
  <w:style w:type="paragraph" w:customStyle="1" w:styleId="MDPItitle">
    <w:name w:val="MDPI_title"/>
    <w:qFormat/>
    <w:rsid w:val="00397A3C"/>
    <w:pPr>
      <w:adjustRightInd w:val="0"/>
      <w:snapToGrid w:val="0"/>
      <w:spacing w:after="240" w:line="260" w:lineRule="atLeast"/>
      <w:jc w:val="both"/>
    </w:pPr>
    <w:rPr>
      <w:rFonts w:ascii="Palatino Linotype" w:eastAsia="Times New Roman" w:hAnsi="Palatino Linotype" w:cs="Times New Roman"/>
      <w:b/>
      <w:snapToGrid w:val="0"/>
      <w:color w:val="000000"/>
      <w:sz w:val="36"/>
      <w:szCs w:val="20"/>
      <w:lang w:val="en-US" w:eastAsia="de-DE" w:bidi="en-US"/>
    </w:rPr>
  </w:style>
  <w:style w:type="character" w:customStyle="1" w:styleId="apple-converted-space">
    <w:name w:val="apple-converted-space"/>
    <w:qFormat/>
    <w:rsid w:val="00397A3C"/>
  </w:style>
  <w:style w:type="paragraph" w:styleId="af2">
    <w:name w:val="Body Text"/>
    <w:link w:val="af3"/>
    <w:rsid w:val="00397A3C"/>
    <w:pPr>
      <w:spacing w:after="120" w:line="340" w:lineRule="atLeast"/>
      <w:jc w:val="both"/>
    </w:pPr>
    <w:rPr>
      <w:rFonts w:ascii="Palatino Linotype" w:eastAsia="SimSun" w:hAnsi="Palatino Linotype" w:cs="Times New Roman"/>
      <w:color w:val="000000"/>
      <w:sz w:val="24"/>
      <w:szCs w:val="20"/>
      <w:lang w:val="en-US" w:eastAsia="de-DE"/>
    </w:rPr>
  </w:style>
  <w:style w:type="character" w:customStyle="1" w:styleId="af3">
    <w:name w:val="Основной текст Знак"/>
    <w:basedOn w:val="a1"/>
    <w:link w:val="af2"/>
    <w:rsid w:val="00397A3C"/>
    <w:rPr>
      <w:rFonts w:ascii="Palatino Linotype" w:eastAsia="SimSun" w:hAnsi="Palatino Linotype" w:cs="Times New Roman"/>
      <w:color w:val="000000"/>
      <w:sz w:val="24"/>
      <w:szCs w:val="20"/>
      <w:lang w:val="en-US" w:eastAsia="de-DE"/>
    </w:rPr>
  </w:style>
  <w:style w:type="character" w:styleId="af4">
    <w:name w:val="endnote reference"/>
    <w:rsid w:val="00397A3C"/>
    <w:rPr>
      <w:vertAlign w:val="superscript"/>
    </w:rPr>
  </w:style>
  <w:style w:type="character" w:customStyle="1" w:styleId="af5">
    <w:name w:val="Текст концевой сноски Знак"/>
    <w:basedOn w:val="a1"/>
    <w:link w:val="af6"/>
    <w:semiHidden/>
    <w:rsid w:val="00397A3C"/>
    <w:rPr>
      <w:rFonts w:ascii="Times New Roman" w:eastAsia="Times New Roman" w:hAnsi="Times New Roman" w:cs="Times New Roman"/>
      <w:noProof/>
      <w:color w:val="000000"/>
      <w:sz w:val="24"/>
      <w:szCs w:val="20"/>
      <w:lang w:val="en-US" w:eastAsia="zh-CN"/>
    </w:rPr>
  </w:style>
  <w:style w:type="paragraph" w:styleId="af6">
    <w:name w:val="endnote text"/>
    <w:basedOn w:val="a0"/>
    <w:link w:val="af5"/>
    <w:semiHidden/>
    <w:unhideWhenUsed/>
    <w:rsid w:val="00397A3C"/>
    <w:pPr>
      <w:spacing w:line="240" w:lineRule="auto"/>
    </w:pPr>
  </w:style>
  <w:style w:type="character" w:styleId="af7">
    <w:name w:val="FollowedHyperlink"/>
    <w:rsid w:val="00397A3C"/>
    <w:rPr>
      <w:color w:val="954F72"/>
      <w:u w:val="single"/>
    </w:rPr>
  </w:style>
  <w:style w:type="character" w:customStyle="1" w:styleId="af8">
    <w:name w:val="Текст сноски Знак"/>
    <w:basedOn w:val="a1"/>
    <w:link w:val="af9"/>
    <w:semiHidden/>
    <w:rsid w:val="00397A3C"/>
    <w:rPr>
      <w:rFonts w:ascii="Times New Roman" w:eastAsia="Times New Roman" w:hAnsi="Times New Roman" w:cs="Times New Roman"/>
      <w:noProof/>
      <w:color w:val="000000"/>
      <w:sz w:val="24"/>
      <w:szCs w:val="20"/>
      <w:lang w:val="en-US" w:eastAsia="zh-CN"/>
    </w:rPr>
  </w:style>
  <w:style w:type="paragraph" w:styleId="af9">
    <w:name w:val="footnote text"/>
    <w:basedOn w:val="a0"/>
    <w:link w:val="af8"/>
    <w:semiHidden/>
    <w:unhideWhenUsed/>
    <w:rsid w:val="00397A3C"/>
    <w:pPr>
      <w:spacing w:line="240" w:lineRule="auto"/>
    </w:pPr>
  </w:style>
  <w:style w:type="paragraph" w:styleId="afa">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Зна"/>
    <w:basedOn w:val="a0"/>
    <w:link w:val="afb"/>
    <w:uiPriority w:val="99"/>
    <w:qFormat/>
    <w:rsid w:val="00397A3C"/>
    <w:rPr>
      <w:szCs w:val="24"/>
    </w:rPr>
  </w:style>
  <w:style w:type="paragraph" w:customStyle="1" w:styleId="MsoFootnoteText0">
    <w:name w:val="MsoFootnoteText"/>
    <w:basedOn w:val="afa"/>
    <w:qFormat/>
    <w:rsid w:val="00397A3C"/>
  </w:style>
  <w:style w:type="character" w:styleId="afc">
    <w:name w:val="page number"/>
    <w:rsid w:val="00397A3C"/>
  </w:style>
  <w:style w:type="paragraph" w:customStyle="1" w:styleId="MDPI71FootNotes">
    <w:name w:val="MDPI_7.1_FootNotes"/>
    <w:qFormat/>
    <w:rsid w:val="00397A3C"/>
    <w:pPr>
      <w:numPr>
        <w:numId w:val="6"/>
      </w:numPr>
      <w:adjustRightInd w:val="0"/>
      <w:snapToGrid w:val="0"/>
      <w:spacing w:after="0" w:line="228" w:lineRule="auto"/>
    </w:pPr>
    <w:rPr>
      <w:rFonts w:ascii="Palatino Linotype" w:eastAsiaTheme="minorEastAsia" w:hAnsi="Palatino Linotype" w:cs="Times New Roman"/>
      <w:noProof/>
      <w:color w:val="000000"/>
      <w:sz w:val="18"/>
      <w:szCs w:val="20"/>
      <w:lang w:val="en-US" w:eastAsia="zh-CN"/>
    </w:rPr>
  </w:style>
  <w:style w:type="character" w:customStyle="1" w:styleId="t">
    <w:name w:val="t"/>
    <w:basedOn w:val="a1"/>
    <w:rsid w:val="00397A3C"/>
  </w:style>
  <w:style w:type="paragraph" w:customStyle="1" w:styleId="nova-legacy-e-listitem">
    <w:name w:val="nova-legacy-e-list__item"/>
    <w:basedOn w:val="a0"/>
    <w:qFormat/>
    <w:rsid w:val="00397A3C"/>
    <w:pPr>
      <w:spacing w:before="100" w:beforeAutospacing="1" w:after="100" w:afterAutospacing="1" w:line="240" w:lineRule="auto"/>
      <w:jc w:val="left"/>
    </w:pPr>
    <w:rPr>
      <w:noProof w:val="0"/>
      <w:color w:val="auto"/>
      <w:szCs w:val="24"/>
    </w:rPr>
  </w:style>
  <w:style w:type="paragraph" w:styleId="afd">
    <w:name w:val="List Paragraph"/>
    <w:aliases w:val="Bullet List,FooterText,numbered,List Paragraph,Абзац списка2,Абзац с отступом,Heading1,Colorful List - Accent 11,Абзац списка4,маркированный,Абзац списка8,Абзац списка3,без абзаца,ПАРАГРАФ"/>
    <w:basedOn w:val="a0"/>
    <w:link w:val="afe"/>
    <w:uiPriority w:val="34"/>
    <w:qFormat/>
    <w:rsid w:val="00397A3C"/>
    <w:pPr>
      <w:spacing w:line="240" w:lineRule="auto"/>
      <w:ind w:left="720"/>
      <w:contextualSpacing/>
      <w:jc w:val="left"/>
    </w:pPr>
    <w:rPr>
      <w:noProof w:val="0"/>
      <w:color w:val="auto"/>
      <w:szCs w:val="24"/>
      <w:lang w:eastAsia="en-US"/>
    </w:rPr>
  </w:style>
  <w:style w:type="character" w:customStyle="1" w:styleId="afe">
    <w:name w:val="Абзац списка Знак"/>
    <w:aliases w:val="Bullet List Знак,FooterText Знак,numbered Знак,List Paragraph Знак,Абзац списка2 Знак,Абзац с отступом Знак,Heading1 Знак,Colorful List - Accent 11 Знак,Абзац списка4 Знак,маркированный Знак,Абзац списка8 Знак,Абзац списка3 Знак"/>
    <w:link w:val="afd"/>
    <w:uiPriority w:val="34"/>
    <w:qFormat/>
    <w:locked/>
    <w:rsid w:val="00397A3C"/>
    <w:rPr>
      <w:rFonts w:ascii="Times New Roman" w:eastAsia="Times New Roman" w:hAnsi="Times New Roman" w:cs="Times New Roman"/>
      <w:sz w:val="24"/>
      <w:szCs w:val="24"/>
      <w:lang w:val="en-US"/>
    </w:rPr>
  </w:style>
  <w:style w:type="character" w:styleId="aff">
    <w:name w:val="Strong"/>
    <w:basedOn w:val="a1"/>
    <w:uiPriority w:val="22"/>
    <w:qFormat/>
    <w:rsid w:val="00397A3C"/>
    <w:rPr>
      <w:b/>
      <w:bCs/>
    </w:rPr>
  </w:style>
  <w:style w:type="paragraph" w:customStyle="1" w:styleId="TableParagraph">
    <w:name w:val="Table Paragraph"/>
    <w:basedOn w:val="a0"/>
    <w:uiPriority w:val="1"/>
    <w:qFormat/>
    <w:rsid w:val="00397A3C"/>
    <w:pPr>
      <w:widowControl w:val="0"/>
      <w:autoSpaceDE w:val="0"/>
      <w:autoSpaceDN w:val="0"/>
      <w:spacing w:line="240" w:lineRule="auto"/>
      <w:jc w:val="left"/>
    </w:pPr>
    <w:rPr>
      <w:rFonts w:eastAsia="Palatino Linotype" w:cs="Palatino Linotype"/>
      <w:noProof w:val="0"/>
      <w:color w:val="auto"/>
      <w:sz w:val="22"/>
      <w:szCs w:val="22"/>
      <w:lang w:eastAsia="en-US"/>
    </w:rPr>
  </w:style>
  <w:style w:type="character" w:customStyle="1" w:styleId="html-italic">
    <w:name w:val="html-italic"/>
    <w:basedOn w:val="a1"/>
    <w:rsid w:val="00397A3C"/>
  </w:style>
  <w:style w:type="character" w:customStyle="1" w:styleId="anchor-text">
    <w:name w:val="anchor-text"/>
    <w:basedOn w:val="a1"/>
    <w:rsid w:val="00397A3C"/>
  </w:style>
  <w:style w:type="character" w:styleId="aff0">
    <w:name w:val="Emphasis"/>
    <w:basedOn w:val="a1"/>
    <w:uiPriority w:val="20"/>
    <w:qFormat/>
    <w:rsid w:val="00397A3C"/>
    <w:rPr>
      <w:i/>
      <w:iCs/>
    </w:rPr>
  </w:style>
  <w:style w:type="character" w:customStyle="1" w:styleId="u-visually-hidden">
    <w:name w:val="u-visually-hidden"/>
    <w:basedOn w:val="a1"/>
    <w:qFormat/>
    <w:rsid w:val="00397A3C"/>
  </w:style>
  <w:style w:type="character" w:customStyle="1" w:styleId="title-text">
    <w:name w:val="title-text"/>
    <w:basedOn w:val="a1"/>
    <w:qFormat/>
    <w:rsid w:val="00397A3C"/>
  </w:style>
  <w:style w:type="character" w:customStyle="1" w:styleId="rynqvb">
    <w:name w:val="rynqvb"/>
    <w:basedOn w:val="a1"/>
    <w:qFormat/>
    <w:rsid w:val="00397A3C"/>
  </w:style>
  <w:style w:type="character" w:customStyle="1" w:styleId="hwtze">
    <w:name w:val="hwtze"/>
    <w:basedOn w:val="a1"/>
    <w:qFormat/>
    <w:rsid w:val="00397A3C"/>
  </w:style>
  <w:style w:type="paragraph" w:styleId="aff1">
    <w:name w:val="No Spacing"/>
    <w:uiPriority w:val="1"/>
    <w:qFormat/>
    <w:rsid w:val="00397A3C"/>
    <w:pPr>
      <w:suppressAutoHyphens/>
      <w:spacing w:after="0" w:line="240" w:lineRule="auto"/>
    </w:pPr>
  </w:style>
  <w:style w:type="paragraph" w:customStyle="1" w:styleId="aff2">
    <w:name w:val="Содержимое врезки"/>
    <w:basedOn w:val="a0"/>
    <w:qFormat/>
    <w:rsid w:val="00397A3C"/>
    <w:pPr>
      <w:suppressAutoHyphens/>
      <w:spacing w:after="200" w:line="276" w:lineRule="auto"/>
      <w:jc w:val="left"/>
    </w:pPr>
    <w:rPr>
      <w:rFonts w:asciiTheme="minorHAnsi" w:eastAsiaTheme="minorHAnsi" w:hAnsiTheme="minorHAnsi" w:cstheme="minorBidi"/>
      <w:noProof w:val="0"/>
      <w:color w:val="auto"/>
      <w:sz w:val="22"/>
      <w:szCs w:val="22"/>
      <w:lang w:val="ru-RU" w:eastAsia="en-US"/>
    </w:rPr>
  </w:style>
  <w:style w:type="character" w:customStyle="1" w:styleId="aff3">
    <w:name w:val="Название объекта Знак"/>
    <w:basedOn w:val="a1"/>
    <w:link w:val="aff4"/>
    <w:uiPriority w:val="99"/>
    <w:qFormat/>
    <w:rsid w:val="00397A3C"/>
    <w:rPr>
      <w:rFonts w:eastAsia="Times New Roman"/>
      <w:b/>
      <w:bCs/>
      <w:caps/>
      <w:sz w:val="16"/>
      <w:szCs w:val="18"/>
    </w:rPr>
  </w:style>
  <w:style w:type="paragraph" w:styleId="aff4">
    <w:name w:val="caption"/>
    <w:basedOn w:val="a0"/>
    <w:next w:val="a0"/>
    <w:link w:val="aff3"/>
    <w:uiPriority w:val="99"/>
    <w:qFormat/>
    <w:rsid w:val="00397A3C"/>
    <w:pPr>
      <w:suppressAutoHyphens/>
      <w:spacing w:after="200" w:line="276" w:lineRule="auto"/>
    </w:pPr>
    <w:rPr>
      <w:rFonts w:asciiTheme="minorHAnsi" w:hAnsiTheme="minorHAnsi" w:cstheme="minorBidi"/>
      <w:b/>
      <w:bCs/>
      <w:caps/>
      <w:noProof w:val="0"/>
      <w:color w:val="auto"/>
      <w:sz w:val="16"/>
      <w:szCs w:val="18"/>
      <w:lang w:val="ru-RU" w:eastAsia="en-US"/>
    </w:rPr>
  </w:style>
  <w:style w:type="character" w:customStyle="1" w:styleId="institution">
    <w:name w:val="institution"/>
    <w:basedOn w:val="a1"/>
    <w:rsid w:val="00397A3C"/>
  </w:style>
  <w:style w:type="paragraph" w:styleId="HTML">
    <w:name w:val="HTML Preformatted"/>
    <w:basedOn w:val="a0"/>
    <w:link w:val="HTML0"/>
    <w:uiPriority w:val="99"/>
    <w:unhideWhenUsed/>
    <w:rsid w:val="00397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left"/>
    </w:pPr>
    <w:rPr>
      <w:rFonts w:ascii="Courier New" w:hAnsi="Courier New" w:cs="Courier New"/>
      <w:noProof w:val="0"/>
      <w:color w:val="auto"/>
      <w:lang w:val="ru-RU" w:eastAsia="ru-RU"/>
    </w:rPr>
  </w:style>
  <w:style w:type="character" w:customStyle="1" w:styleId="HTML0">
    <w:name w:val="Стандартный HTML Знак"/>
    <w:basedOn w:val="a1"/>
    <w:link w:val="HTML"/>
    <w:uiPriority w:val="99"/>
    <w:rsid w:val="00397A3C"/>
    <w:rPr>
      <w:rFonts w:ascii="Courier New" w:eastAsia="Times New Roman" w:hAnsi="Courier New" w:cs="Courier New"/>
      <w:sz w:val="24"/>
      <w:szCs w:val="20"/>
      <w:lang w:eastAsia="ru-RU"/>
    </w:rPr>
  </w:style>
  <w:style w:type="character" w:customStyle="1" w:styleId="citation-doi">
    <w:name w:val="citation-doi"/>
    <w:basedOn w:val="a1"/>
    <w:rsid w:val="00397A3C"/>
  </w:style>
  <w:style w:type="character" w:customStyle="1" w:styleId="info-separation">
    <w:name w:val="info-separation"/>
    <w:basedOn w:val="a1"/>
    <w:rsid w:val="00397A3C"/>
  </w:style>
  <w:style w:type="character" w:customStyle="1" w:styleId="organictextcontentspan">
    <w:name w:val="organictextcontentspan"/>
    <w:basedOn w:val="a1"/>
    <w:rsid w:val="00397A3C"/>
  </w:style>
  <w:style w:type="paragraph" w:customStyle="1" w:styleId="11">
    <w:name w:val="дефолт текст1"/>
    <w:basedOn w:val="MDPI21heading1"/>
    <w:link w:val="12"/>
    <w:qFormat/>
    <w:rsid w:val="00397A3C"/>
    <w:pPr>
      <w:spacing w:before="0" w:after="0" w:line="480" w:lineRule="auto"/>
      <w:ind w:left="0" w:firstLine="425"/>
      <w:jc w:val="both"/>
      <w:outlineLvl w:val="9"/>
    </w:pPr>
    <w:rPr>
      <w:rFonts w:ascii="Times New Roman" w:hAnsi="Times New Roman"/>
      <w:b w:val="0"/>
      <w:sz w:val="24"/>
      <w:szCs w:val="24"/>
    </w:rPr>
  </w:style>
  <w:style w:type="character" w:customStyle="1" w:styleId="12">
    <w:name w:val="дефолт текст1 Знак"/>
    <w:basedOn w:val="a1"/>
    <w:link w:val="11"/>
    <w:rsid w:val="00397A3C"/>
    <w:rPr>
      <w:rFonts w:ascii="Times New Roman" w:eastAsia="Times New Roman" w:hAnsi="Times New Roman" w:cs="Times New Roman"/>
      <w:snapToGrid w:val="0"/>
      <w:color w:val="000000"/>
      <w:sz w:val="24"/>
      <w:szCs w:val="24"/>
      <w:lang w:val="en-US" w:eastAsia="de-DE" w:bidi="en-US"/>
    </w:rPr>
  </w:style>
  <w:style w:type="paragraph" w:customStyle="1" w:styleId="21">
    <w:name w:val="подзаголовок 2"/>
    <w:basedOn w:val="a0"/>
    <w:link w:val="22"/>
    <w:qFormat/>
    <w:rsid w:val="00397A3C"/>
    <w:pPr>
      <w:adjustRightInd w:val="0"/>
      <w:snapToGrid w:val="0"/>
      <w:spacing w:line="480" w:lineRule="auto"/>
      <w:ind w:firstLine="567"/>
    </w:pPr>
    <w:rPr>
      <w:i/>
      <w:noProof w:val="0"/>
      <w:snapToGrid w:val="0"/>
      <w:szCs w:val="24"/>
      <w:lang w:eastAsia="de-DE" w:bidi="en-US"/>
    </w:rPr>
  </w:style>
  <w:style w:type="character" w:customStyle="1" w:styleId="22">
    <w:name w:val="подзаголовок 2 Знак"/>
    <w:basedOn w:val="a1"/>
    <w:link w:val="21"/>
    <w:rsid w:val="00397A3C"/>
    <w:rPr>
      <w:rFonts w:ascii="Times New Roman" w:eastAsia="Times New Roman" w:hAnsi="Times New Roman" w:cs="Times New Roman"/>
      <w:i/>
      <w:snapToGrid w:val="0"/>
      <w:color w:val="000000"/>
      <w:sz w:val="24"/>
      <w:szCs w:val="24"/>
      <w:lang w:val="en-US" w:eastAsia="de-DE" w:bidi="en-US"/>
    </w:rPr>
  </w:style>
  <w:style w:type="paragraph" w:customStyle="1" w:styleId="aff5">
    <w:name w:val="референсис"/>
    <w:basedOn w:val="a0"/>
    <w:link w:val="aff6"/>
    <w:qFormat/>
    <w:rsid w:val="00397A3C"/>
    <w:pPr>
      <w:spacing w:line="480" w:lineRule="auto"/>
      <w:ind w:left="357" w:hanging="357"/>
    </w:pPr>
    <w:rPr>
      <w:color w:val="auto"/>
      <w:szCs w:val="24"/>
    </w:rPr>
  </w:style>
  <w:style w:type="character" w:customStyle="1" w:styleId="aff6">
    <w:name w:val="референсис Знак"/>
    <w:basedOn w:val="a1"/>
    <w:link w:val="aff5"/>
    <w:rsid w:val="00397A3C"/>
    <w:rPr>
      <w:rFonts w:ascii="Times New Roman" w:eastAsia="Times New Roman" w:hAnsi="Times New Roman" w:cs="Times New Roman"/>
      <w:noProof/>
      <w:sz w:val="24"/>
      <w:szCs w:val="24"/>
      <w:lang w:val="en-US" w:eastAsia="zh-CN"/>
    </w:rPr>
  </w:style>
  <w:style w:type="character" w:customStyle="1" w:styleId="extendedtext-full">
    <w:name w:val="extendedtext-full"/>
    <w:basedOn w:val="a1"/>
    <w:rsid w:val="00397A3C"/>
  </w:style>
  <w:style w:type="paragraph" w:customStyle="1" w:styleId="msonormalcxspmiddle">
    <w:name w:val="msonormalcxspmiddle"/>
    <w:basedOn w:val="a0"/>
    <w:uiPriority w:val="99"/>
    <w:rsid w:val="00397A3C"/>
    <w:pPr>
      <w:numPr>
        <w:numId w:val="24"/>
      </w:numPr>
      <w:spacing w:before="100" w:beforeAutospacing="1" w:after="100" w:afterAutospacing="1" w:line="240" w:lineRule="auto"/>
      <w:jc w:val="left"/>
    </w:pPr>
    <w:rPr>
      <w:noProof w:val="0"/>
      <w:color w:val="auto"/>
      <w:szCs w:val="24"/>
      <w:lang w:val="ru-RU" w:eastAsia="ru-RU"/>
    </w:rPr>
  </w:style>
  <w:style w:type="character" w:customStyle="1" w:styleId="c-bibliographic-informationvalue">
    <w:name w:val="c-bibliographic-information__value"/>
    <w:basedOn w:val="a1"/>
    <w:rsid w:val="00397A3C"/>
  </w:style>
  <w:style w:type="character" w:customStyle="1" w:styleId="aff7">
    <w:name w:val="Основной текст с отступом Знак"/>
    <w:basedOn w:val="a1"/>
    <w:link w:val="aff8"/>
    <w:uiPriority w:val="99"/>
    <w:semiHidden/>
    <w:rsid w:val="00397A3C"/>
    <w:rPr>
      <w:rFonts w:ascii="Times New Roman" w:eastAsia="Times New Roman" w:hAnsi="Times New Roman" w:cs="Times New Roman"/>
      <w:noProof/>
      <w:color w:val="000000"/>
      <w:sz w:val="24"/>
      <w:szCs w:val="20"/>
      <w:lang w:val="en-US" w:eastAsia="zh-CN"/>
    </w:rPr>
  </w:style>
  <w:style w:type="paragraph" w:styleId="aff8">
    <w:name w:val="Body Text Indent"/>
    <w:basedOn w:val="a0"/>
    <w:link w:val="aff7"/>
    <w:uiPriority w:val="99"/>
    <w:semiHidden/>
    <w:unhideWhenUsed/>
    <w:rsid w:val="00397A3C"/>
    <w:pPr>
      <w:spacing w:after="120"/>
      <w:ind w:left="283"/>
    </w:pPr>
  </w:style>
  <w:style w:type="character" w:customStyle="1" w:styleId="relative">
    <w:name w:val="relative"/>
    <w:basedOn w:val="a1"/>
    <w:rsid w:val="00397A3C"/>
  </w:style>
  <w:style w:type="character" w:customStyle="1" w:styleId="text">
    <w:name w:val="text"/>
    <w:basedOn w:val="a1"/>
    <w:rsid w:val="00397A3C"/>
  </w:style>
  <w:style w:type="paragraph" w:customStyle="1" w:styleId="style7">
    <w:name w:val="style7"/>
    <w:basedOn w:val="a0"/>
    <w:rsid w:val="00374E79"/>
    <w:pPr>
      <w:spacing w:before="100" w:beforeAutospacing="1" w:after="100" w:afterAutospacing="1" w:line="240" w:lineRule="auto"/>
      <w:jc w:val="left"/>
    </w:pPr>
    <w:rPr>
      <w:noProof w:val="0"/>
      <w:color w:val="auto"/>
      <w:szCs w:val="24"/>
      <w:lang w:val="ru-RU" w:eastAsia="ru-RU"/>
    </w:rPr>
  </w:style>
  <w:style w:type="character" w:customStyle="1" w:styleId="afb">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Зна Знак"/>
    <w:link w:val="afa"/>
    <w:uiPriority w:val="99"/>
    <w:locked/>
    <w:rsid w:val="00DD0660"/>
    <w:rPr>
      <w:rFonts w:ascii="Times New Roman" w:eastAsia="Times New Roman" w:hAnsi="Times New Roman" w:cs="Times New Roman"/>
      <w:noProof/>
      <w:color w:val="000000"/>
      <w:sz w:val="24"/>
      <w:szCs w:val="24"/>
      <w:lang w:val="en-US" w:eastAsia="zh-CN"/>
    </w:rPr>
  </w:style>
  <w:style w:type="character" w:customStyle="1" w:styleId="katex-mathml">
    <w:name w:val="katex-mathml"/>
    <w:basedOn w:val="a1"/>
    <w:rsid w:val="003D614B"/>
  </w:style>
  <w:style w:type="character" w:customStyle="1" w:styleId="mord">
    <w:name w:val="mord"/>
    <w:basedOn w:val="a1"/>
    <w:rsid w:val="003D614B"/>
  </w:style>
  <w:style w:type="character" w:customStyle="1" w:styleId="mrel">
    <w:name w:val="mrel"/>
    <w:basedOn w:val="a1"/>
    <w:rsid w:val="003D614B"/>
  </w:style>
  <w:style w:type="character" w:customStyle="1" w:styleId="mbin">
    <w:name w:val="mbin"/>
    <w:basedOn w:val="a1"/>
    <w:rsid w:val="003D614B"/>
  </w:style>
  <w:style w:type="character" w:customStyle="1" w:styleId="vlist-s">
    <w:name w:val="vlist-s"/>
    <w:basedOn w:val="a1"/>
    <w:rsid w:val="003D614B"/>
  </w:style>
  <w:style w:type="paragraph" w:customStyle="1" w:styleId="Default">
    <w:name w:val="Default"/>
    <w:qFormat/>
    <w:rsid w:val="003D614B"/>
    <w:pPr>
      <w:autoSpaceDE w:val="0"/>
      <w:autoSpaceDN w:val="0"/>
      <w:adjustRightInd w:val="0"/>
      <w:spacing w:after="0" w:line="240" w:lineRule="auto"/>
    </w:pPr>
    <w:rPr>
      <w:rFonts w:ascii="Segoe UI" w:hAnsi="Segoe UI" w:cs="Segoe UI"/>
      <w:color w:val="000000"/>
      <w:sz w:val="24"/>
      <w:szCs w:val="24"/>
    </w:rPr>
  </w:style>
  <w:style w:type="paragraph" w:styleId="a">
    <w:name w:val="List Bullet"/>
    <w:basedOn w:val="a0"/>
    <w:uiPriority w:val="99"/>
    <w:unhideWhenUsed/>
    <w:rsid w:val="00754A3B"/>
    <w:pPr>
      <w:numPr>
        <w:numId w:val="33"/>
      </w:numPr>
      <w:spacing w:after="200" w:line="276" w:lineRule="auto"/>
      <w:contextualSpacing/>
      <w:jc w:val="left"/>
    </w:pPr>
    <w:rPr>
      <w:rFonts w:eastAsiaTheme="minorEastAsia"/>
      <w:noProof w:val="0"/>
      <w:color w:val="auto"/>
      <w:szCs w:val="24"/>
      <w:lang w:eastAsia="ru-RU"/>
    </w:rPr>
  </w:style>
  <w:style w:type="character" w:customStyle="1" w:styleId="Hyperlink0">
    <w:name w:val="Hyperlink.0"/>
    <w:basedOn w:val="af1"/>
    <w:qFormat/>
    <w:rsid w:val="00885437"/>
    <w:rPr>
      <w:color w:val="0000FF"/>
      <w:u w:val="single"/>
    </w:rPr>
  </w:style>
  <w:style w:type="character" w:customStyle="1" w:styleId="Hyperlink1">
    <w:name w:val="Hyperlink.1"/>
    <w:basedOn w:val="Hyperlink0"/>
    <w:qFormat/>
    <w:rsid w:val="00885437"/>
    <w:rPr>
      <w:rFonts w:ascii="Times New Roman" w:eastAsia="Times New Roman" w:hAnsi="Times New Roman" w:cs="Times New Roman"/>
      <w:color w:val="0563C1"/>
      <w:sz w:val="20"/>
      <w:szCs w:val="20"/>
      <w:u w:val="single" w:color="0563C1"/>
      <w:lang w:val="en-US"/>
    </w:rPr>
  </w:style>
  <w:style w:type="character" w:customStyle="1" w:styleId="field-value">
    <w:name w:val="field-value"/>
    <w:basedOn w:val="a1"/>
    <w:qFormat/>
    <w:rsid w:val="00885437"/>
  </w:style>
  <w:style w:type="table" w:customStyle="1" w:styleId="TableNormal1">
    <w:name w:val="Table Normal1"/>
    <w:qFormat/>
    <w:rsid w:val="008767C6"/>
    <w:pPr>
      <w:spacing w:after="0" w:line="240" w:lineRule="auto"/>
    </w:pPr>
    <w:rPr>
      <w:rFonts w:ascii="Times New Roman" w:eastAsia="Arial Unicode MS" w:hAnsi="Times New Roman" w:cs="Times New Roman"/>
      <w:sz w:val="20"/>
      <w:szCs w:val="20"/>
      <w:lang w:eastAsia="ru-RU"/>
    </w:rPr>
    <w:tblPr>
      <w:tblCellMar>
        <w:top w:w="0" w:type="dxa"/>
        <w:left w:w="0" w:type="dxa"/>
        <w:bottom w:w="0" w:type="dxa"/>
        <w:right w:w="0" w:type="dxa"/>
      </w:tblCellMar>
    </w:tblPr>
  </w:style>
  <w:style w:type="paragraph" w:customStyle="1" w:styleId="ObjectTitle">
    <w:name w:val="Object Title"/>
    <w:qFormat/>
    <w:rsid w:val="00CA5C5C"/>
    <w:pPr>
      <w:spacing w:after="0" w:line="240" w:lineRule="auto"/>
      <w:jc w:val="center"/>
    </w:pPr>
    <w:rPr>
      <w:rFonts w:ascii="Helvetica Neue" w:eastAsia="Arial Unicode MS" w:hAnsi="Helvetica Neue" w:cs="Arial Unicode MS"/>
      <w:color w:val="000000"/>
      <w:sz w:val="24"/>
      <w:szCs w:val="24"/>
      <w:lang w:val="en-US" w:eastAsia="ru-RU"/>
    </w:rPr>
  </w:style>
  <w:style w:type="character" w:customStyle="1" w:styleId="y2iqfc">
    <w:name w:val="y2iqfc"/>
    <w:qFormat/>
    <w:rsid w:val="00D541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98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90/jof3020022" TargetMode="External"/><Relationship Id="rId18" Type="http://schemas.openxmlformats.org/officeDocument/2006/relationships/hyperlink" Target="https://doi.org/10.1080/03235408.2011.559042" TargetMode="External"/><Relationship Id="rId26" Type="http://schemas.openxmlformats.org/officeDocument/2006/relationships/hyperlink" Target="https://doi.org/10.1016/j.heliyon.2024.e29522" TargetMode="External"/><Relationship Id="rId39" Type="http://schemas.openxmlformats.org/officeDocument/2006/relationships/hyperlink" Target="https://doi.org/10.1016/j.postharvbio.2016.04.018" TargetMode="External"/><Relationship Id="rId21" Type="http://schemas.openxmlformats.org/officeDocument/2006/relationships/hyperlink" Target="https://doi.org/10.3390/plants10122641" TargetMode="External"/><Relationship Id="rId34" Type="http://schemas.openxmlformats.org/officeDocument/2006/relationships/hyperlink" Target="https://doi.org/10.1016/j.pbi.2014.05.001" TargetMode="External"/><Relationship Id="rId42" Type="http://schemas.openxmlformats.org/officeDocument/2006/relationships/hyperlink" Target="https://doi.org/10.1016/j.postharvbio.2020.111146" TargetMode="External"/><Relationship Id="rId47" Type="http://schemas.openxmlformats.org/officeDocument/2006/relationships/image" Target="media/image2.tiff"/><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07/s00344-020-10184-3" TargetMode="External"/><Relationship Id="rId29" Type="http://schemas.openxmlformats.org/officeDocument/2006/relationships/hyperlink" Target="https://doi.org/10.1007/s10658-011-9919-7" TargetMode="External"/><Relationship Id="rId11" Type="http://schemas.openxmlformats.org/officeDocument/2006/relationships/hyperlink" Target="https://doi.org/10.1093/jxb/erw506" TargetMode="External"/><Relationship Id="rId24" Type="http://schemas.openxmlformats.org/officeDocument/2006/relationships/hyperlink" Target="https://doi.org/10.3390/foods13091334" TargetMode="External"/><Relationship Id="rId32" Type="http://schemas.openxmlformats.org/officeDocument/2006/relationships/hyperlink" Target="https://doi.org/10.1016/j.fm.2014.11.013" TargetMode="External"/><Relationship Id="rId37" Type="http://schemas.openxmlformats.org/officeDocument/2006/relationships/hyperlink" Target="https://doi.org/10.3390/microorganisms8071029" TargetMode="External"/><Relationship Id="rId40" Type="http://schemas.openxmlformats.org/officeDocument/2006/relationships/hyperlink" Target="https://doi.org/10.1111/jdi.12376" TargetMode="External"/><Relationship Id="rId45" Type="http://schemas.openxmlformats.org/officeDocument/2006/relationships/hyperlink" Target="https://doi.org/10.1016/j.biocontrol.2010.06.003" TargetMode="External"/><Relationship Id="rId5" Type="http://schemas.openxmlformats.org/officeDocument/2006/relationships/webSettings" Target="webSettings.xml"/><Relationship Id="rId15" Type="http://schemas.openxmlformats.org/officeDocument/2006/relationships/hyperlink" Target="https://doi.org/10.1083/jcb.200611141" TargetMode="External"/><Relationship Id="rId23" Type="http://schemas.openxmlformats.org/officeDocument/2006/relationships/hyperlink" Target="https://doi.org/10.1016/j.fm.2017.07.008" TargetMode="External"/><Relationship Id="rId28" Type="http://schemas.openxmlformats.org/officeDocument/2006/relationships/hyperlink" Target="https://doi.org/10.3390/ijms241512227" TargetMode="External"/><Relationship Id="rId36" Type="http://schemas.openxmlformats.org/officeDocument/2006/relationships/hyperlink" Target="https://doi.org/10.1023/A:1008716018490" TargetMode="External"/><Relationship Id="rId49" Type="http://schemas.openxmlformats.org/officeDocument/2006/relationships/footer" Target="footer1.xml"/><Relationship Id="rId10" Type="http://schemas.openxmlformats.org/officeDocument/2006/relationships/hyperlink" Target="https://doi.org/10.1104/pp.15.00852" TargetMode="External"/><Relationship Id="rId19" Type="http://schemas.openxmlformats.org/officeDocument/2006/relationships/hyperlink" Target="https://doi.org/10.1016/j.biocontrol.2023.105266" TargetMode="External"/><Relationship Id="rId31" Type="http://schemas.openxmlformats.org/officeDocument/2006/relationships/hyperlink" Target="https://doi.org/10.1021/acs.jafc.3c00315" TargetMode="External"/><Relationship Id="rId44" Type="http://schemas.openxmlformats.org/officeDocument/2006/relationships/hyperlink" Target="https://doi.org/10.1016/j.biocontrol.2016.02.001" TargetMode="External"/><Relationship Id="rId4" Type="http://schemas.openxmlformats.org/officeDocument/2006/relationships/settings" Target="settings.xml"/><Relationship Id="rId9" Type="http://schemas.openxmlformats.org/officeDocument/2006/relationships/hyperlink" Target="https://doi.org/10.1111/ppa.12434" TargetMode="External"/><Relationship Id="rId14" Type="http://schemas.openxmlformats.org/officeDocument/2006/relationships/hyperlink" Target="https://doi.org/10.1371/journal.pone.0237975" TargetMode="External"/><Relationship Id="rId22" Type="http://schemas.openxmlformats.org/officeDocument/2006/relationships/hyperlink" Target="https://doi.org/10.1007/978-3-030-53238-3_11" TargetMode="External"/><Relationship Id="rId27" Type="http://schemas.openxmlformats.org/officeDocument/2006/relationships/hyperlink" Target="https://doi.org/10.1016/j.postharvbio.2019.05.025" TargetMode="External"/><Relationship Id="rId30" Type="http://schemas.openxmlformats.org/officeDocument/2006/relationships/hyperlink" Target="https://astatsa.com/OneWay_Anova_with_TukeyHSD/" TargetMode="External"/><Relationship Id="rId35" Type="http://schemas.openxmlformats.org/officeDocument/2006/relationships/hyperlink" Target="https://doi.org/10.3390/microorganisms12020340" TargetMode="External"/><Relationship Id="rId43" Type="http://schemas.openxmlformats.org/officeDocument/2006/relationships/hyperlink" Target="https://doi.org/10.3389/fmicb.2019.00187" TargetMode="External"/><Relationship Id="rId48" Type="http://schemas.openxmlformats.org/officeDocument/2006/relationships/image" Target="media/image3.png"/><Relationship Id="rId8" Type="http://schemas.openxmlformats.org/officeDocument/2006/relationships/hyperlink" Target="https://doi.org/10.1093/ije/dyw319"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doi.org/10.3390/foods14030408" TargetMode="External"/><Relationship Id="rId17" Type="http://schemas.openxmlformats.org/officeDocument/2006/relationships/hyperlink" Target="https://doi.org/10.1080/10408398.2017.1417235" TargetMode="External"/><Relationship Id="rId25" Type="http://schemas.openxmlformats.org/officeDocument/2006/relationships/hyperlink" Target="https://doi.org/10.1007/s13213-010-0018-3" TargetMode="External"/><Relationship Id="rId33" Type="http://schemas.openxmlformats.org/officeDocument/2006/relationships/hyperlink" Target="https://doi.org/10.1016/S0885-5765(03)00046-8" TargetMode="External"/><Relationship Id="rId38" Type="http://schemas.openxmlformats.org/officeDocument/2006/relationships/hyperlink" Target="https://doi.org/10.1016/j.tifs.2015.11.003" TargetMode="External"/><Relationship Id="rId46" Type="http://schemas.openxmlformats.org/officeDocument/2006/relationships/image" Target="media/image1.jpeg"/><Relationship Id="rId20" Type="http://schemas.openxmlformats.org/officeDocument/2006/relationships/hyperlink" Target="https://doi.org/10.1038/s41598-018-32907-z" TargetMode="External"/><Relationship Id="rId41" Type="http://schemas.openxmlformats.org/officeDocument/2006/relationships/hyperlink" Target="http://dx.doi.org/10.26717/BJSTR.2018.09.001793"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6CC301F9-5E3A-446D-83FA-2A76DB534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400</TotalTime>
  <Pages>39</Pages>
  <Words>14634</Words>
  <Characters>83416</Characters>
  <Application>Microsoft Office Word</Application>
  <DocSecurity>0</DocSecurity>
  <Lines>695</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97855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0 .</cp:lastModifiedBy>
  <cp:revision>71</cp:revision>
  <dcterms:created xsi:type="dcterms:W3CDTF">2026-05-29T09:39:00Z</dcterms:created>
  <dcterms:modified xsi:type="dcterms:W3CDTF">2026-06-25T12:26:00Z</dcterms:modified>
</cp:coreProperties>
</file>