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EE188" w14:textId="29268897" w:rsidR="00FA6F79" w:rsidRPr="00FA6F79" w:rsidRDefault="00805751" w:rsidP="00805751">
      <w:pPr>
        <w:shd w:val="clear" w:color="auto" w:fill="FFFFFF"/>
        <w:spacing w:after="0" w:line="240" w:lineRule="auto"/>
        <w:jc w:val="center"/>
        <w:rPr>
          <w:rFonts w:ascii="Times New Roman" w:hAnsi="Times New Roman" w:cs="Times New Roman"/>
          <w:b/>
          <w:bCs/>
          <w:sz w:val="24"/>
          <w:szCs w:val="24"/>
        </w:rPr>
      </w:pPr>
      <w:r w:rsidRPr="00FA6F79">
        <w:rPr>
          <w:rFonts w:ascii="Times New Roman" w:hAnsi="Times New Roman" w:cs="Times New Roman"/>
          <w:b/>
          <w:bCs/>
          <w:sz w:val="24"/>
          <w:szCs w:val="24"/>
        </w:rPr>
        <w:t>AN ANALYSIS OF OPERATIONAL COLD CHAIN EFFICIENCY IN THE FOOD SUPPLY CHAIN: A CASE STUDY OF THE RIYADH REGION</w:t>
      </w:r>
    </w:p>
    <w:p w14:paraId="2EBEDF98" w14:textId="77777777" w:rsidR="00FA6F79" w:rsidRPr="00FA6F79" w:rsidRDefault="00FA6F79" w:rsidP="00FA6F79">
      <w:pPr>
        <w:shd w:val="clear" w:color="auto" w:fill="FFFFFF"/>
        <w:spacing w:after="0" w:line="240" w:lineRule="auto"/>
        <w:jc w:val="center"/>
        <w:rPr>
          <w:rFonts w:ascii="Times New Roman" w:hAnsi="Times New Roman" w:cs="Times New Roman"/>
          <w:b/>
          <w:bCs/>
          <w:i/>
          <w:iCs/>
          <w:color w:val="000000" w:themeColor="text1"/>
          <w:sz w:val="24"/>
          <w:szCs w:val="24"/>
        </w:rPr>
      </w:pPr>
    </w:p>
    <w:p w14:paraId="520DFC49" w14:textId="0D301A24" w:rsidR="00821327" w:rsidRDefault="00FA6F79" w:rsidP="00821327">
      <w:pPr>
        <w:shd w:val="clear" w:color="auto" w:fill="FFFFFF"/>
        <w:spacing w:after="0"/>
        <w:jc w:val="center"/>
        <w:rPr>
          <w:rFonts w:ascii="Times New Roman" w:eastAsia="Times New Roman" w:hAnsi="Times New Roman" w:cs="Times New Roman"/>
          <w:color w:val="000000"/>
          <w:sz w:val="24"/>
          <w:szCs w:val="24"/>
          <w:vertAlign w:val="superscript"/>
          <w:lang w:eastAsia="pt-BR"/>
        </w:rPr>
      </w:pPr>
      <w:r w:rsidRPr="00BE227F">
        <w:rPr>
          <w:rFonts w:ascii="Times New Roman" w:hAnsi="Times New Roman" w:cs="Times New Roman"/>
          <w:color w:val="000000" w:themeColor="text1"/>
          <w:sz w:val="24"/>
          <w:szCs w:val="24"/>
        </w:rPr>
        <w:t>Abdullah M. Alhamdan</w:t>
      </w:r>
      <w:r w:rsidR="00312522" w:rsidRPr="00BE227F">
        <w:rPr>
          <w:rFonts w:ascii="Times New Roman" w:hAnsi="Times New Roman" w:cs="Times New Roman"/>
          <w:color w:val="000000" w:themeColor="text1"/>
          <w:sz w:val="24"/>
          <w:szCs w:val="24"/>
          <w:vertAlign w:val="superscript"/>
        </w:rPr>
        <w:t>1</w:t>
      </w:r>
      <w:r w:rsidR="00312522" w:rsidRPr="00BE227F">
        <w:rPr>
          <w:rFonts w:ascii="Times New Roman" w:hAnsi="Times New Roman" w:cs="Times New Roman"/>
          <w:color w:val="000000" w:themeColor="text1"/>
          <w:sz w:val="24"/>
          <w:szCs w:val="24"/>
        </w:rPr>
        <w:t xml:space="preserve">, </w:t>
      </w:r>
      <w:r w:rsidR="00312522" w:rsidRPr="00BE227F">
        <w:rPr>
          <w:rFonts w:ascii="Times New Roman" w:hAnsi="Times New Roman" w:cs="Times New Roman"/>
          <w:color w:val="000000" w:themeColor="text1"/>
          <w:sz w:val="24"/>
          <w:szCs w:val="24"/>
        </w:rPr>
        <w:t>Yosef A. Alamri</w:t>
      </w:r>
      <w:r w:rsidR="00312522" w:rsidRPr="00BE227F">
        <w:rPr>
          <w:rFonts w:ascii="Times New Roman" w:hAnsi="Times New Roman" w:cs="Times New Roman"/>
          <w:color w:val="000000" w:themeColor="text1"/>
          <w:sz w:val="24"/>
          <w:szCs w:val="24"/>
          <w:vertAlign w:val="superscript"/>
        </w:rPr>
        <w:t>2</w:t>
      </w:r>
      <w:r w:rsidR="00312522" w:rsidRPr="00BE227F">
        <w:rPr>
          <w:rFonts w:ascii="Times New Roman" w:eastAsia="Times New Roman" w:hAnsi="Times New Roman" w:cs="Times New Roman"/>
          <w:color w:val="000000"/>
          <w:sz w:val="24"/>
          <w:szCs w:val="24"/>
          <w:lang w:eastAsia="pt-BR"/>
        </w:rPr>
        <w:t xml:space="preserve">, </w:t>
      </w:r>
      <w:r w:rsidR="00312522" w:rsidRPr="00BE227F">
        <w:rPr>
          <w:rFonts w:ascii="Times New Roman" w:hAnsi="Times New Roman" w:cs="Times New Roman"/>
          <w:color w:val="000000" w:themeColor="text1"/>
          <w:sz w:val="24"/>
          <w:szCs w:val="24"/>
        </w:rPr>
        <w:t>Alaa A. Kotb</w:t>
      </w:r>
      <w:r w:rsidR="00312522" w:rsidRPr="00BE227F">
        <w:rPr>
          <w:rFonts w:ascii="Times New Roman" w:hAnsi="Times New Roman" w:cs="Times New Roman"/>
          <w:color w:val="000000" w:themeColor="text1"/>
          <w:sz w:val="24"/>
          <w:szCs w:val="24"/>
          <w:vertAlign w:val="superscript"/>
        </w:rPr>
        <w:t>2</w:t>
      </w:r>
      <w:r w:rsidR="00312522" w:rsidRPr="00BE227F">
        <w:rPr>
          <w:rFonts w:ascii="Times New Roman" w:hAnsi="Times New Roman" w:cs="Times New Roman"/>
          <w:color w:val="000000" w:themeColor="text1"/>
          <w:sz w:val="24"/>
          <w:szCs w:val="24"/>
        </w:rPr>
        <w:t xml:space="preserve">, </w:t>
      </w:r>
      <w:r w:rsidR="00312522" w:rsidRPr="00BE227F">
        <w:rPr>
          <w:rFonts w:ascii="Times New Roman" w:hAnsi="Times New Roman" w:cs="Times New Roman"/>
          <w:color w:val="000000" w:themeColor="text1"/>
          <w:sz w:val="24"/>
          <w:szCs w:val="24"/>
        </w:rPr>
        <w:t>Fahad Aljuhaim</w:t>
      </w:r>
      <w:r w:rsidR="00312522" w:rsidRPr="00BE227F">
        <w:rPr>
          <w:rFonts w:ascii="Times New Roman" w:hAnsi="Times New Roman" w:cs="Times New Roman"/>
          <w:color w:val="000000" w:themeColor="text1"/>
          <w:sz w:val="24"/>
          <w:szCs w:val="24"/>
          <w:vertAlign w:val="superscript"/>
        </w:rPr>
        <w:t>3</w:t>
      </w:r>
      <w:r w:rsidR="00312522" w:rsidRPr="00BE227F">
        <w:rPr>
          <w:rFonts w:ascii="Times New Roman" w:hAnsi="Times New Roman" w:cs="Times New Roman"/>
          <w:color w:val="000000" w:themeColor="text1"/>
          <w:sz w:val="24"/>
          <w:szCs w:val="24"/>
        </w:rPr>
        <w:t xml:space="preserve">, </w:t>
      </w:r>
      <w:r w:rsidR="00312522" w:rsidRPr="00BE227F">
        <w:rPr>
          <w:rFonts w:ascii="Times New Roman" w:eastAsia="Times New Roman" w:hAnsi="Times New Roman" w:cs="Times New Roman"/>
          <w:color w:val="000000"/>
          <w:sz w:val="24"/>
          <w:szCs w:val="24"/>
          <w:lang w:eastAsia="pt-BR"/>
        </w:rPr>
        <w:t>Saleh Al-Ghamdi</w:t>
      </w:r>
      <w:r w:rsidR="00312522" w:rsidRPr="00BE227F">
        <w:rPr>
          <w:rFonts w:ascii="Times New Roman" w:eastAsia="Times New Roman" w:hAnsi="Times New Roman" w:cs="Times New Roman"/>
          <w:color w:val="000000"/>
          <w:sz w:val="24"/>
          <w:szCs w:val="24"/>
          <w:vertAlign w:val="superscript"/>
          <w:lang w:eastAsia="pt-BR"/>
        </w:rPr>
        <w:t>1</w:t>
      </w:r>
      <w:r w:rsidR="00821327" w:rsidRPr="00BE227F">
        <w:rPr>
          <w:rFonts w:ascii="Times New Roman" w:eastAsia="Times New Roman" w:hAnsi="Times New Roman" w:cs="Times New Roman"/>
          <w:color w:val="000000"/>
          <w:sz w:val="24"/>
          <w:szCs w:val="24"/>
          <w:lang w:eastAsia="pt-BR"/>
        </w:rPr>
        <w:t xml:space="preserve">, </w:t>
      </w:r>
      <w:r w:rsidR="00821327" w:rsidRPr="00BE227F">
        <w:rPr>
          <w:rFonts w:ascii="Times New Roman" w:eastAsia="Times New Roman" w:hAnsi="Times New Roman" w:cs="Times New Roman"/>
          <w:color w:val="000000"/>
          <w:sz w:val="24"/>
          <w:szCs w:val="24"/>
          <w:lang w:val="pt-BR" w:eastAsia="pt-BR"/>
        </w:rPr>
        <w:t>Suliman Almojel</w:t>
      </w:r>
      <w:r w:rsidR="00821327" w:rsidRPr="00BE227F">
        <w:rPr>
          <w:rFonts w:ascii="Times New Roman" w:eastAsia="Times New Roman" w:hAnsi="Times New Roman" w:cs="Times New Roman"/>
          <w:color w:val="000000"/>
          <w:sz w:val="24"/>
          <w:szCs w:val="24"/>
          <w:vertAlign w:val="superscript"/>
          <w:lang w:val="pt-BR" w:eastAsia="pt-BR"/>
        </w:rPr>
        <w:t>2</w:t>
      </w:r>
      <w:r w:rsidR="00821327" w:rsidRPr="00BE227F">
        <w:rPr>
          <w:rFonts w:ascii="Times New Roman" w:eastAsia="Times New Roman" w:hAnsi="Times New Roman" w:cs="Times New Roman"/>
          <w:color w:val="000000"/>
          <w:sz w:val="24"/>
          <w:szCs w:val="24"/>
          <w:lang w:val="pt-BR" w:eastAsia="pt-BR"/>
        </w:rPr>
        <w:t xml:space="preserve">, </w:t>
      </w:r>
      <w:r w:rsidR="00821327" w:rsidRPr="00BE227F">
        <w:rPr>
          <w:rFonts w:ascii="Times New Roman" w:eastAsia="Times New Roman" w:hAnsi="Times New Roman" w:cs="Times New Roman"/>
          <w:color w:val="000000"/>
          <w:sz w:val="24"/>
          <w:szCs w:val="24"/>
          <w:lang w:val="pt-BR" w:eastAsia="pt-BR"/>
        </w:rPr>
        <w:t>Jawad Alhashim</w:t>
      </w:r>
      <w:r w:rsidR="00821327" w:rsidRPr="00BE227F">
        <w:rPr>
          <w:rFonts w:ascii="Times New Roman" w:eastAsia="Times New Roman" w:hAnsi="Times New Roman" w:cs="Times New Roman"/>
          <w:color w:val="000000"/>
          <w:sz w:val="24"/>
          <w:szCs w:val="24"/>
          <w:vertAlign w:val="superscript"/>
          <w:lang w:val="pt-BR" w:eastAsia="pt-BR"/>
        </w:rPr>
        <w:t>2</w:t>
      </w:r>
      <w:r w:rsidR="00821327" w:rsidRPr="00BE227F">
        <w:rPr>
          <w:rFonts w:ascii="Times New Roman" w:eastAsia="Times New Roman" w:hAnsi="Times New Roman" w:cs="Times New Roman"/>
          <w:color w:val="000000"/>
          <w:sz w:val="24"/>
          <w:szCs w:val="24"/>
          <w:lang w:val="pt-BR" w:eastAsia="pt-BR"/>
        </w:rPr>
        <w:t xml:space="preserve">, </w:t>
      </w:r>
      <w:proofErr w:type="spellStart"/>
      <w:r w:rsidR="00821327" w:rsidRPr="00BE227F">
        <w:rPr>
          <w:rFonts w:ascii="Times New Roman" w:eastAsia="Times New Roman" w:hAnsi="Times New Roman" w:cs="Times New Roman"/>
          <w:color w:val="000000"/>
          <w:sz w:val="24"/>
          <w:szCs w:val="24"/>
          <w:lang w:eastAsia="pt-BR"/>
        </w:rPr>
        <w:t>Sharaf</w:t>
      </w:r>
      <w:r w:rsidR="00821327" w:rsidRPr="00BE227F">
        <w:rPr>
          <w:rFonts w:ascii="Times New Roman" w:eastAsia="SimSun" w:hAnsi="Times New Roman" w:cs="Times New Roman"/>
          <w:color w:val="000000"/>
          <w:sz w:val="24"/>
          <w:szCs w:val="24"/>
          <w:lang w:eastAsia="pt-BR"/>
        </w:rPr>
        <w:t>e</w:t>
      </w:r>
      <w:r w:rsidR="00821327" w:rsidRPr="00BE227F">
        <w:rPr>
          <w:rFonts w:ascii="Times New Roman" w:eastAsia="Times New Roman" w:hAnsi="Times New Roman" w:cs="Times New Roman"/>
          <w:color w:val="000000"/>
          <w:sz w:val="24"/>
          <w:szCs w:val="24"/>
          <w:lang w:eastAsia="pt-BR"/>
        </w:rPr>
        <w:t>ldin</w:t>
      </w:r>
      <w:proofErr w:type="spellEnd"/>
      <w:r w:rsidR="00821327" w:rsidRPr="00BE227F">
        <w:rPr>
          <w:rFonts w:ascii="Times New Roman" w:eastAsia="Times New Roman" w:hAnsi="Times New Roman" w:cs="Times New Roman"/>
          <w:color w:val="000000"/>
          <w:sz w:val="24"/>
          <w:szCs w:val="24"/>
          <w:lang w:eastAsia="pt-BR"/>
        </w:rPr>
        <w:t xml:space="preserve"> Bakri Alaagib</w:t>
      </w:r>
      <w:r w:rsidR="00821327" w:rsidRPr="00BE227F">
        <w:rPr>
          <w:rFonts w:ascii="Times New Roman" w:eastAsia="Times New Roman" w:hAnsi="Times New Roman" w:cs="Times New Roman"/>
          <w:color w:val="000000"/>
          <w:sz w:val="24"/>
          <w:szCs w:val="24"/>
          <w:vertAlign w:val="superscript"/>
          <w:lang w:eastAsia="pt-BR"/>
        </w:rPr>
        <w:t>2</w:t>
      </w:r>
      <w:r w:rsidR="00821327" w:rsidRPr="00BE227F">
        <w:rPr>
          <w:rFonts w:ascii="Times New Roman" w:eastAsia="Times New Roman" w:hAnsi="Times New Roman" w:cs="Times New Roman"/>
          <w:color w:val="000000"/>
          <w:sz w:val="24"/>
          <w:szCs w:val="24"/>
          <w:lang w:eastAsia="pt-BR"/>
        </w:rPr>
        <w:t xml:space="preserve">, </w:t>
      </w:r>
      <w:r w:rsidR="00821327" w:rsidRPr="00BE227F">
        <w:rPr>
          <w:rFonts w:ascii="Times New Roman" w:eastAsia="Times New Roman" w:hAnsi="Times New Roman" w:cs="Times New Roman"/>
          <w:color w:val="000000"/>
          <w:sz w:val="24"/>
          <w:szCs w:val="24"/>
          <w:lang w:eastAsia="pt-BR"/>
        </w:rPr>
        <w:t>Eman Alropy</w:t>
      </w:r>
      <w:r w:rsidR="00821327" w:rsidRPr="00BE227F">
        <w:rPr>
          <w:rFonts w:ascii="Times New Roman" w:eastAsia="Times New Roman" w:hAnsi="Times New Roman" w:cs="Times New Roman"/>
          <w:color w:val="000000"/>
          <w:sz w:val="24"/>
          <w:szCs w:val="24"/>
          <w:vertAlign w:val="superscript"/>
          <w:lang w:eastAsia="pt-BR"/>
        </w:rPr>
        <w:t>3</w:t>
      </w:r>
    </w:p>
    <w:p w14:paraId="6B94A51B" w14:textId="67F34CB8" w:rsidR="00FA6F79" w:rsidRPr="00821327" w:rsidRDefault="00FA6F79" w:rsidP="00821327">
      <w:pPr>
        <w:spacing w:after="0" w:line="360" w:lineRule="auto"/>
        <w:jc w:val="both"/>
        <w:rPr>
          <w:rFonts w:ascii="Times New Roman" w:hAnsi="Times New Roman" w:cs="Times New Roman"/>
          <w:b/>
          <w:bCs/>
          <w:color w:val="000000" w:themeColor="text1"/>
          <w:sz w:val="24"/>
          <w:szCs w:val="24"/>
          <w:vertAlign w:val="superscript"/>
        </w:rPr>
      </w:pPr>
    </w:p>
    <w:p w14:paraId="408EE350" w14:textId="6AECA8A4" w:rsidR="00FA6F79" w:rsidRPr="00821327" w:rsidRDefault="00312522" w:rsidP="00821327">
      <w:pPr>
        <w:spacing w:after="0" w:line="360" w:lineRule="auto"/>
        <w:jc w:val="both"/>
        <w:rPr>
          <w:rFonts w:ascii="Times New Roman" w:hAnsi="Times New Roman" w:cs="Times New Roman"/>
          <w:color w:val="000000" w:themeColor="text1"/>
          <w:sz w:val="24"/>
          <w:szCs w:val="24"/>
        </w:rPr>
      </w:pPr>
      <w:r w:rsidRPr="00821327">
        <w:rPr>
          <w:rFonts w:ascii="Times New Roman" w:hAnsi="Times New Roman" w:cs="Times New Roman"/>
          <w:color w:val="000000" w:themeColor="text1"/>
          <w:sz w:val="24"/>
          <w:szCs w:val="24"/>
          <w:vertAlign w:val="superscript"/>
        </w:rPr>
        <w:t>1</w:t>
      </w:r>
      <w:r w:rsidR="00FA6F79" w:rsidRPr="00821327">
        <w:rPr>
          <w:rFonts w:ascii="Times New Roman" w:hAnsi="Times New Roman" w:cs="Times New Roman"/>
          <w:color w:val="000000" w:themeColor="text1"/>
          <w:sz w:val="24"/>
          <w:szCs w:val="24"/>
        </w:rPr>
        <w:t>Department of Agricultural Engineering, College of Food and Agricultural Sciences, King Saud University, Riyadh, Saudi Arabia</w:t>
      </w:r>
    </w:p>
    <w:p w14:paraId="5D90BFDF" w14:textId="1504AAB3" w:rsidR="00FA6F79" w:rsidRPr="00821327" w:rsidRDefault="00312522" w:rsidP="00821327">
      <w:pPr>
        <w:shd w:val="clear" w:color="auto" w:fill="FFFFFF"/>
        <w:spacing w:after="0" w:line="360" w:lineRule="auto"/>
        <w:jc w:val="both"/>
        <w:rPr>
          <w:rFonts w:ascii="Times New Roman" w:eastAsia="Times New Roman" w:hAnsi="Times New Roman" w:cs="Times New Roman"/>
          <w:color w:val="000000"/>
          <w:sz w:val="24"/>
          <w:szCs w:val="24"/>
          <w:lang w:eastAsia="pt-BR"/>
        </w:rPr>
      </w:pPr>
      <w:r w:rsidRPr="00821327">
        <w:rPr>
          <w:rFonts w:ascii="Times New Roman" w:hAnsi="Times New Roman" w:cs="Times New Roman"/>
          <w:b/>
          <w:bCs/>
          <w:color w:val="000000" w:themeColor="text1"/>
          <w:sz w:val="24"/>
          <w:szCs w:val="24"/>
          <w:vertAlign w:val="superscript"/>
        </w:rPr>
        <w:t>2</w:t>
      </w:r>
      <w:r w:rsidR="00FA6F79" w:rsidRPr="00821327">
        <w:rPr>
          <w:rFonts w:ascii="Times New Roman" w:eastAsia="Times New Roman" w:hAnsi="Times New Roman" w:cs="Times New Roman"/>
          <w:color w:val="000000"/>
          <w:sz w:val="24"/>
          <w:szCs w:val="24"/>
          <w:lang w:eastAsia="pt-BR"/>
        </w:rPr>
        <w:t>Department of Agricultural Economics, College of Food and Agricultural Sciences, King Saud University, P.O. Box 2460, Riyadh 11451, Saudi Arabia</w:t>
      </w:r>
    </w:p>
    <w:p w14:paraId="303E2B07" w14:textId="4A85C242" w:rsidR="00FA6F79" w:rsidRPr="00821327" w:rsidRDefault="00312522" w:rsidP="00821327">
      <w:pPr>
        <w:shd w:val="clear" w:color="auto" w:fill="FFFFFF"/>
        <w:spacing w:after="0" w:line="360" w:lineRule="auto"/>
        <w:jc w:val="both"/>
        <w:rPr>
          <w:rFonts w:ascii="Times New Roman" w:eastAsia="Times New Roman" w:hAnsi="Times New Roman" w:cs="Times New Roman"/>
          <w:color w:val="000000"/>
          <w:sz w:val="24"/>
          <w:szCs w:val="24"/>
          <w:lang w:eastAsia="pt-BR"/>
        </w:rPr>
      </w:pPr>
      <w:r w:rsidRPr="00821327">
        <w:rPr>
          <w:rFonts w:ascii="Times New Roman" w:eastAsia="Times New Roman" w:hAnsi="Times New Roman" w:cs="Times New Roman"/>
          <w:color w:val="000000"/>
          <w:sz w:val="24"/>
          <w:szCs w:val="24"/>
          <w:vertAlign w:val="superscript"/>
          <w:lang w:eastAsia="pt-BR"/>
        </w:rPr>
        <w:t>2</w:t>
      </w:r>
      <w:r w:rsidR="00FA6F79" w:rsidRPr="00821327">
        <w:rPr>
          <w:rFonts w:ascii="Times New Roman" w:eastAsia="Times New Roman" w:hAnsi="Times New Roman" w:cs="Times New Roman"/>
          <w:color w:val="000000"/>
          <w:sz w:val="24"/>
          <w:szCs w:val="24"/>
          <w:lang w:eastAsia="pt-BR"/>
        </w:rPr>
        <w:t>Department of Agricultural Economics, College of Food and Agricultural Sciences, King Saud University, P.O. Box 2460, Riyadh 11451, Saudi Arabia</w:t>
      </w:r>
    </w:p>
    <w:p w14:paraId="776EEEFA" w14:textId="653F60EA" w:rsidR="00FA6F79" w:rsidRPr="00821327" w:rsidRDefault="00FA6F79" w:rsidP="00821327">
      <w:pPr>
        <w:spacing w:after="0" w:line="360" w:lineRule="auto"/>
        <w:jc w:val="both"/>
        <w:rPr>
          <w:rFonts w:ascii="Times New Roman" w:hAnsi="Times New Roman" w:cs="Times New Roman"/>
          <w:color w:val="000000" w:themeColor="text1"/>
          <w:sz w:val="24"/>
          <w:szCs w:val="24"/>
        </w:rPr>
      </w:pPr>
      <w:r w:rsidRPr="00821327">
        <w:rPr>
          <w:rFonts w:ascii="Times New Roman" w:hAnsi="Times New Roman" w:cs="Times New Roman"/>
          <w:color w:val="000000" w:themeColor="text1"/>
          <w:sz w:val="24"/>
          <w:szCs w:val="24"/>
        </w:rPr>
        <w:t>Department of Food Science and Nutrition, College of Food and Agricultural Sciences, King Saud University, Riyadh, Saudi Arabia</w:t>
      </w:r>
    </w:p>
    <w:p w14:paraId="35077184" w14:textId="4B75EF43" w:rsidR="00FA6F79" w:rsidRPr="00821327" w:rsidRDefault="00312522" w:rsidP="00821327">
      <w:pPr>
        <w:shd w:val="clear" w:color="auto" w:fill="FFFFFF"/>
        <w:spacing w:after="0" w:line="360" w:lineRule="auto"/>
        <w:jc w:val="both"/>
        <w:rPr>
          <w:rFonts w:ascii="Times New Roman" w:eastAsia="Times New Roman" w:hAnsi="Times New Roman" w:cs="Times New Roman"/>
          <w:color w:val="000000"/>
          <w:sz w:val="24"/>
          <w:szCs w:val="24"/>
          <w:lang w:eastAsia="pt-BR"/>
        </w:rPr>
      </w:pPr>
      <w:r w:rsidRPr="00821327">
        <w:rPr>
          <w:rFonts w:ascii="Times New Roman" w:eastAsia="Times New Roman" w:hAnsi="Times New Roman" w:cs="Times New Roman"/>
          <w:color w:val="000000"/>
          <w:sz w:val="24"/>
          <w:szCs w:val="24"/>
          <w:vertAlign w:val="superscript"/>
          <w:lang w:eastAsia="pt-BR"/>
        </w:rPr>
        <w:t>1</w:t>
      </w:r>
      <w:r w:rsidR="00FA6F79" w:rsidRPr="00821327">
        <w:rPr>
          <w:rFonts w:ascii="Times New Roman" w:eastAsia="Times New Roman" w:hAnsi="Times New Roman" w:cs="Times New Roman"/>
          <w:color w:val="000000"/>
          <w:sz w:val="24"/>
          <w:szCs w:val="24"/>
          <w:lang w:eastAsia="pt-BR"/>
        </w:rPr>
        <w:t>Department of Agricultural Engineering, College of Food and Agriculture Sciences, King Saud University, P.O. Box 2460, Riyadh 11451, Saudi Arabia</w:t>
      </w:r>
    </w:p>
    <w:p w14:paraId="4DE3F3DA" w14:textId="0BC8A7B6" w:rsidR="00FA6F79" w:rsidRPr="00821327" w:rsidRDefault="00821327" w:rsidP="00821327">
      <w:pPr>
        <w:shd w:val="clear" w:color="auto" w:fill="FFFFFF"/>
        <w:spacing w:after="0" w:line="360" w:lineRule="auto"/>
        <w:jc w:val="both"/>
        <w:rPr>
          <w:rFonts w:ascii="Times New Roman" w:eastAsia="Times New Roman" w:hAnsi="Times New Roman" w:cs="Times New Roman"/>
          <w:color w:val="000000"/>
          <w:sz w:val="24"/>
          <w:szCs w:val="24"/>
          <w:lang w:eastAsia="pt-BR"/>
        </w:rPr>
      </w:pPr>
      <w:bookmarkStart w:id="0" w:name="_Hlk198029354"/>
      <w:r w:rsidRPr="00821327">
        <w:rPr>
          <w:rFonts w:ascii="Times New Roman" w:eastAsia="Times New Roman" w:hAnsi="Times New Roman" w:cs="Times New Roman"/>
          <w:color w:val="000000"/>
          <w:sz w:val="24"/>
          <w:szCs w:val="24"/>
          <w:vertAlign w:val="superscript"/>
          <w:lang w:eastAsia="pt-BR"/>
        </w:rPr>
        <w:t>2</w:t>
      </w:r>
      <w:r w:rsidR="00FA6F79" w:rsidRPr="00821327">
        <w:rPr>
          <w:rFonts w:ascii="Times New Roman" w:eastAsia="Times New Roman" w:hAnsi="Times New Roman" w:cs="Times New Roman"/>
          <w:color w:val="000000"/>
          <w:sz w:val="24"/>
          <w:szCs w:val="24"/>
          <w:lang w:eastAsia="pt-BR"/>
        </w:rPr>
        <w:t>Department of Agricultural Economics, College of Food and Agricultural Sciences, King Saud University, P.O. Box 2460, Riyadh 11451, Saudi Arabia</w:t>
      </w:r>
    </w:p>
    <w:bookmarkEnd w:id="0"/>
    <w:p w14:paraId="7B07E3BD" w14:textId="2BD6AA84" w:rsidR="00FA6F79" w:rsidRPr="00821327" w:rsidRDefault="00821327" w:rsidP="00821327">
      <w:pPr>
        <w:shd w:val="clear" w:color="auto" w:fill="FFFFFF"/>
        <w:spacing w:after="0" w:line="360" w:lineRule="auto"/>
        <w:jc w:val="both"/>
        <w:rPr>
          <w:rFonts w:ascii="Times New Roman" w:eastAsia="Times New Roman" w:hAnsi="Times New Roman" w:cs="Times New Roman"/>
          <w:color w:val="000000"/>
          <w:sz w:val="24"/>
          <w:szCs w:val="24"/>
          <w:lang w:val="pt-BR" w:eastAsia="pt-BR"/>
        </w:rPr>
      </w:pPr>
      <w:r w:rsidRPr="00821327">
        <w:rPr>
          <w:rFonts w:ascii="Times New Roman" w:eastAsia="Times New Roman" w:hAnsi="Times New Roman" w:cs="Times New Roman"/>
          <w:color w:val="000000"/>
          <w:sz w:val="24"/>
          <w:szCs w:val="24"/>
          <w:vertAlign w:val="superscript"/>
          <w:lang w:val="pt-BR" w:eastAsia="pt-BR"/>
        </w:rPr>
        <w:t>2</w:t>
      </w:r>
      <w:r w:rsidR="00FA6F79" w:rsidRPr="00821327">
        <w:rPr>
          <w:rFonts w:ascii="Times New Roman" w:eastAsia="Times New Roman" w:hAnsi="Times New Roman" w:cs="Times New Roman"/>
          <w:color w:val="000000"/>
          <w:sz w:val="24"/>
          <w:szCs w:val="24"/>
          <w:lang w:val="pt-BR" w:eastAsia="pt-BR"/>
        </w:rPr>
        <w:t>Department of Agricultural Economics, College of Food and Agricultural Sciences, King Saud Univer-sity, P.O. Box 2460, Riyadh 11451, Saudi Arabia</w:t>
      </w:r>
    </w:p>
    <w:p w14:paraId="15B34F8D" w14:textId="7D2FD2AB" w:rsidR="00FA6F79" w:rsidRPr="00821327" w:rsidRDefault="00821327" w:rsidP="00821327">
      <w:pPr>
        <w:shd w:val="clear" w:color="auto" w:fill="FFFFFF"/>
        <w:spacing w:after="0" w:line="360" w:lineRule="auto"/>
        <w:jc w:val="both"/>
        <w:rPr>
          <w:rFonts w:ascii="Times New Roman" w:eastAsia="Times New Roman" w:hAnsi="Times New Roman" w:cs="Times New Roman"/>
          <w:color w:val="000000"/>
          <w:sz w:val="24"/>
          <w:szCs w:val="24"/>
          <w:lang w:eastAsia="pt-BR"/>
        </w:rPr>
      </w:pPr>
      <w:r w:rsidRPr="00821327">
        <w:rPr>
          <w:rFonts w:ascii="Times New Roman" w:eastAsia="Times New Roman" w:hAnsi="Times New Roman" w:cs="Times New Roman"/>
          <w:b/>
          <w:bCs/>
          <w:color w:val="000000"/>
          <w:sz w:val="24"/>
          <w:szCs w:val="24"/>
          <w:vertAlign w:val="superscript"/>
          <w:lang w:eastAsia="pt-BR"/>
        </w:rPr>
        <w:t>2</w:t>
      </w:r>
      <w:r w:rsidR="00FA6F79" w:rsidRPr="00821327">
        <w:rPr>
          <w:rFonts w:ascii="Times New Roman" w:eastAsia="Times New Roman" w:hAnsi="Times New Roman" w:cs="Times New Roman"/>
          <w:color w:val="000000"/>
          <w:sz w:val="24"/>
          <w:szCs w:val="24"/>
          <w:lang w:eastAsia="pt-BR"/>
        </w:rPr>
        <w:t>Department of Agricultural Economics, College of Food and Agricultural Sciences, King Saud University, P.O. Box 2460, Riyadh 11451, Saudi Arabia</w:t>
      </w:r>
    </w:p>
    <w:p w14:paraId="5AFF6D6D" w14:textId="09679BDE" w:rsidR="00FA6F79" w:rsidRPr="00821327" w:rsidRDefault="00821327" w:rsidP="00821327">
      <w:pPr>
        <w:pStyle w:val="MDPI16affiliation"/>
        <w:spacing w:line="360" w:lineRule="auto"/>
        <w:ind w:left="202" w:hanging="202"/>
        <w:jc w:val="both"/>
        <w:rPr>
          <w:rFonts w:ascii="Times New Roman" w:hAnsi="Times New Roman"/>
          <w:sz w:val="24"/>
          <w:szCs w:val="24"/>
          <w:lang w:eastAsia="pt-BR" w:bidi="ar-SA"/>
        </w:rPr>
      </w:pPr>
      <w:r w:rsidRPr="00821327">
        <w:rPr>
          <w:rFonts w:ascii="Times New Roman" w:hAnsi="Times New Roman"/>
          <w:sz w:val="24"/>
          <w:szCs w:val="24"/>
          <w:vertAlign w:val="superscript"/>
          <w:lang w:eastAsia="pt-BR" w:bidi="ar-SA"/>
        </w:rPr>
        <w:t>3</w:t>
      </w:r>
      <w:r w:rsidR="00FA6F79" w:rsidRPr="00821327">
        <w:rPr>
          <w:rFonts w:ascii="Times New Roman" w:hAnsi="Times New Roman"/>
          <w:sz w:val="24"/>
          <w:szCs w:val="24"/>
          <w:lang w:eastAsia="pt-BR" w:bidi="ar-SA"/>
        </w:rPr>
        <w:t xml:space="preserve">Department of Administrative Science Program, Applied College, Princess Nourah </w:t>
      </w:r>
      <w:proofErr w:type="spellStart"/>
      <w:r w:rsidR="00FA6F79" w:rsidRPr="00821327">
        <w:rPr>
          <w:rFonts w:ascii="Times New Roman" w:hAnsi="Times New Roman"/>
          <w:sz w:val="24"/>
          <w:szCs w:val="24"/>
          <w:lang w:eastAsia="pt-BR" w:bidi="ar-SA"/>
        </w:rPr>
        <w:t>bint</w:t>
      </w:r>
      <w:proofErr w:type="spellEnd"/>
      <w:r w:rsidR="00FA6F79" w:rsidRPr="00821327">
        <w:rPr>
          <w:rFonts w:ascii="Times New Roman" w:hAnsi="Times New Roman"/>
          <w:sz w:val="24"/>
          <w:szCs w:val="24"/>
          <w:lang w:eastAsia="pt-BR" w:bidi="ar-SA"/>
        </w:rPr>
        <w:t xml:space="preserve"> Abdulrahman University.</w:t>
      </w:r>
    </w:p>
    <w:p w14:paraId="4949464A" w14:textId="77777777" w:rsidR="00FB4D9D" w:rsidRPr="00FB4D9D" w:rsidRDefault="00FB4D9D" w:rsidP="00256270">
      <w:pPr>
        <w:spacing w:after="0" w:line="360" w:lineRule="auto"/>
        <w:jc w:val="both"/>
        <w:rPr>
          <w:rStyle w:val="Strong"/>
          <w:rFonts w:ascii="Times New Roman" w:eastAsia="Times New Roman" w:hAnsi="Times New Roman" w:cs="Times New Roman"/>
          <w:color w:val="000000" w:themeColor="text1"/>
          <w:kern w:val="0"/>
          <w:sz w:val="20"/>
          <w:szCs w:val="20"/>
          <w:u w:val="single"/>
          <w14:ligatures w14:val="none"/>
        </w:rPr>
      </w:pPr>
    </w:p>
    <w:p w14:paraId="3FC15338" w14:textId="73B8EC31" w:rsidR="007F02DE" w:rsidRPr="00821327" w:rsidRDefault="00482D87" w:rsidP="00482D87">
      <w:pPr>
        <w:spacing w:after="0" w:line="360" w:lineRule="auto"/>
        <w:jc w:val="center"/>
        <w:rPr>
          <w:rStyle w:val="Strong"/>
          <w:rFonts w:ascii="Times New Roman" w:eastAsia="Times New Roman" w:hAnsi="Times New Roman" w:cs="Times New Roman"/>
          <w:color w:val="000000" w:themeColor="text1"/>
          <w:kern w:val="0"/>
          <w:sz w:val="24"/>
          <w:szCs w:val="24"/>
          <w14:ligatures w14:val="none"/>
        </w:rPr>
      </w:pPr>
      <w:r w:rsidRPr="00821327">
        <w:rPr>
          <w:rStyle w:val="Strong"/>
          <w:rFonts w:ascii="Times New Roman" w:eastAsia="Times New Roman" w:hAnsi="Times New Roman" w:cs="Times New Roman"/>
          <w:color w:val="000000" w:themeColor="text1"/>
          <w:kern w:val="0"/>
          <w:sz w:val="24"/>
          <w:szCs w:val="24"/>
          <w14:ligatures w14:val="none"/>
        </w:rPr>
        <w:t>ABSTRACT</w:t>
      </w:r>
    </w:p>
    <w:p w14:paraId="0294F488" w14:textId="03DAF5BD" w:rsidR="00AA16D5" w:rsidRPr="00FA6F79" w:rsidRDefault="00306894" w:rsidP="00256270">
      <w:pPr>
        <w:pStyle w:val="pf0"/>
        <w:spacing w:before="0" w:beforeAutospacing="0" w:after="0" w:afterAutospacing="0" w:line="360" w:lineRule="auto"/>
        <w:jc w:val="lowKashida"/>
        <w:rPr>
          <w:rStyle w:val="Strong"/>
          <w:b w:val="0"/>
          <w:bCs w:val="0"/>
          <w:lang w:val="en"/>
        </w:rPr>
      </w:pPr>
      <w:r w:rsidRPr="00FA6F79">
        <w:rPr>
          <w:rStyle w:val="cf01"/>
          <w:rFonts w:ascii="Times New Roman" w:hAnsi="Times New Roman"/>
          <w:sz w:val="24"/>
          <w:szCs w:val="24"/>
          <w:lang w:val="en"/>
        </w:rPr>
        <w:t xml:space="preserve">This study provides an economic and technical assessment of cold and freezing storage warehouses in the Riyadh region, focusing on their role in improving food supply chain efficiency. Data </w:t>
      </w:r>
      <w:proofErr w:type="gramStart"/>
      <w:r w:rsidRPr="00FA6F79">
        <w:rPr>
          <w:rStyle w:val="cf01"/>
          <w:rFonts w:ascii="Times New Roman" w:hAnsi="Times New Roman"/>
          <w:sz w:val="24"/>
          <w:szCs w:val="24"/>
          <w:lang w:val="en"/>
        </w:rPr>
        <w:t>were</w:t>
      </w:r>
      <w:proofErr w:type="gramEnd"/>
      <w:r w:rsidRPr="00FA6F79">
        <w:rPr>
          <w:rStyle w:val="cf01"/>
          <w:rFonts w:ascii="Times New Roman" w:hAnsi="Times New Roman"/>
          <w:sz w:val="24"/>
          <w:szCs w:val="24"/>
          <w:lang w:val="en"/>
        </w:rPr>
        <w:t xml:space="preserve"> collected from 60 facilities, with Riyadh City accounting for 88.3% of the sample, reflecting its central role in the sector. Results reveal wide variation in facility characteristics, including room count, storage capacity, and workforce size, with an average storage capacity of 3,078.95 tons. Larger warehouses demonstrated clear economies of scale, reducing unit storage costs. Market orientation is predominantly domestic, with 84.88% of storage serving local demand and only </w:t>
      </w:r>
      <w:r w:rsidRPr="00FA6F79">
        <w:rPr>
          <w:rStyle w:val="cf01"/>
          <w:rFonts w:ascii="Times New Roman" w:hAnsi="Times New Roman"/>
          <w:sz w:val="24"/>
          <w:szCs w:val="24"/>
          <w:lang w:val="en"/>
        </w:rPr>
        <w:lastRenderedPageBreak/>
        <w:t xml:space="preserve">20.61% allocated to exports, highlighting underutilized export potential. Financial analysis showed an average monthly net profit of SAR 194,000 (51,733 USD), with variable costs comprising 93.08% of total expenses. Regression results confirmed that the number of rooms, years of experience, and workforce size significantly and positively </w:t>
      </w:r>
      <w:r w:rsidR="00925FD8" w:rsidRPr="00FA6F79">
        <w:rPr>
          <w:rStyle w:val="cf01"/>
          <w:rFonts w:ascii="Times New Roman" w:hAnsi="Times New Roman"/>
          <w:sz w:val="24"/>
          <w:szCs w:val="24"/>
          <w:lang w:val="en"/>
        </w:rPr>
        <w:t>influence.</w:t>
      </w:r>
    </w:p>
    <w:p w14:paraId="5149B424" w14:textId="4C72C6CC" w:rsidR="007F02DE" w:rsidRPr="00FA6F79" w:rsidRDefault="007F02DE" w:rsidP="00256270">
      <w:pPr>
        <w:spacing w:after="0" w:line="360" w:lineRule="auto"/>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color w:val="000000" w:themeColor="text1"/>
          <w:kern w:val="0"/>
          <w:sz w:val="24"/>
          <w:szCs w:val="24"/>
          <w14:ligatures w14:val="none"/>
        </w:rPr>
        <w:t>Keywords</w:t>
      </w:r>
      <w:r w:rsidRPr="00FA6F79">
        <w:rPr>
          <w:rStyle w:val="Strong"/>
          <w:rFonts w:ascii="Times New Roman" w:eastAsia="Times New Roman" w:hAnsi="Times New Roman" w:cs="Times New Roman"/>
          <w:b w:val="0"/>
          <w:bCs w:val="0"/>
          <w:color w:val="000000" w:themeColor="text1"/>
          <w:kern w:val="0"/>
          <w:sz w:val="24"/>
          <w:szCs w:val="24"/>
          <w14:ligatures w14:val="none"/>
        </w:rPr>
        <w:t xml:space="preserve">: Cold and freezing </w:t>
      </w:r>
      <w:r w:rsidR="00685AFC" w:rsidRPr="00FA6F79">
        <w:rPr>
          <w:rStyle w:val="Strong"/>
          <w:rFonts w:ascii="Times New Roman" w:eastAsia="Times New Roman" w:hAnsi="Times New Roman" w:cs="Times New Roman"/>
          <w:b w:val="0"/>
          <w:bCs w:val="0"/>
          <w:color w:val="000000" w:themeColor="text1"/>
          <w:kern w:val="0"/>
          <w:sz w:val="24"/>
          <w:szCs w:val="24"/>
          <w14:ligatures w14:val="none"/>
        </w:rPr>
        <w:t>storage</w:t>
      </w:r>
      <w:r w:rsidR="001F79F5" w:rsidRPr="00FA6F79">
        <w:rPr>
          <w:rStyle w:val="Strong"/>
          <w:rFonts w:ascii="Times New Roman" w:eastAsia="Times New Roman" w:hAnsi="Times New Roman" w:cs="Times New Roman"/>
          <w:b w:val="0"/>
          <w:bCs w:val="0"/>
          <w:color w:val="000000" w:themeColor="text1"/>
          <w:kern w:val="0"/>
          <w:sz w:val="24"/>
          <w:szCs w:val="24"/>
          <w14:ligatures w14:val="none"/>
        </w:rPr>
        <w:t>;</w:t>
      </w:r>
      <w:r w:rsidR="00761BD1" w:rsidRPr="00FA6F79">
        <w:rPr>
          <w:rStyle w:val="Strong"/>
          <w:rFonts w:ascii="Times New Roman" w:eastAsia="Times New Roman" w:hAnsi="Times New Roman" w:cs="Times New Roman"/>
          <w:b w:val="0"/>
          <w:bCs w:val="0"/>
          <w:color w:val="000000" w:themeColor="text1"/>
          <w:kern w:val="0"/>
          <w:sz w:val="24"/>
          <w:szCs w:val="24"/>
          <w14:ligatures w14:val="none"/>
        </w:rPr>
        <w:t xml:space="preserve"> operational efficiency</w:t>
      </w:r>
      <w:r w:rsidR="001F79F5" w:rsidRPr="00FA6F79">
        <w:rPr>
          <w:rStyle w:val="Strong"/>
          <w:rFonts w:ascii="Times New Roman" w:eastAsia="Times New Roman" w:hAnsi="Times New Roman" w:cs="Times New Roman"/>
          <w:b w:val="0"/>
          <w:bCs w:val="0"/>
          <w:color w:val="000000" w:themeColor="text1"/>
          <w:kern w:val="0"/>
          <w:sz w:val="24"/>
          <w:szCs w:val="24"/>
          <w14:ligatures w14:val="none"/>
        </w:rPr>
        <w:t>;</w:t>
      </w:r>
      <w:r w:rsidR="00761BD1" w:rsidRPr="00FA6F79">
        <w:rPr>
          <w:rStyle w:val="Strong"/>
          <w:rFonts w:ascii="Times New Roman" w:eastAsia="Times New Roman" w:hAnsi="Times New Roman" w:cs="Times New Roman"/>
          <w:b w:val="0"/>
          <w:bCs w:val="0"/>
          <w:color w:val="000000" w:themeColor="text1"/>
          <w:kern w:val="0"/>
          <w:sz w:val="24"/>
          <w:szCs w:val="24"/>
          <w14:ligatures w14:val="none"/>
        </w:rPr>
        <w:t xml:space="preserve"> storage capacity</w:t>
      </w:r>
      <w:r w:rsidR="001F79F5" w:rsidRPr="00FA6F79">
        <w:rPr>
          <w:rStyle w:val="Strong"/>
          <w:rFonts w:ascii="Times New Roman" w:eastAsia="Times New Roman" w:hAnsi="Times New Roman" w:cs="Times New Roman"/>
          <w:b w:val="0"/>
          <w:bCs w:val="0"/>
          <w:color w:val="000000" w:themeColor="text1"/>
          <w:kern w:val="0"/>
          <w:sz w:val="24"/>
          <w:szCs w:val="24"/>
          <w14:ligatures w14:val="none"/>
        </w:rPr>
        <w:t>;</w:t>
      </w:r>
      <w:r w:rsidR="00761BD1" w:rsidRPr="00FA6F79">
        <w:rPr>
          <w:rStyle w:val="Strong"/>
          <w:rFonts w:ascii="Times New Roman" w:eastAsia="Times New Roman" w:hAnsi="Times New Roman" w:cs="Times New Roman"/>
          <w:b w:val="0"/>
          <w:bCs w:val="0"/>
          <w:color w:val="000000" w:themeColor="text1"/>
          <w:kern w:val="0"/>
          <w:sz w:val="24"/>
          <w:szCs w:val="24"/>
          <w14:ligatures w14:val="none"/>
        </w:rPr>
        <w:t xml:space="preserve"> economies of scale</w:t>
      </w:r>
      <w:r w:rsidR="001F79F5" w:rsidRPr="00FA6F79">
        <w:rPr>
          <w:rStyle w:val="Strong"/>
          <w:rFonts w:ascii="Times New Roman" w:eastAsia="Times New Roman" w:hAnsi="Times New Roman" w:cs="Times New Roman"/>
          <w:b w:val="0"/>
          <w:bCs w:val="0"/>
          <w:color w:val="000000" w:themeColor="text1"/>
          <w:kern w:val="0"/>
          <w:sz w:val="24"/>
          <w:szCs w:val="24"/>
          <w14:ligatures w14:val="none"/>
        </w:rPr>
        <w:t>;</w:t>
      </w:r>
      <w:r w:rsidRPr="00FA6F79">
        <w:rPr>
          <w:rStyle w:val="Strong"/>
          <w:rFonts w:ascii="Times New Roman" w:eastAsia="Times New Roman" w:hAnsi="Times New Roman" w:cs="Times New Roman"/>
          <w:b w:val="0"/>
          <w:bCs w:val="0"/>
          <w:color w:val="000000" w:themeColor="text1"/>
          <w:kern w:val="0"/>
          <w:sz w:val="24"/>
          <w:szCs w:val="24"/>
          <w14:ligatures w14:val="none"/>
        </w:rPr>
        <w:t xml:space="preserve"> operational costs</w:t>
      </w:r>
      <w:r w:rsidR="0003421A" w:rsidRPr="00FA6F79">
        <w:rPr>
          <w:rStyle w:val="Strong"/>
          <w:rFonts w:ascii="Times New Roman" w:eastAsia="Times New Roman" w:hAnsi="Times New Roman" w:cs="Times New Roman"/>
          <w:b w:val="0"/>
          <w:bCs w:val="0"/>
          <w:color w:val="000000" w:themeColor="text1"/>
          <w:kern w:val="0"/>
          <w:sz w:val="24"/>
          <w:szCs w:val="24"/>
          <w14:ligatures w14:val="none"/>
        </w:rPr>
        <w:t>.</w:t>
      </w:r>
    </w:p>
    <w:p w14:paraId="0A7A7DDF" w14:textId="77777777" w:rsidR="0058585E" w:rsidRPr="00FA6F79" w:rsidRDefault="0058585E" w:rsidP="001B3AF4">
      <w:pPr>
        <w:spacing w:after="0" w:line="240" w:lineRule="auto"/>
        <w:jc w:val="both"/>
        <w:rPr>
          <w:rStyle w:val="Strong"/>
          <w:rFonts w:ascii="Times New Roman" w:eastAsia="Times New Roman" w:hAnsi="Times New Roman" w:cs="Times New Roman"/>
          <w:color w:val="000000" w:themeColor="text1"/>
          <w:kern w:val="0"/>
          <w:sz w:val="24"/>
          <w:szCs w:val="24"/>
          <w14:ligatures w14:val="none"/>
        </w:rPr>
      </w:pPr>
    </w:p>
    <w:p w14:paraId="13909821" w14:textId="2E35598F" w:rsidR="007F02DE" w:rsidRPr="00FA6F79" w:rsidRDefault="007E7E5F" w:rsidP="00BB3842">
      <w:pPr>
        <w:spacing w:after="0" w:line="360" w:lineRule="auto"/>
        <w:jc w:val="both"/>
        <w:rPr>
          <w:rStyle w:val="Strong"/>
          <w:rFonts w:ascii="Times New Roman" w:eastAsia="Times New Roman" w:hAnsi="Times New Roman" w:cs="Times New Roman"/>
          <w:color w:val="000000" w:themeColor="text1"/>
          <w:kern w:val="0"/>
          <w:sz w:val="24"/>
          <w:szCs w:val="24"/>
          <w14:ligatures w14:val="none"/>
        </w:rPr>
      </w:pPr>
      <w:r w:rsidRPr="00FA6F79">
        <w:rPr>
          <w:rStyle w:val="Strong"/>
          <w:rFonts w:ascii="Times New Roman" w:eastAsia="Times New Roman" w:hAnsi="Times New Roman" w:cs="Times New Roman"/>
          <w:color w:val="000000" w:themeColor="text1"/>
          <w:kern w:val="0"/>
          <w:sz w:val="24"/>
          <w:szCs w:val="24"/>
          <w14:ligatures w14:val="none"/>
        </w:rPr>
        <w:t>1</w:t>
      </w:r>
      <w:r w:rsidR="00805751" w:rsidRPr="00FA6F79">
        <w:rPr>
          <w:rStyle w:val="Strong"/>
          <w:rFonts w:ascii="Times New Roman" w:eastAsia="Times New Roman" w:hAnsi="Times New Roman" w:cs="Times New Roman"/>
          <w:color w:val="000000" w:themeColor="text1"/>
          <w:kern w:val="0"/>
          <w:sz w:val="24"/>
          <w:szCs w:val="24"/>
          <w14:ligatures w14:val="none"/>
        </w:rPr>
        <w:t>. INTRODUCTION</w:t>
      </w:r>
    </w:p>
    <w:p w14:paraId="2B1F768A" w14:textId="4FB98EA0" w:rsidR="008A16BD" w:rsidRPr="00FA6F79" w:rsidRDefault="00805751" w:rsidP="00BB3842">
      <w:pPr>
        <w:pStyle w:val="pf0"/>
        <w:spacing w:before="0" w:beforeAutospacing="0" w:after="0" w:afterAutospacing="0" w:line="360" w:lineRule="auto"/>
        <w:jc w:val="lowKashida"/>
      </w:pPr>
      <w:r>
        <w:rPr>
          <w:rStyle w:val="cf01"/>
          <w:rFonts w:ascii="Times New Roman" w:hAnsi="Times New Roman"/>
          <w:sz w:val="24"/>
          <w:szCs w:val="24"/>
        </w:rPr>
        <w:tab/>
      </w:r>
      <w:r w:rsidR="008A16BD" w:rsidRPr="00FA6F79">
        <w:rPr>
          <w:rStyle w:val="cf01"/>
          <w:rFonts w:ascii="Times New Roman" w:hAnsi="Times New Roman"/>
          <w:sz w:val="24"/>
          <w:szCs w:val="24"/>
        </w:rPr>
        <w:t>Food security is a global strategic priority due to recurring challenges arising from fluctuations in agricultural production and instability in food supply chains. In recent years, increasing environmental pressures, climate variability, and global market volatility have heightened the urgency for countries to achieve higher levels of self-sufficiency and reduce dependence on imports. In Saudi Arabia, dates hold significant economic and cultural importance, representing a major agricultural commodity with both local consumption and export potential. The country ranks among the largest producers globally, with an annual output exceeding 1.5 million tons from approximately 36 million palm trees (National Center for Palms and Dates, 2024). Despite this substantial production, the proportion allocated to export markets remains relatively low, averaging 8.96% between 2000 and 2021 and reaching 20.3% in 2021, indicating untapped opportunities for enhancing the sector’s contribution to national income and global m</w:t>
      </w:r>
    </w:p>
    <w:p w14:paraId="71135FC0" w14:textId="77777777" w:rsidR="008A16BD" w:rsidRPr="00FA6F79" w:rsidRDefault="008A16BD" w:rsidP="00BB3842">
      <w:pPr>
        <w:pStyle w:val="pf0"/>
        <w:spacing w:before="0" w:beforeAutospacing="0" w:after="0" w:afterAutospacing="0" w:line="360" w:lineRule="auto"/>
        <w:jc w:val="lowKashida"/>
      </w:pPr>
      <w:r w:rsidRPr="00FA6F79">
        <w:rPr>
          <w:rStyle w:val="cf01"/>
          <w:rFonts w:ascii="Times New Roman" w:hAnsi="Times New Roman"/>
          <w:sz w:val="24"/>
          <w:szCs w:val="24"/>
        </w:rPr>
        <w:t xml:space="preserve">Temperature control during storage is one of the most critical factors in preserving the quality of dates, particularly for moist varieties that are more susceptible to spoilage due to high </w:t>
      </w:r>
      <w:proofErr w:type="gramStart"/>
      <w:r w:rsidRPr="00FA6F79">
        <w:rPr>
          <w:rStyle w:val="cf01"/>
          <w:rFonts w:ascii="Times New Roman" w:hAnsi="Times New Roman"/>
          <w:sz w:val="24"/>
          <w:szCs w:val="24"/>
        </w:rPr>
        <w:t>invert</w:t>
      </w:r>
      <w:proofErr w:type="gramEnd"/>
      <w:r w:rsidRPr="00FA6F79">
        <w:rPr>
          <w:rStyle w:val="cf01"/>
          <w:rFonts w:ascii="Times New Roman" w:hAnsi="Times New Roman"/>
          <w:sz w:val="24"/>
          <w:szCs w:val="24"/>
        </w:rPr>
        <w:t xml:space="preserve"> sugar content. Cooling and freezing technologies are essential for extending shelf life, maintaining sensory and nutritional quality, and ensuring competitiveness in international markets. However, challenges persist in the adequacy and efficiency of storage facilities, including limited adoption of advanced technologies, insufficient alignment of storage capacities with production volumes, and a strong reliance on the domestic market.</w:t>
      </w:r>
    </w:p>
    <w:p w14:paraId="6504DB7D" w14:textId="1CA17B80" w:rsidR="008A16BD" w:rsidRPr="00FA6F79" w:rsidRDefault="00805751" w:rsidP="00BB3842">
      <w:pPr>
        <w:pStyle w:val="pf0"/>
        <w:spacing w:before="0" w:beforeAutospacing="0" w:after="0" w:afterAutospacing="0" w:line="360" w:lineRule="auto"/>
        <w:jc w:val="lowKashida"/>
        <w:rPr>
          <w:rStyle w:val="cf01"/>
          <w:rFonts w:ascii="Times New Roman" w:hAnsi="Times New Roman"/>
          <w:sz w:val="24"/>
          <w:szCs w:val="24"/>
          <w:rtl/>
        </w:rPr>
      </w:pPr>
      <w:r>
        <w:rPr>
          <w:rStyle w:val="cf01"/>
          <w:rFonts w:ascii="Times New Roman" w:hAnsi="Times New Roman"/>
          <w:sz w:val="24"/>
          <w:szCs w:val="24"/>
        </w:rPr>
        <w:tab/>
      </w:r>
      <w:r w:rsidR="008A16BD" w:rsidRPr="00FA6F79">
        <w:rPr>
          <w:rStyle w:val="cf01"/>
          <w:rFonts w:ascii="Times New Roman" w:hAnsi="Times New Roman"/>
          <w:sz w:val="24"/>
          <w:szCs w:val="24"/>
        </w:rPr>
        <w:t xml:space="preserve">Recent studies have addressed these issues by examining both technical and economic aspects of cold storage systems. For example, Alqahtani, Al-Obaidi, and </w:t>
      </w:r>
      <w:proofErr w:type="spellStart"/>
      <w:r w:rsidR="008A16BD" w:rsidRPr="00FA6F79">
        <w:rPr>
          <w:rStyle w:val="cf01"/>
          <w:rFonts w:ascii="Times New Roman" w:hAnsi="Times New Roman"/>
          <w:sz w:val="24"/>
          <w:szCs w:val="24"/>
        </w:rPr>
        <w:t>Ghnimi</w:t>
      </w:r>
      <w:proofErr w:type="spellEnd"/>
      <w:r w:rsidR="008A16BD" w:rsidRPr="00FA6F79">
        <w:rPr>
          <w:rStyle w:val="cf01"/>
          <w:rFonts w:ascii="Times New Roman" w:hAnsi="Times New Roman"/>
          <w:sz w:val="24"/>
          <w:szCs w:val="24"/>
        </w:rPr>
        <w:t xml:space="preserve"> (2025) reviewed preservation methods at the </w:t>
      </w:r>
      <w:proofErr w:type="spellStart"/>
      <w:r w:rsidR="008A16BD" w:rsidRPr="00FA6F79">
        <w:rPr>
          <w:rStyle w:val="cf01"/>
          <w:rFonts w:ascii="Times New Roman" w:hAnsi="Times New Roman"/>
          <w:sz w:val="24"/>
          <w:szCs w:val="24"/>
        </w:rPr>
        <w:t>Khalal</w:t>
      </w:r>
      <w:proofErr w:type="spellEnd"/>
      <w:r w:rsidR="008A16BD" w:rsidRPr="00FA6F79">
        <w:rPr>
          <w:rStyle w:val="cf01"/>
          <w:rFonts w:ascii="Times New Roman" w:hAnsi="Times New Roman"/>
          <w:sz w:val="24"/>
          <w:szCs w:val="24"/>
        </w:rPr>
        <w:t xml:space="preserve"> stage of date maturity, highlighting both conventional cold storage and emerging innovative techniques. Experimental research by </w:t>
      </w:r>
      <w:proofErr w:type="spellStart"/>
      <w:r w:rsidR="008A16BD" w:rsidRPr="00FA6F79">
        <w:rPr>
          <w:rStyle w:val="cf01"/>
          <w:rFonts w:ascii="Times New Roman" w:hAnsi="Times New Roman"/>
          <w:sz w:val="24"/>
          <w:szCs w:val="24"/>
        </w:rPr>
        <w:t>Noutfia</w:t>
      </w:r>
      <w:proofErr w:type="spellEnd"/>
      <w:r w:rsidR="008A16BD" w:rsidRPr="00FA6F79">
        <w:rPr>
          <w:rStyle w:val="cf01"/>
          <w:rFonts w:ascii="Times New Roman" w:hAnsi="Times New Roman"/>
          <w:sz w:val="24"/>
          <w:szCs w:val="24"/>
        </w:rPr>
        <w:t xml:space="preserve"> et al. (2025a, 2025b) demonstrated the impact of prolonged frozen storage and humidity levels on the quality of </w:t>
      </w:r>
      <w:proofErr w:type="spellStart"/>
      <w:r w:rsidR="008A16BD" w:rsidRPr="00FA6F79">
        <w:rPr>
          <w:rStyle w:val="cf01"/>
          <w:rFonts w:ascii="Times New Roman" w:hAnsi="Times New Roman"/>
          <w:sz w:val="24"/>
          <w:szCs w:val="24"/>
        </w:rPr>
        <w:lastRenderedPageBreak/>
        <w:t>Mejhoul</w:t>
      </w:r>
      <w:proofErr w:type="spellEnd"/>
      <w:r w:rsidR="008A16BD" w:rsidRPr="00FA6F79">
        <w:rPr>
          <w:rStyle w:val="cf01"/>
          <w:rFonts w:ascii="Times New Roman" w:hAnsi="Times New Roman"/>
          <w:sz w:val="24"/>
          <w:szCs w:val="24"/>
        </w:rPr>
        <w:t xml:space="preserve"> dates, emphasizing the importance of precise environmental control. Complementary work by Cherif et al. (2021) also underscored the role of storage conditions in maintaining </w:t>
      </w:r>
      <w:proofErr w:type="spellStart"/>
      <w:r w:rsidR="008A16BD" w:rsidRPr="00FA6F79">
        <w:rPr>
          <w:rStyle w:val="cf01"/>
          <w:rFonts w:ascii="Times New Roman" w:hAnsi="Times New Roman"/>
          <w:sz w:val="24"/>
          <w:szCs w:val="24"/>
        </w:rPr>
        <w:t>Deglet</w:t>
      </w:r>
      <w:proofErr w:type="spellEnd"/>
      <w:r w:rsidR="008A16BD" w:rsidRPr="00FA6F79">
        <w:rPr>
          <w:rStyle w:val="cf01"/>
          <w:rFonts w:ascii="Times New Roman" w:hAnsi="Times New Roman"/>
          <w:sz w:val="24"/>
          <w:szCs w:val="24"/>
        </w:rPr>
        <w:t xml:space="preserve"> Nour date quality. Parallel advances in edible coatings, such as those studied by Ghafoor et al. (2022) and Mohammed et al. (2024), provide additional methods to extend shelf life when integrated with refrigeration.</w:t>
      </w:r>
      <w:r w:rsidR="008A16BD" w:rsidRPr="00FA6F79">
        <w:rPr>
          <w:rStyle w:val="cf01"/>
          <w:rFonts w:ascii="Times New Roman" w:hAnsi="Times New Roman"/>
          <w:sz w:val="24"/>
          <w:szCs w:val="24"/>
          <w:rtl/>
        </w:rPr>
        <w:t xml:space="preserve"> </w:t>
      </w:r>
    </w:p>
    <w:p w14:paraId="214B1D88" w14:textId="7A0B9C23" w:rsidR="008A16BD" w:rsidRPr="00FA6F79" w:rsidRDefault="00805751" w:rsidP="00BB3842">
      <w:pPr>
        <w:pStyle w:val="pf0"/>
        <w:spacing w:before="0" w:beforeAutospacing="0" w:after="0" w:afterAutospacing="0" w:line="360" w:lineRule="auto"/>
        <w:jc w:val="lowKashida"/>
      </w:pPr>
      <w:r>
        <w:rPr>
          <w:rStyle w:val="cf01"/>
          <w:rFonts w:ascii="Times New Roman" w:hAnsi="Times New Roman"/>
          <w:sz w:val="24"/>
          <w:szCs w:val="24"/>
        </w:rPr>
        <w:tab/>
      </w:r>
      <w:r w:rsidR="008A16BD" w:rsidRPr="00FA6F79">
        <w:rPr>
          <w:rStyle w:val="cf01"/>
          <w:rFonts w:ascii="Times New Roman" w:hAnsi="Times New Roman"/>
          <w:sz w:val="24"/>
          <w:szCs w:val="24"/>
        </w:rPr>
        <w:t xml:space="preserve">At the operational level, energy consumption and economic efficiency have been identified as critical considerations. Niu et al. (2024) and Park et al. (2023) demonstrated that optimized control strategies and machine learning can significantly reduce electricity costs in cold storage facilities. Furthermore, Wang and Du (2025) and </w:t>
      </w:r>
      <w:proofErr w:type="spellStart"/>
      <w:r w:rsidR="008A16BD" w:rsidRPr="00FA6F79">
        <w:rPr>
          <w:rStyle w:val="cf01"/>
          <w:rFonts w:ascii="Times New Roman" w:hAnsi="Times New Roman"/>
          <w:sz w:val="24"/>
          <w:szCs w:val="24"/>
        </w:rPr>
        <w:t>Protopappas</w:t>
      </w:r>
      <w:proofErr w:type="spellEnd"/>
      <w:r w:rsidR="008A16BD" w:rsidRPr="00FA6F79">
        <w:rPr>
          <w:rStyle w:val="cf01"/>
          <w:rFonts w:ascii="Times New Roman" w:hAnsi="Times New Roman"/>
          <w:sz w:val="24"/>
          <w:szCs w:val="24"/>
        </w:rPr>
        <w:t xml:space="preserve"> et al. (2025) emphasized the role of IoT-based real-time monitoring in improving cold chain management, with specific relevance to Saudi Arabia’s growing digitalization agenda. These studies collectively reveal both opportunities and gaps in linking storage efficiency with food security and export competitiveness.</w:t>
      </w:r>
    </w:p>
    <w:p w14:paraId="602EF0B8" w14:textId="6E7394F2" w:rsidR="00733F64" w:rsidRPr="00805751" w:rsidRDefault="00805751" w:rsidP="00805751">
      <w:pPr>
        <w:pStyle w:val="pf0"/>
        <w:spacing w:before="0" w:beforeAutospacing="0" w:after="0" w:afterAutospacing="0" w:line="360" w:lineRule="auto"/>
        <w:jc w:val="lowKashida"/>
        <w:rPr>
          <w:rStyle w:val="Strong"/>
          <w:b w:val="0"/>
          <w:bCs w:val="0"/>
        </w:rPr>
      </w:pPr>
      <w:r>
        <w:rPr>
          <w:rStyle w:val="cf01"/>
          <w:rFonts w:ascii="Times New Roman" w:hAnsi="Times New Roman"/>
          <w:sz w:val="24"/>
          <w:szCs w:val="24"/>
        </w:rPr>
        <w:tab/>
      </w:r>
      <w:r w:rsidR="008A16BD" w:rsidRPr="00FA6F79">
        <w:rPr>
          <w:rStyle w:val="cf01"/>
          <w:rFonts w:ascii="Times New Roman" w:hAnsi="Times New Roman"/>
          <w:sz w:val="24"/>
          <w:szCs w:val="24"/>
        </w:rPr>
        <w:t>Given these gaps, this study focuses on analyzing the operational efficiency of cooling and freezing storage warehouses in the Riyadh region, a key hub for Saudi Arabia’s food storage sector. It examines facility characteristics such as room count, storage capacity, and workforce size, alongside economic indicators including costs, revenues, and profitability. Furthermore, it identifies the main factors influencing operational capacity and proposes evidence-based recommendations to enhance sector performance, improve export readiness, and strengthen the role of cold storage in supporting national food security objectives.</w:t>
      </w:r>
    </w:p>
    <w:p w14:paraId="35B856E1" w14:textId="71261000" w:rsidR="00C0429E" w:rsidRPr="00FA6F79" w:rsidRDefault="0058585E" w:rsidP="00805751">
      <w:pPr>
        <w:spacing w:after="0" w:line="240" w:lineRule="auto"/>
        <w:jc w:val="both"/>
        <w:rPr>
          <w:rStyle w:val="Strong"/>
          <w:rFonts w:ascii="Times New Roman" w:eastAsia="Times New Roman" w:hAnsi="Times New Roman" w:cs="Times New Roman"/>
          <w:color w:val="000000" w:themeColor="text1"/>
          <w:kern w:val="0"/>
          <w:sz w:val="20"/>
          <w:szCs w:val="20"/>
          <w:rtl/>
          <w14:ligatures w14:val="none"/>
        </w:rPr>
      </w:pPr>
      <w:r w:rsidRPr="00FA6F79">
        <w:rPr>
          <w:rStyle w:val="Strong"/>
          <w:rFonts w:ascii="Times New Roman" w:eastAsia="Times New Roman" w:hAnsi="Times New Roman" w:cs="Times New Roman"/>
          <w:color w:val="000000" w:themeColor="text1"/>
          <w:kern w:val="0"/>
          <w:sz w:val="20"/>
          <w:szCs w:val="20"/>
          <w14:ligatures w14:val="none"/>
        </w:rPr>
        <w:t xml:space="preserve">Table </w:t>
      </w:r>
      <w:r w:rsidR="00270052" w:rsidRPr="00FA6F79">
        <w:rPr>
          <w:rStyle w:val="Strong"/>
          <w:rFonts w:ascii="Times New Roman" w:eastAsia="Times New Roman" w:hAnsi="Times New Roman" w:cs="Times New Roman"/>
          <w:color w:val="000000" w:themeColor="text1"/>
          <w:kern w:val="0"/>
          <w:sz w:val="20"/>
          <w:szCs w:val="20"/>
          <w14:ligatures w14:val="none"/>
        </w:rPr>
        <w:t xml:space="preserve">1: </w:t>
      </w:r>
      <w:r w:rsidR="00270052" w:rsidRPr="00805751">
        <w:rPr>
          <w:rStyle w:val="Strong"/>
          <w:rFonts w:ascii="Times New Roman" w:eastAsia="Times New Roman" w:hAnsi="Times New Roman" w:cs="Times New Roman"/>
          <w:b w:val="0"/>
          <w:bCs w:val="0"/>
          <w:color w:val="000000" w:themeColor="text1"/>
          <w:kern w:val="0"/>
          <w:sz w:val="20"/>
          <w:szCs w:val="20"/>
          <w14:ligatures w14:val="none"/>
        </w:rPr>
        <w:t>Summary</w:t>
      </w:r>
      <w:r w:rsidR="008A16BD" w:rsidRPr="00805751">
        <w:rPr>
          <w:rStyle w:val="Strong"/>
          <w:rFonts w:ascii="Times New Roman" w:eastAsia="Times New Roman" w:hAnsi="Times New Roman" w:cs="Times New Roman"/>
          <w:b w:val="0"/>
          <w:bCs w:val="0"/>
          <w:color w:val="000000" w:themeColor="text1"/>
          <w:kern w:val="0"/>
          <w:sz w:val="20"/>
          <w:szCs w:val="20"/>
          <w14:ligatures w14:val="none"/>
        </w:rPr>
        <w:t xml:space="preserve"> of Recent Studies</w:t>
      </w:r>
      <w:r w:rsidR="008A16BD" w:rsidRPr="00FA6F79">
        <w:rPr>
          <w:rStyle w:val="Strong"/>
          <w:rFonts w:ascii="Times New Roman" w:eastAsia="Times New Roman" w:hAnsi="Times New Roman" w:cs="Times New Roman"/>
          <w:color w:val="000000" w:themeColor="text1"/>
          <w:kern w:val="0"/>
          <w:sz w:val="20"/>
          <w:szCs w:val="20"/>
          <w14:ligatures w14:val="none"/>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8"/>
        <w:gridCol w:w="3028"/>
        <w:gridCol w:w="4404"/>
      </w:tblGrid>
      <w:tr w:rsidR="008A16BD" w:rsidRPr="00FA6F79" w14:paraId="464612F2" w14:textId="77777777" w:rsidTr="00805751">
        <w:tc>
          <w:tcPr>
            <w:tcW w:w="0" w:type="auto"/>
            <w:tcBorders>
              <w:bottom w:val="single" w:sz="4" w:space="0" w:color="auto"/>
            </w:tcBorders>
            <w:hideMark/>
          </w:tcPr>
          <w:p w14:paraId="6372CB2F"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Author(s) &amp; Year</w:t>
            </w:r>
          </w:p>
        </w:tc>
        <w:tc>
          <w:tcPr>
            <w:tcW w:w="0" w:type="auto"/>
            <w:tcBorders>
              <w:bottom w:val="single" w:sz="4" w:space="0" w:color="auto"/>
            </w:tcBorders>
            <w:hideMark/>
          </w:tcPr>
          <w:p w14:paraId="45E9C542"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Focus Area</w:t>
            </w:r>
          </w:p>
        </w:tc>
        <w:tc>
          <w:tcPr>
            <w:tcW w:w="0" w:type="auto"/>
            <w:tcBorders>
              <w:bottom w:val="single" w:sz="4" w:space="0" w:color="auto"/>
            </w:tcBorders>
            <w:hideMark/>
          </w:tcPr>
          <w:p w14:paraId="34414021"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Key Findings</w:t>
            </w:r>
          </w:p>
        </w:tc>
      </w:tr>
      <w:tr w:rsidR="008A16BD" w:rsidRPr="00FA6F79" w14:paraId="68762ED4" w14:textId="77777777" w:rsidTr="00805751">
        <w:tc>
          <w:tcPr>
            <w:tcW w:w="0" w:type="auto"/>
            <w:tcBorders>
              <w:top w:val="single" w:sz="4" w:space="0" w:color="auto"/>
            </w:tcBorders>
            <w:hideMark/>
          </w:tcPr>
          <w:p w14:paraId="0951A968"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Alqahtani et al. (2025)</w:t>
            </w:r>
          </w:p>
        </w:tc>
        <w:tc>
          <w:tcPr>
            <w:tcW w:w="0" w:type="auto"/>
            <w:tcBorders>
              <w:top w:val="single" w:sz="4" w:space="0" w:color="auto"/>
            </w:tcBorders>
            <w:hideMark/>
          </w:tcPr>
          <w:p w14:paraId="1CDCA5F1"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 xml:space="preserve">Review of preservation methods at </w:t>
            </w:r>
            <w:proofErr w:type="spellStart"/>
            <w:r w:rsidRPr="00FA6F79">
              <w:rPr>
                <w:rFonts w:ascii="Times New Roman" w:hAnsi="Times New Roman" w:cs="Times New Roman"/>
              </w:rPr>
              <w:t>Khalal</w:t>
            </w:r>
            <w:proofErr w:type="spellEnd"/>
            <w:r w:rsidRPr="00FA6F79">
              <w:rPr>
                <w:rFonts w:ascii="Times New Roman" w:hAnsi="Times New Roman" w:cs="Times New Roman"/>
              </w:rPr>
              <w:t xml:space="preserve"> stage</w:t>
            </w:r>
          </w:p>
        </w:tc>
        <w:tc>
          <w:tcPr>
            <w:tcW w:w="0" w:type="auto"/>
            <w:tcBorders>
              <w:top w:val="single" w:sz="4" w:space="0" w:color="auto"/>
            </w:tcBorders>
            <w:hideMark/>
          </w:tcPr>
          <w:p w14:paraId="57D6DA01"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Identifies gaps in storage and future trends for quality preservation.</w:t>
            </w:r>
          </w:p>
        </w:tc>
      </w:tr>
      <w:tr w:rsidR="008A16BD" w:rsidRPr="00FA6F79" w14:paraId="0D405B8D" w14:textId="77777777" w:rsidTr="00805751">
        <w:tc>
          <w:tcPr>
            <w:tcW w:w="0" w:type="auto"/>
            <w:hideMark/>
          </w:tcPr>
          <w:p w14:paraId="18EF6C63" w14:textId="1A61C445" w:rsidR="008A16BD" w:rsidRPr="00FA6F79" w:rsidRDefault="008A16BD" w:rsidP="001B3AF4">
            <w:pPr>
              <w:rPr>
                <w:rFonts w:ascii="Times New Roman" w:hAnsi="Times New Roman" w:cs="Times New Roman"/>
              </w:rPr>
            </w:pPr>
            <w:proofErr w:type="spellStart"/>
            <w:r w:rsidRPr="00FA6F79">
              <w:rPr>
                <w:rFonts w:ascii="Times New Roman" w:hAnsi="Times New Roman" w:cs="Times New Roman"/>
              </w:rPr>
              <w:t>Noutfia</w:t>
            </w:r>
            <w:proofErr w:type="spellEnd"/>
            <w:r w:rsidRPr="00FA6F79">
              <w:rPr>
                <w:rFonts w:ascii="Times New Roman" w:hAnsi="Times New Roman" w:cs="Times New Roman"/>
              </w:rPr>
              <w:t xml:space="preserve"> et al. (2025a)</w:t>
            </w:r>
            <w:r w:rsidR="00A37ABF" w:rsidRPr="00FA6F79">
              <w:rPr>
                <w:rFonts w:ascii="Times New Roman" w:hAnsi="Times New Roman" w:cs="Times New Roman"/>
              </w:rPr>
              <w:t>.</w:t>
            </w:r>
          </w:p>
        </w:tc>
        <w:tc>
          <w:tcPr>
            <w:tcW w:w="0" w:type="auto"/>
            <w:hideMark/>
          </w:tcPr>
          <w:p w14:paraId="341DBEA0"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 xml:space="preserve">Frozen storage of </w:t>
            </w:r>
            <w:proofErr w:type="spellStart"/>
            <w:r w:rsidRPr="00FA6F79">
              <w:rPr>
                <w:rFonts w:ascii="Times New Roman" w:hAnsi="Times New Roman" w:cs="Times New Roman"/>
              </w:rPr>
              <w:t>Mejhoul</w:t>
            </w:r>
            <w:proofErr w:type="spellEnd"/>
            <w:r w:rsidRPr="00FA6F79">
              <w:rPr>
                <w:rFonts w:ascii="Times New Roman" w:hAnsi="Times New Roman" w:cs="Times New Roman"/>
              </w:rPr>
              <w:t xml:space="preserve"> dates</w:t>
            </w:r>
          </w:p>
        </w:tc>
        <w:tc>
          <w:tcPr>
            <w:tcW w:w="0" w:type="auto"/>
            <w:hideMark/>
          </w:tcPr>
          <w:p w14:paraId="7426BD7D"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Prolonged frozen storage affects qualitative characteristics.</w:t>
            </w:r>
          </w:p>
        </w:tc>
      </w:tr>
      <w:tr w:rsidR="008A16BD" w:rsidRPr="00FA6F79" w14:paraId="591A325F" w14:textId="77777777" w:rsidTr="00805751">
        <w:tc>
          <w:tcPr>
            <w:tcW w:w="0" w:type="auto"/>
            <w:hideMark/>
          </w:tcPr>
          <w:p w14:paraId="7904DC81" w14:textId="782F17B6" w:rsidR="008A16BD" w:rsidRPr="00FA6F79" w:rsidRDefault="008A16BD" w:rsidP="001B3AF4">
            <w:pPr>
              <w:rPr>
                <w:rFonts w:ascii="Times New Roman" w:hAnsi="Times New Roman" w:cs="Times New Roman"/>
              </w:rPr>
            </w:pPr>
            <w:proofErr w:type="spellStart"/>
            <w:r w:rsidRPr="00FA6F79">
              <w:rPr>
                <w:rFonts w:ascii="Times New Roman" w:hAnsi="Times New Roman" w:cs="Times New Roman"/>
              </w:rPr>
              <w:t>Noutfia</w:t>
            </w:r>
            <w:proofErr w:type="spellEnd"/>
            <w:r w:rsidRPr="00FA6F79">
              <w:rPr>
                <w:rFonts w:ascii="Times New Roman" w:hAnsi="Times New Roman" w:cs="Times New Roman"/>
              </w:rPr>
              <w:t xml:space="preserve"> et al. (2025b)</w:t>
            </w:r>
            <w:r w:rsidR="00A37ABF" w:rsidRPr="00FA6F79">
              <w:rPr>
                <w:rFonts w:ascii="Times New Roman" w:hAnsi="Times New Roman" w:cs="Times New Roman"/>
              </w:rPr>
              <w:t>.</w:t>
            </w:r>
          </w:p>
        </w:tc>
        <w:tc>
          <w:tcPr>
            <w:tcW w:w="0" w:type="auto"/>
            <w:hideMark/>
          </w:tcPr>
          <w:p w14:paraId="4A8C281D"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Humidity-controlled storage</w:t>
            </w:r>
          </w:p>
        </w:tc>
        <w:tc>
          <w:tcPr>
            <w:tcW w:w="0" w:type="auto"/>
            <w:hideMark/>
          </w:tcPr>
          <w:p w14:paraId="7DEBC60F"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Humidity significantly influences functional compounds and image features.</w:t>
            </w:r>
          </w:p>
        </w:tc>
      </w:tr>
      <w:tr w:rsidR="008A16BD" w:rsidRPr="00FA6F79" w14:paraId="3F9F65B1" w14:textId="77777777" w:rsidTr="00805751">
        <w:tc>
          <w:tcPr>
            <w:tcW w:w="0" w:type="auto"/>
            <w:hideMark/>
          </w:tcPr>
          <w:p w14:paraId="5D0B4957" w14:textId="65B9E024" w:rsidR="008A16BD" w:rsidRPr="00FA6F79" w:rsidRDefault="008A16BD" w:rsidP="001B3AF4">
            <w:pPr>
              <w:rPr>
                <w:rFonts w:ascii="Times New Roman" w:hAnsi="Times New Roman" w:cs="Times New Roman"/>
              </w:rPr>
            </w:pPr>
            <w:r w:rsidRPr="00FA6F79">
              <w:rPr>
                <w:rFonts w:ascii="Times New Roman" w:hAnsi="Times New Roman" w:cs="Times New Roman"/>
              </w:rPr>
              <w:t>Cherif et al. (2021)</w:t>
            </w:r>
            <w:r w:rsidR="00A37ABF" w:rsidRPr="00FA6F79">
              <w:rPr>
                <w:rFonts w:ascii="Times New Roman" w:hAnsi="Times New Roman" w:cs="Times New Roman"/>
              </w:rPr>
              <w:t>.</w:t>
            </w:r>
          </w:p>
        </w:tc>
        <w:tc>
          <w:tcPr>
            <w:tcW w:w="0" w:type="auto"/>
            <w:hideMark/>
          </w:tcPr>
          <w:p w14:paraId="15097EDA" w14:textId="77777777" w:rsidR="008A16BD" w:rsidRPr="00FA6F79" w:rsidRDefault="008A16BD" w:rsidP="001B3AF4">
            <w:pPr>
              <w:rPr>
                <w:rFonts w:ascii="Times New Roman" w:hAnsi="Times New Roman" w:cs="Times New Roman"/>
              </w:rPr>
            </w:pPr>
            <w:proofErr w:type="spellStart"/>
            <w:r w:rsidRPr="00FA6F79">
              <w:rPr>
                <w:rFonts w:ascii="Times New Roman" w:hAnsi="Times New Roman" w:cs="Times New Roman"/>
              </w:rPr>
              <w:t>Deglet</w:t>
            </w:r>
            <w:proofErr w:type="spellEnd"/>
            <w:r w:rsidRPr="00FA6F79">
              <w:rPr>
                <w:rFonts w:ascii="Times New Roman" w:hAnsi="Times New Roman" w:cs="Times New Roman"/>
              </w:rPr>
              <w:t xml:space="preserve"> Nour storage conditions</w:t>
            </w:r>
          </w:p>
        </w:tc>
        <w:tc>
          <w:tcPr>
            <w:tcW w:w="0" w:type="auto"/>
            <w:hideMark/>
          </w:tcPr>
          <w:p w14:paraId="2854286B"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Demonstrates optimal conditions to minimize quality loss.</w:t>
            </w:r>
          </w:p>
        </w:tc>
      </w:tr>
      <w:tr w:rsidR="008A16BD" w:rsidRPr="00FA6F79" w14:paraId="3B114990" w14:textId="77777777" w:rsidTr="00805751">
        <w:tc>
          <w:tcPr>
            <w:tcW w:w="0" w:type="auto"/>
            <w:hideMark/>
          </w:tcPr>
          <w:p w14:paraId="610D0274" w14:textId="1B3D7C3E" w:rsidR="008A16BD" w:rsidRPr="00FA6F79" w:rsidRDefault="008A16BD" w:rsidP="001B3AF4">
            <w:pPr>
              <w:rPr>
                <w:rFonts w:ascii="Times New Roman" w:hAnsi="Times New Roman" w:cs="Times New Roman"/>
              </w:rPr>
            </w:pPr>
            <w:r w:rsidRPr="00FA6F79">
              <w:rPr>
                <w:rFonts w:ascii="Times New Roman" w:hAnsi="Times New Roman" w:cs="Times New Roman"/>
              </w:rPr>
              <w:t>Ghafoor et al. (2022)</w:t>
            </w:r>
            <w:r w:rsidR="00A37ABF" w:rsidRPr="00FA6F79">
              <w:rPr>
                <w:rFonts w:ascii="Times New Roman" w:hAnsi="Times New Roman" w:cs="Times New Roman"/>
              </w:rPr>
              <w:t>.</w:t>
            </w:r>
          </w:p>
        </w:tc>
        <w:tc>
          <w:tcPr>
            <w:tcW w:w="0" w:type="auto"/>
            <w:hideMark/>
          </w:tcPr>
          <w:p w14:paraId="4B23FD19"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Chitosan coatings on Barhi dates</w:t>
            </w:r>
          </w:p>
        </w:tc>
        <w:tc>
          <w:tcPr>
            <w:tcW w:w="0" w:type="auto"/>
            <w:hideMark/>
          </w:tcPr>
          <w:p w14:paraId="3EB18392" w14:textId="77777777" w:rsidR="008A16BD" w:rsidRPr="00FA6F79" w:rsidRDefault="008A16BD" w:rsidP="001B3AF4">
            <w:pPr>
              <w:rPr>
                <w:rFonts w:ascii="Times New Roman" w:hAnsi="Times New Roman" w:cs="Times New Roman"/>
              </w:rPr>
            </w:pPr>
            <w:proofErr w:type="gramStart"/>
            <w:r w:rsidRPr="00FA6F79">
              <w:rPr>
                <w:rFonts w:ascii="Times New Roman" w:hAnsi="Times New Roman" w:cs="Times New Roman"/>
              </w:rPr>
              <w:t>Coatings improve</w:t>
            </w:r>
            <w:proofErr w:type="gramEnd"/>
            <w:r w:rsidRPr="00FA6F79">
              <w:rPr>
                <w:rFonts w:ascii="Times New Roman" w:hAnsi="Times New Roman" w:cs="Times New Roman"/>
              </w:rPr>
              <w:t xml:space="preserve"> refrigerated storage performance.</w:t>
            </w:r>
          </w:p>
        </w:tc>
      </w:tr>
      <w:tr w:rsidR="008A16BD" w:rsidRPr="00FA6F79" w14:paraId="364C4C6E" w14:textId="77777777" w:rsidTr="00805751">
        <w:tc>
          <w:tcPr>
            <w:tcW w:w="0" w:type="auto"/>
            <w:hideMark/>
          </w:tcPr>
          <w:p w14:paraId="213FE4C4" w14:textId="354B97D3" w:rsidR="008A16BD" w:rsidRPr="00FA6F79" w:rsidRDefault="008A16BD" w:rsidP="001B3AF4">
            <w:pPr>
              <w:rPr>
                <w:rFonts w:ascii="Times New Roman" w:hAnsi="Times New Roman" w:cs="Times New Roman"/>
              </w:rPr>
            </w:pPr>
            <w:r w:rsidRPr="00FA6F79">
              <w:rPr>
                <w:rFonts w:ascii="Times New Roman" w:hAnsi="Times New Roman" w:cs="Times New Roman"/>
              </w:rPr>
              <w:t>Mohammed et al. (2024)</w:t>
            </w:r>
            <w:r w:rsidR="00A37ABF" w:rsidRPr="00FA6F79">
              <w:rPr>
                <w:rFonts w:ascii="Times New Roman" w:hAnsi="Times New Roman" w:cs="Times New Roman"/>
              </w:rPr>
              <w:t>.</w:t>
            </w:r>
          </w:p>
        </w:tc>
        <w:tc>
          <w:tcPr>
            <w:tcW w:w="0" w:type="auto"/>
            <w:hideMark/>
          </w:tcPr>
          <w:p w14:paraId="2B3809AC"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Gum Arabic coatings with optimization models</w:t>
            </w:r>
          </w:p>
        </w:tc>
        <w:tc>
          <w:tcPr>
            <w:tcW w:w="0" w:type="auto"/>
            <w:hideMark/>
          </w:tcPr>
          <w:p w14:paraId="1FD7D67D" w14:textId="2546DD02" w:rsidR="008A16BD" w:rsidRPr="00FA6F79" w:rsidRDefault="008A16BD" w:rsidP="001B3AF4">
            <w:pPr>
              <w:rPr>
                <w:rFonts w:ascii="Times New Roman" w:hAnsi="Times New Roman" w:cs="Times New Roman"/>
              </w:rPr>
            </w:pPr>
            <w:r w:rsidRPr="00FA6F79">
              <w:rPr>
                <w:rFonts w:ascii="Times New Roman" w:hAnsi="Times New Roman" w:cs="Times New Roman"/>
              </w:rPr>
              <w:t xml:space="preserve">Extends </w:t>
            </w:r>
            <w:r w:rsidR="00A37ABF" w:rsidRPr="00FA6F79">
              <w:rPr>
                <w:rFonts w:ascii="Times New Roman" w:hAnsi="Times New Roman" w:cs="Times New Roman"/>
              </w:rPr>
              <w:t xml:space="preserve">the </w:t>
            </w:r>
            <w:r w:rsidRPr="00FA6F79">
              <w:rPr>
                <w:rFonts w:ascii="Times New Roman" w:hAnsi="Times New Roman" w:cs="Times New Roman"/>
              </w:rPr>
              <w:t>shelf life of Hilali dates in cold storage.</w:t>
            </w:r>
          </w:p>
        </w:tc>
      </w:tr>
      <w:tr w:rsidR="008A16BD" w:rsidRPr="00FA6F79" w14:paraId="56F67771" w14:textId="77777777" w:rsidTr="00805751">
        <w:tc>
          <w:tcPr>
            <w:tcW w:w="0" w:type="auto"/>
            <w:hideMark/>
          </w:tcPr>
          <w:p w14:paraId="281CFBB1" w14:textId="7E1AEE17" w:rsidR="008A16BD" w:rsidRPr="00FA6F79" w:rsidRDefault="008A16BD" w:rsidP="001B3AF4">
            <w:pPr>
              <w:rPr>
                <w:rFonts w:ascii="Times New Roman" w:hAnsi="Times New Roman" w:cs="Times New Roman"/>
              </w:rPr>
            </w:pPr>
            <w:r w:rsidRPr="00FA6F79">
              <w:rPr>
                <w:rFonts w:ascii="Times New Roman" w:hAnsi="Times New Roman" w:cs="Times New Roman"/>
              </w:rPr>
              <w:t>Niu et al. (2024)</w:t>
            </w:r>
            <w:r w:rsidR="00A37ABF" w:rsidRPr="00FA6F79">
              <w:rPr>
                <w:rFonts w:ascii="Times New Roman" w:hAnsi="Times New Roman" w:cs="Times New Roman"/>
              </w:rPr>
              <w:t>.</w:t>
            </w:r>
          </w:p>
        </w:tc>
        <w:tc>
          <w:tcPr>
            <w:tcW w:w="0" w:type="auto"/>
            <w:hideMark/>
          </w:tcPr>
          <w:p w14:paraId="7AF08612"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Control strategies in cold storage</w:t>
            </w:r>
          </w:p>
        </w:tc>
        <w:tc>
          <w:tcPr>
            <w:tcW w:w="0" w:type="auto"/>
            <w:hideMark/>
          </w:tcPr>
          <w:p w14:paraId="78545965" w14:textId="540ABFA7" w:rsidR="008A16BD" w:rsidRPr="00FA6F79" w:rsidRDefault="008A16BD" w:rsidP="001B3AF4">
            <w:pPr>
              <w:rPr>
                <w:rFonts w:ascii="Times New Roman" w:hAnsi="Times New Roman" w:cs="Times New Roman"/>
              </w:rPr>
            </w:pPr>
            <w:r w:rsidRPr="00FA6F79">
              <w:rPr>
                <w:rFonts w:ascii="Times New Roman" w:hAnsi="Times New Roman" w:cs="Times New Roman"/>
              </w:rPr>
              <w:t xml:space="preserve">Energy consumption </w:t>
            </w:r>
            <w:r w:rsidR="00A37ABF" w:rsidRPr="00FA6F79">
              <w:rPr>
                <w:rFonts w:ascii="Times New Roman" w:hAnsi="Times New Roman" w:cs="Times New Roman"/>
              </w:rPr>
              <w:t xml:space="preserve">is </w:t>
            </w:r>
            <w:r w:rsidRPr="00FA6F79">
              <w:rPr>
                <w:rFonts w:ascii="Times New Roman" w:hAnsi="Times New Roman" w:cs="Times New Roman"/>
              </w:rPr>
              <w:t>reduced through optimized controls.</w:t>
            </w:r>
          </w:p>
        </w:tc>
      </w:tr>
      <w:tr w:rsidR="008A16BD" w:rsidRPr="00FA6F79" w14:paraId="0C7097B9" w14:textId="77777777" w:rsidTr="00805751">
        <w:tc>
          <w:tcPr>
            <w:tcW w:w="0" w:type="auto"/>
            <w:hideMark/>
          </w:tcPr>
          <w:p w14:paraId="48511EB7" w14:textId="63C7C2F2" w:rsidR="008A16BD" w:rsidRPr="00FA6F79" w:rsidRDefault="008A16BD" w:rsidP="001B3AF4">
            <w:pPr>
              <w:rPr>
                <w:rFonts w:ascii="Times New Roman" w:hAnsi="Times New Roman" w:cs="Times New Roman"/>
              </w:rPr>
            </w:pPr>
            <w:r w:rsidRPr="00FA6F79">
              <w:rPr>
                <w:rFonts w:ascii="Times New Roman" w:hAnsi="Times New Roman" w:cs="Times New Roman"/>
              </w:rPr>
              <w:t>Park et al. (2023)</w:t>
            </w:r>
            <w:r w:rsidR="00A37ABF" w:rsidRPr="00FA6F79">
              <w:rPr>
                <w:rFonts w:ascii="Times New Roman" w:hAnsi="Times New Roman" w:cs="Times New Roman"/>
              </w:rPr>
              <w:t>.</w:t>
            </w:r>
          </w:p>
        </w:tc>
        <w:tc>
          <w:tcPr>
            <w:tcW w:w="0" w:type="auto"/>
            <w:hideMark/>
          </w:tcPr>
          <w:p w14:paraId="6B142533"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Deep reinforcement learning in storage</w:t>
            </w:r>
          </w:p>
        </w:tc>
        <w:tc>
          <w:tcPr>
            <w:tcW w:w="0" w:type="auto"/>
            <w:hideMark/>
          </w:tcPr>
          <w:p w14:paraId="7EE403BE"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Achieved 50% reduction in energy consumption.</w:t>
            </w:r>
          </w:p>
        </w:tc>
      </w:tr>
      <w:tr w:rsidR="008A16BD" w:rsidRPr="00FA6F79" w14:paraId="40A1D527" w14:textId="77777777" w:rsidTr="00805751">
        <w:tc>
          <w:tcPr>
            <w:tcW w:w="0" w:type="auto"/>
            <w:hideMark/>
          </w:tcPr>
          <w:p w14:paraId="567945E2" w14:textId="50E24D58" w:rsidR="008A16BD" w:rsidRPr="00FA6F79" w:rsidRDefault="008A16BD" w:rsidP="001B3AF4">
            <w:pPr>
              <w:rPr>
                <w:rFonts w:ascii="Times New Roman" w:hAnsi="Times New Roman" w:cs="Times New Roman"/>
              </w:rPr>
            </w:pPr>
            <w:r w:rsidRPr="00FA6F79">
              <w:rPr>
                <w:rFonts w:ascii="Times New Roman" w:hAnsi="Times New Roman" w:cs="Times New Roman"/>
              </w:rPr>
              <w:t>Wang &amp; Du (2025)</w:t>
            </w:r>
            <w:r w:rsidR="00A37ABF" w:rsidRPr="00FA6F79">
              <w:rPr>
                <w:rFonts w:ascii="Times New Roman" w:hAnsi="Times New Roman" w:cs="Times New Roman"/>
              </w:rPr>
              <w:t>.</w:t>
            </w:r>
          </w:p>
        </w:tc>
        <w:tc>
          <w:tcPr>
            <w:tcW w:w="0" w:type="auto"/>
            <w:hideMark/>
          </w:tcPr>
          <w:p w14:paraId="057AD95B"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IoT monitoring for cold chain logistics</w:t>
            </w:r>
          </w:p>
        </w:tc>
        <w:tc>
          <w:tcPr>
            <w:tcW w:w="0" w:type="auto"/>
            <w:hideMark/>
          </w:tcPr>
          <w:p w14:paraId="54F11AE6"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Improves efficiency and energy management in storage and transport.</w:t>
            </w:r>
          </w:p>
        </w:tc>
      </w:tr>
      <w:tr w:rsidR="008A16BD" w:rsidRPr="00FA6F79" w14:paraId="3409D99C" w14:textId="77777777" w:rsidTr="00805751">
        <w:tc>
          <w:tcPr>
            <w:tcW w:w="0" w:type="auto"/>
            <w:hideMark/>
          </w:tcPr>
          <w:p w14:paraId="1B7B0CB7" w14:textId="62D96379" w:rsidR="008A16BD" w:rsidRPr="00FA6F79" w:rsidRDefault="008A16BD" w:rsidP="001B3AF4">
            <w:pPr>
              <w:rPr>
                <w:rFonts w:ascii="Times New Roman" w:hAnsi="Times New Roman" w:cs="Times New Roman"/>
              </w:rPr>
            </w:pPr>
            <w:proofErr w:type="spellStart"/>
            <w:r w:rsidRPr="00FA6F79">
              <w:rPr>
                <w:rFonts w:ascii="Times New Roman" w:hAnsi="Times New Roman" w:cs="Times New Roman"/>
              </w:rPr>
              <w:lastRenderedPageBreak/>
              <w:t>Protopappas</w:t>
            </w:r>
            <w:proofErr w:type="spellEnd"/>
            <w:r w:rsidRPr="00FA6F79">
              <w:rPr>
                <w:rFonts w:ascii="Times New Roman" w:hAnsi="Times New Roman" w:cs="Times New Roman"/>
              </w:rPr>
              <w:t xml:space="preserve"> et al. (2025)</w:t>
            </w:r>
            <w:r w:rsidR="00A37ABF" w:rsidRPr="00FA6F79">
              <w:rPr>
                <w:rFonts w:ascii="Times New Roman" w:hAnsi="Times New Roman" w:cs="Times New Roman"/>
              </w:rPr>
              <w:t>.</w:t>
            </w:r>
          </w:p>
        </w:tc>
        <w:tc>
          <w:tcPr>
            <w:tcW w:w="0" w:type="auto"/>
            <w:hideMark/>
          </w:tcPr>
          <w:p w14:paraId="5AA39043"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IoT services for food supply chains</w:t>
            </w:r>
          </w:p>
        </w:tc>
        <w:tc>
          <w:tcPr>
            <w:tcW w:w="0" w:type="auto"/>
            <w:hideMark/>
          </w:tcPr>
          <w:p w14:paraId="4FE234A1" w14:textId="77777777" w:rsidR="008A16BD" w:rsidRPr="00FA6F79" w:rsidRDefault="008A16BD" w:rsidP="001B3AF4">
            <w:pPr>
              <w:rPr>
                <w:rFonts w:ascii="Times New Roman" w:hAnsi="Times New Roman" w:cs="Times New Roman"/>
              </w:rPr>
            </w:pPr>
            <w:r w:rsidRPr="00FA6F79">
              <w:rPr>
                <w:rFonts w:ascii="Times New Roman" w:hAnsi="Times New Roman" w:cs="Times New Roman"/>
              </w:rPr>
              <w:t>Low-cost monitoring enhances cold chain transparency.</w:t>
            </w:r>
          </w:p>
        </w:tc>
      </w:tr>
    </w:tbl>
    <w:p w14:paraId="30A3F747" w14:textId="77777777" w:rsidR="008A16BD" w:rsidRPr="00332C8D" w:rsidRDefault="008A16BD" w:rsidP="001B3AF4">
      <w:pPr>
        <w:spacing w:after="0" w:line="240" w:lineRule="auto"/>
        <w:ind w:firstLine="720"/>
        <w:jc w:val="both"/>
        <w:rPr>
          <w:rStyle w:val="Strong"/>
          <w:rFonts w:ascii="Times New Roman" w:eastAsia="Times New Roman" w:hAnsi="Times New Roman" w:cs="Times New Roman"/>
          <w:b w:val="0"/>
          <w:bCs w:val="0"/>
          <w:color w:val="000000" w:themeColor="text1"/>
          <w:kern w:val="0"/>
          <w:sz w:val="20"/>
          <w:szCs w:val="20"/>
          <w14:ligatures w14:val="none"/>
        </w:rPr>
      </w:pPr>
    </w:p>
    <w:p w14:paraId="58C6DDEB" w14:textId="2068EA7B" w:rsidR="007F02DE" w:rsidRPr="00FA6F79" w:rsidRDefault="007E7E5F" w:rsidP="00BB3842">
      <w:pPr>
        <w:spacing w:after="0" w:line="360" w:lineRule="auto"/>
        <w:jc w:val="both"/>
        <w:rPr>
          <w:rStyle w:val="Strong"/>
          <w:rFonts w:asciiTheme="majorBidi" w:eastAsia="Times New Roman" w:hAnsiTheme="majorBidi" w:cstheme="majorBidi"/>
          <w:color w:val="000000" w:themeColor="text1"/>
          <w:kern w:val="0"/>
          <w:sz w:val="24"/>
          <w:szCs w:val="24"/>
          <w14:ligatures w14:val="none"/>
        </w:rPr>
      </w:pPr>
      <w:r w:rsidRPr="00FA6F79">
        <w:rPr>
          <w:rStyle w:val="Strong"/>
          <w:rFonts w:asciiTheme="majorBidi" w:eastAsia="Times New Roman" w:hAnsiTheme="majorBidi" w:cstheme="majorBidi"/>
          <w:color w:val="000000" w:themeColor="text1"/>
          <w:kern w:val="0"/>
          <w:sz w:val="24"/>
          <w:szCs w:val="24"/>
          <w14:ligatures w14:val="none"/>
        </w:rPr>
        <w:t>2.</w:t>
      </w:r>
      <w:r w:rsidR="00A37ABF" w:rsidRPr="00FA6F79">
        <w:rPr>
          <w:rStyle w:val="Strong"/>
          <w:rFonts w:asciiTheme="majorBidi" w:eastAsia="Times New Roman" w:hAnsiTheme="majorBidi" w:cstheme="majorBidi"/>
          <w:color w:val="000000" w:themeColor="text1"/>
          <w:kern w:val="0"/>
          <w:sz w:val="24"/>
          <w:szCs w:val="24"/>
          <w14:ligatures w14:val="none"/>
        </w:rPr>
        <w:t xml:space="preserve"> </w:t>
      </w:r>
      <w:r w:rsidR="00D35BCE" w:rsidRPr="00FA6F79">
        <w:rPr>
          <w:rStyle w:val="Strong"/>
          <w:rFonts w:asciiTheme="majorBidi" w:eastAsia="Times New Roman" w:hAnsiTheme="majorBidi" w:cstheme="majorBidi"/>
          <w:color w:val="000000" w:themeColor="text1"/>
          <w:kern w:val="0"/>
          <w:sz w:val="24"/>
          <w:szCs w:val="24"/>
          <w14:ligatures w14:val="none"/>
        </w:rPr>
        <w:t>MATERIALS AND METHODS</w:t>
      </w:r>
    </w:p>
    <w:p w14:paraId="6ED117B8" w14:textId="73F84619" w:rsidR="00632A01" w:rsidRPr="00FA6F79" w:rsidRDefault="00D35BCE" w:rsidP="00BB3842">
      <w:pPr>
        <w:pStyle w:val="pf0"/>
        <w:spacing w:before="0" w:beforeAutospacing="0" w:after="0" w:afterAutospacing="0" w:line="360" w:lineRule="auto"/>
        <w:jc w:val="both"/>
        <w:rPr>
          <w:rFonts w:asciiTheme="majorBidi" w:hAnsiTheme="majorBidi" w:cstheme="majorBidi"/>
        </w:rPr>
      </w:pPr>
      <w:r>
        <w:rPr>
          <w:rStyle w:val="cf01"/>
          <w:rFonts w:asciiTheme="majorBidi" w:hAnsiTheme="majorBidi" w:cstheme="majorBidi"/>
          <w:sz w:val="24"/>
          <w:szCs w:val="24"/>
        </w:rPr>
        <w:tab/>
      </w:r>
      <w:r w:rsidR="00632A01" w:rsidRPr="00FA6F79">
        <w:rPr>
          <w:rStyle w:val="cf01"/>
          <w:rFonts w:asciiTheme="majorBidi" w:hAnsiTheme="majorBidi" w:cstheme="majorBidi"/>
          <w:sz w:val="24"/>
          <w:szCs w:val="24"/>
        </w:rPr>
        <w:t xml:space="preserve">This study employed a cross-sectional design to evaluate the operational and economic performance of cooling and freezing warehouses in the Riyadh region. Primary data were collected through structured field surveys, semi-structured interviews, and direct facility observations. The survey instrument was pre-tested to ensure clarity and reliability. A total of 102 questionnaires were distributed, and after screening for completeness, 60 valid responses were included in the analysis. </w:t>
      </w:r>
      <w:proofErr w:type="gramStart"/>
      <w:r w:rsidR="00632A01" w:rsidRPr="00FA6F79">
        <w:rPr>
          <w:rStyle w:val="cf01"/>
          <w:rFonts w:asciiTheme="majorBidi" w:hAnsiTheme="majorBidi" w:cstheme="majorBidi"/>
          <w:sz w:val="24"/>
          <w:szCs w:val="24"/>
        </w:rPr>
        <w:t>Informed</w:t>
      </w:r>
      <w:proofErr w:type="gramEnd"/>
      <w:r w:rsidR="00632A01" w:rsidRPr="00FA6F79">
        <w:rPr>
          <w:rStyle w:val="cf01"/>
          <w:rFonts w:asciiTheme="majorBidi" w:hAnsiTheme="majorBidi" w:cstheme="majorBidi"/>
          <w:sz w:val="24"/>
          <w:szCs w:val="24"/>
        </w:rPr>
        <w:t xml:space="preserve"> consent was obtained from all participants, and responses were anonymized to protect confidentiality. The study protocol was reviewed and approved by the King Saud University Research Ethics Committee in accordance with the Declaration of Helsinki (1964, amended 2008).</w:t>
      </w:r>
      <w:r w:rsidR="0058585E" w:rsidRPr="00FA6F79">
        <w:rPr>
          <w:rStyle w:val="cf01"/>
          <w:rFonts w:asciiTheme="majorBidi" w:hAnsiTheme="majorBidi" w:cstheme="majorBidi"/>
          <w:sz w:val="24"/>
          <w:szCs w:val="24"/>
        </w:rPr>
        <w:t xml:space="preserve"> </w:t>
      </w:r>
      <w:r w:rsidR="00632A01" w:rsidRPr="00FA6F79">
        <w:rPr>
          <w:rStyle w:val="cf01"/>
          <w:rFonts w:asciiTheme="majorBidi" w:hAnsiTheme="majorBidi" w:cstheme="majorBidi"/>
          <w:sz w:val="24"/>
          <w:szCs w:val="24"/>
        </w:rPr>
        <w:t>The dataset comprised facility-level characteristics, including:</w:t>
      </w:r>
    </w:p>
    <w:p w14:paraId="6687E128" w14:textId="77777777" w:rsidR="00632A01" w:rsidRPr="00FA6F79" w:rsidRDefault="00632A01" w:rsidP="00BB3842">
      <w:pPr>
        <w:pStyle w:val="pf0"/>
        <w:numPr>
          <w:ilvl w:val="0"/>
          <w:numId w:val="15"/>
        </w:numPr>
        <w:spacing w:before="0" w:beforeAutospacing="0" w:after="0" w:afterAutospacing="0" w:line="360" w:lineRule="auto"/>
        <w:jc w:val="both"/>
        <w:rPr>
          <w:rFonts w:asciiTheme="majorBidi" w:hAnsiTheme="majorBidi" w:cstheme="majorBidi"/>
        </w:rPr>
      </w:pPr>
      <w:r w:rsidRPr="00FA6F79">
        <w:rPr>
          <w:rStyle w:val="cf01"/>
          <w:rFonts w:asciiTheme="majorBidi" w:hAnsiTheme="majorBidi" w:cstheme="majorBidi"/>
          <w:sz w:val="24"/>
          <w:szCs w:val="24"/>
        </w:rPr>
        <w:t>Structural variables: number of storage rooms, storage capacity (metric tons), and building characteristics.</w:t>
      </w:r>
    </w:p>
    <w:p w14:paraId="05D5AA5B" w14:textId="77777777" w:rsidR="00632A01" w:rsidRPr="00FA6F79" w:rsidRDefault="00632A01" w:rsidP="00BB3842">
      <w:pPr>
        <w:pStyle w:val="pf0"/>
        <w:numPr>
          <w:ilvl w:val="0"/>
          <w:numId w:val="15"/>
        </w:numPr>
        <w:spacing w:before="0" w:beforeAutospacing="0" w:after="0" w:afterAutospacing="0" w:line="360" w:lineRule="auto"/>
        <w:jc w:val="both"/>
        <w:rPr>
          <w:rFonts w:asciiTheme="majorBidi" w:hAnsiTheme="majorBidi" w:cstheme="majorBidi"/>
        </w:rPr>
      </w:pPr>
      <w:r w:rsidRPr="00FA6F79">
        <w:rPr>
          <w:rStyle w:val="cf01"/>
          <w:rFonts w:asciiTheme="majorBidi" w:hAnsiTheme="majorBidi" w:cstheme="majorBidi"/>
          <w:sz w:val="24"/>
          <w:szCs w:val="24"/>
        </w:rPr>
        <w:t>Operational variables: workforce size, years of experience, type of products stored, and presence of environmental control systems (temperature and humidity).</w:t>
      </w:r>
    </w:p>
    <w:p w14:paraId="70F50AF8" w14:textId="77777777" w:rsidR="00632A01" w:rsidRPr="00FA6F79" w:rsidRDefault="00632A01" w:rsidP="00BB3842">
      <w:pPr>
        <w:pStyle w:val="pf0"/>
        <w:numPr>
          <w:ilvl w:val="0"/>
          <w:numId w:val="15"/>
        </w:numPr>
        <w:spacing w:before="0" w:beforeAutospacing="0" w:after="0" w:afterAutospacing="0" w:line="360" w:lineRule="auto"/>
        <w:jc w:val="both"/>
        <w:rPr>
          <w:rFonts w:asciiTheme="majorBidi" w:hAnsiTheme="majorBidi" w:cstheme="majorBidi"/>
        </w:rPr>
      </w:pPr>
      <w:r w:rsidRPr="00FA6F79">
        <w:rPr>
          <w:rStyle w:val="cf01"/>
          <w:rFonts w:asciiTheme="majorBidi" w:hAnsiTheme="majorBidi" w:cstheme="majorBidi"/>
          <w:sz w:val="24"/>
          <w:szCs w:val="24"/>
        </w:rPr>
        <w:t>Economic variables: fixed costs (building, refrigeration, ventilation, and insurance), variable costs (labor, energy, packaging, water, fuel, lubricants, sterilization, and maintenance), monthly revenues, and net returns.</w:t>
      </w:r>
    </w:p>
    <w:p w14:paraId="03B2C8DA" w14:textId="16A62FFC" w:rsidR="00632A01" w:rsidRPr="00FA6F79" w:rsidRDefault="00D35BCE" w:rsidP="00BB3842">
      <w:pPr>
        <w:pStyle w:val="pf0"/>
        <w:spacing w:before="0" w:beforeAutospacing="0" w:after="0" w:afterAutospacing="0" w:line="360" w:lineRule="auto"/>
        <w:jc w:val="both"/>
        <w:rPr>
          <w:rFonts w:asciiTheme="majorBidi" w:hAnsiTheme="majorBidi" w:cstheme="majorBidi"/>
        </w:rPr>
      </w:pPr>
      <w:r>
        <w:rPr>
          <w:rStyle w:val="cf01"/>
          <w:rFonts w:asciiTheme="majorBidi" w:hAnsiTheme="majorBidi" w:cstheme="majorBidi"/>
          <w:sz w:val="24"/>
          <w:szCs w:val="24"/>
        </w:rPr>
        <w:tab/>
      </w:r>
      <w:r w:rsidR="00632A01" w:rsidRPr="00FA6F79">
        <w:rPr>
          <w:rStyle w:val="cf01"/>
          <w:rFonts w:asciiTheme="majorBidi" w:hAnsiTheme="majorBidi" w:cstheme="majorBidi"/>
          <w:sz w:val="24"/>
          <w:szCs w:val="24"/>
        </w:rPr>
        <w:t xml:space="preserve">Technical specifications of storage facilities were also assessed, including insulation materials, temperature ranges, and availability of chilled and frozen storage rooms. As reported in recent cold chain research (e.g., Alqahtani et al., 2025; </w:t>
      </w:r>
      <w:proofErr w:type="spellStart"/>
      <w:r w:rsidR="00632A01" w:rsidRPr="00FA6F79">
        <w:rPr>
          <w:rStyle w:val="cf01"/>
          <w:rFonts w:asciiTheme="majorBidi" w:hAnsiTheme="majorBidi" w:cstheme="majorBidi"/>
          <w:sz w:val="24"/>
          <w:szCs w:val="24"/>
        </w:rPr>
        <w:t>Noutfia</w:t>
      </w:r>
      <w:proofErr w:type="spellEnd"/>
      <w:r w:rsidR="00632A01" w:rsidRPr="00FA6F79">
        <w:rPr>
          <w:rStyle w:val="cf01"/>
          <w:rFonts w:asciiTheme="majorBidi" w:hAnsiTheme="majorBidi" w:cstheme="majorBidi"/>
          <w:sz w:val="24"/>
          <w:szCs w:val="24"/>
        </w:rPr>
        <w:t xml:space="preserve"> et al., 2025a, 2025b), such variables are crucial determinants of both product quality and economic sustainability.</w:t>
      </w:r>
    </w:p>
    <w:p w14:paraId="053EDB2F" w14:textId="008B969D" w:rsidR="00BB2FCA" w:rsidRPr="00FA6F79" w:rsidRDefault="00D35BCE" w:rsidP="00BB3842">
      <w:pPr>
        <w:pStyle w:val="pf0"/>
        <w:spacing w:before="0" w:beforeAutospacing="0" w:after="0" w:afterAutospacing="0" w:line="360" w:lineRule="auto"/>
        <w:jc w:val="both"/>
        <w:rPr>
          <w:rStyle w:val="Strong"/>
          <w:rFonts w:asciiTheme="majorBidi" w:hAnsiTheme="majorBidi" w:cstheme="majorBidi"/>
          <w:b w:val="0"/>
          <w:bCs w:val="0"/>
        </w:rPr>
      </w:pPr>
      <w:r>
        <w:rPr>
          <w:rStyle w:val="cf01"/>
          <w:rFonts w:asciiTheme="majorBidi" w:hAnsiTheme="majorBidi" w:cstheme="majorBidi"/>
          <w:sz w:val="24"/>
          <w:szCs w:val="24"/>
        </w:rPr>
        <w:tab/>
      </w:r>
      <w:r w:rsidR="00632A01" w:rsidRPr="00FA6F79">
        <w:rPr>
          <w:rStyle w:val="cf01"/>
          <w:rFonts w:asciiTheme="majorBidi" w:hAnsiTheme="majorBidi" w:cstheme="majorBidi"/>
          <w:sz w:val="24"/>
          <w:szCs w:val="24"/>
        </w:rPr>
        <w:t>Descriptive statistics (mean, standard deviation, and coefficient of variation) were calculated to summarize facility characteristics. Multiple linear regression was applied using the Ordinary Least Squares (OLS) method to examine the effect of structural and operational factors on storage capacity (dependent variable). The explanatory variables included number of rooms (X</w:t>
      </w:r>
      <w:r w:rsidR="00632A01" w:rsidRPr="00FA6F79">
        <w:rPr>
          <w:rStyle w:val="cf21"/>
          <w:rFonts w:asciiTheme="majorBidi" w:hAnsiTheme="majorBidi" w:cstheme="majorBidi"/>
          <w:sz w:val="24"/>
          <w:szCs w:val="24"/>
        </w:rPr>
        <w:t>₁</w:t>
      </w:r>
      <w:r w:rsidR="00632A01" w:rsidRPr="00FA6F79">
        <w:rPr>
          <w:rStyle w:val="cf01"/>
          <w:rFonts w:asciiTheme="majorBidi" w:hAnsiTheme="majorBidi" w:cstheme="majorBidi"/>
          <w:sz w:val="24"/>
          <w:szCs w:val="24"/>
        </w:rPr>
        <w:t>), years of experience (X</w:t>
      </w:r>
      <w:r w:rsidR="00632A01" w:rsidRPr="00FA6F79">
        <w:rPr>
          <w:rStyle w:val="cf21"/>
          <w:rFonts w:asciiTheme="majorBidi" w:hAnsiTheme="majorBidi" w:cstheme="majorBidi"/>
          <w:sz w:val="24"/>
          <w:szCs w:val="24"/>
        </w:rPr>
        <w:t>₂</w:t>
      </w:r>
      <w:r w:rsidR="00632A01" w:rsidRPr="00FA6F79">
        <w:rPr>
          <w:rStyle w:val="cf01"/>
          <w:rFonts w:asciiTheme="majorBidi" w:hAnsiTheme="majorBidi" w:cstheme="majorBidi"/>
          <w:sz w:val="24"/>
          <w:szCs w:val="24"/>
        </w:rPr>
        <w:t>), workforce size (X</w:t>
      </w:r>
      <w:r w:rsidR="00632A01" w:rsidRPr="00FA6F79">
        <w:rPr>
          <w:rStyle w:val="cf21"/>
          <w:rFonts w:asciiTheme="majorBidi" w:hAnsiTheme="majorBidi" w:cstheme="majorBidi"/>
          <w:sz w:val="24"/>
          <w:szCs w:val="24"/>
        </w:rPr>
        <w:t>₃</w:t>
      </w:r>
      <w:r w:rsidR="00632A01" w:rsidRPr="00FA6F79">
        <w:rPr>
          <w:rStyle w:val="cf01"/>
          <w:rFonts w:asciiTheme="majorBidi" w:hAnsiTheme="majorBidi" w:cstheme="majorBidi"/>
          <w:sz w:val="24"/>
          <w:szCs w:val="24"/>
        </w:rPr>
        <w:t>), and dummy variables for temperature (d</w:t>
      </w:r>
      <w:r w:rsidR="00632A01" w:rsidRPr="00FA6F79">
        <w:rPr>
          <w:rStyle w:val="cf21"/>
          <w:rFonts w:asciiTheme="majorBidi" w:hAnsiTheme="majorBidi" w:cstheme="majorBidi"/>
          <w:sz w:val="24"/>
          <w:szCs w:val="24"/>
        </w:rPr>
        <w:t>₁</w:t>
      </w:r>
      <w:r w:rsidR="00632A01" w:rsidRPr="00FA6F79">
        <w:rPr>
          <w:rStyle w:val="cf01"/>
          <w:rFonts w:asciiTheme="majorBidi" w:hAnsiTheme="majorBidi" w:cstheme="majorBidi"/>
          <w:sz w:val="24"/>
          <w:szCs w:val="24"/>
        </w:rPr>
        <w:t>) and humidity control (d</w:t>
      </w:r>
      <w:r w:rsidR="00632A01" w:rsidRPr="00FA6F79">
        <w:rPr>
          <w:rStyle w:val="cf21"/>
          <w:rFonts w:asciiTheme="majorBidi" w:hAnsiTheme="majorBidi" w:cstheme="majorBidi"/>
          <w:sz w:val="24"/>
          <w:szCs w:val="24"/>
        </w:rPr>
        <w:t>₂</w:t>
      </w:r>
      <w:r w:rsidR="00632A01" w:rsidRPr="00FA6F79">
        <w:rPr>
          <w:rStyle w:val="cf01"/>
          <w:rFonts w:asciiTheme="majorBidi" w:hAnsiTheme="majorBidi" w:cstheme="majorBidi"/>
          <w:sz w:val="24"/>
          <w:szCs w:val="24"/>
        </w:rPr>
        <w:t>). Model fit was assessed through R², F-tests, and variance inflation factors to check multicollinearity. Similar approaches have been adopted in food supply chain efficiency studies (Niu et al., 2024; Park et al., 2023)</w:t>
      </w:r>
      <w:r w:rsidR="00BB2FCA" w:rsidRPr="00FA6F79">
        <w:rPr>
          <w:rStyle w:val="Strong"/>
          <w:rFonts w:asciiTheme="majorBidi" w:hAnsiTheme="majorBidi" w:cstheme="majorBidi"/>
          <w:b w:val="0"/>
          <w:bCs w:val="0"/>
          <w:color w:val="000000" w:themeColor="text1"/>
        </w:rPr>
        <w:t>. The regression equation was:</w:t>
      </w:r>
    </w:p>
    <w:p w14:paraId="3DE534BC" w14:textId="10722075" w:rsidR="007F02DE" w:rsidRPr="00FA6F79" w:rsidRDefault="00000000" w:rsidP="00BB3842">
      <w:pPr>
        <w:spacing w:line="360" w:lineRule="auto"/>
        <w:jc w:val="both"/>
        <w:rPr>
          <w:rStyle w:val="Strong"/>
          <w:rFonts w:asciiTheme="majorBidi" w:eastAsia="Times New Roman" w:hAnsiTheme="majorBidi" w:cstheme="majorBidi"/>
          <w:b w:val="0"/>
          <w:bCs w:val="0"/>
          <w:color w:val="000000" w:themeColor="text1"/>
          <w:kern w:val="0"/>
          <w:sz w:val="24"/>
          <w:szCs w:val="24"/>
          <w14:ligatures w14:val="none"/>
        </w:rPr>
      </w:pPr>
      <m:oMathPara>
        <m:oMath>
          <m:eqArr>
            <m:eqArrPr>
              <m:maxDist m:val="1"/>
              <m:ctrlPr>
                <w:rPr>
                  <w:rStyle w:val="Strong"/>
                  <w:rFonts w:ascii="Cambria Math" w:eastAsia="Times New Roman" w:hAnsi="Cambria Math" w:cstheme="majorBidi"/>
                  <w:b w:val="0"/>
                  <w:bCs w:val="0"/>
                  <w:i/>
                  <w:color w:val="000000" w:themeColor="text1"/>
                  <w:kern w:val="0"/>
                  <w:sz w:val="24"/>
                  <w:szCs w:val="24"/>
                  <w14:ligatures w14:val="none"/>
                </w:rPr>
              </m:ctrlPr>
            </m:eqArrPr>
            <m:e>
              <m:r>
                <w:rPr>
                  <w:rStyle w:val="Strong"/>
                  <w:rFonts w:ascii="Cambria Math" w:eastAsia="Times New Roman" w:hAnsi="Cambria Math" w:cstheme="majorBidi"/>
                  <w:color w:val="000000" w:themeColor="text1"/>
                  <w:kern w:val="0"/>
                  <w:sz w:val="24"/>
                  <w:szCs w:val="24"/>
                  <w14:ligatures w14:val="none"/>
                </w:rPr>
                <m:t xml:space="preserve">Y = C + </m:t>
              </m:r>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b</m:t>
                  </m:r>
                </m:e>
                <m:sub>
                  <m:r>
                    <w:rPr>
                      <w:rStyle w:val="Strong"/>
                      <w:rFonts w:ascii="Cambria Math" w:eastAsia="Times New Roman" w:hAnsi="Cambria Math" w:cstheme="majorBidi"/>
                      <w:color w:val="000000" w:themeColor="text1"/>
                      <w:kern w:val="0"/>
                      <w:sz w:val="24"/>
                      <w:szCs w:val="24"/>
                      <w14:ligatures w14:val="none"/>
                    </w:rPr>
                    <m:t>1</m:t>
                  </m:r>
                </m:sub>
              </m:sSub>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X</m:t>
                  </m:r>
                </m:e>
                <m:sub>
                  <m:r>
                    <w:rPr>
                      <w:rStyle w:val="Strong"/>
                      <w:rFonts w:ascii="Cambria Math" w:eastAsia="Times New Roman" w:hAnsi="Cambria Math" w:cstheme="majorBidi"/>
                      <w:color w:val="000000" w:themeColor="text1"/>
                      <w:kern w:val="0"/>
                      <w:sz w:val="24"/>
                      <w:szCs w:val="24"/>
                      <w14:ligatures w14:val="none"/>
                    </w:rPr>
                    <m:t>1</m:t>
                  </m:r>
                </m:sub>
              </m:sSub>
              <m:r>
                <w:rPr>
                  <w:rStyle w:val="Strong"/>
                  <w:rFonts w:ascii="Cambria Math" w:eastAsia="Times New Roman" w:hAnsi="Cambria Math" w:cstheme="majorBidi"/>
                  <w:color w:val="000000" w:themeColor="text1"/>
                  <w:kern w:val="0"/>
                  <w:sz w:val="24"/>
                  <w:szCs w:val="24"/>
                  <w14:ligatures w14:val="none"/>
                </w:rPr>
                <m:t xml:space="preserve">+ </m:t>
              </m:r>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b</m:t>
                  </m:r>
                </m:e>
                <m:sub>
                  <m:r>
                    <w:rPr>
                      <w:rStyle w:val="Strong"/>
                      <w:rFonts w:ascii="Cambria Math" w:eastAsia="Times New Roman" w:hAnsi="Cambria Math" w:cstheme="majorBidi"/>
                      <w:color w:val="000000" w:themeColor="text1"/>
                      <w:kern w:val="0"/>
                      <w:sz w:val="24"/>
                      <w:szCs w:val="24"/>
                      <w14:ligatures w14:val="none"/>
                    </w:rPr>
                    <m:t>2</m:t>
                  </m:r>
                </m:sub>
              </m:sSub>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X</m:t>
                  </m:r>
                </m:e>
                <m:sub>
                  <m:r>
                    <w:rPr>
                      <w:rStyle w:val="Strong"/>
                      <w:rFonts w:ascii="Cambria Math" w:eastAsia="Times New Roman" w:hAnsi="Cambria Math" w:cstheme="majorBidi"/>
                      <w:color w:val="000000" w:themeColor="text1"/>
                      <w:kern w:val="0"/>
                      <w:sz w:val="24"/>
                      <w:szCs w:val="24"/>
                      <w14:ligatures w14:val="none"/>
                    </w:rPr>
                    <m:t>2</m:t>
                  </m:r>
                </m:sub>
              </m:sSub>
              <m:r>
                <w:rPr>
                  <w:rStyle w:val="Strong"/>
                  <w:rFonts w:ascii="Cambria Math" w:eastAsia="Times New Roman" w:hAnsi="Cambria Math" w:cstheme="majorBidi"/>
                  <w:color w:val="000000" w:themeColor="text1"/>
                  <w:kern w:val="0"/>
                  <w:sz w:val="24"/>
                  <w:szCs w:val="24"/>
                  <w14:ligatures w14:val="none"/>
                </w:rPr>
                <m:t xml:space="preserve">+ </m:t>
              </m:r>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b</m:t>
                  </m:r>
                </m:e>
                <m:sub>
                  <m:r>
                    <w:rPr>
                      <w:rStyle w:val="Strong"/>
                      <w:rFonts w:ascii="Cambria Math" w:eastAsia="Times New Roman" w:hAnsi="Cambria Math" w:cstheme="majorBidi"/>
                      <w:color w:val="000000" w:themeColor="text1"/>
                      <w:kern w:val="0"/>
                      <w:sz w:val="24"/>
                      <w:szCs w:val="24"/>
                      <w14:ligatures w14:val="none"/>
                    </w:rPr>
                    <m:t>3</m:t>
                  </m:r>
                </m:sub>
              </m:sSub>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X</m:t>
                  </m:r>
                </m:e>
                <m:sub>
                  <m:r>
                    <w:rPr>
                      <w:rStyle w:val="Strong"/>
                      <w:rFonts w:ascii="Cambria Math" w:eastAsia="Times New Roman" w:hAnsi="Cambria Math" w:cstheme="majorBidi"/>
                      <w:color w:val="000000" w:themeColor="text1"/>
                      <w:kern w:val="0"/>
                      <w:sz w:val="24"/>
                      <w:szCs w:val="24"/>
                      <w14:ligatures w14:val="none"/>
                    </w:rPr>
                    <m:t>3</m:t>
                  </m:r>
                </m:sub>
              </m:sSub>
              <m:r>
                <w:rPr>
                  <w:rStyle w:val="Strong"/>
                  <w:rFonts w:ascii="Cambria Math" w:eastAsia="Times New Roman" w:hAnsi="Cambria Math" w:cstheme="majorBidi"/>
                  <w:color w:val="000000" w:themeColor="text1"/>
                  <w:kern w:val="0"/>
                  <w:sz w:val="24"/>
                  <w:szCs w:val="24"/>
                  <w14:ligatures w14:val="none"/>
                </w:rPr>
                <m:t>+</m:t>
              </m:r>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 xml:space="preserve"> b</m:t>
                  </m:r>
                </m:e>
                <m:sub>
                  <m:r>
                    <w:rPr>
                      <w:rStyle w:val="Strong"/>
                      <w:rFonts w:ascii="Cambria Math" w:eastAsia="Times New Roman" w:hAnsi="Cambria Math" w:cstheme="majorBidi"/>
                      <w:color w:val="000000" w:themeColor="text1"/>
                      <w:kern w:val="0"/>
                      <w:sz w:val="24"/>
                      <w:szCs w:val="24"/>
                      <w14:ligatures w14:val="none"/>
                    </w:rPr>
                    <m:t>4</m:t>
                  </m:r>
                </m:sub>
              </m:sSub>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d</m:t>
                  </m:r>
                </m:e>
                <m:sub>
                  <m:r>
                    <w:rPr>
                      <w:rStyle w:val="Strong"/>
                      <w:rFonts w:ascii="Cambria Math" w:eastAsia="Times New Roman" w:hAnsi="Cambria Math" w:cstheme="majorBidi"/>
                      <w:color w:val="000000" w:themeColor="text1"/>
                      <w:kern w:val="0"/>
                      <w:sz w:val="24"/>
                      <w:szCs w:val="24"/>
                      <w14:ligatures w14:val="none"/>
                    </w:rPr>
                    <m:t>1</m:t>
                  </m:r>
                </m:sub>
              </m:sSub>
              <m:r>
                <w:rPr>
                  <w:rStyle w:val="Strong"/>
                  <w:rFonts w:ascii="Cambria Math" w:eastAsia="Times New Roman" w:hAnsi="Cambria Math" w:cstheme="majorBidi"/>
                  <w:color w:val="000000" w:themeColor="text1"/>
                  <w:kern w:val="0"/>
                  <w:sz w:val="24"/>
                  <w:szCs w:val="24"/>
                  <w14:ligatures w14:val="none"/>
                </w:rPr>
                <m:t xml:space="preserve"> + </m:t>
              </m:r>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 xml:space="preserve"> b</m:t>
                  </m:r>
                </m:e>
                <m:sub>
                  <m:r>
                    <w:rPr>
                      <w:rStyle w:val="Strong"/>
                      <w:rFonts w:ascii="Cambria Math" w:eastAsia="Times New Roman" w:hAnsi="Cambria Math" w:cstheme="majorBidi"/>
                      <w:color w:val="000000" w:themeColor="text1"/>
                      <w:kern w:val="0"/>
                      <w:sz w:val="24"/>
                      <w:szCs w:val="24"/>
                      <w14:ligatures w14:val="none"/>
                    </w:rPr>
                    <m:t>5</m:t>
                  </m:r>
                </m:sub>
              </m:sSub>
              <m:sSub>
                <m:sSubPr>
                  <m:ctrlPr>
                    <w:rPr>
                      <w:rStyle w:val="Strong"/>
                      <w:rFonts w:ascii="Cambria Math" w:eastAsia="Times New Roman" w:hAnsi="Cambria Math" w:cstheme="majorBidi"/>
                      <w:b w:val="0"/>
                      <w:bCs w:val="0"/>
                      <w:i/>
                      <w:color w:val="000000" w:themeColor="text1"/>
                      <w:kern w:val="0"/>
                      <w:sz w:val="24"/>
                      <w:szCs w:val="24"/>
                      <w14:ligatures w14:val="none"/>
                    </w:rPr>
                  </m:ctrlPr>
                </m:sSubPr>
                <m:e>
                  <m:r>
                    <w:rPr>
                      <w:rStyle w:val="Strong"/>
                      <w:rFonts w:ascii="Cambria Math" w:eastAsia="Times New Roman" w:hAnsi="Cambria Math" w:cstheme="majorBidi"/>
                      <w:color w:val="000000" w:themeColor="text1"/>
                      <w:kern w:val="0"/>
                      <w:sz w:val="24"/>
                      <w:szCs w:val="24"/>
                      <w14:ligatures w14:val="none"/>
                    </w:rPr>
                    <m:t>d</m:t>
                  </m:r>
                </m:e>
                <m:sub>
                  <m:r>
                    <w:rPr>
                      <w:rStyle w:val="Strong"/>
                      <w:rFonts w:ascii="Cambria Math" w:eastAsia="Times New Roman" w:hAnsi="Cambria Math" w:cstheme="majorBidi"/>
                      <w:color w:val="000000" w:themeColor="text1"/>
                      <w:kern w:val="0"/>
                      <w:sz w:val="24"/>
                      <w:szCs w:val="24"/>
                      <w14:ligatures w14:val="none"/>
                    </w:rPr>
                    <m:t>2</m:t>
                  </m:r>
                </m:sub>
              </m:sSub>
              <m:r>
                <w:rPr>
                  <w:rStyle w:val="Strong"/>
                  <w:rFonts w:ascii="Cambria Math" w:eastAsia="Times New Roman" w:hAnsi="Cambria Math" w:cstheme="majorBidi"/>
                  <w:color w:val="000000" w:themeColor="text1"/>
                  <w:kern w:val="0"/>
                  <w:sz w:val="24"/>
                  <w:szCs w:val="24"/>
                  <w14:ligatures w14:val="none"/>
                </w:rPr>
                <m:t>+ε #</m:t>
              </m:r>
              <m:d>
                <m:dPr>
                  <m:ctrlPr>
                    <w:rPr>
                      <w:rStyle w:val="Strong"/>
                      <w:rFonts w:ascii="Cambria Math" w:eastAsia="Times New Roman" w:hAnsi="Cambria Math" w:cstheme="majorBidi"/>
                      <w:b w:val="0"/>
                      <w:bCs w:val="0"/>
                      <w:i/>
                      <w:color w:val="000000" w:themeColor="text1"/>
                      <w:kern w:val="0"/>
                      <w:sz w:val="24"/>
                      <w:szCs w:val="24"/>
                      <w14:ligatures w14:val="none"/>
                    </w:rPr>
                  </m:ctrlPr>
                </m:dPr>
                <m:e>
                  <m:r>
                    <w:rPr>
                      <w:rStyle w:val="Strong"/>
                      <w:rFonts w:ascii="Cambria Math" w:eastAsia="Times New Roman" w:hAnsi="Cambria Math" w:cstheme="majorBidi"/>
                      <w:color w:val="000000" w:themeColor="text1"/>
                      <w:kern w:val="0"/>
                      <w:sz w:val="24"/>
                      <w:szCs w:val="24"/>
                      <w14:ligatures w14:val="none"/>
                    </w:rPr>
                    <m:t>1</m:t>
                  </m:r>
                </m:e>
              </m:d>
            </m:e>
          </m:eqArr>
        </m:oMath>
      </m:oMathPara>
    </w:p>
    <w:p w14:paraId="493CAF52" w14:textId="061DC421" w:rsidR="00073FC8" w:rsidRPr="00FA6F79" w:rsidRDefault="00D35BCE" w:rsidP="00BB3842">
      <w:pPr>
        <w:spacing w:after="0" w:line="360" w:lineRule="auto"/>
        <w:jc w:val="both"/>
        <w:rPr>
          <w:rFonts w:asciiTheme="majorBidi" w:eastAsia="Times New Roman" w:hAnsiTheme="majorBidi" w:cstheme="majorBidi"/>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Additionally, one-way analysis of variance (ANOVA) was used to compare the average storage cost per ton across four facility-size categories: &lt;10 rooms, 10–19 rooms, 20–29 rooms, and ≥30 rooms. The choice of categories followed the observed distribution in the data and aligns with earlier postharvest efficiency research (Cherif et al., 2021). Normality of residuals was tested using the Kolmogorov–Smirnov test (Conover, 1999) and the Shapiro–Wilk test (Mendes &amp; Pala, 2003), while homogeneity of variance was confirmed using Levene’s test (Derrick et al., 2018).</w:t>
      </w:r>
    </w:p>
    <w:p w14:paraId="0AECCBB6" w14:textId="3EF9D738" w:rsidR="00073FC8" w:rsidRPr="00FA6F79" w:rsidRDefault="00D35BCE" w:rsidP="00BB3842">
      <w:pPr>
        <w:spacing w:after="0" w:line="360" w:lineRule="auto"/>
        <w:jc w:val="both"/>
        <w:rPr>
          <w:rFonts w:asciiTheme="majorBidi" w:eastAsia="Times New Roman" w:hAnsiTheme="majorBidi" w:cstheme="majorBidi"/>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An economic evaluation was conducted to analyze the cost–return structure of the warehouses. Annual fixed and variable costs were compared with monthly revenues to derive net profitability. Sensitivity analysis was applied to simulate the effect of changes in energy costs and labor expenditures, following approaches used in recent cold chain energy optimization studies (Niu et al., 2024; Wang &amp; Du, 2025). This combination of statistical and economic tools ensured both technical and financial dimensions of efficiency were captured.</w:t>
      </w:r>
    </w:p>
    <w:p w14:paraId="5AB97884" w14:textId="65CECBC4" w:rsidR="001B6F35" w:rsidRPr="00D35BCE" w:rsidRDefault="00D35BCE" w:rsidP="00D35BCE">
      <w:pPr>
        <w:spacing w:after="0" w:line="360" w:lineRule="auto"/>
        <w:jc w:val="both"/>
        <w:rPr>
          <w:rStyle w:val="Strong"/>
          <w:rFonts w:asciiTheme="majorBidi" w:eastAsia="Times New Roman" w:hAnsiTheme="majorBidi" w:cstheme="majorBidi"/>
          <w:b w:val="0"/>
          <w:bCs w:val="0"/>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Field surveys also recorded technical specifications of refrigeration and freezing rooms, including insulation materials (polystyrene, rockwool, polyurethane), average thickness, temperature ranges, and room dimensions. All surveyed facilities operated both chilled (0–15 °C) and frozen storage (−18 to 0 °C) but lacked flash-cooling systems, a limitation consistent with findings from previous work on date storage (</w:t>
      </w:r>
      <w:proofErr w:type="spellStart"/>
      <w:r w:rsidR="00073FC8" w:rsidRPr="00FA6F79">
        <w:rPr>
          <w:rFonts w:asciiTheme="majorBidi" w:eastAsia="Times New Roman" w:hAnsiTheme="majorBidi" w:cstheme="majorBidi"/>
          <w:kern w:val="0"/>
          <w:sz w:val="24"/>
          <w:szCs w:val="24"/>
          <w:lang w:val="en"/>
          <w14:ligatures w14:val="none"/>
        </w:rPr>
        <w:t>Noutfia</w:t>
      </w:r>
      <w:proofErr w:type="spellEnd"/>
      <w:r w:rsidR="00073FC8" w:rsidRPr="00FA6F79">
        <w:rPr>
          <w:rFonts w:asciiTheme="majorBidi" w:eastAsia="Times New Roman" w:hAnsiTheme="majorBidi" w:cstheme="majorBidi"/>
          <w:kern w:val="0"/>
          <w:sz w:val="24"/>
          <w:szCs w:val="24"/>
          <w:lang w:val="en"/>
          <w14:ligatures w14:val="none"/>
        </w:rPr>
        <w:t xml:space="preserve"> et al., 2025b; Mohammed et al., 2024). These technical observations provide practical insight into the current limitations of storage infrastructure in the Riyadh region.</w:t>
      </w:r>
    </w:p>
    <w:p w14:paraId="1E715795" w14:textId="3C2B6D7E" w:rsidR="007F02DE" w:rsidRPr="00FA6F79" w:rsidRDefault="007E7E5F" w:rsidP="001B3AF4">
      <w:pPr>
        <w:spacing w:after="0" w:line="240" w:lineRule="auto"/>
        <w:jc w:val="both"/>
        <w:rPr>
          <w:rStyle w:val="Strong"/>
          <w:rFonts w:asciiTheme="majorBidi" w:eastAsia="Times New Roman" w:hAnsiTheme="majorBidi" w:cstheme="majorBidi"/>
          <w:color w:val="000000" w:themeColor="text1"/>
          <w:kern w:val="0"/>
          <w:sz w:val="24"/>
          <w:szCs w:val="24"/>
          <w14:ligatures w14:val="none"/>
        </w:rPr>
      </w:pPr>
      <w:r w:rsidRPr="00FA6F79">
        <w:rPr>
          <w:rStyle w:val="Strong"/>
          <w:rFonts w:asciiTheme="majorBidi" w:eastAsia="Times New Roman" w:hAnsiTheme="majorBidi" w:cstheme="majorBidi"/>
          <w:color w:val="000000" w:themeColor="text1"/>
          <w:kern w:val="0"/>
          <w:sz w:val="24"/>
          <w:szCs w:val="24"/>
          <w14:ligatures w14:val="none"/>
        </w:rPr>
        <w:t xml:space="preserve">3. </w:t>
      </w:r>
      <w:r w:rsidR="00D35BCE" w:rsidRPr="00FA6F79">
        <w:rPr>
          <w:rStyle w:val="Strong"/>
          <w:rFonts w:asciiTheme="majorBidi" w:eastAsia="Times New Roman" w:hAnsiTheme="majorBidi" w:cstheme="majorBidi"/>
          <w:color w:val="000000" w:themeColor="text1"/>
          <w:kern w:val="0"/>
          <w:sz w:val="24"/>
          <w:szCs w:val="24"/>
          <w14:ligatures w14:val="none"/>
        </w:rPr>
        <w:t>RESULTS AND DISCUSSIONS</w:t>
      </w:r>
    </w:p>
    <w:p w14:paraId="632F0B50" w14:textId="77777777" w:rsidR="00073FC8" w:rsidRPr="00FA6F79" w:rsidRDefault="00073FC8" w:rsidP="001B3AF4">
      <w:pPr>
        <w:spacing w:before="100" w:beforeAutospacing="1" w:after="100" w:afterAutospacing="1" w:line="240" w:lineRule="auto"/>
        <w:rPr>
          <w:rFonts w:asciiTheme="majorBidi" w:eastAsia="Times New Roman" w:hAnsiTheme="majorBidi" w:cstheme="majorBidi"/>
          <w:kern w:val="0"/>
          <w:sz w:val="24"/>
          <w:szCs w:val="24"/>
          <w:lang w:val="en"/>
          <w14:ligatures w14:val="none"/>
        </w:rPr>
      </w:pPr>
      <w:r w:rsidRPr="00FA6F79">
        <w:rPr>
          <w:rFonts w:asciiTheme="majorBidi" w:eastAsia="Times New Roman" w:hAnsiTheme="majorBidi" w:cstheme="majorBidi"/>
          <w:kern w:val="0"/>
          <w:sz w:val="24"/>
          <w:szCs w:val="24"/>
          <w:lang w:val="en"/>
          <w14:ligatures w14:val="none"/>
        </w:rPr>
        <w:t>3.1 Descriptive Analysis of the Study Sample in the Riyadh Region</w:t>
      </w:r>
    </w:p>
    <w:p w14:paraId="1ED1F021" w14:textId="69145A15" w:rsidR="00073FC8" w:rsidRPr="00FA6F79" w:rsidRDefault="00D35BCE" w:rsidP="00BB3842">
      <w:pPr>
        <w:spacing w:after="0" w:line="360" w:lineRule="auto"/>
        <w:jc w:val="both"/>
        <w:rPr>
          <w:rFonts w:asciiTheme="majorBidi" w:eastAsia="Times New Roman" w:hAnsiTheme="majorBidi" w:cstheme="majorBidi"/>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A total of 102 questionnaires were distributed to cooling and freezing storage facilities in the Riyadh region through direct interviews (n = 63) and electronic surveys (n = 39). Of these, 64 were returned, but four were excluded due to incomplete or inconsistent data, leaving 60 valid responses.</w:t>
      </w:r>
    </w:p>
    <w:p w14:paraId="76F5E353" w14:textId="4CD0CA45" w:rsidR="00073FC8" w:rsidRPr="00FA6F79" w:rsidRDefault="00D35BCE" w:rsidP="00BB3842">
      <w:pPr>
        <w:spacing w:after="0" w:line="360" w:lineRule="auto"/>
        <w:jc w:val="both"/>
        <w:rPr>
          <w:rFonts w:asciiTheme="majorBidi" w:eastAsia="Times New Roman" w:hAnsiTheme="majorBidi" w:cstheme="majorBidi"/>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 xml:space="preserve">The geographical distribution of the facilities reveals </w:t>
      </w:r>
      <w:r w:rsidR="00A37ABF" w:rsidRPr="00FA6F79">
        <w:rPr>
          <w:rFonts w:asciiTheme="majorBidi" w:eastAsia="Times New Roman" w:hAnsiTheme="majorBidi" w:cstheme="majorBidi"/>
          <w:kern w:val="0"/>
          <w:sz w:val="24"/>
          <w:szCs w:val="24"/>
          <w:lang w:val="en"/>
          <w14:ligatures w14:val="none"/>
        </w:rPr>
        <w:t>an intense</w:t>
      </w:r>
      <w:r w:rsidR="00073FC8" w:rsidRPr="00FA6F79">
        <w:rPr>
          <w:rFonts w:asciiTheme="majorBidi" w:eastAsia="Times New Roman" w:hAnsiTheme="majorBidi" w:cstheme="majorBidi"/>
          <w:kern w:val="0"/>
          <w:sz w:val="24"/>
          <w:szCs w:val="24"/>
          <w:lang w:val="en"/>
          <w14:ligatures w14:val="none"/>
        </w:rPr>
        <w:t xml:space="preserve"> concentration in Riyadh City (88.3%), followed by Al-Kharj (5.0%), Al-</w:t>
      </w:r>
      <w:proofErr w:type="spellStart"/>
      <w:r w:rsidR="00073FC8" w:rsidRPr="00FA6F79">
        <w:rPr>
          <w:rFonts w:asciiTheme="majorBidi" w:eastAsia="Times New Roman" w:hAnsiTheme="majorBidi" w:cstheme="majorBidi"/>
          <w:kern w:val="0"/>
          <w:sz w:val="24"/>
          <w:szCs w:val="24"/>
          <w:lang w:val="en"/>
          <w14:ligatures w14:val="none"/>
        </w:rPr>
        <w:t>Dilam</w:t>
      </w:r>
      <w:proofErr w:type="spellEnd"/>
      <w:r w:rsidR="00073FC8" w:rsidRPr="00FA6F79">
        <w:rPr>
          <w:rFonts w:asciiTheme="majorBidi" w:eastAsia="Times New Roman" w:hAnsiTheme="majorBidi" w:cstheme="majorBidi"/>
          <w:kern w:val="0"/>
          <w:sz w:val="24"/>
          <w:szCs w:val="24"/>
          <w:lang w:val="en"/>
          <w14:ligatures w14:val="none"/>
        </w:rPr>
        <w:t xml:space="preserve"> (3.3%), and Al-</w:t>
      </w:r>
      <w:proofErr w:type="spellStart"/>
      <w:r w:rsidR="00073FC8" w:rsidRPr="00FA6F79">
        <w:rPr>
          <w:rFonts w:asciiTheme="majorBidi" w:eastAsia="Times New Roman" w:hAnsiTheme="majorBidi" w:cstheme="majorBidi"/>
          <w:kern w:val="0"/>
          <w:sz w:val="24"/>
          <w:szCs w:val="24"/>
          <w:lang w:val="en"/>
          <w14:ligatures w14:val="none"/>
        </w:rPr>
        <w:t>Muzahmiyya</w:t>
      </w:r>
      <w:proofErr w:type="spellEnd"/>
      <w:r w:rsidR="00073FC8" w:rsidRPr="00FA6F79">
        <w:rPr>
          <w:rFonts w:asciiTheme="majorBidi" w:eastAsia="Times New Roman" w:hAnsiTheme="majorBidi" w:cstheme="majorBidi"/>
          <w:kern w:val="0"/>
          <w:sz w:val="24"/>
          <w:szCs w:val="24"/>
          <w:lang w:val="en"/>
          <w14:ligatures w14:val="none"/>
        </w:rPr>
        <w:t xml:space="preserve"> and Al-</w:t>
      </w:r>
      <w:proofErr w:type="spellStart"/>
      <w:r w:rsidR="00073FC8" w:rsidRPr="00FA6F79">
        <w:rPr>
          <w:rFonts w:asciiTheme="majorBidi" w:eastAsia="Times New Roman" w:hAnsiTheme="majorBidi" w:cstheme="majorBidi"/>
          <w:kern w:val="0"/>
          <w:sz w:val="24"/>
          <w:szCs w:val="24"/>
          <w:lang w:val="en"/>
          <w14:ligatures w14:val="none"/>
        </w:rPr>
        <w:t>Sulayil</w:t>
      </w:r>
      <w:proofErr w:type="spellEnd"/>
      <w:r w:rsidR="00073FC8" w:rsidRPr="00FA6F79">
        <w:rPr>
          <w:rFonts w:asciiTheme="majorBidi" w:eastAsia="Times New Roman" w:hAnsiTheme="majorBidi" w:cstheme="majorBidi"/>
          <w:kern w:val="0"/>
          <w:sz w:val="24"/>
          <w:szCs w:val="24"/>
          <w:lang w:val="en"/>
          <w14:ligatures w14:val="none"/>
        </w:rPr>
        <w:t xml:space="preserve"> (1.7% each). This concentration reflects the demographic and economic centrality of the capital, where population density and demand for food storage are highest. Similar findings were reported </w:t>
      </w:r>
      <w:r w:rsidR="00073FC8" w:rsidRPr="00FA6F79">
        <w:rPr>
          <w:rFonts w:asciiTheme="majorBidi" w:eastAsia="Times New Roman" w:hAnsiTheme="majorBidi" w:cstheme="majorBidi"/>
          <w:kern w:val="0"/>
          <w:sz w:val="24"/>
          <w:szCs w:val="24"/>
          <w:lang w:val="en"/>
          <w14:ligatures w14:val="none"/>
        </w:rPr>
        <w:lastRenderedPageBreak/>
        <w:t>by Al-Husseini (2000), who emphasized the direct relationship between population clusters and the density of food-related services.</w:t>
      </w:r>
    </w:p>
    <w:p w14:paraId="521ECFFA" w14:textId="00EC8F77" w:rsidR="00073FC8" w:rsidRPr="00FA6F79" w:rsidRDefault="00D35BCE" w:rsidP="00BB3842">
      <w:pPr>
        <w:spacing w:after="0" w:line="360" w:lineRule="auto"/>
        <w:jc w:val="both"/>
        <w:rPr>
          <w:rFonts w:asciiTheme="majorBidi" w:eastAsia="Times New Roman" w:hAnsiTheme="majorBidi" w:cstheme="majorBidi"/>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 xml:space="preserve">The economic and operational characteristics of the facilities (Table 2) highlight significant diversity. The average operational experience was 17.6 years (range: 1–40 years, C.V. 51.93%), reflecting the coexistence of newly established warehouses alongside long-standing ones. Storage capacity averaged 3,078.95 tons, ranging from 331 to 16,500 tons (C.V. 86.26%), showing </w:t>
      </w:r>
      <w:r w:rsidR="00A37ABF" w:rsidRPr="00FA6F79">
        <w:rPr>
          <w:rFonts w:asciiTheme="majorBidi" w:eastAsia="Times New Roman" w:hAnsiTheme="majorBidi" w:cstheme="majorBidi"/>
          <w:kern w:val="0"/>
          <w:sz w:val="24"/>
          <w:szCs w:val="24"/>
          <w:lang w:val="en"/>
          <w14:ligatures w14:val="none"/>
        </w:rPr>
        <w:t>significant</w:t>
      </w:r>
      <w:r w:rsidR="00073FC8" w:rsidRPr="00FA6F79">
        <w:rPr>
          <w:rFonts w:asciiTheme="majorBidi" w:eastAsia="Times New Roman" w:hAnsiTheme="majorBidi" w:cstheme="majorBidi"/>
          <w:kern w:val="0"/>
          <w:sz w:val="24"/>
          <w:szCs w:val="24"/>
          <w:lang w:val="en"/>
          <w14:ligatures w14:val="none"/>
        </w:rPr>
        <w:t xml:space="preserve"> structural differences across facilities. The number of rooms averaged 13.95 (C.V. 63.34%), and workforce size averaged 8.57 workers (C.V. 40.91%), confirming variation in operational scales.</w:t>
      </w:r>
    </w:p>
    <w:p w14:paraId="031D8829" w14:textId="0E4865E8" w:rsidR="00073FC8" w:rsidRPr="00FA6F79" w:rsidRDefault="00D35BCE" w:rsidP="00BB3842">
      <w:pPr>
        <w:spacing w:after="0" w:line="360" w:lineRule="auto"/>
        <w:jc w:val="both"/>
        <w:rPr>
          <w:rFonts w:asciiTheme="majorBidi" w:eastAsia="Times New Roman" w:hAnsiTheme="majorBidi" w:cstheme="majorBidi"/>
          <w:kern w:val="0"/>
          <w:sz w:val="24"/>
          <w:szCs w:val="24"/>
          <w:lang w:val="en"/>
          <w14:ligatures w14:val="none"/>
        </w:rPr>
      </w:pPr>
      <w:r>
        <w:rPr>
          <w:rFonts w:asciiTheme="majorBidi" w:eastAsia="Times New Roman" w:hAnsiTheme="majorBidi" w:cstheme="majorBidi"/>
          <w:kern w:val="0"/>
          <w:sz w:val="24"/>
          <w:szCs w:val="24"/>
          <w:lang w:val="en"/>
          <w14:ligatures w14:val="none"/>
        </w:rPr>
        <w:tab/>
      </w:r>
      <w:r w:rsidR="00073FC8" w:rsidRPr="00FA6F79">
        <w:rPr>
          <w:rFonts w:asciiTheme="majorBidi" w:eastAsia="Times New Roman" w:hAnsiTheme="majorBidi" w:cstheme="majorBidi"/>
          <w:kern w:val="0"/>
          <w:sz w:val="24"/>
          <w:szCs w:val="24"/>
          <w:lang w:val="en"/>
          <w14:ligatures w14:val="none"/>
        </w:rPr>
        <w:t xml:space="preserve">Most warehouses serve domestic markets (mean 84.88%), while exports accounted for only 20.61%. No facilities reported sales to manufacturing plants, indicating underutilization of processing opportunities. This result aligns with </w:t>
      </w:r>
      <w:proofErr w:type="spellStart"/>
      <w:r w:rsidR="00073FC8" w:rsidRPr="00FA6F79">
        <w:rPr>
          <w:rFonts w:asciiTheme="majorBidi" w:eastAsia="Times New Roman" w:hAnsiTheme="majorBidi" w:cstheme="majorBidi"/>
          <w:kern w:val="0"/>
          <w:sz w:val="24"/>
          <w:szCs w:val="24"/>
          <w:lang w:val="en"/>
          <w14:ligatures w14:val="none"/>
        </w:rPr>
        <w:t>Alabdulqader</w:t>
      </w:r>
      <w:proofErr w:type="spellEnd"/>
      <w:r w:rsidR="00073FC8" w:rsidRPr="00FA6F79">
        <w:rPr>
          <w:rFonts w:asciiTheme="majorBidi" w:eastAsia="Times New Roman" w:hAnsiTheme="majorBidi" w:cstheme="majorBidi"/>
          <w:kern w:val="0"/>
          <w:sz w:val="24"/>
          <w:szCs w:val="24"/>
          <w:lang w:val="en"/>
          <w14:ligatures w14:val="none"/>
        </w:rPr>
        <w:t xml:space="preserve"> et al. (2016), who highlighted weak integration between storage and value-added processing in Saudi agribusiness.</w:t>
      </w:r>
    </w:p>
    <w:p w14:paraId="1EFD344F" w14:textId="550F2ACB" w:rsidR="00073FC8" w:rsidRPr="00FA6F79" w:rsidRDefault="00073FC8" w:rsidP="001B3AF4">
      <w:pPr>
        <w:spacing w:after="0" w:line="240" w:lineRule="auto"/>
        <w:rPr>
          <w:rFonts w:ascii="Times New Roman" w:eastAsia="Times New Roman" w:hAnsi="Times New Roman" w:cs="Times New Roman"/>
          <w:kern w:val="0"/>
          <w:sz w:val="24"/>
          <w:szCs w:val="24"/>
          <w:lang w:val="en"/>
          <w14:ligatures w14:val="none"/>
        </w:rPr>
      </w:pPr>
      <w:r w:rsidRPr="00FA6F79">
        <w:rPr>
          <w:rFonts w:ascii="Times New Roman" w:eastAsia="Times New Roman" w:hAnsi="Times New Roman" w:cs="Times New Roman"/>
          <w:b/>
          <w:bCs/>
          <w:kern w:val="0"/>
          <w:sz w:val="24"/>
          <w:szCs w:val="24"/>
          <w:lang w:val="en"/>
          <w14:ligatures w14:val="none"/>
        </w:rPr>
        <w:t>Table 2.</w:t>
      </w:r>
      <w:r w:rsidRPr="00FA6F79">
        <w:rPr>
          <w:rFonts w:ascii="Times New Roman" w:eastAsia="Times New Roman" w:hAnsi="Times New Roman" w:cs="Times New Roman"/>
          <w:kern w:val="0"/>
          <w:sz w:val="24"/>
          <w:szCs w:val="24"/>
          <w:lang w:val="en"/>
          <w14:ligatures w14:val="none"/>
        </w:rPr>
        <w:t xml:space="preserve"> Economic Variables of Cooling and Freezing Facilities</w:t>
      </w:r>
    </w:p>
    <w:tbl>
      <w:tblPr>
        <w:tblStyle w:val="TableGrid"/>
        <w:tblW w:w="936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42"/>
        <w:gridCol w:w="1263"/>
        <w:gridCol w:w="1264"/>
        <w:gridCol w:w="1263"/>
        <w:gridCol w:w="1264"/>
        <w:gridCol w:w="1264"/>
      </w:tblGrid>
      <w:tr w:rsidR="00AE754E" w:rsidRPr="00FA6F79" w14:paraId="5A33D419" w14:textId="77777777" w:rsidTr="00D35BCE">
        <w:trPr>
          <w:trHeight w:val="300"/>
        </w:trPr>
        <w:tc>
          <w:tcPr>
            <w:tcW w:w="3042" w:type="dxa"/>
            <w:tcBorders>
              <w:bottom w:val="single" w:sz="4" w:space="0" w:color="auto"/>
            </w:tcBorders>
            <w:noWrap/>
            <w:hideMark/>
          </w:tcPr>
          <w:p w14:paraId="2D849F5D" w14:textId="77777777" w:rsidR="006E57CF" w:rsidRPr="00FA6F79" w:rsidRDefault="006E57CF" w:rsidP="001B3AF4">
            <w:pP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Variable</w:t>
            </w:r>
          </w:p>
        </w:tc>
        <w:tc>
          <w:tcPr>
            <w:tcW w:w="1263" w:type="dxa"/>
            <w:tcBorders>
              <w:bottom w:val="single" w:sz="4" w:space="0" w:color="auto"/>
            </w:tcBorders>
            <w:noWrap/>
            <w:hideMark/>
          </w:tcPr>
          <w:p w14:paraId="53E280A2" w14:textId="77777777" w:rsidR="006E57CF" w:rsidRPr="00FA6F79" w:rsidRDefault="006E57CF" w:rsidP="001B3AF4">
            <w:pPr>
              <w:jc w:val="center"/>
              <w:rPr>
                <w:rFonts w:asciiTheme="majorBidi" w:eastAsia="Times New Roman" w:hAnsiTheme="majorBidi" w:cstheme="majorBidi"/>
                <w:b/>
                <w:bCs/>
                <w:color w:val="000000" w:themeColor="text1"/>
                <w:kern w:val="0"/>
                <w14:ligatures w14:val="none"/>
              </w:rPr>
            </w:pPr>
            <w:r w:rsidRPr="00FA6F79">
              <w:rPr>
                <w:rFonts w:asciiTheme="majorBidi" w:eastAsia="Times New Roman" w:hAnsiTheme="majorBidi" w:cstheme="majorBidi"/>
                <w:color w:val="000000" w:themeColor="text1"/>
                <w:kern w:val="0"/>
                <w14:ligatures w14:val="none"/>
              </w:rPr>
              <w:t>Minimum</w:t>
            </w:r>
          </w:p>
        </w:tc>
        <w:tc>
          <w:tcPr>
            <w:tcW w:w="1264" w:type="dxa"/>
            <w:tcBorders>
              <w:bottom w:val="single" w:sz="4" w:space="0" w:color="auto"/>
            </w:tcBorders>
            <w:noWrap/>
            <w:hideMark/>
          </w:tcPr>
          <w:p w14:paraId="336DBC7D" w14:textId="77777777" w:rsidR="006E57CF" w:rsidRPr="00FA6F79" w:rsidRDefault="006E57CF" w:rsidP="001B3AF4">
            <w:pPr>
              <w:jc w:val="center"/>
              <w:rPr>
                <w:rFonts w:asciiTheme="majorBidi" w:eastAsia="Times New Roman" w:hAnsiTheme="majorBidi" w:cstheme="majorBidi"/>
                <w:b/>
                <w:bCs/>
                <w:color w:val="000000" w:themeColor="text1"/>
                <w:kern w:val="0"/>
                <w14:ligatures w14:val="none"/>
              </w:rPr>
            </w:pPr>
            <w:r w:rsidRPr="00FA6F79">
              <w:rPr>
                <w:rFonts w:asciiTheme="majorBidi" w:eastAsia="Times New Roman" w:hAnsiTheme="majorBidi" w:cstheme="majorBidi"/>
                <w:color w:val="000000" w:themeColor="text1"/>
                <w:kern w:val="0"/>
                <w14:ligatures w14:val="none"/>
              </w:rPr>
              <w:t>Maximum</w:t>
            </w:r>
          </w:p>
        </w:tc>
        <w:tc>
          <w:tcPr>
            <w:tcW w:w="1263" w:type="dxa"/>
            <w:tcBorders>
              <w:bottom w:val="single" w:sz="4" w:space="0" w:color="auto"/>
            </w:tcBorders>
            <w:noWrap/>
            <w:hideMark/>
          </w:tcPr>
          <w:p w14:paraId="13E4E7FF" w14:textId="77777777" w:rsidR="006E57CF" w:rsidRPr="00FA6F79" w:rsidRDefault="006E57CF" w:rsidP="001B3AF4">
            <w:pPr>
              <w:jc w:val="center"/>
              <w:rPr>
                <w:rFonts w:asciiTheme="majorBidi" w:eastAsia="Times New Roman" w:hAnsiTheme="majorBidi" w:cstheme="majorBidi"/>
                <w:b/>
                <w:bCs/>
                <w:color w:val="000000" w:themeColor="text1"/>
                <w:kern w:val="0"/>
                <w14:ligatures w14:val="none"/>
              </w:rPr>
            </w:pPr>
            <w:r w:rsidRPr="00FA6F79">
              <w:rPr>
                <w:rFonts w:asciiTheme="majorBidi" w:eastAsia="Times New Roman" w:hAnsiTheme="majorBidi" w:cstheme="majorBidi"/>
                <w:color w:val="000000" w:themeColor="text1"/>
                <w:kern w:val="0"/>
                <w14:ligatures w14:val="none"/>
              </w:rPr>
              <w:t>Mean</w:t>
            </w:r>
          </w:p>
        </w:tc>
        <w:tc>
          <w:tcPr>
            <w:tcW w:w="1264" w:type="dxa"/>
            <w:tcBorders>
              <w:bottom w:val="single" w:sz="4" w:space="0" w:color="auto"/>
            </w:tcBorders>
            <w:noWrap/>
            <w:hideMark/>
          </w:tcPr>
          <w:p w14:paraId="4FA4DA48" w14:textId="47CB2D29" w:rsidR="006E57CF" w:rsidRPr="00FA6F79" w:rsidRDefault="006E57CF" w:rsidP="001B3AF4">
            <w:pPr>
              <w:jc w:val="center"/>
              <w:rPr>
                <w:rFonts w:asciiTheme="majorBidi" w:eastAsia="Times New Roman" w:hAnsiTheme="majorBidi" w:cstheme="majorBidi"/>
                <w:b/>
                <w:bCs/>
                <w:color w:val="000000" w:themeColor="text1"/>
                <w:kern w:val="0"/>
                <w14:ligatures w14:val="none"/>
              </w:rPr>
            </w:pPr>
            <w:r w:rsidRPr="00FA6F79">
              <w:rPr>
                <w:rFonts w:asciiTheme="majorBidi" w:eastAsia="Times New Roman" w:hAnsiTheme="majorBidi" w:cstheme="majorBidi"/>
                <w:color w:val="000000" w:themeColor="text1"/>
                <w:kern w:val="0"/>
                <w14:ligatures w14:val="none"/>
              </w:rPr>
              <w:t>Std. Dev</w:t>
            </w:r>
          </w:p>
        </w:tc>
        <w:tc>
          <w:tcPr>
            <w:tcW w:w="1264" w:type="dxa"/>
            <w:tcBorders>
              <w:bottom w:val="single" w:sz="4" w:space="0" w:color="auto"/>
            </w:tcBorders>
            <w:noWrap/>
            <w:hideMark/>
          </w:tcPr>
          <w:p w14:paraId="0256E24A" w14:textId="1E6FC6AB" w:rsidR="006E57CF" w:rsidRPr="00FA6F79" w:rsidRDefault="00FB3BD4" w:rsidP="001B3AF4">
            <w:pPr>
              <w:jc w:val="center"/>
              <w:rPr>
                <w:rFonts w:asciiTheme="majorBidi" w:eastAsia="Times New Roman" w:hAnsiTheme="majorBidi" w:cstheme="majorBidi"/>
                <w:b/>
                <w:bCs/>
                <w:color w:val="000000" w:themeColor="text1"/>
                <w:kern w:val="0"/>
                <w14:ligatures w14:val="none"/>
              </w:rPr>
            </w:pPr>
            <w:r w:rsidRPr="00FA6F79">
              <w:rPr>
                <w:rFonts w:asciiTheme="majorBidi" w:eastAsia="Times New Roman" w:hAnsiTheme="majorBidi" w:cstheme="majorBidi"/>
                <w:color w:val="000000" w:themeColor="text1"/>
                <w:kern w:val="0"/>
                <w14:ligatures w14:val="none"/>
              </w:rPr>
              <w:t>C.V.</w:t>
            </w:r>
          </w:p>
        </w:tc>
      </w:tr>
      <w:tr w:rsidR="00AE754E" w:rsidRPr="00FA6F79" w14:paraId="6002F4EA" w14:textId="77777777" w:rsidTr="00D35BCE">
        <w:trPr>
          <w:trHeight w:val="300"/>
        </w:trPr>
        <w:tc>
          <w:tcPr>
            <w:tcW w:w="3042" w:type="dxa"/>
            <w:tcBorders>
              <w:top w:val="single" w:sz="4" w:space="0" w:color="auto"/>
            </w:tcBorders>
            <w:noWrap/>
            <w:hideMark/>
          </w:tcPr>
          <w:p w14:paraId="115CAB2A"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Years of Experience</w:t>
            </w:r>
          </w:p>
        </w:tc>
        <w:tc>
          <w:tcPr>
            <w:tcW w:w="1263" w:type="dxa"/>
            <w:tcBorders>
              <w:top w:val="single" w:sz="4" w:space="0" w:color="auto"/>
            </w:tcBorders>
            <w:noWrap/>
            <w:hideMark/>
          </w:tcPr>
          <w:p w14:paraId="2B1F19D7"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w:t>
            </w:r>
          </w:p>
        </w:tc>
        <w:tc>
          <w:tcPr>
            <w:tcW w:w="1264" w:type="dxa"/>
            <w:tcBorders>
              <w:top w:val="single" w:sz="4" w:space="0" w:color="auto"/>
            </w:tcBorders>
            <w:noWrap/>
            <w:hideMark/>
          </w:tcPr>
          <w:p w14:paraId="632F0DB1"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40</w:t>
            </w:r>
          </w:p>
        </w:tc>
        <w:tc>
          <w:tcPr>
            <w:tcW w:w="1263" w:type="dxa"/>
            <w:tcBorders>
              <w:top w:val="single" w:sz="4" w:space="0" w:color="auto"/>
            </w:tcBorders>
            <w:noWrap/>
            <w:hideMark/>
          </w:tcPr>
          <w:p w14:paraId="1F2D2F2C"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17.58</w:t>
            </w:r>
          </w:p>
        </w:tc>
        <w:tc>
          <w:tcPr>
            <w:tcW w:w="1264" w:type="dxa"/>
            <w:tcBorders>
              <w:top w:val="single" w:sz="4" w:space="0" w:color="auto"/>
            </w:tcBorders>
            <w:noWrap/>
            <w:hideMark/>
          </w:tcPr>
          <w:p w14:paraId="237765BB"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9.13</w:t>
            </w:r>
          </w:p>
        </w:tc>
        <w:tc>
          <w:tcPr>
            <w:tcW w:w="1264" w:type="dxa"/>
            <w:tcBorders>
              <w:top w:val="single" w:sz="4" w:space="0" w:color="auto"/>
            </w:tcBorders>
            <w:noWrap/>
            <w:hideMark/>
          </w:tcPr>
          <w:p w14:paraId="368679FF"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51.93</w:t>
            </w:r>
          </w:p>
        </w:tc>
      </w:tr>
      <w:tr w:rsidR="00AE754E" w:rsidRPr="00FA6F79" w14:paraId="7FE4D230" w14:textId="77777777" w:rsidTr="00D35BCE">
        <w:trPr>
          <w:trHeight w:val="300"/>
        </w:trPr>
        <w:tc>
          <w:tcPr>
            <w:tcW w:w="3042" w:type="dxa"/>
            <w:noWrap/>
            <w:hideMark/>
          </w:tcPr>
          <w:p w14:paraId="6C7AA792"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Workforce Size</w:t>
            </w:r>
          </w:p>
        </w:tc>
        <w:tc>
          <w:tcPr>
            <w:tcW w:w="1263" w:type="dxa"/>
            <w:noWrap/>
            <w:hideMark/>
          </w:tcPr>
          <w:p w14:paraId="387B81D4"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2</w:t>
            </w:r>
          </w:p>
        </w:tc>
        <w:tc>
          <w:tcPr>
            <w:tcW w:w="1264" w:type="dxa"/>
            <w:noWrap/>
            <w:hideMark/>
          </w:tcPr>
          <w:p w14:paraId="75306A2B"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16</w:t>
            </w:r>
          </w:p>
        </w:tc>
        <w:tc>
          <w:tcPr>
            <w:tcW w:w="1263" w:type="dxa"/>
            <w:noWrap/>
            <w:hideMark/>
          </w:tcPr>
          <w:p w14:paraId="5D65F0C0"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8.57</w:t>
            </w:r>
          </w:p>
        </w:tc>
        <w:tc>
          <w:tcPr>
            <w:tcW w:w="1264" w:type="dxa"/>
            <w:noWrap/>
            <w:hideMark/>
          </w:tcPr>
          <w:p w14:paraId="2AD1DCC7"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3.505</w:t>
            </w:r>
          </w:p>
        </w:tc>
        <w:tc>
          <w:tcPr>
            <w:tcW w:w="1264" w:type="dxa"/>
            <w:noWrap/>
            <w:hideMark/>
          </w:tcPr>
          <w:p w14:paraId="500F8EC4"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40.91</w:t>
            </w:r>
          </w:p>
        </w:tc>
      </w:tr>
      <w:tr w:rsidR="00AE754E" w:rsidRPr="00FA6F79" w14:paraId="13448D7D" w14:textId="77777777" w:rsidTr="00D35BCE">
        <w:trPr>
          <w:trHeight w:val="300"/>
        </w:trPr>
        <w:tc>
          <w:tcPr>
            <w:tcW w:w="3042" w:type="dxa"/>
            <w:noWrap/>
            <w:hideMark/>
          </w:tcPr>
          <w:p w14:paraId="0860653D"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Total Capacity (in tons)</w:t>
            </w:r>
          </w:p>
        </w:tc>
        <w:tc>
          <w:tcPr>
            <w:tcW w:w="1263" w:type="dxa"/>
            <w:noWrap/>
            <w:hideMark/>
          </w:tcPr>
          <w:p w14:paraId="75189AEA"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331</w:t>
            </w:r>
          </w:p>
        </w:tc>
        <w:tc>
          <w:tcPr>
            <w:tcW w:w="1264" w:type="dxa"/>
            <w:noWrap/>
            <w:hideMark/>
          </w:tcPr>
          <w:p w14:paraId="4BFC0755"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16,500</w:t>
            </w:r>
          </w:p>
        </w:tc>
        <w:tc>
          <w:tcPr>
            <w:tcW w:w="1263" w:type="dxa"/>
            <w:noWrap/>
            <w:hideMark/>
          </w:tcPr>
          <w:p w14:paraId="1EB21954"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3,078.95</w:t>
            </w:r>
          </w:p>
        </w:tc>
        <w:tc>
          <w:tcPr>
            <w:tcW w:w="1264" w:type="dxa"/>
            <w:noWrap/>
            <w:hideMark/>
          </w:tcPr>
          <w:p w14:paraId="31827000"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2,655.91</w:t>
            </w:r>
          </w:p>
        </w:tc>
        <w:tc>
          <w:tcPr>
            <w:tcW w:w="1264" w:type="dxa"/>
            <w:noWrap/>
            <w:hideMark/>
          </w:tcPr>
          <w:p w14:paraId="740F8A96"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86.26</w:t>
            </w:r>
          </w:p>
        </w:tc>
      </w:tr>
      <w:tr w:rsidR="00AE754E" w:rsidRPr="00FA6F79" w14:paraId="707DD69D" w14:textId="77777777" w:rsidTr="00D35BCE">
        <w:trPr>
          <w:trHeight w:val="300"/>
        </w:trPr>
        <w:tc>
          <w:tcPr>
            <w:tcW w:w="3042" w:type="dxa"/>
            <w:noWrap/>
            <w:hideMark/>
          </w:tcPr>
          <w:p w14:paraId="47F4A497"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Number of Rooms</w:t>
            </w:r>
          </w:p>
        </w:tc>
        <w:tc>
          <w:tcPr>
            <w:tcW w:w="1263" w:type="dxa"/>
            <w:noWrap/>
            <w:hideMark/>
          </w:tcPr>
          <w:p w14:paraId="0F5B06D5"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3</w:t>
            </w:r>
          </w:p>
        </w:tc>
        <w:tc>
          <w:tcPr>
            <w:tcW w:w="1264" w:type="dxa"/>
            <w:noWrap/>
            <w:hideMark/>
          </w:tcPr>
          <w:p w14:paraId="3221C1EB"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56</w:t>
            </w:r>
          </w:p>
        </w:tc>
        <w:tc>
          <w:tcPr>
            <w:tcW w:w="1263" w:type="dxa"/>
            <w:noWrap/>
            <w:hideMark/>
          </w:tcPr>
          <w:p w14:paraId="5419121C"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13.95</w:t>
            </w:r>
          </w:p>
        </w:tc>
        <w:tc>
          <w:tcPr>
            <w:tcW w:w="1264" w:type="dxa"/>
            <w:noWrap/>
            <w:hideMark/>
          </w:tcPr>
          <w:p w14:paraId="60D8AFC9"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8.836</w:t>
            </w:r>
          </w:p>
        </w:tc>
        <w:tc>
          <w:tcPr>
            <w:tcW w:w="1264" w:type="dxa"/>
            <w:noWrap/>
            <w:hideMark/>
          </w:tcPr>
          <w:p w14:paraId="73DC9645"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63.34</w:t>
            </w:r>
          </w:p>
        </w:tc>
      </w:tr>
      <w:tr w:rsidR="00AE754E" w:rsidRPr="00FA6F79" w14:paraId="232822BF" w14:textId="77777777" w:rsidTr="00D35BCE">
        <w:trPr>
          <w:trHeight w:val="300"/>
        </w:trPr>
        <w:tc>
          <w:tcPr>
            <w:tcW w:w="3042" w:type="dxa"/>
            <w:noWrap/>
            <w:hideMark/>
          </w:tcPr>
          <w:p w14:paraId="269F477D" w14:textId="77777777" w:rsidR="006E57CF" w:rsidRPr="00D35BCE" w:rsidRDefault="006E57CF" w:rsidP="001B3AF4">
            <w:pPr>
              <w:rPr>
                <w:rFonts w:asciiTheme="majorBidi" w:eastAsia="Times New Roman" w:hAnsiTheme="majorBidi" w:cstheme="majorBidi"/>
                <w:color w:val="000000" w:themeColor="text1"/>
                <w:kern w:val="0"/>
                <w14:ligatures w14:val="none"/>
              </w:rPr>
            </w:pPr>
            <w:r w:rsidRPr="00D35BCE">
              <w:rPr>
                <w:rFonts w:asciiTheme="majorBidi" w:eastAsia="Times New Roman" w:hAnsiTheme="majorBidi" w:cstheme="majorBidi"/>
                <w:color w:val="000000" w:themeColor="text1"/>
                <w:kern w:val="0"/>
                <w14:ligatures w14:val="none"/>
              </w:rPr>
              <w:t>Purpose of Storage</w:t>
            </w:r>
          </w:p>
        </w:tc>
        <w:tc>
          <w:tcPr>
            <w:tcW w:w="1263" w:type="dxa"/>
            <w:noWrap/>
            <w:hideMark/>
          </w:tcPr>
          <w:p w14:paraId="47864307"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p>
        </w:tc>
        <w:tc>
          <w:tcPr>
            <w:tcW w:w="1264" w:type="dxa"/>
            <w:noWrap/>
            <w:hideMark/>
          </w:tcPr>
          <w:p w14:paraId="04C63B5D"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p>
        </w:tc>
        <w:tc>
          <w:tcPr>
            <w:tcW w:w="1263" w:type="dxa"/>
            <w:noWrap/>
            <w:hideMark/>
          </w:tcPr>
          <w:p w14:paraId="43E00DC4"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p>
        </w:tc>
        <w:tc>
          <w:tcPr>
            <w:tcW w:w="1264" w:type="dxa"/>
            <w:noWrap/>
            <w:hideMark/>
          </w:tcPr>
          <w:p w14:paraId="057CEDC6"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p>
        </w:tc>
        <w:tc>
          <w:tcPr>
            <w:tcW w:w="1264" w:type="dxa"/>
            <w:noWrap/>
            <w:hideMark/>
          </w:tcPr>
          <w:p w14:paraId="24BA890B"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p>
        </w:tc>
      </w:tr>
      <w:tr w:rsidR="00AE754E" w:rsidRPr="00FA6F79" w14:paraId="719F8518" w14:textId="77777777" w:rsidTr="00D35BCE">
        <w:trPr>
          <w:trHeight w:val="300"/>
        </w:trPr>
        <w:tc>
          <w:tcPr>
            <w:tcW w:w="3042" w:type="dxa"/>
            <w:noWrap/>
            <w:hideMark/>
          </w:tcPr>
          <w:p w14:paraId="55C9B242"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 Local Market Sales (%)</w:t>
            </w:r>
          </w:p>
        </w:tc>
        <w:tc>
          <w:tcPr>
            <w:tcW w:w="1263" w:type="dxa"/>
            <w:noWrap/>
            <w:hideMark/>
          </w:tcPr>
          <w:p w14:paraId="35C862A5"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50</w:t>
            </w:r>
          </w:p>
        </w:tc>
        <w:tc>
          <w:tcPr>
            <w:tcW w:w="1264" w:type="dxa"/>
            <w:noWrap/>
            <w:hideMark/>
          </w:tcPr>
          <w:p w14:paraId="637D3785"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100</w:t>
            </w:r>
          </w:p>
        </w:tc>
        <w:tc>
          <w:tcPr>
            <w:tcW w:w="1263" w:type="dxa"/>
            <w:noWrap/>
            <w:hideMark/>
          </w:tcPr>
          <w:p w14:paraId="55C7D284"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84.88</w:t>
            </w:r>
          </w:p>
        </w:tc>
        <w:tc>
          <w:tcPr>
            <w:tcW w:w="1264" w:type="dxa"/>
            <w:noWrap/>
            <w:hideMark/>
          </w:tcPr>
          <w:p w14:paraId="6DE3ECB0"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13.35</w:t>
            </w:r>
          </w:p>
        </w:tc>
        <w:tc>
          <w:tcPr>
            <w:tcW w:w="1264" w:type="dxa"/>
            <w:noWrap/>
            <w:hideMark/>
          </w:tcPr>
          <w:p w14:paraId="5BFC1ADD"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15.73</w:t>
            </w:r>
          </w:p>
        </w:tc>
      </w:tr>
      <w:tr w:rsidR="00AE754E" w:rsidRPr="00FA6F79" w14:paraId="2C9B742A" w14:textId="77777777" w:rsidTr="00D35BCE">
        <w:trPr>
          <w:trHeight w:val="300"/>
        </w:trPr>
        <w:tc>
          <w:tcPr>
            <w:tcW w:w="3042" w:type="dxa"/>
            <w:noWrap/>
            <w:hideMark/>
          </w:tcPr>
          <w:p w14:paraId="0FC1F0BE"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 Export (%)</w:t>
            </w:r>
          </w:p>
        </w:tc>
        <w:tc>
          <w:tcPr>
            <w:tcW w:w="1263" w:type="dxa"/>
            <w:noWrap/>
            <w:hideMark/>
          </w:tcPr>
          <w:p w14:paraId="1E3D68CA"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10</w:t>
            </w:r>
          </w:p>
        </w:tc>
        <w:tc>
          <w:tcPr>
            <w:tcW w:w="1264" w:type="dxa"/>
            <w:noWrap/>
            <w:hideMark/>
          </w:tcPr>
          <w:p w14:paraId="34E9D6F7"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50</w:t>
            </w:r>
          </w:p>
        </w:tc>
        <w:tc>
          <w:tcPr>
            <w:tcW w:w="1263" w:type="dxa"/>
            <w:noWrap/>
            <w:hideMark/>
          </w:tcPr>
          <w:p w14:paraId="09E88372"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20.61</w:t>
            </w:r>
          </w:p>
        </w:tc>
        <w:tc>
          <w:tcPr>
            <w:tcW w:w="1264" w:type="dxa"/>
            <w:noWrap/>
            <w:hideMark/>
          </w:tcPr>
          <w:p w14:paraId="38076B5B"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11.34</w:t>
            </w:r>
          </w:p>
        </w:tc>
        <w:tc>
          <w:tcPr>
            <w:tcW w:w="1264" w:type="dxa"/>
            <w:noWrap/>
            <w:hideMark/>
          </w:tcPr>
          <w:p w14:paraId="0FAE4BB7"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55</w:t>
            </w:r>
          </w:p>
        </w:tc>
      </w:tr>
      <w:tr w:rsidR="00AE754E" w:rsidRPr="00FA6F79" w14:paraId="035D8F87" w14:textId="77777777" w:rsidTr="00D35BCE">
        <w:trPr>
          <w:trHeight w:val="300"/>
        </w:trPr>
        <w:tc>
          <w:tcPr>
            <w:tcW w:w="3042" w:type="dxa"/>
            <w:noWrap/>
            <w:hideMark/>
          </w:tcPr>
          <w:p w14:paraId="62C42A13" w14:textId="77777777" w:rsidR="006E57CF" w:rsidRPr="00D35BCE" w:rsidRDefault="006E57CF" w:rsidP="001B3AF4">
            <w:pPr>
              <w:rPr>
                <w:rFonts w:asciiTheme="majorBidi" w:eastAsia="Times New Roman" w:hAnsiTheme="majorBidi" w:cstheme="majorBidi"/>
                <w:b/>
                <w:bCs/>
                <w:color w:val="000000" w:themeColor="text1"/>
                <w:kern w:val="0"/>
                <w14:ligatures w14:val="none"/>
              </w:rPr>
            </w:pPr>
            <w:r w:rsidRPr="00D35BCE">
              <w:rPr>
                <w:rFonts w:asciiTheme="majorBidi" w:eastAsia="Times New Roman" w:hAnsiTheme="majorBidi" w:cstheme="majorBidi"/>
                <w:color w:val="000000" w:themeColor="text1"/>
                <w:kern w:val="0"/>
                <w14:ligatures w14:val="none"/>
              </w:rPr>
              <w:t>- Sales to Factories for Manufacturing (%)</w:t>
            </w:r>
          </w:p>
        </w:tc>
        <w:tc>
          <w:tcPr>
            <w:tcW w:w="1263" w:type="dxa"/>
            <w:noWrap/>
            <w:hideMark/>
          </w:tcPr>
          <w:p w14:paraId="1A8F0B4C"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0</w:t>
            </w:r>
          </w:p>
        </w:tc>
        <w:tc>
          <w:tcPr>
            <w:tcW w:w="1264" w:type="dxa"/>
            <w:noWrap/>
            <w:hideMark/>
          </w:tcPr>
          <w:p w14:paraId="7CB127C4"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0</w:t>
            </w:r>
          </w:p>
        </w:tc>
        <w:tc>
          <w:tcPr>
            <w:tcW w:w="1263" w:type="dxa"/>
            <w:noWrap/>
            <w:hideMark/>
          </w:tcPr>
          <w:p w14:paraId="334F7D25"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0</w:t>
            </w:r>
          </w:p>
        </w:tc>
        <w:tc>
          <w:tcPr>
            <w:tcW w:w="1264" w:type="dxa"/>
            <w:noWrap/>
            <w:hideMark/>
          </w:tcPr>
          <w:p w14:paraId="0B80C07F"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0</w:t>
            </w:r>
          </w:p>
        </w:tc>
        <w:tc>
          <w:tcPr>
            <w:tcW w:w="1264" w:type="dxa"/>
            <w:noWrap/>
            <w:hideMark/>
          </w:tcPr>
          <w:p w14:paraId="6565899F" w14:textId="77777777" w:rsidR="006E57CF" w:rsidRPr="00FA6F79" w:rsidRDefault="006E57CF" w:rsidP="001B3AF4">
            <w:pPr>
              <w:jc w:val="center"/>
              <w:rPr>
                <w:rFonts w:asciiTheme="majorBidi" w:eastAsia="Times New Roman" w:hAnsiTheme="majorBidi" w:cstheme="majorBidi"/>
                <w:color w:val="000000" w:themeColor="text1"/>
                <w:kern w:val="0"/>
                <w14:ligatures w14:val="none"/>
              </w:rPr>
            </w:pPr>
            <w:r w:rsidRPr="00FA6F79">
              <w:rPr>
                <w:rFonts w:asciiTheme="majorBidi" w:eastAsia="Times New Roman" w:hAnsiTheme="majorBidi" w:cstheme="majorBidi"/>
                <w:color w:val="000000" w:themeColor="text1"/>
                <w:kern w:val="0"/>
                <w14:ligatures w14:val="none"/>
              </w:rPr>
              <w:t>0</w:t>
            </w:r>
          </w:p>
        </w:tc>
      </w:tr>
    </w:tbl>
    <w:p w14:paraId="6091BAFD" w14:textId="5ED7E4D3" w:rsidR="00FB3BD4" w:rsidRPr="00FA6F79" w:rsidRDefault="007F02DE" w:rsidP="001B3AF4">
      <w:pPr>
        <w:spacing w:line="240" w:lineRule="auto"/>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t>Source: Field study sample data.</w:t>
      </w:r>
      <w:r w:rsidR="00FB3BD4" w:rsidRPr="00FA6F79">
        <w:rPr>
          <w:rStyle w:val="Strong"/>
          <w:rFonts w:ascii="Times New Roman" w:eastAsia="Times New Roman" w:hAnsi="Times New Roman" w:cs="Times New Roman"/>
          <w:b w:val="0"/>
          <w:bCs w:val="0"/>
          <w:color w:val="000000" w:themeColor="text1"/>
          <w:kern w:val="0"/>
          <w:sz w:val="24"/>
          <w:szCs w:val="24"/>
          <w14:ligatures w14:val="none"/>
        </w:rPr>
        <w:t xml:space="preserve"> </w:t>
      </w:r>
      <w:r w:rsidR="00FB3BD4" w:rsidRPr="00FA6F79">
        <w:rPr>
          <w:rStyle w:val="Strong"/>
          <w:rFonts w:ascii="Times New Roman" w:eastAsia="Times New Roman" w:hAnsi="Times New Roman" w:cs="Times New Roman"/>
          <w:b w:val="0"/>
          <w:bCs w:val="0"/>
          <w:i/>
          <w:iCs/>
          <w:color w:val="000000" w:themeColor="text1"/>
          <w:kern w:val="0"/>
          <w:sz w:val="24"/>
          <w:szCs w:val="24"/>
          <w14:ligatures w14:val="none"/>
        </w:rPr>
        <w:t>Note:</w:t>
      </w:r>
      <w:r w:rsidR="00FB3BD4" w:rsidRPr="00FA6F79">
        <w:rPr>
          <w:rStyle w:val="Strong"/>
          <w:rFonts w:ascii="Times New Roman" w:eastAsia="Times New Roman" w:hAnsi="Times New Roman" w:cs="Times New Roman"/>
          <w:b w:val="0"/>
          <w:bCs w:val="0"/>
          <w:color w:val="000000" w:themeColor="text1"/>
          <w:kern w:val="0"/>
          <w:sz w:val="24"/>
          <w:szCs w:val="24"/>
          <w14:ligatures w14:val="none"/>
        </w:rPr>
        <w:t xml:space="preserve"> </w:t>
      </w:r>
      <w:r w:rsidR="00FB3BD4" w:rsidRPr="00FA6F79">
        <w:rPr>
          <w:rFonts w:ascii="Times New Roman" w:eastAsia="Times New Roman" w:hAnsi="Times New Roman" w:cs="Times New Roman"/>
          <w:color w:val="000000" w:themeColor="text1"/>
          <w:kern w:val="0"/>
          <w:sz w:val="24"/>
          <w:szCs w:val="24"/>
          <w14:ligatures w14:val="none"/>
        </w:rPr>
        <w:t>C.V. represents the Coefficient of Variation</w:t>
      </w:r>
    </w:p>
    <w:p w14:paraId="40E0E396" w14:textId="112DEAE9" w:rsidR="007F02DE" w:rsidRPr="00FA6F79" w:rsidRDefault="007E7E5F" w:rsidP="00C736FC">
      <w:pPr>
        <w:spacing w:after="0" w:line="360" w:lineRule="auto"/>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t xml:space="preserve">3.2 </w:t>
      </w:r>
      <w:r w:rsidR="007F02DE" w:rsidRPr="00FA6F79">
        <w:rPr>
          <w:rStyle w:val="Strong"/>
          <w:rFonts w:ascii="Times New Roman" w:eastAsia="Times New Roman" w:hAnsi="Times New Roman" w:cs="Times New Roman"/>
          <w:b w:val="0"/>
          <w:bCs w:val="0"/>
          <w:color w:val="000000" w:themeColor="text1"/>
          <w:kern w:val="0"/>
          <w:sz w:val="24"/>
          <w:szCs w:val="24"/>
          <w14:ligatures w14:val="none"/>
        </w:rPr>
        <w:t>Operational Costs, Revenue, and Net Profit of Cooling and Freezing Warehouses in the Riyadh Region</w:t>
      </w:r>
    </w:p>
    <w:p w14:paraId="583CBA97" w14:textId="0A7A2610" w:rsidR="00A364AD" w:rsidRPr="00FA6F79" w:rsidRDefault="00D35BCE" w:rsidP="00C736FC">
      <w:pPr>
        <w:spacing w:after="0" w:line="360" w:lineRule="auto"/>
        <w:jc w:val="both"/>
        <w:rPr>
          <w:rStyle w:val="Strong"/>
          <w:rFonts w:ascii="Times New Roman" w:eastAsia="Times New Roman" w:hAnsi="Times New Roman" w:cs="Times New Roman"/>
          <w:b w:val="0"/>
          <w:bCs w:val="0"/>
          <w:color w:val="000000" w:themeColor="text1"/>
          <w:kern w:val="0"/>
          <w:sz w:val="24"/>
          <w:szCs w:val="24"/>
          <w14:ligatures w14:val="none"/>
        </w:rPr>
      </w:pPr>
      <w:r>
        <w:rPr>
          <w:rStyle w:val="Strong"/>
          <w:rFonts w:ascii="Times New Roman" w:eastAsia="Times New Roman" w:hAnsi="Times New Roman" w:cs="Times New Roman"/>
          <w:b w:val="0"/>
          <w:bCs w:val="0"/>
          <w:color w:val="000000" w:themeColor="text1"/>
          <w:kern w:val="0"/>
          <w:sz w:val="24"/>
          <w:szCs w:val="24"/>
          <w14:ligatures w14:val="none"/>
        </w:rPr>
        <w:tab/>
      </w:r>
      <w:r w:rsidR="00DB3940" w:rsidRPr="00FA6F79">
        <w:rPr>
          <w:rStyle w:val="Strong"/>
          <w:rFonts w:ascii="Times New Roman" w:eastAsia="Times New Roman" w:hAnsi="Times New Roman" w:cs="Times New Roman"/>
          <w:b w:val="0"/>
          <w:bCs w:val="0"/>
          <w:color w:val="000000" w:themeColor="text1"/>
          <w:kern w:val="0"/>
          <w:sz w:val="24"/>
          <w:szCs w:val="24"/>
          <w14:ligatures w14:val="none"/>
        </w:rPr>
        <w:t xml:space="preserve">The economic performance of the warehouses is summarized in Table 3. Average monthly operational costs were SAR 64.49k (USD 17,197), with variable costs accounting for 93.08% (SAR 60.03k; USD 16,009) and fixed costs only 6.92% (SAR 4.46k; USD 1,189). The predominance of variable costs reflects the flexible nature of operational expenses that scale with service demand, consistent with findings by Jedermann et al. (2014), who stressed the importance of improving operational logistics to reduce waste and cost inefficiencies. Average monthly revenues reached SAR 258.50k (USD 68,933), while net profits averaged SAR 194.00k (USD </w:t>
      </w:r>
      <w:r w:rsidR="00DB3940" w:rsidRPr="00FA6F79">
        <w:rPr>
          <w:rStyle w:val="Strong"/>
          <w:rFonts w:ascii="Times New Roman" w:eastAsia="Times New Roman" w:hAnsi="Times New Roman" w:cs="Times New Roman"/>
          <w:b w:val="0"/>
          <w:bCs w:val="0"/>
          <w:color w:val="000000" w:themeColor="text1"/>
          <w:kern w:val="0"/>
          <w:sz w:val="24"/>
          <w:szCs w:val="24"/>
          <w14:ligatures w14:val="none"/>
        </w:rPr>
        <w:lastRenderedPageBreak/>
        <w:t>51,733), demonstrating strong profitability and confirming the attractiveness of investment in this sector. On a per-room basis, costs averaged SAR 4,606.10 (USD 1,228) per month, while revenues averaged SAR 18,460 (USD 4,922), yielding a net return of SAR 13,860 (USD 3,696). This high margin underscores the sector’s economic viability</w:t>
      </w:r>
      <w:r w:rsidR="00A37ABF" w:rsidRPr="00FA6F79">
        <w:rPr>
          <w:rStyle w:val="Strong"/>
          <w:rFonts w:ascii="Times New Roman" w:eastAsia="Times New Roman" w:hAnsi="Times New Roman" w:cs="Times New Roman"/>
          <w:b w:val="0"/>
          <w:bCs w:val="0"/>
          <w:color w:val="000000" w:themeColor="text1"/>
          <w:kern w:val="0"/>
          <w:sz w:val="24"/>
          <w:szCs w:val="24"/>
          <w14:ligatures w14:val="none"/>
        </w:rPr>
        <w:t>. It aligns</w:t>
      </w:r>
      <w:r w:rsidR="00DB3940" w:rsidRPr="00FA6F79">
        <w:rPr>
          <w:rStyle w:val="Strong"/>
          <w:rFonts w:ascii="Times New Roman" w:eastAsia="Times New Roman" w:hAnsi="Times New Roman" w:cs="Times New Roman"/>
          <w:b w:val="0"/>
          <w:bCs w:val="0"/>
          <w:color w:val="000000" w:themeColor="text1"/>
          <w:kern w:val="0"/>
          <w:sz w:val="24"/>
          <w:szCs w:val="24"/>
          <w14:ligatures w14:val="none"/>
        </w:rPr>
        <w:t xml:space="preserve"> with </w:t>
      </w:r>
      <w:proofErr w:type="spellStart"/>
      <w:r w:rsidR="00DB3940" w:rsidRPr="00FA6F79">
        <w:rPr>
          <w:rStyle w:val="Strong"/>
          <w:rFonts w:ascii="Times New Roman" w:eastAsia="Times New Roman" w:hAnsi="Times New Roman" w:cs="Times New Roman"/>
          <w:b w:val="0"/>
          <w:bCs w:val="0"/>
          <w:color w:val="000000" w:themeColor="text1"/>
          <w:kern w:val="0"/>
          <w:sz w:val="24"/>
          <w:szCs w:val="24"/>
          <w14:ligatures w14:val="none"/>
        </w:rPr>
        <w:t>Alhamdan</w:t>
      </w:r>
      <w:proofErr w:type="spellEnd"/>
      <w:r w:rsidR="00DB3940" w:rsidRPr="00FA6F79">
        <w:rPr>
          <w:rStyle w:val="Strong"/>
          <w:rFonts w:ascii="Times New Roman" w:eastAsia="Times New Roman" w:hAnsi="Times New Roman" w:cs="Times New Roman"/>
          <w:b w:val="0"/>
          <w:bCs w:val="0"/>
          <w:color w:val="000000" w:themeColor="text1"/>
          <w:kern w:val="0"/>
          <w:sz w:val="24"/>
          <w:szCs w:val="24"/>
          <w14:ligatures w14:val="none"/>
        </w:rPr>
        <w:t xml:space="preserve"> et al. (2018), who found that investing in advanced storage methods (e.g., freezing) is financially rewarding due to quality preservation and extended shelf life.</w:t>
      </w:r>
    </w:p>
    <w:p w14:paraId="6AA36404" w14:textId="77777777" w:rsidR="00615DDD" w:rsidRPr="00332C8D" w:rsidRDefault="00615DDD" w:rsidP="001B3AF4">
      <w:pPr>
        <w:spacing w:after="0" w:line="240" w:lineRule="auto"/>
        <w:rPr>
          <w:rFonts w:ascii="Times New Roman" w:eastAsia="Times New Roman" w:hAnsi="Times New Roman" w:cs="Times New Roman"/>
          <w:b/>
          <w:bCs/>
          <w:kern w:val="0"/>
          <w:sz w:val="20"/>
          <w:szCs w:val="20"/>
          <w14:ligatures w14:val="none"/>
        </w:rPr>
      </w:pPr>
    </w:p>
    <w:p w14:paraId="1BBB0790" w14:textId="5CCAC98F" w:rsidR="000F7C2E" w:rsidRPr="00D35BCE" w:rsidRDefault="000F7C2E" w:rsidP="001B3AF4">
      <w:pPr>
        <w:spacing w:after="0" w:line="240" w:lineRule="auto"/>
        <w:rPr>
          <w:rFonts w:ascii="Times New Roman" w:eastAsia="Times New Roman" w:hAnsi="Times New Roman" w:cs="Times New Roman"/>
          <w:kern w:val="0"/>
          <w:sz w:val="24"/>
          <w:szCs w:val="24"/>
          <w14:ligatures w14:val="none"/>
        </w:rPr>
      </w:pPr>
      <w:r w:rsidRPr="00D35BCE">
        <w:rPr>
          <w:rFonts w:ascii="Times New Roman" w:eastAsia="Times New Roman" w:hAnsi="Times New Roman" w:cs="Times New Roman"/>
          <w:b/>
          <w:bCs/>
          <w:kern w:val="0"/>
          <w:sz w:val="24"/>
          <w:szCs w:val="24"/>
          <w14:ligatures w14:val="none"/>
        </w:rPr>
        <w:t xml:space="preserve">Table </w:t>
      </w:r>
      <w:r w:rsidRPr="00D35BCE">
        <w:rPr>
          <w:rFonts w:ascii="Times New Roman" w:eastAsia="Times New Roman" w:hAnsi="Times New Roman" w:cs="Times New Roman"/>
          <w:b/>
          <w:bCs/>
          <w:kern w:val="0"/>
          <w:sz w:val="24"/>
          <w:szCs w:val="24"/>
          <w:rtl/>
          <w14:ligatures w14:val="none"/>
        </w:rPr>
        <w:t>3</w:t>
      </w:r>
      <w:r w:rsidRPr="00D35BCE">
        <w:rPr>
          <w:rFonts w:ascii="Times New Roman" w:eastAsia="Times New Roman" w:hAnsi="Times New Roman" w:cs="Times New Roman"/>
          <w:b/>
          <w:bCs/>
          <w:kern w:val="0"/>
          <w:sz w:val="24"/>
          <w:szCs w:val="24"/>
          <w14:ligatures w14:val="none"/>
        </w:rPr>
        <w:t>.</w:t>
      </w:r>
      <w:r w:rsidRPr="00D35BCE">
        <w:rPr>
          <w:rFonts w:ascii="Times New Roman" w:eastAsia="Times New Roman" w:hAnsi="Times New Roman" w:cs="Times New Roman"/>
          <w:kern w:val="0"/>
          <w:sz w:val="24"/>
          <w:szCs w:val="24"/>
          <w14:ligatures w14:val="none"/>
        </w:rPr>
        <w:t xml:space="preserve"> Economic performance of refrigeration and freezing facilities in the Riyadh region (</w:t>
      </w:r>
      <w:r w:rsidR="00DB3940" w:rsidRPr="00D35BCE">
        <w:rPr>
          <w:rFonts w:ascii="Times New Roman" w:eastAsia="Times New Roman" w:hAnsi="Times New Roman" w:cs="Times New Roman"/>
          <w:kern w:val="0"/>
          <w:sz w:val="24"/>
          <w:szCs w:val="24"/>
          <w14:ligatures w14:val="none"/>
        </w:rPr>
        <w:t>USD</w:t>
      </w:r>
      <w:r w:rsidRPr="00D35BCE">
        <w:rPr>
          <w:rFonts w:ascii="Times New Roman" w:eastAsia="Times New Roman" w:hAnsi="Times New Roman" w:cs="Times New Roman"/>
          <w:kern w:val="0"/>
          <w:sz w:val="24"/>
          <w:szCs w:val="24"/>
          <w14:ligatures w14:val="none"/>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931"/>
        <w:gridCol w:w="1096"/>
        <w:gridCol w:w="1096"/>
        <w:gridCol w:w="1096"/>
        <w:gridCol w:w="711"/>
        <w:gridCol w:w="1103"/>
      </w:tblGrid>
      <w:tr w:rsidR="00DB3940" w:rsidRPr="00FA6F79" w14:paraId="5B34408D" w14:textId="77777777" w:rsidTr="00D35BCE">
        <w:tc>
          <w:tcPr>
            <w:tcW w:w="0" w:type="auto"/>
            <w:tcBorders>
              <w:bottom w:val="single" w:sz="4" w:space="0" w:color="auto"/>
            </w:tcBorders>
            <w:hideMark/>
          </w:tcPr>
          <w:p w14:paraId="72C61E64" w14:textId="77777777" w:rsidR="00DB3940" w:rsidRPr="00FA6F79" w:rsidRDefault="00DB3940" w:rsidP="001B3AF4">
            <w:pPr>
              <w:rPr>
                <w:rFonts w:asciiTheme="majorBidi" w:hAnsiTheme="majorBidi" w:cstheme="majorBidi"/>
              </w:rPr>
            </w:pPr>
            <w:bookmarkStart w:id="1" w:name="_Hlk196134651"/>
            <w:r w:rsidRPr="00FA6F79">
              <w:rPr>
                <w:rFonts w:asciiTheme="majorBidi" w:hAnsiTheme="majorBidi" w:cstheme="majorBidi"/>
              </w:rPr>
              <w:t>Item</w:t>
            </w:r>
          </w:p>
        </w:tc>
        <w:tc>
          <w:tcPr>
            <w:tcW w:w="0" w:type="auto"/>
            <w:tcBorders>
              <w:bottom w:val="single" w:sz="4" w:space="0" w:color="auto"/>
            </w:tcBorders>
            <w:hideMark/>
          </w:tcPr>
          <w:p w14:paraId="3588D8F1" w14:textId="6DFD54E1" w:rsidR="00DB3940" w:rsidRPr="00FA6F79" w:rsidRDefault="00DB3940" w:rsidP="001B3AF4">
            <w:pPr>
              <w:rPr>
                <w:rFonts w:asciiTheme="majorBidi" w:hAnsiTheme="majorBidi" w:cstheme="majorBidi"/>
              </w:rPr>
            </w:pPr>
            <w:r w:rsidRPr="00FA6F79">
              <w:rPr>
                <w:rFonts w:asciiTheme="majorBidi" w:hAnsiTheme="majorBidi" w:cstheme="majorBidi"/>
              </w:rPr>
              <w:t>Min</w:t>
            </w:r>
          </w:p>
        </w:tc>
        <w:tc>
          <w:tcPr>
            <w:tcW w:w="0" w:type="auto"/>
            <w:tcBorders>
              <w:bottom w:val="single" w:sz="4" w:space="0" w:color="auto"/>
            </w:tcBorders>
            <w:hideMark/>
          </w:tcPr>
          <w:p w14:paraId="5DF75DB5" w14:textId="54206F39" w:rsidR="00DB3940" w:rsidRPr="00FA6F79" w:rsidRDefault="00DB3940" w:rsidP="001B3AF4">
            <w:pPr>
              <w:rPr>
                <w:rFonts w:asciiTheme="majorBidi" w:hAnsiTheme="majorBidi" w:cstheme="majorBidi"/>
              </w:rPr>
            </w:pPr>
            <w:r w:rsidRPr="00FA6F79">
              <w:rPr>
                <w:rFonts w:asciiTheme="majorBidi" w:hAnsiTheme="majorBidi" w:cstheme="majorBidi"/>
              </w:rPr>
              <w:t>Max</w:t>
            </w:r>
          </w:p>
        </w:tc>
        <w:tc>
          <w:tcPr>
            <w:tcW w:w="0" w:type="auto"/>
            <w:tcBorders>
              <w:bottom w:val="single" w:sz="4" w:space="0" w:color="auto"/>
            </w:tcBorders>
            <w:hideMark/>
          </w:tcPr>
          <w:p w14:paraId="75D2BF85" w14:textId="5A28611A" w:rsidR="00DB3940" w:rsidRPr="00FA6F79" w:rsidRDefault="00DB3940" w:rsidP="001B3AF4">
            <w:pPr>
              <w:rPr>
                <w:rFonts w:asciiTheme="majorBidi" w:hAnsiTheme="majorBidi" w:cstheme="majorBidi"/>
              </w:rPr>
            </w:pPr>
            <w:r w:rsidRPr="00FA6F79">
              <w:rPr>
                <w:rFonts w:asciiTheme="majorBidi" w:hAnsiTheme="majorBidi" w:cstheme="majorBidi"/>
              </w:rPr>
              <w:t>Avg</w:t>
            </w:r>
          </w:p>
        </w:tc>
        <w:tc>
          <w:tcPr>
            <w:tcW w:w="0" w:type="auto"/>
            <w:tcBorders>
              <w:bottom w:val="single" w:sz="4" w:space="0" w:color="auto"/>
            </w:tcBorders>
            <w:hideMark/>
          </w:tcPr>
          <w:p w14:paraId="310A3832" w14:textId="77777777" w:rsidR="00DB3940" w:rsidRPr="00FA6F79" w:rsidRDefault="00DB3940" w:rsidP="001B3AF4">
            <w:pPr>
              <w:rPr>
                <w:rFonts w:asciiTheme="majorBidi" w:hAnsiTheme="majorBidi" w:cstheme="majorBidi"/>
              </w:rPr>
            </w:pPr>
            <w:r w:rsidRPr="00FA6F79">
              <w:rPr>
                <w:rFonts w:asciiTheme="majorBidi" w:hAnsiTheme="majorBidi" w:cstheme="majorBidi"/>
              </w:rPr>
              <w:t>Std. Dev.</w:t>
            </w:r>
          </w:p>
        </w:tc>
        <w:tc>
          <w:tcPr>
            <w:tcW w:w="0" w:type="auto"/>
            <w:tcBorders>
              <w:bottom w:val="single" w:sz="4" w:space="0" w:color="auto"/>
            </w:tcBorders>
            <w:hideMark/>
          </w:tcPr>
          <w:p w14:paraId="701A98C6"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tcBorders>
              <w:bottom w:val="single" w:sz="4" w:space="0" w:color="auto"/>
            </w:tcBorders>
            <w:hideMark/>
          </w:tcPr>
          <w:p w14:paraId="4763D020" w14:textId="4F7DE9FB" w:rsidR="00DB3940" w:rsidRPr="00FA6F79" w:rsidRDefault="00DB3940" w:rsidP="001B3AF4">
            <w:pPr>
              <w:rPr>
                <w:rFonts w:asciiTheme="majorBidi" w:hAnsiTheme="majorBidi" w:cstheme="majorBidi"/>
              </w:rPr>
            </w:pPr>
            <w:r w:rsidRPr="00FA6F79">
              <w:rPr>
                <w:rFonts w:asciiTheme="majorBidi" w:hAnsiTheme="majorBidi" w:cstheme="majorBidi"/>
              </w:rPr>
              <w:t>Per Room</w:t>
            </w:r>
          </w:p>
        </w:tc>
      </w:tr>
      <w:tr w:rsidR="00DB3940" w:rsidRPr="00FA6F79" w14:paraId="2CAD5A95" w14:textId="77777777" w:rsidTr="00D35BCE">
        <w:tc>
          <w:tcPr>
            <w:tcW w:w="0" w:type="auto"/>
            <w:tcBorders>
              <w:top w:val="single" w:sz="4" w:space="0" w:color="auto"/>
            </w:tcBorders>
            <w:hideMark/>
          </w:tcPr>
          <w:p w14:paraId="7E9D54C2" w14:textId="77777777" w:rsidR="00DB3940" w:rsidRPr="00FA6F79" w:rsidRDefault="00DB3940" w:rsidP="001B3AF4">
            <w:pPr>
              <w:rPr>
                <w:rFonts w:asciiTheme="majorBidi" w:hAnsiTheme="majorBidi" w:cstheme="majorBidi"/>
              </w:rPr>
            </w:pPr>
            <w:r w:rsidRPr="00FA6F79">
              <w:rPr>
                <w:rFonts w:asciiTheme="majorBidi" w:hAnsiTheme="majorBidi" w:cstheme="majorBidi"/>
              </w:rPr>
              <w:t>Fixed Costs</w:t>
            </w:r>
          </w:p>
        </w:tc>
        <w:tc>
          <w:tcPr>
            <w:tcW w:w="0" w:type="auto"/>
            <w:tcBorders>
              <w:top w:val="single" w:sz="4" w:space="0" w:color="auto"/>
            </w:tcBorders>
            <w:hideMark/>
          </w:tcPr>
          <w:p w14:paraId="74C99A1F" w14:textId="77777777" w:rsidR="00DB3940" w:rsidRPr="00FA6F79" w:rsidRDefault="00DB3940" w:rsidP="001B3AF4">
            <w:pPr>
              <w:rPr>
                <w:rFonts w:asciiTheme="majorBidi" w:hAnsiTheme="majorBidi" w:cstheme="majorBidi"/>
              </w:rPr>
            </w:pPr>
          </w:p>
        </w:tc>
        <w:tc>
          <w:tcPr>
            <w:tcW w:w="0" w:type="auto"/>
            <w:tcBorders>
              <w:top w:val="single" w:sz="4" w:space="0" w:color="auto"/>
            </w:tcBorders>
            <w:hideMark/>
          </w:tcPr>
          <w:p w14:paraId="752A9D01" w14:textId="77777777" w:rsidR="00DB3940" w:rsidRPr="00FA6F79" w:rsidRDefault="00DB3940" w:rsidP="001B3AF4">
            <w:pPr>
              <w:rPr>
                <w:rFonts w:asciiTheme="majorBidi" w:hAnsiTheme="majorBidi" w:cstheme="majorBidi"/>
              </w:rPr>
            </w:pPr>
          </w:p>
        </w:tc>
        <w:tc>
          <w:tcPr>
            <w:tcW w:w="0" w:type="auto"/>
            <w:tcBorders>
              <w:top w:val="single" w:sz="4" w:space="0" w:color="auto"/>
            </w:tcBorders>
            <w:hideMark/>
          </w:tcPr>
          <w:p w14:paraId="7ED63867" w14:textId="77777777" w:rsidR="00DB3940" w:rsidRPr="00FA6F79" w:rsidRDefault="00DB3940" w:rsidP="001B3AF4">
            <w:pPr>
              <w:rPr>
                <w:rFonts w:asciiTheme="majorBidi" w:hAnsiTheme="majorBidi" w:cstheme="majorBidi"/>
              </w:rPr>
            </w:pPr>
          </w:p>
        </w:tc>
        <w:tc>
          <w:tcPr>
            <w:tcW w:w="0" w:type="auto"/>
            <w:tcBorders>
              <w:top w:val="single" w:sz="4" w:space="0" w:color="auto"/>
            </w:tcBorders>
            <w:hideMark/>
          </w:tcPr>
          <w:p w14:paraId="7B3ED029" w14:textId="77777777" w:rsidR="00DB3940" w:rsidRPr="00FA6F79" w:rsidRDefault="00DB3940" w:rsidP="001B3AF4">
            <w:pPr>
              <w:rPr>
                <w:rFonts w:asciiTheme="majorBidi" w:hAnsiTheme="majorBidi" w:cstheme="majorBidi"/>
              </w:rPr>
            </w:pPr>
          </w:p>
        </w:tc>
        <w:tc>
          <w:tcPr>
            <w:tcW w:w="0" w:type="auto"/>
            <w:tcBorders>
              <w:top w:val="single" w:sz="4" w:space="0" w:color="auto"/>
            </w:tcBorders>
            <w:hideMark/>
          </w:tcPr>
          <w:p w14:paraId="33C4A1C4" w14:textId="77777777" w:rsidR="00DB3940" w:rsidRPr="00FA6F79" w:rsidRDefault="00DB3940" w:rsidP="001B3AF4">
            <w:pPr>
              <w:rPr>
                <w:rFonts w:asciiTheme="majorBidi" w:hAnsiTheme="majorBidi" w:cstheme="majorBidi"/>
              </w:rPr>
            </w:pPr>
          </w:p>
        </w:tc>
        <w:tc>
          <w:tcPr>
            <w:tcW w:w="0" w:type="auto"/>
            <w:tcBorders>
              <w:top w:val="single" w:sz="4" w:space="0" w:color="auto"/>
            </w:tcBorders>
            <w:hideMark/>
          </w:tcPr>
          <w:p w14:paraId="197EB333" w14:textId="77777777" w:rsidR="00DB3940" w:rsidRPr="00FA6F79" w:rsidRDefault="00DB3940" w:rsidP="001B3AF4">
            <w:pPr>
              <w:rPr>
                <w:rFonts w:asciiTheme="majorBidi" w:hAnsiTheme="majorBidi" w:cstheme="majorBidi"/>
              </w:rPr>
            </w:pPr>
          </w:p>
        </w:tc>
      </w:tr>
      <w:tr w:rsidR="00DB3940" w:rsidRPr="00FA6F79" w14:paraId="582C65FB" w14:textId="77777777" w:rsidTr="00D35BCE">
        <w:tc>
          <w:tcPr>
            <w:tcW w:w="0" w:type="auto"/>
            <w:hideMark/>
          </w:tcPr>
          <w:p w14:paraId="1178E2AB" w14:textId="77777777" w:rsidR="00DB3940" w:rsidRPr="00FA6F79" w:rsidRDefault="00DB3940" w:rsidP="001B3AF4">
            <w:pPr>
              <w:rPr>
                <w:rFonts w:asciiTheme="majorBidi" w:hAnsiTheme="majorBidi" w:cstheme="majorBidi"/>
              </w:rPr>
            </w:pPr>
            <w:r w:rsidRPr="00FA6F79">
              <w:rPr>
                <w:rFonts w:asciiTheme="majorBidi" w:hAnsiTheme="majorBidi" w:cstheme="majorBidi"/>
              </w:rPr>
              <w:t>– Building Cost</w:t>
            </w:r>
          </w:p>
        </w:tc>
        <w:tc>
          <w:tcPr>
            <w:tcW w:w="0" w:type="auto"/>
            <w:hideMark/>
          </w:tcPr>
          <w:p w14:paraId="659C7A1C" w14:textId="77777777" w:rsidR="00DB3940" w:rsidRPr="00FA6F79" w:rsidRDefault="00DB3940" w:rsidP="001B3AF4">
            <w:pPr>
              <w:rPr>
                <w:rFonts w:asciiTheme="majorBidi" w:hAnsiTheme="majorBidi" w:cstheme="majorBidi"/>
              </w:rPr>
            </w:pPr>
            <w:r w:rsidRPr="00FA6F79">
              <w:rPr>
                <w:rFonts w:asciiTheme="majorBidi" w:hAnsiTheme="majorBidi" w:cstheme="majorBidi"/>
              </w:rPr>
              <w:t>106,667</w:t>
            </w:r>
          </w:p>
        </w:tc>
        <w:tc>
          <w:tcPr>
            <w:tcW w:w="0" w:type="auto"/>
            <w:hideMark/>
          </w:tcPr>
          <w:p w14:paraId="3F0562A8" w14:textId="77777777" w:rsidR="00DB3940" w:rsidRPr="00FA6F79" w:rsidRDefault="00DB3940" w:rsidP="001B3AF4">
            <w:pPr>
              <w:rPr>
                <w:rFonts w:asciiTheme="majorBidi" w:hAnsiTheme="majorBidi" w:cstheme="majorBidi"/>
              </w:rPr>
            </w:pPr>
            <w:r w:rsidRPr="00FA6F79">
              <w:rPr>
                <w:rFonts w:asciiTheme="majorBidi" w:hAnsiTheme="majorBidi" w:cstheme="majorBidi"/>
              </w:rPr>
              <w:t>5,333,333</w:t>
            </w:r>
          </w:p>
        </w:tc>
        <w:tc>
          <w:tcPr>
            <w:tcW w:w="0" w:type="auto"/>
            <w:hideMark/>
          </w:tcPr>
          <w:p w14:paraId="4CA6A2BE" w14:textId="77777777" w:rsidR="00DB3940" w:rsidRPr="00FA6F79" w:rsidRDefault="00DB3940" w:rsidP="001B3AF4">
            <w:pPr>
              <w:rPr>
                <w:rFonts w:asciiTheme="majorBidi" w:hAnsiTheme="majorBidi" w:cstheme="majorBidi"/>
              </w:rPr>
            </w:pPr>
            <w:r w:rsidRPr="00FA6F79">
              <w:rPr>
                <w:rFonts w:asciiTheme="majorBidi" w:hAnsiTheme="majorBidi" w:cstheme="majorBidi"/>
              </w:rPr>
              <w:t>1,627,200</w:t>
            </w:r>
          </w:p>
        </w:tc>
        <w:tc>
          <w:tcPr>
            <w:tcW w:w="0" w:type="auto"/>
            <w:hideMark/>
          </w:tcPr>
          <w:p w14:paraId="2FBE3974" w14:textId="77777777" w:rsidR="00DB3940" w:rsidRPr="00FA6F79" w:rsidRDefault="00DB3940" w:rsidP="001B3AF4">
            <w:pPr>
              <w:rPr>
                <w:rFonts w:asciiTheme="majorBidi" w:hAnsiTheme="majorBidi" w:cstheme="majorBidi"/>
              </w:rPr>
            </w:pPr>
            <w:r w:rsidRPr="00FA6F79">
              <w:rPr>
                <w:rFonts w:asciiTheme="majorBidi" w:hAnsiTheme="majorBidi" w:cstheme="majorBidi"/>
              </w:rPr>
              <w:t>1,487,325</w:t>
            </w:r>
          </w:p>
        </w:tc>
        <w:tc>
          <w:tcPr>
            <w:tcW w:w="0" w:type="auto"/>
            <w:hideMark/>
          </w:tcPr>
          <w:p w14:paraId="2FAED63B" w14:textId="77777777" w:rsidR="00DB3940" w:rsidRPr="00FA6F79" w:rsidRDefault="00DB3940" w:rsidP="001B3AF4">
            <w:pPr>
              <w:rPr>
                <w:rFonts w:asciiTheme="majorBidi" w:hAnsiTheme="majorBidi" w:cstheme="majorBidi"/>
              </w:rPr>
            </w:pPr>
            <w:r w:rsidRPr="00FA6F79">
              <w:rPr>
                <w:rFonts w:asciiTheme="majorBidi" w:hAnsiTheme="majorBidi" w:cstheme="majorBidi"/>
              </w:rPr>
              <w:t>93.11</w:t>
            </w:r>
          </w:p>
        </w:tc>
        <w:tc>
          <w:tcPr>
            <w:tcW w:w="0" w:type="auto"/>
            <w:hideMark/>
          </w:tcPr>
          <w:p w14:paraId="615D6D06"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518F4398" w14:textId="77777777" w:rsidTr="00D35BCE">
        <w:tc>
          <w:tcPr>
            <w:tcW w:w="0" w:type="auto"/>
            <w:hideMark/>
          </w:tcPr>
          <w:p w14:paraId="3A51301E" w14:textId="77777777" w:rsidR="00DB3940" w:rsidRPr="00FA6F79" w:rsidRDefault="00DB3940" w:rsidP="001B3AF4">
            <w:pPr>
              <w:rPr>
                <w:rFonts w:asciiTheme="majorBidi" w:hAnsiTheme="majorBidi" w:cstheme="majorBidi"/>
              </w:rPr>
            </w:pPr>
            <w:r w:rsidRPr="00FA6F79">
              <w:rPr>
                <w:rFonts w:asciiTheme="majorBidi" w:hAnsiTheme="majorBidi" w:cstheme="majorBidi"/>
              </w:rPr>
              <w:t>– Refrigeration Equipment</w:t>
            </w:r>
          </w:p>
        </w:tc>
        <w:tc>
          <w:tcPr>
            <w:tcW w:w="0" w:type="auto"/>
            <w:hideMark/>
          </w:tcPr>
          <w:p w14:paraId="57AFB1E2" w14:textId="77777777" w:rsidR="00DB3940" w:rsidRPr="00FA6F79" w:rsidRDefault="00DB3940" w:rsidP="001B3AF4">
            <w:pPr>
              <w:rPr>
                <w:rFonts w:asciiTheme="majorBidi" w:hAnsiTheme="majorBidi" w:cstheme="majorBidi"/>
              </w:rPr>
            </w:pPr>
            <w:r w:rsidRPr="00FA6F79">
              <w:rPr>
                <w:rFonts w:asciiTheme="majorBidi" w:hAnsiTheme="majorBidi" w:cstheme="majorBidi"/>
              </w:rPr>
              <w:t>40,000</w:t>
            </w:r>
          </w:p>
        </w:tc>
        <w:tc>
          <w:tcPr>
            <w:tcW w:w="0" w:type="auto"/>
            <w:hideMark/>
          </w:tcPr>
          <w:p w14:paraId="0A4813C8" w14:textId="77777777" w:rsidR="00DB3940" w:rsidRPr="00FA6F79" w:rsidRDefault="00DB3940" w:rsidP="001B3AF4">
            <w:pPr>
              <w:rPr>
                <w:rFonts w:asciiTheme="majorBidi" w:hAnsiTheme="majorBidi" w:cstheme="majorBidi"/>
              </w:rPr>
            </w:pPr>
            <w:r w:rsidRPr="00FA6F79">
              <w:rPr>
                <w:rFonts w:asciiTheme="majorBidi" w:hAnsiTheme="majorBidi" w:cstheme="majorBidi"/>
              </w:rPr>
              <w:t>266,667</w:t>
            </w:r>
          </w:p>
        </w:tc>
        <w:tc>
          <w:tcPr>
            <w:tcW w:w="0" w:type="auto"/>
            <w:hideMark/>
          </w:tcPr>
          <w:p w14:paraId="0A2B899F" w14:textId="77777777" w:rsidR="00DB3940" w:rsidRPr="00FA6F79" w:rsidRDefault="00DB3940" w:rsidP="001B3AF4">
            <w:pPr>
              <w:rPr>
                <w:rFonts w:asciiTheme="majorBidi" w:hAnsiTheme="majorBidi" w:cstheme="majorBidi"/>
              </w:rPr>
            </w:pPr>
            <w:r w:rsidRPr="00FA6F79">
              <w:rPr>
                <w:rFonts w:asciiTheme="majorBidi" w:hAnsiTheme="majorBidi" w:cstheme="majorBidi"/>
              </w:rPr>
              <w:t>87,623</w:t>
            </w:r>
          </w:p>
        </w:tc>
        <w:tc>
          <w:tcPr>
            <w:tcW w:w="0" w:type="auto"/>
            <w:hideMark/>
          </w:tcPr>
          <w:p w14:paraId="434B4173" w14:textId="77777777" w:rsidR="00DB3940" w:rsidRPr="00FA6F79" w:rsidRDefault="00DB3940" w:rsidP="001B3AF4">
            <w:pPr>
              <w:rPr>
                <w:rFonts w:asciiTheme="majorBidi" w:hAnsiTheme="majorBidi" w:cstheme="majorBidi"/>
              </w:rPr>
            </w:pPr>
            <w:r w:rsidRPr="00FA6F79">
              <w:rPr>
                <w:rFonts w:asciiTheme="majorBidi" w:hAnsiTheme="majorBidi" w:cstheme="majorBidi"/>
              </w:rPr>
              <w:t>45,139</w:t>
            </w:r>
          </w:p>
        </w:tc>
        <w:tc>
          <w:tcPr>
            <w:tcW w:w="0" w:type="auto"/>
            <w:hideMark/>
          </w:tcPr>
          <w:p w14:paraId="391AA475" w14:textId="77777777" w:rsidR="00DB3940" w:rsidRPr="00FA6F79" w:rsidRDefault="00DB3940" w:rsidP="001B3AF4">
            <w:pPr>
              <w:rPr>
                <w:rFonts w:asciiTheme="majorBidi" w:hAnsiTheme="majorBidi" w:cstheme="majorBidi"/>
              </w:rPr>
            </w:pPr>
            <w:r w:rsidRPr="00FA6F79">
              <w:rPr>
                <w:rFonts w:asciiTheme="majorBidi" w:hAnsiTheme="majorBidi" w:cstheme="majorBidi"/>
              </w:rPr>
              <w:t>5.01</w:t>
            </w:r>
          </w:p>
        </w:tc>
        <w:tc>
          <w:tcPr>
            <w:tcW w:w="0" w:type="auto"/>
            <w:hideMark/>
          </w:tcPr>
          <w:p w14:paraId="4E23E183"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55A05F12" w14:textId="77777777" w:rsidTr="00D35BCE">
        <w:tc>
          <w:tcPr>
            <w:tcW w:w="0" w:type="auto"/>
            <w:hideMark/>
          </w:tcPr>
          <w:p w14:paraId="0020F25E" w14:textId="77777777" w:rsidR="00DB3940" w:rsidRPr="00FA6F79" w:rsidRDefault="00DB3940" w:rsidP="001B3AF4">
            <w:pPr>
              <w:rPr>
                <w:rFonts w:asciiTheme="majorBidi" w:hAnsiTheme="majorBidi" w:cstheme="majorBidi"/>
              </w:rPr>
            </w:pPr>
            <w:r w:rsidRPr="00FA6F79">
              <w:rPr>
                <w:rFonts w:asciiTheme="majorBidi" w:hAnsiTheme="majorBidi" w:cstheme="majorBidi"/>
              </w:rPr>
              <w:t>– Ventilation Equipment</w:t>
            </w:r>
          </w:p>
        </w:tc>
        <w:tc>
          <w:tcPr>
            <w:tcW w:w="0" w:type="auto"/>
            <w:hideMark/>
          </w:tcPr>
          <w:p w14:paraId="0AFEB2F4" w14:textId="77777777" w:rsidR="00DB3940" w:rsidRPr="00FA6F79" w:rsidRDefault="00DB3940" w:rsidP="001B3AF4">
            <w:pPr>
              <w:rPr>
                <w:rFonts w:asciiTheme="majorBidi" w:hAnsiTheme="majorBidi" w:cstheme="majorBidi"/>
              </w:rPr>
            </w:pPr>
            <w:r w:rsidRPr="00FA6F79">
              <w:rPr>
                <w:rFonts w:asciiTheme="majorBidi" w:hAnsiTheme="majorBidi" w:cstheme="majorBidi"/>
              </w:rPr>
              <w:t>6,667</w:t>
            </w:r>
          </w:p>
        </w:tc>
        <w:tc>
          <w:tcPr>
            <w:tcW w:w="0" w:type="auto"/>
            <w:hideMark/>
          </w:tcPr>
          <w:p w14:paraId="6823F3F6" w14:textId="77777777" w:rsidR="00DB3940" w:rsidRPr="00FA6F79" w:rsidRDefault="00DB3940" w:rsidP="001B3AF4">
            <w:pPr>
              <w:rPr>
                <w:rFonts w:asciiTheme="majorBidi" w:hAnsiTheme="majorBidi" w:cstheme="majorBidi"/>
              </w:rPr>
            </w:pPr>
            <w:r w:rsidRPr="00FA6F79">
              <w:rPr>
                <w:rFonts w:asciiTheme="majorBidi" w:hAnsiTheme="majorBidi" w:cstheme="majorBidi"/>
              </w:rPr>
              <w:t>66,667</w:t>
            </w:r>
          </w:p>
        </w:tc>
        <w:tc>
          <w:tcPr>
            <w:tcW w:w="0" w:type="auto"/>
            <w:hideMark/>
          </w:tcPr>
          <w:p w14:paraId="46530ADC" w14:textId="77777777" w:rsidR="00DB3940" w:rsidRPr="00FA6F79" w:rsidRDefault="00DB3940" w:rsidP="001B3AF4">
            <w:pPr>
              <w:rPr>
                <w:rFonts w:asciiTheme="majorBidi" w:hAnsiTheme="majorBidi" w:cstheme="majorBidi"/>
              </w:rPr>
            </w:pPr>
            <w:r w:rsidRPr="00FA6F79">
              <w:rPr>
                <w:rFonts w:asciiTheme="majorBidi" w:hAnsiTheme="majorBidi" w:cstheme="majorBidi"/>
              </w:rPr>
              <w:t>26,293</w:t>
            </w:r>
          </w:p>
        </w:tc>
        <w:tc>
          <w:tcPr>
            <w:tcW w:w="0" w:type="auto"/>
            <w:hideMark/>
          </w:tcPr>
          <w:p w14:paraId="7AD4770E" w14:textId="77777777" w:rsidR="00DB3940" w:rsidRPr="00FA6F79" w:rsidRDefault="00DB3940" w:rsidP="001B3AF4">
            <w:pPr>
              <w:rPr>
                <w:rFonts w:asciiTheme="majorBidi" w:hAnsiTheme="majorBidi" w:cstheme="majorBidi"/>
              </w:rPr>
            </w:pPr>
            <w:r w:rsidRPr="00FA6F79">
              <w:rPr>
                <w:rFonts w:asciiTheme="majorBidi" w:hAnsiTheme="majorBidi" w:cstheme="majorBidi"/>
              </w:rPr>
              <w:t>15,185</w:t>
            </w:r>
          </w:p>
        </w:tc>
        <w:tc>
          <w:tcPr>
            <w:tcW w:w="0" w:type="auto"/>
            <w:hideMark/>
          </w:tcPr>
          <w:p w14:paraId="43E84BD2" w14:textId="77777777" w:rsidR="00DB3940" w:rsidRPr="00FA6F79" w:rsidRDefault="00DB3940" w:rsidP="001B3AF4">
            <w:pPr>
              <w:rPr>
                <w:rFonts w:asciiTheme="majorBidi" w:hAnsiTheme="majorBidi" w:cstheme="majorBidi"/>
              </w:rPr>
            </w:pPr>
            <w:r w:rsidRPr="00FA6F79">
              <w:rPr>
                <w:rFonts w:asciiTheme="majorBidi" w:hAnsiTheme="majorBidi" w:cstheme="majorBidi"/>
              </w:rPr>
              <w:t>1.50</w:t>
            </w:r>
          </w:p>
        </w:tc>
        <w:tc>
          <w:tcPr>
            <w:tcW w:w="0" w:type="auto"/>
            <w:hideMark/>
          </w:tcPr>
          <w:p w14:paraId="41B19B52"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2AED6A72" w14:textId="77777777" w:rsidTr="00D35BCE">
        <w:tc>
          <w:tcPr>
            <w:tcW w:w="0" w:type="auto"/>
            <w:hideMark/>
          </w:tcPr>
          <w:p w14:paraId="046C1DEB" w14:textId="77777777" w:rsidR="00DB3940" w:rsidRPr="00FA6F79" w:rsidRDefault="00DB3940" w:rsidP="001B3AF4">
            <w:pPr>
              <w:rPr>
                <w:rFonts w:asciiTheme="majorBidi" w:hAnsiTheme="majorBidi" w:cstheme="majorBidi"/>
              </w:rPr>
            </w:pPr>
            <w:r w:rsidRPr="00FA6F79">
              <w:rPr>
                <w:rFonts w:asciiTheme="majorBidi" w:hAnsiTheme="majorBidi" w:cstheme="majorBidi"/>
              </w:rPr>
              <w:t>– Insurance</w:t>
            </w:r>
          </w:p>
        </w:tc>
        <w:tc>
          <w:tcPr>
            <w:tcW w:w="0" w:type="auto"/>
            <w:hideMark/>
          </w:tcPr>
          <w:p w14:paraId="42C474D2" w14:textId="77777777" w:rsidR="00DB3940" w:rsidRPr="00FA6F79" w:rsidRDefault="00DB3940" w:rsidP="001B3AF4">
            <w:pPr>
              <w:rPr>
                <w:rFonts w:asciiTheme="majorBidi" w:hAnsiTheme="majorBidi" w:cstheme="majorBidi"/>
              </w:rPr>
            </w:pPr>
            <w:r w:rsidRPr="00FA6F79">
              <w:rPr>
                <w:rFonts w:asciiTheme="majorBidi" w:hAnsiTheme="majorBidi" w:cstheme="majorBidi"/>
              </w:rPr>
              <w:t>2,667</w:t>
            </w:r>
          </w:p>
        </w:tc>
        <w:tc>
          <w:tcPr>
            <w:tcW w:w="0" w:type="auto"/>
            <w:hideMark/>
          </w:tcPr>
          <w:p w14:paraId="05C27BD4" w14:textId="77777777" w:rsidR="00DB3940" w:rsidRPr="00FA6F79" w:rsidRDefault="00DB3940" w:rsidP="001B3AF4">
            <w:pPr>
              <w:rPr>
                <w:rFonts w:asciiTheme="majorBidi" w:hAnsiTheme="majorBidi" w:cstheme="majorBidi"/>
              </w:rPr>
            </w:pPr>
            <w:r w:rsidRPr="00FA6F79">
              <w:rPr>
                <w:rFonts w:asciiTheme="majorBidi" w:hAnsiTheme="majorBidi" w:cstheme="majorBidi"/>
              </w:rPr>
              <w:t>13,333</w:t>
            </w:r>
          </w:p>
        </w:tc>
        <w:tc>
          <w:tcPr>
            <w:tcW w:w="0" w:type="auto"/>
            <w:hideMark/>
          </w:tcPr>
          <w:p w14:paraId="111517D6" w14:textId="77777777" w:rsidR="00DB3940" w:rsidRPr="00FA6F79" w:rsidRDefault="00DB3940" w:rsidP="001B3AF4">
            <w:pPr>
              <w:rPr>
                <w:rFonts w:asciiTheme="majorBidi" w:hAnsiTheme="majorBidi" w:cstheme="majorBidi"/>
              </w:rPr>
            </w:pPr>
            <w:r w:rsidRPr="00FA6F79">
              <w:rPr>
                <w:rFonts w:asciiTheme="majorBidi" w:hAnsiTheme="majorBidi" w:cstheme="majorBidi"/>
              </w:rPr>
              <w:t>6,485</w:t>
            </w:r>
          </w:p>
        </w:tc>
        <w:tc>
          <w:tcPr>
            <w:tcW w:w="0" w:type="auto"/>
            <w:hideMark/>
          </w:tcPr>
          <w:p w14:paraId="71401979" w14:textId="77777777" w:rsidR="00DB3940" w:rsidRPr="00FA6F79" w:rsidRDefault="00DB3940" w:rsidP="001B3AF4">
            <w:pPr>
              <w:rPr>
                <w:rFonts w:asciiTheme="majorBidi" w:hAnsiTheme="majorBidi" w:cstheme="majorBidi"/>
              </w:rPr>
            </w:pPr>
            <w:r w:rsidRPr="00FA6F79">
              <w:rPr>
                <w:rFonts w:asciiTheme="majorBidi" w:hAnsiTheme="majorBidi" w:cstheme="majorBidi"/>
              </w:rPr>
              <w:t>2,365</w:t>
            </w:r>
          </w:p>
        </w:tc>
        <w:tc>
          <w:tcPr>
            <w:tcW w:w="0" w:type="auto"/>
            <w:hideMark/>
          </w:tcPr>
          <w:p w14:paraId="431E21A8" w14:textId="77777777" w:rsidR="00DB3940" w:rsidRPr="00FA6F79" w:rsidRDefault="00DB3940" w:rsidP="001B3AF4">
            <w:pPr>
              <w:rPr>
                <w:rFonts w:asciiTheme="majorBidi" w:hAnsiTheme="majorBidi" w:cstheme="majorBidi"/>
              </w:rPr>
            </w:pPr>
            <w:r w:rsidRPr="00FA6F79">
              <w:rPr>
                <w:rFonts w:asciiTheme="majorBidi" w:hAnsiTheme="majorBidi" w:cstheme="majorBidi"/>
              </w:rPr>
              <w:t>0.37</w:t>
            </w:r>
          </w:p>
        </w:tc>
        <w:tc>
          <w:tcPr>
            <w:tcW w:w="0" w:type="auto"/>
            <w:hideMark/>
          </w:tcPr>
          <w:p w14:paraId="75FDF6AE"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5CB7C3EB" w14:textId="77777777" w:rsidTr="00D35BCE">
        <w:tc>
          <w:tcPr>
            <w:tcW w:w="0" w:type="auto"/>
            <w:hideMark/>
          </w:tcPr>
          <w:p w14:paraId="71196D5B" w14:textId="77777777" w:rsidR="00DB3940" w:rsidRPr="00FA6F79" w:rsidRDefault="00DB3940" w:rsidP="001B3AF4">
            <w:pPr>
              <w:rPr>
                <w:rFonts w:asciiTheme="majorBidi" w:hAnsiTheme="majorBidi" w:cstheme="majorBidi"/>
              </w:rPr>
            </w:pPr>
            <w:r w:rsidRPr="00FA6F79">
              <w:rPr>
                <w:rFonts w:asciiTheme="majorBidi" w:hAnsiTheme="majorBidi" w:cstheme="majorBidi"/>
              </w:rPr>
              <w:t>Total Fixed Costs</w:t>
            </w:r>
          </w:p>
        </w:tc>
        <w:tc>
          <w:tcPr>
            <w:tcW w:w="0" w:type="auto"/>
            <w:hideMark/>
          </w:tcPr>
          <w:p w14:paraId="77852302" w14:textId="77777777" w:rsidR="00DB3940" w:rsidRPr="00FA6F79" w:rsidRDefault="00DB3940" w:rsidP="001B3AF4">
            <w:pPr>
              <w:rPr>
                <w:rFonts w:asciiTheme="majorBidi" w:hAnsiTheme="majorBidi" w:cstheme="majorBidi"/>
              </w:rPr>
            </w:pPr>
            <w:r w:rsidRPr="00FA6F79">
              <w:rPr>
                <w:rFonts w:asciiTheme="majorBidi" w:hAnsiTheme="majorBidi" w:cstheme="majorBidi"/>
              </w:rPr>
              <w:t>156,000</w:t>
            </w:r>
          </w:p>
        </w:tc>
        <w:tc>
          <w:tcPr>
            <w:tcW w:w="0" w:type="auto"/>
            <w:hideMark/>
          </w:tcPr>
          <w:p w14:paraId="499CF3BE" w14:textId="77777777" w:rsidR="00DB3940" w:rsidRPr="00FA6F79" w:rsidRDefault="00DB3940" w:rsidP="001B3AF4">
            <w:pPr>
              <w:rPr>
                <w:rFonts w:asciiTheme="majorBidi" w:hAnsiTheme="majorBidi" w:cstheme="majorBidi"/>
              </w:rPr>
            </w:pPr>
            <w:r w:rsidRPr="00FA6F79">
              <w:rPr>
                <w:rFonts w:asciiTheme="majorBidi" w:hAnsiTheme="majorBidi" w:cstheme="majorBidi"/>
              </w:rPr>
              <w:t>5,680,000</w:t>
            </w:r>
          </w:p>
        </w:tc>
        <w:tc>
          <w:tcPr>
            <w:tcW w:w="0" w:type="auto"/>
            <w:hideMark/>
          </w:tcPr>
          <w:p w14:paraId="253FAF25" w14:textId="77777777" w:rsidR="00DB3940" w:rsidRPr="00FA6F79" w:rsidRDefault="00DB3940" w:rsidP="001B3AF4">
            <w:pPr>
              <w:rPr>
                <w:rFonts w:asciiTheme="majorBidi" w:hAnsiTheme="majorBidi" w:cstheme="majorBidi"/>
              </w:rPr>
            </w:pPr>
            <w:r w:rsidRPr="00FA6F79">
              <w:rPr>
                <w:rFonts w:asciiTheme="majorBidi" w:hAnsiTheme="majorBidi" w:cstheme="majorBidi"/>
              </w:rPr>
              <w:t>1,747,600</w:t>
            </w:r>
          </w:p>
        </w:tc>
        <w:tc>
          <w:tcPr>
            <w:tcW w:w="0" w:type="auto"/>
            <w:hideMark/>
          </w:tcPr>
          <w:p w14:paraId="172EE03B" w14:textId="77777777" w:rsidR="00DB3940" w:rsidRPr="00FA6F79" w:rsidRDefault="00DB3940" w:rsidP="001B3AF4">
            <w:pPr>
              <w:rPr>
                <w:rFonts w:asciiTheme="majorBidi" w:hAnsiTheme="majorBidi" w:cstheme="majorBidi"/>
              </w:rPr>
            </w:pPr>
            <w:r w:rsidRPr="00FA6F79">
              <w:rPr>
                <w:rFonts w:asciiTheme="majorBidi" w:hAnsiTheme="majorBidi" w:cstheme="majorBidi"/>
              </w:rPr>
              <w:t>310,002</w:t>
            </w:r>
          </w:p>
        </w:tc>
        <w:tc>
          <w:tcPr>
            <w:tcW w:w="0" w:type="auto"/>
            <w:hideMark/>
          </w:tcPr>
          <w:p w14:paraId="7C5CFD57" w14:textId="77777777" w:rsidR="00DB3940" w:rsidRPr="00FA6F79" w:rsidRDefault="00DB3940" w:rsidP="001B3AF4">
            <w:pPr>
              <w:rPr>
                <w:rFonts w:asciiTheme="majorBidi" w:hAnsiTheme="majorBidi" w:cstheme="majorBidi"/>
              </w:rPr>
            </w:pPr>
            <w:r w:rsidRPr="00FA6F79">
              <w:rPr>
                <w:rFonts w:asciiTheme="majorBidi" w:hAnsiTheme="majorBidi" w:cstheme="majorBidi"/>
              </w:rPr>
              <w:t>100.0</w:t>
            </w:r>
          </w:p>
        </w:tc>
        <w:tc>
          <w:tcPr>
            <w:tcW w:w="0" w:type="auto"/>
            <w:hideMark/>
          </w:tcPr>
          <w:p w14:paraId="166FDE81"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466A56EA" w14:textId="77777777" w:rsidTr="00D35BCE">
        <w:tc>
          <w:tcPr>
            <w:tcW w:w="0" w:type="auto"/>
            <w:hideMark/>
          </w:tcPr>
          <w:p w14:paraId="10E3EC09" w14:textId="77777777" w:rsidR="00DB3940" w:rsidRPr="00FA6F79" w:rsidRDefault="00DB3940" w:rsidP="001B3AF4">
            <w:pPr>
              <w:rPr>
                <w:rFonts w:asciiTheme="majorBidi" w:hAnsiTheme="majorBidi" w:cstheme="majorBidi"/>
              </w:rPr>
            </w:pPr>
            <w:r w:rsidRPr="00FA6F79">
              <w:rPr>
                <w:rFonts w:asciiTheme="majorBidi" w:hAnsiTheme="majorBidi" w:cstheme="majorBidi"/>
              </w:rPr>
              <w:t>Variable Costs</w:t>
            </w:r>
          </w:p>
        </w:tc>
        <w:tc>
          <w:tcPr>
            <w:tcW w:w="0" w:type="auto"/>
            <w:hideMark/>
          </w:tcPr>
          <w:p w14:paraId="12E2CAB2" w14:textId="77777777" w:rsidR="00DB3940" w:rsidRPr="00FA6F79" w:rsidRDefault="00DB3940" w:rsidP="001B3AF4">
            <w:pPr>
              <w:rPr>
                <w:rFonts w:asciiTheme="majorBidi" w:hAnsiTheme="majorBidi" w:cstheme="majorBidi"/>
              </w:rPr>
            </w:pPr>
          </w:p>
        </w:tc>
        <w:tc>
          <w:tcPr>
            <w:tcW w:w="0" w:type="auto"/>
            <w:hideMark/>
          </w:tcPr>
          <w:p w14:paraId="2186D5B3" w14:textId="77777777" w:rsidR="00DB3940" w:rsidRPr="00FA6F79" w:rsidRDefault="00DB3940" w:rsidP="001B3AF4">
            <w:pPr>
              <w:rPr>
                <w:rFonts w:asciiTheme="majorBidi" w:hAnsiTheme="majorBidi" w:cstheme="majorBidi"/>
              </w:rPr>
            </w:pPr>
          </w:p>
        </w:tc>
        <w:tc>
          <w:tcPr>
            <w:tcW w:w="0" w:type="auto"/>
            <w:hideMark/>
          </w:tcPr>
          <w:p w14:paraId="4CC0EEFF" w14:textId="77777777" w:rsidR="00DB3940" w:rsidRPr="00FA6F79" w:rsidRDefault="00DB3940" w:rsidP="001B3AF4">
            <w:pPr>
              <w:rPr>
                <w:rFonts w:asciiTheme="majorBidi" w:hAnsiTheme="majorBidi" w:cstheme="majorBidi"/>
              </w:rPr>
            </w:pPr>
          </w:p>
        </w:tc>
        <w:tc>
          <w:tcPr>
            <w:tcW w:w="0" w:type="auto"/>
            <w:hideMark/>
          </w:tcPr>
          <w:p w14:paraId="209D849B" w14:textId="77777777" w:rsidR="00DB3940" w:rsidRPr="00FA6F79" w:rsidRDefault="00DB3940" w:rsidP="001B3AF4">
            <w:pPr>
              <w:rPr>
                <w:rFonts w:asciiTheme="majorBidi" w:hAnsiTheme="majorBidi" w:cstheme="majorBidi"/>
              </w:rPr>
            </w:pPr>
          </w:p>
        </w:tc>
        <w:tc>
          <w:tcPr>
            <w:tcW w:w="0" w:type="auto"/>
            <w:hideMark/>
          </w:tcPr>
          <w:p w14:paraId="55F4EB39" w14:textId="77777777" w:rsidR="00DB3940" w:rsidRPr="00FA6F79" w:rsidRDefault="00DB3940" w:rsidP="001B3AF4">
            <w:pPr>
              <w:rPr>
                <w:rFonts w:asciiTheme="majorBidi" w:hAnsiTheme="majorBidi" w:cstheme="majorBidi"/>
              </w:rPr>
            </w:pPr>
          </w:p>
        </w:tc>
        <w:tc>
          <w:tcPr>
            <w:tcW w:w="0" w:type="auto"/>
            <w:hideMark/>
          </w:tcPr>
          <w:p w14:paraId="2FF0DD66" w14:textId="77777777" w:rsidR="00DB3940" w:rsidRPr="00FA6F79" w:rsidRDefault="00DB3940" w:rsidP="001B3AF4">
            <w:pPr>
              <w:rPr>
                <w:rFonts w:asciiTheme="majorBidi" w:hAnsiTheme="majorBidi" w:cstheme="majorBidi"/>
              </w:rPr>
            </w:pPr>
          </w:p>
        </w:tc>
      </w:tr>
      <w:tr w:rsidR="00DB3940" w:rsidRPr="00FA6F79" w14:paraId="626F82C6" w14:textId="77777777" w:rsidTr="00D35BCE">
        <w:tc>
          <w:tcPr>
            <w:tcW w:w="0" w:type="auto"/>
            <w:hideMark/>
          </w:tcPr>
          <w:p w14:paraId="78952612" w14:textId="77777777" w:rsidR="00DB3940" w:rsidRPr="00FA6F79" w:rsidRDefault="00DB3940" w:rsidP="001B3AF4">
            <w:pPr>
              <w:rPr>
                <w:rFonts w:asciiTheme="majorBidi" w:hAnsiTheme="majorBidi" w:cstheme="majorBidi"/>
              </w:rPr>
            </w:pPr>
            <w:r w:rsidRPr="00FA6F79">
              <w:rPr>
                <w:rFonts w:asciiTheme="majorBidi" w:hAnsiTheme="majorBidi" w:cstheme="majorBidi"/>
              </w:rPr>
              <w:t>– Labor Costs</w:t>
            </w:r>
          </w:p>
        </w:tc>
        <w:tc>
          <w:tcPr>
            <w:tcW w:w="0" w:type="auto"/>
            <w:hideMark/>
          </w:tcPr>
          <w:p w14:paraId="0CE2834B" w14:textId="77777777" w:rsidR="00DB3940" w:rsidRPr="00FA6F79" w:rsidRDefault="00DB3940" w:rsidP="001B3AF4">
            <w:pPr>
              <w:rPr>
                <w:rFonts w:asciiTheme="majorBidi" w:hAnsiTheme="majorBidi" w:cstheme="majorBidi"/>
              </w:rPr>
            </w:pPr>
            <w:r w:rsidRPr="00FA6F79">
              <w:rPr>
                <w:rFonts w:asciiTheme="majorBidi" w:hAnsiTheme="majorBidi" w:cstheme="majorBidi"/>
              </w:rPr>
              <w:t>30,400</w:t>
            </w:r>
          </w:p>
        </w:tc>
        <w:tc>
          <w:tcPr>
            <w:tcW w:w="0" w:type="auto"/>
            <w:hideMark/>
          </w:tcPr>
          <w:p w14:paraId="68D3865F" w14:textId="77777777" w:rsidR="00DB3940" w:rsidRPr="00FA6F79" w:rsidRDefault="00DB3940" w:rsidP="001B3AF4">
            <w:pPr>
              <w:rPr>
                <w:rFonts w:asciiTheme="majorBidi" w:hAnsiTheme="majorBidi" w:cstheme="majorBidi"/>
              </w:rPr>
            </w:pPr>
            <w:r w:rsidRPr="00FA6F79">
              <w:rPr>
                <w:rFonts w:asciiTheme="majorBidi" w:hAnsiTheme="majorBidi" w:cstheme="majorBidi"/>
              </w:rPr>
              <w:t>290,667</w:t>
            </w:r>
          </w:p>
        </w:tc>
        <w:tc>
          <w:tcPr>
            <w:tcW w:w="0" w:type="auto"/>
            <w:hideMark/>
          </w:tcPr>
          <w:p w14:paraId="15D6D836" w14:textId="77777777" w:rsidR="00DB3940" w:rsidRPr="00FA6F79" w:rsidRDefault="00DB3940" w:rsidP="001B3AF4">
            <w:pPr>
              <w:rPr>
                <w:rFonts w:asciiTheme="majorBidi" w:hAnsiTheme="majorBidi" w:cstheme="majorBidi"/>
              </w:rPr>
            </w:pPr>
            <w:r w:rsidRPr="00FA6F79">
              <w:rPr>
                <w:rFonts w:asciiTheme="majorBidi" w:hAnsiTheme="majorBidi" w:cstheme="majorBidi"/>
              </w:rPr>
              <w:t>104,213</w:t>
            </w:r>
          </w:p>
        </w:tc>
        <w:tc>
          <w:tcPr>
            <w:tcW w:w="0" w:type="auto"/>
            <w:hideMark/>
          </w:tcPr>
          <w:p w14:paraId="6E314018" w14:textId="77777777" w:rsidR="00DB3940" w:rsidRPr="00FA6F79" w:rsidRDefault="00DB3940" w:rsidP="001B3AF4">
            <w:pPr>
              <w:rPr>
                <w:rFonts w:asciiTheme="majorBidi" w:hAnsiTheme="majorBidi" w:cstheme="majorBidi"/>
              </w:rPr>
            </w:pPr>
            <w:r w:rsidRPr="00FA6F79">
              <w:rPr>
                <w:rFonts w:asciiTheme="majorBidi" w:hAnsiTheme="majorBidi" w:cstheme="majorBidi"/>
              </w:rPr>
              <w:t>46,110</w:t>
            </w:r>
          </w:p>
        </w:tc>
        <w:tc>
          <w:tcPr>
            <w:tcW w:w="0" w:type="auto"/>
            <w:hideMark/>
          </w:tcPr>
          <w:p w14:paraId="7274C690" w14:textId="77777777" w:rsidR="00DB3940" w:rsidRPr="00FA6F79" w:rsidRDefault="00DB3940" w:rsidP="001B3AF4">
            <w:pPr>
              <w:rPr>
                <w:rFonts w:asciiTheme="majorBidi" w:hAnsiTheme="majorBidi" w:cstheme="majorBidi"/>
              </w:rPr>
            </w:pPr>
            <w:r w:rsidRPr="00FA6F79">
              <w:rPr>
                <w:rFonts w:asciiTheme="majorBidi" w:hAnsiTheme="majorBidi" w:cstheme="majorBidi"/>
              </w:rPr>
              <w:t>60.89</w:t>
            </w:r>
          </w:p>
        </w:tc>
        <w:tc>
          <w:tcPr>
            <w:tcW w:w="0" w:type="auto"/>
            <w:hideMark/>
          </w:tcPr>
          <w:p w14:paraId="04F2673F"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5CEEDAC8" w14:textId="77777777" w:rsidTr="00D35BCE">
        <w:tc>
          <w:tcPr>
            <w:tcW w:w="0" w:type="auto"/>
            <w:hideMark/>
          </w:tcPr>
          <w:p w14:paraId="6AF8CA2E" w14:textId="77777777" w:rsidR="00DB3940" w:rsidRPr="00FA6F79" w:rsidRDefault="00DB3940" w:rsidP="001B3AF4">
            <w:pPr>
              <w:rPr>
                <w:rFonts w:asciiTheme="majorBidi" w:hAnsiTheme="majorBidi" w:cstheme="majorBidi"/>
              </w:rPr>
            </w:pPr>
            <w:r w:rsidRPr="00FA6F79">
              <w:rPr>
                <w:rFonts w:asciiTheme="majorBidi" w:hAnsiTheme="majorBidi" w:cstheme="majorBidi"/>
              </w:rPr>
              <w:t>– Electricity Consumption</w:t>
            </w:r>
          </w:p>
        </w:tc>
        <w:tc>
          <w:tcPr>
            <w:tcW w:w="0" w:type="auto"/>
            <w:hideMark/>
          </w:tcPr>
          <w:p w14:paraId="65714843" w14:textId="77777777" w:rsidR="00DB3940" w:rsidRPr="00FA6F79" w:rsidRDefault="00DB3940" w:rsidP="001B3AF4">
            <w:pPr>
              <w:rPr>
                <w:rFonts w:asciiTheme="majorBidi" w:hAnsiTheme="majorBidi" w:cstheme="majorBidi"/>
              </w:rPr>
            </w:pPr>
            <w:r w:rsidRPr="00FA6F79">
              <w:rPr>
                <w:rFonts w:asciiTheme="majorBidi" w:hAnsiTheme="majorBidi" w:cstheme="majorBidi"/>
              </w:rPr>
              <w:t>6,400</w:t>
            </w:r>
          </w:p>
        </w:tc>
        <w:tc>
          <w:tcPr>
            <w:tcW w:w="0" w:type="auto"/>
            <w:hideMark/>
          </w:tcPr>
          <w:p w14:paraId="45EE0E6D" w14:textId="77777777" w:rsidR="00DB3940" w:rsidRPr="00FA6F79" w:rsidRDefault="00DB3940" w:rsidP="001B3AF4">
            <w:pPr>
              <w:rPr>
                <w:rFonts w:asciiTheme="majorBidi" w:hAnsiTheme="majorBidi" w:cstheme="majorBidi"/>
              </w:rPr>
            </w:pPr>
            <w:r w:rsidRPr="00FA6F79">
              <w:rPr>
                <w:rFonts w:asciiTheme="majorBidi" w:hAnsiTheme="majorBidi" w:cstheme="majorBidi"/>
              </w:rPr>
              <w:t>80,000</w:t>
            </w:r>
          </w:p>
        </w:tc>
        <w:tc>
          <w:tcPr>
            <w:tcW w:w="0" w:type="auto"/>
            <w:hideMark/>
          </w:tcPr>
          <w:p w14:paraId="58AC4E80" w14:textId="77777777" w:rsidR="00DB3940" w:rsidRPr="00FA6F79" w:rsidRDefault="00DB3940" w:rsidP="001B3AF4">
            <w:pPr>
              <w:rPr>
                <w:rFonts w:asciiTheme="majorBidi" w:hAnsiTheme="majorBidi" w:cstheme="majorBidi"/>
              </w:rPr>
            </w:pPr>
            <w:r w:rsidRPr="00FA6F79">
              <w:rPr>
                <w:rFonts w:asciiTheme="majorBidi" w:hAnsiTheme="majorBidi" w:cstheme="majorBidi"/>
              </w:rPr>
              <w:t>39,627</w:t>
            </w:r>
          </w:p>
        </w:tc>
        <w:tc>
          <w:tcPr>
            <w:tcW w:w="0" w:type="auto"/>
            <w:hideMark/>
          </w:tcPr>
          <w:p w14:paraId="654C7BB5" w14:textId="77777777" w:rsidR="00DB3940" w:rsidRPr="00FA6F79" w:rsidRDefault="00DB3940" w:rsidP="001B3AF4">
            <w:pPr>
              <w:rPr>
                <w:rFonts w:asciiTheme="majorBidi" w:hAnsiTheme="majorBidi" w:cstheme="majorBidi"/>
              </w:rPr>
            </w:pPr>
            <w:r w:rsidRPr="00FA6F79">
              <w:rPr>
                <w:rFonts w:asciiTheme="majorBidi" w:hAnsiTheme="majorBidi" w:cstheme="majorBidi"/>
              </w:rPr>
              <w:t>16,274</w:t>
            </w:r>
          </w:p>
        </w:tc>
        <w:tc>
          <w:tcPr>
            <w:tcW w:w="0" w:type="auto"/>
            <w:hideMark/>
          </w:tcPr>
          <w:p w14:paraId="4232CE95" w14:textId="77777777" w:rsidR="00DB3940" w:rsidRPr="00FA6F79" w:rsidRDefault="00DB3940" w:rsidP="001B3AF4">
            <w:pPr>
              <w:rPr>
                <w:rFonts w:asciiTheme="majorBidi" w:hAnsiTheme="majorBidi" w:cstheme="majorBidi"/>
              </w:rPr>
            </w:pPr>
            <w:r w:rsidRPr="00FA6F79">
              <w:rPr>
                <w:rFonts w:asciiTheme="majorBidi" w:hAnsiTheme="majorBidi" w:cstheme="majorBidi"/>
              </w:rPr>
              <w:t>23.15</w:t>
            </w:r>
          </w:p>
        </w:tc>
        <w:tc>
          <w:tcPr>
            <w:tcW w:w="0" w:type="auto"/>
            <w:hideMark/>
          </w:tcPr>
          <w:p w14:paraId="322BFF53"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7E63FF4A" w14:textId="77777777" w:rsidTr="00D35BCE">
        <w:tc>
          <w:tcPr>
            <w:tcW w:w="0" w:type="auto"/>
            <w:hideMark/>
          </w:tcPr>
          <w:p w14:paraId="524C1D5F" w14:textId="77777777" w:rsidR="00DB3940" w:rsidRPr="00FA6F79" w:rsidRDefault="00DB3940" w:rsidP="001B3AF4">
            <w:pPr>
              <w:rPr>
                <w:rFonts w:asciiTheme="majorBidi" w:hAnsiTheme="majorBidi" w:cstheme="majorBidi"/>
              </w:rPr>
            </w:pPr>
            <w:r w:rsidRPr="00FA6F79">
              <w:rPr>
                <w:rFonts w:asciiTheme="majorBidi" w:hAnsiTheme="majorBidi" w:cstheme="majorBidi"/>
              </w:rPr>
              <w:t>– Storage Boxes</w:t>
            </w:r>
          </w:p>
        </w:tc>
        <w:tc>
          <w:tcPr>
            <w:tcW w:w="0" w:type="auto"/>
            <w:hideMark/>
          </w:tcPr>
          <w:p w14:paraId="4D0FA2DF" w14:textId="77777777" w:rsidR="00DB3940" w:rsidRPr="00FA6F79" w:rsidRDefault="00DB3940" w:rsidP="001B3AF4">
            <w:pPr>
              <w:rPr>
                <w:rFonts w:asciiTheme="majorBidi" w:hAnsiTheme="majorBidi" w:cstheme="majorBidi"/>
              </w:rPr>
            </w:pPr>
            <w:r w:rsidRPr="00FA6F79">
              <w:rPr>
                <w:rFonts w:asciiTheme="majorBidi" w:hAnsiTheme="majorBidi" w:cstheme="majorBidi"/>
              </w:rPr>
              <w:t>3,200</w:t>
            </w:r>
          </w:p>
        </w:tc>
        <w:tc>
          <w:tcPr>
            <w:tcW w:w="0" w:type="auto"/>
            <w:hideMark/>
          </w:tcPr>
          <w:p w14:paraId="6BE82B49" w14:textId="77777777" w:rsidR="00DB3940" w:rsidRPr="00FA6F79" w:rsidRDefault="00DB3940" w:rsidP="001B3AF4">
            <w:pPr>
              <w:rPr>
                <w:rFonts w:asciiTheme="majorBidi" w:hAnsiTheme="majorBidi" w:cstheme="majorBidi"/>
              </w:rPr>
            </w:pPr>
            <w:r w:rsidRPr="00FA6F79">
              <w:rPr>
                <w:rFonts w:asciiTheme="majorBidi" w:hAnsiTheme="majorBidi" w:cstheme="majorBidi"/>
              </w:rPr>
              <w:t>16,000</w:t>
            </w:r>
          </w:p>
        </w:tc>
        <w:tc>
          <w:tcPr>
            <w:tcW w:w="0" w:type="auto"/>
            <w:hideMark/>
          </w:tcPr>
          <w:p w14:paraId="44D18D66" w14:textId="77777777" w:rsidR="00DB3940" w:rsidRPr="00FA6F79" w:rsidRDefault="00DB3940" w:rsidP="001B3AF4">
            <w:pPr>
              <w:rPr>
                <w:rFonts w:asciiTheme="majorBidi" w:hAnsiTheme="majorBidi" w:cstheme="majorBidi"/>
              </w:rPr>
            </w:pPr>
            <w:r w:rsidRPr="00FA6F79">
              <w:rPr>
                <w:rFonts w:asciiTheme="majorBidi" w:hAnsiTheme="majorBidi" w:cstheme="majorBidi"/>
              </w:rPr>
              <w:t>8,608</w:t>
            </w:r>
          </w:p>
        </w:tc>
        <w:tc>
          <w:tcPr>
            <w:tcW w:w="0" w:type="auto"/>
            <w:hideMark/>
          </w:tcPr>
          <w:p w14:paraId="362A61E4" w14:textId="77777777" w:rsidR="00DB3940" w:rsidRPr="00FA6F79" w:rsidRDefault="00DB3940" w:rsidP="001B3AF4">
            <w:pPr>
              <w:rPr>
                <w:rFonts w:asciiTheme="majorBidi" w:hAnsiTheme="majorBidi" w:cstheme="majorBidi"/>
              </w:rPr>
            </w:pPr>
            <w:r w:rsidRPr="00FA6F79">
              <w:rPr>
                <w:rFonts w:asciiTheme="majorBidi" w:hAnsiTheme="majorBidi" w:cstheme="majorBidi"/>
              </w:rPr>
              <w:t>3,490</w:t>
            </w:r>
          </w:p>
        </w:tc>
        <w:tc>
          <w:tcPr>
            <w:tcW w:w="0" w:type="auto"/>
            <w:hideMark/>
          </w:tcPr>
          <w:p w14:paraId="12FA2785" w14:textId="77777777" w:rsidR="00DB3940" w:rsidRPr="00FA6F79" w:rsidRDefault="00DB3940" w:rsidP="001B3AF4">
            <w:pPr>
              <w:rPr>
                <w:rFonts w:asciiTheme="majorBidi" w:hAnsiTheme="majorBidi" w:cstheme="majorBidi"/>
              </w:rPr>
            </w:pPr>
            <w:r w:rsidRPr="00FA6F79">
              <w:rPr>
                <w:rFonts w:asciiTheme="majorBidi" w:hAnsiTheme="majorBidi" w:cstheme="majorBidi"/>
              </w:rPr>
              <w:t>5.03</w:t>
            </w:r>
          </w:p>
        </w:tc>
        <w:tc>
          <w:tcPr>
            <w:tcW w:w="0" w:type="auto"/>
            <w:hideMark/>
          </w:tcPr>
          <w:p w14:paraId="21CADBEE"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7639F3FB" w14:textId="77777777" w:rsidTr="00D35BCE">
        <w:tc>
          <w:tcPr>
            <w:tcW w:w="0" w:type="auto"/>
            <w:hideMark/>
          </w:tcPr>
          <w:p w14:paraId="5D45C52C" w14:textId="77777777" w:rsidR="00DB3940" w:rsidRPr="00FA6F79" w:rsidRDefault="00DB3940" w:rsidP="001B3AF4">
            <w:pPr>
              <w:rPr>
                <w:rFonts w:asciiTheme="majorBidi" w:hAnsiTheme="majorBidi" w:cstheme="majorBidi"/>
              </w:rPr>
            </w:pPr>
            <w:r w:rsidRPr="00FA6F79">
              <w:rPr>
                <w:rFonts w:asciiTheme="majorBidi" w:hAnsiTheme="majorBidi" w:cstheme="majorBidi"/>
              </w:rPr>
              <w:t>– Water Consumption</w:t>
            </w:r>
          </w:p>
        </w:tc>
        <w:tc>
          <w:tcPr>
            <w:tcW w:w="0" w:type="auto"/>
            <w:hideMark/>
          </w:tcPr>
          <w:p w14:paraId="58AA1C99" w14:textId="77777777" w:rsidR="00DB3940" w:rsidRPr="00FA6F79" w:rsidRDefault="00DB3940" w:rsidP="001B3AF4">
            <w:pPr>
              <w:rPr>
                <w:rFonts w:asciiTheme="majorBidi" w:hAnsiTheme="majorBidi" w:cstheme="majorBidi"/>
              </w:rPr>
            </w:pPr>
            <w:r w:rsidRPr="00FA6F79">
              <w:rPr>
                <w:rFonts w:asciiTheme="majorBidi" w:hAnsiTheme="majorBidi" w:cstheme="majorBidi"/>
              </w:rPr>
              <w:t>1,600</w:t>
            </w:r>
          </w:p>
        </w:tc>
        <w:tc>
          <w:tcPr>
            <w:tcW w:w="0" w:type="auto"/>
            <w:hideMark/>
          </w:tcPr>
          <w:p w14:paraId="1117FDD7" w14:textId="77777777" w:rsidR="00DB3940" w:rsidRPr="00FA6F79" w:rsidRDefault="00DB3940" w:rsidP="001B3AF4">
            <w:pPr>
              <w:rPr>
                <w:rFonts w:asciiTheme="majorBidi" w:hAnsiTheme="majorBidi" w:cstheme="majorBidi"/>
              </w:rPr>
            </w:pPr>
            <w:r w:rsidRPr="00FA6F79">
              <w:rPr>
                <w:rFonts w:asciiTheme="majorBidi" w:hAnsiTheme="majorBidi" w:cstheme="majorBidi"/>
              </w:rPr>
              <w:t>16,000</w:t>
            </w:r>
          </w:p>
        </w:tc>
        <w:tc>
          <w:tcPr>
            <w:tcW w:w="0" w:type="auto"/>
            <w:hideMark/>
          </w:tcPr>
          <w:p w14:paraId="6071D5EE" w14:textId="77777777" w:rsidR="00DB3940" w:rsidRPr="00FA6F79" w:rsidRDefault="00DB3940" w:rsidP="001B3AF4">
            <w:pPr>
              <w:rPr>
                <w:rFonts w:asciiTheme="majorBidi" w:hAnsiTheme="majorBidi" w:cstheme="majorBidi"/>
              </w:rPr>
            </w:pPr>
            <w:r w:rsidRPr="00FA6F79">
              <w:rPr>
                <w:rFonts w:asciiTheme="majorBidi" w:hAnsiTheme="majorBidi" w:cstheme="majorBidi"/>
              </w:rPr>
              <w:t>6,592</w:t>
            </w:r>
          </w:p>
        </w:tc>
        <w:tc>
          <w:tcPr>
            <w:tcW w:w="0" w:type="auto"/>
            <w:hideMark/>
          </w:tcPr>
          <w:p w14:paraId="0A28E77A" w14:textId="77777777" w:rsidR="00DB3940" w:rsidRPr="00FA6F79" w:rsidRDefault="00DB3940" w:rsidP="001B3AF4">
            <w:pPr>
              <w:rPr>
                <w:rFonts w:asciiTheme="majorBidi" w:hAnsiTheme="majorBidi" w:cstheme="majorBidi"/>
              </w:rPr>
            </w:pPr>
            <w:r w:rsidRPr="00FA6F79">
              <w:rPr>
                <w:rFonts w:asciiTheme="majorBidi" w:hAnsiTheme="majorBidi" w:cstheme="majorBidi"/>
              </w:rPr>
              <w:t>2,901</w:t>
            </w:r>
          </w:p>
        </w:tc>
        <w:tc>
          <w:tcPr>
            <w:tcW w:w="0" w:type="auto"/>
            <w:hideMark/>
          </w:tcPr>
          <w:p w14:paraId="5E44E8E4" w14:textId="77777777" w:rsidR="00DB3940" w:rsidRPr="00FA6F79" w:rsidRDefault="00DB3940" w:rsidP="001B3AF4">
            <w:pPr>
              <w:rPr>
                <w:rFonts w:asciiTheme="majorBidi" w:hAnsiTheme="majorBidi" w:cstheme="majorBidi"/>
              </w:rPr>
            </w:pPr>
            <w:r w:rsidRPr="00FA6F79">
              <w:rPr>
                <w:rFonts w:asciiTheme="majorBidi" w:hAnsiTheme="majorBidi" w:cstheme="majorBidi"/>
              </w:rPr>
              <w:t>3.78</w:t>
            </w:r>
          </w:p>
        </w:tc>
        <w:tc>
          <w:tcPr>
            <w:tcW w:w="0" w:type="auto"/>
            <w:hideMark/>
          </w:tcPr>
          <w:p w14:paraId="14A76E2A"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14B754D5" w14:textId="77777777" w:rsidTr="00D35BCE">
        <w:tc>
          <w:tcPr>
            <w:tcW w:w="0" w:type="auto"/>
            <w:hideMark/>
          </w:tcPr>
          <w:p w14:paraId="2851E344" w14:textId="77777777" w:rsidR="00DB3940" w:rsidRPr="00FA6F79" w:rsidRDefault="00DB3940" w:rsidP="001B3AF4">
            <w:pPr>
              <w:rPr>
                <w:rFonts w:asciiTheme="majorBidi" w:hAnsiTheme="majorBidi" w:cstheme="majorBidi"/>
              </w:rPr>
            </w:pPr>
            <w:r w:rsidRPr="00FA6F79">
              <w:rPr>
                <w:rFonts w:asciiTheme="majorBidi" w:hAnsiTheme="majorBidi" w:cstheme="majorBidi"/>
              </w:rPr>
              <w:t>– Fuel Consumption</w:t>
            </w:r>
          </w:p>
        </w:tc>
        <w:tc>
          <w:tcPr>
            <w:tcW w:w="0" w:type="auto"/>
            <w:hideMark/>
          </w:tcPr>
          <w:p w14:paraId="68885D93" w14:textId="77777777" w:rsidR="00DB3940" w:rsidRPr="00FA6F79" w:rsidRDefault="00DB3940" w:rsidP="001B3AF4">
            <w:pPr>
              <w:rPr>
                <w:rFonts w:asciiTheme="majorBidi" w:hAnsiTheme="majorBidi" w:cstheme="majorBidi"/>
              </w:rPr>
            </w:pPr>
            <w:r w:rsidRPr="00FA6F79">
              <w:rPr>
                <w:rFonts w:asciiTheme="majorBidi" w:hAnsiTheme="majorBidi" w:cstheme="majorBidi"/>
              </w:rPr>
              <w:t>2,240</w:t>
            </w:r>
          </w:p>
        </w:tc>
        <w:tc>
          <w:tcPr>
            <w:tcW w:w="0" w:type="auto"/>
            <w:hideMark/>
          </w:tcPr>
          <w:p w14:paraId="527AC13E" w14:textId="77777777" w:rsidR="00DB3940" w:rsidRPr="00FA6F79" w:rsidRDefault="00DB3940" w:rsidP="001B3AF4">
            <w:pPr>
              <w:rPr>
                <w:rFonts w:asciiTheme="majorBidi" w:hAnsiTheme="majorBidi" w:cstheme="majorBidi"/>
              </w:rPr>
            </w:pPr>
            <w:r w:rsidRPr="00FA6F79">
              <w:rPr>
                <w:rFonts w:asciiTheme="majorBidi" w:hAnsiTheme="majorBidi" w:cstheme="majorBidi"/>
              </w:rPr>
              <w:t>9,600</w:t>
            </w:r>
          </w:p>
        </w:tc>
        <w:tc>
          <w:tcPr>
            <w:tcW w:w="0" w:type="auto"/>
            <w:hideMark/>
          </w:tcPr>
          <w:p w14:paraId="4A54567E" w14:textId="77777777" w:rsidR="00DB3940" w:rsidRPr="00FA6F79" w:rsidRDefault="00DB3940" w:rsidP="001B3AF4">
            <w:pPr>
              <w:rPr>
                <w:rFonts w:asciiTheme="majorBidi" w:hAnsiTheme="majorBidi" w:cstheme="majorBidi"/>
              </w:rPr>
            </w:pPr>
            <w:r w:rsidRPr="00FA6F79">
              <w:rPr>
                <w:rFonts w:asciiTheme="majorBidi" w:hAnsiTheme="majorBidi" w:cstheme="majorBidi"/>
              </w:rPr>
              <w:t>4,853</w:t>
            </w:r>
          </w:p>
        </w:tc>
        <w:tc>
          <w:tcPr>
            <w:tcW w:w="0" w:type="auto"/>
            <w:hideMark/>
          </w:tcPr>
          <w:p w14:paraId="2086F9FD" w14:textId="77777777" w:rsidR="00DB3940" w:rsidRPr="00FA6F79" w:rsidRDefault="00DB3940" w:rsidP="001B3AF4">
            <w:pPr>
              <w:rPr>
                <w:rFonts w:asciiTheme="majorBidi" w:hAnsiTheme="majorBidi" w:cstheme="majorBidi"/>
              </w:rPr>
            </w:pPr>
            <w:r w:rsidRPr="00FA6F79">
              <w:rPr>
                <w:rFonts w:asciiTheme="majorBidi" w:hAnsiTheme="majorBidi" w:cstheme="majorBidi"/>
              </w:rPr>
              <w:t>1,925</w:t>
            </w:r>
          </w:p>
        </w:tc>
        <w:tc>
          <w:tcPr>
            <w:tcW w:w="0" w:type="auto"/>
            <w:hideMark/>
          </w:tcPr>
          <w:p w14:paraId="75312D0F" w14:textId="77777777" w:rsidR="00DB3940" w:rsidRPr="00FA6F79" w:rsidRDefault="00DB3940" w:rsidP="001B3AF4">
            <w:pPr>
              <w:rPr>
                <w:rFonts w:asciiTheme="majorBidi" w:hAnsiTheme="majorBidi" w:cstheme="majorBidi"/>
              </w:rPr>
            </w:pPr>
            <w:r w:rsidRPr="00FA6F79">
              <w:rPr>
                <w:rFonts w:asciiTheme="majorBidi" w:hAnsiTheme="majorBidi" w:cstheme="majorBidi"/>
              </w:rPr>
              <w:t>2.84</w:t>
            </w:r>
          </w:p>
        </w:tc>
        <w:tc>
          <w:tcPr>
            <w:tcW w:w="0" w:type="auto"/>
            <w:hideMark/>
          </w:tcPr>
          <w:p w14:paraId="7A9A8398"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31310D26" w14:textId="77777777" w:rsidTr="00D35BCE">
        <w:tc>
          <w:tcPr>
            <w:tcW w:w="0" w:type="auto"/>
            <w:hideMark/>
          </w:tcPr>
          <w:p w14:paraId="583E3789" w14:textId="77777777" w:rsidR="00DB3940" w:rsidRPr="00FA6F79" w:rsidRDefault="00DB3940" w:rsidP="001B3AF4">
            <w:pPr>
              <w:rPr>
                <w:rFonts w:asciiTheme="majorBidi" w:hAnsiTheme="majorBidi" w:cstheme="majorBidi"/>
              </w:rPr>
            </w:pPr>
            <w:r w:rsidRPr="00FA6F79">
              <w:rPr>
                <w:rFonts w:asciiTheme="majorBidi" w:hAnsiTheme="majorBidi" w:cstheme="majorBidi"/>
              </w:rPr>
              <w:t>– Oils and Grease</w:t>
            </w:r>
          </w:p>
        </w:tc>
        <w:tc>
          <w:tcPr>
            <w:tcW w:w="0" w:type="auto"/>
            <w:hideMark/>
          </w:tcPr>
          <w:p w14:paraId="65E55989" w14:textId="77777777" w:rsidR="00DB3940" w:rsidRPr="00FA6F79" w:rsidRDefault="00DB3940" w:rsidP="001B3AF4">
            <w:pPr>
              <w:rPr>
                <w:rFonts w:asciiTheme="majorBidi" w:hAnsiTheme="majorBidi" w:cstheme="majorBidi"/>
              </w:rPr>
            </w:pPr>
            <w:r w:rsidRPr="00FA6F79">
              <w:rPr>
                <w:rFonts w:asciiTheme="majorBidi" w:hAnsiTheme="majorBidi" w:cstheme="majorBidi"/>
              </w:rPr>
              <w:t>640</w:t>
            </w:r>
          </w:p>
        </w:tc>
        <w:tc>
          <w:tcPr>
            <w:tcW w:w="0" w:type="auto"/>
            <w:hideMark/>
          </w:tcPr>
          <w:p w14:paraId="2AA8C3A6" w14:textId="77777777" w:rsidR="00DB3940" w:rsidRPr="00FA6F79" w:rsidRDefault="00DB3940" w:rsidP="001B3AF4">
            <w:pPr>
              <w:rPr>
                <w:rFonts w:asciiTheme="majorBidi" w:hAnsiTheme="majorBidi" w:cstheme="majorBidi"/>
              </w:rPr>
            </w:pPr>
            <w:r w:rsidRPr="00FA6F79">
              <w:rPr>
                <w:rFonts w:asciiTheme="majorBidi" w:hAnsiTheme="majorBidi" w:cstheme="majorBidi"/>
              </w:rPr>
              <w:t>9,600</w:t>
            </w:r>
          </w:p>
        </w:tc>
        <w:tc>
          <w:tcPr>
            <w:tcW w:w="0" w:type="auto"/>
            <w:hideMark/>
          </w:tcPr>
          <w:p w14:paraId="276679D8" w14:textId="77777777" w:rsidR="00DB3940" w:rsidRPr="00FA6F79" w:rsidRDefault="00DB3940" w:rsidP="001B3AF4">
            <w:pPr>
              <w:rPr>
                <w:rFonts w:asciiTheme="majorBidi" w:hAnsiTheme="majorBidi" w:cstheme="majorBidi"/>
              </w:rPr>
            </w:pPr>
            <w:r w:rsidRPr="00FA6F79">
              <w:rPr>
                <w:rFonts w:asciiTheme="majorBidi" w:hAnsiTheme="majorBidi" w:cstheme="majorBidi"/>
              </w:rPr>
              <w:t>3,635</w:t>
            </w:r>
          </w:p>
        </w:tc>
        <w:tc>
          <w:tcPr>
            <w:tcW w:w="0" w:type="auto"/>
            <w:hideMark/>
          </w:tcPr>
          <w:p w14:paraId="215D1256" w14:textId="77777777" w:rsidR="00DB3940" w:rsidRPr="00FA6F79" w:rsidRDefault="00DB3940" w:rsidP="001B3AF4">
            <w:pPr>
              <w:rPr>
                <w:rFonts w:asciiTheme="majorBidi" w:hAnsiTheme="majorBidi" w:cstheme="majorBidi"/>
              </w:rPr>
            </w:pPr>
            <w:r w:rsidRPr="00FA6F79">
              <w:rPr>
                <w:rFonts w:asciiTheme="majorBidi" w:hAnsiTheme="majorBidi" w:cstheme="majorBidi"/>
              </w:rPr>
              <w:t>2,189</w:t>
            </w:r>
          </w:p>
        </w:tc>
        <w:tc>
          <w:tcPr>
            <w:tcW w:w="0" w:type="auto"/>
            <w:hideMark/>
          </w:tcPr>
          <w:p w14:paraId="0A952FEF" w14:textId="77777777" w:rsidR="00DB3940" w:rsidRPr="00FA6F79" w:rsidRDefault="00DB3940" w:rsidP="001B3AF4">
            <w:pPr>
              <w:rPr>
                <w:rFonts w:asciiTheme="majorBidi" w:hAnsiTheme="majorBidi" w:cstheme="majorBidi"/>
              </w:rPr>
            </w:pPr>
            <w:r w:rsidRPr="00FA6F79">
              <w:rPr>
                <w:rFonts w:asciiTheme="majorBidi" w:hAnsiTheme="majorBidi" w:cstheme="majorBidi"/>
              </w:rPr>
              <w:t>2.12</w:t>
            </w:r>
          </w:p>
        </w:tc>
        <w:tc>
          <w:tcPr>
            <w:tcW w:w="0" w:type="auto"/>
            <w:hideMark/>
          </w:tcPr>
          <w:p w14:paraId="185C8A44"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4CD3F28D" w14:textId="77777777" w:rsidTr="00D35BCE">
        <w:tc>
          <w:tcPr>
            <w:tcW w:w="0" w:type="auto"/>
            <w:hideMark/>
          </w:tcPr>
          <w:p w14:paraId="41D2385B" w14:textId="77777777" w:rsidR="00DB3940" w:rsidRPr="00FA6F79" w:rsidRDefault="00DB3940" w:rsidP="001B3AF4">
            <w:pPr>
              <w:rPr>
                <w:rFonts w:asciiTheme="majorBidi" w:hAnsiTheme="majorBidi" w:cstheme="majorBidi"/>
              </w:rPr>
            </w:pPr>
            <w:r w:rsidRPr="00FA6F79">
              <w:rPr>
                <w:rFonts w:asciiTheme="majorBidi" w:hAnsiTheme="majorBidi" w:cstheme="majorBidi"/>
              </w:rPr>
              <w:t>– Sterilization Costs</w:t>
            </w:r>
          </w:p>
        </w:tc>
        <w:tc>
          <w:tcPr>
            <w:tcW w:w="0" w:type="auto"/>
            <w:hideMark/>
          </w:tcPr>
          <w:p w14:paraId="38C8D4D3" w14:textId="77777777" w:rsidR="00DB3940" w:rsidRPr="00FA6F79" w:rsidRDefault="00DB3940" w:rsidP="001B3AF4">
            <w:pPr>
              <w:rPr>
                <w:rFonts w:asciiTheme="majorBidi" w:hAnsiTheme="majorBidi" w:cstheme="majorBidi"/>
              </w:rPr>
            </w:pPr>
            <w:r w:rsidRPr="00FA6F79">
              <w:rPr>
                <w:rFonts w:asciiTheme="majorBidi" w:hAnsiTheme="majorBidi" w:cstheme="majorBidi"/>
              </w:rPr>
              <w:t>640</w:t>
            </w:r>
          </w:p>
        </w:tc>
        <w:tc>
          <w:tcPr>
            <w:tcW w:w="0" w:type="auto"/>
            <w:hideMark/>
          </w:tcPr>
          <w:p w14:paraId="0B996D5C" w14:textId="77777777" w:rsidR="00DB3940" w:rsidRPr="00FA6F79" w:rsidRDefault="00DB3940" w:rsidP="001B3AF4">
            <w:pPr>
              <w:rPr>
                <w:rFonts w:asciiTheme="majorBidi" w:hAnsiTheme="majorBidi" w:cstheme="majorBidi"/>
              </w:rPr>
            </w:pPr>
            <w:r w:rsidRPr="00FA6F79">
              <w:rPr>
                <w:rFonts w:asciiTheme="majorBidi" w:hAnsiTheme="majorBidi" w:cstheme="majorBidi"/>
              </w:rPr>
              <w:t>6,400</w:t>
            </w:r>
          </w:p>
        </w:tc>
        <w:tc>
          <w:tcPr>
            <w:tcW w:w="0" w:type="auto"/>
            <w:hideMark/>
          </w:tcPr>
          <w:p w14:paraId="18051992" w14:textId="77777777" w:rsidR="00DB3940" w:rsidRPr="00FA6F79" w:rsidRDefault="00DB3940" w:rsidP="001B3AF4">
            <w:pPr>
              <w:rPr>
                <w:rFonts w:asciiTheme="majorBidi" w:hAnsiTheme="majorBidi" w:cstheme="majorBidi"/>
              </w:rPr>
            </w:pPr>
            <w:r w:rsidRPr="00FA6F79">
              <w:rPr>
                <w:rFonts w:asciiTheme="majorBidi" w:hAnsiTheme="majorBidi" w:cstheme="majorBidi"/>
              </w:rPr>
              <w:t>3,099</w:t>
            </w:r>
          </w:p>
        </w:tc>
        <w:tc>
          <w:tcPr>
            <w:tcW w:w="0" w:type="auto"/>
            <w:hideMark/>
          </w:tcPr>
          <w:p w14:paraId="16B2C3E4" w14:textId="77777777" w:rsidR="00DB3940" w:rsidRPr="00FA6F79" w:rsidRDefault="00DB3940" w:rsidP="001B3AF4">
            <w:pPr>
              <w:rPr>
                <w:rFonts w:asciiTheme="majorBidi" w:hAnsiTheme="majorBidi" w:cstheme="majorBidi"/>
              </w:rPr>
            </w:pPr>
            <w:r w:rsidRPr="00FA6F79">
              <w:rPr>
                <w:rFonts w:asciiTheme="majorBidi" w:hAnsiTheme="majorBidi" w:cstheme="majorBidi"/>
              </w:rPr>
              <w:t>1,344</w:t>
            </w:r>
          </w:p>
        </w:tc>
        <w:tc>
          <w:tcPr>
            <w:tcW w:w="0" w:type="auto"/>
            <w:hideMark/>
          </w:tcPr>
          <w:p w14:paraId="6311D11A" w14:textId="77777777" w:rsidR="00DB3940" w:rsidRPr="00FA6F79" w:rsidRDefault="00DB3940" w:rsidP="001B3AF4">
            <w:pPr>
              <w:rPr>
                <w:rFonts w:asciiTheme="majorBidi" w:hAnsiTheme="majorBidi" w:cstheme="majorBidi"/>
              </w:rPr>
            </w:pPr>
            <w:r w:rsidRPr="00FA6F79">
              <w:rPr>
                <w:rFonts w:asciiTheme="majorBidi" w:hAnsiTheme="majorBidi" w:cstheme="majorBidi"/>
              </w:rPr>
              <w:t>1.81</w:t>
            </w:r>
          </w:p>
        </w:tc>
        <w:tc>
          <w:tcPr>
            <w:tcW w:w="0" w:type="auto"/>
            <w:hideMark/>
          </w:tcPr>
          <w:p w14:paraId="3D8FB307"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04CC9ED1" w14:textId="77777777" w:rsidTr="00D35BCE">
        <w:tc>
          <w:tcPr>
            <w:tcW w:w="0" w:type="auto"/>
            <w:hideMark/>
          </w:tcPr>
          <w:p w14:paraId="7A0CF159" w14:textId="77777777" w:rsidR="00DB3940" w:rsidRPr="00FA6F79" w:rsidRDefault="00DB3940" w:rsidP="001B3AF4">
            <w:pPr>
              <w:rPr>
                <w:rFonts w:asciiTheme="majorBidi" w:hAnsiTheme="majorBidi" w:cstheme="majorBidi"/>
              </w:rPr>
            </w:pPr>
            <w:r w:rsidRPr="00FA6F79">
              <w:rPr>
                <w:rFonts w:asciiTheme="majorBidi" w:hAnsiTheme="majorBidi" w:cstheme="majorBidi"/>
              </w:rPr>
              <w:t>– Maintenance Costs</w:t>
            </w:r>
          </w:p>
        </w:tc>
        <w:tc>
          <w:tcPr>
            <w:tcW w:w="0" w:type="auto"/>
            <w:hideMark/>
          </w:tcPr>
          <w:p w14:paraId="5D93D346" w14:textId="77777777" w:rsidR="00DB3940" w:rsidRPr="00FA6F79" w:rsidRDefault="00DB3940" w:rsidP="001B3AF4">
            <w:pPr>
              <w:rPr>
                <w:rFonts w:asciiTheme="majorBidi" w:hAnsiTheme="majorBidi" w:cstheme="majorBidi"/>
              </w:rPr>
            </w:pPr>
            <w:r w:rsidRPr="00FA6F79">
              <w:rPr>
                <w:rFonts w:asciiTheme="majorBidi" w:hAnsiTheme="majorBidi" w:cstheme="majorBidi"/>
              </w:rPr>
              <w:t>2,400</w:t>
            </w:r>
          </w:p>
        </w:tc>
        <w:tc>
          <w:tcPr>
            <w:tcW w:w="0" w:type="auto"/>
            <w:hideMark/>
          </w:tcPr>
          <w:p w14:paraId="0B1D0CA9" w14:textId="77777777" w:rsidR="00DB3940" w:rsidRPr="00FA6F79" w:rsidRDefault="00DB3940" w:rsidP="001B3AF4">
            <w:pPr>
              <w:rPr>
                <w:rFonts w:asciiTheme="majorBidi" w:hAnsiTheme="majorBidi" w:cstheme="majorBidi"/>
              </w:rPr>
            </w:pPr>
            <w:r w:rsidRPr="00FA6F79">
              <w:rPr>
                <w:rFonts w:asciiTheme="majorBidi" w:hAnsiTheme="majorBidi" w:cstheme="majorBidi"/>
              </w:rPr>
              <w:t>18,667</w:t>
            </w:r>
          </w:p>
        </w:tc>
        <w:tc>
          <w:tcPr>
            <w:tcW w:w="0" w:type="auto"/>
            <w:hideMark/>
          </w:tcPr>
          <w:p w14:paraId="747B55E8" w14:textId="77777777" w:rsidR="00DB3940" w:rsidRPr="00FA6F79" w:rsidRDefault="00DB3940" w:rsidP="001B3AF4">
            <w:pPr>
              <w:rPr>
                <w:rFonts w:asciiTheme="majorBidi" w:hAnsiTheme="majorBidi" w:cstheme="majorBidi"/>
              </w:rPr>
            </w:pPr>
            <w:r w:rsidRPr="00FA6F79">
              <w:rPr>
                <w:rFonts w:asciiTheme="majorBidi" w:hAnsiTheme="majorBidi" w:cstheme="majorBidi"/>
              </w:rPr>
              <w:t>7,787</w:t>
            </w:r>
          </w:p>
        </w:tc>
        <w:tc>
          <w:tcPr>
            <w:tcW w:w="0" w:type="auto"/>
            <w:hideMark/>
          </w:tcPr>
          <w:p w14:paraId="3A9B8D0F" w14:textId="77777777" w:rsidR="00DB3940" w:rsidRPr="00FA6F79" w:rsidRDefault="00DB3940" w:rsidP="001B3AF4">
            <w:pPr>
              <w:rPr>
                <w:rFonts w:asciiTheme="majorBidi" w:hAnsiTheme="majorBidi" w:cstheme="majorBidi"/>
              </w:rPr>
            </w:pPr>
            <w:r w:rsidRPr="00FA6F79">
              <w:rPr>
                <w:rFonts w:asciiTheme="majorBidi" w:hAnsiTheme="majorBidi" w:cstheme="majorBidi"/>
              </w:rPr>
              <w:t>3,515</w:t>
            </w:r>
          </w:p>
        </w:tc>
        <w:tc>
          <w:tcPr>
            <w:tcW w:w="0" w:type="auto"/>
            <w:hideMark/>
          </w:tcPr>
          <w:p w14:paraId="7C7F41F3" w14:textId="77777777" w:rsidR="00DB3940" w:rsidRPr="00FA6F79" w:rsidRDefault="00DB3940" w:rsidP="001B3AF4">
            <w:pPr>
              <w:rPr>
                <w:rFonts w:asciiTheme="majorBidi" w:hAnsiTheme="majorBidi" w:cstheme="majorBidi"/>
              </w:rPr>
            </w:pPr>
            <w:r w:rsidRPr="00FA6F79">
              <w:rPr>
                <w:rFonts w:asciiTheme="majorBidi" w:hAnsiTheme="majorBidi" w:cstheme="majorBidi"/>
              </w:rPr>
              <w:t>0.38</w:t>
            </w:r>
          </w:p>
        </w:tc>
        <w:tc>
          <w:tcPr>
            <w:tcW w:w="0" w:type="auto"/>
            <w:hideMark/>
          </w:tcPr>
          <w:p w14:paraId="39120EC0"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28315DCC" w14:textId="77777777" w:rsidTr="00D35BCE">
        <w:tc>
          <w:tcPr>
            <w:tcW w:w="0" w:type="auto"/>
            <w:hideMark/>
          </w:tcPr>
          <w:p w14:paraId="38F55AD8" w14:textId="77777777" w:rsidR="00DB3940" w:rsidRPr="00FA6F79" w:rsidRDefault="00DB3940" w:rsidP="001B3AF4">
            <w:pPr>
              <w:rPr>
                <w:rFonts w:asciiTheme="majorBidi" w:hAnsiTheme="majorBidi" w:cstheme="majorBidi"/>
              </w:rPr>
            </w:pPr>
            <w:r w:rsidRPr="00FA6F79">
              <w:rPr>
                <w:rFonts w:asciiTheme="majorBidi" w:hAnsiTheme="majorBidi" w:cstheme="majorBidi"/>
              </w:rPr>
              <w:t>Total Variable Costs</w:t>
            </w:r>
          </w:p>
        </w:tc>
        <w:tc>
          <w:tcPr>
            <w:tcW w:w="0" w:type="auto"/>
            <w:hideMark/>
          </w:tcPr>
          <w:p w14:paraId="37AADCAC" w14:textId="77777777" w:rsidR="00DB3940" w:rsidRPr="00FA6F79" w:rsidRDefault="00DB3940" w:rsidP="001B3AF4">
            <w:pPr>
              <w:rPr>
                <w:rFonts w:asciiTheme="majorBidi" w:hAnsiTheme="majorBidi" w:cstheme="majorBidi"/>
              </w:rPr>
            </w:pPr>
            <w:r w:rsidRPr="00FA6F79">
              <w:rPr>
                <w:rFonts w:asciiTheme="majorBidi" w:hAnsiTheme="majorBidi" w:cstheme="majorBidi"/>
              </w:rPr>
              <w:t>47,520</w:t>
            </w:r>
          </w:p>
        </w:tc>
        <w:tc>
          <w:tcPr>
            <w:tcW w:w="0" w:type="auto"/>
            <w:hideMark/>
          </w:tcPr>
          <w:p w14:paraId="30E081E9" w14:textId="77777777" w:rsidR="00DB3940" w:rsidRPr="00FA6F79" w:rsidRDefault="00DB3940" w:rsidP="001B3AF4">
            <w:pPr>
              <w:rPr>
                <w:rFonts w:asciiTheme="majorBidi" w:hAnsiTheme="majorBidi" w:cstheme="majorBidi"/>
              </w:rPr>
            </w:pPr>
            <w:r w:rsidRPr="00FA6F79">
              <w:rPr>
                <w:rFonts w:asciiTheme="majorBidi" w:hAnsiTheme="majorBidi" w:cstheme="majorBidi"/>
              </w:rPr>
              <w:t>447,467</w:t>
            </w:r>
          </w:p>
        </w:tc>
        <w:tc>
          <w:tcPr>
            <w:tcW w:w="0" w:type="auto"/>
            <w:hideMark/>
          </w:tcPr>
          <w:p w14:paraId="2FE48FCD" w14:textId="77777777" w:rsidR="00DB3940" w:rsidRPr="00FA6F79" w:rsidRDefault="00DB3940" w:rsidP="001B3AF4">
            <w:pPr>
              <w:rPr>
                <w:rFonts w:asciiTheme="majorBidi" w:hAnsiTheme="majorBidi" w:cstheme="majorBidi"/>
              </w:rPr>
            </w:pPr>
            <w:r w:rsidRPr="00FA6F79">
              <w:rPr>
                <w:rFonts w:asciiTheme="majorBidi" w:hAnsiTheme="majorBidi" w:cstheme="majorBidi"/>
              </w:rPr>
              <w:t>178,414</w:t>
            </w:r>
          </w:p>
        </w:tc>
        <w:tc>
          <w:tcPr>
            <w:tcW w:w="0" w:type="auto"/>
            <w:hideMark/>
          </w:tcPr>
          <w:p w14:paraId="6E6D823D" w14:textId="77777777" w:rsidR="00DB3940" w:rsidRPr="00FA6F79" w:rsidRDefault="00DB3940" w:rsidP="001B3AF4">
            <w:pPr>
              <w:rPr>
                <w:rFonts w:asciiTheme="majorBidi" w:hAnsiTheme="majorBidi" w:cstheme="majorBidi"/>
              </w:rPr>
            </w:pPr>
            <w:r w:rsidRPr="00FA6F79">
              <w:rPr>
                <w:rFonts w:asciiTheme="majorBidi" w:hAnsiTheme="majorBidi" w:cstheme="majorBidi"/>
              </w:rPr>
              <w:t>116,406</w:t>
            </w:r>
          </w:p>
        </w:tc>
        <w:tc>
          <w:tcPr>
            <w:tcW w:w="0" w:type="auto"/>
            <w:hideMark/>
          </w:tcPr>
          <w:p w14:paraId="7A2A4509" w14:textId="77777777" w:rsidR="00DB3940" w:rsidRPr="00FA6F79" w:rsidRDefault="00DB3940" w:rsidP="001B3AF4">
            <w:pPr>
              <w:rPr>
                <w:rFonts w:asciiTheme="majorBidi" w:hAnsiTheme="majorBidi" w:cstheme="majorBidi"/>
              </w:rPr>
            </w:pPr>
            <w:r w:rsidRPr="00FA6F79">
              <w:rPr>
                <w:rFonts w:asciiTheme="majorBidi" w:hAnsiTheme="majorBidi" w:cstheme="majorBidi"/>
              </w:rPr>
              <w:t>100.0</w:t>
            </w:r>
          </w:p>
        </w:tc>
        <w:tc>
          <w:tcPr>
            <w:tcW w:w="0" w:type="auto"/>
            <w:hideMark/>
          </w:tcPr>
          <w:p w14:paraId="42A7533F"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r>
      <w:tr w:rsidR="00DB3940" w:rsidRPr="00FA6F79" w14:paraId="2C3B742E" w14:textId="77777777" w:rsidTr="00D35BCE">
        <w:tc>
          <w:tcPr>
            <w:tcW w:w="0" w:type="auto"/>
            <w:hideMark/>
          </w:tcPr>
          <w:p w14:paraId="08E820A6" w14:textId="77777777" w:rsidR="00DB3940" w:rsidRPr="00FA6F79" w:rsidRDefault="00DB3940" w:rsidP="001B3AF4">
            <w:pPr>
              <w:rPr>
                <w:rFonts w:asciiTheme="majorBidi" w:hAnsiTheme="majorBidi" w:cstheme="majorBidi"/>
              </w:rPr>
            </w:pPr>
            <w:r w:rsidRPr="00FA6F79">
              <w:rPr>
                <w:rFonts w:asciiTheme="majorBidi" w:hAnsiTheme="majorBidi" w:cstheme="majorBidi"/>
              </w:rPr>
              <w:t>Monthly Financials</w:t>
            </w:r>
          </w:p>
        </w:tc>
        <w:tc>
          <w:tcPr>
            <w:tcW w:w="0" w:type="auto"/>
            <w:hideMark/>
          </w:tcPr>
          <w:p w14:paraId="4C3922FF" w14:textId="77777777" w:rsidR="00DB3940" w:rsidRPr="00FA6F79" w:rsidRDefault="00DB3940" w:rsidP="001B3AF4">
            <w:pPr>
              <w:rPr>
                <w:rFonts w:asciiTheme="majorBidi" w:hAnsiTheme="majorBidi" w:cstheme="majorBidi"/>
              </w:rPr>
            </w:pPr>
          </w:p>
        </w:tc>
        <w:tc>
          <w:tcPr>
            <w:tcW w:w="0" w:type="auto"/>
            <w:hideMark/>
          </w:tcPr>
          <w:p w14:paraId="47006E4C" w14:textId="77777777" w:rsidR="00DB3940" w:rsidRPr="00FA6F79" w:rsidRDefault="00DB3940" w:rsidP="001B3AF4">
            <w:pPr>
              <w:rPr>
                <w:rFonts w:asciiTheme="majorBidi" w:hAnsiTheme="majorBidi" w:cstheme="majorBidi"/>
              </w:rPr>
            </w:pPr>
          </w:p>
        </w:tc>
        <w:tc>
          <w:tcPr>
            <w:tcW w:w="0" w:type="auto"/>
            <w:hideMark/>
          </w:tcPr>
          <w:p w14:paraId="76943565" w14:textId="77777777" w:rsidR="00DB3940" w:rsidRPr="00FA6F79" w:rsidRDefault="00DB3940" w:rsidP="001B3AF4">
            <w:pPr>
              <w:rPr>
                <w:rFonts w:asciiTheme="majorBidi" w:hAnsiTheme="majorBidi" w:cstheme="majorBidi"/>
              </w:rPr>
            </w:pPr>
          </w:p>
        </w:tc>
        <w:tc>
          <w:tcPr>
            <w:tcW w:w="0" w:type="auto"/>
            <w:hideMark/>
          </w:tcPr>
          <w:p w14:paraId="2ED15117" w14:textId="77777777" w:rsidR="00DB3940" w:rsidRPr="00FA6F79" w:rsidRDefault="00DB3940" w:rsidP="001B3AF4">
            <w:pPr>
              <w:rPr>
                <w:rFonts w:asciiTheme="majorBidi" w:hAnsiTheme="majorBidi" w:cstheme="majorBidi"/>
              </w:rPr>
            </w:pPr>
          </w:p>
        </w:tc>
        <w:tc>
          <w:tcPr>
            <w:tcW w:w="0" w:type="auto"/>
            <w:hideMark/>
          </w:tcPr>
          <w:p w14:paraId="2F209A53" w14:textId="77777777" w:rsidR="00DB3940" w:rsidRPr="00FA6F79" w:rsidRDefault="00DB3940" w:rsidP="001B3AF4">
            <w:pPr>
              <w:rPr>
                <w:rFonts w:asciiTheme="majorBidi" w:hAnsiTheme="majorBidi" w:cstheme="majorBidi"/>
              </w:rPr>
            </w:pPr>
          </w:p>
        </w:tc>
        <w:tc>
          <w:tcPr>
            <w:tcW w:w="0" w:type="auto"/>
            <w:hideMark/>
          </w:tcPr>
          <w:p w14:paraId="10CD3A1F" w14:textId="77777777" w:rsidR="00DB3940" w:rsidRPr="00FA6F79" w:rsidRDefault="00DB3940" w:rsidP="001B3AF4">
            <w:pPr>
              <w:rPr>
                <w:rFonts w:asciiTheme="majorBidi" w:hAnsiTheme="majorBidi" w:cstheme="majorBidi"/>
              </w:rPr>
            </w:pPr>
          </w:p>
        </w:tc>
      </w:tr>
      <w:tr w:rsidR="00DB3940" w:rsidRPr="00FA6F79" w14:paraId="264CBACC" w14:textId="77777777" w:rsidTr="00D35BCE">
        <w:tc>
          <w:tcPr>
            <w:tcW w:w="0" w:type="auto"/>
            <w:hideMark/>
          </w:tcPr>
          <w:p w14:paraId="7FE4D609" w14:textId="77777777" w:rsidR="00DB3940" w:rsidRPr="00FA6F79" w:rsidRDefault="00DB3940" w:rsidP="001B3AF4">
            <w:pPr>
              <w:rPr>
                <w:rFonts w:asciiTheme="majorBidi" w:hAnsiTheme="majorBidi" w:cstheme="majorBidi"/>
              </w:rPr>
            </w:pPr>
            <w:r w:rsidRPr="00FA6F79">
              <w:rPr>
                <w:rFonts w:asciiTheme="majorBidi" w:hAnsiTheme="majorBidi" w:cstheme="majorBidi"/>
              </w:rPr>
              <w:t>– Total Costs</w:t>
            </w:r>
          </w:p>
        </w:tc>
        <w:tc>
          <w:tcPr>
            <w:tcW w:w="0" w:type="auto"/>
            <w:hideMark/>
          </w:tcPr>
          <w:p w14:paraId="08F4027F"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141072EB"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56155E5D" w14:textId="77777777" w:rsidR="00DB3940" w:rsidRPr="00FA6F79" w:rsidRDefault="00DB3940" w:rsidP="001B3AF4">
            <w:pPr>
              <w:rPr>
                <w:rFonts w:asciiTheme="majorBidi" w:hAnsiTheme="majorBidi" w:cstheme="majorBidi"/>
              </w:rPr>
            </w:pPr>
            <w:r w:rsidRPr="00FA6F79">
              <w:rPr>
                <w:rFonts w:asciiTheme="majorBidi" w:hAnsiTheme="majorBidi" w:cstheme="majorBidi"/>
              </w:rPr>
              <w:t>17,197</w:t>
            </w:r>
          </w:p>
        </w:tc>
        <w:tc>
          <w:tcPr>
            <w:tcW w:w="0" w:type="auto"/>
            <w:hideMark/>
          </w:tcPr>
          <w:p w14:paraId="0CD1EA15"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6C0DE85D" w14:textId="77777777" w:rsidR="00DB3940" w:rsidRPr="00FA6F79" w:rsidRDefault="00DB3940" w:rsidP="001B3AF4">
            <w:pPr>
              <w:rPr>
                <w:rFonts w:asciiTheme="majorBidi" w:hAnsiTheme="majorBidi" w:cstheme="majorBidi"/>
              </w:rPr>
            </w:pPr>
            <w:r w:rsidRPr="00FA6F79">
              <w:rPr>
                <w:rFonts w:asciiTheme="majorBidi" w:hAnsiTheme="majorBidi" w:cstheme="majorBidi"/>
              </w:rPr>
              <w:t>100.0</w:t>
            </w:r>
          </w:p>
        </w:tc>
        <w:tc>
          <w:tcPr>
            <w:tcW w:w="0" w:type="auto"/>
            <w:hideMark/>
          </w:tcPr>
          <w:p w14:paraId="6C983596" w14:textId="77777777" w:rsidR="00DB3940" w:rsidRPr="00FA6F79" w:rsidRDefault="00DB3940" w:rsidP="001B3AF4">
            <w:pPr>
              <w:rPr>
                <w:rFonts w:asciiTheme="majorBidi" w:hAnsiTheme="majorBidi" w:cstheme="majorBidi"/>
              </w:rPr>
            </w:pPr>
            <w:r w:rsidRPr="00FA6F79">
              <w:rPr>
                <w:rFonts w:asciiTheme="majorBidi" w:hAnsiTheme="majorBidi" w:cstheme="majorBidi"/>
              </w:rPr>
              <w:t>1,228</w:t>
            </w:r>
          </w:p>
        </w:tc>
      </w:tr>
      <w:tr w:rsidR="00DB3940" w:rsidRPr="00FA6F79" w14:paraId="2688509C" w14:textId="77777777" w:rsidTr="00D35BCE">
        <w:tc>
          <w:tcPr>
            <w:tcW w:w="0" w:type="auto"/>
            <w:hideMark/>
          </w:tcPr>
          <w:p w14:paraId="68A6EEF6" w14:textId="77777777" w:rsidR="00DB3940" w:rsidRPr="00FA6F79" w:rsidRDefault="00DB3940" w:rsidP="001B3AF4">
            <w:pPr>
              <w:rPr>
                <w:rFonts w:asciiTheme="majorBidi" w:hAnsiTheme="majorBidi" w:cstheme="majorBidi"/>
              </w:rPr>
            </w:pPr>
            <w:r w:rsidRPr="00FA6F79">
              <w:rPr>
                <w:rFonts w:asciiTheme="majorBidi" w:hAnsiTheme="majorBidi" w:cstheme="majorBidi"/>
              </w:rPr>
              <w:t>– Total Revenue</w:t>
            </w:r>
          </w:p>
        </w:tc>
        <w:tc>
          <w:tcPr>
            <w:tcW w:w="0" w:type="auto"/>
            <w:hideMark/>
          </w:tcPr>
          <w:p w14:paraId="672A3ED0"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5AB89D88"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778060CA" w14:textId="77777777" w:rsidR="00DB3940" w:rsidRPr="00FA6F79" w:rsidRDefault="00DB3940" w:rsidP="001B3AF4">
            <w:pPr>
              <w:rPr>
                <w:rFonts w:asciiTheme="majorBidi" w:hAnsiTheme="majorBidi" w:cstheme="majorBidi"/>
              </w:rPr>
            </w:pPr>
            <w:r w:rsidRPr="00FA6F79">
              <w:rPr>
                <w:rFonts w:asciiTheme="majorBidi" w:hAnsiTheme="majorBidi" w:cstheme="majorBidi"/>
              </w:rPr>
              <w:t>68,933</w:t>
            </w:r>
          </w:p>
        </w:tc>
        <w:tc>
          <w:tcPr>
            <w:tcW w:w="0" w:type="auto"/>
            <w:hideMark/>
          </w:tcPr>
          <w:p w14:paraId="130E254A"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20B93DC2" w14:textId="77777777" w:rsidR="00DB3940" w:rsidRPr="00FA6F79" w:rsidRDefault="00DB3940" w:rsidP="001B3AF4">
            <w:pPr>
              <w:rPr>
                <w:rFonts w:asciiTheme="majorBidi" w:hAnsiTheme="majorBidi" w:cstheme="majorBidi"/>
              </w:rPr>
            </w:pPr>
            <w:r w:rsidRPr="00FA6F79">
              <w:rPr>
                <w:rFonts w:asciiTheme="majorBidi" w:hAnsiTheme="majorBidi" w:cstheme="majorBidi"/>
              </w:rPr>
              <w:t>N.A.</w:t>
            </w:r>
          </w:p>
        </w:tc>
        <w:tc>
          <w:tcPr>
            <w:tcW w:w="0" w:type="auto"/>
            <w:hideMark/>
          </w:tcPr>
          <w:p w14:paraId="7D8305F4" w14:textId="77777777" w:rsidR="00DB3940" w:rsidRPr="00FA6F79" w:rsidRDefault="00DB3940" w:rsidP="001B3AF4">
            <w:pPr>
              <w:rPr>
                <w:rFonts w:asciiTheme="majorBidi" w:hAnsiTheme="majorBidi" w:cstheme="majorBidi"/>
              </w:rPr>
            </w:pPr>
            <w:r w:rsidRPr="00FA6F79">
              <w:rPr>
                <w:rFonts w:asciiTheme="majorBidi" w:hAnsiTheme="majorBidi" w:cstheme="majorBidi"/>
              </w:rPr>
              <w:t>4,922</w:t>
            </w:r>
          </w:p>
        </w:tc>
      </w:tr>
      <w:tr w:rsidR="00DB3940" w:rsidRPr="00FA6F79" w14:paraId="333D6FD8" w14:textId="77777777" w:rsidTr="00D35BCE">
        <w:tc>
          <w:tcPr>
            <w:tcW w:w="0" w:type="auto"/>
            <w:hideMark/>
          </w:tcPr>
          <w:p w14:paraId="56894AF6" w14:textId="77777777" w:rsidR="00DB3940" w:rsidRPr="00FA6F79" w:rsidRDefault="00DB3940" w:rsidP="001B3AF4">
            <w:pPr>
              <w:rPr>
                <w:rFonts w:asciiTheme="majorBidi" w:hAnsiTheme="majorBidi" w:cstheme="majorBidi"/>
              </w:rPr>
            </w:pPr>
            <w:r w:rsidRPr="00FA6F79">
              <w:rPr>
                <w:rFonts w:asciiTheme="majorBidi" w:hAnsiTheme="majorBidi" w:cstheme="majorBidi"/>
              </w:rPr>
              <w:t>– Net Return</w:t>
            </w:r>
          </w:p>
        </w:tc>
        <w:tc>
          <w:tcPr>
            <w:tcW w:w="0" w:type="auto"/>
            <w:hideMark/>
          </w:tcPr>
          <w:p w14:paraId="6C0D947C"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60064012"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6AD4E973" w14:textId="77777777" w:rsidR="00DB3940" w:rsidRPr="00FA6F79" w:rsidRDefault="00DB3940" w:rsidP="001B3AF4">
            <w:pPr>
              <w:rPr>
                <w:rFonts w:asciiTheme="majorBidi" w:hAnsiTheme="majorBidi" w:cstheme="majorBidi"/>
              </w:rPr>
            </w:pPr>
            <w:r w:rsidRPr="00FA6F79">
              <w:rPr>
                <w:rFonts w:asciiTheme="majorBidi" w:hAnsiTheme="majorBidi" w:cstheme="majorBidi"/>
              </w:rPr>
              <w:t>51,733</w:t>
            </w:r>
          </w:p>
        </w:tc>
        <w:tc>
          <w:tcPr>
            <w:tcW w:w="0" w:type="auto"/>
            <w:hideMark/>
          </w:tcPr>
          <w:p w14:paraId="050CC4BC" w14:textId="77777777" w:rsidR="00DB3940" w:rsidRPr="00FA6F79" w:rsidRDefault="00DB3940" w:rsidP="001B3AF4">
            <w:pPr>
              <w:rPr>
                <w:rFonts w:asciiTheme="majorBidi" w:hAnsiTheme="majorBidi" w:cstheme="majorBidi"/>
              </w:rPr>
            </w:pPr>
            <w:r w:rsidRPr="00FA6F79">
              <w:rPr>
                <w:rFonts w:asciiTheme="majorBidi" w:hAnsiTheme="majorBidi" w:cstheme="majorBidi"/>
              </w:rPr>
              <w:t>–</w:t>
            </w:r>
          </w:p>
        </w:tc>
        <w:tc>
          <w:tcPr>
            <w:tcW w:w="0" w:type="auto"/>
            <w:hideMark/>
          </w:tcPr>
          <w:p w14:paraId="55E41FC3" w14:textId="77777777" w:rsidR="00DB3940" w:rsidRPr="00FA6F79" w:rsidRDefault="00DB3940" w:rsidP="001B3AF4">
            <w:pPr>
              <w:rPr>
                <w:rFonts w:asciiTheme="majorBidi" w:hAnsiTheme="majorBidi" w:cstheme="majorBidi"/>
              </w:rPr>
            </w:pPr>
            <w:r w:rsidRPr="00FA6F79">
              <w:rPr>
                <w:rFonts w:asciiTheme="majorBidi" w:hAnsiTheme="majorBidi" w:cstheme="majorBidi"/>
              </w:rPr>
              <w:t>N.A.</w:t>
            </w:r>
          </w:p>
        </w:tc>
        <w:tc>
          <w:tcPr>
            <w:tcW w:w="0" w:type="auto"/>
            <w:hideMark/>
          </w:tcPr>
          <w:p w14:paraId="2BA34FE9" w14:textId="77777777" w:rsidR="00DB3940" w:rsidRPr="00FA6F79" w:rsidRDefault="00DB3940" w:rsidP="001B3AF4">
            <w:pPr>
              <w:rPr>
                <w:rFonts w:asciiTheme="majorBidi" w:hAnsiTheme="majorBidi" w:cstheme="majorBidi"/>
              </w:rPr>
            </w:pPr>
            <w:r w:rsidRPr="00FA6F79">
              <w:rPr>
                <w:rFonts w:asciiTheme="majorBidi" w:hAnsiTheme="majorBidi" w:cstheme="majorBidi"/>
              </w:rPr>
              <w:t>3,696</w:t>
            </w:r>
          </w:p>
        </w:tc>
      </w:tr>
    </w:tbl>
    <w:p w14:paraId="75791336" w14:textId="4DDDEE59" w:rsidR="007F02DE" w:rsidRPr="00FA6F79" w:rsidRDefault="007F02DE" w:rsidP="001B3AF4">
      <w:pPr>
        <w:spacing w:line="240" w:lineRule="auto"/>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t>Source: Field study sample data.</w:t>
      </w:r>
      <w:r w:rsidR="00F62F34" w:rsidRPr="00FA6F79">
        <w:rPr>
          <w:rStyle w:val="Strong"/>
          <w:rFonts w:ascii="Times New Roman" w:eastAsia="Times New Roman" w:hAnsi="Times New Roman" w:cs="Times New Roman"/>
          <w:b w:val="0"/>
          <w:bCs w:val="0"/>
          <w:color w:val="000000" w:themeColor="text1"/>
          <w:kern w:val="0"/>
          <w:sz w:val="24"/>
          <w:szCs w:val="24"/>
          <w14:ligatures w14:val="none"/>
        </w:rPr>
        <w:t xml:space="preserve"> N</w:t>
      </w:r>
      <w:r w:rsidR="005A6CBD" w:rsidRPr="00FA6F79">
        <w:rPr>
          <w:rStyle w:val="Strong"/>
          <w:rFonts w:ascii="Times New Roman" w:eastAsia="Times New Roman" w:hAnsi="Times New Roman" w:cs="Times New Roman"/>
          <w:b w:val="0"/>
          <w:bCs w:val="0"/>
          <w:color w:val="000000" w:themeColor="text1"/>
          <w:kern w:val="0"/>
          <w:sz w:val="24"/>
          <w:szCs w:val="24"/>
          <w14:ligatures w14:val="none"/>
        </w:rPr>
        <w:t>.</w:t>
      </w:r>
      <w:r w:rsidR="00F62F34" w:rsidRPr="00FA6F79">
        <w:rPr>
          <w:rStyle w:val="Strong"/>
          <w:rFonts w:ascii="Times New Roman" w:eastAsia="Times New Roman" w:hAnsi="Times New Roman" w:cs="Times New Roman"/>
          <w:b w:val="0"/>
          <w:bCs w:val="0"/>
          <w:color w:val="000000" w:themeColor="text1"/>
          <w:kern w:val="0"/>
          <w:sz w:val="24"/>
          <w:szCs w:val="24"/>
          <w14:ligatures w14:val="none"/>
        </w:rPr>
        <w:t>A</w:t>
      </w:r>
      <w:r w:rsidR="005A6CBD" w:rsidRPr="00FA6F79">
        <w:rPr>
          <w:rStyle w:val="Strong"/>
          <w:rFonts w:ascii="Times New Roman" w:eastAsia="Times New Roman" w:hAnsi="Times New Roman" w:cs="Times New Roman"/>
          <w:b w:val="0"/>
          <w:bCs w:val="0"/>
          <w:color w:val="000000" w:themeColor="text1"/>
          <w:kern w:val="0"/>
          <w:sz w:val="24"/>
          <w:szCs w:val="24"/>
          <w14:ligatures w14:val="none"/>
        </w:rPr>
        <w:t>.</w:t>
      </w:r>
      <w:r w:rsidR="00F62F34" w:rsidRPr="00FA6F79">
        <w:rPr>
          <w:rStyle w:val="Strong"/>
          <w:rFonts w:ascii="Times New Roman" w:eastAsia="Times New Roman" w:hAnsi="Times New Roman" w:cs="Times New Roman"/>
          <w:b w:val="0"/>
          <w:bCs w:val="0"/>
          <w:color w:val="000000" w:themeColor="text1"/>
          <w:kern w:val="0"/>
          <w:sz w:val="24"/>
          <w:szCs w:val="24"/>
          <w14:ligatures w14:val="none"/>
        </w:rPr>
        <w:t xml:space="preserve">= Not Available </w:t>
      </w:r>
    </w:p>
    <w:bookmarkEnd w:id="1"/>
    <w:p w14:paraId="037D1076" w14:textId="77777777" w:rsidR="00FF1F94" w:rsidRPr="00332C8D" w:rsidRDefault="00FF1F94" w:rsidP="001B3AF4">
      <w:pPr>
        <w:spacing w:line="240" w:lineRule="auto"/>
        <w:rPr>
          <w:rStyle w:val="Strong"/>
          <w:rFonts w:ascii="Times New Roman" w:eastAsia="Times New Roman" w:hAnsi="Times New Roman" w:cs="Times New Roman"/>
          <w:i/>
          <w:iCs/>
          <w:color w:val="000000" w:themeColor="text1"/>
          <w:kern w:val="0"/>
          <w:sz w:val="20"/>
          <w:szCs w:val="20"/>
          <w14:ligatures w14:val="none"/>
        </w:rPr>
      </w:pPr>
      <w:r w:rsidRPr="00332C8D">
        <w:rPr>
          <w:rStyle w:val="Strong"/>
          <w:rFonts w:ascii="Times New Roman" w:eastAsia="Times New Roman" w:hAnsi="Times New Roman" w:cs="Times New Roman"/>
          <w:i/>
          <w:iCs/>
          <w:color w:val="000000" w:themeColor="text1"/>
          <w:kern w:val="0"/>
          <w:sz w:val="20"/>
          <w:szCs w:val="20"/>
          <w14:ligatures w14:val="none"/>
        </w:rPr>
        <w:br w:type="page"/>
      </w:r>
    </w:p>
    <w:p w14:paraId="40E2F23B" w14:textId="31D640B4" w:rsidR="007F02DE" w:rsidRPr="00FA6F79" w:rsidRDefault="007E7E5F" w:rsidP="00C736FC">
      <w:pPr>
        <w:spacing w:after="0" w:line="360" w:lineRule="auto"/>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lastRenderedPageBreak/>
        <w:t xml:space="preserve">3.3 </w:t>
      </w:r>
      <w:r w:rsidR="007F02DE" w:rsidRPr="00FA6F79">
        <w:rPr>
          <w:rStyle w:val="Strong"/>
          <w:rFonts w:ascii="Times New Roman" w:eastAsia="Times New Roman" w:hAnsi="Times New Roman" w:cs="Times New Roman"/>
          <w:b w:val="0"/>
          <w:bCs w:val="0"/>
          <w:color w:val="000000" w:themeColor="text1"/>
          <w:kern w:val="0"/>
          <w:sz w:val="24"/>
          <w:szCs w:val="24"/>
          <w14:ligatures w14:val="none"/>
        </w:rPr>
        <w:t>Factors Affecting the Operational Capacity of Cooling and Freezing Warehouses</w:t>
      </w:r>
    </w:p>
    <w:p w14:paraId="3FC3EA49" w14:textId="0B12FC4F" w:rsidR="00DB3940"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DB3940" w:rsidRPr="00FA6F79">
        <w:rPr>
          <w:rFonts w:ascii="Times New Roman" w:eastAsia="Times New Roman" w:hAnsi="Times New Roman" w:cs="Times New Roman"/>
          <w:kern w:val="0"/>
          <w:sz w:val="24"/>
          <w:szCs w:val="24"/>
          <w:lang w:val="en"/>
          <w14:ligatures w14:val="none"/>
        </w:rPr>
        <w:t xml:space="preserve">To identify the determinants of operational performance, a multiple linear regression model was estimated </w:t>
      </w:r>
      <w:proofErr w:type="gramStart"/>
      <w:r w:rsidR="00DB3940" w:rsidRPr="00FA6F79">
        <w:rPr>
          <w:rFonts w:ascii="Times New Roman" w:eastAsia="Times New Roman" w:hAnsi="Times New Roman" w:cs="Times New Roman"/>
          <w:kern w:val="0"/>
          <w:sz w:val="24"/>
          <w:szCs w:val="24"/>
          <w:lang w:val="en"/>
          <w14:ligatures w14:val="none"/>
        </w:rPr>
        <w:t>with</w:t>
      </w:r>
      <w:proofErr w:type="gramEnd"/>
      <w:r w:rsidR="00DB3940" w:rsidRPr="00FA6F79">
        <w:rPr>
          <w:rFonts w:ascii="Times New Roman" w:eastAsia="Times New Roman" w:hAnsi="Times New Roman" w:cs="Times New Roman"/>
          <w:kern w:val="0"/>
          <w:sz w:val="24"/>
          <w:szCs w:val="24"/>
          <w:lang w:val="en"/>
          <w14:ligatures w14:val="none"/>
        </w:rPr>
        <w:t xml:space="preserve"> operational capacity (measured in tons during the storage season) as the dependent variable. The explanatory variables included </w:t>
      </w:r>
      <w:r w:rsidR="00A37ABF" w:rsidRPr="00FA6F79">
        <w:rPr>
          <w:rFonts w:ascii="Times New Roman" w:eastAsia="Times New Roman" w:hAnsi="Times New Roman" w:cs="Times New Roman"/>
          <w:kern w:val="0"/>
          <w:sz w:val="24"/>
          <w:szCs w:val="24"/>
          <w:lang w:val="en"/>
          <w14:ligatures w14:val="none"/>
        </w:rPr>
        <w:t xml:space="preserve">the </w:t>
      </w:r>
      <w:r w:rsidR="00DB3940" w:rsidRPr="00FA6F79">
        <w:rPr>
          <w:rFonts w:ascii="Times New Roman" w:eastAsia="Times New Roman" w:hAnsi="Times New Roman" w:cs="Times New Roman"/>
          <w:kern w:val="0"/>
          <w:sz w:val="24"/>
          <w:szCs w:val="24"/>
          <w:lang w:val="en"/>
          <w14:ligatures w14:val="none"/>
        </w:rPr>
        <w:t>number of rooms (X₁), years of experience (X₂), workforce size (X₃), and two control dummies representing temperature control (d₁) and humidity control (d₂).</w:t>
      </w:r>
    </w:p>
    <w:p w14:paraId="59FFCBFC" w14:textId="72661F47" w:rsidR="00DB3940"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DB3940" w:rsidRPr="00FA6F79">
        <w:rPr>
          <w:rFonts w:ascii="Times New Roman" w:eastAsia="Times New Roman" w:hAnsi="Times New Roman" w:cs="Times New Roman"/>
          <w:kern w:val="0"/>
          <w:sz w:val="24"/>
          <w:szCs w:val="24"/>
          <w:lang w:val="en"/>
          <w14:ligatures w14:val="none"/>
        </w:rPr>
        <w:t>The model results (Table 4) show that it is statistically significant at the 1% level (F = 16.31, p &lt; 0.01), with an adjusted R² of 0.565. This indicates that the explanatory variables together account for approximately 56% of the observed variation in warehouse capacity. The number of rooms, years of operational experience, and workforce size all had positive and statistically significant effects, contributing 160.45, 58.34, and 158.52 tons, respectively, for each additional unit. These findings highlight the role of infrastructure, institutional learning, and human resources in enhancing cold chain efficiency. Similar observations were made by Jedermann et al. (2014), who emphasized that scaling infrastructure and improving labor coordination are critical for reducing food losses.</w:t>
      </w:r>
    </w:p>
    <w:p w14:paraId="454157BE" w14:textId="52CACE4E" w:rsidR="00DB3940"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DB3940" w:rsidRPr="00FA6F79">
        <w:rPr>
          <w:rFonts w:ascii="Times New Roman" w:eastAsia="Times New Roman" w:hAnsi="Times New Roman" w:cs="Times New Roman"/>
          <w:kern w:val="0"/>
          <w:sz w:val="24"/>
          <w:szCs w:val="24"/>
          <w:lang w:val="en"/>
          <w14:ligatures w14:val="none"/>
        </w:rPr>
        <w:t xml:space="preserve">In contrast, environmental control variables were not statistically significant. Temperature control (d₁) showed a positive but weak effect (+101.1 tons), while the absence of humidity control (d₂) reduced capacity by 301.74 tons. Although insignificant, these coefficients point toward the potential importance of environmental management. This is consistent with </w:t>
      </w:r>
      <w:proofErr w:type="spellStart"/>
      <w:r w:rsidR="00DB3940" w:rsidRPr="00FA6F79">
        <w:rPr>
          <w:rFonts w:ascii="Times New Roman" w:eastAsia="Times New Roman" w:hAnsi="Times New Roman" w:cs="Times New Roman"/>
          <w:kern w:val="0"/>
          <w:sz w:val="24"/>
          <w:szCs w:val="24"/>
          <w:lang w:val="en"/>
          <w14:ligatures w14:val="none"/>
        </w:rPr>
        <w:t>Alhamdan</w:t>
      </w:r>
      <w:proofErr w:type="spellEnd"/>
      <w:r w:rsidR="00DB3940" w:rsidRPr="00FA6F79">
        <w:rPr>
          <w:rFonts w:ascii="Times New Roman" w:eastAsia="Times New Roman" w:hAnsi="Times New Roman" w:cs="Times New Roman"/>
          <w:kern w:val="0"/>
          <w:sz w:val="24"/>
          <w:szCs w:val="24"/>
          <w:lang w:val="en"/>
          <w14:ligatures w14:val="none"/>
        </w:rPr>
        <w:t xml:space="preserve"> et al. (2018), who found that inadequate temperature and humidity regulation accelerates quality loss in stored dates, thereby indirectly limiting </w:t>
      </w:r>
      <w:r w:rsidR="00A37ABF" w:rsidRPr="00FA6F79">
        <w:rPr>
          <w:rFonts w:ascii="Times New Roman" w:eastAsia="Times New Roman" w:hAnsi="Times New Roman" w:cs="Times New Roman"/>
          <w:kern w:val="0"/>
          <w:sz w:val="24"/>
          <w:szCs w:val="24"/>
          <w:lang w:val="en"/>
          <w14:ligatures w14:val="none"/>
        </w:rPr>
        <w:t>adequate</w:t>
      </w:r>
      <w:r w:rsidR="00DB3940" w:rsidRPr="00FA6F79">
        <w:rPr>
          <w:rFonts w:ascii="Times New Roman" w:eastAsia="Times New Roman" w:hAnsi="Times New Roman" w:cs="Times New Roman"/>
          <w:kern w:val="0"/>
          <w:sz w:val="24"/>
          <w:szCs w:val="24"/>
          <w:lang w:val="en"/>
          <w14:ligatures w14:val="none"/>
        </w:rPr>
        <w:t xml:space="preserve"> storage capacity.</w:t>
      </w:r>
    </w:p>
    <w:p w14:paraId="60549F3C" w14:textId="495970F5" w:rsidR="00A364AD" w:rsidRPr="00FA6F79" w:rsidRDefault="00D35BCE" w:rsidP="00FA6F79">
      <w:pPr>
        <w:spacing w:after="0" w:line="360" w:lineRule="auto"/>
        <w:jc w:val="both"/>
        <w:rPr>
          <w:rStyle w:val="Strong"/>
          <w:rFonts w:ascii="Times New Roman" w:eastAsia="Times New Roman" w:hAnsi="Times New Roman" w:cs="Times New Roman"/>
          <w:b w:val="0"/>
          <w:bCs w:val="0"/>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DB3940" w:rsidRPr="00FA6F79">
        <w:rPr>
          <w:rFonts w:ascii="Times New Roman" w:eastAsia="Times New Roman" w:hAnsi="Times New Roman" w:cs="Times New Roman"/>
          <w:kern w:val="0"/>
          <w:sz w:val="24"/>
          <w:szCs w:val="24"/>
          <w:lang w:val="en"/>
          <w14:ligatures w14:val="none"/>
        </w:rPr>
        <w:t>Importantly, all VIF values were below the threshold of 10, confirming that multicollinearity was not an issue and that the estimated coefficients are robust. The Durbin–Watson statistic (2.03) further suggests no serial correlation in the residuals, enhancing the reliability of the model.</w:t>
      </w:r>
    </w:p>
    <w:p w14:paraId="7A3DB406" w14:textId="758F1270" w:rsidR="000F7C2E" w:rsidRPr="00FA6F79" w:rsidRDefault="000F7C2E" w:rsidP="001B3AF4">
      <w:pPr>
        <w:spacing w:after="0" w:line="240" w:lineRule="auto"/>
        <w:rPr>
          <w:rFonts w:ascii="Times New Roman" w:eastAsia="Times New Roman" w:hAnsi="Times New Roman" w:cs="Times New Roman"/>
          <w:kern w:val="0"/>
          <w:sz w:val="24"/>
          <w:szCs w:val="24"/>
          <w14:ligatures w14:val="none"/>
        </w:rPr>
      </w:pPr>
      <w:r w:rsidRPr="00FA6F79">
        <w:rPr>
          <w:rFonts w:ascii="Times New Roman" w:eastAsia="Times New Roman" w:hAnsi="Times New Roman" w:cs="Times New Roman"/>
          <w:b/>
          <w:bCs/>
          <w:kern w:val="0"/>
          <w:sz w:val="24"/>
          <w:szCs w:val="24"/>
          <w14:ligatures w14:val="none"/>
        </w:rPr>
        <w:t xml:space="preserve">Table </w:t>
      </w:r>
      <w:r w:rsidR="001D0B56" w:rsidRPr="00FA6F79">
        <w:rPr>
          <w:rFonts w:ascii="Times New Roman" w:eastAsia="Times New Roman" w:hAnsi="Times New Roman" w:cs="Times New Roman"/>
          <w:b/>
          <w:bCs/>
          <w:kern w:val="0"/>
          <w:sz w:val="24"/>
          <w:szCs w:val="24"/>
          <w14:ligatures w14:val="none"/>
        </w:rPr>
        <w:t>4</w:t>
      </w:r>
      <w:r w:rsidRPr="00FA6F79">
        <w:rPr>
          <w:rFonts w:ascii="Times New Roman" w:eastAsia="Times New Roman" w:hAnsi="Times New Roman" w:cs="Times New Roman"/>
          <w:b/>
          <w:bCs/>
          <w:kern w:val="0"/>
          <w:sz w:val="24"/>
          <w:szCs w:val="24"/>
          <w14:ligatures w14:val="none"/>
        </w:rPr>
        <w:t>.</w:t>
      </w:r>
      <w:r w:rsidRPr="00FA6F79">
        <w:rPr>
          <w:rFonts w:ascii="Times New Roman" w:eastAsia="Times New Roman" w:hAnsi="Times New Roman" w:cs="Times New Roman"/>
          <w:kern w:val="0"/>
          <w:sz w:val="24"/>
          <w:szCs w:val="24"/>
          <w14:ligatures w14:val="none"/>
        </w:rPr>
        <w:t xml:space="preserve"> Regression results for factors affecting operational capacity of refrigeration and freezing facilities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1531"/>
        <w:gridCol w:w="1471"/>
        <w:gridCol w:w="1380"/>
        <w:gridCol w:w="1181"/>
        <w:gridCol w:w="756"/>
      </w:tblGrid>
      <w:tr w:rsidR="000F7C2E" w:rsidRPr="00FA6F79" w14:paraId="40068FF7" w14:textId="77777777" w:rsidTr="00D35BCE">
        <w:tc>
          <w:tcPr>
            <w:tcW w:w="1624" w:type="pct"/>
            <w:tcBorders>
              <w:bottom w:val="single" w:sz="4" w:space="0" w:color="auto"/>
            </w:tcBorders>
            <w:hideMark/>
          </w:tcPr>
          <w:p w14:paraId="2C304630" w14:textId="77777777" w:rsidR="000F7C2E" w:rsidRPr="00FA6F79" w:rsidRDefault="000F7C2E" w:rsidP="001B3AF4">
            <w:pPr>
              <w:jc w:val="center"/>
              <w:rPr>
                <w:rFonts w:ascii="Times New Roman" w:eastAsia="Times New Roman" w:hAnsi="Times New Roman" w:cs="Times New Roman"/>
                <w:b/>
                <w:bCs/>
                <w:kern w:val="0"/>
                <w14:ligatures w14:val="none"/>
              </w:rPr>
            </w:pPr>
            <w:r w:rsidRPr="00FA6F79">
              <w:rPr>
                <w:rFonts w:ascii="Times New Roman" w:eastAsia="Times New Roman" w:hAnsi="Times New Roman" w:cs="Times New Roman"/>
                <w:b/>
                <w:bCs/>
                <w:kern w:val="0"/>
                <w14:ligatures w14:val="none"/>
              </w:rPr>
              <w:t>Variable</w:t>
            </w:r>
          </w:p>
        </w:tc>
        <w:tc>
          <w:tcPr>
            <w:tcW w:w="818" w:type="pct"/>
            <w:tcBorders>
              <w:bottom w:val="single" w:sz="4" w:space="0" w:color="auto"/>
            </w:tcBorders>
            <w:hideMark/>
          </w:tcPr>
          <w:p w14:paraId="53016A97" w14:textId="77777777" w:rsidR="000F7C2E" w:rsidRPr="00FA6F79" w:rsidRDefault="000F7C2E" w:rsidP="001B3AF4">
            <w:pPr>
              <w:jc w:val="center"/>
              <w:rPr>
                <w:rFonts w:ascii="Times New Roman" w:eastAsia="Times New Roman" w:hAnsi="Times New Roman" w:cs="Times New Roman"/>
                <w:b/>
                <w:bCs/>
                <w:kern w:val="0"/>
                <w14:ligatures w14:val="none"/>
              </w:rPr>
            </w:pPr>
            <w:r w:rsidRPr="00FA6F79">
              <w:rPr>
                <w:rFonts w:ascii="Times New Roman" w:eastAsia="Times New Roman" w:hAnsi="Times New Roman" w:cs="Times New Roman"/>
                <w:b/>
                <w:bCs/>
                <w:kern w:val="0"/>
                <w14:ligatures w14:val="none"/>
              </w:rPr>
              <w:t>Coefficient</w:t>
            </w:r>
          </w:p>
        </w:tc>
        <w:tc>
          <w:tcPr>
            <w:tcW w:w="786" w:type="pct"/>
            <w:tcBorders>
              <w:bottom w:val="single" w:sz="4" w:space="0" w:color="auto"/>
            </w:tcBorders>
            <w:hideMark/>
          </w:tcPr>
          <w:p w14:paraId="786303CF" w14:textId="77777777" w:rsidR="000F7C2E" w:rsidRPr="00FA6F79" w:rsidRDefault="000F7C2E" w:rsidP="001B3AF4">
            <w:pPr>
              <w:jc w:val="center"/>
              <w:rPr>
                <w:rFonts w:ascii="Times New Roman" w:eastAsia="Times New Roman" w:hAnsi="Times New Roman" w:cs="Times New Roman"/>
                <w:b/>
                <w:bCs/>
                <w:kern w:val="0"/>
                <w14:ligatures w14:val="none"/>
              </w:rPr>
            </w:pPr>
            <w:r w:rsidRPr="00FA6F79">
              <w:rPr>
                <w:rFonts w:ascii="Times New Roman" w:eastAsia="Times New Roman" w:hAnsi="Times New Roman" w:cs="Times New Roman"/>
                <w:b/>
                <w:bCs/>
                <w:kern w:val="0"/>
                <w14:ligatures w14:val="none"/>
              </w:rPr>
              <w:t>Std. Error</w:t>
            </w:r>
          </w:p>
        </w:tc>
        <w:tc>
          <w:tcPr>
            <w:tcW w:w="737" w:type="pct"/>
            <w:tcBorders>
              <w:bottom w:val="single" w:sz="4" w:space="0" w:color="auto"/>
            </w:tcBorders>
            <w:hideMark/>
          </w:tcPr>
          <w:p w14:paraId="09961E0E" w14:textId="77777777" w:rsidR="000F7C2E" w:rsidRPr="00FA6F79" w:rsidRDefault="000F7C2E" w:rsidP="001B3AF4">
            <w:pPr>
              <w:jc w:val="center"/>
              <w:rPr>
                <w:rFonts w:ascii="Times New Roman" w:eastAsia="Times New Roman" w:hAnsi="Times New Roman" w:cs="Times New Roman"/>
                <w:b/>
                <w:bCs/>
                <w:kern w:val="0"/>
                <w14:ligatures w14:val="none"/>
              </w:rPr>
            </w:pPr>
            <w:r w:rsidRPr="00FA6F79">
              <w:rPr>
                <w:rFonts w:ascii="Times New Roman" w:eastAsia="Times New Roman" w:hAnsi="Times New Roman" w:cs="Times New Roman"/>
                <w:b/>
                <w:bCs/>
                <w:kern w:val="0"/>
                <w14:ligatures w14:val="none"/>
              </w:rPr>
              <w:t>t-Statistic</w:t>
            </w:r>
          </w:p>
        </w:tc>
        <w:tc>
          <w:tcPr>
            <w:tcW w:w="631" w:type="pct"/>
            <w:tcBorders>
              <w:bottom w:val="single" w:sz="4" w:space="0" w:color="auto"/>
            </w:tcBorders>
            <w:hideMark/>
          </w:tcPr>
          <w:p w14:paraId="5F0BAA51" w14:textId="77777777" w:rsidR="000F7C2E" w:rsidRPr="00FA6F79" w:rsidRDefault="000F7C2E" w:rsidP="001B3AF4">
            <w:pPr>
              <w:jc w:val="center"/>
              <w:rPr>
                <w:rFonts w:ascii="Times New Roman" w:eastAsia="Times New Roman" w:hAnsi="Times New Roman" w:cs="Times New Roman"/>
                <w:b/>
                <w:bCs/>
                <w:kern w:val="0"/>
                <w14:ligatures w14:val="none"/>
              </w:rPr>
            </w:pPr>
            <w:r w:rsidRPr="00FA6F79">
              <w:rPr>
                <w:rFonts w:ascii="Times New Roman" w:eastAsia="Times New Roman" w:hAnsi="Times New Roman" w:cs="Times New Roman"/>
                <w:b/>
                <w:bCs/>
                <w:kern w:val="0"/>
                <w14:ligatures w14:val="none"/>
              </w:rPr>
              <w:t>p-Value</w:t>
            </w:r>
          </w:p>
        </w:tc>
        <w:tc>
          <w:tcPr>
            <w:tcW w:w="404" w:type="pct"/>
            <w:tcBorders>
              <w:bottom w:val="single" w:sz="4" w:space="0" w:color="auto"/>
            </w:tcBorders>
            <w:hideMark/>
          </w:tcPr>
          <w:p w14:paraId="5D91DE35" w14:textId="77777777" w:rsidR="000F7C2E" w:rsidRPr="00FA6F79" w:rsidRDefault="000F7C2E" w:rsidP="001B3AF4">
            <w:pPr>
              <w:jc w:val="center"/>
              <w:rPr>
                <w:rFonts w:ascii="Times New Roman" w:eastAsia="Times New Roman" w:hAnsi="Times New Roman" w:cs="Times New Roman"/>
                <w:b/>
                <w:bCs/>
                <w:kern w:val="0"/>
                <w14:ligatures w14:val="none"/>
              </w:rPr>
            </w:pPr>
            <w:r w:rsidRPr="00FA6F79">
              <w:rPr>
                <w:rFonts w:ascii="Times New Roman" w:eastAsia="Times New Roman" w:hAnsi="Times New Roman" w:cs="Times New Roman"/>
                <w:b/>
                <w:bCs/>
                <w:kern w:val="0"/>
                <w14:ligatures w14:val="none"/>
              </w:rPr>
              <w:t>VIF</w:t>
            </w:r>
          </w:p>
        </w:tc>
      </w:tr>
      <w:tr w:rsidR="000F7C2E" w:rsidRPr="00FA6F79" w14:paraId="489828B1" w14:textId="77777777" w:rsidTr="00D35BCE">
        <w:tc>
          <w:tcPr>
            <w:tcW w:w="1624" w:type="pct"/>
            <w:tcBorders>
              <w:top w:val="single" w:sz="4" w:space="0" w:color="auto"/>
            </w:tcBorders>
            <w:hideMark/>
          </w:tcPr>
          <w:p w14:paraId="56CDC21B"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Constant</w:t>
            </w:r>
          </w:p>
        </w:tc>
        <w:tc>
          <w:tcPr>
            <w:tcW w:w="818" w:type="pct"/>
            <w:tcBorders>
              <w:top w:val="single" w:sz="4" w:space="0" w:color="auto"/>
            </w:tcBorders>
            <w:hideMark/>
          </w:tcPr>
          <w:p w14:paraId="2E9C7BAC"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-1,561.95</w:t>
            </w:r>
          </w:p>
        </w:tc>
        <w:tc>
          <w:tcPr>
            <w:tcW w:w="786" w:type="pct"/>
            <w:tcBorders>
              <w:top w:val="single" w:sz="4" w:space="0" w:color="auto"/>
            </w:tcBorders>
            <w:hideMark/>
          </w:tcPr>
          <w:p w14:paraId="4441449C"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2,148.12</w:t>
            </w:r>
          </w:p>
        </w:tc>
        <w:tc>
          <w:tcPr>
            <w:tcW w:w="737" w:type="pct"/>
            <w:tcBorders>
              <w:top w:val="single" w:sz="4" w:space="0" w:color="auto"/>
            </w:tcBorders>
            <w:hideMark/>
          </w:tcPr>
          <w:p w14:paraId="16F1E752"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-0.73</w:t>
            </w:r>
          </w:p>
        </w:tc>
        <w:tc>
          <w:tcPr>
            <w:tcW w:w="631" w:type="pct"/>
            <w:tcBorders>
              <w:top w:val="single" w:sz="4" w:space="0" w:color="auto"/>
            </w:tcBorders>
            <w:hideMark/>
          </w:tcPr>
          <w:p w14:paraId="5943F5AD"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0.47</w:t>
            </w:r>
          </w:p>
        </w:tc>
        <w:tc>
          <w:tcPr>
            <w:tcW w:w="404" w:type="pct"/>
            <w:tcBorders>
              <w:top w:val="single" w:sz="4" w:space="0" w:color="auto"/>
            </w:tcBorders>
            <w:hideMark/>
          </w:tcPr>
          <w:p w14:paraId="1F34D33A"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w:t>
            </w:r>
          </w:p>
        </w:tc>
      </w:tr>
      <w:tr w:rsidR="000F7C2E" w:rsidRPr="00FA6F79" w14:paraId="2F9D61DB" w14:textId="77777777" w:rsidTr="00D35BCE">
        <w:tc>
          <w:tcPr>
            <w:tcW w:w="1624" w:type="pct"/>
            <w:hideMark/>
          </w:tcPr>
          <w:p w14:paraId="105DF93A"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Number of Rooms (X₁)</w:t>
            </w:r>
          </w:p>
        </w:tc>
        <w:tc>
          <w:tcPr>
            <w:tcW w:w="818" w:type="pct"/>
            <w:hideMark/>
          </w:tcPr>
          <w:p w14:paraId="002EE145"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160.45</w:t>
            </w:r>
          </w:p>
        </w:tc>
        <w:tc>
          <w:tcPr>
            <w:tcW w:w="786" w:type="pct"/>
            <w:hideMark/>
          </w:tcPr>
          <w:p w14:paraId="2184B436"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33.04</w:t>
            </w:r>
          </w:p>
        </w:tc>
        <w:tc>
          <w:tcPr>
            <w:tcW w:w="737" w:type="pct"/>
            <w:hideMark/>
          </w:tcPr>
          <w:p w14:paraId="7B025288"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4.86</w:t>
            </w:r>
          </w:p>
        </w:tc>
        <w:tc>
          <w:tcPr>
            <w:tcW w:w="631" w:type="pct"/>
            <w:hideMark/>
          </w:tcPr>
          <w:p w14:paraId="23252E9C"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0.00</w:t>
            </w:r>
          </w:p>
        </w:tc>
        <w:tc>
          <w:tcPr>
            <w:tcW w:w="404" w:type="pct"/>
            <w:hideMark/>
          </w:tcPr>
          <w:p w14:paraId="6479CC3E"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1.64</w:t>
            </w:r>
          </w:p>
        </w:tc>
      </w:tr>
      <w:tr w:rsidR="000F7C2E" w:rsidRPr="00FA6F79" w14:paraId="6C9218A9" w14:textId="77777777" w:rsidTr="00D35BCE">
        <w:tc>
          <w:tcPr>
            <w:tcW w:w="1624" w:type="pct"/>
            <w:hideMark/>
          </w:tcPr>
          <w:p w14:paraId="43BFE7A6"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Years of Experience (X₂)</w:t>
            </w:r>
          </w:p>
        </w:tc>
        <w:tc>
          <w:tcPr>
            <w:tcW w:w="818" w:type="pct"/>
            <w:hideMark/>
          </w:tcPr>
          <w:p w14:paraId="3426A405"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58.34</w:t>
            </w:r>
          </w:p>
        </w:tc>
        <w:tc>
          <w:tcPr>
            <w:tcW w:w="786" w:type="pct"/>
            <w:hideMark/>
          </w:tcPr>
          <w:p w14:paraId="496F300E"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26.87</w:t>
            </w:r>
          </w:p>
        </w:tc>
        <w:tc>
          <w:tcPr>
            <w:tcW w:w="737" w:type="pct"/>
            <w:hideMark/>
          </w:tcPr>
          <w:p w14:paraId="49935390"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2.17</w:t>
            </w:r>
          </w:p>
        </w:tc>
        <w:tc>
          <w:tcPr>
            <w:tcW w:w="631" w:type="pct"/>
            <w:hideMark/>
          </w:tcPr>
          <w:p w14:paraId="33F9AA48"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0.03</w:t>
            </w:r>
          </w:p>
        </w:tc>
        <w:tc>
          <w:tcPr>
            <w:tcW w:w="404" w:type="pct"/>
            <w:hideMark/>
          </w:tcPr>
          <w:p w14:paraId="0C066660"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1.29</w:t>
            </w:r>
          </w:p>
        </w:tc>
      </w:tr>
      <w:tr w:rsidR="000F7C2E" w:rsidRPr="00FA6F79" w14:paraId="45641499" w14:textId="77777777" w:rsidTr="00D35BCE">
        <w:tc>
          <w:tcPr>
            <w:tcW w:w="1624" w:type="pct"/>
            <w:hideMark/>
          </w:tcPr>
          <w:p w14:paraId="3BC8F68B"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Workforce Size (X₃)</w:t>
            </w:r>
          </w:p>
        </w:tc>
        <w:tc>
          <w:tcPr>
            <w:tcW w:w="818" w:type="pct"/>
            <w:hideMark/>
          </w:tcPr>
          <w:p w14:paraId="27A702BF"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158.52</w:t>
            </w:r>
          </w:p>
        </w:tc>
        <w:tc>
          <w:tcPr>
            <w:tcW w:w="786" w:type="pct"/>
            <w:hideMark/>
          </w:tcPr>
          <w:p w14:paraId="4D212178"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76.14</w:t>
            </w:r>
          </w:p>
        </w:tc>
        <w:tc>
          <w:tcPr>
            <w:tcW w:w="737" w:type="pct"/>
            <w:hideMark/>
          </w:tcPr>
          <w:p w14:paraId="0B0DC865"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2.08</w:t>
            </w:r>
          </w:p>
        </w:tc>
        <w:tc>
          <w:tcPr>
            <w:tcW w:w="631" w:type="pct"/>
            <w:hideMark/>
          </w:tcPr>
          <w:p w14:paraId="2ACD8F54"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0.04</w:t>
            </w:r>
          </w:p>
        </w:tc>
        <w:tc>
          <w:tcPr>
            <w:tcW w:w="404" w:type="pct"/>
            <w:hideMark/>
          </w:tcPr>
          <w:p w14:paraId="2B004BAE"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1.37</w:t>
            </w:r>
          </w:p>
        </w:tc>
      </w:tr>
      <w:tr w:rsidR="000F7C2E" w:rsidRPr="00FA6F79" w14:paraId="4A15608A" w14:textId="77777777" w:rsidTr="00D35BCE">
        <w:tc>
          <w:tcPr>
            <w:tcW w:w="1624" w:type="pct"/>
            <w:hideMark/>
          </w:tcPr>
          <w:p w14:paraId="2B7708E0"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Temperature Control (d₁)</w:t>
            </w:r>
          </w:p>
        </w:tc>
        <w:tc>
          <w:tcPr>
            <w:tcW w:w="818" w:type="pct"/>
            <w:hideMark/>
          </w:tcPr>
          <w:p w14:paraId="109C444E"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101.10</w:t>
            </w:r>
          </w:p>
        </w:tc>
        <w:tc>
          <w:tcPr>
            <w:tcW w:w="786" w:type="pct"/>
            <w:hideMark/>
          </w:tcPr>
          <w:p w14:paraId="55F53063"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1,936.88</w:t>
            </w:r>
          </w:p>
        </w:tc>
        <w:tc>
          <w:tcPr>
            <w:tcW w:w="737" w:type="pct"/>
            <w:hideMark/>
          </w:tcPr>
          <w:p w14:paraId="3A4E2DD1"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0.05</w:t>
            </w:r>
          </w:p>
        </w:tc>
        <w:tc>
          <w:tcPr>
            <w:tcW w:w="631" w:type="pct"/>
            <w:hideMark/>
          </w:tcPr>
          <w:p w14:paraId="64407B52"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0.96</w:t>
            </w:r>
          </w:p>
        </w:tc>
        <w:tc>
          <w:tcPr>
            <w:tcW w:w="404" w:type="pct"/>
            <w:hideMark/>
          </w:tcPr>
          <w:p w14:paraId="18C7F52C"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3.48</w:t>
            </w:r>
          </w:p>
        </w:tc>
      </w:tr>
      <w:tr w:rsidR="000F7C2E" w:rsidRPr="00FA6F79" w14:paraId="23FA2E3E" w14:textId="77777777" w:rsidTr="00D35BCE">
        <w:tc>
          <w:tcPr>
            <w:tcW w:w="1624" w:type="pct"/>
            <w:hideMark/>
          </w:tcPr>
          <w:p w14:paraId="312579E2"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Humidity Control (d₂)</w:t>
            </w:r>
          </w:p>
        </w:tc>
        <w:tc>
          <w:tcPr>
            <w:tcW w:w="818" w:type="pct"/>
            <w:hideMark/>
          </w:tcPr>
          <w:p w14:paraId="05C18E39"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-301.74</w:t>
            </w:r>
          </w:p>
        </w:tc>
        <w:tc>
          <w:tcPr>
            <w:tcW w:w="786" w:type="pct"/>
            <w:hideMark/>
          </w:tcPr>
          <w:p w14:paraId="6D79E03E"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2,333.89</w:t>
            </w:r>
          </w:p>
        </w:tc>
        <w:tc>
          <w:tcPr>
            <w:tcW w:w="737" w:type="pct"/>
            <w:hideMark/>
          </w:tcPr>
          <w:p w14:paraId="779CABEC"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-0.13</w:t>
            </w:r>
          </w:p>
        </w:tc>
        <w:tc>
          <w:tcPr>
            <w:tcW w:w="631" w:type="pct"/>
            <w:hideMark/>
          </w:tcPr>
          <w:p w14:paraId="507C713F"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0.90</w:t>
            </w:r>
          </w:p>
        </w:tc>
        <w:tc>
          <w:tcPr>
            <w:tcW w:w="404" w:type="pct"/>
            <w:hideMark/>
          </w:tcPr>
          <w:p w14:paraId="5111691C" w14:textId="77777777" w:rsidR="000F7C2E" w:rsidRPr="00FA6F79" w:rsidRDefault="000F7C2E"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3.43</w:t>
            </w:r>
          </w:p>
        </w:tc>
      </w:tr>
    </w:tbl>
    <w:p w14:paraId="7B83F145" w14:textId="68D70C18" w:rsidR="000F7C2E" w:rsidRPr="00FA6F79" w:rsidRDefault="000F7C2E" w:rsidP="001B3AF4">
      <w:pPr>
        <w:spacing w:after="0" w:line="240" w:lineRule="auto"/>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lastRenderedPageBreak/>
        <w:t>Source: Field study sample data.</w:t>
      </w:r>
      <w:r w:rsidR="00C66F75" w:rsidRPr="00FA6F79">
        <w:rPr>
          <w:rFonts w:ascii="Times New Roman" w:eastAsia="Times New Roman" w:hAnsi="Times New Roman" w:cs="Times New Roman"/>
          <w:kern w:val="0"/>
          <w14:ligatures w14:val="none"/>
        </w:rPr>
        <w:t xml:space="preserve"> Model fit statistics: R² = 0.602; Adjusted R² = 0.565; F-statistic = 16.31 (p &lt; 0.01); Durbin–Watson = 2.03; AIC = 17.87.</w:t>
      </w:r>
    </w:p>
    <w:p w14:paraId="0B2BD05C" w14:textId="4E86ED6A" w:rsidR="007F02DE" w:rsidRPr="00332C8D" w:rsidRDefault="007F02DE" w:rsidP="001B3AF4">
      <w:pPr>
        <w:spacing w:after="0" w:line="240" w:lineRule="auto"/>
        <w:ind w:firstLine="720"/>
        <w:jc w:val="both"/>
        <w:rPr>
          <w:rStyle w:val="Strong"/>
          <w:rFonts w:ascii="Times New Roman" w:eastAsia="Times New Roman" w:hAnsi="Times New Roman" w:cs="Times New Roman"/>
          <w:b w:val="0"/>
          <w:bCs w:val="0"/>
          <w:color w:val="000000" w:themeColor="text1"/>
          <w:kern w:val="0"/>
          <w:sz w:val="20"/>
          <w:szCs w:val="20"/>
          <w14:ligatures w14:val="none"/>
        </w:rPr>
      </w:pPr>
    </w:p>
    <w:p w14:paraId="587C9EB6" w14:textId="511F2A4C" w:rsidR="007F02DE" w:rsidRPr="00FA6F79" w:rsidRDefault="007E7E5F" w:rsidP="00C736FC">
      <w:pPr>
        <w:spacing w:after="0" w:line="360" w:lineRule="auto"/>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t xml:space="preserve">3.4 </w:t>
      </w:r>
      <w:r w:rsidR="007F02DE" w:rsidRPr="00FA6F79">
        <w:rPr>
          <w:rStyle w:val="Strong"/>
          <w:rFonts w:ascii="Times New Roman" w:eastAsia="Times New Roman" w:hAnsi="Times New Roman" w:cs="Times New Roman"/>
          <w:b w:val="0"/>
          <w:bCs w:val="0"/>
          <w:color w:val="000000" w:themeColor="text1"/>
          <w:kern w:val="0"/>
          <w:sz w:val="24"/>
          <w:szCs w:val="24"/>
          <w14:ligatures w14:val="none"/>
        </w:rPr>
        <w:t>Analysis of Variance for Storage Cost per Ton Based on Differences in Storage Capacities</w:t>
      </w:r>
    </w:p>
    <w:p w14:paraId="2B928F4B" w14:textId="22F5D1D1" w:rsidR="00C66F75"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14:ligatures w14:val="none"/>
        </w:rPr>
        <w:tab/>
      </w:r>
      <w:r w:rsidR="00C66F75" w:rsidRPr="00FA6F79">
        <w:rPr>
          <w:rFonts w:ascii="Times New Roman" w:eastAsia="Times New Roman" w:hAnsi="Times New Roman" w:cs="Times New Roman"/>
          <w:kern w:val="0"/>
          <w:sz w:val="24"/>
          <w:szCs w:val="24"/>
          <w:lang w:val="en"/>
          <w14:ligatures w14:val="none"/>
        </w:rPr>
        <w:t>The one-way ANOVA test was applied to examine whether storage costs per ton vary significantly across warehouse capacity categories. Results (Table 5) indicate statistically significant differences (F = 3.665, p = 0.018), confirming that storage capacity is a key determinant of cost efficiency.</w:t>
      </w:r>
    </w:p>
    <w:p w14:paraId="308FF6FB" w14:textId="4B7EFADE" w:rsidR="00C66F75"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C66F75" w:rsidRPr="00FA6F79">
        <w:rPr>
          <w:rFonts w:ascii="Times New Roman" w:eastAsia="Times New Roman" w:hAnsi="Times New Roman" w:cs="Times New Roman"/>
          <w:kern w:val="0"/>
          <w:sz w:val="24"/>
          <w:szCs w:val="24"/>
          <w:lang w:val="en"/>
          <w14:ligatures w14:val="none"/>
        </w:rPr>
        <w:t>Pairwise comparisons using the LSD test show that warehouses with ≥30 rooms (category 4) achieved significantly lower unit storage costs than those in smaller categories, with reductions of SAR 27.10 thousand, 16.20 thousand, and 8.68 thousand relative to categories 1, 2, and 3, respectively. Significant differences were observed between category 4 and categories 1 and 2, but not with category 3. This suggests that once a certain threshold of storage capacity is reached, cost advantages stabilize and additional rooms alone may not further reduce per-unit costs.</w:t>
      </w:r>
    </w:p>
    <w:p w14:paraId="1E02C0A5" w14:textId="616AFC79" w:rsidR="00C66F75"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C66F75" w:rsidRPr="00FA6F79">
        <w:rPr>
          <w:rFonts w:ascii="Times New Roman" w:eastAsia="Times New Roman" w:hAnsi="Times New Roman" w:cs="Times New Roman"/>
          <w:kern w:val="0"/>
          <w:sz w:val="24"/>
          <w:szCs w:val="24"/>
          <w:lang w:val="en"/>
          <w14:ligatures w14:val="none"/>
        </w:rPr>
        <w:t xml:space="preserve">All assumptions of ANOVA were satisfied. Normality tests (Kolmogorov–Smirnov and Shapiro–Wilk) confirmed that the data followed acceptable distributions, while Levene’s test (p = 0.220) indicated homogeneity of variances. This strengthens the robustness of </w:t>
      </w:r>
      <w:proofErr w:type="gramStart"/>
      <w:r w:rsidR="00C66F75" w:rsidRPr="00FA6F79">
        <w:rPr>
          <w:rFonts w:ascii="Times New Roman" w:eastAsia="Times New Roman" w:hAnsi="Times New Roman" w:cs="Times New Roman"/>
          <w:kern w:val="0"/>
          <w:sz w:val="24"/>
          <w:szCs w:val="24"/>
          <w:lang w:val="en"/>
          <w14:ligatures w14:val="none"/>
        </w:rPr>
        <w:t>the statistical</w:t>
      </w:r>
      <w:proofErr w:type="gramEnd"/>
      <w:r w:rsidR="00C66F75" w:rsidRPr="00FA6F79">
        <w:rPr>
          <w:rFonts w:ascii="Times New Roman" w:eastAsia="Times New Roman" w:hAnsi="Times New Roman" w:cs="Times New Roman"/>
          <w:kern w:val="0"/>
          <w:sz w:val="24"/>
          <w:szCs w:val="24"/>
          <w:lang w:val="en"/>
          <w14:ligatures w14:val="none"/>
        </w:rPr>
        <w:t xml:space="preserve"> inference.</w:t>
      </w:r>
    </w:p>
    <w:p w14:paraId="26EFAA63" w14:textId="6064A863" w:rsidR="005C3BD3" w:rsidRPr="00FA6F79" w:rsidRDefault="00D35BCE" w:rsidP="00FA6F79">
      <w:pPr>
        <w:spacing w:after="0" w:line="360" w:lineRule="auto"/>
        <w:jc w:val="both"/>
        <w:rPr>
          <w:rStyle w:val="Strong"/>
          <w:rFonts w:ascii="Times New Roman" w:eastAsia="Times New Roman" w:hAnsi="Times New Roman" w:cs="Times New Roman"/>
          <w:b w:val="0"/>
          <w:bCs w:val="0"/>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C66F75" w:rsidRPr="00FA6F79">
        <w:rPr>
          <w:rFonts w:ascii="Times New Roman" w:eastAsia="Times New Roman" w:hAnsi="Times New Roman" w:cs="Times New Roman"/>
          <w:kern w:val="0"/>
          <w:sz w:val="24"/>
          <w:szCs w:val="24"/>
          <w:lang w:val="en"/>
          <w14:ligatures w14:val="none"/>
        </w:rPr>
        <w:t xml:space="preserve">These findings highlight the presence of economies of scale, where larger facilities </w:t>
      </w:r>
      <w:proofErr w:type="gramStart"/>
      <w:r w:rsidR="00C66F75" w:rsidRPr="00FA6F79">
        <w:rPr>
          <w:rFonts w:ascii="Times New Roman" w:eastAsia="Times New Roman" w:hAnsi="Times New Roman" w:cs="Times New Roman"/>
          <w:kern w:val="0"/>
          <w:sz w:val="24"/>
          <w:szCs w:val="24"/>
          <w:lang w:val="en"/>
          <w14:ligatures w14:val="none"/>
        </w:rPr>
        <w:t>are able to</w:t>
      </w:r>
      <w:proofErr w:type="gramEnd"/>
      <w:r w:rsidR="00C66F75" w:rsidRPr="00FA6F79">
        <w:rPr>
          <w:rFonts w:ascii="Times New Roman" w:eastAsia="Times New Roman" w:hAnsi="Times New Roman" w:cs="Times New Roman"/>
          <w:kern w:val="0"/>
          <w:sz w:val="24"/>
          <w:szCs w:val="24"/>
          <w:lang w:val="en"/>
          <w14:ligatures w14:val="none"/>
        </w:rPr>
        <w:t xml:space="preserve"> spread fixed costs over greater output volumes, thereby lowering per-unit storage costs. Similar evidence has been reported in cold chain logistics research, where scale efficiencies were identified as a </w:t>
      </w:r>
      <w:r w:rsidR="00A37ABF" w:rsidRPr="00FA6F79">
        <w:rPr>
          <w:rFonts w:ascii="Times New Roman" w:eastAsia="Times New Roman" w:hAnsi="Times New Roman" w:cs="Times New Roman"/>
          <w:kern w:val="0"/>
          <w:sz w:val="24"/>
          <w:szCs w:val="24"/>
          <w:lang w:val="en"/>
          <w14:ligatures w14:val="none"/>
        </w:rPr>
        <w:t>significant</w:t>
      </w:r>
      <w:r w:rsidR="00C66F75" w:rsidRPr="00FA6F79">
        <w:rPr>
          <w:rFonts w:ascii="Times New Roman" w:eastAsia="Times New Roman" w:hAnsi="Times New Roman" w:cs="Times New Roman"/>
          <w:kern w:val="0"/>
          <w:sz w:val="24"/>
          <w:szCs w:val="24"/>
          <w:lang w:val="en"/>
          <w14:ligatures w14:val="none"/>
        </w:rPr>
        <w:t xml:space="preserve"> factor driving cost reduction and competitiveness (Jedermann et al., 2014). Moreover, the results align with Abu Ayana et al. (2014), who stressed that improving post-harvest infrastructure and scaling facilities are essential for reducing waste and enhancing the profitability of perishable commodities such as dates.</w:t>
      </w:r>
    </w:p>
    <w:p w14:paraId="5A6CDB60" w14:textId="4109903F" w:rsidR="0014570B" w:rsidRPr="00332C8D" w:rsidRDefault="00C66F75" w:rsidP="001B3AF4">
      <w:pPr>
        <w:spacing w:after="0" w:line="240" w:lineRule="auto"/>
        <w:rPr>
          <w:rStyle w:val="Strong"/>
          <w:rFonts w:ascii="Times New Roman" w:eastAsia="Times New Roman" w:hAnsi="Times New Roman" w:cs="Times New Roman"/>
          <w:b w:val="0"/>
          <w:bCs w:val="0"/>
          <w:color w:val="000000" w:themeColor="text1"/>
          <w:kern w:val="0"/>
          <w:sz w:val="20"/>
          <w:szCs w:val="20"/>
          <w:lang w:val="en"/>
          <w14:ligatures w14:val="none"/>
        </w:rPr>
      </w:pPr>
      <w:r w:rsidRPr="00FA6F79">
        <w:rPr>
          <w:rStyle w:val="Strong"/>
          <w:rFonts w:ascii="Times New Roman" w:eastAsia="Times New Roman" w:hAnsi="Times New Roman" w:cs="Times New Roman"/>
          <w:color w:val="000000" w:themeColor="text1"/>
          <w:kern w:val="0"/>
          <w:sz w:val="24"/>
          <w:szCs w:val="24"/>
          <w:lang w:val="en"/>
          <w14:ligatures w14:val="none"/>
        </w:rPr>
        <w:t>Table 5.</w:t>
      </w:r>
      <w:r w:rsidRPr="00FA6F79">
        <w:rPr>
          <w:rStyle w:val="Strong"/>
          <w:rFonts w:ascii="Times New Roman" w:eastAsia="Times New Roman" w:hAnsi="Times New Roman" w:cs="Times New Roman"/>
          <w:b w:val="0"/>
          <w:bCs w:val="0"/>
          <w:color w:val="000000" w:themeColor="text1"/>
          <w:kern w:val="0"/>
          <w:sz w:val="24"/>
          <w:szCs w:val="24"/>
          <w:lang w:val="en"/>
          <w14:ligatures w14:val="none"/>
        </w:rPr>
        <w:t xml:space="preserve"> Analysis of Variance Tests for Comparing the Average Storage Cost per Ton Between Categories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1479"/>
        <w:gridCol w:w="1499"/>
        <w:gridCol w:w="1499"/>
        <w:gridCol w:w="1444"/>
        <w:gridCol w:w="1650"/>
      </w:tblGrid>
      <w:tr w:rsidR="00C66F75" w:rsidRPr="00FA6F79" w14:paraId="40F82E06" w14:textId="77777777" w:rsidTr="00D35BCE">
        <w:tc>
          <w:tcPr>
            <w:tcW w:w="0" w:type="auto"/>
            <w:tcBorders>
              <w:bottom w:val="single" w:sz="4" w:space="0" w:color="auto"/>
            </w:tcBorders>
            <w:hideMark/>
          </w:tcPr>
          <w:p w14:paraId="6B2531C2"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Test/Indicator</w:t>
            </w:r>
          </w:p>
        </w:tc>
        <w:tc>
          <w:tcPr>
            <w:tcW w:w="0" w:type="auto"/>
            <w:tcBorders>
              <w:bottom w:val="single" w:sz="4" w:space="0" w:color="auto"/>
            </w:tcBorders>
            <w:hideMark/>
          </w:tcPr>
          <w:p w14:paraId="0CF2DF3C"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Category 1</w:t>
            </w:r>
          </w:p>
        </w:tc>
        <w:tc>
          <w:tcPr>
            <w:tcW w:w="0" w:type="auto"/>
            <w:tcBorders>
              <w:bottom w:val="single" w:sz="4" w:space="0" w:color="auto"/>
            </w:tcBorders>
            <w:hideMark/>
          </w:tcPr>
          <w:p w14:paraId="5C6AA8BB"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Category 2</w:t>
            </w:r>
          </w:p>
        </w:tc>
        <w:tc>
          <w:tcPr>
            <w:tcW w:w="0" w:type="auto"/>
            <w:tcBorders>
              <w:bottom w:val="single" w:sz="4" w:space="0" w:color="auto"/>
            </w:tcBorders>
            <w:hideMark/>
          </w:tcPr>
          <w:p w14:paraId="02D80706"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Category 3</w:t>
            </w:r>
          </w:p>
        </w:tc>
        <w:tc>
          <w:tcPr>
            <w:tcW w:w="0" w:type="auto"/>
            <w:tcBorders>
              <w:bottom w:val="single" w:sz="4" w:space="0" w:color="auto"/>
            </w:tcBorders>
            <w:hideMark/>
          </w:tcPr>
          <w:p w14:paraId="349212AC"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Category 4</w:t>
            </w:r>
          </w:p>
        </w:tc>
        <w:tc>
          <w:tcPr>
            <w:tcW w:w="0" w:type="auto"/>
            <w:tcBorders>
              <w:bottom w:val="single" w:sz="4" w:space="0" w:color="auto"/>
            </w:tcBorders>
            <w:hideMark/>
          </w:tcPr>
          <w:p w14:paraId="62E331BE"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Significance Result</w:t>
            </w:r>
          </w:p>
        </w:tc>
      </w:tr>
      <w:tr w:rsidR="00C66F75" w:rsidRPr="00FA6F79" w14:paraId="01A4C45E" w14:textId="77777777" w:rsidTr="00D35BCE">
        <w:tc>
          <w:tcPr>
            <w:tcW w:w="0" w:type="auto"/>
            <w:tcBorders>
              <w:top w:val="single" w:sz="4" w:space="0" w:color="auto"/>
            </w:tcBorders>
            <w:hideMark/>
          </w:tcPr>
          <w:p w14:paraId="0C0A7A85"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Normality Test (K–S)</w:t>
            </w:r>
          </w:p>
        </w:tc>
        <w:tc>
          <w:tcPr>
            <w:tcW w:w="0" w:type="auto"/>
            <w:tcBorders>
              <w:top w:val="single" w:sz="4" w:space="0" w:color="auto"/>
            </w:tcBorders>
            <w:hideMark/>
          </w:tcPr>
          <w:p w14:paraId="090AE7BB"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0.184 (p=0.089)</w:t>
            </w:r>
          </w:p>
        </w:tc>
        <w:tc>
          <w:tcPr>
            <w:tcW w:w="0" w:type="auto"/>
            <w:tcBorders>
              <w:top w:val="single" w:sz="4" w:space="0" w:color="auto"/>
            </w:tcBorders>
            <w:hideMark/>
          </w:tcPr>
          <w:p w14:paraId="0268B93E"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0.237 (p=0.060)</w:t>
            </w:r>
          </w:p>
        </w:tc>
        <w:tc>
          <w:tcPr>
            <w:tcW w:w="0" w:type="auto"/>
            <w:tcBorders>
              <w:top w:val="single" w:sz="4" w:space="0" w:color="auto"/>
            </w:tcBorders>
            <w:hideMark/>
          </w:tcPr>
          <w:p w14:paraId="06973DDE"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0.286 (p=0.137)</w:t>
            </w:r>
          </w:p>
        </w:tc>
        <w:tc>
          <w:tcPr>
            <w:tcW w:w="0" w:type="auto"/>
            <w:tcBorders>
              <w:top w:val="single" w:sz="4" w:space="0" w:color="auto"/>
            </w:tcBorders>
            <w:hideMark/>
          </w:tcPr>
          <w:p w14:paraId="732D25EB"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0.271 (p=0.192)</w:t>
            </w:r>
          </w:p>
        </w:tc>
        <w:tc>
          <w:tcPr>
            <w:tcW w:w="0" w:type="auto"/>
            <w:tcBorders>
              <w:top w:val="single" w:sz="4" w:space="0" w:color="auto"/>
            </w:tcBorders>
            <w:hideMark/>
          </w:tcPr>
          <w:p w14:paraId="2614A904"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Acceptable</w:t>
            </w:r>
          </w:p>
        </w:tc>
      </w:tr>
      <w:tr w:rsidR="00C66F75" w:rsidRPr="00FA6F79" w14:paraId="7EDC8630" w14:textId="77777777" w:rsidTr="00D35BCE">
        <w:tc>
          <w:tcPr>
            <w:tcW w:w="0" w:type="auto"/>
            <w:hideMark/>
          </w:tcPr>
          <w:p w14:paraId="290DE952"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Normality Test (S–W)</w:t>
            </w:r>
          </w:p>
        </w:tc>
        <w:tc>
          <w:tcPr>
            <w:tcW w:w="0" w:type="auto"/>
            <w:hideMark/>
          </w:tcPr>
          <w:p w14:paraId="15BCB7D9"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0.340 (p=0.065)</w:t>
            </w:r>
          </w:p>
        </w:tc>
        <w:tc>
          <w:tcPr>
            <w:tcW w:w="0" w:type="auto"/>
            <w:hideMark/>
          </w:tcPr>
          <w:p w14:paraId="03E5C2A2"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0.851 (p=0.041)</w:t>
            </w:r>
          </w:p>
        </w:tc>
        <w:tc>
          <w:tcPr>
            <w:tcW w:w="0" w:type="auto"/>
            <w:hideMark/>
          </w:tcPr>
          <w:p w14:paraId="206884ED"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0.840 (p=0.130)</w:t>
            </w:r>
          </w:p>
        </w:tc>
        <w:tc>
          <w:tcPr>
            <w:tcW w:w="0" w:type="auto"/>
            <w:hideMark/>
          </w:tcPr>
          <w:p w14:paraId="64C03F8A"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0.856 (p=0.177)</w:t>
            </w:r>
          </w:p>
        </w:tc>
        <w:tc>
          <w:tcPr>
            <w:tcW w:w="0" w:type="auto"/>
            <w:hideMark/>
          </w:tcPr>
          <w:p w14:paraId="3E52859C"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Acceptable</w:t>
            </w:r>
          </w:p>
        </w:tc>
      </w:tr>
      <w:tr w:rsidR="00C66F75" w:rsidRPr="00FA6F79" w14:paraId="0B433E87" w14:textId="77777777" w:rsidTr="00D35BCE">
        <w:tc>
          <w:tcPr>
            <w:tcW w:w="0" w:type="auto"/>
            <w:hideMark/>
          </w:tcPr>
          <w:p w14:paraId="6D14DB71"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Homogeneity (Levene)</w:t>
            </w:r>
          </w:p>
        </w:tc>
        <w:tc>
          <w:tcPr>
            <w:tcW w:w="0" w:type="auto"/>
            <w:hideMark/>
          </w:tcPr>
          <w:p w14:paraId="54336F91"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544BEEB5"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00117837"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393D7D05"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06F1F4A6"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1.516 (p=0.220)</w:t>
            </w:r>
          </w:p>
        </w:tc>
      </w:tr>
      <w:tr w:rsidR="00C66F75" w:rsidRPr="00FA6F79" w14:paraId="542D43E4" w14:textId="77777777" w:rsidTr="00D35BCE">
        <w:tc>
          <w:tcPr>
            <w:tcW w:w="0" w:type="auto"/>
            <w:hideMark/>
          </w:tcPr>
          <w:p w14:paraId="2DC279B1"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ANOVA</w:t>
            </w:r>
          </w:p>
        </w:tc>
        <w:tc>
          <w:tcPr>
            <w:tcW w:w="0" w:type="auto"/>
            <w:hideMark/>
          </w:tcPr>
          <w:p w14:paraId="18C33B11"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14BDC4C2"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4F320830"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4D70FEBD"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w:t>
            </w:r>
          </w:p>
        </w:tc>
        <w:tc>
          <w:tcPr>
            <w:tcW w:w="0" w:type="auto"/>
            <w:hideMark/>
          </w:tcPr>
          <w:p w14:paraId="02E988AF"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F=3.665 (p=0.018)</w:t>
            </w:r>
          </w:p>
        </w:tc>
      </w:tr>
      <w:tr w:rsidR="00C66F75" w:rsidRPr="00FA6F79" w14:paraId="0E9C57C5" w14:textId="77777777" w:rsidTr="00D35BCE">
        <w:tc>
          <w:tcPr>
            <w:tcW w:w="0" w:type="auto"/>
            <w:hideMark/>
          </w:tcPr>
          <w:p w14:paraId="67926303"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lastRenderedPageBreak/>
              <w:t>LSD Pairwise Differences</w:t>
            </w:r>
          </w:p>
        </w:tc>
        <w:tc>
          <w:tcPr>
            <w:tcW w:w="0" w:type="auto"/>
            <w:hideMark/>
          </w:tcPr>
          <w:p w14:paraId="75ED4B1E"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Cat1–Cat2 = 10.90 (ns)</w:t>
            </w:r>
          </w:p>
        </w:tc>
        <w:tc>
          <w:tcPr>
            <w:tcW w:w="0" w:type="auto"/>
            <w:hideMark/>
          </w:tcPr>
          <w:p w14:paraId="2B67C6B8"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Cat1–Cat3 = 18.43 (sig)</w:t>
            </w:r>
          </w:p>
        </w:tc>
        <w:tc>
          <w:tcPr>
            <w:tcW w:w="0" w:type="auto"/>
            <w:hideMark/>
          </w:tcPr>
          <w:p w14:paraId="473F4E65"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Cat1–Cat4 = 27.10 (sig)</w:t>
            </w:r>
          </w:p>
        </w:tc>
        <w:tc>
          <w:tcPr>
            <w:tcW w:w="0" w:type="auto"/>
            <w:hideMark/>
          </w:tcPr>
          <w:p w14:paraId="62AF5274"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Cat2–Cat3 = 7.53 (ns)</w:t>
            </w:r>
          </w:p>
        </w:tc>
        <w:tc>
          <w:tcPr>
            <w:tcW w:w="0" w:type="auto"/>
            <w:hideMark/>
          </w:tcPr>
          <w:p w14:paraId="7AFB1D34" w14:textId="77777777" w:rsidR="00C66F75" w:rsidRPr="00FA6F79" w:rsidRDefault="00C66F75" w:rsidP="001B3AF4">
            <w:pPr>
              <w:rPr>
                <w:rFonts w:ascii="Times New Roman" w:hAnsi="Times New Roman" w:cs="Times New Roman"/>
              </w:rPr>
            </w:pPr>
            <w:r w:rsidRPr="00FA6F79">
              <w:rPr>
                <w:rFonts w:ascii="Times New Roman" w:hAnsi="Times New Roman" w:cs="Times New Roman"/>
              </w:rPr>
              <w:t>Cat2–Cat4 = 16.20 (sig)</w:t>
            </w:r>
          </w:p>
        </w:tc>
      </w:tr>
    </w:tbl>
    <w:p w14:paraId="3BF76A3A" w14:textId="0910D23B" w:rsidR="00121626" w:rsidRPr="00FA6F79" w:rsidRDefault="00D101FD" w:rsidP="001B3AF4">
      <w:pPr>
        <w:spacing w:after="0" w:line="240" w:lineRule="auto"/>
        <w:ind w:firstLine="720"/>
        <w:jc w:val="both"/>
        <w:rPr>
          <w:rStyle w:val="Strong"/>
          <w:rFonts w:ascii="Times New Roman" w:eastAsia="Times New Roman" w:hAnsi="Times New Roman" w:cs="Times New Roman"/>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lang w:val="en"/>
          <w14:ligatures w14:val="none"/>
        </w:rPr>
        <w:t xml:space="preserve">Source: Field study sample data. Note: ns = not significant, </w:t>
      </w:r>
      <w:proofErr w:type="gramStart"/>
      <w:r w:rsidRPr="00FA6F79">
        <w:rPr>
          <w:rStyle w:val="Strong"/>
          <w:rFonts w:ascii="Times New Roman" w:eastAsia="Times New Roman" w:hAnsi="Times New Roman" w:cs="Times New Roman"/>
          <w:b w:val="0"/>
          <w:bCs w:val="0"/>
          <w:color w:val="000000" w:themeColor="text1"/>
          <w:kern w:val="0"/>
          <w:sz w:val="24"/>
          <w:szCs w:val="24"/>
          <w:lang w:val="en"/>
          <w14:ligatures w14:val="none"/>
        </w:rPr>
        <w:t>sig</w:t>
      </w:r>
      <w:proofErr w:type="gramEnd"/>
      <w:r w:rsidRPr="00FA6F79">
        <w:rPr>
          <w:rStyle w:val="Strong"/>
          <w:rFonts w:ascii="Times New Roman" w:eastAsia="Times New Roman" w:hAnsi="Times New Roman" w:cs="Times New Roman"/>
          <w:b w:val="0"/>
          <w:bCs w:val="0"/>
          <w:color w:val="000000" w:themeColor="text1"/>
          <w:kern w:val="0"/>
          <w:sz w:val="24"/>
          <w:szCs w:val="24"/>
          <w:lang w:val="en"/>
          <w14:ligatures w14:val="none"/>
        </w:rPr>
        <w:t xml:space="preserve"> = significant at 5% level.</w:t>
      </w:r>
      <w:bookmarkStart w:id="2" w:name="_Hlk196135315"/>
    </w:p>
    <w:p w14:paraId="66FF71C5" w14:textId="77777777" w:rsidR="00D35BCE"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bookmarkStart w:id="3" w:name="_Hlk196135394"/>
      <w:bookmarkEnd w:id="2"/>
    </w:p>
    <w:p w14:paraId="30E08227" w14:textId="70BC7000" w:rsidR="00B968E4"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B968E4" w:rsidRPr="00FA6F79">
        <w:rPr>
          <w:rFonts w:ascii="Times New Roman" w:eastAsia="Times New Roman" w:hAnsi="Times New Roman" w:cs="Times New Roman"/>
          <w:kern w:val="0"/>
          <w:sz w:val="24"/>
          <w:szCs w:val="24"/>
          <w:lang w:val="en"/>
          <w14:ligatures w14:val="none"/>
        </w:rPr>
        <w:t xml:space="preserve">Proper pre-storage handling is fundamental to reducing post-harvest losses and maintaining product quality. As illustrated in Figure </w:t>
      </w:r>
      <w:r w:rsidR="00E564AB" w:rsidRPr="00FA6F79">
        <w:rPr>
          <w:rFonts w:ascii="Times New Roman" w:eastAsia="Times New Roman" w:hAnsi="Times New Roman" w:cs="Times New Roman"/>
          <w:kern w:val="0"/>
          <w:sz w:val="24"/>
          <w:szCs w:val="24"/>
          <w:lang w:val="en"/>
          <w14:ligatures w14:val="none"/>
        </w:rPr>
        <w:t>2</w:t>
      </w:r>
      <w:r w:rsidR="00B968E4" w:rsidRPr="00FA6F79">
        <w:rPr>
          <w:rFonts w:ascii="Times New Roman" w:eastAsia="Times New Roman" w:hAnsi="Times New Roman" w:cs="Times New Roman"/>
          <w:kern w:val="0"/>
          <w:sz w:val="24"/>
          <w:szCs w:val="24"/>
          <w:lang w:val="en"/>
          <w14:ligatures w14:val="none"/>
        </w:rPr>
        <w:t>, most facilities emphasized sorting and grading (60%), while fewer applied washing (8%) or draying (2%), and 30% stored products directly "as received" without pre-treatment. This limited use of preventive handling steps may expose products</w:t>
      </w:r>
      <w:r w:rsidR="00A37ABF" w:rsidRPr="00FA6F79">
        <w:rPr>
          <w:rFonts w:ascii="Times New Roman" w:eastAsia="Times New Roman" w:hAnsi="Times New Roman" w:cs="Times New Roman"/>
          <w:kern w:val="0"/>
          <w:sz w:val="24"/>
          <w:szCs w:val="24"/>
          <w:lang w:val="en"/>
          <w14:ligatures w14:val="none"/>
        </w:rPr>
        <w:t xml:space="preserve">, </w:t>
      </w:r>
      <w:r w:rsidR="00B968E4" w:rsidRPr="00FA6F79">
        <w:rPr>
          <w:rFonts w:ascii="Times New Roman" w:eastAsia="Times New Roman" w:hAnsi="Times New Roman" w:cs="Times New Roman"/>
          <w:kern w:val="0"/>
          <w:sz w:val="24"/>
          <w:szCs w:val="24"/>
          <w:lang w:val="en"/>
          <w14:ligatures w14:val="none"/>
        </w:rPr>
        <w:t>particularly dates</w:t>
      </w:r>
      <w:r w:rsidR="00A37ABF" w:rsidRPr="00FA6F79">
        <w:rPr>
          <w:rFonts w:ascii="Times New Roman" w:eastAsia="Times New Roman" w:hAnsi="Times New Roman" w:cs="Times New Roman"/>
          <w:kern w:val="0"/>
          <w:sz w:val="24"/>
          <w:szCs w:val="24"/>
          <w:lang w:val="en"/>
          <w14:ligatures w14:val="none"/>
        </w:rPr>
        <w:t>,</w:t>
      </w:r>
      <w:r w:rsidR="00B968E4" w:rsidRPr="00FA6F79">
        <w:rPr>
          <w:rFonts w:ascii="Times New Roman" w:eastAsia="Times New Roman" w:hAnsi="Times New Roman" w:cs="Times New Roman"/>
          <w:kern w:val="0"/>
          <w:sz w:val="24"/>
          <w:szCs w:val="24"/>
          <w:lang w:val="en"/>
          <w14:ligatures w14:val="none"/>
        </w:rPr>
        <w:t xml:space="preserve"> and other perishables</w:t>
      </w:r>
      <w:r w:rsidR="00A37ABF" w:rsidRPr="00FA6F79">
        <w:rPr>
          <w:rFonts w:ascii="Times New Roman" w:eastAsia="Times New Roman" w:hAnsi="Times New Roman" w:cs="Times New Roman"/>
          <w:kern w:val="0"/>
          <w:sz w:val="24"/>
          <w:szCs w:val="24"/>
          <w:lang w:val="en"/>
          <w14:ligatures w14:val="none"/>
        </w:rPr>
        <w:t xml:space="preserve">, </w:t>
      </w:r>
      <w:r w:rsidR="00B968E4" w:rsidRPr="00FA6F79">
        <w:rPr>
          <w:rFonts w:ascii="Times New Roman" w:eastAsia="Times New Roman" w:hAnsi="Times New Roman" w:cs="Times New Roman"/>
          <w:kern w:val="0"/>
          <w:sz w:val="24"/>
          <w:szCs w:val="24"/>
          <w:lang w:val="en"/>
          <w14:ligatures w14:val="none"/>
        </w:rPr>
        <w:t>to accelerated spoilage, echoing Abu Ayana et al. (2014), who highlighted the importance of temperature and humidity control combined with cleaning and grading to preserve quality.</w:t>
      </w:r>
    </w:p>
    <w:p w14:paraId="2FEDEE8E" w14:textId="08219D40" w:rsidR="00B968E4"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B968E4" w:rsidRPr="00FA6F79">
        <w:rPr>
          <w:rFonts w:ascii="Times New Roman" w:eastAsia="Times New Roman" w:hAnsi="Times New Roman" w:cs="Times New Roman"/>
          <w:kern w:val="0"/>
          <w:sz w:val="24"/>
          <w:szCs w:val="24"/>
          <w:lang w:val="en"/>
          <w14:ligatures w14:val="none"/>
        </w:rPr>
        <w:t xml:space="preserve">Figures 3 and 4 present the packaging systems used. The survey revealed strong reliance on corrugated boxes, with or without polyethylene (PE) liners. Twenty-kilogram corrugated boxes (28%) and 4-kilogram corrugated boxes (16%) were most common, followed by 4-kg boxes with PE liners (15%) and 20-kg boxes with PE liners (6%). Larger containers such as 30-kg plastic boxes were rare (2%), while "other" forms accounted for one-third of packaging. The dominance of corrugated packaging suggests a trade-off between low cost and moderate protective performance. Aleid et al. (2014) previously demonstrated that packaging type and storage duration significantly affect quality attributes of </w:t>
      </w:r>
      <w:proofErr w:type="spellStart"/>
      <w:r w:rsidR="00B968E4" w:rsidRPr="00FA6F79">
        <w:rPr>
          <w:rFonts w:ascii="Times New Roman" w:eastAsia="Times New Roman" w:hAnsi="Times New Roman" w:cs="Times New Roman"/>
          <w:kern w:val="0"/>
          <w:sz w:val="24"/>
          <w:szCs w:val="24"/>
          <w:lang w:val="en"/>
          <w14:ligatures w14:val="none"/>
        </w:rPr>
        <w:t>Khalas</w:t>
      </w:r>
      <w:proofErr w:type="spellEnd"/>
      <w:r w:rsidR="00B968E4" w:rsidRPr="00FA6F79">
        <w:rPr>
          <w:rFonts w:ascii="Times New Roman" w:eastAsia="Times New Roman" w:hAnsi="Times New Roman" w:cs="Times New Roman"/>
          <w:kern w:val="0"/>
          <w:sz w:val="24"/>
          <w:szCs w:val="24"/>
          <w:lang w:val="en"/>
          <w14:ligatures w14:val="none"/>
        </w:rPr>
        <w:t xml:space="preserve"> and </w:t>
      </w:r>
      <w:proofErr w:type="spellStart"/>
      <w:r w:rsidR="00B968E4" w:rsidRPr="00FA6F79">
        <w:rPr>
          <w:rFonts w:ascii="Times New Roman" w:eastAsia="Times New Roman" w:hAnsi="Times New Roman" w:cs="Times New Roman"/>
          <w:kern w:val="0"/>
          <w:sz w:val="24"/>
          <w:szCs w:val="24"/>
          <w:lang w:val="en"/>
          <w14:ligatures w14:val="none"/>
        </w:rPr>
        <w:t>Sukkari</w:t>
      </w:r>
      <w:proofErr w:type="spellEnd"/>
      <w:r w:rsidR="00B968E4" w:rsidRPr="00FA6F79">
        <w:rPr>
          <w:rFonts w:ascii="Times New Roman" w:eastAsia="Times New Roman" w:hAnsi="Times New Roman" w:cs="Times New Roman"/>
          <w:kern w:val="0"/>
          <w:sz w:val="24"/>
          <w:szCs w:val="24"/>
          <w:lang w:val="en"/>
          <w14:ligatures w14:val="none"/>
        </w:rPr>
        <w:t xml:space="preserve"> dates, underscoring the need for </w:t>
      </w:r>
      <w:r w:rsidR="00A37ABF" w:rsidRPr="00FA6F79">
        <w:rPr>
          <w:rFonts w:ascii="Times New Roman" w:eastAsia="Times New Roman" w:hAnsi="Times New Roman" w:cs="Times New Roman"/>
          <w:kern w:val="0"/>
          <w:sz w:val="24"/>
          <w:szCs w:val="24"/>
          <w:lang w:val="en"/>
          <w14:ligatures w14:val="none"/>
        </w:rPr>
        <w:t>broader</w:t>
      </w:r>
      <w:r w:rsidR="00B968E4" w:rsidRPr="00FA6F79">
        <w:rPr>
          <w:rFonts w:ascii="Times New Roman" w:eastAsia="Times New Roman" w:hAnsi="Times New Roman" w:cs="Times New Roman"/>
          <w:kern w:val="0"/>
          <w:sz w:val="24"/>
          <w:szCs w:val="24"/>
          <w:lang w:val="en"/>
          <w14:ligatures w14:val="none"/>
        </w:rPr>
        <w:t xml:space="preserve"> adoption of lined packaging to minimize moisture loss and microbial risk.</w:t>
      </w:r>
    </w:p>
    <w:p w14:paraId="55E59600" w14:textId="0C9A4D6F" w:rsidR="00B968E4"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B968E4" w:rsidRPr="00FA6F79">
        <w:rPr>
          <w:rFonts w:ascii="Times New Roman" w:eastAsia="Times New Roman" w:hAnsi="Times New Roman" w:cs="Times New Roman"/>
          <w:kern w:val="0"/>
          <w:sz w:val="24"/>
          <w:szCs w:val="24"/>
          <w:lang w:val="en"/>
          <w14:ligatures w14:val="none"/>
        </w:rPr>
        <w:t>Storage facilities were primarily used for merchant trading (63.3%), followed by date processing (35%), with only 1.7% dedicated to leasing. All facilities stored dates, reflecting their central role in Saudi cold chains. However, many also stored other perishable products, such as potatoes (33.3%), meat (28.3%), fruits (15%), vegetables (13.3%), onions (10%), tomatoes (10%), and miscellaneous items (5%) (Figure 5). This diversification highlights the multifunctional role of cold storage in Riyadh. The heavy presence of potatoes and meat aligns with Jedermann et al. (2014), who emphasized that multi-product cold chains offer efficiency gains but require strict monitoring technologies to avoid cross-contamination risks.</w:t>
      </w:r>
    </w:p>
    <w:p w14:paraId="63B864BA" w14:textId="1699631C" w:rsidR="00B968E4" w:rsidRPr="00FA6F79" w:rsidRDefault="00D35BCE" w:rsidP="00C736FC">
      <w:pPr>
        <w:spacing w:after="0" w:line="360" w:lineRule="auto"/>
        <w:jc w:val="both"/>
        <w:rPr>
          <w:rFonts w:ascii="Times New Roman" w:eastAsia="Times New Roman" w:hAnsi="Times New Roman" w:cs="Times New Roman"/>
          <w:kern w:val="0"/>
          <w:sz w:val="24"/>
          <w:szCs w:val="24"/>
          <w:lang w:val="en"/>
          <w14:ligatures w14:val="none"/>
        </w:rPr>
      </w:pPr>
      <w:r>
        <w:rPr>
          <w:rFonts w:ascii="Times New Roman" w:eastAsia="Times New Roman" w:hAnsi="Times New Roman" w:cs="Times New Roman"/>
          <w:kern w:val="0"/>
          <w:sz w:val="24"/>
          <w:szCs w:val="24"/>
          <w:lang w:val="en"/>
          <w14:ligatures w14:val="none"/>
        </w:rPr>
        <w:tab/>
      </w:r>
      <w:r w:rsidR="00B968E4" w:rsidRPr="00FA6F79">
        <w:rPr>
          <w:rFonts w:ascii="Times New Roman" w:eastAsia="Times New Roman" w:hAnsi="Times New Roman" w:cs="Times New Roman"/>
          <w:kern w:val="0"/>
          <w:sz w:val="24"/>
          <w:szCs w:val="24"/>
          <w:lang w:val="en"/>
          <w14:ligatures w14:val="none"/>
        </w:rPr>
        <w:t xml:space="preserve">Table 6 summarizes technical characteristics. Average cold storage capacity was 2,375 tons with 9.7 rooms, while freezing storage averaged 704 tons with 4.2 rooms. Insulation practices showed polystyrene foam as the dominant material, averaging 18 cm thickness, while rockwool and polyurethane foam were less common </w:t>
      </w:r>
      <w:r w:rsidR="0058585E" w:rsidRPr="00FA6F79">
        <w:rPr>
          <w:rFonts w:ascii="Times New Roman" w:eastAsia="Times New Roman" w:hAnsi="Times New Roman" w:cs="Times New Roman"/>
          <w:kern w:val="0"/>
          <w:sz w:val="24"/>
          <w:szCs w:val="24"/>
          <w:lang w:val="en"/>
          <w14:ligatures w14:val="none"/>
        </w:rPr>
        <w:t>(</w:t>
      </w:r>
      <w:r w:rsidR="00B968E4" w:rsidRPr="00FA6F79">
        <w:rPr>
          <w:rFonts w:ascii="Times New Roman" w:eastAsia="Times New Roman" w:hAnsi="Times New Roman" w:cs="Times New Roman"/>
          <w:kern w:val="0"/>
          <w:sz w:val="24"/>
          <w:szCs w:val="24"/>
          <w:lang w:val="en"/>
          <w14:ligatures w14:val="none"/>
        </w:rPr>
        <w:t xml:space="preserve">10 cm each). The similarity in insulation thickness </w:t>
      </w:r>
      <w:r w:rsidR="00B968E4" w:rsidRPr="00FA6F79">
        <w:rPr>
          <w:rFonts w:ascii="Times New Roman" w:eastAsia="Times New Roman" w:hAnsi="Times New Roman" w:cs="Times New Roman"/>
          <w:kern w:val="0"/>
          <w:sz w:val="24"/>
          <w:szCs w:val="24"/>
          <w:lang w:val="en"/>
          <w14:ligatures w14:val="none"/>
        </w:rPr>
        <w:lastRenderedPageBreak/>
        <w:t xml:space="preserve">across cold and freezing storage suggests </w:t>
      </w:r>
      <w:proofErr w:type="gramStart"/>
      <w:r w:rsidR="00B968E4" w:rsidRPr="00FA6F79">
        <w:rPr>
          <w:rFonts w:ascii="Times New Roman" w:eastAsia="Times New Roman" w:hAnsi="Times New Roman" w:cs="Times New Roman"/>
          <w:kern w:val="0"/>
          <w:sz w:val="24"/>
          <w:szCs w:val="24"/>
          <w:lang w:val="en"/>
          <w14:ligatures w14:val="none"/>
        </w:rPr>
        <w:t>standardization, but</w:t>
      </w:r>
      <w:proofErr w:type="gramEnd"/>
      <w:r w:rsidR="00B968E4" w:rsidRPr="00FA6F79">
        <w:rPr>
          <w:rFonts w:ascii="Times New Roman" w:eastAsia="Times New Roman" w:hAnsi="Times New Roman" w:cs="Times New Roman"/>
          <w:kern w:val="0"/>
          <w:sz w:val="24"/>
          <w:szCs w:val="24"/>
          <w:lang w:val="en"/>
          <w14:ligatures w14:val="none"/>
        </w:rPr>
        <w:t xml:space="preserve"> may not reflect optimal energy performance. </w:t>
      </w:r>
      <w:proofErr w:type="spellStart"/>
      <w:r w:rsidR="00B968E4" w:rsidRPr="00FA6F79">
        <w:rPr>
          <w:rFonts w:ascii="Times New Roman" w:eastAsia="Times New Roman" w:hAnsi="Times New Roman" w:cs="Times New Roman"/>
          <w:kern w:val="0"/>
          <w:sz w:val="24"/>
          <w:szCs w:val="24"/>
          <w:lang w:val="en"/>
          <w14:ligatures w14:val="none"/>
        </w:rPr>
        <w:t>Alhamdan</w:t>
      </w:r>
      <w:proofErr w:type="spellEnd"/>
      <w:r w:rsidR="00B968E4" w:rsidRPr="00FA6F79">
        <w:rPr>
          <w:rFonts w:ascii="Times New Roman" w:eastAsia="Times New Roman" w:hAnsi="Times New Roman" w:cs="Times New Roman"/>
          <w:kern w:val="0"/>
          <w:sz w:val="24"/>
          <w:szCs w:val="24"/>
          <w:lang w:val="en"/>
          <w14:ligatures w14:val="none"/>
        </w:rPr>
        <w:t xml:space="preserve"> et al. (2018) showed that freezing efficiency and quality preservation in Barhi dates improved significantly under optimized conditions, suggesting that beyond material thickness, factors such as insulation quality, room design, and airflow management are critical.</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60"/>
      </w:tblGrid>
      <w:tr w:rsidR="00AE754E" w:rsidRPr="00332C8D" w14:paraId="7ABC84A1" w14:textId="77777777" w:rsidTr="00F145E8">
        <w:tc>
          <w:tcPr>
            <w:tcW w:w="9360" w:type="dxa"/>
          </w:tcPr>
          <w:bookmarkEnd w:id="3"/>
          <w:p w14:paraId="5B2377EC" w14:textId="77777777" w:rsidR="00475C60" w:rsidRPr="00332C8D" w:rsidRDefault="00475C60" w:rsidP="001B3AF4">
            <w:pPr>
              <w:rPr>
                <w:rStyle w:val="Strong"/>
                <w:rFonts w:ascii="Times New Roman" w:eastAsia="Times New Roman" w:hAnsi="Times New Roman" w:cs="Times New Roman"/>
                <w:b w:val="0"/>
                <w:bCs w:val="0"/>
                <w:color w:val="000000" w:themeColor="text1"/>
                <w:kern w:val="0"/>
                <w:sz w:val="20"/>
                <w:szCs w:val="20"/>
                <w14:ligatures w14:val="none"/>
              </w:rPr>
            </w:pPr>
            <w:r w:rsidRPr="00332C8D">
              <w:rPr>
                <w:rFonts w:ascii="Times New Roman" w:eastAsia="Times New Roman" w:hAnsi="Times New Roman" w:cs="Times New Roman"/>
                <w:b/>
                <w:bCs/>
                <w:noProof/>
                <w:color w:val="000000" w:themeColor="text1"/>
                <w:kern w:val="0"/>
                <w:sz w:val="20"/>
                <w:szCs w:val="20"/>
              </w:rPr>
              <w:drawing>
                <wp:anchor distT="0" distB="0" distL="114300" distR="114300" simplePos="0" relativeHeight="251672576" behindDoc="1" locked="0" layoutInCell="1" allowOverlap="1" wp14:anchorId="14B4A8D0" wp14:editId="71BD011C">
                  <wp:simplePos x="0" y="0"/>
                  <wp:positionH relativeFrom="column">
                    <wp:posOffset>-65405</wp:posOffset>
                  </wp:positionH>
                  <wp:positionV relativeFrom="paragraph">
                    <wp:posOffset>217805</wp:posOffset>
                  </wp:positionV>
                  <wp:extent cx="5985510" cy="1722120"/>
                  <wp:effectExtent l="38100" t="0" r="15240" b="0"/>
                  <wp:wrapSquare wrapText="bothSides"/>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p>
        </w:tc>
      </w:tr>
      <w:tr w:rsidR="00475C60" w:rsidRPr="00332C8D" w14:paraId="7F57B903" w14:textId="77777777" w:rsidTr="00F145E8">
        <w:tc>
          <w:tcPr>
            <w:tcW w:w="9360" w:type="dxa"/>
          </w:tcPr>
          <w:p w14:paraId="2D3903E8" w14:textId="553FA0EA" w:rsidR="00475C60" w:rsidRPr="00332C8D" w:rsidRDefault="00475C60"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332C8D">
              <w:rPr>
                <w:rStyle w:val="Strong"/>
                <w:rFonts w:ascii="Times New Roman" w:eastAsia="Times New Roman" w:hAnsi="Times New Roman" w:cs="Times New Roman"/>
                <w:color w:val="000000" w:themeColor="text1"/>
                <w:kern w:val="0"/>
                <w:sz w:val="20"/>
                <w:szCs w:val="20"/>
                <w14:ligatures w14:val="none"/>
              </w:rPr>
              <w:t xml:space="preserve">Figure </w:t>
            </w:r>
            <w:r w:rsidR="00B0550C" w:rsidRPr="00332C8D">
              <w:rPr>
                <w:rStyle w:val="Strong"/>
                <w:rFonts w:ascii="Times New Roman" w:eastAsia="Times New Roman" w:hAnsi="Times New Roman" w:cs="Times New Roman"/>
                <w:color w:val="000000" w:themeColor="text1"/>
                <w:kern w:val="0"/>
                <w:sz w:val="20"/>
                <w:szCs w:val="20"/>
                <w14:ligatures w14:val="none"/>
              </w:rPr>
              <w:t>1</w:t>
            </w:r>
            <w:r w:rsidRPr="00332C8D">
              <w:rPr>
                <w:rStyle w:val="Strong"/>
                <w:rFonts w:ascii="Times New Roman" w:eastAsia="Times New Roman" w:hAnsi="Times New Roman" w:cs="Times New Roman"/>
                <w:color w:val="000000" w:themeColor="text1"/>
                <w:kern w:val="0"/>
                <w:sz w:val="20"/>
                <w:szCs w:val="20"/>
                <w14:ligatures w14:val="none"/>
              </w:rPr>
              <w:t>.</w:t>
            </w:r>
            <w:r w:rsidRPr="00332C8D">
              <w:rPr>
                <w:rStyle w:val="Strong"/>
                <w:rFonts w:ascii="Times New Roman" w:eastAsia="Times New Roman" w:hAnsi="Times New Roman" w:cs="Times New Roman"/>
                <w:b w:val="0"/>
                <w:bCs w:val="0"/>
                <w:color w:val="000000" w:themeColor="text1"/>
                <w:kern w:val="0"/>
                <w:sz w:val="20"/>
                <w:szCs w:val="20"/>
                <w14:ligatures w14:val="none"/>
              </w:rPr>
              <w:t xml:space="preserve"> Processes before storing in the cold storage.</w:t>
            </w:r>
          </w:p>
        </w:tc>
      </w:tr>
    </w:tbl>
    <w:p w14:paraId="39209F0B" w14:textId="77777777" w:rsidR="00475C60" w:rsidRPr="00332C8D" w:rsidRDefault="00475C60" w:rsidP="001B3AF4">
      <w:pPr>
        <w:spacing w:line="240" w:lineRule="auto"/>
        <w:rPr>
          <w:rStyle w:val="Strong"/>
          <w:rFonts w:ascii="Times New Roman" w:eastAsia="Times New Roman" w:hAnsi="Times New Roman" w:cs="Times New Roman"/>
          <w:b w:val="0"/>
          <w:bCs w:val="0"/>
          <w:color w:val="000000" w:themeColor="text1"/>
          <w:kern w:val="0"/>
          <w:sz w:val="20"/>
          <w:szCs w:val="20"/>
          <w14:ligatures w14:val="none"/>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16"/>
        <w:gridCol w:w="3117"/>
        <w:gridCol w:w="3117"/>
      </w:tblGrid>
      <w:tr w:rsidR="00AE754E" w:rsidRPr="00332C8D" w14:paraId="3318E178" w14:textId="77777777" w:rsidTr="0037685C">
        <w:tc>
          <w:tcPr>
            <w:tcW w:w="3116" w:type="dxa"/>
          </w:tcPr>
          <w:p w14:paraId="33823FC4" w14:textId="77777777" w:rsidR="00475C60" w:rsidRPr="00332C8D" w:rsidRDefault="00475C60"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332C8D">
              <w:rPr>
                <w:rFonts w:ascii="Times New Roman" w:hAnsi="Times New Roman" w:cs="Times New Roman"/>
                <w:noProof/>
                <w:color w:val="000000" w:themeColor="text1"/>
                <w:sz w:val="20"/>
                <w:szCs w:val="20"/>
              </w:rPr>
              <w:drawing>
                <wp:inline distT="0" distB="0" distL="0" distR="0" wp14:anchorId="7AE08F4C" wp14:editId="13E647D4">
                  <wp:extent cx="1657237" cy="833933"/>
                  <wp:effectExtent l="0" t="0" r="0" b="4445"/>
                  <wp:docPr id="14" name="Picture 14" descr="Banana Box 15kg - 50 P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ana Box 15kg - 50 Pcs"/>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backgroundRemoval t="10000" b="90000" l="10000" r="90000"/>
                                    </a14:imgEffect>
                                  </a14:imgLayer>
                                </a14:imgProps>
                              </a:ext>
                              <a:ext uri="{28A0092B-C50C-407E-A947-70E740481C1C}">
                                <a14:useLocalDpi xmlns:a14="http://schemas.microsoft.com/office/drawing/2010/main" val="0"/>
                              </a:ext>
                            </a:extLst>
                          </a:blip>
                          <a:srcRect l="9126" t="28445" r="10177" b="30948"/>
                          <a:stretch/>
                        </pic:blipFill>
                        <pic:spPr bwMode="auto">
                          <a:xfrm>
                            <a:off x="0" y="0"/>
                            <a:ext cx="1672625" cy="8416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7" w:type="dxa"/>
          </w:tcPr>
          <w:p w14:paraId="26D502B8" w14:textId="77777777" w:rsidR="00475C60" w:rsidRPr="00332C8D" w:rsidRDefault="00475C60"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332C8D">
              <w:rPr>
                <w:rFonts w:ascii="Times New Roman" w:hAnsi="Times New Roman" w:cs="Times New Roman"/>
                <w:noProof/>
                <w:color w:val="000000" w:themeColor="text1"/>
                <w:sz w:val="20"/>
                <w:szCs w:val="20"/>
              </w:rPr>
              <w:drawing>
                <wp:inline distT="0" distB="0" distL="0" distR="0" wp14:anchorId="045E552E" wp14:editId="31F66BED">
                  <wp:extent cx="1662094" cy="1309839"/>
                  <wp:effectExtent l="0" t="0" r="0" b="5080"/>
                  <wp:docPr id="15" name="Picture 15" descr="HYFY [10 PCS] Shipping Box Cardboard Box 30x23x8cm Small Cardboard Boxes  Corrugated Box Cardboard Shipping Boxes Small Carton Cardboard Boxes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FY [10 PCS] Shipping Box Cardboard Box 30x23x8cm Small Cardboard Boxes  Corrugated Box Cardboard Shipping Boxes Small Carton Cardboard Boxes For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84076" cy="1327162"/>
                          </a:xfrm>
                          <a:prstGeom prst="rect">
                            <a:avLst/>
                          </a:prstGeom>
                          <a:noFill/>
                          <a:ln>
                            <a:noFill/>
                          </a:ln>
                        </pic:spPr>
                      </pic:pic>
                    </a:graphicData>
                  </a:graphic>
                </wp:inline>
              </w:drawing>
            </w:r>
          </w:p>
        </w:tc>
        <w:tc>
          <w:tcPr>
            <w:tcW w:w="3117" w:type="dxa"/>
          </w:tcPr>
          <w:p w14:paraId="54D60F61" w14:textId="77777777" w:rsidR="00475C60" w:rsidRPr="00332C8D" w:rsidRDefault="00475C60"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332C8D">
              <w:rPr>
                <w:rFonts w:ascii="Times New Roman" w:hAnsi="Times New Roman" w:cs="Times New Roman"/>
                <w:noProof/>
                <w:color w:val="000000" w:themeColor="text1"/>
                <w:sz w:val="20"/>
                <w:szCs w:val="20"/>
              </w:rPr>
              <w:drawing>
                <wp:inline distT="0" distB="0" distL="0" distR="0" wp14:anchorId="55972F00" wp14:editId="249A7172">
                  <wp:extent cx="1623136" cy="1449787"/>
                  <wp:effectExtent l="0" t="0" r="0" b="0"/>
                  <wp:docPr id="16" name="Picture 16" descr="PP material stackable Heavy duty 30KG shipping harvest tomato agriculture  plastic crates| Alibaba.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 material stackable Heavy duty 30KG shipping harvest tomato agriculture  plastic crates| Alibaba.com"/>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8639" t="26774" r="10227" b="9689"/>
                          <a:stretch/>
                        </pic:blipFill>
                        <pic:spPr bwMode="auto">
                          <a:xfrm>
                            <a:off x="0" y="0"/>
                            <a:ext cx="1632750" cy="145837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75C60" w:rsidRPr="00332C8D" w14:paraId="611C45F5" w14:textId="77777777" w:rsidTr="0037685C">
        <w:tc>
          <w:tcPr>
            <w:tcW w:w="9350" w:type="dxa"/>
            <w:gridSpan w:val="3"/>
          </w:tcPr>
          <w:p w14:paraId="5C8E7B47" w14:textId="613AAEEF" w:rsidR="00475C60" w:rsidRPr="00332C8D" w:rsidRDefault="00475C60"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332C8D">
              <w:rPr>
                <w:rStyle w:val="Strong"/>
                <w:rFonts w:ascii="Times New Roman" w:eastAsia="Times New Roman" w:hAnsi="Times New Roman" w:cs="Times New Roman"/>
                <w:color w:val="000000" w:themeColor="text1"/>
                <w:kern w:val="0"/>
                <w:sz w:val="20"/>
                <w:szCs w:val="20"/>
                <w14:ligatures w14:val="none"/>
              </w:rPr>
              <w:t xml:space="preserve">Figure </w:t>
            </w:r>
            <w:r w:rsidR="00B0550C" w:rsidRPr="00332C8D">
              <w:rPr>
                <w:rStyle w:val="Strong"/>
                <w:rFonts w:ascii="Times New Roman" w:eastAsia="Times New Roman" w:hAnsi="Times New Roman" w:cs="Times New Roman"/>
                <w:color w:val="000000" w:themeColor="text1"/>
                <w:kern w:val="0"/>
                <w:sz w:val="20"/>
                <w:szCs w:val="20"/>
                <w14:ligatures w14:val="none"/>
              </w:rPr>
              <w:t>2</w:t>
            </w:r>
            <w:r w:rsidRPr="00332C8D">
              <w:rPr>
                <w:rStyle w:val="Strong"/>
                <w:rFonts w:ascii="Times New Roman" w:eastAsia="Times New Roman" w:hAnsi="Times New Roman" w:cs="Times New Roman"/>
                <w:color w:val="000000" w:themeColor="text1"/>
                <w:kern w:val="0"/>
                <w:sz w:val="20"/>
                <w:szCs w:val="20"/>
                <w14:ligatures w14:val="none"/>
              </w:rPr>
              <w:t xml:space="preserve">. </w:t>
            </w:r>
            <w:r w:rsidRPr="00332C8D">
              <w:rPr>
                <w:rStyle w:val="Strong"/>
                <w:rFonts w:ascii="Times New Roman" w:eastAsia="Times New Roman" w:hAnsi="Times New Roman" w:cs="Times New Roman"/>
                <w:b w:val="0"/>
                <w:bCs w:val="0"/>
                <w:color w:val="000000" w:themeColor="text1"/>
                <w:kern w:val="0"/>
                <w:sz w:val="20"/>
                <w:szCs w:val="20"/>
                <w14:ligatures w14:val="none"/>
              </w:rPr>
              <w:t xml:space="preserve">Types of packages used in storing </w:t>
            </w:r>
            <w:r w:rsidR="00A37ABF" w:rsidRPr="00332C8D">
              <w:rPr>
                <w:rStyle w:val="Strong"/>
                <w:rFonts w:ascii="Times New Roman" w:eastAsia="Times New Roman" w:hAnsi="Times New Roman" w:cs="Times New Roman"/>
                <w:b w:val="0"/>
                <w:bCs w:val="0"/>
                <w:color w:val="000000" w:themeColor="text1"/>
                <w:kern w:val="0"/>
                <w:sz w:val="20"/>
                <w:szCs w:val="20"/>
                <w14:ligatures w14:val="none"/>
              </w:rPr>
              <w:t>food</w:t>
            </w:r>
            <w:r w:rsidRPr="00332C8D">
              <w:rPr>
                <w:rStyle w:val="Strong"/>
                <w:rFonts w:ascii="Times New Roman" w:eastAsia="Times New Roman" w:hAnsi="Times New Roman" w:cs="Times New Roman"/>
                <w:b w:val="0"/>
                <w:bCs w:val="0"/>
                <w:color w:val="000000" w:themeColor="text1"/>
                <w:kern w:val="0"/>
                <w:sz w:val="20"/>
                <w:szCs w:val="20"/>
                <w14:ligatures w14:val="none"/>
              </w:rPr>
              <w:t>.</w:t>
            </w:r>
          </w:p>
        </w:tc>
      </w:tr>
    </w:tbl>
    <w:p w14:paraId="6FF89AC3" w14:textId="1A6C63A8" w:rsidR="0037685C" w:rsidRPr="00332C8D" w:rsidRDefault="0037685C" w:rsidP="001B3AF4">
      <w:pPr>
        <w:spacing w:line="240" w:lineRule="auto"/>
        <w:rPr>
          <w:rStyle w:val="Strong"/>
          <w:rFonts w:ascii="Times New Roman" w:eastAsia="Times New Roman" w:hAnsi="Times New Roman" w:cs="Times New Roman"/>
          <w:b w:val="0"/>
          <w:bCs w:val="0"/>
          <w:color w:val="000000" w:themeColor="text1"/>
          <w:kern w:val="0"/>
          <w:sz w:val="20"/>
          <w:szCs w:val="20"/>
          <w14:ligatures w14:val="none"/>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50"/>
      </w:tblGrid>
      <w:tr w:rsidR="00D610E7" w:rsidRPr="00332C8D" w14:paraId="703E7B48" w14:textId="77777777" w:rsidTr="00F145E8">
        <w:tc>
          <w:tcPr>
            <w:tcW w:w="9350" w:type="dxa"/>
          </w:tcPr>
          <w:p w14:paraId="28A22A53" w14:textId="5FF0189A" w:rsidR="00F145E8" w:rsidRPr="00332C8D" w:rsidRDefault="00F145E8"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bookmarkStart w:id="4" w:name="_Hlk196202524"/>
            <w:r w:rsidRPr="00332C8D">
              <w:rPr>
                <w:rFonts w:ascii="Times New Roman" w:hAnsi="Times New Roman" w:cs="Times New Roman"/>
                <w:noProof/>
                <w:color w:val="000000" w:themeColor="text1"/>
                <w:sz w:val="20"/>
                <w:szCs w:val="20"/>
              </w:rPr>
              <w:lastRenderedPageBreak/>
              <w:drawing>
                <wp:inline distT="0" distB="0" distL="0" distR="0" wp14:anchorId="18ECAE8E" wp14:editId="5AFDBA43">
                  <wp:extent cx="4538662" cy="3343275"/>
                  <wp:effectExtent l="0" t="0" r="14605" b="9525"/>
                  <wp:docPr id="18" name="Chart 18">
                    <a:extLst xmlns:a="http://schemas.openxmlformats.org/drawingml/2006/main">
                      <a:ext uri="{FF2B5EF4-FFF2-40B4-BE49-F238E27FC236}">
                        <a16:creationId xmlns:a16="http://schemas.microsoft.com/office/drawing/2014/main" id="{8BF8F9E3-2463-4561-A153-8D067B89EF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F145E8" w:rsidRPr="00332C8D" w14:paraId="7D76BFC2" w14:textId="77777777" w:rsidTr="00F145E8">
        <w:tc>
          <w:tcPr>
            <w:tcW w:w="9350" w:type="dxa"/>
          </w:tcPr>
          <w:p w14:paraId="280C5DC9" w14:textId="0473B2FB" w:rsidR="00F145E8" w:rsidRPr="00332C8D" w:rsidRDefault="00F145E8"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D35BCE">
              <w:rPr>
                <w:rStyle w:val="Strong"/>
                <w:rFonts w:ascii="Times New Roman" w:eastAsia="Times New Roman" w:hAnsi="Times New Roman" w:cs="Times New Roman"/>
                <w:color w:val="000000" w:themeColor="text1"/>
                <w:kern w:val="0"/>
                <w:sz w:val="20"/>
                <w:szCs w:val="20"/>
                <w14:ligatures w14:val="none"/>
              </w:rPr>
              <w:t xml:space="preserve">Figure </w:t>
            </w:r>
            <w:r w:rsidR="00B0550C" w:rsidRPr="00D35BCE">
              <w:rPr>
                <w:rStyle w:val="Strong"/>
                <w:rFonts w:ascii="Times New Roman" w:eastAsia="Times New Roman" w:hAnsi="Times New Roman" w:cs="Times New Roman"/>
                <w:color w:val="000000" w:themeColor="text1"/>
                <w:kern w:val="0"/>
                <w:sz w:val="20"/>
                <w:szCs w:val="20"/>
                <w14:ligatures w14:val="none"/>
              </w:rPr>
              <w:t>3</w:t>
            </w:r>
            <w:r w:rsidRPr="00D35BCE">
              <w:rPr>
                <w:rStyle w:val="Strong"/>
                <w:rFonts w:ascii="Times New Roman" w:eastAsia="Times New Roman" w:hAnsi="Times New Roman" w:cs="Times New Roman"/>
                <w:color w:val="000000" w:themeColor="text1"/>
                <w:kern w:val="0"/>
                <w:sz w:val="20"/>
                <w:szCs w:val="20"/>
                <w14:ligatures w14:val="none"/>
              </w:rPr>
              <w:t>.</w:t>
            </w:r>
            <w:r w:rsidRPr="00332C8D">
              <w:rPr>
                <w:rStyle w:val="Strong"/>
                <w:rFonts w:ascii="Times New Roman" w:eastAsia="Times New Roman" w:hAnsi="Times New Roman" w:cs="Times New Roman"/>
                <w:b w:val="0"/>
                <w:bCs w:val="0"/>
                <w:color w:val="000000" w:themeColor="text1"/>
                <w:kern w:val="0"/>
                <w:sz w:val="20"/>
                <w:szCs w:val="20"/>
                <w14:ligatures w14:val="none"/>
              </w:rPr>
              <w:t xml:space="preserve"> Percentage of used packages in storage.</w:t>
            </w:r>
          </w:p>
        </w:tc>
      </w:tr>
      <w:bookmarkEnd w:id="4"/>
    </w:tbl>
    <w:p w14:paraId="1461B80C" w14:textId="77777777" w:rsidR="00F145E8" w:rsidRPr="00332C8D" w:rsidRDefault="00F145E8" w:rsidP="001B3AF4">
      <w:pPr>
        <w:spacing w:line="240" w:lineRule="auto"/>
        <w:jc w:val="center"/>
        <w:rPr>
          <w:rStyle w:val="Strong"/>
          <w:rFonts w:ascii="Times New Roman" w:eastAsia="Times New Roman" w:hAnsi="Times New Roman" w:cs="Times New Roman"/>
          <w:b w:val="0"/>
          <w:bCs w:val="0"/>
          <w:color w:val="000000" w:themeColor="text1"/>
          <w:kern w:val="0"/>
          <w:sz w:val="20"/>
          <w:szCs w:val="20"/>
          <w14:ligatures w14:val="none"/>
        </w:rPr>
      </w:pPr>
    </w:p>
    <w:p w14:paraId="706C34F2" w14:textId="07270B76" w:rsidR="00C27238" w:rsidRPr="00332C8D" w:rsidRDefault="00C27238" w:rsidP="001B3AF4">
      <w:pPr>
        <w:spacing w:after="0" w:line="240" w:lineRule="auto"/>
        <w:jc w:val="lowKashida"/>
        <w:rPr>
          <w:rStyle w:val="Strong"/>
          <w:rFonts w:ascii="Times New Roman" w:eastAsia="Times New Roman" w:hAnsi="Times New Roman" w:cs="Times New Roman"/>
          <w:b w:val="0"/>
          <w:bCs w:val="0"/>
          <w:color w:val="000000" w:themeColor="text1"/>
          <w:kern w:val="0"/>
          <w:sz w:val="20"/>
          <w:szCs w:val="20"/>
          <w14:ligatures w14:val="none"/>
        </w:rPr>
      </w:pPr>
      <w:bookmarkStart w:id="5" w:name="_Hlk196203132"/>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350"/>
      </w:tblGrid>
      <w:tr w:rsidR="00AE754E" w:rsidRPr="00332C8D" w14:paraId="6B628CDF" w14:textId="77777777" w:rsidTr="00386AC2">
        <w:tc>
          <w:tcPr>
            <w:tcW w:w="9350" w:type="dxa"/>
            <w:tcBorders>
              <w:bottom w:val="single" w:sz="2" w:space="0" w:color="auto"/>
            </w:tcBorders>
          </w:tcPr>
          <w:bookmarkEnd w:id="5"/>
          <w:p w14:paraId="77BB66C5" w14:textId="19BB5DB6" w:rsidR="00CD7D05" w:rsidRPr="00332C8D" w:rsidRDefault="00CD7D05" w:rsidP="001B3AF4">
            <w:pPr>
              <w:jc w:val="center"/>
              <w:rPr>
                <w:rStyle w:val="Strong"/>
                <w:rFonts w:ascii="Times New Roman" w:eastAsia="Times New Roman" w:hAnsi="Times New Roman" w:cs="Times New Roman"/>
                <w:b w:val="0"/>
                <w:bCs w:val="0"/>
                <w:color w:val="000000" w:themeColor="text1"/>
                <w:kern w:val="0"/>
                <w:sz w:val="20"/>
                <w:szCs w:val="20"/>
                <w14:ligatures w14:val="none"/>
              </w:rPr>
            </w:pPr>
            <w:r w:rsidRPr="00332C8D">
              <w:rPr>
                <w:rFonts w:ascii="Times New Roman" w:hAnsi="Times New Roman" w:cs="Times New Roman"/>
                <w:noProof/>
                <w:color w:val="000000" w:themeColor="text1"/>
                <w:sz w:val="20"/>
                <w:szCs w:val="20"/>
              </w:rPr>
              <w:drawing>
                <wp:inline distT="0" distB="0" distL="0" distR="0" wp14:anchorId="4406DD7E" wp14:editId="59FDD4BB">
                  <wp:extent cx="5328920" cy="3150606"/>
                  <wp:effectExtent l="0" t="0" r="5080" b="12065"/>
                  <wp:docPr id="12" name="Chart 12">
                    <a:extLst xmlns:a="http://schemas.openxmlformats.org/drawingml/2006/main">
                      <a:ext uri="{FF2B5EF4-FFF2-40B4-BE49-F238E27FC236}">
                        <a16:creationId xmlns:a16="http://schemas.microsoft.com/office/drawing/2014/main" id="{3F6327F9-7ED5-49D3-92A4-DF23EEC1FA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CD7D05" w:rsidRPr="00332C8D" w14:paraId="6502D58D" w14:textId="77777777" w:rsidTr="00386AC2">
        <w:tc>
          <w:tcPr>
            <w:tcW w:w="9350" w:type="dxa"/>
            <w:tcBorders>
              <w:top w:val="single" w:sz="2" w:space="0" w:color="auto"/>
              <w:bottom w:val="nil"/>
            </w:tcBorders>
          </w:tcPr>
          <w:p w14:paraId="3EC34A36" w14:textId="2A630485" w:rsidR="00CD7D05" w:rsidRPr="00FA6F79" w:rsidRDefault="00A87388" w:rsidP="001B3AF4">
            <w:pPr>
              <w:jc w:val="center"/>
              <w:rPr>
                <w:rStyle w:val="Strong"/>
                <w:rFonts w:ascii="Times New Roman" w:eastAsia="Times New Roman" w:hAnsi="Times New Roman" w:cs="Times New Roman"/>
                <w:b w:val="0"/>
                <w:bCs w:val="0"/>
                <w:color w:val="000000" w:themeColor="text1"/>
                <w:kern w:val="0"/>
                <w14:ligatures w14:val="none"/>
              </w:rPr>
            </w:pPr>
            <w:bookmarkStart w:id="6" w:name="_Hlk196203294"/>
            <w:r w:rsidRPr="00D35BCE">
              <w:rPr>
                <w:rStyle w:val="Strong"/>
                <w:rFonts w:ascii="Times New Roman" w:eastAsia="Times New Roman" w:hAnsi="Times New Roman" w:cs="Times New Roman"/>
                <w:color w:val="000000" w:themeColor="text1"/>
                <w:kern w:val="0"/>
                <w14:ligatures w14:val="none"/>
              </w:rPr>
              <w:t xml:space="preserve">Figure </w:t>
            </w:r>
            <w:r w:rsidR="00B0550C" w:rsidRPr="00D35BCE">
              <w:rPr>
                <w:rStyle w:val="Strong"/>
                <w:rFonts w:ascii="Times New Roman" w:eastAsia="Times New Roman" w:hAnsi="Times New Roman" w:cs="Times New Roman"/>
                <w:color w:val="000000" w:themeColor="text1"/>
                <w:kern w:val="0"/>
                <w14:ligatures w14:val="none"/>
              </w:rPr>
              <w:t>4</w:t>
            </w:r>
            <w:r w:rsidRPr="00D35BCE">
              <w:rPr>
                <w:rStyle w:val="Strong"/>
                <w:rFonts w:ascii="Times New Roman" w:eastAsia="Times New Roman" w:hAnsi="Times New Roman" w:cs="Times New Roman"/>
                <w:color w:val="000000" w:themeColor="text1"/>
                <w:kern w:val="0"/>
                <w14:ligatures w14:val="none"/>
              </w:rPr>
              <w:t>.</w:t>
            </w:r>
            <w:r w:rsidRPr="00FA6F79">
              <w:rPr>
                <w:rStyle w:val="Strong"/>
                <w:rFonts w:ascii="Times New Roman" w:eastAsia="Times New Roman" w:hAnsi="Times New Roman" w:cs="Times New Roman"/>
                <w:b w:val="0"/>
                <w:bCs w:val="0"/>
                <w:color w:val="000000" w:themeColor="text1"/>
                <w:kern w:val="0"/>
                <w14:ligatures w14:val="none"/>
              </w:rPr>
              <w:t xml:space="preserve"> Types of products stored in the refrigeration and freezing facilities</w:t>
            </w:r>
            <w:bookmarkEnd w:id="6"/>
            <w:r w:rsidRPr="00FA6F79">
              <w:rPr>
                <w:rStyle w:val="Strong"/>
                <w:rFonts w:ascii="Times New Roman" w:eastAsia="Times New Roman" w:hAnsi="Times New Roman" w:cs="Times New Roman"/>
                <w:b w:val="0"/>
                <w:bCs w:val="0"/>
                <w:color w:val="000000" w:themeColor="text1"/>
                <w:kern w:val="0"/>
                <w14:ligatures w14:val="none"/>
              </w:rPr>
              <w:t>.</w:t>
            </w:r>
          </w:p>
        </w:tc>
      </w:tr>
    </w:tbl>
    <w:p w14:paraId="6F11CBC2" w14:textId="77777777" w:rsidR="00CD7D05" w:rsidRPr="00332C8D" w:rsidRDefault="00CD7D05" w:rsidP="001B3AF4">
      <w:pPr>
        <w:spacing w:line="240" w:lineRule="auto"/>
        <w:jc w:val="center"/>
        <w:rPr>
          <w:rStyle w:val="Strong"/>
          <w:rFonts w:ascii="Times New Roman" w:eastAsia="Times New Roman" w:hAnsi="Times New Roman" w:cs="Times New Roman"/>
          <w:b w:val="0"/>
          <w:bCs w:val="0"/>
          <w:color w:val="000000" w:themeColor="text1"/>
          <w:kern w:val="0"/>
          <w:sz w:val="20"/>
          <w:szCs w:val="20"/>
          <w14:ligatures w14:val="none"/>
        </w:rPr>
      </w:pPr>
    </w:p>
    <w:p w14:paraId="329CE103" w14:textId="77777777" w:rsidR="00EB7330" w:rsidRPr="00332C8D" w:rsidRDefault="00EB7330" w:rsidP="001B3AF4">
      <w:pPr>
        <w:spacing w:line="240" w:lineRule="auto"/>
        <w:rPr>
          <w:rFonts w:ascii="Times New Roman" w:eastAsia="Times New Roman" w:hAnsi="Times New Roman" w:cs="Times New Roman"/>
          <w:b/>
          <w:bCs/>
          <w:kern w:val="0"/>
          <w:sz w:val="20"/>
          <w:szCs w:val="20"/>
          <w14:ligatures w14:val="none"/>
        </w:rPr>
      </w:pPr>
      <w:bookmarkStart w:id="7" w:name="_Hlk196203455"/>
      <w:r w:rsidRPr="00332C8D">
        <w:rPr>
          <w:rFonts w:ascii="Times New Roman" w:eastAsia="Times New Roman" w:hAnsi="Times New Roman" w:cs="Times New Roman"/>
          <w:b/>
          <w:bCs/>
          <w:kern w:val="0"/>
          <w:sz w:val="20"/>
          <w:szCs w:val="20"/>
          <w14:ligatures w14:val="none"/>
        </w:rPr>
        <w:br w:type="page"/>
      </w:r>
    </w:p>
    <w:p w14:paraId="2FDD3634" w14:textId="0E036095" w:rsidR="001D0B56" w:rsidRPr="00332C8D" w:rsidRDefault="001D0B56" w:rsidP="001B3AF4">
      <w:pPr>
        <w:spacing w:after="0" w:line="240" w:lineRule="auto"/>
        <w:rPr>
          <w:rFonts w:ascii="Times New Roman" w:eastAsia="Times New Roman" w:hAnsi="Times New Roman" w:cs="Times New Roman"/>
          <w:kern w:val="0"/>
          <w:sz w:val="20"/>
          <w:szCs w:val="20"/>
          <w14:ligatures w14:val="none"/>
        </w:rPr>
      </w:pPr>
      <w:r w:rsidRPr="00FA6F79">
        <w:rPr>
          <w:rFonts w:ascii="Times New Roman" w:eastAsia="Times New Roman" w:hAnsi="Times New Roman" w:cs="Times New Roman"/>
          <w:b/>
          <w:bCs/>
          <w:kern w:val="0"/>
          <w:sz w:val="24"/>
          <w:szCs w:val="24"/>
          <w14:ligatures w14:val="none"/>
        </w:rPr>
        <w:lastRenderedPageBreak/>
        <w:t>Table 6.</w:t>
      </w:r>
      <w:r w:rsidRPr="00FA6F79">
        <w:rPr>
          <w:rFonts w:ascii="Times New Roman" w:eastAsia="Times New Roman" w:hAnsi="Times New Roman" w:cs="Times New Roman"/>
          <w:kern w:val="0"/>
          <w:sz w:val="24"/>
          <w:szCs w:val="24"/>
          <w14:ligatures w14:val="none"/>
        </w:rPr>
        <w:t xml:space="preserve"> Technical specifications of cold and freezing storage facilities</w:t>
      </w:r>
      <w:r w:rsidRPr="00332C8D">
        <w:rPr>
          <w:rFonts w:ascii="Times New Roman" w:eastAsia="Times New Roman" w:hAnsi="Times New Roman" w:cs="Times New Roman"/>
          <w:kern w:val="0"/>
          <w:sz w:val="20"/>
          <w:szCs w:val="20"/>
          <w14:ligatures w14:val="none"/>
        </w:rPr>
        <w:t>.</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4"/>
        <w:gridCol w:w="2821"/>
        <w:gridCol w:w="2585"/>
      </w:tblGrid>
      <w:tr w:rsidR="001D0B56" w:rsidRPr="00FA6F79" w14:paraId="3552177C" w14:textId="77777777" w:rsidTr="00D35BCE">
        <w:tc>
          <w:tcPr>
            <w:tcW w:w="2112" w:type="pct"/>
            <w:tcBorders>
              <w:bottom w:val="single" w:sz="4" w:space="0" w:color="auto"/>
            </w:tcBorders>
            <w:hideMark/>
          </w:tcPr>
          <w:p w14:paraId="5475334B" w14:textId="77777777" w:rsidR="001D0B56" w:rsidRPr="00FA6F79" w:rsidRDefault="001D0B56" w:rsidP="001B3AF4">
            <w:pPr>
              <w:jc w:val="cente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Specification</w:t>
            </w:r>
          </w:p>
        </w:tc>
        <w:tc>
          <w:tcPr>
            <w:tcW w:w="1507" w:type="pct"/>
            <w:tcBorders>
              <w:bottom w:val="single" w:sz="4" w:space="0" w:color="auto"/>
            </w:tcBorders>
            <w:hideMark/>
          </w:tcPr>
          <w:p w14:paraId="2F3DAC3F" w14:textId="77777777" w:rsidR="001D0B56" w:rsidRPr="00FA6F79" w:rsidRDefault="001D0B56" w:rsidP="001B3AF4">
            <w:pPr>
              <w:jc w:val="cente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Cold Storage</w:t>
            </w:r>
          </w:p>
        </w:tc>
        <w:tc>
          <w:tcPr>
            <w:tcW w:w="1381" w:type="pct"/>
            <w:tcBorders>
              <w:bottom w:val="single" w:sz="4" w:space="0" w:color="auto"/>
            </w:tcBorders>
            <w:hideMark/>
          </w:tcPr>
          <w:p w14:paraId="6C05CB38" w14:textId="77777777" w:rsidR="001D0B56" w:rsidRPr="00FA6F79" w:rsidRDefault="001D0B56" w:rsidP="001B3AF4">
            <w:pPr>
              <w:jc w:val="cente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Freezing Storage</w:t>
            </w:r>
          </w:p>
        </w:tc>
      </w:tr>
      <w:tr w:rsidR="001D0B56" w:rsidRPr="00FA6F79" w14:paraId="67A1D5FD" w14:textId="77777777" w:rsidTr="00D35BCE">
        <w:tc>
          <w:tcPr>
            <w:tcW w:w="2112" w:type="pct"/>
            <w:tcBorders>
              <w:top w:val="single" w:sz="4" w:space="0" w:color="auto"/>
            </w:tcBorders>
            <w:hideMark/>
          </w:tcPr>
          <w:p w14:paraId="295BB881"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Temperature Range</w:t>
            </w:r>
          </w:p>
        </w:tc>
        <w:tc>
          <w:tcPr>
            <w:tcW w:w="1507" w:type="pct"/>
            <w:tcBorders>
              <w:top w:val="single" w:sz="4" w:space="0" w:color="auto"/>
            </w:tcBorders>
            <w:hideMark/>
          </w:tcPr>
          <w:p w14:paraId="3EC1F924"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0 to 15°C</w:t>
            </w:r>
          </w:p>
        </w:tc>
        <w:tc>
          <w:tcPr>
            <w:tcW w:w="1381" w:type="pct"/>
            <w:tcBorders>
              <w:top w:val="single" w:sz="4" w:space="0" w:color="auto"/>
            </w:tcBorders>
            <w:hideMark/>
          </w:tcPr>
          <w:p w14:paraId="327FB079"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-18 to 0°C</w:t>
            </w:r>
          </w:p>
        </w:tc>
      </w:tr>
      <w:tr w:rsidR="001D0B56" w:rsidRPr="00FA6F79" w14:paraId="581013DE" w14:textId="77777777" w:rsidTr="00D35BCE">
        <w:tc>
          <w:tcPr>
            <w:tcW w:w="2112" w:type="pct"/>
            <w:hideMark/>
          </w:tcPr>
          <w:p w14:paraId="469B486A"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Average Capacity (Tons)</w:t>
            </w:r>
          </w:p>
        </w:tc>
        <w:tc>
          <w:tcPr>
            <w:tcW w:w="1507" w:type="pct"/>
            <w:hideMark/>
          </w:tcPr>
          <w:p w14:paraId="4E35EDDD"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2,375.10 ± 2,192.21</w:t>
            </w:r>
          </w:p>
        </w:tc>
        <w:tc>
          <w:tcPr>
            <w:tcW w:w="1381" w:type="pct"/>
            <w:hideMark/>
          </w:tcPr>
          <w:p w14:paraId="05F30B95"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703.85 ± 4,661.20</w:t>
            </w:r>
          </w:p>
        </w:tc>
      </w:tr>
      <w:tr w:rsidR="001D0B56" w:rsidRPr="00FA6F79" w14:paraId="362CB84C" w14:textId="77777777" w:rsidTr="00D35BCE">
        <w:tc>
          <w:tcPr>
            <w:tcW w:w="2112" w:type="pct"/>
            <w:hideMark/>
          </w:tcPr>
          <w:p w14:paraId="7BD70316"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Average Number of Rooms</w:t>
            </w:r>
          </w:p>
        </w:tc>
        <w:tc>
          <w:tcPr>
            <w:tcW w:w="1507" w:type="pct"/>
            <w:hideMark/>
          </w:tcPr>
          <w:p w14:paraId="029E6239"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9.73 ± 76.00</w:t>
            </w:r>
          </w:p>
        </w:tc>
        <w:tc>
          <w:tcPr>
            <w:tcW w:w="1381" w:type="pct"/>
            <w:hideMark/>
          </w:tcPr>
          <w:p w14:paraId="112AE8AC"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4.22 ± 3.77</w:t>
            </w:r>
          </w:p>
        </w:tc>
      </w:tr>
      <w:tr w:rsidR="001D0B56" w:rsidRPr="00FA6F79" w14:paraId="44232A0E" w14:textId="77777777" w:rsidTr="00D35BCE">
        <w:tc>
          <w:tcPr>
            <w:tcW w:w="2112" w:type="pct"/>
            <w:hideMark/>
          </w:tcPr>
          <w:p w14:paraId="6CA713B9"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Polystyrene Foam (cm)</w:t>
            </w:r>
          </w:p>
        </w:tc>
        <w:tc>
          <w:tcPr>
            <w:tcW w:w="1507" w:type="pct"/>
            <w:hideMark/>
          </w:tcPr>
          <w:p w14:paraId="60AC916C"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17.52 ± 6.11</w:t>
            </w:r>
          </w:p>
        </w:tc>
        <w:tc>
          <w:tcPr>
            <w:tcW w:w="1381" w:type="pct"/>
            <w:hideMark/>
          </w:tcPr>
          <w:p w14:paraId="5753C7C1"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18.09 ± 6.07</w:t>
            </w:r>
          </w:p>
        </w:tc>
      </w:tr>
      <w:tr w:rsidR="001D0B56" w:rsidRPr="00FA6F79" w14:paraId="01C12698" w14:textId="77777777" w:rsidTr="00D35BCE">
        <w:tc>
          <w:tcPr>
            <w:tcW w:w="2112" w:type="pct"/>
            <w:hideMark/>
          </w:tcPr>
          <w:p w14:paraId="141126FE"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Rockwool (cm)</w:t>
            </w:r>
          </w:p>
        </w:tc>
        <w:tc>
          <w:tcPr>
            <w:tcW w:w="1507" w:type="pct"/>
            <w:hideMark/>
          </w:tcPr>
          <w:p w14:paraId="711191D2"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9.90 ± 1.50</w:t>
            </w:r>
          </w:p>
        </w:tc>
        <w:tc>
          <w:tcPr>
            <w:tcW w:w="1381" w:type="pct"/>
            <w:hideMark/>
          </w:tcPr>
          <w:p w14:paraId="4A14244B"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9.85 ± 1.73</w:t>
            </w:r>
          </w:p>
        </w:tc>
      </w:tr>
      <w:tr w:rsidR="001D0B56" w:rsidRPr="00FA6F79" w14:paraId="3ADE53D1" w14:textId="77777777" w:rsidTr="00D35BCE">
        <w:tc>
          <w:tcPr>
            <w:tcW w:w="2112" w:type="pct"/>
            <w:hideMark/>
          </w:tcPr>
          <w:p w14:paraId="69F2446C"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Polyurethane Foam (cm)</w:t>
            </w:r>
          </w:p>
        </w:tc>
        <w:tc>
          <w:tcPr>
            <w:tcW w:w="1507" w:type="pct"/>
            <w:hideMark/>
          </w:tcPr>
          <w:p w14:paraId="0E37CDB7"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10.13 ± 1.87</w:t>
            </w:r>
          </w:p>
        </w:tc>
        <w:tc>
          <w:tcPr>
            <w:tcW w:w="1381" w:type="pct"/>
            <w:hideMark/>
          </w:tcPr>
          <w:p w14:paraId="0DDB8DDF"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10.65 ± 1.92</w:t>
            </w:r>
          </w:p>
        </w:tc>
      </w:tr>
      <w:tr w:rsidR="001D0B56" w:rsidRPr="00FA6F79" w14:paraId="4663CDAB" w14:textId="77777777" w:rsidTr="00D35BCE">
        <w:tc>
          <w:tcPr>
            <w:tcW w:w="2112" w:type="pct"/>
            <w:hideMark/>
          </w:tcPr>
          <w:p w14:paraId="7E424E6A"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Other Materials (cm)</w:t>
            </w:r>
          </w:p>
        </w:tc>
        <w:tc>
          <w:tcPr>
            <w:tcW w:w="1507" w:type="pct"/>
            <w:hideMark/>
          </w:tcPr>
          <w:p w14:paraId="50C74260"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7.73 ± 1.07</w:t>
            </w:r>
          </w:p>
        </w:tc>
        <w:tc>
          <w:tcPr>
            <w:tcW w:w="1381" w:type="pct"/>
            <w:hideMark/>
          </w:tcPr>
          <w:p w14:paraId="074A3F1C" w14:textId="77777777" w:rsidR="001D0B56" w:rsidRPr="00FA6F79" w:rsidRDefault="001D0B56" w:rsidP="001B3AF4">
            <w:pPr>
              <w:rPr>
                <w:rFonts w:ascii="Times New Roman" w:eastAsia="Times New Roman" w:hAnsi="Times New Roman" w:cs="Times New Roman"/>
                <w:kern w:val="0"/>
                <w14:ligatures w14:val="none"/>
              </w:rPr>
            </w:pPr>
            <w:r w:rsidRPr="00FA6F79">
              <w:rPr>
                <w:rFonts w:ascii="Times New Roman" w:eastAsia="Times New Roman" w:hAnsi="Times New Roman" w:cs="Times New Roman"/>
                <w:kern w:val="0"/>
                <w14:ligatures w14:val="none"/>
              </w:rPr>
              <w:t>7.88 ± 1.21</w:t>
            </w:r>
          </w:p>
        </w:tc>
      </w:tr>
    </w:tbl>
    <w:p w14:paraId="7DD5F14F" w14:textId="77777777" w:rsidR="001D0B56" w:rsidRPr="00FA6F79" w:rsidRDefault="001D0B56" w:rsidP="001B3AF4">
      <w:pPr>
        <w:spacing w:after="0" w:line="240" w:lineRule="auto"/>
        <w:rPr>
          <w:rFonts w:ascii="Times New Roman" w:eastAsia="Times New Roman" w:hAnsi="Times New Roman" w:cs="Times New Roman"/>
          <w:kern w:val="0"/>
          <w:sz w:val="24"/>
          <w:szCs w:val="24"/>
          <w14:ligatures w14:val="none"/>
        </w:rPr>
      </w:pPr>
      <w:r w:rsidRPr="00FA6F79">
        <w:rPr>
          <w:rFonts w:ascii="Times New Roman" w:eastAsia="Times New Roman" w:hAnsi="Times New Roman" w:cs="Times New Roman"/>
          <w:kern w:val="0"/>
          <w:sz w:val="24"/>
          <w:szCs w:val="24"/>
          <w14:ligatures w14:val="none"/>
        </w:rPr>
        <w:t>Source: Field study sample data.</w:t>
      </w:r>
    </w:p>
    <w:bookmarkEnd w:id="7"/>
    <w:p w14:paraId="584EB037" w14:textId="77777777" w:rsidR="00B113B4" w:rsidRPr="00332C8D" w:rsidRDefault="00B113B4" w:rsidP="001B3AF4">
      <w:pPr>
        <w:spacing w:line="240" w:lineRule="auto"/>
        <w:jc w:val="center"/>
        <w:rPr>
          <w:rStyle w:val="Strong"/>
          <w:rFonts w:ascii="Times New Roman" w:eastAsia="Times New Roman" w:hAnsi="Times New Roman" w:cs="Times New Roman"/>
          <w:b w:val="0"/>
          <w:bCs w:val="0"/>
          <w:color w:val="000000" w:themeColor="text1"/>
          <w:kern w:val="0"/>
          <w:sz w:val="20"/>
          <w:szCs w:val="20"/>
          <w14:ligatures w14:val="none"/>
        </w:rPr>
      </w:pPr>
    </w:p>
    <w:p w14:paraId="2C17685F" w14:textId="157BDD1A" w:rsidR="00635227" w:rsidRPr="00FA6F79" w:rsidRDefault="00D35BCE" w:rsidP="00C736FC">
      <w:pPr>
        <w:spacing w:after="0" w:line="360" w:lineRule="auto"/>
        <w:jc w:val="both"/>
        <w:rPr>
          <w:rFonts w:ascii="Times New Roman" w:hAnsi="Times New Roman" w:cs="Times New Roman"/>
          <w:color w:val="000000" w:themeColor="text1"/>
          <w:sz w:val="24"/>
          <w:szCs w:val="24"/>
        </w:rPr>
      </w:pPr>
      <w:bookmarkStart w:id="8" w:name="_Hlk196208160"/>
      <w:bookmarkStart w:id="9" w:name="_Hlk196208310"/>
      <w:r>
        <w:rPr>
          <w:rFonts w:ascii="Times New Roman" w:hAnsi="Times New Roman" w:cs="Times New Roman"/>
          <w:color w:val="000000" w:themeColor="text1"/>
          <w:sz w:val="24"/>
          <w:szCs w:val="24"/>
        </w:rPr>
        <w:tab/>
      </w:r>
      <w:r w:rsidR="00B968E4" w:rsidRPr="00FA6F79">
        <w:rPr>
          <w:rFonts w:ascii="Times New Roman" w:hAnsi="Times New Roman" w:cs="Times New Roman"/>
          <w:color w:val="000000" w:themeColor="text1"/>
          <w:sz w:val="24"/>
          <w:szCs w:val="24"/>
        </w:rPr>
        <w:t xml:space="preserve">The technical specifications of storage facilities in the Riyadh region revealed distinct differences between cold storage and freezing facilities (Table 6). Cold storage facilities operated at temperatures ranging from 0 to 15 °C and exhibited larger average capacities (2,375.10 ± 2,192.21 metric tons) with more rooms (9.73 ± 76.00). In contrast, freezers operated at –18 to 0 °C and had smaller average capacities (703.85 ± 4,661.20 metric tons) and fewer rooms (4.22 ± 3.77). The high standard deviations observed for both facility types underscore the heterogeneity in design and function, reflecting the coexistence of small-scale specialized units and large-scale distribution hubs. These findings are consistent with international literature emphasizing that cold storage is generally designed to handle bulk commodities requiring moderately cool temperatures, whereas freezers are often dedicated to products with strict preservation requirements, such as meat and poultry (Jedermann et al., 2014; </w:t>
      </w:r>
      <w:proofErr w:type="spellStart"/>
      <w:r w:rsidR="00B968E4" w:rsidRPr="00FA6F79">
        <w:rPr>
          <w:rFonts w:ascii="Times New Roman" w:hAnsi="Times New Roman" w:cs="Times New Roman"/>
          <w:color w:val="000000" w:themeColor="text1"/>
          <w:sz w:val="24"/>
          <w:szCs w:val="24"/>
        </w:rPr>
        <w:t>Alhamdan</w:t>
      </w:r>
      <w:proofErr w:type="spellEnd"/>
      <w:r w:rsidR="00B968E4" w:rsidRPr="00FA6F79">
        <w:rPr>
          <w:rFonts w:ascii="Times New Roman" w:hAnsi="Times New Roman" w:cs="Times New Roman"/>
          <w:color w:val="000000" w:themeColor="text1"/>
          <w:sz w:val="24"/>
          <w:szCs w:val="24"/>
        </w:rPr>
        <w:t xml:space="preserve"> et al., 2018). The observed variability highlights the importance of aligning facility design with commodity-specific requirements and market demand. Moreover, the greater room count in cold storage facilities suggests their role as multi-purpose hubs capable of storing diverse products, while freezers tend to serve more specialized storage needs.</w:t>
      </w:r>
    </w:p>
    <w:p w14:paraId="25BBE483" w14:textId="139A4D19" w:rsidR="00B226A3" w:rsidRPr="00FA6F79" w:rsidRDefault="007E7E5F" w:rsidP="00C736FC">
      <w:pPr>
        <w:spacing w:after="0" w:line="360" w:lineRule="auto"/>
        <w:jc w:val="lowKashida"/>
        <w:rPr>
          <w:rFonts w:ascii="Times New Roman" w:hAnsi="Times New Roman" w:cs="Times New Roman"/>
          <w:color w:val="000000" w:themeColor="text1"/>
          <w:spacing w:val="3"/>
          <w:sz w:val="24"/>
          <w:szCs w:val="24"/>
          <w:shd w:val="clear" w:color="auto" w:fill="FFFFFF"/>
        </w:rPr>
      </w:pPr>
      <w:bookmarkStart w:id="10" w:name="_Hlk196208438"/>
      <w:bookmarkEnd w:id="8"/>
      <w:bookmarkEnd w:id="9"/>
      <w:r w:rsidRPr="00FA6F79">
        <w:rPr>
          <w:rFonts w:ascii="Times New Roman" w:hAnsi="Times New Roman" w:cs="Times New Roman"/>
          <w:color w:val="000000" w:themeColor="text1"/>
          <w:spacing w:val="3"/>
          <w:sz w:val="24"/>
          <w:szCs w:val="24"/>
          <w:shd w:val="clear" w:color="auto" w:fill="FFFFFF"/>
        </w:rPr>
        <w:t>3.4.1</w:t>
      </w:r>
      <w:r w:rsidR="00FA6F79" w:rsidRPr="00FA6F79">
        <w:rPr>
          <w:rFonts w:ascii="Times New Roman" w:hAnsi="Times New Roman" w:cs="Times New Roman"/>
          <w:color w:val="000000" w:themeColor="text1"/>
          <w:spacing w:val="3"/>
          <w:sz w:val="24"/>
          <w:szCs w:val="24"/>
          <w:shd w:val="clear" w:color="auto" w:fill="FFFFFF"/>
        </w:rPr>
        <w:t xml:space="preserve"> </w:t>
      </w:r>
      <w:r w:rsidR="00CF1960" w:rsidRPr="00FA6F79">
        <w:rPr>
          <w:rFonts w:ascii="Times New Roman" w:hAnsi="Times New Roman" w:cs="Times New Roman"/>
          <w:color w:val="000000" w:themeColor="text1"/>
          <w:spacing w:val="3"/>
          <w:sz w:val="24"/>
          <w:szCs w:val="24"/>
          <w:shd w:val="clear" w:color="auto" w:fill="FFFFFF"/>
        </w:rPr>
        <w:t>Fixed Costs of Refrigeration and Freezing Facilities</w:t>
      </w:r>
    </w:p>
    <w:p w14:paraId="2094A88A" w14:textId="4BDDDD33" w:rsidR="00A06C23" w:rsidRPr="00FA6F79" w:rsidRDefault="00D35BCE" w:rsidP="00C736F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306894" w:rsidRPr="00FA6F79">
        <w:rPr>
          <w:rFonts w:ascii="Times New Roman" w:hAnsi="Times New Roman" w:cs="Times New Roman"/>
          <w:color w:val="000000" w:themeColor="text1"/>
          <w:sz w:val="24"/>
          <w:szCs w:val="24"/>
        </w:rPr>
        <w:t xml:space="preserve">The analysis of fixed investment costs (Table 3) reveals substantial variation across facilities. The average total fixed costs amounted to SAR 6.55 million (USD 1.75 million), ranging from SAR 585 thousand (USD 156 thousand) to SAR 21.3 million (USD 5.68 million). Building construction dominated, representing 93.11% of total fixed costs with an average of SAR 6.10 million (USD 1.63 million). This finding aligns with observations in similar contexts where physical infrastructure is the primary fixed asset in cold chain logistics (Jedermann et al., 2014). Refrigeration equipment accounted for 5.01% of fixed costs (SAR 328.58 thousand; USD 87.6 thousand), ventilation systems for 1.50% (SAR 98.6 thousand; USD 26.3 thousand), and insurance </w:t>
      </w:r>
      <w:r w:rsidR="00306894" w:rsidRPr="00FA6F79">
        <w:rPr>
          <w:rFonts w:ascii="Times New Roman" w:hAnsi="Times New Roman" w:cs="Times New Roman"/>
          <w:color w:val="000000" w:themeColor="text1"/>
          <w:sz w:val="24"/>
          <w:szCs w:val="24"/>
        </w:rPr>
        <w:lastRenderedPageBreak/>
        <w:t>for only 0.37% (SAR 24.32 thousand; USD 6.5 thousand). Financing costs were absent across all surveyed facilities, indicating that most warehouses are either self-financed or supported through government-backed investment programs. This absence of financing expenses reflects the broader Saudi agricultural sector context, where state subsidies and direct investments play a significant role in infrastructure development (Alamri et al., 2024).</w:t>
      </w:r>
    </w:p>
    <w:p w14:paraId="54FB4F28" w14:textId="6B5E0B56" w:rsidR="00F85178" w:rsidRPr="00FA6F79" w:rsidRDefault="007E7E5F" w:rsidP="00C736FC">
      <w:pPr>
        <w:spacing w:after="0" w:line="360" w:lineRule="auto"/>
        <w:outlineLvl w:val="1"/>
        <w:rPr>
          <w:rFonts w:ascii="Times New Roman" w:eastAsia="Times New Roman" w:hAnsi="Times New Roman" w:cs="Times New Roman"/>
          <w:color w:val="000000" w:themeColor="text1"/>
          <w:kern w:val="0"/>
          <w:sz w:val="24"/>
          <w:szCs w:val="24"/>
          <w14:ligatures w14:val="none"/>
        </w:rPr>
      </w:pPr>
      <w:bookmarkStart w:id="11" w:name="_Hlk196208778"/>
      <w:bookmarkEnd w:id="10"/>
      <w:r w:rsidRPr="00FA6F79">
        <w:rPr>
          <w:rFonts w:ascii="Times New Roman" w:eastAsia="Times New Roman" w:hAnsi="Times New Roman" w:cs="Times New Roman"/>
          <w:color w:val="000000" w:themeColor="text1"/>
          <w:kern w:val="0"/>
          <w:sz w:val="24"/>
          <w:szCs w:val="24"/>
          <w14:ligatures w14:val="none"/>
        </w:rPr>
        <w:t xml:space="preserve">3.4.2 </w:t>
      </w:r>
      <w:r w:rsidR="00F85178" w:rsidRPr="00FA6F79">
        <w:rPr>
          <w:rFonts w:ascii="Times New Roman" w:eastAsia="Times New Roman" w:hAnsi="Times New Roman" w:cs="Times New Roman"/>
          <w:color w:val="000000" w:themeColor="text1"/>
          <w:kern w:val="0"/>
          <w:sz w:val="24"/>
          <w:szCs w:val="24"/>
          <w14:ligatures w14:val="none"/>
        </w:rPr>
        <w:t>Variable Costs of Refrigeration and Freezing Facilities</w:t>
      </w:r>
    </w:p>
    <w:bookmarkEnd w:id="11"/>
    <w:p w14:paraId="4F76F24B" w14:textId="0B1E0230" w:rsidR="00DB7F74" w:rsidRPr="00FA6F79" w:rsidRDefault="00306894" w:rsidP="00C736FC">
      <w:pPr>
        <w:spacing w:after="0" w:line="360" w:lineRule="auto"/>
        <w:ind w:firstLine="720"/>
        <w:jc w:val="lowKashida"/>
        <w:rPr>
          <w:rStyle w:val="Strong"/>
          <w:rFonts w:ascii="Times New Roman" w:eastAsia="Times New Roman" w:hAnsi="Times New Roman" w:cs="Times New Roman"/>
          <w:b w:val="0"/>
          <w:bCs w:val="0"/>
          <w:color w:val="000000" w:themeColor="text1"/>
          <w:kern w:val="0"/>
          <w:sz w:val="24"/>
          <w:szCs w:val="24"/>
          <w14:ligatures w14:val="none"/>
        </w:rPr>
      </w:pPr>
      <w:r w:rsidRPr="00FA6F79">
        <w:rPr>
          <w:rFonts w:ascii="Times New Roman" w:eastAsia="Times New Roman" w:hAnsi="Times New Roman" w:cs="Times New Roman"/>
          <w:color w:val="000000" w:themeColor="text1"/>
          <w:kern w:val="0"/>
          <w:sz w:val="24"/>
          <w:szCs w:val="24"/>
          <w14:ligatures w14:val="none"/>
        </w:rPr>
        <w:t xml:space="preserve">Annual variable costs averaged SAR 668.60 thousand (USD 178.3 thousand), with a wide range from SAR 178.2 thousand (USD 47.5 thousand) to SAR 1.678 million (USD 447.5 thousand). Labor constituted the </w:t>
      </w:r>
      <w:r w:rsidR="00A37ABF" w:rsidRPr="00FA6F79">
        <w:rPr>
          <w:rFonts w:ascii="Times New Roman" w:eastAsia="Times New Roman" w:hAnsi="Times New Roman" w:cs="Times New Roman"/>
          <w:color w:val="000000" w:themeColor="text1"/>
          <w:kern w:val="0"/>
          <w:sz w:val="24"/>
          <w:szCs w:val="24"/>
          <w14:ligatures w14:val="none"/>
        </w:rPr>
        <w:t>most significant</w:t>
      </w:r>
      <w:r w:rsidRPr="00FA6F79">
        <w:rPr>
          <w:rFonts w:ascii="Times New Roman" w:eastAsia="Times New Roman" w:hAnsi="Times New Roman" w:cs="Times New Roman"/>
          <w:color w:val="000000" w:themeColor="text1"/>
          <w:kern w:val="0"/>
          <w:sz w:val="24"/>
          <w:szCs w:val="24"/>
          <w14:ligatures w14:val="none"/>
        </w:rPr>
        <w:t xml:space="preserve"> expense, accounting for 60.89% of total variable costs (SAR 390.8 thousand; USD 104.2 thousand). This dominance underscores the sector’s reliance on labor-intensive operations, particularly during peak harvest and storage seasons. On average, facilities employed three technical and seven non-technical workers, reflecting a dual need for specialized skills in equipment handling and general support staff. Electricity represented the second-largest cost component at 23.15% (SAR 148.6 thousand; USD 39.6 thousand), followed by storage boxes at 5.03% (SAR 32.28 thousand; USD 8.6 thousand). Other variable costs included water consumption (3.78%), fuel (2.84%), oils and grease (2.12%), sterilization (1.81%), and maintenance (0.38%). The relatively small share of maintenance suggests underinvestment in preventive care, which could raise long-term costs through higher energy inefficiency and equipment failures. Similar conclusions were drawn by </w:t>
      </w:r>
      <w:proofErr w:type="spellStart"/>
      <w:r w:rsidRPr="00FA6F79">
        <w:rPr>
          <w:rFonts w:ascii="Times New Roman" w:eastAsia="Times New Roman" w:hAnsi="Times New Roman" w:cs="Times New Roman"/>
          <w:color w:val="000000" w:themeColor="text1"/>
          <w:kern w:val="0"/>
          <w:sz w:val="24"/>
          <w:szCs w:val="24"/>
          <w14:ligatures w14:val="none"/>
        </w:rPr>
        <w:t>Alhamdan</w:t>
      </w:r>
      <w:proofErr w:type="spellEnd"/>
      <w:r w:rsidRPr="00FA6F79">
        <w:rPr>
          <w:rFonts w:ascii="Times New Roman" w:eastAsia="Times New Roman" w:hAnsi="Times New Roman" w:cs="Times New Roman"/>
          <w:color w:val="000000" w:themeColor="text1"/>
          <w:kern w:val="0"/>
          <w:sz w:val="24"/>
          <w:szCs w:val="24"/>
          <w14:ligatures w14:val="none"/>
        </w:rPr>
        <w:t xml:space="preserve"> et al. (2018), who noted that insufficient maintenance and environmental control undermine both storage efficiency and product quality in date freezing. Rental costs per pallet averaged SAR 85.31 (USD 22.75) for cold storage and SAR 91.56 (USD 24.42) for freezing storage, reflecting slightly higher operational expenses in facilities requiring lower temperatures. These figures are consistent with regional cold chain market reports, which highlight that deep-freeze facilities incur disproportionately higher energy costs (Ken Research, 2023).</w:t>
      </w:r>
    </w:p>
    <w:p w14:paraId="30300005" w14:textId="15B357A3" w:rsidR="007F02DE" w:rsidRPr="00FA6F79" w:rsidRDefault="00635227" w:rsidP="00C736FC">
      <w:pPr>
        <w:spacing w:after="0" w:line="360" w:lineRule="auto"/>
        <w:jc w:val="both"/>
        <w:rPr>
          <w:rStyle w:val="Strong"/>
          <w:rFonts w:ascii="Times New Roman" w:eastAsia="Times New Roman" w:hAnsi="Times New Roman" w:cs="Times New Roman"/>
          <w:color w:val="000000" w:themeColor="text1"/>
          <w:kern w:val="0"/>
          <w:sz w:val="24"/>
          <w:szCs w:val="24"/>
          <w14:ligatures w14:val="none"/>
        </w:rPr>
      </w:pPr>
      <w:bookmarkStart w:id="12" w:name="_Hlk196209080"/>
      <w:r w:rsidRPr="00FA6F79">
        <w:rPr>
          <w:rStyle w:val="Strong"/>
          <w:rFonts w:ascii="Times New Roman" w:eastAsia="Times New Roman" w:hAnsi="Times New Roman" w:cs="Times New Roman"/>
          <w:color w:val="000000" w:themeColor="text1"/>
          <w:kern w:val="0"/>
          <w:sz w:val="24"/>
          <w:szCs w:val="24"/>
          <w14:ligatures w14:val="none"/>
        </w:rPr>
        <w:t xml:space="preserve">4. </w:t>
      </w:r>
      <w:r w:rsidR="00A27D95" w:rsidRPr="00FA6F79">
        <w:rPr>
          <w:rStyle w:val="Strong"/>
          <w:rFonts w:ascii="Times New Roman" w:eastAsia="Times New Roman" w:hAnsi="Times New Roman" w:cs="Times New Roman"/>
          <w:color w:val="000000" w:themeColor="text1"/>
          <w:kern w:val="0"/>
          <w:sz w:val="24"/>
          <w:szCs w:val="24"/>
          <w14:ligatures w14:val="none"/>
        </w:rPr>
        <w:t>CONCLUSION AND RECOMMENDATIONS</w:t>
      </w:r>
    </w:p>
    <w:p w14:paraId="613EDC4C" w14:textId="77777777" w:rsidR="00306894" w:rsidRPr="00FA6F79" w:rsidRDefault="00306894" w:rsidP="00C736FC">
      <w:pPr>
        <w:spacing w:after="0" w:line="360" w:lineRule="auto"/>
        <w:ind w:firstLine="720"/>
        <w:jc w:val="both"/>
        <w:rPr>
          <w:rStyle w:val="Strong"/>
          <w:rFonts w:ascii="Times New Roman" w:eastAsia="Times New Roman" w:hAnsi="Times New Roman" w:cs="Times New Roman"/>
          <w:b w:val="0"/>
          <w:bCs w:val="0"/>
          <w:color w:val="000000" w:themeColor="text1"/>
          <w:kern w:val="0"/>
          <w:sz w:val="24"/>
          <w:szCs w:val="24"/>
          <w:rtl/>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t xml:space="preserve">This study assessed the operational efficiency of cooling and freezing warehouses in the Riyadh region and identified the determinants of performance. The results demonstrate that economies of scale are evident in larger facilities, as they achieve lower storage costs per ton. Operational capacity was positively influenced by the number of rooms, years of experience, and </w:t>
      </w:r>
      <w:r w:rsidRPr="00FA6F79">
        <w:rPr>
          <w:rStyle w:val="Strong"/>
          <w:rFonts w:ascii="Times New Roman" w:eastAsia="Times New Roman" w:hAnsi="Times New Roman" w:cs="Times New Roman"/>
          <w:b w:val="0"/>
          <w:bCs w:val="0"/>
          <w:color w:val="000000" w:themeColor="text1"/>
          <w:kern w:val="0"/>
          <w:sz w:val="24"/>
          <w:szCs w:val="24"/>
          <w14:ligatures w14:val="none"/>
        </w:rPr>
        <w:lastRenderedPageBreak/>
        <w:t xml:space="preserve">workforce size, while profitability levels remain high across the sector. However, the market orientation is still largely domestic, with export opportunities underexploited. </w:t>
      </w:r>
    </w:p>
    <w:p w14:paraId="6D7C2E2E" w14:textId="45E37BC5" w:rsidR="00A06C23" w:rsidRPr="00FA6F79" w:rsidRDefault="00306894" w:rsidP="00C736FC">
      <w:pPr>
        <w:spacing w:after="0" w:line="360" w:lineRule="auto"/>
        <w:ind w:firstLine="720"/>
        <w:jc w:val="both"/>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b w:val="0"/>
          <w:bCs w:val="0"/>
          <w:color w:val="000000" w:themeColor="text1"/>
          <w:kern w:val="0"/>
          <w:sz w:val="24"/>
          <w:szCs w:val="24"/>
          <w14:ligatures w14:val="none"/>
        </w:rPr>
        <w:t>To strengthen the sector’s contribution to national food security and economic diversification, several measures are recommended. First, strategic investments in larger and technologically advanced facilities are needed to enhance cost efficiency and service quality. Second, integrating modern temperature and humidity control systems will improve product preservation and align with global standards. Third, expanding storage infrastructure to underserved cities can ensure more equitable access to cold chain services. Finally, developing export-oriented marketing strategies will enhance international competitiveness and increase the economic returns of the sector</w:t>
      </w:r>
      <w:r w:rsidR="00A37ABF" w:rsidRPr="00FA6F79">
        <w:rPr>
          <w:rStyle w:val="Strong"/>
          <w:rFonts w:ascii="Times New Roman" w:eastAsia="Times New Roman" w:hAnsi="Times New Roman" w:cs="Times New Roman"/>
          <w:b w:val="0"/>
          <w:bCs w:val="0"/>
          <w:color w:val="000000" w:themeColor="text1"/>
          <w:kern w:val="0"/>
          <w:sz w:val="24"/>
          <w:szCs w:val="24"/>
          <w14:ligatures w14:val="none"/>
        </w:rPr>
        <w:t>.</w:t>
      </w:r>
    </w:p>
    <w:bookmarkEnd w:id="12"/>
    <w:p w14:paraId="094BBEC7" w14:textId="77777777" w:rsidR="00FA60E6" w:rsidRPr="001F679F" w:rsidRDefault="00FA60E6" w:rsidP="00FA60E6">
      <w:pPr>
        <w:shd w:val="clear" w:color="auto" w:fill="FFFFFF"/>
        <w:spacing w:after="0" w:line="240" w:lineRule="auto"/>
        <w:jc w:val="center"/>
        <w:rPr>
          <w:rStyle w:val="Hyperlink"/>
          <w:rFonts w:ascii="Times New Roman" w:eastAsia="SimSun" w:hAnsi="Times New Roman" w:cs="Times New Roman"/>
          <w:b/>
          <w:sz w:val="20"/>
          <w:szCs w:val="20"/>
          <w:lang w:eastAsia="pt-BR"/>
        </w:rPr>
      </w:pPr>
    </w:p>
    <w:p w14:paraId="39E29E80" w14:textId="77777777" w:rsidR="00FA60E6" w:rsidRPr="00FA6F79" w:rsidRDefault="00FA60E6" w:rsidP="00FA60E6">
      <w:pPr>
        <w:shd w:val="clear" w:color="auto" w:fill="FFFFFF"/>
        <w:spacing w:after="0" w:line="240" w:lineRule="auto"/>
        <w:rPr>
          <w:rStyle w:val="Strong"/>
          <w:rFonts w:ascii="Times New Roman" w:hAnsi="Times New Roman" w:cs="Times New Roman"/>
          <w:color w:val="222222"/>
          <w:sz w:val="24"/>
          <w:szCs w:val="24"/>
          <w:shd w:val="clear" w:color="auto" w:fill="FFFFFF"/>
          <w:lang w:val="pt-BR"/>
        </w:rPr>
      </w:pPr>
      <w:r w:rsidRPr="00FA6F79">
        <w:rPr>
          <w:rStyle w:val="Strong"/>
          <w:rFonts w:ascii="Times New Roman" w:hAnsi="Times New Roman" w:cs="Times New Roman"/>
          <w:color w:val="222222"/>
          <w:sz w:val="24"/>
          <w:szCs w:val="24"/>
          <w:shd w:val="clear" w:color="auto" w:fill="FFFFFF"/>
          <w:lang w:val="pt-BR"/>
        </w:rPr>
        <w:t>Acknowledgments:</w:t>
      </w:r>
    </w:p>
    <w:p w14:paraId="45E775E8" w14:textId="77777777" w:rsidR="00FA60E6" w:rsidRPr="00FA6F79" w:rsidRDefault="00FA60E6" w:rsidP="00FA60E6">
      <w:pPr>
        <w:shd w:val="clear" w:color="auto" w:fill="FFFFFF"/>
        <w:spacing w:after="0" w:line="240" w:lineRule="auto"/>
        <w:rPr>
          <w:rStyle w:val="Strong"/>
          <w:rFonts w:ascii="Times New Roman" w:hAnsi="Times New Roman" w:cs="Times New Roman"/>
          <w:b w:val="0"/>
          <w:bCs w:val="0"/>
          <w:color w:val="222222"/>
          <w:sz w:val="24"/>
          <w:szCs w:val="24"/>
          <w:shd w:val="clear" w:color="auto" w:fill="FFFFFF"/>
          <w:rtl/>
          <w:lang w:val="pt-BR"/>
        </w:rPr>
      </w:pPr>
      <w:r w:rsidRPr="00FA6F79">
        <w:rPr>
          <w:rStyle w:val="Strong"/>
          <w:rFonts w:ascii="Times New Roman" w:hAnsi="Times New Roman" w:cs="Times New Roman"/>
          <w:b w:val="0"/>
          <w:bCs w:val="0"/>
          <w:color w:val="222222"/>
          <w:sz w:val="24"/>
          <w:szCs w:val="24"/>
          <w:shd w:val="clear" w:color="auto" w:fill="FFFFFF"/>
          <w:lang w:val="pt-BR"/>
        </w:rPr>
        <w:t>We thank, for funding this research project, # IFKSUDR_F170, entitled “Technical and economic aspects in the utilization of dates to be a basic strategic commodity in food security and strategic food storage in Saudi Arabia”.</w:t>
      </w:r>
    </w:p>
    <w:p w14:paraId="2505EB54" w14:textId="730E6068" w:rsidR="004641A4" w:rsidRPr="00332C8D" w:rsidRDefault="004641A4" w:rsidP="001B3AF4">
      <w:pPr>
        <w:spacing w:after="0" w:line="240" w:lineRule="auto"/>
        <w:rPr>
          <w:rStyle w:val="Strong"/>
          <w:rFonts w:ascii="Times New Roman" w:eastAsia="Times New Roman" w:hAnsi="Times New Roman" w:cs="Times New Roman"/>
          <w:b w:val="0"/>
          <w:bCs w:val="0"/>
          <w:color w:val="000000" w:themeColor="text1"/>
          <w:kern w:val="0"/>
          <w:sz w:val="20"/>
          <w:szCs w:val="20"/>
          <w14:ligatures w14:val="none"/>
        </w:rPr>
      </w:pPr>
    </w:p>
    <w:p w14:paraId="2AAC95EE" w14:textId="77777777" w:rsidR="003310B0" w:rsidRPr="00FA6F79" w:rsidRDefault="003310B0" w:rsidP="003310B0">
      <w:pPr>
        <w:spacing w:before="100" w:beforeAutospacing="1" w:after="100" w:afterAutospacing="1" w:line="240" w:lineRule="auto"/>
        <w:rPr>
          <w:rFonts w:ascii="Times New Roman" w:eastAsia="Times New Roman" w:hAnsi="Times New Roman" w:cs="Times New Roman"/>
          <w:b/>
          <w:bCs/>
          <w:kern w:val="0"/>
          <w:sz w:val="24"/>
          <w:szCs w:val="24"/>
          <w:lang w:val="en"/>
          <w14:ligatures w14:val="none"/>
        </w:rPr>
      </w:pPr>
      <w:r w:rsidRPr="00FA6F79">
        <w:rPr>
          <w:rFonts w:ascii="Times New Roman" w:eastAsia="Times New Roman" w:hAnsi="Times New Roman" w:cs="Times New Roman"/>
          <w:b/>
          <w:bCs/>
          <w:kern w:val="0"/>
          <w:sz w:val="24"/>
          <w:szCs w:val="24"/>
          <w:lang w:val="en"/>
          <w14:ligatures w14:val="none"/>
        </w:rPr>
        <w:t>Statements &amp; Declarations:</w:t>
      </w:r>
    </w:p>
    <w:p w14:paraId="3A00A633" w14:textId="77777777" w:rsidR="003310B0" w:rsidRPr="00FA6F79" w:rsidRDefault="003310B0" w:rsidP="003310B0">
      <w:pPr>
        <w:spacing w:before="100" w:beforeAutospacing="1" w:after="100" w:afterAutospacing="1" w:line="240" w:lineRule="auto"/>
        <w:rPr>
          <w:rFonts w:ascii="Times New Roman" w:eastAsia="Times New Roman" w:hAnsi="Times New Roman" w:cs="Times New Roman"/>
          <w:b/>
          <w:bCs/>
          <w:kern w:val="0"/>
          <w:sz w:val="24"/>
          <w:szCs w:val="24"/>
          <w:lang w:val="en"/>
          <w14:ligatures w14:val="none"/>
        </w:rPr>
      </w:pPr>
      <w:r w:rsidRPr="00FA6F79">
        <w:rPr>
          <w:rFonts w:ascii="Times New Roman" w:eastAsia="Times New Roman" w:hAnsi="Times New Roman" w:cs="Times New Roman"/>
          <w:b/>
          <w:bCs/>
          <w:kern w:val="0"/>
          <w:sz w:val="24"/>
          <w:szCs w:val="24"/>
          <w:lang w:val="en"/>
          <w14:ligatures w14:val="none"/>
        </w:rPr>
        <w:t>Funding:</w:t>
      </w:r>
      <w:r w:rsidRPr="00FA6F79">
        <w:rPr>
          <w:rFonts w:ascii="Times New Roman" w:hAnsi="Times New Roman" w:cs="Times New Roman"/>
          <w:sz w:val="24"/>
          <w:szCs w:val="24"/>
        </w:rPr>
        <w:t xml:space="preserve"> </w:t>
      </w:r>
      <w:r w:rsidRPr="00FA6F79">
        <w:rPr>
          <w:rFonts w:ascii="Times New Roman" w:eastAsia="Times New Roman" w:hAnsi="Times New Roman" w:cs="Times New Roman"/>
          <w:kern w:val="0"/>
          <w:sz w:val="24"/>
          <w:szCs w:val="24"/>
          <w:lang w:val="en"/>
          <w14:ligatures w14:val="none"/>
        </w:rPr>
        <w:t>The Agency for Research and Innovation (ARI), Saudi Ministry of Education, research project, # IFKSUDR_F170,</w:t>
      </w:r>
    </w:p>
    <w:p w14:paraId="45F4CB18" w14:textId="77777777" w:rsidR="003310B0" w:rsidRPr="00FA6F79" w:rsidRDefault="003310B0" w:rsidP="003310B0">
      <w:pPr>
        <w:spacing w:after="0" w:line="240" w:lineRule="auto"/>
        <w:rPr>
          <w:rStyle w:val="Strong"/>
          <w:rFonts w:ascii="Times New Roman" w:eastAsia="Times New Roman" w:hAnsi="Times New Roman" w:cs="Times New Roman"/>
          <w:b w:val="0"/>
          <w:bCs w:val="0"/>
          <w:color w:val="000000" w:themeColor="text1"/>
          <w:kern w:val="0"/>
          <w:sz w:val="24"/>
          <w:szCs w:val="24"/>
          <w14:ligatures w14:val="none"/>
        </w:rPr>
      </w:pPr>
      <w:r w:rsidRPr="00FA6F79">
        <w:rPr>
          <w:rStyle w:val="Strong"/>
          <w:rFonts w:ascii="Times New Roman" w:eastAsia="Times New Roman" w:hAnsi="Times New Roman" w:cs="Times New Roman"/>
          <w:color w:val="000000" w:themeColor="text1"/>
          <w:kern w:val="0"/>
          <w:sz w:val="24"/>
          <w:szCs w:val="24"/>
          <w14:ligatures w14:val="none"/>
        </w:rPr>
        <w:t xml:space="preserve">Availability of data and materials: </w:t>
      </w:r>
      <w:r w:rsidRPr="00FA6F79">
        <w:rPr>
          <w:rStyle w:val="Strong"/>
          <w:rFonts w:ascii="Times New Roman" w:eastAsia="Times New Roman" w:hAnsi="Times New Roman" w:cs="Times New Roman"/>
          <w:b w:val="0"/>
          <w:bCs w:val="0"/>
          <w:color w:val="000000" w:themeColor="text1"/>
          <w:kern w:val="0"/>
          <w:sz w:val="24"/>
          <w:szCs w:val="24"/>
          <w14:ligatures w14:val="none"/>
        </w:rPr>
        <w:t>all data contained inside the manuscript.</w:t>
      </w:r>
    </w:p>
    <w:p w14:paraId="5B202604" w14:textId="77777777" w:rsidR="003310B0" w:rsidRPr="00FA6F79" w:rsidRDefault="003310B0" w:rsidP="003310B0">
      <w:pPr>
        <w:spacing w:after="0" w:line="240" w:lineRule="auto"/>
        <w:rPr>
          <w:rFonts w:ascii="Times New Roman" w:eastAsia="Times New Roman" w:hAnsi="Times New Roman" w:cs="Times New Roman"/>
          <w:b/>
          <w:bCs/>
          <w:kern w:val="0"/>
          <w:sz w:val="24"/>
          <w:szCs w:val="24"/>
          <w14:ligatures w14:val="none"/>
        </w:rPr>
      </w:pPr>
    </w:p>
    <w:p w14:paraId="7B5F6089" w14:textId="77777777" w:rsidR="003310B0" w:rsidRPr="00FA6F79" w:rsidRDefault="003310B0" w:rsidP="003310B0">
      <w:pPr>
        <w:spacing w:after="0" w:line="360" w:lineRule="auto"/>
        <w:rPr>
          <w:rFonts w:ascii="Times New Roman" w:eastAsia="Times New Roman" w:hAnsi="Times New Roman" w:cs="Times New Roman"/>
          <w:b/>
          <w:bCs/>
          <w:kern w:val="0"/>
          <w:sz w:val="24"/>
          <w:szCs w:val="24"/>
          <w14:ligatures w14:val="none"/>
        </w:rPr>
      </w:pPr>
      <w:r w:rsidRPr="00FA6F79">
        <w:rPr>
          <w:rFonts w:ascii="Times New Roman" w:eastAsia="Times New Roman" w:hAnsi="Times New Roman" w:cs="Times New Roman"/>
          <w:b/>
          <w:bCs/>
          <w:kern w:val="0"/>
          <w:sz w:val="24"/>
          <w:szCs w:val="24"/>
          <w14:ligatures w14:val="none"/>
        </w:rPr>
        <w:t>Competing Interest:</w:t>
      </w:r>
    </w:p>
    <w:p w14:paraId="09D0EDBA" w14:textId="150755FE" w:rsidR="00A05208" w:rsidRPr="00332C8D" w:rsidRDefault="003310B0" w:rsidP="003310B0">
      <w:pPr>
        <w:spacing w:line="240" w:lineRule="auto"/>
        <w:rPr>
          <w:rStyle w:val="Strong"/>
          <w:rFonts w:ascii="Times New Roman" w:eastAsia="Times New Roman" w:hAnsi="Times New Roman" w:cs="Times New Roman"/>
          <w:color w:val="000000" w:themeColor="text1"/>
          <w:kern w:val="0"/>
          <w:sz w:val="20"/>
          <w:szCs w:val="20"/>
          <w:rtl/>
          <w14:ligatures w14:val="none"/>
        </w:rPr>
      </w:pPr>
      <w:r w:rsidRPr="00FA6F79">
        <w:rPr>
          <w:rFonts w:ascii="Times New Roman" w:eastAsia="Times New Roman" w:hAnsi="Times New Roman" w:cs="Times New Roman"/>
          <w:kern w:val="0"/>
          <w:sz w:val="24"/>
          <w:szCs w:val="24"/>
          <w14:ligatures w14:val="none"/>
        </w:rPr>
        <w:t>“The authors have no relevant financial or non-financial interests to disclose.”.</w:t>
      </w:r>
      <w:r w:rsidR="00A05208" w:rsidRPr="00332C8D">
        <w:rPr>
          <w:rStyle w:val="Strong"/>
          <w:rFonts w:ascii="Times New Roman" w:eastAsia="Times New Roman" w:hAnsi="Times New Roman" w:cs="Times New Roman"/>
          <w:color w:val="000000" w:themeColor="text1"/>
          <w:kern w:val="0"/>
          <w:sz w:val="20"/>
          <w:szCs w:val="20"/>
          <w14:ligatures w14:val="none"/>
        </w:rPr>
        <w:br w:type="page"/>
      </w:r>
    </w:p>
    <w:p w14:paraId="15A76057" w14:textId="458B3DDC" w:rsidR="007F02DE" w:rsidRPr="00FA6F79" w:rsidRDefault="007F02DE" w:rsidP="00FA6F79">
      <w:pPr>
        <w:spacing w:line="240" w:lineRule="auto"/>
        <w:jc w:val="both"/>
        <w:rPr>
          <w:rStyle w:val="Strong"/>
          <w:rFonts w:asciiTheme="majorBidi" w:eastAsia="Times New Roman" w:hAnsiTheme="majorBidi" w:cstheme="majorBidi"/>
          <w:color w:val="000000" w:themeColor="text1"/>
          <w:kern w:val="0"/>
          <w:sz w:val="24"/>
          <w:szCs w:val="24"/>
          <w14:ligatures w14:val="none"/>
        </w:rPr>
      </w:pPr>
      <w:r w:rsidRPr="00FA6F79">
        <w:rPr>
          <w:rStyle w:val="Strong"/>
          <w:rFonts w:asciiTheme="majorBidi" w:eastAsia="Times New Roman" w:hAnsiTheme="majorBidi" w:cstheme="majorBidi"/>
          <w:color w:val="000000" w:themeColor="text1"/>
          <w:kern w:val="0"/>
          <w:sz w:val="24"/>
          <w:szCs w:val="24"/>
          <w14:ligatures w14:val="none"/>
        </w:rPr>
        <w:lastRenderedPageBreak/>
        <w:t>References</w:t>
      </w:r>
    </w:p>
    <w:p w14:paraId="4661184B"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bookmarkStart w:id="13" w:name="_Hlk196209638"/>
      <w:r w:rsidRPr="00FA6F79">
        <w:rPr>
          <w:rFonts w:asciiTheme="majorBidi" w:eastAsia="Times New Roman" w:hAnsiTheme="majorBidi" w:cstheme="majorBidi"/>
          <w:color w:val="000000" w:themeColor="text1"/>
          <w:kern w:val="0"/>
          <w:sz w:val="24"/>
          <w:szCs w:val="24"/>
          <w14:ligatures w14:val="none"/>
        </w:rPr>
        <w:t>Abu Ayana, R. A., Al-Fadda, S. A., &amp; Al-</w:t>
      </w:r>
      <w:proofErr w:type="spellStart"/>
      <w:r w:rsidRPr="00FA6F79">
        <w:rPr>
          <w:rFonts w:asciiTheme="majorBidi" w:eastAsia="Times New Roman" w:hAnsiTheme="majorBidi" w:cstheme="majorBidi"/>
          <w:color w:val="000000" w:themeColor="text1"/>
          <w:kern w:val="0"/>
          <w:sz w:val="24"/>
          <w:szCs w:val="24"/>
          <w14:ligatures w14:val="none"/>
        </w:rPr>
        <w:t>Radiman</w:t>
      </w:r>
      <w:proofErr w:type="spellEnd"/>
      <w:r w:rsidRPr="00FA6F79">
        <w:rPr>
          <w:rFonts w:asciiTheme="majorBidi" w:eastAsia="Times New Roman" w:hAnsiTheme="majorBidi" w:cstheme="majorBidi"/>
          <w:color w:val="000000" w:themeColor="text1"/>
          <w:kern w:val="0"/>
          <w:sz w:val="24"/>
          <w:szCs w:val="24"/>
          <w14:ligatures w14:val="none"/>
        </w:rPr>
        <w:t xml:space="preserve">, K. N. (2014). Organic farming of palm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trees. Awqaf Saleh Al-Rajhi.</w:t>
      </w:r>
    </w:p>
    <w:p w14:paraId="15EDD4EF"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proofErr w:type="spellStart"/>
      <w:r w:rsidRPr="00FA6F79">
        <w:rPr>
          <w:rFonts w:asciiTheme="majorBidi" w:eastAsia="Times New Roman" w:hAnsiTheme="majorBidi" w:cstheme="majorBidi"/>
          <w:color w:val="000000" w:themeColor="text1"/>
          <w:kern w:val="0"/>
          <w:sz w:val="24"/>
          <w:szCs w:val="24"/>
          <w14:ligatures w14:val="none"/>
        </w:rPr>
        <w:t>Alabdulqader</w:t>
      </w:r>
      <w:proofErr w:type="spellEnd"/>
      <w:r w:rsidRPr="00FA6F79">
        <w:rPr>
          <w:rFonts w:asciiTheme="majorBidi" w:eastAsia="Times New Roman" w:hAnsiTheme="majorBidi" w:cstheme="majorBidi"/>
          <w:color w:val="000000" w:themeColor="text1"/>
          <w:kern w:val="0"/>
          <w:sz w:val="24"/>
          <w:szCs w:val="24"/>
          <w14:ligatures w14:val="none"/>
        </w:rPr>
        <w:t xml:space="preserve">, A., Al-Qahtani, S., &amp; Ismail, S. (2016). Date marketing in Saudi Arabia: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Problems and solutions. King Abdulaziz City for Science and Technology.</w:t>
      </w:r>
    </w:p>
    <w:p w14:paraId="600E8693"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07632E">
        <w:rPr>
          <w:rFonts w:asciiTheme="majorBidi" w:eastAsia="Times New Roman" w:hAnsiTheme="majorBidi" w:cstheme="majorBidi"/>
          <w:color w:val="000000" w:themeColor="text1"/>
          <w:kern w:val="0"/>
          <w:sz w:val="24"/>
          <w:szCs w:val="24"/>
          <w14:ligatures w14:val="none"/>
        </w:rPr>
        <w:t xml:space="preserve">Alamri, Y. A., </w:t>
      </w:r>
      <w:proofErr w:type="spellStart"/>
      <w:r w:rsidRPr="0007632E">
        <w:rPr>
          <w:rFonts w:asciiTheme="majorBidi" w:eastAsia="Times New Roman" w:hAnsiTheme="majorBidi" w:cstheme="majorBidi"/>
          <w:color w:val="000000" w:themeColor="text1"/>
          <w:kern w:val="0"/>
          <w:sz w:val="24"/>
          <w:szCs w:val="24"/>
          <w14:ligatures w14:val="none"/>
        </w:rPr>
        <w:t>Alnafissa</w:t>
      </w:r>
      <w:proofErr w:type="spellEnd"/>
      <w:r w:rsidRPr="0007632E">
        <w:rPr>
          <w:rFonts w:asciiTheme="majorBidi" w:eastAsia="Times New Roman" w:hAnsiTheme="majorBidi" w:cstheme="majorBidi"/>
          <w:color w:val="000000" w:themeColor="text1"/>
          <w:kern w:val="0"/>
          <w:sz w:val="24"/>
          <w:szCs w:val="24"/>
          <w14:ligatures w14:val="none"/>
        </w:rPr>
        <w:t xml:space="preserve">, M. A., Kotb, A., </w:t>
      </w:r>
      <w:proofErr w:type="spellStart"/>
      <w:r w:rsidRPr="0007632E">
        <w:rPr>
          <w:rFonts w:asciiTheme="majorBidi" w:eastAsia="Times New Roman" w:hAnsiTheme="majorBidi" w:cstheme="majorBidi"/>
          <w:color w:val="000000" w:themeColor="text1"/>
          <w:kern w:val="0"/>
          <w:sz w:val="24"/>
          <w:szCs w:val="24"/>
          <w14:ligatures w14:val="none"/>
        </w:rPr>
        <w:t>Alagsam</w:t>
      </w:r>
      <w:proofErr w:type="spellEnd"/>
      <w:r w:rsidRPr="0007632E">
        <w:rPr>
          <w:rFonts w:asciiTheme="majorBidi" w:eastAsia="Times New Roman" w:hAnsiTheme="majorBidi" w:cstheme="majorBidi"/>
          <w:color w:val="000000" w:themeColor="text1"/>
          <w:kern w:val="0"/>
          <w:sz w:val="24"/>
          <w:szCs w:val="24"/>
          <w14:ligatures w14:val="none"/>
        </w:rPr>
        <w:t xml:space="preserve">, F., Aldakhil, A. I., </w:t>
      </w:r>
      <w:proofErr w:type="spellStart"/>
      <w:r w:rsidRPr="0007632E">
        <w:rPr>
          <w:rFonts w:asciiTheme="majorBidi" w:eastAsia="Times New Roman" w:hAnsiTheme="majorBidi" w:cstheme="majorBidi"/>
          <w:color w:val="000000" w:themeColor="text1"/>
          <w:kern w:val="0"/>
          <w:sz w:val="24"/>
          <w:szCs w:val="24"/>
          <w14:ligatures w14:val="none"/>
        </w:rPr>
        <w:t>Alfadil</w:t>
      </w:r>
      <w:proofErr w:type="spellEnd"/>
      <w:r w:rsidRPr="0007632E">
        <w:rPr>
          <w:rFonts w:asciiTheme="majorBidi" w:eastAsia="Times New Roman" w:hAnsiTheme="majorBidi" w:cstheme="majorBidi"/>
          <w:color w:val="000000" w:themeColor="text1"/>
          <w:kern w:val="0"/>
          <w:sz w:val="24"/>
          <w:szCs w:val="24"/>
          <w14:ligatures w14:val="none"/>
        </w:rPr>
        <w:t xml:space="preserve">, I. E., </w:t>
      </w:r>
      <w:r w:rsidRPr="00E0230A">
        <w:rPr>
          <w:rFonts w:asciiTheme="majorBidi" w:eastAsia="Times New Roman" w:hAnsiTheme="majorBidi" w:cstheme="majorBidi"/>
          <w:color w:val="000000" w:themeColor="text1"/>
          <w:kern w:val="0"/>
          <w:sz w:val="24"/>
          <w:szCs w:val="24"/>
          <w14:ligatures w14:val="none"/>
        </w:rPr>
        <w:t>Al-</w:t>
      </w:r>
      <w:r>
        <w:rPr>
          <w:rFonts w:asciiTheme="majorBidi" w:eastAsia="Times New Roman" w:hAnsiTheme="majorBidi" w:cstheme="majorBidi"/>
          <w:color w:val="000000" w:themeColor="text1"/>
          <w:kern w:val="0"/>
          <w:sz w:val="24"/>
          <w:szCs w:val="24"/>
          <w14:ligatures w14:val="none"/>
        </w:rPr>
        <w:tab/>
      </w:r>
      <w:proofErr w:type="spellStart"/>
      <w:r w:rsidRPr="00E0230A">
        <w:rPr>
          <w:rFonts w:asciiTheme="majorBidi" w:eastAsia="Times New Roman" w:hAnsiTheme="majorBidi" w:cstheme="majorBidi"/>
          <w:color w:val="000000" w:themeColor="text1"/>
          <w:kern w:val="0"/>
          <w:sz w:val="24"/>
          <w:szCs w:val="24"/>
          <w14:ligatures w14:val="none"/>
        </w:rPr>
        <w:t>Qunaibet</w:t>
      </w:r>
      <w:proofErr w:type="spellEnd"/>
      <w:r>
        <w:rPr>
          <w:rFonts w:asciiTheme="majorBidi" w:eastAsia="Times New Roman" w:hAnsiTheme="majorBidi" w:cstheme="majorBidi"/>
          <w:color w:val="000000" w:themeColor="text1"/>
          <w:kern w:val="0"/>
          <w:sz w:val="24"/>
          <w:szCs w:val="24"/>
          <w14:ligatures w14:val="none"/>
        </w:rPr>
        <w:t>, H.M.,</w:t>
      </w:r>
      <w:r w:rsidRPr="0007632E">
        <w:rPr>
          <w:rFonts w:asciiTheme="majorBidi" w:eastAsia="Times New Roman" w:hAnsiTheme="majorBidi" w:cstheme="majorBidi"/>
          <w:color w:val="000000" w:themeColor="text1"/>
          <w:kern w:val="0"/>
          <w:sz w:val="24"/>
          <w:szCs w:val="24"/>
          <w14:ligatures w14:val="none"/>
        </w:rPr>
        <w:t xml:space="preserve"> &amp; </w:t>
      </w:r>
      <w:proofErr w:type="spellStart"/>
      <w:r w:rsidRPr="0007632E">
        <w:rPr>
          <w:rFonts w:asciiTheme="majorBidi" w:eastAsia="Times New Roman" w:hAnsiTheme="majorBidi" w:cstheme="majorBidi"/>
          <w:color w:val="000000" w:themeColor="text1"/>
          <w:kern w:val="0"/>
          <w:sz w:val="24"/>
          <w:szCs w:val="24"/>
          <w14:ligatures w14:val="none"/>
        </w:rPr>
        <w:t>Alaagib</w:t>
      </w:r>
      <w:proofErr w:type="spellEnd"/>
      <w:r w:rsidRPr="0007632E">
        <w:rPr>
          <w:rFonts w:asciiTheme="majorBidi" w:eastAsia="Times New Roman" w:hAnsiTheme="majorBidi" w:cstheme="majorBidi"/>
          <w:color w:val="000000" w:themeColor="text1"/>
          <w:kern w:val="0"/>
          <w:sz w:val="24"/>
          <w:szCs w:val="24"/>
          <w14:ligatures w14:val="none"/>
        </w:rPr>
        <w:t xml:space="preserve">, S. (2024). Estimating the expected commercial potential of </w:t>
      </w:r>
      <w:r>
        <w:rPr>
          <w:rFonts w:asciiTheme="majorBidi" w:eastAsia="Times New Roman" w:hAnsiTheme="majorBidi" w:cstheme="majorBidi"/>
          <w:color w:val="000000" w:themeColor="text1"/>
          <w:kern w:val="0"/>
          <w:sz w:val="24"/>
          <w:szCs w:val="24"/>
          <w14:ligatures w14:val="none"/>
        </w:rPr>
        <w:tab/>
      </w:r>
      <w:r w:rsidRPr="0007632E">
        <w:rPr>
          <w:rFonts w:asciiTheme="majorBidi" w:eastAsia="Times New Roman" w:hAnsiTheme="majorBidi" w:cstheme="majorBidi"/>
          <w:color w:val="000000" w:themeColor="text1"/>
          <w:kern w:val="0"/>
          <w:sz w:val="24"/>
          <w:szCs w:val="24"/>
          <w14:ligatures w14:val="none"/>
        </w:rPr>
        <w:t xml:space="preserve">Saudi date exports to </w:t>
      </w:r>
      <w:r>
        <w:rPr>
          <w:rFonts w:asciiTheme="majorBidi" w:eastAsia="Times New Roman" w:hAnsiTheme="majorBidi" w:cstheme="majorBidi"/>
          <w:color w:val="000000" w:themeColor="text1"/>
          <w:kern w:val="0"/>
          <w:sz w:val="24"/>
          <w:szCs w:val="24"/>
          <w14:ligatures w14:val="none"/>
        </w:rPr>
        <w:tab/>
      </w:r>
      <w:r w:rsidRPr="0007632E">
        <w:rPr>
          <w:rFonts w:asciiTheme="majorBidi" w:eastAsia="Times New Roman" w:hAnsiTheme="majorBidi" w:cstheme="majorBidi"/>
          <w:color w:val="000000" w:themeColor="text1"/>
          <w:kern w:val="0"/>
          <w:sz w:val="24"/>
          <w:szCs w:val="24"/>
          <w14:ligatures w14:val="none"/>
        </w:rPr>
        <w:t xml:space="preserve">Middle Eastern countries using the gravity </w:t>
      </w:r>
      <w:r>
        <w:rPr>
          <w:rFonts w:asciiTheme="majorBidi" w:eastAsia="Times New Roman" w:hAnsiTheme="majorBidi" w:cstheme="majorBidi"/>
          <w:color w:val="000000" w:themeColor="text1"/>
          <w:kern w:val="0"/>
          <w:sz w:val="24"/>
          <w:szCs w:val="24"/>
          <w14:ligatures w14:val="none"/>
        </w:rPr>
        <w:tab/>
      </w:r>
      <w:r w:rsidRPr="0007632E">
        <w:rPr>
          <w:rFonts w:asciiTheme="majorBidi" w:eastAsia="Times New Roman" w:hAnsiTheme="majorBidi" w:cstheme="majorBidi"/>
          <w:color w:val="000000" w:themeColor="text1"/>
          <w:kern w:val="0"/>
          <w:sz w:val="24"/>
          <w:szCs w:val="24"/>
          <w14:ligatures w14:val="none"/>
        </w:rPr>
        <w:t>model. </w:t>
      </w:r>
      <w:r w:rsidRPr="0007632E">
        <w:rPr>
          <w:rFonts w:asciiTheme="majorBidi" w:eastAsia="Times New Roman" w:hAnsiTheme="majorBidi" w:cstheme="majorBidi"/>
          <w:i/>
          <w:iCs/>
          <w:color w:val="000000" w:themeColor="text1"/>
          <w:kern w:val="0"/>
          <w:sz w:val="24"/>
          <w:szCs w:val="24"/>
          <w14:ligatures w14:val="none"/>
        </w:rPr>
        <w:t>Sustainability</w:t>
      </w:r>
      <w:r w:rsidRPr="0007632E">
        <w:rPr>
          <w:rFonts w:asciiTheme="majorBidi" w:eastAsia="Times New Roman" w:hAnsiTheme="majorBidi" w:cstheme="majorBidi"/>
          <w:color w:val="000000" w:themeColor="text1"/>
          <w:kern w:val="0"/>
          <w:sz w:val="24"/>
          <w:szCs w:val="24"/>
          <w14:ligatures w14:val="none"/>
        </w:rPr>
        <w:t>, </w:t>
      </w:r>
      <w:r w:rsidRPr="0007632E">
        <w:rPr>
          <w:rFonts w:asciiTheme="majorBidi" w:eastAsia="Times New Roman" w:hAnsiTheme="majorBidi" w:cstheme="majorBidi"/>
          <w:i/>
          <w:iCs/>
          <w:color w:val="000000" w:themeColor="text1"/>
          <w:kern w:val="0"/>
          <w:sz w:val="24"/>
          <w:szCs w:val="24"/>
          <w14:ligatures w14:val="none"/>
        </w:rPr>
        <w:t>16</w:t>
      </w:r>
      <w:r w:rsidRPr="0007632E">
        <w:rPr>
          <w:rFonts w:asciiTheme="majorBidi" w:eastAsia="Times New Roman" w:hAnsiTheme="majorBidi" w:cstheme="majorBidi"/>
          <w:color w:val="000000" w:themeColor="text1"/>
          <w:kern w:val="0"/>
          <w:sz w:val="24"/>
          <w:szCs w:val="24"/>
          <w14:ligatures w14:val="none"/>
        </w:rPr>
        <w:t>(6), 2552.</w:t>
      </w:r>
      <w:r>
        <w:rPr>
          <w:rFonts w:asciiTheme="majorBidi" w:eastAsia="Times New Roman" w:hAnsiTheme="majorBidi" w:cstheme="majorBidi"/>
          <w:color w:val="000000" w:themeColor="text1"/>
          <w:kern w:val="0"/>
          <w:sz w:val="24"/>
          <w:szCs w:val="24"/>
          <w14:ligatures w14:val="none"/>
        </w:rPr>
        <w:t xml:space="preserve"> </w:t>
      </w:r>
      <w:r>
        <w:rPr>
          <w:rFonts w:asciiTheme="majorBidi" w:eastAsia="Times New Roman" w:hAnsiTheme="majorBidi" w:cstheme="majorBidi"/>
          <w:color w:val="000000" w:themeColor="text1"/>
          <w:kern w:val="0"/>
          <w:sz w:val="24"/>
          <w:szCs w:val="24"/>
          <w14:ligatures w14:val="none"/>
        </w:rPr>
        <w:tab/>
      </w:r>
      <w:hyperlink r:id="rId22" w:history="1">
        <w:r w:rsidRPr="00F753B3">
          <w:rPr>
            <w:rStyle w:val="Hyperlink"/>
            <w:rFonts w:asciiTheme="majorBidi" w:eastAsia="Times New Roman" w:hAnsiTheme="majorBidi" w:cstheme="majorBidi"/>
            <w:kern w:val="0"/>
            <w:sz w:val="24"/>
            <w:szCs w:val="24"/>
            <w14:ligatures w14:val="none"/>
          </w:rPr>
          <w:t>https://doi.org/10.3390/su16062552</w:t>
        </w:r>
      </w:hyperlink>
      <w:r>
        <w:rPr>
          <w:rFonts w:asciiTheme="majorBidi" w:eastAsia="Times New Roman" w:hAnsiTheme="majorBidi" w:cstheme="majorBidi"/>
          <w:color w:val="000000" w:themeColor="text1"/>
          <w:kern w:val="0"/>
          <w:sz w:val="24"/>
          <w:szCs w:val="24"/>
          <w14:ligatures w14:val="none"/>
        </w:rPr>
        <w:t xml:space="preserve"> </w:t>
      </w:r>
    </w:p>
    <w:p w14:paraId="284DA69F"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hAnsiTheme="majorBidi" w:cstheme="majorBidi"/>
          <w:sz w:val="24"/>
          <w:szCs w:val="24"/>
        </w:rPr>
        <w:t xml:space="preserve">Aleid, S. M., Elansari, A. M., Tang, Z.-X., &amp; </w:t>
      </w:r>
      <w:proofErr w:type="spellStart"/>
      <w:r w:rsidRPr="00FA6F79">
        <w:rPr>
          <w:rFonts w:asciiTheme="majorBidi" w:hAnsiTheme="majorBidi" w:cstheme="majorBidi"/>
          <w:sz w:val="24"/>
          <w:szCs w:val="24"/>
        </w:rPr>
        <w:t>Almaiman</w:t>
      </w:r>
      <w:proofErr w:type="spellEnd"/>
      <w:r w:rsidRPr="00FA6F79">
        <w:rPr>
          <w:rFonts w:asciiTheme="majorBidi" w:hAnsiTheme="majorBidi" w:cstheme="majorBidi"/>
          <w:sz w:val="24"/>
          <w:szCs w:val="24"/>
        </w:rPr>
        <w:t xml:space="preserve">, S. A. (2014). </w:t>
      </w:r>
      <w:r w:rsidRPr="00FA6F79">
        <w:rPr>
          <w:rStyle w:val="Emphasis"/>
          <w:rFonts w:asciiTheme="majorBidi" w:hAnsiTheme="majorBidi" w:cstheme="majorBidi"/>
          <w:sz w:val="24"/>
          <w:szCs w:val="24"/>
        </w:rPr>
        <w:t xml:space="preserve">Effect of Frozen Storage </w:t>
      </w:r>
      <w:r>
        <w:rPr>
          <w:rStyle w:val="Emphasis"/>
          <w:rFonts w:asciiTheme="majorBidi" w:hAnsiTheme="majorBidi" w:cstheme="majorBidi"/>
          <w:sz w:val="24"/>
          <w:szCs w:val="24"/>
        </w:rPr>
        <w:tab/>
      </w:r>
      <w:r w:rsidRPr="00FA6F79">
        <w:rPr>
          <w:rStyle w:val="Emphasis"/>
          <w:rFonts w:asciiTheme="majorBidi" w:hAnsiTheme="majorBidi" w:cstheme="majorBidi"/>
          <w:sz w:val="24"/>
          <w:szCs w:val="24"/>
        </w:rPr>
        <w:t xml:space="preserve">and Packing Type on </w:t>
      </w:r>
      <w:proofErr w:type="spellStart"/>
      <w:r w:rsidRPr="00FA6F79">
        <w:rPr>
          <w:rStyle w:val="Emphasis"/>
          <w:rFonts w:asciiTheme="majorBidi" w:hAnsiTheme="majorBidi" w:cstheme="majorBidi"/>
          <w:sz w:val="24"/>
          <w:szCs w:val="24"/>
        </w:rPr>
        <w:t>Khalas</w:t>
      </w:r>
      <w:proofErr w:type="spellEnd"/>
      <w:r w:rsidRPr="00FA6F79">
        <w:rPr>
          <w:rStyle w:val="Emphasis"/>
          <w:rFonts w:asciiTheme="majorBidi" w:hAnsiTheme="majorBidi" w:cstheme="majorBidi"/>
          <w:sz w:val="24"/>
          <w:szCs w:val="24"/>
        </w:rPr>
        <w:t xml:space="preserve"> and </w:t>
      </w:r>
      <w:proofErr w:type="spellStart"/>
      <w:r w:rsidRPr="00FA6F79">
        <w:rPr>
          <w:rStyle w:val="Emphasis"/>
          <w:rFonts w:asciiTheme="majorBidi" w:hAnsiTheme="majorBidi" w:cstheme="majorBidi"/>
          <w:sz w:val="24"/>
          <w:szCs w:val="24"/>
        </w:rPr>
        <w:t>Sukkary</w:t>
      </w:r>
      <w:proofErr w:type="spellEnd"/>
      <w:r w:rsidRPr="00FA6F79">
        <w:rPr>
          <w:rStyle w:val="Emphasis"/>
          <w:rFonts w:asciiTheme="majorBidi" w:hAnsiTheme="majorBidi" w:cstheme="majorBidi"/>
          <w:sz w:val="24"/>
          <w:szCs w:val="24"/>
        </w:rPr>
        <w:t xml:space="preserve"> Dates Quality</w:t>
      </w:r>
      <w:r w:rsidRPr="00FA6F79">
        <w:rPr>
          <w:rFonts w:asciiTheme="majorBidi" w:hAnsiTheme="majorBidi" w:cstheme="majorBidi"/>
          <w:sz w:val="24"/>
          <w:szCs w:val="24"/>
        </w:rPr>
        <w:t xml:space="preserve">. American Journal of Food </w:t>
      </w:r>
      <w:r>
        <w:rPr>
          <w:rFonts w:asciiTheme="majorBidi" w:hAnsiTheme="majorBidi" w:cstheme="majorBidi"/>
          <w:sz w:val="24"/>
          <w:szCs w:val="24"/>
        </w:rPr>
        <w:tab/>
      </w:r>
      <w:r w:rsidRPr="00FA6F79">
        <w:rPr>
          <w:rFonts w:asciiTheme="majorBidi" w:hAnsiTheme="majorBidi" w:cstheme="majorBidi"/>
          <w:sz w:val="24"/>
          <w:szCs w:val="24"/>
        </w:rPr>
        <w:t xml:space="preserve">Technology, </w:t>
      </w:r>
      <w:r w:rsidRPr="00FA6F79">
        <w:rPr>
          <w:rStyle w:val="Strong"/>
          <w:rFonts w:asciiTheme="majorBidi" w:hAnsiTheme="majorBidi" w:cstheme="majorBidi"/>
          <w:sz w:val="24"/>
          <w:szCs w:val="24"/>
        </w:rPr>
        <w:t>9</w:t>
      </w:r>
      <w:r w:rsidRPr="00FA6F79">
        <w:rPr>
          <w:rFonts w:asciiTheme="majorBidi" w:hAnsiTheme="majorBidi" w:cstheme="majorBidi"/>
          <w:sz w:val="24"/>
          <w:szCs w:val="24"/>
        </w:rPr>
        <w:t xml:space="preserve">(2), 127-135. </w:t>
      </w:r>
      <w:hyperlink r:id="rId23" w:history="1">
        <w:r w:rsidRPr="00F753B3">
          <w:rPr>
            <w:rStyle w:val="Hyperlink"/>
            <w:rFonts w:asciiTheme="majorBidi" w:hAnsiTheme="majorBidi" w:cstheme="majorBidi"/>
            <w:sz w:val="24"/>
            <w:szCs w:val="24"/>
          </w:rPr>
          <w:t>https://doi.org/10.3923/ajft.2014.127.135</w:t>
        </w:r>
      </w:hyperlink>
      <w:r>
        <w:rPr>
          <w:rFonts w:asciiTheme="majorBidi" w:hAnsiTheme="majorBidi" w:cstheme="majorBidi"/>
          <w:sz w:val="24"/>
          <w:szCs w:val="24"/>
        </w:rPr>
        <w:t xml:space="preserve"> </w:t>
      </w:r>
      <w:r w:rsidRPr="00FA6F79">
        <w:rPr>
          <w:rFonts w:asciiTheme="majorBidi" w:hAnsiTheme="majorBidi" w:cstheme="majorBidi"/>
          <w:sz w:val="24"/>
          <w:szCs w:val="24"/>
        </w:rPr>
        <w:t xml:space="preserve"> </w:t>
      </w:r>
      <w:r>
        <w:rPr>
          <w:rFonts w:asciiTheme="majorBidi" w:hAnsiTheme="majorBidi" w:cstheme="majorBidi"/>
          <w:sz w:val="24"/>
          <w:szCs w:val="24"/>
        </w:rPr>
        <w:t xml:space="preserve"> </w:t>
      </w:r>
    </w:p>
    <w:p w14:paraId="45FDE6D8"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 xml:space="preserve">Alhamdan, A., Hassan, B., </w:t>
      </w:r>
      <w:proofErr w:type="spellStart"/>
      <w:r w:rsidRPr="00FA6F79">
        <w:rPr>
          <w:rFonts w:asciiTheme="majorBidi" w:eastAsia="Times New Roman" w:hAnsiTheme="majorBidi" w:cstheme="majorBidi"/>
          <w:color w:val="000000" w:themeColor="text1"/>
          <w:kern w:val="0"/>
          <w:sz w:val="24"/>
          <w:szCs w:val="24"/>
          <w14:ligatures w14:val="none"/>
        </w:rPr>
        <w:t>Alkahtani</w:t>
      </w:r>
      <w:proofErr w:type="spellEnd"/>
      <w:r w:rsidRPr="00FA6F79">
        <w:rPr>
          <w:rFonts w:asciiTheme="majorBidi" w:eastAsia="Times New Roman" w:hAnsiTheme="majorBidi" w:cstheme="majorBidi"/>
          <w:color w:val="000000" w:themeColor="text1"/>
          <w:kern w:val="0"/>
          <w:sz w:val="24"/>
          <w:szCs w:val="24"/>
          <w14:ligatures w14:val="none"/>
        </w:rPr>
        <w:t xml:space="preserve">, H., Abdelkarim, D., &amp; Younis, M. (2018). Freezing of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 xml:space="preserve">fresh Barhi dates for quality preservation during frozen storage. Saudi Journal of Biological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Sciences, 25(8), 1552–1561.</w:t>
      </w:r>
      <w:r>
        <w:rPr>
          <w:rFonts w:asciiTheme="majorBidi" w:eastAsia="Times New Roman" w:hAnsiTheme="majorBidi" w:cstheme="majorBidi"/>
          <w:color w:val="000000" w:themeColor="text1"/>
          <w:kern w:val="0"/>
          <w:sz w:val="24"/>
          <w:szCs w:val="24"/>
          <w14:ligatures w14:val="none"/>
        </w:rPr>
        <w:t xml:space="preserve"> </w:t>
      </w:r>
      <w:hyperlink r:id="rId24" w:tgtFrame="_blank" w:tooltip="Persistent link using digital object identifier" w:history="1">
        <w:r w:rsidRPr="004732A0">
          <w:rPr>
            <w:rStyle w:val="Hyperlink"/>
            <w:rFonts w:asciiTheme="majorBidi" w:eastAsia="Times New Roman" w:hAnsiTheme="majorBidi" w:cstheme="majorBidi"/>
            <w:kern w:val="0"/>
            <w:sz w:val="24"/>
            <w:szCs w:val="24"/>
            <w14:ligatures w14:val="none"/>
          </w:rPr>
          <w:t>https://doi.org/10.1016/j.sjbs.2016.02.003</w:t>
        </w:r>
      </w:hyperlink>
    </w:p>
    <w:p w14:paraId="388DD871"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Al-Husseini, K. S. A. (2000). Domestic and international demand for Saudi dates (</w:t>
      </w:r>
      <w:proofErr w:type="gramStart"/>
      <w:r w:rsidRPr="00FA6F79">
        <w:rPr>
          <w:rFonts w:asciiTheme="majorBidi" w:eastAsia="Times New Roman" w:hAnsiTheme="majorBidi" w:cstheme="majorBidi"/>
          <w:color w:val="000000" w:themeColor="text1"/>
          <w:kern w:val="0"/>
          <w:sz w:val="24"/>
          <w:szCs w:val="24"/>
          <w14:ligatures w14:val="none"/>
        </w:rPr>
        <w:t>Master’s</w:t>
      </w:r>
      <w:proofErr w:type="gramEnd"/>
      <w:r w:rsidRPr="00FA6F79">
        <w:rPr>
          <w:rFonts w:asciiTheme="majorBidi" w:eastAsia="Times New Roman" w:hAnsiTheme="majorBidi" w:cstheme="majorBidi"/>
          <w:color w:val="000000" w:themeColor="text1"/>
          <w:kern w:val="0"/>
          <w:sz w:val="24"/>
          <w:szCs w:val="24"/>
          <w14:ligatures w14:val="none"/>
        </w:rPr>
        <w:t xml:space="preserve">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 xml:space="preserve">thesis in Agricultural Economics). College of Food and Agricultural Sciences, King Faisal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University, Al-Ahsa, Saudi Arabia.</w:t>
      </w:r>
    </w:p>
    <w:p w14:paraId="34B53713" w14:textId="77777777" w:rsidR="00473026" w:rsidRDefault="00473026" w:rsidP="00473026">
      <w:pPr>
        <w:spacing w:after="0" w:line="360" w:lineRule="auto"/>
        <w:ind w:left="360"/>
        <w:contextualSpacing/>
        <w:jc w:val="both"/>
        <w:rPr>
          <w:rFonts w:asciiTheme="majorBidi" w:eastAsia="Times New Roman" w:hAnsiTheme="majorBidi" w:cstheme="majorBidi"/>
          <w:kern w:val="0"/>
          <w:sz w:val="24"/>
          <w:szCs w:val="24"/>
          <w14:ligatures w14:val="none"/>
        </w:rPr>
      </w:pPr>
      <w:r w:rsidRPr="00A917C0">
        <w:rPr>
          <w:rFonts w:asciiTheme="majorBidi" w:eastAsia="Times New Roman" w:hAnsiTheme="majorBidi" w:cstheme="majorBidi"/>
          <w:kern w:val="0"/>
          <w:sz w:val="24"/>
          <w:szCs w:val="24"/>
          <w14:ligatures w14:val="none"/>
        </w:rPr>
        <w:t xml:space="preserve">Alqahtani, N. K., </w:t>
      </w:r>
      <w:proofErr w:type="spellStart"/>
      <w:r w:rsidRPr="00A917C0">
        <w:rPr>
          <w:rFonts w:asciiTheme="majorBidi" w:eastAsia="Times New Roman" w:hAnsiTheme="majorBidi" w:cstheme="majorBidi"/>
          <w:kern w:val="0"/>
          <w:sz w:val="24"/>
          <w:szCs w:val="24"/>
          <w14:ligatures w14:val="none"/>
        </w:rPr>
        <w:t>Alkhamis</w:t>
      </w:r>
      <w:proofErr w:type="spellEnd"/>
      <w:r w:rsidRPr="00A917C0">
        <w:rPr>
          <w:rFonts w:asciiTheme="majorBidi" w:eastAsia="Times New Roman" w:hAnsiTheme="majorBidi" w:cstheme="majorBidi"/>
          <w:kern w:val="0"/>
          <w:sz w:val="24"/>
          <w:szCs w:val="24"/>
          <w14:ligatures w14:val="none"/>
        </w:rPr>
        <w:t xml:space="preserve">, B., </w:t>
      </w:r>
      <w:proofErr w:type="spellStart"/>
      <w:r w:rsidRPr="00A917C0">
        <w:rPr>
          <w:rFonts w:asciiTheme="majorBidi" w:eastAsia="Times New Roman" w:hAnsiTheme="majorBidi" w:cstheme="majorBidi"/>
          <w:kern w:val="0"/>
          <w:sz w:val="24"/>
          <w:szCs w:val="24"/>
          <w14:ligatures w14:val="none"/>
        </w:rPr>
        <w:t>Alnemr</w:t>
      </w:r>
      <w:proofErr w:type="spellEnd"/>
      <w:r w:rsidRPr="00A917C0">
        <w:rPr>
          <w:rFonts w:asciiTheme="majorBidi" w:eastAsia="Times New Roman" w:hAnsiTheme="majorBidi" w:cstheme="majorBidi"/>
          <w:kern w:val="0"/>
          <w:sz w:val="24"/>
          <w:szCs w:val="24"/>
          <w14:ligatures w14:val="none"/>
        </w:rPr>
        <w:t xml:space="preserve">, T. M., &amp; Mohammed, M. (2025). Combined </w:t>
      </w:r>
      <w:r>
        <w:rPr>
          <w:rFonts w:asciiTheme="majorBidi" w:eastAsia="Times New Roman" w:hAnsiTheme="majorBidi" w:cstheme="majorBidi"/>
          <w:kern w:val="0"/>
          <w:sz w:val="24"/>
          <w:szCs w:val="24"/>
          <w14:ligatures w14:val="none"/>
        </w:rPr>
        <w:tab/>
      </w:r>
      <w:r w:rsidRPr="00A917C0">
        <w:rPr>
          <w:rFonts w:asciiTheme="majorBidi" w:eastAsia="Times New Roman" w:hAnsiTheme="majorBidi" w:cstheme="majorBidi"/>
          <w:kern w:val="0"/>
          <w:sz w:val="24"/>
          <w:szCs w:val="24"/>
          <w14:ligatures w14:val="none"/>
        </w:rPr>
        <w:t xml:space="preserve">influences of edible coating and storage conditions on the quality of fresh dates: an </w:t>
      </w:r>
      <w:r>
        <w:rPr>
          <w:rFonts w:asciiTheme="majorBidi" w:eastAsia="Times New Roman" w:hAnsiTheme="majorBidi" w:cstheme="majorBidi"/>
          <w:kern w:val="0"/>
          <w:sz w:val="24"/>
          <w:szCs w:val="24"/>
          <w14:ligatures w14:val="none"/>
        </w:rPr>
        <w:tab/>
      </w:r>
      <w:r w:rsidRPr="00A917C0">
        <w:rPr>
          <w:rFonts w:asciiTheme="majorBidi" w:eastAsia="Times New Roman" w:hAnsiTheme="majorBidi" w:cstheme="majorBidi"/>
          <w:kern w:val="0"/>
          <w:sz w:val="24"/>
          <w:szCs w:val="24"/>
          <w14:ligatures w14:val="none"/>
        </w:rPr>
        <w:t>investigation and predictive analysis using artificial neural networks. </w:t>
      </w:r>
      <w:proofErr w:type="spellStart"/>
      <w:r w:rsidRPr="00A917C0">
        <w:rPr>
          <w:rFonts w:asciiTheme="majorBidi" w:eastAsia="Times New Roman" w:hAnsiTheme="majorBidi" w:cstheme="majorBidi"/>
          <w:i/>
          <w:iCs/>
          <w:kern w:val="0"/>
          <w:sz w:val="24"/>
          <w:szCs w:val="24"/>
          <w14:ligatures w14:val="none"/>
        </w:rPr>
        <w:t>Heliyon</w:t>
      </w:r>
      <w:proofErr w:type="spellEnd"/>
      <w:r w:rsidRPr="00A917C0">
        <w:rPr>
          <w:rFonts w:asciiTheme="majorBidi" w:eastAsia="Times New Roman" w:hAnsiTheme="majorBidi" w:cstheme="majorBidi"/>
          <w:kern w:val="0"/>
          <w:sz w:val="24"/>
          <w:szCs w:val="24"/>
          <w14:ligatures w14:val="none"/>
        </w:rPr>
        <w:t>, </w:t>
      </w:r>
      <w:r w:rsidRPr="00A917C0">
        <w:rPr>
          <w:rFonts w:asciiTheme="majorBidi" w:eastAsia="Times New Roman" w:hAnsiTheme="majorBidi" w:cstheme="majorBidi"/>
          <w:i/>
          <w:iCs/>
          <w:kern w:val="0"/>
          <w:sz w:val="24"/>
          <w:szCs w:val="24"/>
          <w14:ligatures w14:val="none"/>
        </w:rPr>
        <w:t>11</w:t>
      </w:r>
      <w:r w:rsidRPr="00A917C0">
        <w:rPr>
          <w:rFonts w:asciiTheme="majorBidi" w:eastAsia="Times New Roman" w:hAnsiTheme="majorBidi" w:cstheme="majorBidi"/>
          <w:kern w:val="0"/>
          <w:sz w:val="24"/>
          <w:szCs w:val="24"/>
          <w14:ligatures w14:val="none"/>
        </w:rPr>
        <w:t>(4).</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t>https://doi.org/</w:t>
      </w:r>
      <w:hyperlink r:id="rId25" w:tgtFrame="_blank" w:history="1">
        <w:proofErr w:type="gramStart"/>
        <w:r w:rsidRPr="00451450">
          <w:rPr>
            <w:rStyle w:val="Hyperlink"/>
            <w:rFonts w:asciiTheme="majorBidi" w:eastAsia="Times New Roman" w:hAnsiTheme="majorBidi" w:cstheme="majorBidi"/>
            <w:kern w:val="0"/>
            <w:sz w:val="24"/>
            <w:szCs w:val="24"/>
            <w14:ligatures w14:val="none"/>
          </w:rPr>
          <w:t>10.1016/j.heliyon.2025.e</w:t>
        </w:r>
        <w:proofErr w:type="gramEnd"/>
        <w:r w:rsidRPr="00451450">
          <w:rPr>
            <w:rStyle w:val="Hyperlink"/>
            <w:rFonts w:asciiTheme="majorBidi" w:eastAsia="Times New Roman" w:hAnsiTheme="majorBidi" w:cstheme="majorBidi"/>
            <w:kern w:val="0"/>
            <w:sz w:val="24"/>
            <w:szCs w:val="24"/>
            <w14:ligatures w14:val="none"/>
          </w:rPr>
          <w:t>42373 </w:t>
        </w:r>
      </w:hyperlink>
    </w:p>
    <w:p w14:paraId="270EAD72"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 xml:space="preserve">Alqahtani, S. H., &amp; Khalifa, A. M. (2008). Post-harvest technology and its relationship to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 xml:space="preserve">marketing losses and agricultural economic resources for major vegetable and fruit crops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 xml:space="preserve">in Saudi Arabia. Department of Agricultural Economics, Research Center, College of Food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and Agricultural Sciences, King Saud University, Saudi Arabia.</w:t>
      </w:r>
    </w:p>
    <w:p w14:paraId="7920A436" w14:textId="77777777" w:rsidR="00473026" w:rsidRDefault="00473026" w:rsidP="00473026">
      <w:pPr>
        <w:spacing w:after="0" w:line="360" w:lineRule="auto"/>
        <w:ind w:left="360"/>
        <w:contextualSpacing/>
        <w:jc w:val="both"/>
        <w:rPr>
          <w:rFonts w:asciiTheme="majorBidi" w:eastAsia="Times New Roman" w:hAnsiTheme="majorBidi" w:cstheme="majorBidi"/>
          <w:kern w:val="0"/>
          <w:sz w:val="24"/>
          <w:szCs w:val="24"/>
          <w14:ligatures w14:val="none"/>
        </w:rPr>
      </w:pPr>
      <w:r w:rsidRPr="00884897">
        <w:rPr>
          <w:rFonts w:asciiTheme="majorBidi" w:eastAsia="Times New Roman" w:hAnsiTheme="majorBidi" w:cstheme="majorBidi"/>
          <w:kern w:val="0"/>
          <w:sz w:val="24"/>
          <w:szCs w:val="24"/>
          <w14:ligatures w14:val="none"/>
        </w:rPr>
        <w:t xml:space="preserve">Cherif, S., Le </w:t>
      </w:r>
      <w:proofErr w:type="spellStart"/>
      <w:r w:rsidRPr="00884897">
        <w:rPr>
          <w:rFonts w:asciiTheme="majorBidi" w:eastAsia="Times New Roman" w:hAnsiTheme="majorBidi" w:cstheme="majorBidi"/>
          <w:kern w:val="0"/>
          <w:sz w:val="24"/>
          <w:szCs w:val="24"/>
          <w14:ligatures w14:val="none"/>
        </w:rPr>
        <w:t>Bourvellec</w:t>
      </w:r>
      <w:proofErr w:type="spellEnd"/>
      <w:r w:rsidRPr="00884897">
        <w:rPr>
          <w:rFonts w:asciiTheme="majorBidi" w:eastAsia="Times New Roman" w:hAnsiTheme="majorBidi" w:cstheme="majorBidi"/>
          <w:kern w:val="0"/>
          <w:sz w:val="24"/>
          <w:szCs w:val="24"/>
          <w14:ligatures w14:val="none"/>
        </w:rPr>
        <w:t xml:space="preserve">, C., Bureau, S., &amp; </w:t>
      </w:r>
      <w:proofErr w:type="spellStart"/>
      <w:r w:rsidRPr="00884897">
        <w:rPr>
          <w:rFonts w:asciiTheme="majorBidi" w:eastAsia="Times New Roman" w:hAnsiTheme="majorBidi" w:cstheme="majorBidi"/>
          <w:kern w:val="0"/>
          <w:sz w:val="24"/>
          <w:szCs w:val="24"/>
          <w14:ligatures w14:val="none"/>
        </w:rPr>
        <w:t>Benabda</w:t>
      </w:r>
      <w:proofErr w:type="spellEnd"/>
      <w:r w:rsidRPr="00884897">
        <w:rPr>
          <w:rFonts w:asciiTheme="majorBidi" w:eastAsia="Times New Roman" w:hAnsiTheme="majorBidi" w:cstheme="majorBidi"/>
          <w:kern w:val="0"/>
          <w:sz w:val="24"/>
          <w:szCs w:val="24"/>
          <w14:ligatures w14:val="none"/>
        </w:rPr>
        <w:t xml:space="preserve">, J. (2021). Effect of storage conditions </w:t>
      </w:r>
      <w:r>
        <w:rPr>
          <w:rFonts w:asciiTheme="majorBidi" w:eastAsia="Times New Roman" w:hAnsiTheme="majorBidi" w:cstheme="majorBidi"/>
          <w:kern w:val="0"/>
          <w:sz w:val="24"/>
          <w:szCs w:val="24"/>
          <w14:ligatures w14:val="none"/>
        </w:rPr>
        <w:tab/>
      </w:r>
      <w:r w:rsidRPr="00884897">
        <w:rPr>
          <w:rFonts w:asciiTheme="majorBidi" w:eastAsia="Times New Roman" w:hAnsiTheme="majorBidi" w:cstheme="majorBidi"/>
          <w:kern w:val="0"/>
          <w:sz w:val="24"/>
          <w:szCs w:val="24"/>
          <w14:ligatures w14:val="none"/>
        </w:rPr>
        <w:t>on ‘</w:t>
      </w:r>
      <w:proofErr w:type="spellStart"/>
      <w:r w:rsidRPr="00884897">
        <w:rPr>
          <w:rFonts w:asciiTheme="majorBidi" w:eastAsia="Times New Roman" w:hAnsiTheme="majorBidi" w:cstheme="majorBidi"/>
          <w:kern w:val="0"/>
          <w:sz w:val="24"/>
          <w:szCs w:val="24"/>
          <w14:ligatures w14:val="none"/>
        </w:rPr>
        <w:t>Deglet</w:t>
      </w:r>
      <w:proofErr w:type="spellEnd"/>
      <w:r w:rsidRPr="00884897">
        <w:rPr>
          <w:rFonts w:asciiTheme="majorBidi" w:eastAsia="Times New Roman" w:hAnsiTheme="majorBidi" w:cstheme="majorBidi"/>
          <w:kern w:val="0"/>
          <w:sz w:val="24"/>
          <w:szCs w:val="24"/>
          <w14:ligatures w14:val="none"/>
        </w:rPr>
        <w:t xml:space="preserve"> </w:t>
      </w:r>
      <w:proofErr w:type="spellStart"/>
      <w:r w:rsidRPr="00884897">
        <w:rPr>
          <w:rFonts w:asciiTheme="majorBidi" w:eastAsia="Times New Roman" w:hAnsiTheme="majorBidi" w:cstheme="majorBidi"/>
          <w:kern w:val="0"/>
          <w:sz w:val="24"/>
          <w:szCs w:val="24"/>
          <w14:ligatures w14:val="none"/>
        </w:rPr>
        <w:t>Nour’date</w:t>
      </w:r>
      <w:proofErr w:type="spellEnd"/>
      <w:r w:rsidRPr="00884897">
        <w:rPr>
          <w:rFonts w:asciiTheme="majorBidi" w:eastAsia="Times New Roman" w:hAnsiTheme="majorBidi" w:cstheme="majorBidi"/>
          <w:kern w:val="0"/>
          <w:sz w:val="24"/>
          <w:szCs w:val="24"/>
          <w14:ligatures w14:val="none"/>
        </w:rPr>
        <w:t xml:space="preserve"> palm fruit organoleptic and nutritional quality. </w:t>
      </w:r>
      <w:proofErr w:type="spellStart"/>
      <w:r w:rsidRPr="00884897">
        <w:rPr>
          <w:rFonts w:asciiTheme="majorBidi" w:eastAsia="Times New Roman" w:hAnsiTheme="majorBidi" w:cstheme="majorBidi"/>
          <w:i/>
          <w:iCs/>
          <w:kern w:val="0"/>
          <w:sz w:val="24"/>
          <w:szCs w:val="24"/>
          <w14:ligatures w14:val="none"/>
        </w:rPr>
        <w:t>Lwt</w:t>
      </w:r>
      <w:proofErr w:type="spellEnd"/>
      <w:r w:rsidRPr="00884897">
        <w:rPr>
          <w:rFonts w:asciiTheme="majorBidi" w:eastAsia="Times New Roman" w:hAnsiTheme="majorBidi" w:cstheme="majorBidi"/>
          <w:kern w:val="0"/>
          <w:sz w:val="24"/>
          <w:szCs w:val="24"/>
          <w14:ligatures w14:val="none"/>
        </w:rPr>
        <w:t>, </w:t>
      </w:r>
      <w:r w:rsidRPr="00884897">
        <w:rPr>
          <w:rFonts w:asciiTheme="majorBidi" w:eastAsia="Times New Roman" w:hAnsiTheme="majorBidi" w:cstheme="majorBidi"/>
          <w:i/>
          <w:iCs/>
          <w:kern w:val="0"/>
          <w:sz w:val="24"/>
          <w:szCs w:val="24"/>
          <w14:ligatures w14:val="none"/>
        </w:rPr>
        <w:t>137</w:t>
      </w:r>
      <w:r w:rsidRPr="00884897">
        <w:rPr>
          <w:rFonts w:asciiTheme="majorBidi" w:eastAsia="Times New Roman" w:hAnsiTheme="majorBidi" w:cstheme="majorBidi"/>
          <w:kern w:val="0"/>
          <w:sz w:val="24"/>
          <w:szCs w:val="24"/>
          <w14:ligatures w14:val="none"/>
        </w:rPr>
        <w:t>, 110343.</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t>https://doi.org/</w:t>
      </w:r>
      <w:hyperlink r:id="rId26" w:tgtFrame="_blank" w:history="1">
        <w:r w:rsidRPr="00884897">
          <w:rPr>
            <w:rStyle w:val="Hyperlink"/>
            <w:rFonts w:asciiTheme="majorBidi" w:eastAsia="Times New Roman" w:hAnsiTheme="majorBidi" w:cstheme="majorBidi"/>
            <w:kern w:val="0"/>
            <w:sz w:val="24"/>
            <w:szCs w:val="24"/>
            <w14:ligatures w14:val="none"/>
          </w:rPr>
          <w:t>10.1016/j.lwt.2020.110343</w:t>
        </w:r>
      </w:hyperlink>
    </w:p>
    <w:p w14:paraId="7448957D"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Conover, W. J. (1999). Practical nonparametric statistics (3rd ed.). John Wiley &amp; Sons.</w:t>
      </w:r>
    </w:p>
    <w:p w14:paraId="1F9BCF94"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lastRenderedPageBreak/>
        <w:t xml:space="preserve">Derrick, B., Ruck, A., Toher, D., &amp; White, P. (2018). Tests for equality of variances between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 xml:space="preserve">two samples which contain both paired observations and independent observations. </w:t>
      </w:r>
      <w:r>
        <w:rPr>
          <w:rFonts w:asciiTheme="majorBidi" w:eastAsia="Times New Roman" w:hAnsiTheme="majorBidi" w:cstheme="majorBidi"/>
          <w:color w:val="000000" w:themeColor="text1"/>
          <w:kern w:val="0"/>
          <w:sz w:val="24"/>
          <w:szCs w:val="24"/>
          <w14:ligatures w14:val="none"/>
        </w:rPr>
        <w:tab/>
      </w:r>
      <w:r w:rsidRPr="00A917C0">
        <w:rPr>
          <w:rFonts w:asciiTheme="majorBidi" w:eastAsia="Times New Roman" w:hAnsiTheme="majorBidi" w:cstheme="majorBidi"/>
          <w:i/>
          <w:iCs/>
          <w:color w:val="000000" w:themeColor="text1"/>
          <w:kern w:val="0"/>
          <w:sz w:val="24"/>
          <w:szCs w:val="24"/>
          <w14:ligatures w14:val="none"/>
        </w:rPr>
        <w:t xml:space="preserve">Journal of Applied Quantitative Methods, </w:t>
      </w:r>
      <w:r w:rsidRPr="00FA6F79">
        <w:rPr>
          <w:rFonts w:asciiTheme="majorBidi" w:eastAsia="Times New Roman" w:hAnsiTheme="majorBidi" w:cstheme="majorBidi"/>
          <w:color w:val="000000" w:themeColor="text1"/>
          <w:kern w:val="0"/>
          <w:sz w:val="24"/>
          <w:szCs w:val="24"/>
          <w14:ligatures w14:val="none"/>
        </w:rPr>
        <w:t>13(2), 36–47.</w:t>
      </w:r>
      <w:r>
        <w:rPr>
          <w:rFonts w:asciiTheme="majorBidi" w:eastAsia="Times New Roman" w:hAnsiTheme="majorBidi" w:cstheme="majorBidi"/>
          <w:color w:val="000000" w:themeColor="text1"/>
          <w:kern w:val="0"/>
          <w:sz w:val="24"/>
          <w:szCs w:val="24"/>
          <w14:ligatures w14:val="none"/>
        </w:rPr>
        <w:t xml:space="preserve"> </w:t>
      </w:r>
      <w:hyperlink r:id="rId27" w:history="1">
        <w:r w:rsidRPr="00F753B3">
          <w:rPr>
            <w:rStyle w:val="Hyperlink"/>
            <w:rFonts w:asciiTheme="majorBidi" w:eastAsia="Times New Roman" w:hAnsiTheme="majorBidi" w:cstheme="majorBidi"/>
            <w:kern w:val="0"/>
            <w:sz w:val="24"/>
            <w:szCs w:val="24"/>
            <w14:ligatures w14:val="none"/>
          </w:rPr>
          <w:t>https://jaqm.ro/issues/volume-</w:t>
        </w:r>
        <w:r w:rsidRPr="00F753B3">
          <w:rPr>
            <w:rStyle w:val="Hyperlink"/>
            <w:rFonts w:asciiTheme="majorBidi" w:eastAsia="Times New Roman" w:hAnsiTheme="majorBidi" w:cstheme="majorBidi"/>
            <w:kern w:val="0"/>
            <w:sz w:val="24"/>
            <w:szCs w:val="24"/>
            <w14:ligatures w14:val="none"/>
          </w:rPr>
          <w:tab/>
        </w:r>
        <w:r w:rsidRPr="00F753B3">
          <w:rPr>
            <w:rStyle w:val="Hyperlink"/>
            <w:rFonts w:asciiTheme="majorBidi" w:eastAsia="Times New Roman" w:hAnsiTheme="majorBidi" w:cstheme="majorBidi"/>
            <w:kern w:val="0"/>
            <w:sz w:val="24"/>
            <w:szCs w:val="24"/>
            <w14:ligatures w14:val="none"/>
          </w:rPr>
          <w:t>13,issue-2/pdfs/3_BE_AN_DE_PA_.pdf</w:t>
        </w:r>
      </w:hyperlink>
      <w:r>
        <w:rPr>
          <w:rFonts w:asciiTheme="majorBidi" w:eastAsia="Times New Roman" w:hAnsiTheme="majorBidi" w:cstheme="majorBidi"/>
          <w:color w:val="000000" w:themeColor="text1"/>
          <w:kern w:val="0"/>
          <w:sz w:val="24"/>
          <w:szCs w:val="24"/>
          <w14:ligatures w14:val="none"/>
        </w:rPr>
        <w:t xml:space="preserve"> </w:t>
      </w:r>
    </w:p>
    <w:p w14:paraId="37771B49" w14:textId="77777777" w:rsidR="00473026" w:rsidRPr="00FA6F79"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lang w:val="en"/>
          <w14:ligatures w14:val="none"/>
        </w:rPr>
      </w:pPr>
      <w:r w:rsidRPr="00FA6F79">
        <w:rPr>
          <w:rFonts w:asciiTheme="majorBidi" w:eastAsia="Times New Roman" w:hAnsiTheme="majorBidi" w:cstheme="majorBidi"/>
          <w:kern w:val="0"/>
          <w:sz w:val="24"/>
          <w:szCs w:val="24"/>
          <w:lang w:val="en"/>
          <w14:ligatures w14:val="none"/>
        </w:rPr>
        <w:t>Ghafoor, K., et al. (2022). Quality attributes of refrigerated Barhi dates coated with chitosan-</w:t>
      </w:r>
      <w:r>
        <w:rPr>
          <w:rFonts w:asciiTheme="majorBidi" w:eastAsia="Times New Roman" w:hAnsiTheme="majorBidi" w:cstheme="majorBidi"/>
          <w:kern w:val="0"/>
          <w:sz w:val="24"/>
          <w:szCs w:val="24"/>
          <w:lang w:val="en"/>
          <w14:ligatures w14:val="none"/>
        </w:rPr>
        <w:tab/>
      </w:r>
      <w:r w:rsidRPr="00FA6F79">
        <w:rPr>
          <w:rFonts w:asciiTheme="majorBidi" w:eastAsia="Times New Roman" w:hAnsiTheme="majorBidi" w:cstheme="majorBidi"/>
          <w:kern w:val="0"/>
          <w:sz w:val="24"/>
          <w:szCs w:val="24"/>
          <w:lang w:val="en"/>
          <w14:ligatures w14:val="none"/>
        </w:rPr>
        <w:t xml:space="preserve">based natural ingredients. </w:t>
      </w:r>
      <w:r w:rsidRPr="00A917C0">
        <w:rPr>
          <w:rFonts w:asciiTheme="majorBidi" w:eastAsia="Times New Roman" w:hAnsiTheme="majorBidi" w:cstheme="majorBidi"/>
          <w:i/>
          <w:iCs/>
          <w:kern w:val="0"/>
          <w:sz w:val="24"/>
          <w:szCs w:val="24"/>
          <w:lang w:val="en"/>
          <w14:ligatures w14:val="none"/>
        </w:rPr>
        <w:t>Foods,</w:t>
      </w:r>
      <w:r w:rsidRPr="00FA6F79">
        <w:rPr>
          <w:rFonts w:asciiTheme="majorBidi" w:eastAsia="Times New Roman" w:hAnsiTheme="majorBidi" w:cstheme="majorBidi"/>
          <w:kern w:val="0"/>
          <w:sz w:val="24"/>
          <w:szCs w:val="24"/>
          <w:lang w:val="en"/>
          <w14:ligatures w14:val="none"/>
        </w:rPr>
        <w:t xml:space="preserve"> </w:t>
      </w:r>
      <w:r w:rsidRPr="00722F03">
        <w:rPr>
          <w:rFonts w:asciiTheme="majorBidi" w:eastAsia="Times New Roman" w:hAnsiTheme="majorBidi" w:cstheme="majorBidi"/>
          <w:i/>
          <w:iCs/>
          <w:kern w:val="0"/>
          <w:sz w:val="24"/>
          <w:szCs w:val="24"/>
          <w14:ligatures w14:val="none"/>
        </w:rPr>
        <w:t>11</w:t>
      </w:r>
      <w:r w:rsidRPr="00722F03">
        <w:rPr>
          <w:rFonts w:asciiTheme="majorBidi" w:eastAsia="Times New Roman" w:hAnsiTheme="majorBidi" w:cstheme="majorBidi"/>
          <w:kern w:val="0"/>
          <w:sz w:val="24"/>
          <w:szCs w:val="24"/>
          <w14:ligatures w14:val="none"/>
        </w:rPr>
        <w:t>(11), 1584</w:t>
      </w:r>
      <w:r w:rsidRPr="00FA6F79">
        <w:rPr>
          <w:rFonts w:asciiTheme="majorBidi" w:eastAsia="Times New Roman" w:hAnsiTheme="majorBidi" w:cstheme="majorBidi"/>
          <w:kern w:val="0"/>
          <w:sz w:val="24"/>
          <w:szCs w:val="24"/>
          <w:lang w:val="en"/>
          <w14:ligatures w14:val="none"/>
        </w:rPr>
        <w:t xml:space="preserve">. </w:t>
      </w:r>
      <w:hyperlink r:id="rId28" w:history="1">
        <w:r w:rsidRPr="00F753B3">
          <w:rPr>
            <w:rStyle w:val="Hyperlink"/>
            <w:rFonts w:asciiTheme="majorBidi" w:eastAsia="Times New Roman" w:hAnsiTheme="majorBidi" w:cstheme="majorBidi"/>
            <w:kern w:val="0"/>
            <w:sz w:val="24"/>
            <w:szCs w:val="24"/>
            <w:lang w:val="en"/>
            <w14:ligatures w14:val="none"/>
          </w:rPr>
          <w:t>https://doi.org/10.3390/foods11111584</w:t>
        </w:r>
      </w:hyperlink>
      <w:r>
        <w:rPr>
          <w:rFonts w:asciiTheme="majorBidi" w:eastAsia="Times New Roman" w:hAnsiTheme="majorBidi" w:cstheme="majorBidi"/>
          <w:kern w:val="0"/>
          <w:sz w:val="24"/>
          <w:szCs w:val="24"/>
          <w:lang w:val="en"/>
          <w14:ligatures w14:val="none"/>
        </w:rPr>
        <w:t xml:space="preserve"> </w:t>
      </w:r>
    </w:p>
    <w:bookmarkEnd w:id="13"/>
    <w:p w14:paraId="6F5E9409"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Howell, D. (2002). Statistical methods for psychology. Duxbury.</w:t>
      </w:r>
    </w:p>
    <w:p w14:paraId="1A621947"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 xml:space="preserve">Jedermann, R., Nicometo, M., Uysal, I., &amp; Lang, W. (2014). Reducing food losses by </w:t>
      </w:r>
      <w:r>
        <w:rPr>
          <w:rFonts w:asciiTheme="majorBidi" w:eastAsia="Times New Roman" w:hAnsiTheme="majorBidi" w:cstheme="majorBidi"/>
          <w:color w:val="000000" w:themeColor="text1"/>
          <w:kern w:val="0"/>
          <w:sz w:val="24"/>
          <w:szCs w:val="24"/>
          <w14:ligatures w14:val="none"/>
        </w:rPr>
        <w:tab/>
      </w:r>
      <w:r w:rsidRPr="00FA6F79">
        <w:rPr>
          <w:rFonts w:asciiTheme="majorBidi" w:eastAsia="Times New Roman" w:hAnsiTheme="majorBidi" w:cstheme="majorBidi"/>
          <w:color w:val="000000" w:themeColor="text1"/>
          <w:kern w:val="0"/>
          <w:sz w:val="24"/>
          <w:szCs w:val="24"/>
          <w14:ligatures w14:val="none"/>
        </w:rPr>
        <w:t>intelligent food logistics. Philosophical Transactions of the Royal Society A</w:t>
      </w:r>
      <w:proofErr w:type="gramStart"/>
      <w:r w:rsidRPr="00FA6F79">
        <w:rPr>
          <w:rFonts w:asciiTheme="majorBidi" w:eastAsia="Times New Roman" w:hAnsiTheme="majorBidi" w:cstheme="majorBidi"/>
          <w:color w:val="000000" w:themeColor="text1"/>
          <w:kern w:val="0"/>
          <w:sz w:val="24"/>
          <w:szCs w:val="24"/>
          <w14:ligatures w14:val="none"/>
        </w:rPr>
        <w:t xml:space="preserve">: </w:t>
      </w:r>
      <w:r>
        <w:rPr>
          <w:rFonts w:asciiTheme="majorBidi" w:eastAsia="Times New Roman" w:hAnsiTheme="majorBidi" w:cstheme="majorBidi"/>
          <w:color w:val="000000" w:themeColor="text1"/>
          <w:kern w:val="0"/>
          <w:sz w:val="24"/>
          <w:szCs w:val="24"/>
          <w14:ligatures w14:val="none"/>
        </w:rPr>
        <w:tab/>
      </w:r>
      <w:r w:rsidRPr="00A917C0">
        <w:rPr>
          <w:rFonts w:asciiTheme="majorBidi" w:eastAsia="Times New Roman" w:hAnsiTheme="majorBidi" w:cstheme="majorBidi"/>
          <w:i/>
          <w:iCs/>
          <w:color w:val="000000" w:themeColor="text1"/>
          <w:kern w:val="0"/>
          <w:sz w:val="24"/>
          <w:szCs w:val="24"/>
          <w14:ligatures w14:val="none"/>
        </w:rPr>
        <w:t>Mathematical</w:t>
      </w:r>
      <w:proofErr w:type="gramEnd"/>
      <w:r w:rsidRPr="00A917C0">
        <w:rPr>
          <w:rFonts w:asciiTheme="majorBidi" w:eastAsia="Times New Roman" w:hAnsiTheme="majorBidi" w:cstheme="majorBidi"/>
          <w:i/>
          <w:iCs/>
          <w:color w:val="000000" w:themeColor="text1"/>
          <w:kern w:val="0"/>
          <w:sz w:val="24"/>
          <w:szCs w:val="24"/>
          <w14:ligatures w14:val="none"/>
        </w:rPr>
        <w:t>, Physical and Engineering Sciences,</w:t>
      </w:r>
      <w:r w:rsidRPr="00FA6F79">
        <w:rPr>
          <w:rFonts w:asciiTheme="majorBidi" w:eastAsia="Times New Roman" w:hAnsiTheme="majorBidi" w:cstheme="majorBidi"/>
          <w:color w:val="000000" w:themeColor="text1"/>
          <w:kern w:val="0"/>
          <w:sz w:val="24"/>
          <w:szCs w:val="24"/>
          <w14:ligatures w14:val="none"/>
        </w:rPr>
        <w:t xml:space="preserve"> 372(2017), 20130302. </w:t>
      </w:r>
      <w:r>
        <w:rPr>
          <w:rFonts w:asciiTheme="majorBidi" w:eastAsia="Times New Roman" w:hAnsiTheme="majorBidi" w:cstheme="majorBidi"/>
          <w:color w:val="000000" w:themeColor="text1"/>
          <w:kern w:val="0"/>
          <w:sz w:val="24"/>
          <w:szCs w:val="24"/>
          <w14:ligatures w14:val="none"/>
        </w:rPr>
        <w:tab/>
      </w:r>
      <w:hyperlink r:id="rId29" w:history="1">
        <w:r w:rsidRPr="00F753B3">
          <w:rPr>
            <w:rStyle w:val="Hyperlink"/>
            <w:rFonts w:asciiTheme="majorBidi" w:eastAsia="Times New Roman" w:hAnsiTheme="majorBidi" w:cstheme="majorBidi"/>
            <w:kern w:val="0"/>
            <w:sz w:val="24"/>
            <w:szCs w:val="24"/>
            <w14:ligatures w14:val="none"/>
          </w:rPr>
          <w:t>https://doi.org/10.1098/rsta.2013.0302</w:t>
        </w:r>
      </w:hyperlink>
      <w:r w:rsidRPr="00FA6F79">
        <w:rPr>
          <w:rFonts w:asciiTheme="majorBidi" w:eastAsia="Times New Roman" w:hAnsiTheme="majorBidi" w:cstheme="majorBidi"/>
          <w:color w:val="000000" w:themeColor="text1"/>
          <w:kern w:val="0"/>
          <w:sz w:val="24"/>
          <w:szCs w:val="24"/>
          <w14:ligatures w14:val="none"/>
        </w:rPr>
        <w:t>.</w:t>
      </w:r>
    </w:p>
    <w:p w14:paraId="407083F2"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rtl/>
          <w14:ligatures w14:val="none"/>
        </w:rPr>
      </w:pPr>
      <w:r w:rsidRPr="00FA6F79">
        <w:rPr>
          <w:rFonts w:asciiTheme="majorBidi" w:eastAsia="Times New Roman" w:hAnsiTheme="majorBidi" w:cstheme="majorBidi"/>
          <w:color w:val="000000" w:themeColor="text1"/>
          <w:kern w:val="0"/>
          <w:sz w:val="24"/>
          <w:szCs w:val="24"/>
          <w14:ligatures w14:val="none"/>
        </w:rPr>
        <w:t xml:space="preserve">Mendes, M., &amp; Pala, A. (2003). Type I error rate and power of three normality tests. Pakistan </w:t>
      </w:r>
      <w:r>
        <w:rPr>
          <w:rFonts w:asciiTheme="majorBidi" w:eastAsia="Times New Roman" w:hAnsiTheme="majorBidi" w:cstheme="majorBidi"/>
          <w:color w:val="000000" w:themeColor="text1"/>
          <w:kern w:val="0"/>
          <w:sz w:val="24"/>
          <w:szCs w:val="24"/>
          <w14:ligatures w14:val="none"/>
        </w:rPr>
        <w:tab/>
      </w:r>
      <w:r w:rsidRPr="008B4146">
        <w:rPr>
          <w:rFonts w:asciiTheme="majorBidi" w:eastAsia="Times New Roman" w:hAnsiTheme="majorBidi" w:cstheme="majorBidi"/>
          <w:i/>
          <w:iCs/>
          <w:color w:val="000000" w:themeColor="text1"/>
          <w:kern w:val="0"/>
          <w:sz w:val="24"/>
          <w:szCs w:val="24"/>
          <w14:ligatures w14:val="none"/>
        </w:rPr>
        <w:t>Journal of Information and Technology,</w:t>
      </w:r>
      <w:r w:rsidRPr="00FA6F79">
        <w:rPr>
          <w:rFonts w:asciiTheme="majorBidi" w:eastAsia="Times New Roman" w:hAnsiTheme="majorBidi" w:cstheme="majorBidi"/>
          <w:color w:val="000000" w:themeColor="text1"/>
          <w:kern w:val="0"/>
          <w:sz w:val="24"/>
          <w:szCs w:val="24"/>
          <w14:ligatures w14:val="none"/>
        </w:rPr>
        <w:t xml:space="preserve"> 2(2), 135–139.</w:t>
      </w:r>
      <w:r>
        <w:rPr>
          <w:rFonts w:asciiTheme="majorBidi" w:eastAsia="Times New Roman" w:hAnsiTheme="majorBidi" w:cstheme="majorBidi"/>
          <w:color w:val="000000" w:themeColor="text1"/>
          <w:kern w:val="0"/>
          <w:sz w:val="24"/>
          <w:szCs w:val="24"/>
          <w14:ligatures w14:val="none"/>
        </w:rPr>
        <w:t xml:space="preserve"> </w:t>
      </w:r>
      <w:r w:rsidRPr="00980429">
        <w:rPr>
          <w:rFonts w:asciiTheme="majorBidi" w:eastAsia="Times New Roman" w:hAnsiTheme="majorBidi" w:cstheme="majorBidi"/>
          <w:color w:val="000000" w:themeColor="text1"/>
          <w:kern w:val="0"/>
          <w:sz w:val="24"/>
          <w:szCs w:val="24"/>
          <w14:ligatures w14:val="none"/>
        </w:rPr>
        <w:t>ISSN</w:t>
      </w:r>
      <w:r>
        <w:rPr>
          <w:rFonts w:asciiTheme="majorBidi" w:eastAsia="Times New Roman" w:hAnsiTheme="majorBidi" w:cstheme="majorBidi"/>
          <w:color w:val="000000" w:themeColor="text1"/>
          <w:kern w:val="0"/>
          <w:sz w:val="24"/>
          <w:szCs w:val="24"/>
          <w14:ligatures w14:val="none"/>
        </w:rPr>
        <w:t xml:space="preserve">: </w:t>
      </w:r>
      <w:r w:rsidRPr="00980429">
        <w:rPr>
          <w:rFonts w:asciiTheme="majorBidi" w:eastAsia="Times New Roman" w:hAnsiTheme="majorBidi" w:cstheme="majorBidi"/>
          <w:color w:val="000000" w:themeColor="text1"/>
          <w:kern w:val="0"/>
          <w:sz w:val="24"/>
          <w:szCs w:val="24"/>
          <w14:ligatures w14:val="none"/>
        </w:rPr>
        <w:t>1682-6027</w:t>
      </w:r>
    </w:p>
    <w:p w14:paraId="3782BBDF" w14:textId="77777777" w:rsidR="00473026" w:rsidRDefault="00473026" w:rsidP="00473026">
      <w:pPr>
        <w:spacing w:after="0" w:line="360" w:lineRule="auto"/>
        <w:ind w:left="360"/>
        <w:contextualSpacing/>
        <w:jc w:val="both"/>
        <w:rPr>
          <w:rFonts w:asciiTheme="majorBidi" w:eastAsia="Times New Roman" w:hAnsiTheme="majorBidi" w:cstheme="majorBidi"/>
          <w:kern w:val="0"/>
          <w:sz w:val="24"/>
          <w:szCs w:val="24"/>
          <w14:ligatures w14:val="none"/>
        </w:rPr>
      </w:pPr>
      <w:r w:rsidRPr="008B3FCF">
        <w:rPr>
          <w:rFonts w:asciiTheme="majorBidi" w:eastAsia="Times New Roman" w:hAnsiTheme="majorBidi" w:cstheme="majorBidi"/>
          <w:kern w:val="0"/>
          <w:sz w:val="24"/>
          <w:szCs w:val="24"/>
          <w14:ligatures w14:val="none"/>
        </w:rPr>
        <w:t>Mohammed, M., Alqahtani, N. K., &amp; Ali, S. A. (2024). Development, RSM-based modeling</w:t>
      </w:r>
      <w:proofErr w:type="gramStart"/>
      <w:r w:rsidRPr="008B3FCF">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r w:rsidRPr="008B3FCF">
        <w:rPr>
          <w:rFonts w:asciiTheme="majorBidi" w:eastAsia="Times New Roman" w:hAnsiTheme="majorBidi" w:cstheme="majorBidi"/>
          <w:kern w:val="0"/>
          <w:sz w:val="24"/>
          <w:szCs w:val="24"/>
          <w14:ligatures w14:val="none"/>
        </w:rPr>
        <w:t>and</w:t>
      </w:r>
      <w:proofErr w:type="gramEnd"/>
      <w:r w:rsidRPr="008B3FCF">
        <w:rPr>
          <w:rFonts w:asciiTheme="majorBidi" w:eastAsia="Times New Roman" w:hAnsiTheme="majorBidi" w:cstheme="majorBidi"/>
          <w:kern w:val="0"/>
          <w:sz w:val="24"/>
          <w:szCs w:val="24"/>
          <w14:ligatures w14:val="none"/>
        </w:rPr>
        <w:t xml:space="preserve"> process optimization of an ultrasonic coating system for extending the storage life of </w:t>
      </w:r>
      <w:r>
        <w:rPr>
          <w:rFonts w:asciiTheme="majorBidi" w:eastAsia="Times New Roman" w:hAnsiTheme="majorBidi" w:cstheme="majorBidi"/>
          <w:kern w:val="0"/>
          <w:sz w:val="24"/>
          <w:szCs w:val="24"/>
          <w14:ligatures w14:val="none"/>
        </w:rPr>
        <w:tab/>
      </w:r>
      <w:r w:rsidRPr="008B3FCF">
        <w:rPr>
          <w:rFonts w:asciiTheme="majorBidi" w:eastAsia="Times New Roman" w:hAnsiTheme="majorBidi" w:cstheme="majorBidi"/>
          <w:kern w:val="0"/>
          <w:sz w:val="24"/>
          <w:szCs w:val="24"/>
          <w14:ligatures w14:val="none"/>
        </w:rPr>
        <w:t>fresh fruits. </w:t>
      </w:r>
      <w:r w:rsidRPr="008B3FCF">
        <w:rPr>
          <w:rFonts w:asciiTheme="majorBidi" w:eastAsia="Times New Roman" w:hAnsiTheme="majorBidi" w:cstheme="majorBidi"/>
          <w:i/>
          <w:iCs/>
          <w:kern w:val="0"/>
          <w:sz w:val="24"/>
          <w:szCs w:val="24"/>
          <w14:ligatures w14:val="none"/>
        </w:rPr>
        <w:t>Frontiers in Sustainable Food Systems</w:t>
      </w:r>
      <w:r w:rsidRPr="008B3FCF">
        <w:rPr>
          <w:rFonts w:asciiTheme="majorBidi" w:eastAsia="Times New Roman" w:hAnsiTheme="majorBidi" w:cstheme="majorBidi"/>
          <w:kern w:val="0"/>
          <w:sz w:val="24"/>
          <w:szCs w:val="24"/>
          <w14:ligatures w14:val="none"/>
        </w:rPr>
        <w:t>, </w:t>
      </w:r>
      <w:r w:rsidRPr="008B3FCF">
        <w:rPr>
          <w:rFonts w:asciiTheme="majorBidi" w:eastAsia="Times New Roman" w:hAnsiTheme="majorBidi" w:cstheme="majorBidi"/>
          <w:i/>
          <w:iCs/>
          <w:kern w:val="0"/>
          <w:sz w:val="24"/>
          <w:szCs w:val="24"/>
          <w14:ligatures w14:val="none"/>
        </w:rPr>
        <w:t>8</w:t>
      </w:r>
      <w:r w:rsidRPr="008B3FCF">
        <w:rPr>
          <w:rFonts w:asciiTheme="majorBidi" w:eastAsia="Times New Roman" w:hAnsiTheme="majorBidi" w:cstheme="majorBidi"/>
          <w:kern w:val="0"/>
          <w:sz w:val="24"/>
          <w:szCs w:val="24"/>
          <w14:ligatures w14:val="none"/>
        </w:rPr>
        <w:t>, 1403164.</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hyperlink r:id="rId30" w:history="1">
        <w:r w:rsidRPr="00F753B3">
          <w:rPr>
            <w:rStyle w:val="Hyperlink"/>
            <w:rFonts w:asciiTheme="majorBidi" w:eastAsia="Times New Roman" w:hAnsiTheme="majorBidi" w:cstheme="majorBidi"/>
            <w:kern w:val="0"/>
            <w:sz w:val="24"/>
            <w:szCs w:val="24"/>
            <w14:ligatures w14:val="none"/>
          </w:rPr>
          <w:t>https://doi.org/10.3389/fsufs.2024.1403164</w:t>
        </w:r>
      </w:hyperlink>
    </w:p>
    <w:p w14:paraId="2D6E3580" w14:textId="77777777" w:rsidR="00473026" w:rsidRPr="00FA6F79" w:rsidRDefault="00473026" w:rsidP="00473026">
      <w:pPr>
        <w:spacing w:after="0" w:line="360" w:lineRule="auto"/>
        <w:ind w:left="360"/>
        <w:contextualSpacing/>
        <w:jc w:val="both"/>
        <w:rPr>
          <w:rFonts w:asciiTheme="majorBidi" w:eastAsia="Times New Roman" w:hAnsiTheme="majorBidi" w:cstheme="majorBidi"/>
          <w:color w:val="000000" w:themeColor="text1"/>
          <w:kern w:val="0"/>
          <w:sz w:val="24"/>
          <w:szCs w:val="24"/>
          <w14:ligatures w14:val="none"/>
        </w:rPr>
      </w:pPr>
      <w:r w:rsidRPr="00FA6F79">
        <w:rPr>
          <w:rFonts w:asciiTheme="majorBidi" w:eastAsia="Times New Roman" w:hAnsiTheme="majorBidi" w:cstheme="majorBidi"/>
          <w:color w:val="000000" w:themeColor="text1"/>
          <w:kern w:val="0"/>
          <w:sz w:val="24"/>
          <w:szCs w:val="24"/>
          <w14:ligatures w14:val="none"/>
        </w:rPr>
        <w:t xml:space="preserve">National Center for Palms and Dates. (2024). Annual report 2023. </w:t>
      </w:r>
      <w:r>
        <w:rPr>
          <w:rFonts w:asciiTheme="majorBidi" w:eastAsia="Times New Roman" w:hAnsiTheme="majorBidi" w:cstheme="majorBidi"/>
          <w:color w:val="000000" w:themeColor="text1"/>
          <w:kern w:val="0"/>
          <w:sz w:val="24"/>
          <w:szCs w:val="24"/>
          <w14:ligatures w14:val="none"/>
        </w:rPr>
        <w:tab/>
      </w:r>
      <w:hyperlink r:id="rId31" w:history="1">
        <w:r w:rsidRPr="00F753B3">
          <w:rPr>
            <w:rStyle w:val="Hyperlink"/>
            <w:rFonts w:asciiTheme="majorBidi" w:eastAsia="Times New Roman" w:hAnsiTheme="majorBidi" w:cstheme="majorBidi"/>
            <w:kern w:val="0"/>
            <w:sz w:val="24"/>
            <w:szCs w:val="24"/>
            <w14:ligatures w14:val="none"/>
          </w:rPr>
          <w:t>https://ncpd.gov.sa/ar/reports</w:t>
        </w:r>
      </w:hyperlink>
      <w:r w:rsidRPr="00FA6F79">
        <w:rPr>
          <w:rFonts w:asciiTheme="majorBidi" w:eastAsia="Times New Roman" w:hAnsiTheme="majorBidi" w:cstheme="majorBidi"/>
          <w:color w:val="000000" w:themeColor="text1"/>
          <w:kern w:val="0"/>
          <w:sz w:val="24"/>
          <w:szCs w:val="24"/>
          <w14:ligatures w14:val="none"/>
        </w:rPr>
        <w:t>.</w:t>
      </w:r>
    </w:p>
    <w:p w14:paraId="78074105" w14:textId="77777777" w:rsidR="00473026"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14:ligatures w14:val="none"/>
        </w:rPr>
      </w:pPr>
      <w:r w:rsidRPr="00AD7782">
        <w:rPr>
          <w:rFonts w:asciiTheme="majorBidi" w:eastAsia="Times New Roman" w:hAnsiTheme="majorBidi" w:cstheme="majorBidi"/>
          <w:kern w:val="0"/>
          <w:sz w:val="24"/>
          <w:szCs w:val="24"/>
          <w14:ligatures w14:val="none"/>
        </w:rPr>
        <w:t xml:space="preserve">Niu, H., Wang, B., Yang, Z., Liu, X., Liu, X., &amp; Shi, W. (2024). Impact of control strategies </w:t>
      </w:r>
      <w:r>
        <w:rPr>
          <w:rFonts w:asciiTheme="majorBidi" w:eastAsia="Times New Roman" w:hAnsiTheme="majorBidi" w:cstheme="majorBidi"/>
          <w:kern w:val="0"/>
          <w:sz w:val="24"/>
          <w:szCs w:val="24"/>
          <w14:ligatures w14:val="none"/>
        </w:rPr>
        <w:tab/>
      </w:r>
      <w:r w:rsidRPr="00AD7782">
        <w:rPr>
          <w:rFonts w:asciiTheme="majorBidi" w:eastAsia="Times New Roman" w:hAnsiTheme="majorBidi" w:cstheme="majorBidi"/>
          <w:kern w:val="0"/>
          <w:sz w:val="24"/>
          <w:szCs w:val="24"/>
          <w14:ligatures w14:val="none"/>
        </w:rPr>
        <w:t>on energy consumption in cold storage facilities. </w:t>
      </w:r>
      <w:r w:rsidRPr="00AD7782">
        <w:rPr>
          <w:rFonts w:asciiTheme="majorBidi" w:eastAsia="Times New Roman" w:hAnsiTheme="majorBidi" w:cstheme="majorBidi"/>
          <w:i/>
          <w:iCs/>
          <w:kern w:val="0"/>
          <w:sz w:val="24"/>
          <w:szCs w:val="24"/>
          <w14:ligatures w14:val="none"/>
        </w:rPr>
        <w:t>Energy and Buildings</w:t>
      </w:r>
      <w:r w:rsidRPr="00AD7782">
        <w:rPr>
          <w:rFonts w:asciiTheme="majorBidi" w:eastAsia="Times New Roman" w:hAnsiTheme="majorBidi" w:cstheme="majorBidi"/>
          <w:kern w:val="0"/>
          <w:sz w:val="24"/>
          <w:szCs w:val="24"/>
          <w14:ligatures w14:val="none"/>
        </w:rPr>
        <w:t>, </w:t>
      </w:r>
      <w:r w:rsidRPr="00AD7782">
        <w:rPr>
          <w:rFonts w:asciiTheme="majorBidi" w:eastAsia="Times New Roman" w:hAnsiTheme="majorBidi" w:cstheme="majorBidi"/>
          <w:i/>
          <w:iCs/>
          <w:kern w:val="0"/>
          <w:sz w:val="24"/>
          <w:szCs w:val="24"/>
          <w14:ligatures w14:val="none"/>
        </w:rPr>
        <w:t>322</w:t>
      </w:r>
      <w:r w:rsidRPr="00AD7782">
        <w:rPr>
          <w:rFonts w:asciiTheme="majorBidi" w:eastAsia="Times New Roman" w:hAnsiTheme="majorBidi" w:cstheme="majorBidi"/>
          <w:kern w:val="0"/>
          <w:sz w:val="24"/>
          <w:szCs w:val="24"/>
          <w14:ligatures w14:val="none"/>
        </w:rPr>
        <w:t>, 114736.</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hyperlink r:id="rId32" w:tgtFrame="_blank" w:history="1">
        <w:r w:rsidRPr="00AD7782">
          <w:rPr>
            <w:rStyle w:val="Hyperlink"/>
            <w:rFonts w:asciiTheme="majorBidi" w:eastAsia="Times New Roman" w:hAnsiTheme="majorBidi" w:cstheme="majorBidi"/>
            <w:kern w:val="0"/>
            <w:sz w:val="24"/>
            <w:szCs w:val="24"/>
            <w14:ligatures w14:val="none"/>
          </w:rPr>
          <w:t>10.1016/j.enbuild.2024.114736</w:t>
        </w:r>
      </w:hyperlink>
    </w:p>
    <w:p w14:paraId="49564EA2" w14:textId="77777777" w:rsidR="00473026"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14:ligatures w14:val="none"/>
        </w:rPr>
      </w:pPr>
      <w:proofErr w:type="spellStart"/>
      <w:r w:rsidRPr="008D1AF8">
        <w:rPr>
          <w:rFonts w:asciiTheme="majorBidi" w:eastAsia="Times New Roman" w:hAnsiTheme="majorBidi" w:cstheme="majorBidi"/>
          <w:kern w:val="0"/>
          <w:sz w:val="24"/>
          <w:szCs w:val="24"/>
          <w14:ligatures w14:val="none"/>
        </w:rPr>
        <w:t>Noutfia</w:t>
      </w:r>
      <w:proofErr w:type="spellEnd"/>
      <w:r w:rsidRPr="008D1AF8">
        <w:rPr>
          <w:rFonts w:asciiTheme="majorBidi" w:eastAsia="Times New Roman" w:hAnsiTheme="majorBidi" w:cstheme="majorBidi"/>
          <w:kern w:val="0"/>
          <w:sz w:val="24"/>
          <w:szCs w:val="24"/>
          <w14:ligatures w14:val="none"/>
        </w:rPr>
        <w:t xml:space="preserve">, Y., </w:t>
      </w:r>
      <w:proofErr w:type="spellStart"/>
      <w:r w:rsidRPr="008D1AF8">
        <w:rPr>
          <w:rFonts w:asciiTheme="majorBidi" w:eastAsia="Times New Roman" w:hAnsiTheme="majorBidi" w:cstheme="majorBidi"/>
          <w:kern w:val="0"/>
          <w:sz w:val="24"/>
          <w:szCs w:val="24"/>
          <w14:ligatures w14:val="none"/>
        </w:rPr>
        <w:t>Ropelewska</w:t>
      </w:r>
      <w:proofErr w:type="spellEnd"/>
      <w:r w:rsidRPr="008D1AF8">
        <w:rPr>
          <w:rFonts w:asciiTheme="majorBidi" w:eastAsia="Times New Roman" w:hAnsiTheme="majorBidi" w:cstheme="majorBidi"/>
          <w:kern w:val="0"/>
          <w:sz w:val="24"/>
          <w:szCs w:val="24"/>
          <w14:ligatures w14:val="none"/>
        </w:rPr>
        <w:t xml:space="preserve">, E., </w:t>
      </w:r>
      <w:proofErr w:type="spellStart"/>
      <w:r w:rsidRPr="008D1AF8">
        <w:rPr>
          <w:rFonts w:asciiTheme="majorBidi" w:eastAsia="Times New Roman" w:hAnsiTheme="majorBidi" w:cstheme="majorBidi"/>
          <w:kern w:val="0"/>
          <w:sz w:val="24"/>
          <w:szCs w:val="24"/>
          <w14:ligatures w14:val="none"/>
        </w:rPr>
        <w:t>Szwejda</w:t>
      </w:r>
      <w:proofErr w:type="spellEnd"/>
      <w:r w:rsidRPr="008D1AF8">
        <w:rPr>
          <w:rFonts w:asciiTheme="majorBidi" w:eastAsia="Times New Roman" w:hAnsiTheme="majorBidi" w:cstheme="majorBidi"/>
          <w:kern w:val="0"/>
          <w:sz w:val="24"/>
          <w:szCs w:val="24"/>
          <w14:ligatures w14:val="none"/>
        </w:rPr>
        <w:t xml:space="preserve">-Grzybowska, J., </w:t>
      </w:r>
      <w:proofErr w:type="spellStart"/>
      <w:r w:rsidRPr="008D1AF8">
        <w:rPr>
          <w:rFonts w:asciiTheme="majorBidi" w:eastAsia="Times New Roman" w:hAnsiTheme="majorBidi" w:cstheme="majorBidi"/>
          <w:kern w:val="0"/>
          <w:sz w:val="24"/>
          <w:szCs w:val="24"/>
          <w14:ligatures w14:val="none"/>
        </w:rPr>
        <w:t>Jóźwiak</w:t>
      </w:r>
      <w:proofErr w:type="spellEnd"/>
      <w:r w:rsidRPr="008D1AF8">
        <w:rPr>
          <w:rFonts w:asciiTheme="majorBidi" w:eastAsia="Times New Roman" w:hAnsiTheme="majorBidi" w:cstheme="majorBidi"/>
          <w:kern w:val="0"/>
          <w:sz w:val="24"/>
          <w:szCs w:val="24"/>
          <w14:ligatures w14:val="none"/>
        </w:rPr>
        <w:t xml:space="preserve">, Z., Siarkowski, S., </w:t>
      </w:r>
      <w:r>
        <w:rPr>
          <w:rFonts w:asciiTheme="majorBidi" w:eastAsia="Times New Roman" w:hAnsiTheme="majorBidi" w:cstheme="majorBidi"/>
          <w:kern w:val="0"/>
          <w:sz w:val="24"/>
          <w:szCs w:val="24"/>
          <w14:ligatures w14:val="none"/>
        </w:rPr>
        <w:tab/>
      </w:r>
      <w:proofErr w:type="spellStart"/>
      <w:r w:rsidRPr="008D1AF8">
        <w:rPr>
          <w:rFonts w:asciiTheme="majorBidi" w:eastAsia="Times New Roman" w:hAnsiTheme="majorBidi" w:cstheme="majorBidi"/>
          <w:kern w:val="0"/>
          <w:sz w:val="24"/>
          <w:szCs w:val="24"/>
          <w14:ligatures w14:val="none"/>
        </w:rPr>
        <w:t>Mieszczakowska-Frąc</w:t>
      </w:r>
      <w:proofErr w:type="spellEnd"/>
      <w:r w:rsidRPr="008D1AF8">
        <w:rPr>
          <w:rFonts w:asciiTheme="majorBidi" w:eastAsia="Times New Roman" w:hAnsiTheme="majorBidi" w:cstheme="majorBidi"/>
          <w:kern w:val="0"/>
          <w:sz w:val="24"/>
          <w:szCs w:val="24"/>
          <w14:ligatures w14:val="none"/>
        </w:rPr>
        <w:t xml:space="preserve">, M., &amp; Rutkowski, K. P. (2025). Evaluation of Storage Stability of </w:t>
      </w:r>
      <w:r>
        <w:rPr>
          <w:rFonts w:asciiTheme="majorBidi" w:eastAsia="Times New Roman" w:hAnsiTheme="majorBidi" w:cstheme="majorBidi"/>
          <w:kern w:val="0"/>
          <w:sz w:val="24"/>
          <w:szCs w:val="24"/>
          <w14:ligatures w14:val="none"/>
        </w:rPr>
        <w:tab/>
      </w:r>
      <w:r w:rsidRPr="008D1AF8">
        <w:rPr>
          <w:rFonts w:asciiTheme="majorBidi" w:eastAsia="Times New Roman" w:hAnsiTheme="majorBidi" w:cstheme="majorBidi"/>
          <w:kern w:val="0"/>
          <w:sz w:val="24"/>
          <w:szCs w:val="24"/>
          <w14:ligatures w14:val="none"/>
        </w:rPr>
        <w:t xml:space="preserve">Date Fruit (Phoenix dactylifera L.) at Two Levels of Relative Humidity Based on Selected </w:t>
      </w:r>
      <w:r>
        <w:rPr>
          <w:rFonts w:asciiTheme="majorBidi" w:eastAsia="Times New Roman" w:hAnsiTheme="majorBidi" w:cstheme="majorBidi"/>
          <w:kern w:val="0"/>
          <w:sz w:val="24"/>
          <w:szCs w:val="24"/>
          <w14:ligatures w14:val="none"/>
        </w:rPr>
        <w:tab/>
      </w:r>
      <w:r w:rsidRPr="008D1AF8">
        <w:rPr>
          <w:rFonts w:asciiTheme="majorBidi" w:eastAsia="Times New Roman" w:hAnsiTheme="majorBidi" w:cstheme="majorBidi"/>
          <w:kern w:val="0"/>
          <w:sz w:val="24"/>
          <w:szCs w:val="24"/>
          <w14:ligatures w14:val="none"/>
        </w:rPr>
        <w:t>Functional Compounds and Image Features. </w:t>
      </w:r>
      <w:r w:rsidRPr="008D1AF8">
        <w:rPr>
          <w:rFonts w:asciiTheme="majorBidi" w:eastAsia="Times New Roman" w:hAnsiTheme="majorBidi" w:cstheme="majorBidi"/>
          <w:i/>
          <w:iCs/>
          <w:kern w:val="0"/>
          <w:sz w:val="24"/>
          <w:szCs w:val="24"/>
          <w14:ligatures w14:val="none"/>
        </w:rPr>
        <w:t>Foods</w:t>
      </w:r>
      <w:r w:rsidRPr="008D1AF8">
        <w:rPr>
          <w:rFonts w:asciiTheme="majorBidi" w:eastAsia="Times New Roman" w:hAnsiTheme="majorBidi" w:cstheme="majorBidi"/>
          <w:kern w:val="0"/>
          <w:sz w:val="24"/>
          <w:szCs w:val="24"/>
          <w14:ligatures w14:val="none"/>
        </w:rPr>
        <w:t>, </w:t>
      </w:r>
      <w:r w:rsidRPr="008D1AF8">
        <w:rPr>
          <w:rFonts w:asciiTheme="majorBidi" w:eastAsia="Times New Roman" w:hAnsiTheme="majorBidi" w:cstheme="majorBidi"/>
          <w:i/>
          <w:iCs/>
          <w:kern w:val="0"/>
          <w:sz w:val="24"/>
          <w:szCs w:val="24"/>
          <w14:ligatures w14:val="none"/>
        </w:rPr>
        <w:t>14</w:t>
      </w:r>
      <w:r w:rsidRPr="008D1AF8">
        <w:rPr>
          <w:rFonts w:asciiTheme="majorBidi" w:eastAsia="Times New Roman" w:hAnsiTheme="majorBidi" w:cstheme="majorBidi"/>
          <w:kern w:val="0"/>
          <w:sz w:val="24"/>
          <w:szCs w:val="24"/>
          <w14:ligatures w14:val="none"/>
        </w:rPr>
        <w:t>(18), 3189.</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hyperlink r:id="rId33" w:history="1">
        <w:r w:rsidRPr="00F753B3">
          <w:rPr>
            <w:rStyle w:val="Hyperlink"/>
            <w:rFonts w:asciiTheme="majorBidi" w:eastAsia="Times New Roman" w:hAnsiTheme="majorBidi" w:cstheme="majorBidi"/>
            <w:kern w:val="0"/>
            <w:sz w:val="24"/>
            <w:szCs w:val="24"/>
            <w14:ligatures w14:val="none"/>
          </w:rPr>
          <w:t>https://doi.org/10.3390/foods14183189</w:t>
        </w:r>
      </w:hyperlink>
      <w:r>
        <w:rPr>
          <w:rFonts w:asciiTheme="majorBidi" w:eastAsia="Times New Roman" w:hAnsiTheme="majorBidi" w:cstheme="majorBidi"/>
          <w:kern w:val="0"/>
          <w:sz w:val="24"/>
          <w:szCs w:val="24"/>
          <w14:ligatures w14:val="none"/>
        </w:rPr>
        <w:t xml:space="preserve"> </w:t>
      </w:r>
    </w:p>
    <w:p w14:paraId="0F137366" w14:textId="77777777" w:rsidR="00473026" w:rsidRPr="00FA6F79"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lang w:val="en"/>
          <w14:ligatures w14:val="none"/>
        </w:rPr>
      </w:pPr>
      <w:proofErr w:type="spellStart"/>
      <w:r w:rsidRPr="00474BB3">
        <w:rPr>
          <w:rFonts w:asciiTheme="majorBidi" w:eastAsia="Times New Roman" w:hAnsiTheme="majorBidi" w:cstheme="majorBidi"/>
          <w:kern w:val="0"/>
          <w:sz w:val="24"/>
          <w:szCs w:val="24"/>
          <w14:ligatures w14:val="none"/>
        </w:rPr>
        <w:lastRenderedPageBreak/>
        <w:t>Noutfia</w:t>
      </w:r>
      <w:proofErr w:type="spellEnd"/>
      <w:r w:rsidRPr="00474BB3">
        <w:rPr>
          <w:rFonts w:asciiTheme="majorBidi" w:eastAsia="Times New Roman" w:hAnsiTheme="majorBidi" w:cstheme="majorBidi"/>
          <w:kern w:val="0"/>
          <w:sz w:val="24"/>
          <w:szCs w:val="24"/>
          <w14:ligatures w14:val="none"/>
        </w:rPr>
        <w:t xml:space="preserve">, Y., </w:t>
      </w:r>
      <w:proofErr w:type="spellStart"/>
      <w:r w:rsidRPr="00474BB3">
        <w:rPr>
          <w:rFonts w:asciiTheme="majorBidi" w:eastAsia="Times New Roman" w:hAnsiTheme="majorBidi" w:cstheme="majorBidi"/>
          <w:kern w:val="0"/>
          <w:sz w:val="24"/>
          <w:szCs w:val="24"/>
          <w14:ligatures w14:val="none"/>
        </w:rPr>
        <w:t>Ropelewska</w:t>
      </w:r>
      <w:proofErr w:type="spellEnd"/>
      <w:r w:rsidRPr="00474BB3">
        <w:rPr>
          <w:rFonts w:asciiTheme="majorBidi" w:eastAsia="Times New Roman" w:hAnsiTheme="majorBidi" w:cstheme="majorBidi"/>
          <w:kern w:val="0"/>
          <w:sz w:val="24"/>
          <w:szCs w:val="24"/>
          <w14:ligatures w14:val="none"/>
        </w:rPr>
        <w:t xml:space="preserve">, E., </w:t>
      </w:r>
      <w:proofErr w:type="spellStart"/>
      <w:r w:rsidRPr="00474BB3">
        <w:rPr>
          <w:rFonts w:asciiTheme="majorBidi" w:eastAsia="Times New Roman" w:hAnsiTheme="majorBidi" w:cstheme="majorBidi"/>
          <w:kern w:val="0"/>
          <w:sz w:val="24"/>
          <w:szCs w:val="24"/>
          <w14:ligatures w14:val="none"/>
        </w:rPr>
        <w:t>Szwejda</w:t>
      </w:r>
      <w:proofErr w:type="spellEnd"/>
      <w:r w:rsidRPr="00474BB3">
        <w:rPr>
          <w:rFonts w:asciiTheme="majorBidi" w:eastAsia="Times New Roman" w:hAnsiTheme="majorBidi" w:cstheme="majorBidi"/>
          <w:kern w:val="0"/>
          <w:sz w:val="24"/>
          <w:szCs w:val="24"/>
          <w14:ligatures w14:val="none"/>
        </w:rPr>
        <w:t xml:space="preserve">-Grzybowska, J., </w:t>
      </w:r>
      <w:proofErr w:type="spellStart"/>
      <w:r w:rsidRPr="00474BB3">
        <w:rPr>
          <w:rFonts w:asciiTheme="majorBidi" w:eastAsia="Times New Roman" w:hAnsiTheme="majorBidi" w:cstheme="majorBidi"/>
          <w:kern w:val="0"/>
          <w:sz w:val="24"/>
          <w:szCs w:val="24"/>
          <w14:ligatures w14:val="none"/>
        </w:rPr>
        <w:t>Jóźwiak</w:t>
      </w:r>
      <w:proofErr w:type="spellEnd"/>
      <w:r w:rsidRPr="00474BB3">
        <w:rPr>
          <w:rFonts w:asciiTheme="majorBidi" w:eastAsia="Times New Roman" w:hAnsiTheme="majorBidi" w:cstheme="majorBidi"/>
          <w:kern w:val="0"/>
          <w:sz w:val="24"/>
          <w:szCs w:val="24"/>
          <w14:ligatures w14:val="none"/>
        </w:rPr>
        <w:t xml:space="preserve">, Z., </w:t>
      </w:r>
      <w:proofErr w:type="spellStart"/>
      <w:r w:rsidRPr="00474BB3">
        <w:rPr>
          <w:rFonts w:asciiTheme="majorBidi" w:eastAsia="Times New Roman" w:hAnsiTheme="majorBidi" w:cstheme="majorBidi"/>
          <w:kern w:val="0"/>
          <w:sz w:val="24"/>
          <w:szCs w:val="24"/>
          <w14:ligatures w14:val="none"/>
        </w:rPr>
        <w:t>Mieszczakowska-Frąc</w:t>
      </w:r>
      <w:proofErr w:type="spellEnd"/>
      <w:r w:rsidRPr="00474BB3">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r w:rsidRPr="00474BB3">
        <w:rPr>
          <w:rFonts w:asciiTheme="majorBidi" w:eastAsia="Times New Roman" w:hAnsiTheme="majorBidi" w:cstheme="majorBidi"/>
          <w:kern w:val="0"/>
          <w:sz w:val="24"/>
          <w:szCs w:val="24"/>
          <w14:ligatures w14:val="none"/>
        </w:rPr>
        <w:t>M., &amp; Rutkowski, K. P. (2025). Impact of Prolonged Frozen Storage on ‘</w:t>
      </w:r>
      <w:proofErr w:type="spellStart"/>
      <w:r w:rsidRPr="00474BB3">
        <w:rPr>
          <w:rFonts w:asciiTheme="majorBidi" w:eastAsia="Times New Roman" w:hAnsiTheme="majorBidi" w:cstheme="majorBidi"/>
          <w:kern w:val="0"/>
          <w:sz w:val="24"/>
          <w:szCs w:val="24"/>
          <w14:ligatures w14:val="none"/>
        </w:rPr>
        <w:t>Mejhoul’Date</w:t>
      </w:r>
      <w:proofErr w:type="spellEnd"/>
      <w:r w:rsidRPr="00474BB3">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r w:rsidRPr="00474BB3">
        <w:rPr>
          <w:rFonts w:asciiTheme="majorBidi" w:eastAsia="Times New Roman" w:hAnsiTheme="majorBidi" w:cstheme="majorBidi"/>
          <w:kern w:val="0"/>
          <w:sz w:val="24"/>
          <w:szCs w:val="24"/>
          <w14:ligatures w14:val="none"/>
        </w:rPr>
        <w:t>Palm Cultivar Based on Selected Qualitative Characteristics. </w:t>
      </w:r>
      <w:proofErr w:type="spellStart"/>
      <w:r w:rsidRPr="00474BB3">
        <w:rPr>
          <w:rFonts w:asciiTheme="majorBidi" w:eastAsia="Times New Roman" w:hAnsiTheme="majorBidi" w:cstheme="majorBidi"/>
          <w:i/>
          <w:iCs/>
          <w:kern w:val="0"/>
          <w:sz w:val="24"/>
          <w:szCs w:val="24"/>
          <w14:ligatures w14:val="none"/>
        </w:rPr>
        <w:t>Horticulturae</w:t>
      </w:r>
      <w:proofErr w:type="spellEnd"/>
      <w:r w:rsidRPr="00474BB3">
        <w:rPr>
          <w:rFonts w:asciiTheme="majorBidi" w:eastAsia="Times New Roman" w:hAnsiTheme="majorBidi" w:cstheme="majorBidi"/>
          <w:kern w:val="0"/>
          <w:sz w:val="24"/>
          <w:szCs w:val="24"/>
          <w14:ligatures w14:val="none"/>
        </w:rPr>
        <w:t>, </w:t>
      </w:r>
      <w:r w:rsidRPr="00474BB3">
        <w:rPr>
          <w:rFonts w:asciiTheme="majorBidi" w:eastAsia="Times New Roman" w:hAnsiTheme="majorBidi" w:cstheme="majorBidi"/>
          <w:i/>
          <w:iCs/>
          <w:kern w:val="0"/>
          <w:sz w:val="24"/>
          <w:szCs w:val="24"/>
          <w14:ligatures w14:val="none"/>
        </w:rPr>
        <w:t>11</w:t>
      </w:r>
      <w:r w:rsidRPr="00474BB3">
        <w:rPr>
          <w:rFonts w:asciiTheme="majorBidi" w:eastAsia="Times New Roman" w:hAnsiTheme="majorBidi" w:cstheme="majorBidi"/>
          <w:kern w:val="0"/>
          <w:sz w:val="24"/>
          <w:szCs w:val="24"/>
          <w14:ligatures w14:val="none"/>
        </w:rPr>
        <w:t>(7), 731.</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hyperlink r:id="rId34" w:history="1">
        <w:r w:rsidRPr="00F753B3">
          <w:rPr>
            <w:rStyle w:val="Hyperlink"/>
            <w:rFonts w:asciiTheme="majorBidi" w:eastAsia="Times New Roman" w:hAnsiTheme="majorBidi" w:cstheme="majorBidi"/>
            <w:kern w:val="0"/>
            <w:sz w:val="24"/>
            <w:szCs w:val="24"/>
            <w14:ligatures w14:val="none"/>
          </w:rPr>
          <w:t>https://doi.org/10.3390/horticulturae11070731</w:t>
        </w:r>
      </w:hyperlink>
      <w:r>
        <w:rPr>
          <w:rFonts w:asciiTheme="majorBidi" w:eastAsia="Times New Roman" w:hAnsiTheme="majorBidi" w:cstheme="majorBidi"/>
          <w:kern w:val="0"/>
          <w:sz w:val="24"/>
          <w:szCs w:val="24"/>
          <w14:ligatures w14:val="none"/>
        </w:rPr>
        <w:t xml:space="preserve"> </w:t>
      </w:r>
    </w:p>
    <w:p w14:paraId="783EBBA9" w14:textId="77777777" w:rsidR="00473026"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14:ligatures w14:val="none"/>
        </w:rPr>
      </w:pPr>
      <w:r w:rsidRPr="00045D72">
        <w:rPr>
          <w:rFonts w:asciiTheme="majorBidi" w:eastAsia="Times New Roman" w:hAnsiTheme="majorBidi" w:cstheme="majorBidi"/>
          <w:kern w:val="0"/>
          <w:sz w:val="24"/>
          <w:szCs w:val="24"/>
          <w14:ligatures w14:val="none"/>
        </w:rPr>
        <w:t xml:space="preserve">Park, J. W., Ju, Y. M., Kim, Y. G., &amp; Kim, H. S. (2023). 50% reduction in energy consumption </w:t>
      </w:r>
      <w:r>
        <w:rPr>
          <w:rFonts w:asciiTheme="majorBidi" w:eastAsia="Times New Roman" w:hAnsiTheme="majorBidi" w:cstheme="majorBidi"/>
          <w:kern w:val="0"/>
          <w:sz w:val="24"/>
          <w:szCs w:val="24"/>
          <w14:ligatures w14:val="none"/>
        </w:rPr>
        <w:tab/>
      </w:r>
      <w:r w:rsidRPr="00045D72">
        <w:rPr>
          <w:rFonts w:asciiTheme="majorBidi" w:eastAsia="Times New Roman" w:hAnsiTheme="majorBidi" w:cstheme="majorBidi"/>
          <w:kern w:val="0"/>
          <w:sz w:val="24"/>
          <w:szCs w:val="24"/>
          <w14:ligatures w14:val="none"/>
        </w:rPr>
        <w:t xml:space="preserve">in an actual cold storage facility using a deep reinforcement learning-based control </w:t>
      </w:r>
      <w:r>
        <w:rPr>
          <w:rFonts w:asciiTheme="majorBidi" w:eastAsia="Times New Roman" w:hAnsiTheme="majorBidi" w:cstheme="majorBidi"/>
          <w:kern w:val="0"/>
          <w:sz w:val="24"/>
          <w:szCs w:val="24"/>
          <w14:ligatures w14:val="none"/>
        </w:rPr>
        <w:tab/>
      </w:r>
      <w:r w:rsidRPr="00045D72">
        <w:rPr>
          <w:rFonts w:asciiTheme="majorBidi" w:eastAsia="Times New Roman" w:hAnsiTheme="majorBidi" w:cstheme="majorBidi"/>
          <w:kern w:val="0"/>
          <w:sz w:val="24"/>
          <w:szCs w:val="24"/>
          <w14:ligatures w14:val="none"/>
        </w:rPr>
        <w:t>algorithm. </w:t>
      </w:r>
      <w:r w:rsidRPr="00045D72">
        <w:rPr>
          <w:rFonts w:asciiTheme="majorBidi" w:eastAsia="Times New Roman" w:hAnsiTheme="majorBidi" w:cstheme="majorBidi"/>
          <w:i/>
          <w:iCs/>
          <w:kern w:val="0"/>
          <w:sz w:val="24"/>
          <w:szCs w:val="24"/>
          <w14:ligatures w14:val="none"/>
        </w:rPr>
        <w:t>Applied Energy</w:t>
      </w:r>
      <w:r w:rsidRPr="00045D72">
        <w:rPr>
          <w:rFonts w:asciiTheme="majorBidi" w:eastAsia="Times New Roman" w:hAnsiTheme="majorBidi" w:cstheme="majorBidi"/>
          <w:kern w:val="0"/>
          <w:sz w:val="24"/>
          <w:szCs w:val="24"/>
          <w14:ligatures w14:val="none"/>
        </w:rPr>
        <w:t>, </w:t>
      </w:r>
      <w:r w:rsidRPr="00045D72">
        <w:rPr>
          <w:rFonts w:asciiTheme="majorBidi" w:eastAsia="Times New Roman" w:hAnsiTheme="majorBidi" w:cstheme="majorBidi"/>
          <w:i/>
          <w:iCs/>
          <w:kern w:val="0"/>
          <w:sz w:val="24"/>
          <w:szCs w:val="24"/>
          <w14:ligatures w14:val="none"/>
        </w:rPr>
        <w:t>352</w:t>
      </w:r>
      <w:r w:rsidRPr="00045D72">
        <w:rPr>
          <w:rFonts w:asciiTheme="majorBidi" w:eastAsia="Times New Roman" w:hAnsiTheme="majorBidi" w:cstheme="majorBidi"/>
          <w:kern w:val="0"/>
          <w:sz w:val="24"/>
          <w:szCs w:val="24"/>
          <w14:ligatures w14:val="none"/>
        </w:rPr>
        <w:t>, 121996.</w:t>
      </w:r>
      <w:r>
        <w:rPr>
          <w:rFonts w:asciiTheme="majorBidi" w:eastAsia="Times New Roman" w:hAnsiTheme="majorBidi" w:cstheme="majorBidi"/>
          <w:kern w:val="0"/>
          <w:sz w:val="24"/>
          <w:szCs w:val="24"/>
          <w14:ligatures w14:val="none"/>
        </w:rPr>
        <w:t xml:space="preserve"> </w:t>
      </w:r>
      <w:hyperlink r:id="rId35" w:tgtFrame="_blank" w:tooltip="Persistent link using digital object identifier" w:history="1">
        <w:r w:rsidRPr="00045D72">
          <w:rPr>
            <w:rStyle w:val="Hyperlink"/>
            <w:rFonts w:asciiTheme="majorBidi" w:eastAsia="Times New Roman" w:hAnsiTheme="majorBidi" w:cstheme="majorBidi"/>
            <w:kern w:val="0"/>
            <w:sz w:val="24"/>
            <w:szCs w:val="24"/>
            <w14:ligatures w14:val="none"/>
          </w:rPr>
          <w:t>https://doi.org/10.1016/j.apenergy.2023.121996</w:t>
        </w:r>
      </w:hyperlink>
    </w:p>
    <w:p w14:paraId="19B237A9" w14:textId="77777777" w:rsidR="00473026"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14:ligatures w14:val="none"/>
        </w:rPr>
      </w:pPr>
      <w:proofErr w:type="spellStart"/>
      <w:r w:rsidRPr="006124B5">
        <w:rPr>
          <w:rFonts w:asciiTheme="majorBidi" w:eastAsia="Times New Roman" w:hAnsiTheme="majorBidi" w:cstheme="majorBidi"/>
          <w:kern w:val="0"/>
          <w:sz w:val="24"/>
          <w:szCs w:val="24"/>
          <w14:ligatures w14:val="none"/>
        </w:rPr>
        <w:t>Protopappas</w:t>
      </w:r>
      <w:proofErr w:type="spellEnd"/>
      <w:r w:rsidRPr="006124B5">
        <w:rPr>
          <w:rFonts w:asciiTheme="majorBidi" w:eastAsia="Times New Roman" w:hAnsiTheme="majorBidi" w:cstheme="majorBidi"/>
          <w:kern w:val="0"/>
          <w:sz w:val="24"/>
          <w:szCs w:val="24"/>
          <w14:ligatures w14:val="none"/>
        </w:rPr>
        <w:t xml:space="preserve">, L., </w:t>
      </w:r>
      <w:proofErr w:type="spellStart"/>
      <w:r w:rsidRPr="006124B5">
        <w:rPr>
          <w:rFonts w:asciiTheme="majorBidi" w:eastAsia="Times New Roman" w:hAnsiTheme="majorBidi" w:cstheme="majorBidi"/>
          <w:kern w:val="0"/>
          <w:sz w:val="24"/>
          <w:szCs w:val="24"/>
          <w14:ligatures w14:val="none"/>
        </w:rPr>
        <w:t>Bechtsis</w:t>
      </w:r>
      <w:proofErr w:type="spellEnd"/>
      <w:r w:rsidRPr="006124B5">
        <w:rPr>
          <w:rFonts w:asciiTheme="majorBidi" w:eastAsia="Times New Roman" w:hAnsiTheme="majorBidi" w:cstheme="majorBidi"/>
          <w:kern w:val="0"/>
          <w:sz w:val="24"/>
          <w:szCs w:val="24"/>
          <w14:ligatures w14:val="none"/>
        </w:rPr>
        <w:t xml:space="preserve">, D., &amp; </w:t>
      </w:r>
      <w:proofErr w:type="spellStart"/>
      <w:r w:rsidRPr="006124B5">
        <w:rPr>
          <w:rFonts w:asciiTheme="majorBidi" w:eastAsia="Times New Roman" w:hAnsiTheme="majorBidi" w:cstheme="majorBidi"/>
          <w:kern w:val="0"/>
          <w:sz w:val="24"/>
          <w:szCs w:val="24"/>
          <w14:ligatures w14:val="none"/>
        </w:rPr>
        <w:t>Tsotsolas</w:t>
      </w:r>
      <w:proofErr w:type="spellEnd"/>
      <w:r w:rsidRPr="006124B5">
        <w:rPr>
          <w:rFonts w:asciiTheme="majorBidi" w:eastAsia="Times New Roman" w:hAnsiTheme="majorBidi" w:cstheme="majorBidi"/>
          <w:kern w:val="0"/>
          <w:sz w:val="24"/>
          <w:szCs w:val="24"/>
          <w14:ligatures w14:val="none"/>
        </w:rPr>
        <w:t xml:space="preserve">, N. (2025). IoT services for monitoring food supply </w:t>
      </w:r>
      <w:r>
        <w:rPr>
          <w:rFonts w:asciiTheme="majorBidi" w:eastAsia="Times New Roman" w:hAnsiTheme="majorBidi" w:cstheme="majorBidi"/>
          <w:kern w:val="0"/>
          <w:sz w:val="24"/>
          <w:szCs w:val="24"/>
          <w14:ligatures w14:val="none"/>
        </w:rPr>
        <w:tab/>
      </w:r>
      <w:r w:rsidRPr="006124B5">
        <w:rPr>
          <w:rFonts w:asciiTheme="majorBidi" w:eastAsia="Times New Roman" w:hAnsiTheme="majorBidi" w:cstheme="majorBidi"/>
          <w:kern w:val="0"/>
          <w:sz w:val="24"/>
          <w:szCs w:val="24"/>
          <w14:ligatures w14:val="none"/>
        </w:rPr>
        <w:t>chains. </w:t>
      </w:r>
      <w:r w:rsidRPr="006124B5">
        <w:rPr>
          <w:rFonts w:asciiTheme="majorBidi" w:eastAsia="Times New Roman" w:hAnsiTheme="majorBidi" w:cstheme="majorBidi"/>
          <w:i/>
          <w:iCs/>
          <w:kern w:val="0"/>
          <w:sz w:val="24"/>
          <w:szCs w:val="24"/>
          <w14:ligatures w14:val="none"/>
        </w:rPr>
        <w:t>Applied Sciences</w:t>
      </w:r>
      <w:r w:rsidRPr="006124B5">
        <w:rPr>
          <w:rFonts w:asciiTheme="majorBidi" w:eastAsia="Times New Roman" w:hAnsiTheme="majorBidi" w:cstheme="majorBidi"/>
          <w:kern w:val="0"/>
          <w:sz w:val="24"/>
          <w:szCs w:val="24"/>
          <w14:ligatures w14:val="none"/>
        </w:rPr>
        <w:t>, </w:t>
      </w:r>
      <w:r w:rsidRPr="006124B5">
        <w:rPr>
          <w:rFonts w:asciiTheme="majorBidi" w:eastAsia="Times New Roman" w:hAnsiTheme="majorBidi" w:cstheme="majorBidi"/>
          <w:i/>
          <w:iCs/>
          <w:kern w:val="0"/>
          <w:sz w:val="24"/>
          <w:szCs w:val="24"/>
          <w14:ligatures w14:val="none"/>
        </w:rPr>
        <w:t>15</w:t>
      </w:r>
      <w:r w:rsidRPr="006124B5">
        <w:rPr>
          <w:rFonts w:asciiTheme="majorBidi" w:eastAsia="Times New Roman" w:hAnsiTheme="majorBidi" w:cstheme="majorBidi"/>
          <w:kern w:val="0"/>
          <w:sz w:val="24"/>
          <w:szCs w:val="24"/>
          <w14:ligatures w14:val="none"/>
        </w:rPr>
        <w:t>(13), 7602.</w:t>
      </w:r>
      <w:r>
        <w:rPr>
          <w:rFonts w:asciiTheme="majorBidi" w:eastAsia="Times New Roman" w:hAnsiTheme="majorBidi" w:cstheme="majorBidi"/>
          <w:kern w:val="0"/>
          <w:sz w:val="24"/>
          <w:szCs w:val="24"/>
          <w14:ligatures w14:val="none"/>
        </w:rPr>
        <w:t xml:space="preserve"> </w:t>
      </w:r>
      <w:hyperlink r:id="rId36" w:history="1">
        <w:r w:rsidRPr="00F753B3">
          <w:rPr>
            <w:rStyle w:val="Hyperlink"/>
            <w:rFonts w:asciiTheme="majorBidi" w:eastAsia="Times New Roman" w:hAnsiTheme="majorBidi" w:cstheme="majorBidi"/>
            <w:kern w:val="0"/>
            <w:sz w:val="24"/>
            <w:szCs w:val="24"/>
            <w14:ligatures w14:val="none"/>
          </w:rPr>
          <w:t>https://doi.org/10.3390/app15137602</w:t>
        </w:r>
      </w:hyperlink>
      <w:r>
        <w:rPr>
          <w:rFonts w:asciiTheme="majorBidi" w:eastAsia="Times New Roman" w:hAnsiTheme="majorBidi" w:cstheme="majorBidi"/>
          <w:kern w:val="0"/>
          <w:sz w:val="24"/>
          <w:szCs w:val="24"/>
          <w14:ligatures w14:val="none"/>
        </w:rPr>
        <w:t xml:space="preserve"> </w:t>
      </w:r>
    </w:p>
    <w:p w14:paraId="650E0C35" w14:textId="77777777" w:rsidR="00473026"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lang w:val="en"/>
          <w14:ligatures w14:val="none"/>
        </w:rPr>
      </w:pPr>
      <w:r w:rsidRPr="00FA6F79">
        <w:rPr>
          <w:rFonts w:asciiTheme="majorBidi" w:eastAsia="Times New Roman" w:hAnsiTheme="majorBidi" w:cstheme="majorBidi"/>
          <w:kern w:val="0"/>
          <w:sz w:val="24"/>
          <w:szCs w:val="24"/>
          <w:lang w:val="en"/>
          <w14:ligatures w14:val="none"/>
        </w:rPr>
        <w:t xml:space="preserve">Wang, J., et al. (2024). Energy consumption analysis and optimization of cold stores under differential pricing. Energy and Buildings, 2024xxxx. </w:t>
      </w:r>
    </w:p>
    <w:p w14:paraId="66F747D6" w14:textId="77777777" w:rsidR="00473026" w:rsidRPr="00FA6F79" w:rsidRDefault="00473026" w:rsidP="00473026">
      <w:pPr>
        <w:spacing w:before="100" w:beforeAutospacing="1" w:after="100" w:afterAutospacing="1" w:line="360" w:lineRule="auto"/>
        <w:ind w:left="360"/>
        <w:jc w:val="both"/>
        <w:rPr>
          <w:rFonts w:asciiTheme="majorBidi" w:eastAsia="Times New Roman" w:hAnsiTheme="majorBidi" w:cstheme="majorBidi"/>
          <w:kern w:val="0"/>
          <w:sz w:val="24"/>
          <w:szCs w:val="24"/>
          <w:lang w:val="en"/>
          <w14:ligatures w14:val="none"/>
        </w:rPr>
      </w:pPr>
      <w:r w:rsidRPr="00EA116A">
        <w:rPr>
          <w:rFonts w:asciiTheme="majorBidi" w:eastAsia="Times New Roman" w:hAnsiTheme="majorBidi" w:cstheme="majorBidi"/>
          <w:kern w:val="0"/>
          <w:sz w:val="24"/>
          <w:szCs w:val="24"/>
          <w14:ligatures w14:val="none"/>
        </w:rPr>
        <w:t xml:space="preserve">Wang, J., Wang, Q., Yang, P., Yu, J., &amp; Xiao, L. (2024). Energy consumption analysis and optimization of cold stores considering differential electricity </w:t>
      </w:r>
      <w:proofErr w:type="gramStart"/>
      <w:r w:rsidRPr="00EA116A">
        <w:rPr>
          <w:rFonts w:asciiTheme="majorBidi" w:eastAsia="Times New Roman" w:hAnsiTheme="majorBidi" w:cstheme="majorBidi"/>
          <w:kern w:val="0"/>
          <w:sz w:val="24"/>
          <w:szCs w:val="24"/>
          <w14:ligatures w14:val="none"/>
        </w:rPr>
        <w:t>price</w:t>
      </w:r>
      <w:proofErr w:type="gramEnd"/>
      <w:r w:rsidRPr="00EA116A">
        <w:rPr>
          <w:rFonts w:asciiTheme="majorBidi" w:eastAsia="Times New Roman" w:hAnsiTheme="majorBidi" w:cstheme="majorBidi"/>
          <w:kern w:val="0"/>
          <w:sz w:val="24"/>
          <w:szCs w:val="24"/>
          <w14:ligatures w14:val="none"/>
        </w:rPr>
        <w:t>. </w:t>
      </w:r>
      <w:r w:rsidRPr="00EA116A">
        <w:rPr>
          <w:rFonts w:asciiTheme="majorBidi" w:eastAsia="Times New Roman" w:hAnsiTheme="majorBidi" w:cstheme="majorBidi"/>
          <w:i/>
          <w:iCs/>
          <w:kern w:val="0"/>
          <w:sz w:val="24"/>
          <w:szCs w:val="24"/>
          <w14:ligatures w14:val="none"/>
        </w:rPr>
        <w:t>Energy and Buildings</w:t>
      </w:r>
      <w:r w:rsidRPr="00EA116A">
        <w:rPr>
          <w:rFonts w:asciiTheme="majorBidi" w:eastAsia="Times New Roman" w:hAnsiTheme="majorBidi" w:cstheme="majorBidi"/>
          <w:kern w:val="0"/>
          <w:sz w:val="24"/>
          <w:szCs w:val="24"/>
          <w14:ligatures w14:val="none"/>
        </w:rPr>
        <w:t>, </w:t>
      </w:r>
      <w:r w:rsidRPr="00EA116A">
        <w:rPr>
          <w:rFonts w:asciiTheme="majorBidi" w:eastAsia="Times New Roman" w:hAnsiTheme="majorBidi" w:cstheme="majorBidi"/>
          <w:i/>
          <w:iCs/>
          <w:kern w:val="0"/>
          <w:sz w:val="24"/>
          <w:szCs w:val="24"/>
          <w14:ligatures w14:val="none"/>
        </w:rPr>
        <w:t>310</w:t>
      </w:r>
      <w:r w:rsidRPr="00EA116A">
        <w:rPr>
          <w:rFonts w:asciiTheme="majorBidi" w:eastAsia="Times New Roman" w:hAnsiTheme="majorBidi" w:cstheme="majorBidi"/>
          <w:kern w:val="0"/>
          <w:sz w:val="24"/>
          <w:szCs w:val="24"/>
          <w14:ligatures w14:val="none"/>
        </w:rPr>
        <w:t>, 114094.</w:t>
      </w:r>
      <w:r>
        <w:rPr>
          <w:rFonts w:asciiTheme="majorBidi" w:eastAsia="Times New Roman" w:hAnsiTheme="majorBidi" w:cstheme="majorBidi"/>
          <w:kern w:val="0"/>
          <w:sz w:val="24"/>
          <w:szCs w:val="24"/>
          <w14:ligatures w14:val="none"/>
        </w:rPr>
        <w:t xml:space="preserve"> https://doi.org/</w:t>
      </w:r>
      <w:hyperlink r:id="rId37" w:tgtFrame="_blank" w:history="1">
        <w:r w:rsidRPr="00EA116A">
          <w:rPr>
            <w:rStyle w:val="Hyperlink"/>
            <w:rFonts w:asciiTheme="majorBidi" w:eastAsia="Times New Roman" w:hAnsiTheme="majorBidi" w:cstheme="majorBidi"/>
            <w:kern w:val="0"/>
            <w:sz w:val="24"/>
            <w:szCs w:val="24"/>
            <w14:ligatures w14:val="none"/>
          </w:rPr>
          <w:t>10.1016/j.enbuild.2024.114094</w:t>
        </w:r>
      </w:hyperlink>
    </w:p>
    <w:p w14:paraId="378BBCE0" w14:textId="77777777" w:rsidR="00473026" w:rsidRPr="00332C8D" w:rsidRDefault="00473026" w:rsidP="00473026">
      <w:pPr>
        <w:spacing w:before="100" w:beforeAutospacing="1" w:after="100" w:afterAutospacing="1" w:line="360" w:lineRule="auto"/>
        <w:rPr>
          <w:rFonts w:ascii="Times New Roman" w:eastAsia="Times New Roman" w:hAnsi="Times New Roman" w:cs="Times New Roman"/>
          <w:kern w:val="0"/>
          <w:sz w:val="20"/>
          <w:szCs w:val="20"/>
          <w:lang w:val="en"/>
          <w14:ligatures w14:val="none"/>
        </w:rPr>
      </w:pPr>
      <w:r w:rsidRPr="007B7E0C">
        <w:rPr>
          <w:rFonts w:asciiTheme="majorBidi" w:eastAsia="Times New Roman" w:hAnsiTheme="majorBidi" w:cstheme="majorBidi"/>
          <w:kern w:val="0"/>
          <w:sz w:val="24"/>
          <w:szCs w:val="24"/>
          <w14:ligatures w14:val="none"/>
        </w:rPr>
        <w:t xml:space="preserve">Wang, K., &amp; Du, N. (2025). Real-time monitoring and energy consumption management strategy </w:t>
      </w:r>
      <w:r>
        <w:rPr>
          <w:rFonts w:asciiTheme="majorBidi" w:eastAsia="Times New Roman" w:hAnsiTheme="majorBidi" w:cstheme="majorBidi"/>
          <w:kern w:val="0"/>
          <w:sz w:val="24"/>
          <w:szCs w:val="24"/>
          <w14:ligatures w14:val="none"/>
        </w:rPr>
        <w:tab/>
      </w:r>
      <w:r w:rsidRPr="007B7E0C">
        <w:rPr>
          <w:rFonts w:asciiTheme="majorBidi" w:eastAsia="Times New Roman" w:hAnsiTheme="majorBidi" w:cstheme="majorBidi"/>
          <w:kern w:val="0"/>
          <w:sz w:val="24"/>
          <w:szCs w:val="24"/>
          <w14:ligatures w14:val="none"/>
        </w:rPr>
        <w:t>of cold chain logistics based on the internet of things. </w:t>
      </w:r>
      <w:r w:rsidRPr="007B7E0C">
        <w:rPr>
          <w:rFonts w:asciiTheme="majorBidi" w:eastAsia="Times New Roman" w:hAnsiTheme="majorBidi" w:cstheme="majorBidi"/>
          <w:i/>
          <w:iCs/>
          <w:kern w:val="0"/>
          <w:sz w:val="24"/>
          <w:szCs w:val="24"/>
          <w14:ligatures w14:val="none"/>
        </w:rPr>
        <w:t>Energy Informatics</w:t>
      </w:r>
      <w:r w:rsidRPr="007B7E0C">
        <w:rPr>
          <w:rFonts w:asciiTheme="majorBidi" w:eastAsia="Times New Roman" w:hAnsiTheme="majorBidi" w:cstheme="majorBidi"/>
          <w:kern w:val="0"/>
          <w:sz w:val="24"/>
          <w:szCs w:val="24"/>
          <w14:ligatures w14:val="none"/>
        </w:rPr>
        <w:t>, </w:t>
      </w:r>
      <w:r w:rsidRPr="007B7E0C">
        <w:rPr>
          <w:rFonts w:asciiTheme="majorBidi" w:eastAsia="Times New Roman" w:hAnsiTheme="majorBidi" w:cstheme="majorBidi"/>
          <w:i/>
          <w:iCs/>
          <w:kern w:val="0"/>
          <w:sz w:val="24"/>
          <w:szCs w:val="24"/>
          <w14:ligatures w14:val="none"/>
        </w:rPr>
        <w:t>8</w:t>
      </w:r>
      <w:r w:rsidRPr="007B7E0C">
        <w:rPr>
          <w:rFonts w:asciiTheme="majorBidi" w:eastAsia="Times New Roman" w:hAnsiTheme="majorBidi" w:cstheme="majorBidi"/>
          <w:kern w:val="0"/>
          <w:sz w:val="24"/>
          <w:szCs w:val="24"/>
          <w14:ligatures w14:val="none"/>
        </w:rPr>
        <w:t>(1), 34.</w:t>
      </w:r>
      <w:r>
        <w:rPr>
          <w:rFonts w:asciiTheme="majorBidi" w:eastAsia="Times New Roman" w:hAnsiTheme="majorBidi" w:cstheme="majorBidi"/>
          <w:kern w:val="0"/>
          <w:sz w:val="24"/>
          <w:szCs w:val="24"/>
          <w14:ligatures w14:val="none"/>
        </w:rPr>
        <w:t xml:space="preserve"> </w:t>
      </w:r>
      <w:r>
        <w:rPr>
          <w:rFonts w:asciiTheme="majorBidi" w:eastAsia="Times New Roman" w:hAnsiTheme="majorBidi" w:cstheme="majorBidi"/>
          <w:kern w:val="0"/>
          <w:sz w:val="24"/>
          <w:szCs w:val="24"/>
          <w14:ligatures w14:val="none"/>
        </w:rPr>
        <w:tab/>
      </w:r>
      <w:hyperlink r:id="rId38" w:history="1">
        <w:r w:rsidRPr="00F753B3">
          <w:rPr>
            <w:rStyle w:val="Hyperlink"/>
            <w:rFonts w:asciiTheme="majorBidi" w:eastAsia="Times New Roman" w:hAnsiTheme="majorBidi" w:cstheme="majorBidi"/>
            <w:kern w:val="0"/>
            <w:sz w:val="24"/>
            <w:szCs w:val="24"/>
            <w14:ligatures w14:val="none"/>
          </w:rPr>
          <w:t>https://doi.org/10.1186/s42162-025-00493-w</w:t>
        </w:r>
      </w:hyperlink>
      <w:r>
        <w:rPr>
          <w:rFonts w:asciiTheme="majorBidi" w:eastAsia="Times New Roman" w:hAnsiTheme="majorBidi" w:cstheme="majorBidi"/>
          <w:kern w:val="0"/>
          <w:sz w:val="24"/>
          <w:szCs w:val="24"/>
          <w14:ligatures w14:val="none"/>
        </w:rPr>
        <w:t xml:space="preserve"> </w:t>
      </w:r>
    </w:p>
    <w:p w14:paraId="1D1FEA85" w14:textId="6C74AB6F" w:rsidR="008163CC" w:rsidRPr="00332C8D" w:rsidRDefault="008163CC" w:rsidP="008163CC">
      <w:pPr>
        <w:spacing w:before="100" w:beforeAutospacing="1" w:after="100" w:afterAutospacing="1" w:line="240" w:lineRule="auto"/>
        <w:rPr>
          <w:rFonts w:ascii="Times New Roman" w:eastAsia="Times New Roman" w:hAnsi="Times New Roman" w:cs="Times New Roman"/>
          <w:kern w:val="0"/>
          <w:sz w:val="20"/>
          <w:szCs w:val="20"/>
          <w:lang w:val="en"/>
          <w14:ligatures w14:val="none"/>
        </w:rPr>
      </w:pPr>
    </w:p>
    <w:p w14:paraId="3EC5BEE0" w14:textId="28769864" w:rsidR="00192FFB" w:rsidRPr="00332C8D" w:rsidRDefault="00192FFB" w:rsidP="00320FE3">
      <w:pPr>
        <w:spacing w:after="0" w:line="360" w:lineRule="auto"/>
        <w:rPr>
          <w:rFonts w:ascii="Times New Roman" w:eastAsia="Times New Roman" w:hAnsi="Times New Roman" w:cs="Times New Roman"/>
          <w:kern w:val="0"/>
          <w:sz w:val="20"/>
          <w:szCs w:val="20"/>
          <w14:ligatures w14:val="none"/>
        </w:rPr>
      </w:pPr>
    </w:p>
    <w:sectPr w:rsidR="00192FFB" w:rsidRPr="00332C8D" w:rsidSect="00FA6F7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674E3" w14:textId="77777777" w:rsidR="00EA3262" w:rsidRDefault="00EA3262" w:rsidP="00B60559">
      <w:pPr>
        <w:spacing w:after="0" w:line="240" w:lineRule="auto"/>
      </w:pPr>
      <w:r>
        <w:separator/>
      </w:r>
    </w:p>
  </w:endnote>
  <w:endnote w:type="continuationSeparator" w:id="0">
    <w:p w14:paraId="661CC2AD" w14:textId="77777777" w:rsidR="00EA3262" w:rsidRDefault="00EA3262" w:rsidP="00B60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4C21C" w14:textId="77777777" w:rsidR="00EA3262" w:rsidRDefault="00EA3262" w:rsidP="00B60559">
      <w:pPr>
        <w:spacing w:after="0" w:line="240" w:lineRule="auto"/>
      </w:pPr>
      <w:r>
        <w:separator/>
      </w:r>
    </w:p>
  </w:footnote>
  <w:footnote w:type="continuationSeparator" w:id="0">
    <w:p w14:paraId="5677DAE8" w14:textId="77777777" w:rsidR="00EA3262" w:rsidRDefault="00EA3262" w:rsidP="00B605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5E9FE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80E1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6741DA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60E7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3A69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8C87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322D8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08A65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1A26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BC9C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DE640B0"/>
    <w:multiLevelType w:val="hybridMultilevel"/>
    <w:tmpl w:val="D9D2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635F3B"/>
    <w:multiLevelType w:val="hybridMultilevel"/>
    <w:tmpl w:val="D9D2F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871C5F"/>
    <w:multiLevelType w:val="hybridMultilevel"/>
    <w:tmpl w:val="37DA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F706F0"/>
    <w:multiLevelType w:val="multilevel"/>
    <w:tmpl w:val="ABFE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892A97"/>
    <w:multiLevelType w:val="hybridMultilevel"/>
    <w:tmpl w:val="43F8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514352">
    <w:abstractNumId w:val="10"/>
  </w:num>
  <w:num w:numId="2" w16cid:durableId="473566214">
    <w:abstractNumId w:val="9"/>
  </w:num>
  <w:num w:numId="3" w16cid:durableId="1419670579">
    <w:abstractNumId w:val="8"/>
  </w:num>
  <w:num w:numId="4" w16cid:durableId="1168715600">
    <w:abstractNumId w:val="7"/>
  </w:num>
  <w:num w:numId="5" w16cid:durableId="265768237">
    <w:abstractNumId w:val="6"/>
  </w:num>
  <w:num w:numId="6" w16cid:durableId="885800422">
    <w:abstractNumId w:val="5"/>
  </w:num>
  <w:num w:numId="7" w16cid:durableId="120727569">
    <w:abstractNumId w:val="4"/>
  </w:num>
  <w:num w:numId="8" w16cid:durableId="1616407833">
    <w:abstractNumId w:val="3"/>
  </w:num>
  <w:num w:numId="9" w16cid:durableId="69355807">
    <w:abstractNumId w:val="2"/>
  </w:num>
  <w:num w:numId="10" w16cid:durableId="450906104">
    <w:abstractNumId w:val="1"/>
  </w:num>
  <w:num w:numId="11" w16cid:durableId="654266323">
    <w:abstractNumId w:val="0"/>
  </w:num>
  <w:num w:numId="12" w16cid:durableId="219250361">
    <w:abstractNumId w:val="13"/>
  </w:num>
  <w:num w:numId="13" w16cid:durableId="1135293135">
    <w:abstractNumId w:val="14"/>
  </w:num>
  <w:num w:numId="14" w16cid:durableId="817578812">
    <w:abstractNumId w:val="11"/>
  </w:num>
  <w:num w:numId="15" w16cid:durableId="8776667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C14"/>
    <w:rsid w:val="00004023"/>
    <w:rsid w:val="00006D5E"/>
    <w:rsid w:val="00014178"/>
    <w:rsid w:val="00014B84"/>
    <w:rsid w:val="00020AA8"/>
    <w:rsid w:val="000322FD"/>
    <w:rsid w:val="000331D5"/>
    <w:rsid w:val="0003421A"/>
    <w:rsid w:val="00037732"/>
    <w:rsid w:val="00045D72"/>
    <w:rsid w:val="00055698"/>
    <w:rsid w:val="000576FA"/>
    <w:rsid w:val="000622BA"/>
    <w:rsid w:val="0006331E"/>
    <w:rsid w:val="00066505"/>
    <w:rsid w:val="00073FC8"/>
    <w:rsid w:val="0007632E"/>
    <w:rsid w:val="000818AE"/>
    <w:rsid w:val="000948C0"/>
    <w:rsid w:val="000A51C2"/>
    <w:rsid w:val="000B68FB"/>
    <w:rsid w:val="000C0F3B"/>
    <w:rsid w:val="000D2025"/>
    <w:rsid w:val="000E6961"/>
    <w:rsid w:val="000E731A"/>
    <w:rsid w:val="000F525D"/>
    <w:rsid w:val="000F7C2E"/>
    <w:rsid w:val="00121626"/>
    <w:rsid w:val="00130A70"/>
    <w:rsid w:val="0014570B"/>
    <w:rsid w:val="00155000"/>
    <w:rsid w:val="00156D56"/>
    <w:rsid w:val="001639F7"/>
    <w:rsid w:val="00192FFB"/>
    <w:rsid w:val="001936AF"/>
    <w:rsid w:val="00194768"/>
    <w:rsid w:val="00197495"/>
    <w:rsid w:val="001A500E"/>
    <w:rsid w:val="001A6214"/>
    <w:rsid w:val="001A7D39"/>
    <w:rsid w:val="001B0F7D"/>
    <w:rsid w:val="001B3AF4"/>
    <w:rsid w:val="001B6F35"/>
    <w:rsid w:val="001B7657"/>
    <w:rsid w:val="001D0B56"/>
    <w:rsid w:val="001F79F5"/>
    <w:rsid w:val="00204995"/>
    <w:rsid w:val="002052A9"/>
    <w:rsid w:val="00225FB1"/>
    <w:rsid w:val="00235517"/>
    <w:rsid w:val="00236084"/>
    <w:rsid w:val="00256270"/>
    <w:rsid w:val="00270052"/>
    <w:rsid w:val="002719AE"/>
    <w:rsid w:val="0028658F"/>
    <w:rsid w:val="002B368D"/>
    <w:rsid w:val="002B4C8E"/>
    <w:rsid w:val="002B6B06"/>
    <w:rsid w:val="002C5D9E"/>
    <w:rsid w:val="002E2BBD"/>
    <w:rsid w:val="002E681E"/>
    <w:rsid w:val="002F325A"/>
    <w:rsid w:val="003058DA"/>
    <w:rsid w:val="00306894"/>
    <w:rsid w:val="003114B6"/>
    <w:rsid w:val="00312522"/>
    <w:rsid w:val="00320FE3"/>
    <w:rsid w:val="00324A19"/>
    <w:rsid w:val="003255A7"/>
    <w:rsid w:val="00326C0E"/>
    <w:rsid w:val="003310B0"/>
    <w:rsid w:val="00332C8D"/>
    <w:rsid w:val="00333816"/>
    <w:rsid w:val="003374F7"/>
    <w:rsid w:val="003562C6"/>
    <w:rsid w:val="00361F68"/>
    <w:rsid w:val="003646E5"/>
    <w:rsid w:val="0037685C"/>
    <w:rsid w:val="00376E49"/>
    <w:rsid w:val="00386AC2"/>
    <w:rsid w:val="003B06EF"/>
    <w:rsid w:val="003B2200"/>
    <w:rsid w:val="003C1611"/>
    <w:rsid w:val="003C1E5C"/>
    <w:rsid w:val="003D0682"/>
    <w:rsid w:val="003D551E"/>
    <w:rsid w:val="003E66BC"/>
    <w:rsid w:val="003F1AAB"/>
    <w:rsid w:val="00401708"/>
    <w:rsid w:val="00407413"/>
    <w:rsid w:val="00410BC8"/>
    <w:rsid w:val="00451450"/>
    <w:rsid w:val="004641A4"/>
    <w:rsid w:val="00470BB8"/>
    <w:rsid w:val="00473026"/>
    <w:rsid w:val="004732A0"/>
    <w:rsid w:val="00474BB3"/>
    <w:rsid w:val="00475C60"/>
    <w:rsid w:val="00482D87"/>
    <w:rsid w:val="00482DEA"/>
    <w:rsid w:val="00486997"/>
    <w:rsid w:val="00495F0E"/>
    <w:rsid w:val="004A04C4"/>
    <w:rsid w:val="004A5822"/>
    <w:rsid w:val="005115F8"/>
    <w:rsid w:val="00553411"/>
    <w:rsid w:val="00565B6E"/>
    <w:rsid w:val="00584E32"/>
    <w:rsid w:val="00584F92"/>
    <w:rsid w:val="0058585E"/>
    <w:rsid w:val="005A6CBD"/>
    <w:rsid w:val="005A7373"/>
    <w:rsid w:val="005B3330"/>
    <w:rsid w:val="005B3CEE"/>
    <w:rsid w:val="005C3BD3"/>
    <w:rsid w:val="005D1CC1"/>
    <w:rsid w:val="005E5160"/>
    <w:rsid w:val="005E5166"/>
    <w:rsid w:val="005F09CD"/>
    <w:rsid w:val="005F63F5"/>
    <w:rsid w:val="006009FF"/>
    <w:rsid w:val="006124B5"/>
    <w:rsid w:val="00615DDD"/>
    <w:rsid w:val="006271D8"/>
    <w:rsid w:val="00627358"/>
    <w:rsid w:val="00632A01"/>
    <w:rsid w:val="006340BE"/>
    <w:rsid w:val="00635227"/>
    <w:rsid w:val="00650ADE"/>
    <w:rsid w:val="00656608"/>
    <w:rsid w:val="0065718A"/>
    <w:rsid w:val="0066253C"/>
    <w:rsid w:val="006679C9"/>
    <w:rsid w:val="0068007F"/>
    <w:rsid w:val="00685AFC"/>
    <w:rsid w:val="0068632B"/>
    <w:rsid w:val="006B087C"/>
    <w:rsid w:val="006B2C79"/>
    <w:rsid w:val="006B5C31"/>
    <w:rsid w:val="006C7F19"/>
    <w:rsid w:val="006D2335"/>
    <w:rsid w:val="006D3446"/>
    <w:rsid w:val="006D5219"/>
    <w:rsid w:val="006E027A"/>
    <w:rsid w:val="006E1A30"/>
    <w:rsid w:val="006E48AC"/>
    <w:rsid w:val="006E57CF"/>
    <w:rsid w:val="00702AD6"/>
    <w:rsid w:val="00722F03"/>
    <w:rsid w:val="00726DE9"/>
    <w:rsid w:val="00733F64"/>
    <w:rsid w:val="007612ED"/>
    <w:rsid w:val="00761BD1"/>
    <w:rsid w:val="007621BA"/>
    <w:rsid w:val="0077215F"/>
    <w:rsid w:val="00774EAF"/>
    <w:rsid w:val="00777699"/>
    <w:rsid w:val="00777EF0"/>
    <w:rsid w:val="007829F1"/>
    <w:rsid w:val="00783ADD"/>
    <w:rsid w:val="00787CE0"/>
    <w:rsid w:val="00792B21"/>
    <w:rsid w:val="007962A4"/>
    <w:rsid w:val="007A18B0"/>
    <w:rsid w:val="007A3E60"/>
    <w:rsid w:val="007A4D74"/>
    <w:rsid w:val="007A58BB"/>
    <w:rsid w:val="007B0D47"/>
    <w:rsid w:val="007B1C87"/>
    <w:rsid w:val="007B7E0C"/>
    <w:rsid w:val="007C53DD"/>
    <w:rsid w:val="007C5E41"/>
    <w:rsid w:val="007D3984"/>
    <w:rsid w:val="007E7E5F"/>
    <w:rsid w:val="007F02DE"/>
    <w:rsid w:val="007F26A7"/>
    <w:rsid w:val="007F5D75"/>
    <w:rsid w:val="00805313"/>
    <w:rsid w:val="00805751"/>
    <w:rsid w:val="00807B30"/>
    <w:rsid w:val="008163CC"/>
    <w:rsid w:val="00821327"/>
    <w:rsid w:val="0082158C"/>
    <w:rsid w:val="00823033"/>
    <w:rsid w:val="008264BD"/>
    <w:rsid w:val="00831130"/>
    <w:rsid w:val="00832A66"/>
    <w:rsid w:val="0083328E"/>
    <w:rsid w:val="0084719F"/>
    <w:rsid w:val="00872902"/>
    <w:rsid w:val="00872C68"/>
    <w:rsid w:val="00874805"/>
    <w:rsid w:val="00884897"/>
    <w:rsid w:val="008945DD"/>
    <w:rsid w:val="008A16BD"/>
    <w:rsid w:val="008B3FCF"/>
    <w:rsid w:val="008B4146"/>
    <w:rsid w:val="008D14F5"/>
    <w:rsid w:val="008D1AF8"/>
    <w:rsid w:val="008D4AF2"/>
    <w:rsid w:val="008D7CE1"/>
    <w:rsid w:val="008E513F"/>
    <w:rsid w:val="008E7022"/>
    <w:rsid w:val="00904946"/>
    <w:rsid w:val="00906A0D"/>
    <w:rsid w:val="0092008C"/>
    <w:rsid w:val="00925FD8"/>
    <w:rsid w:val="0093323A"/>
    <w:rsid w:val="00935ACE"/>
    <w:rsid w:val="009407E2"/>
    <w:rsid w:val="00955B2C"/>
    <w:rsid w:val="00965C14"/>
    <w:rsid w:val="0097155E"/>
    <w:rsid w:val="00980429"/>
    <w:rsid w:val="0098047C"/>
    <w:rsid w:val="00992124"/>
    <w:rsid w:val="00997FC0"/>
    <w:rsid w:val="009A12A3"/>
    <w:rsid w:val="009A3527"/>
    <w:rsid w:val="009D2503"/>
    <w:rsid w:val="009D252D"/>
    <w:rsid w:val="009F7469"/>
    <w:rsid w:val="00A05208"/>
    <w:rsid w:val="00A06C23"/>
    <w:rsid w:val="00A072DA"/>
    <w:rsid w:val="00A21162"/>
    <w:rsid w:val="00A21A66"/>
    <w:rsid w:val="00A224F5"/>
    <w:rsid w:val="00A272CD"/>
    <w:rsid w:val="00A27D95"/>
    <w:rsid w:val="00A34B63"/>
    <w:rsid w:val="00A34BE4"/>
    <w:rsid w:val="00A35E90"/>
    <w:rsid w:val="00A364AD"/>
    <w:rsid w:val="00A37ABF"/>
    <w:rsid w:val="00A51BEB"/>
    <w:rsid w:val="00A5232C"/>
    <w:rsid w:val="00A5626B"/>
    <w:rsid w:val="00A608D7"/>
    <w:rsid w:val="00A66F1E"/>
    <w:rsid w:val="00A70873"/>
    <w:rsid w:val="00A725E2"/>
    <w:rsid w:val="00A76CFC"/>
    <w:rsid w:val="00A87388"/>
    <w:rsid w:val="00A917C0"/>
    <w:rsid w:val="00AA00BF"/>
    <w:rsid w:val="00AA16D5"/>
    <w:rsid w:val="00AA1FE8"/>
    <w:rsid w:val="00AA25B9"/>
    <w:rsid w:val="00AA7907"/>
    <w:rsid w:val="00AB678B"/>
    <w:rsid w:val="00AD7782"/>
    <w:rsid w:val="00AE754E"/>
    <w:rsid w:val="00AF3F73"/>
    <w:rsid w:val="00AF49E9"/>
    <w:rsid w:val="00AF7D88"/>
    <w:rsid w:val="00B0550C"/>
    <w:rsid w:val="00B113B4"/>
    <w:rsid w:val="00B14194"/>
    <w:rsid w:val="00B15399"/>
    <w:rsid w:val="00B17159"/>
    <w:rsid w:val="00B226A3"/>
    <w:rsid w:val="00B2392B"/>
    <w:rsid w:val="00B32AB9"/>
    <w:rsid w:val="00B330E8"/>
    <w:rsid w:val="00B53FE9"/>
    <w:rsid w:val="00B60559"/>
    <w:rsid w:val="00B64C0E"/>
    <w:rsid w:val="00B670DA"/>
    <w:rsid w:val="00B73F1B"/>
    <w:rsid w:val="00B83EF2"/>
    <w:rsid w:val="00B94FB2"/>
    <w:rsid w:val="00B968E4"/>
    <w:rsid w:val="00BA6B21"/>
    <w:rsid w:val="00BB25F7"/>
    <w:rsid w:val="00BB2FCA"/>
    <w:rsid w:val="00BB2FF4"/>
    <w:rsid w:val="00BB3842"/>
    <w:rsid w:val="00BC01B2"/>
    <w:rsid w:val="00BD1CED"/>
    <w:rsid w:val="00BD4881"/>
    <w:rsid w:val="00BE227F"/>
    <w:rsid w:val="00BE3D85"/>
    <w:rsid w:val="00BE6217"/>
    <w:rsid w:val="00BE6C4C"/>
    <w:rsid w:val="00BE711E"/>
    <w:rsid w:val="00BF331D"/>
    <w:rsid w:val="00C0429E"/>
    <w:rsid w:val="00C07F46"/>
    <w:rsid w:val="00C10062"/>
    <w:rsid w:val="00C27238"/>
    <w:rsid w:val="00C30C89"/>
    <w:rsid w:val="00C36164"/>
    <w:rsid w:val="00C62D5A"/>
    <w:rsid w:val="00C66F75"/>
    <w:rsid w:val="00C70C0D"/>
    <w:rsid w:val="00C736FC"/>
    <w:rsid w:val="00CA0D63"/>
    <w:rsid w:val="00CA2046"/>
    <w:rsid w:val="00CA570D"/>
    <w:rsid w:val="00CB4601"/>
    <w:rsid w:val="00CB7CB4"/>
    <w:rsid w:val="00CC0E2D"/>
    <w:rsid w:val="00CD7D05"/>
    <w:rsid w:val="00CE6784"/>
    <w:rsid w:val="00CF1960"/>
    <w:rsid w:val="00CF2ECB"/>
    <w:rsid w:val="00D073F2"/>
    <w:rsid w:val="00D101FD"/>
    <w:rsid w:val="00D166AC"/>
    <w:rsid w:val="00D17BCB"/>
    <w:rsid w:val="00D17C73"/>
    <w:rsid w:val="00D35BCE"/>
    <w:rsid w:val="00D36C15"/>
    <w:rsid w:val="00D418E8"/>
    <w:rsid w:val="00D610E7"/>
    <w:rsid w:val="00D77CC8"/>
    <w:rsid w:val="00D8330F"/>
    <w:rsid w:val="00D84EA8"/>
    <w:rsid w:val="00D85820"/>
    <w:rsid w:val="00D9278E"/>
    <w:rsid w:val="00DA4137"/>
    <w:rsid w:val="00DA447F"/>
    <w:rsid w:val="00DB3940"/>
    <w:rsid w:val="00DB5A93"/>
    <w:rsid w:val="00DB6EEC"/>
    <w:rsid w:val="00DB7F74"/>
    <w:rsid w:val="00DC7FBE"/>
    <w:rsid w:val="00DD0640"/>
    <w:rsid w:val="00DD1D14"/>
    <w:rsid w:val="00DD616B"/>
    <w:rsid w:val="00DD72FF"/>
    <w:rsid w:val="00DF1A5C"/>
    <w:rsid w:val="00DF3328"/>
    <w:rsid w:val="00E0077A"/>
    <w:rsid w:val="00E0230A"/>
    <w:rsid w:val="00E02447"/>
    <w:rsid w:val="00E0346E"/>
    <w:rsid w:val="00E06522"/>
    <w:rsid w:val="00E11108"/>
    <w:rsid w:val="00E214FE"/>
    <w:rsid w:val="00E31BD1"/>
    <w:rsid w:val="00E3435D"/>
    <w:rsid w:val="00E3495A"/>
    <w:rsid w:val="00E3711B"/>
    <w:rsid w:val="00E37F50"/>
    <w:rsid w:val="00E41D91"/>
    <w:rsid w:val="00E4492E"/>
    <w:rsid w:val="00E53F18"/>
    <w:rsid w:val="00E564AB"/>
    <w:rsid w:val="00E62CCA"/>
    <w:rsid w:val="00E74639"/>
    <w:rsid w:val="00E77C6C"/>
    <w:rsid w:val="00E86E25"/>
    <w:rsid w:val="00E93D15"/>
    <w:rsid w:val="00EA116A"/>
    <w:rsid w:val="00EA3262"/>
    <w:rsid w:val="00EA6A38"/>
    <w:rsid w:val="00EB1587"/>
    <w:rsid w:val="00EB290F"/>
    <w:rsid w:val="00EB38F0"/>
    <w:rsid w:val="00EB7330"/>
    <w:rsid w:val="00ED254D"/>
    <w:rsid w:val="00EE5751"/>
    <w:rsid w:val="00F02212"/>
    <w:rsid w:val="00F052BA"/>
    <w:rsid w:val="00F10744"/>
    <w:rsid w:val="00F1264B"/>
    <w:rsid w:val="00F145E8"/>
    <w:rsid w:val="00F156AB"/>
    <w:rsid w:val="00F248D4"/>
    <w:rsid w:val="00F32646"/>
    <w:rsid w:val="00F50DDA"/>
    <w:rsid w:val="00F57205"/>
    <w:rsid w:val="00F61619"/>
    <w:rsid w:val="00F62F34"/>
    <w:rsid w:val="00F645C9"/>
    <w:rsid w:val="00F72F50"/>
    <w:rsid w:val="00F83133"/>
    <w:rsid w:val="00F85178"/>
    <w:rsid w:val="00F86971"/>
    <w:rsid w:val="00FA3C4B"/>
    <w:rsid w:val="00FA4E0B"/>
    <w:rsid w:val="00FA60E6"/>
    <w:rsid w:val="00FA6F79"/>
    <w:rsid w:val="00FB3BD4"/>
    <w:rsid w:val="00FB4969"/>
    <w:rsid w:val="00FB4C78"/>
    <w:rsid w:val="00FB4D9D"/>
    <w:rsid w:val="00FC4B1D"/>
    <w:rsid w:val="00FC58DF"/>
    <w:rsid w:val="00FD47FE"/>
    <w:rsid w:val="00FD4B89"/>
    <w:rsid w:val="00FD6148"/>
    <w:rsid w:val="00FF13B4"/>
    <w:rsid w:val="00FF172B"/>
    <w:rsid w:val="00FF1F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96851F"/>
  <w15:docId w15:val="{CADAADFD-E2DA-4DFE-BDF8-A7FC441E0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85178"/>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85178"/>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5C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65C14"/>
    <w:rPr>
      <w:b/>
      <w:bCs/>
    </w:rPr>
  </w:style>
  <w:style w:type="character" w:styleId="Emphasis">
    <w:name w:val="Emphasis"/>
    <w:basedOn w:val="DefaultParagraphFont"/>
    <w:uiPriority w:val="20"/>
    <w:qFormat/>
    <w:rsid w:val="00EB38F0"/>
    <w:rPr>
      <w:i/>
      <w:iCs/>
    </w:rPr>
  </w:style>
  <w:style w:type="character" w:styleId="Hyperlink">
    <w:name w:val="Hyperlink"/>
    <w:basedOn w:val="DefaultParagraphFont"/>
    <w:uiPriority w:val="99"/>
    <w:unhideWhenUsed/>
    <w:rsid w:val="00EB38F0"/>
    <w:rPr>
      <w:color w:val="0000FF"/>
      <w:u w:val="single"/>
    </w:rPr>
  </w:style>
  <w:style w:type="paragraph" w:styleId="ListParagraph">
    <w:name w:val="List Paragraph"/>
    <w:basedOn w:val="Normal"/>
    <w:uiPriority w:val="34"/>
    <w:qFormat/>
    <w:rsid w:val="006E57CF"/>
    <w:pPr>
      <w:ind w:left="720"/>
      <w:contextualSpacing/>
    </w:pPr>
  </w:style>
  <w:style w:type="table" w:customStyle="1" w:styleId="PlainTable21">
    <w:name w:val="Plain Table 21"/>
    <w:basedOn w:val="TableNormal"/>
    <w:uiPriority w:val="42"/>
    <w:rsid w:val="00685A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F62F34"/>
    <w:rPr>
      <w:sz w:val="16"/>
      <w:szCs w:val="16"/>
    </w:rPr>
  </w:style>
  <w:style w:type="paragraph" w:styleId="CommentText">
    <w:name w:val="annotation text"/>
    <w:basedOn w:val="Normal"/>
    <w:link w:val="CommentTextChar"/>
    <w:uiPriority w:val="99"/>
    <w:semiHidden/>
    <w:unhideWhenUsed/>
    <w:rsid w:val="00F62F34"/>
    <w:pPr>
      <w:spacing w:line="240" w:lineRule="auto"/>
    </w:pPr>
    <w:rPr>
      <w:sz w:val="20"/>
      <w:szCs w:val="20"/>
    </w:rPr>
  </w:style>
  <w:style w:type="character" w:customStyle="1" w:styleId="CommentTextChar">
    <w:name w:val="Comment Text Char"/>
    <w:basedOn w:val="DefaultParagraphFont"/>
    <w:link w:val="CommentText"/>
    <w:uiPriority w:val="99"/>
    <w:semiHidden/>
    <w:rsid w:val="00F62F34"/>
    <w:rPr>
      <w:sz w:val="20"/>
      <w:szCs w:val="20"/>
    </w:rPr>
  </w:style>
  <w:style w:type="paragraph" w:styleId="CommentSubject">
    <w:name w:val="annotation subject"/>
    <w:basedOn w:val="CommentText"/>
    <w:next w:val="CommentText"/>
    <w:link w:val="CommentSubjectChar"/>
    <w:uiPriority w:val="99"/>
    <w:semiHidden/>
    <w:unhideWhenUsed/>
    <w:rsid w:val="00F62F34"/>
    <w:rPr>
      <w:b/>
      <w:bCs/>
    </w:rPr>
  </w:style>
  <w:style w:type="character" w:customStyle="1" w:styleId="CommentSubjectChar">
    <w:name w:val="Comment Subject Char"/>
    <w:basedOn w:val="CommentTextChar"/>
    <w:link w:val="CommentSubject"/>
    <w:uiPriority w:val="99"/>
    <w:semiHidden/>
    <w:rsid w:val="00F62F34"/>
    <w:rPr>
      <w:b/>
      <w:bCs/>
      <w:sz w:val="20"/>
      <w:szCs w:val="20"/>
    </w:rPr>
  </w:style>
  <w:style w:type="paragraph" w:styleId="BalloonText">
    <w:name w:val="Balloon Text"/>
    <w:basedOn w:val="Normal"/>
    <w:link w:val="BalloonTextChar"/>
    <w:uiPriority w:val="99"/>
    <w:semiHidden/>
    <w:unhideWhenUsed/>
    <w:rsid w:val="00F62F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F34"/>
    <w:rPr>
      <w:rFonts w:ascii="Segoe UI" w:hAnsi="Segoe UI" w:cs="Segoe UI"/>
      <w:sz w:val="18"/>
      <w:szCs w:val="18"/>
    </w:rPr>
  </w:style>
  <w:style w:type="paragraph" w:styleId="Header">
    <w:name w:val="header"/>
    <w:basedOn w:val="Normal"/>
    <w:link w:val="HeaderChar"/>
    <w:uiPriority w:val="99"/>
    <w:unhideWhenUsed/>
    <w:rsid w:val="00B60559"/>
    <w:pPr>
      <w:tabs>
        <w:tab w:val="center" w:pos="4320"/>
        <w:tab w:val="right" w:pos="8640"/>
      </w:tabs>
      <w:spacing w:after="0" w:line="240" w:lineRule="auto"/>
    </w:pPr>
  </w:style>
  <w:style w:type="character" w:customStyle="1" w:styleId="HeaderChar">
    <w:name w:val="Header Char"/>
    <w:basedOn w:val="DefaultParagraphFont"/>
    <w:link w:val="Header"/>
    <w:uiPriority w:val="99"/>
    <w:rsid w:val="00B60559"/>
  </w:style>
  <w:style w:type="paragraph" w:styleId="Footer">
    <w:name w:val="footer"/>
    <w:basedOn w:val="Normal"/>
    <w:link w:val="FooterChar"/>
    <w:uiPriority w:val="99"/>
    <w:unhideWhenUsed/>
    <w:qFormat/>
    <w:rsid w:val="00B60559"/>
    <w:pPr>
      <w:tabs>
        <w:tab w:val="center" w:pos="4320"/>
        <w:tab w:val="right" w:pos="8640"/>
      </w:tabs>
      <w:spacing w:after="0" w:line="240" w:lineRule="auto"/>
    </w:pPr>
  </w:style>
  <w:style w:type="character" w:customStyle="1" w:styleId="FooterChar">
    <w:name w:val="Footer Char"/>
    <w:basedOn w:val="DefaultParagraphFont"/>
    <w:link w:val="Footer"/>
    <w:uiPriority w:val="99"/>
    <w:rsid w:val="00B60559"/>
  </w:style>
  <w:style w:type="character" w:styleId="LineNumber">
    <w:name w:val="line number"/>
    <w:basedOn w:val="DefaultParagraphFont"/>
    <w:uiPriority w:val="99"/>
    <w:semiHidden/>
    <w:unhideWhenUsed/>
    <w:rsid w:val="00B60559"/>
  </w:style>
  <w:style w:type="paragraph" w:customStyle="1" w:styleId="StyleListParagraphLatinHeadingsCSTimesNewRomanCom">
    <w:name w:val="Style List Paragraph + (Latin) +Headings CS (Times New Roman) (Com..."/>
    <w:basedOn w:val="ListParagraph"/>
    <w:rsid w:val="005F09CD"/>
    <w:pPr>
      <w:jc w:val="both"/>
    </w:pPr>
    <w:rPr>
      <w:rFonts w:asciiTheme="majorBidi" w:eastAsia="Times New Roman" w:hAnsiTheme="majorBidi" w:cstheme="majorBidi"/>
      <w:kern w:val="0"/>
      <w:sz w:val="24"/>
      <w:szCs w:val="24"/>
    </w:rPr>
  </w:style>
  <w:style w:type="table" w:styleId="TableGrid">
    <w:name w:val="Table Grid"/>
    <w:basedOn w:val="TableNormal"/>
    <w:uiPriority w:val="39"/>
    <w:rsid w:val="00361F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85178"/>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85178"/>
    <w:rPr>
      <w:rFonts w:ascii="Times New Roman" w:eastAsia="Times New Roman" w:hAnsi="Times New Roman" w:cs="Times New Roman"/>
      <w:b/>
      <w:bCs/>
      <w:kern w:val="0"/>
      <w:sz w:val="27"/>
      <w:szCs w:val="27"/>
      <w14:ligatures w14:val="none"/>
    </w:rPr>
  </w:style>
  <w:style w:type="character" w:customStyle="1" w:styleId="export-sheets-button">
    <w:name w:val="export-sheets-button"/>
    <w:basedOn w:val="DefaultParagraphFont"/>
    <w:rsid w:val="00F85178"/>
  </w:style>
  <w:style w:type="paragraph" w:styleId="FootnoteText">
    <w:name w:val="footnote text"/>
    <w:basedOn w:val="Normal"/>
    <w:link w:val="FootnoteTextChar"/>
    <w:uiPriority w:val="99"/>
    <w:semiHidden/>
    <w:unhideWhenUsed/>
    <w:rsid w:val="003058DA"/>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3058DA"/>
    <w:rPr>
      <w:kern w:val="0"/>
      <w:sz w:val="20"/>
      <w:szCs w:val="20"/>
      <w14:ligatures w14:val="none"/>
    </w:rPr>
  </w:style>
  <w:style w:type="character" w:styleId="FootnoteReference">
    <w:name w:val="footnote reference"/>
    <w:basedOn w:val="DefaultParagraphFont"/>
    <w:uiPriority w:val="99"/>
    <w:semiHidden/>
    <w:unhideWhenUsed/>
    <w:rsid w:val="003058DA"/>
    <w:rPr>
      <w:vertAlign w:val="superscript"/>
    </w:rPr>
  </w:style>
  <w:style w:type="paragraph" w:styleId="BodyText">
    <w:name w:val="Body Text"/>
    <w:basedOn w:val="Normal"/>
    <w:link w:val="BodyTextChar"/>
    <w:uiPriority w:val="99"/>
    <w:unhideWhenUsed/>
    <w:rsid w:val="003058DA"/>
    <w:rPr>
      <w:rFonts w:asciiTheme="majorBidi" w:hAnsiTheme="majorBidi" w:cstheme="majorBidi"/>
      <w:kern w:val="0"/>
      <w:sz w:val="24"/>
      <w:szCs w:val="24"/>
      <w14:ligatures w14:val="none"/>
    </w:rPr>
  </w:style>
  <w:style w:type="character" w:customStyle="1" w:styleId="BodyTextChar">
    <w:name w:val="Body Text Char"/>
    <w:basedOn w:val="DefaultParagraphFont"/>
    <w:link w:val="BodyText"/>
    <w:uiPriority w:val="99"/>
    <w:rsid w:val="003058DA"/>
    <w:rPr>
      <w:rFonts w:asciiTheme="majorBidi" w:hAnsiTheme="majorBidi" w:cstheme="majorBidi"/>
      <w:kern w:val="0"/>
      <w:sz w:val="24"/>
      <w:szCs w:val="24"/>
      <w14:ligatures w14:val="none"/>
    </w:rPr>
  </w:style>
  <w:style w:type="character" w:customStyle="1" w:styleId="allowtextselection">
    <w:name w:val="allowtextselection"/>
    <w:basedOn w:val="DefaultParagraphFont"/>
    <w:rsid w:val="003058DA"/>
  </w:style>
  <w:style w:type="paragraph" w:customStyle="1" w:styleId="MDPI16affiliation">
    <w:name w:val="MDPI_1.6_affiliation"/>
    <w:qFormat/>
    <w:rsid w:val="003058DA"/>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eastAsia="de-DE" w:bidi="en-US"/>
      <w14:ligatures w14:val="none"/>
    </w:rPr>
  </w:style>
  <w:style w:type="paragraph" w:customStyle="1" w:styleId="pf0">
    <w:name w:val="pf0"/>
    <w:basedOn w:val="Normal"/>
    <w:rsid w:val="008A16B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8A16BD"/>
    <w:rPr>
      <w:rFonts w:ascii="Consolas" w:hAnsi="Consolas" w:hint="default"/>
      <w:sz w:val="22"/>
      <w:szCs w:val="22"/>
    </w:rPr>
  </w:style>
  <w:style w:type="character" w:customStyle="1" w:styleId="cf11">
    <w:name w:val="cf11"/>
    <w:basedOn w:val="DefaultParagraphFont"/>
    <w:rsid w:val="00632A01"/>
    <w:rPr>
      <w:sz w:val="22"/>
      <w:szCs w:val="22"/>
    </w:rPr>
  </w:style>
  <w:style w:type="character" w:customStyle="1" w:styleId="cf21">
    <w:name w:val="cf21"/>
    <w:basedOn w:val="DefaultParagraphFont"/>
    <w:rsid w:val="00632A01"/>
    <w:rPr>
      <w:rFonts w:ascii="Consolas" w:hAnsi="Consolas" w:hint="default"/>
      <w:sz w:val="22"/>
      <w:szCs w:val="22"/>
    </w:rPr>
  </w:style>
  <w:style w:type="character" w:customStyle="1" w:styleId="cf31">
    <w:name w:val="cf31"/>
    <w:basedOn w:val="DefaultParagraphFont"/>
    <w:rsid w:val="00073FC8"/>
    <w:rPr>
      <w:rFonts w:ascii="Consolas" w:hAnsi="Consolas" w:hint="default"/>
      <w:sz w:val="22"/>
      <w:szCs w:val="22"/>
    </w:rPr>
  </w:style>
  <w:style w:type="character" w:customStyle="1" w:styleId="cf41">
    <w:name w:val="cf41"/>
    <w:basedOn w:val="DefaultParagraphFont"/>
    <w:rsid w:val="00073FC8"/>
    <w:rPr>
      <w:rFonts w:ascii="Consolas" w:hAnsi="Consolas" w:hint="default"/>
      <w:sz w:val="22"/>
      <w:szCs w:val="22"/>
    </w:rPr>
  </w:style>
  <w:style w:type="character" w:styleId="UnresolvedMention">
    <w:name w:val="Unresolved Mention"/>
    <w:basedOn w:val="DefaultParagraphFont"/>
    <w:uiPriority w:val="99"/>
    <w:semiHidden/>
    <w:unhideWhenUsed/>
    <w:rsid w:val="00FA6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9414">
      <w:bodyDiv w:val="1"/>
      <w:marLeft w:val="0"/>
      <w:marRight w:val="0"/>
      <w:marTop w:val="0"/>
      <w:marBottom w:val="0"/>
      <w:divBdr>
        <w:top w:val="none" w:sz="0" w:space="0" w:color="auto"/>
        <w:left w:val="none" w:sz="0" w:space="0" w:color="auto"/>
        <w:bottom w:val="none" w:sz="0" w:space="0" w:color="auto"/>
        <w:right w:val="none" w:sz="0" w:space="0" w:color="auto"/>
      </w:divBdr>
    </w:div>
    <w:div w:id="25718538">
      <w:bodyDiv w:val="1"/>
      <w:marLeft w:val="0"/>
      <w:marRight w:val="0"/>
      <w:marTop w:val="0"/>
      <w:marBottom w:val="0"/>
      <w:divBdr>
        <w:top w:val="none" w:sz="0" w:space="0" w:color="auto"/>
        <w:left w:val="none" w:sz="0" w:space="0" w:color="auto"/>
        <w:bottom w:val="none" w:sz="0" w:space="0" w:color="auto"/>
        <w:right w:val="none" w:sz="0" w:space="0" w:color="auto"/>
      </w:divBdr>
    </w:div>
    <w:div w:id="34502338">
      <w:bodyDiv w:val="1"/>
      <w:marLeft w:val="0"/>
      <w:marRight w:val="0"/>
      <w:marTop w:val="0"/>
      <w:marBottom w:val="0"/>
      <w:divBdr>
        <w:top w:val="none" w:sz="0" w:space="0" w:color="auto"/>
        <w:left w:val="none" w:sz="0" w:space="0" w:color="auto"/>
        <w:bottom w:val="none" w:sz="0" w:space="0" w:color="auto"/>
        <w:right w:val="none" w:sz="0" w:space="0" w:color="auto"/>
      </w:divBdr>
    </w:div>
    <w:div w:id="71902646">
      <w:bodyDiv w:val="1"/>
      <w:marLeft w:val="0"/>
      <w:marRight w:val="0"/>
      <w:marTop w:val="0"/>
      <w:marBottom w:val="0"/>
      <w:divBdr>
        <w:top w:val="none" w:sz="0" w:space="0" w:color="auto"/>
        <w:left w:val="none" w:sz="0" w:space="0" w:color="auto"/>
        <w:bottom w:val="none" w:sz="0" w:space="0" w:color="auto"/>
        <w:right w:val="none" w:sz="0" w:space="0" w:color="auto"/>
      </w:divBdr>
    </w:div>
    <w:div w:id="475878145">
      <w:bodyDiv w:val="1"/>
      <w:marLeft w:val="0"/>
      <w:marRight w:val="0"/>
      <w:marTop w:val="0"/>
      <w:marBottom w:val="0"/>
      <w:divBdr>
        <w:top w:val="none" w:sz="0" w:space="0" w:color="auto"/>
        <w:left w:val="none" w:sz="0" w:space="0" w:color="auto"/>
        <w:bottom w:val="none" w:sz="0" w:space="0" w:color="auto"/>
        <w:right w:val="none" w:sz="0" w:space="0" w:color="auto"/>
      </w:divBdr>
    </w:div>
    <w:div w:id="484861845">
      <w:bodyDiv w:val="1"/>
      <w:marLeft w:val="0"/>
      <w:marRight w:val="0"/>
      <w:marTop w:val="0"/>
      <w:marBottom w:val="0"/>
      <w:divBdr>
        <w:top w:val="none" w:sz="0" w:space="0" w:color="auto"/>
        <w:left w:val="none" w:sz="0" w:space="0" w:color="auto"/>
        <w:bottom w:val="none" w:sz="0" w:space="0" w:color="auto"/>
        <w:right w:val="none" w:sz="0" w:space="0" w:color="auto"/>
      </w:divBdr>
    </w:div>
    <w:div w:id="554390802">
      <w:bodyDiv w:val="1"/>
      <w:marLeft w:val="0"/>
      <w:marRight w:val="0"/>
      <w:marTop w:val="0"/>
      <w:marBottom w:val="0"/>
      <w:divBdr>
        <w:top w:val="none" w:sz="0" w:space="0" w:color="auto"/>
        <w:left w:val="none" w:sz="0" w:space="0" w:color="auto"/>
        <w:bottom w:val="none" w:sz="0" w:space="0" w:color="auto"/>
        <w:right w:val="none" w:sz="0" w:space="0" w:color="auto"/>
      </w:divBdr>
    </w:div>
    <w:div w:id="563948244">
      <w:bodyDiv w:val="1"/>
      <w:marLeft w:val="0"/>
      <w:marRight w:val="0"/>
      <w:marTop w:val="0"/>
      <w:marBottom w:val="0"/>
      <w:divBdr>
        <w:top w:val="none" w:sz="0" w:space="0" w:color="auto"/>
        <w:left w:val="none" w:sz="0" w:space="0" w:color="auto"/>
        <w:bottom w:val="none" w:sz="0" w:space="0" w:color="auto"/>
        <w:right w:val="none" w:sz="0" w:space="0" w:color="auto"/>
      </w:divBdr>
    </w:div>
    <w:div w:id="565729285">
      <w:bodyDiv w:val="1"/>
      <w:marLeft w:val="0"/>
      <w:marRight w:val="0"/>
      <w:marTop w:val="0"/>
      <w:marBottom w:val="0"/>
      <w:divBdr>
        <w:top w:val="none" w:sz="0" w:space="0" w:color="auto"/>
        <w:left w:val="none" w:sz="0" w:space="0" w:color="auto"/>
        <w:bottom w:val="none" w:sz="0" w:space="0" w:color="auto"/>
        <w:right w:val="none" w:sz="0" w:space="0" w:color="auto"/>
      </w:divBdr>
    </w:div>
    <w:div w:id="635531490">
      <w:bodyDiv w:val="1"/>
      <w:marLeft w:val="0"/>
      <w:marRight w:val="0"/>
      <w:marTop w:val="0"/>
      <w:marBottom w:val="0"/>
      <w:divBdr>
        <w:top w:val="none" w:sz="0" w:space="0" w:color="auto"/>
        <w:left w:val="none" w:sz="0" w:space="0" w:color="auto"/>
        <w:bottom w:val="none" w:sz="0" w:space="0" w:color="auto"/>
        <w:right w:val="none" w:sz="0" w:space="0" w:color="auto"/>
      </w:divBdr>
    </w:div>
    <w:div w:id="662046413">
      <w:bodyDiv w:val="1"/>
      <w:marLeft w:val="0"/>
      <w:marRight w:val="0"/>
      <w:marTop w:val="0"/>
      <w:marBottom w:val="0"/>
      <w:divBdr>
        <w:top w:val="none" w:sz="0" w:space="0" w:color="auto"/>
        <w:left w:val="none" w:sz="0" w:space="0" w:color="auto"/>
        <w:bottom w:val="none" w:sz="0" w:space="0" w:color="auto"/>
        <w:right w:val="none" w:sz="0" w:space="0" w:color="auto"/>
      </w:divBdr>
    </w:div>
    <w:div w:id="671835788">
      <w:bodyDiv w:val="1"/>
      <w:marLeft w:val="0"/>
      <w:marRight w:val="0"/>
      <w:marTop w:val="0"/>
      <w:marBottom w:val="0"/>
      <w:divBdr>
        <w:top w:val="none" w:sz="0" w:space="0" w:color="auto"/>
        <w:left w:val="none" w:sz="0" w:space="0" w:color="auto"/>
        <w:bottom w:val="none" w:sz="0" w:space="0" w:color="auto"/>
        <w:right w:val="none" w:sz="0" w:space="0" w:color="auto"/>
      </w:divBdr>
    </w:div>
    <w:div w:id="752431544">
      <w:bodyDiv w:val="1"/>
      <w:marLeft w:val="0"/>
      <w:marRight w:val="0"/>
      <w:marTop w:val="0"/>
      <w:marBottom w:val="0"/>
      <w:divBdr>
        <w:top w:val="none" w:sz="0" w:space="0" w:color="auto"/>
        <w:left w:val="none" w:sz="0" w:space="0" w:color="auto"/>
        <w:bottom w:val="none" w:sz="0" w:space="0" w:color="auto"/>
        <w:right w:val="none" w:sz="0" w:space="0" w:color="auto"/>
      </w:divBdr>
    </w:div>
    <w:div w:id="804389864">
      <w:bodyDiv w:val="1"/>
      <w:marLeft w:val="0"/>
      <w:marRight w:val="0"/>
      <w:marTop w:val="0"/>
      <w:marBottom w:val="0"/>
      <w:divBdr>
        <w:top w:val="none" w:sz="0" w:space="0" w:color="auto"/>
        <w:left w:val="none" w:sz="0" w:space="0" w:color="auto"/>
        <w:bottom w:val="none" w:sz="0" w:space="0" w:color="auto"/>
        <w:right w:val="none" w:sz="0" w:space="0" w:color="auto"/>
      </w:divBdr>
    </w:div>
    <w:div w:id="856962546">
      <w:bodyDiv w:val="1"/>
      <w:marLeft w:val="0"/>
      <w:marRight w:val="0"/>
      <w:marTop w:val="0"/>
      <w:marBottom w:val="0"/>
      <w:divBdr>
        <w:top w:val="none" w:sz="0" w:space="0" w:color="auto"/>
        <w:left w:val="none" w:sz="0" w:space="0" w:color="auto"/>
        <w:bottom w:val="none" w:sz="0" w:space="0" w:color="auto"/>
        <w:right w:val="none" w:sz="0" w:space="0" w:color="auto"/>
      </w:divBdr>
    </w:div>
    <w:div w:id="885680002">
      <w:bodyDiv w:val="1"/>
      <w:marLeft w:val="0"/>
      <w:marRight w:val="0"/>
      <w:marTop w:val="0"/>
      <w:marBottom w:val="0"/>
      <w:divBdr>
        <w:top w:val="none" w:sz="0" w:space="0" w:color="auto"/>
        <w:left w:val="none" w:sz="0" w:space="0" w:color="auto"/>
        <w:bottom w:val="none" w:sz="0" w:space="0" w:color="auto"/>
        <w:right w:val="none" w:sz="0" w:space="0" w:color="auto"/>
      </w:divBdr>
    </w:div>
    <w:div w:id="907304137">
      <w:bodyDiv w:val="1"/>
      <w:marLeft w:val="0"/>
      <w:marRight w:val="0"/>
      <w:marTop w:val="0"/>
      <w:marBottom w:val="0"/>
      <w:divBdr>
        <w:top w:val="none" w:sz="0" w:space="0" w:color="auto"/>
        <w:left w:val="none" w:sz="0" w:space="0" w:color="auto"/>
        <w:bottom w:val="none" w:sz="0" w:space="0" w:color="auto"/>
        <w:right w:val="none" w:sz="0" w:space="0" w:color="auto"/>
      </w:divBdr>
    </w:div>
    <w:div w:id="1001011152">
      <w:bodyDiv w:val="1"/>
      <w:marLeft w:val="0"/>
      <w:marRight w:val="0"/>
      <w:marTop w:val="0"/>
      <w:marBottom w:val="0"/>
      <w:divBdr>
        <w:top w:val="none" w:sz="0" w:space="0" w:color="auto"/>
        <w:left w:val="none" w:sz="0" w:space="0" w:color="auto"/>
        <w:bottom w:val="none" w:sz="0" w:space="0" w:color="auto"/>
        <w:right w:val="none" w:sz="0" w:space="0" w:color="auto"/>
      </w:divBdr>
    </w:div>
    <w:div w:id="1038241053">
      <w:bodyDiv w:val="1"/>
      <w:marLeft w:val="0"/>
      <w:marRight w:val="0"/>
      <w:marTop w:val="0"/>
      <w:marBottom w:val="0"/>
      <w:divBdr>
        <w:top w:val="none" w:sz="0" w:space="0" w:color="auto"/>
        <w:left w:val="none" w:sz="0" w:space="0" w:color="auto"/>
        <w:bottom w:val="none" w:sz="0" w:space="0" w:color="auto"/>
        <w:right w:val="none" w:sz="0" w:space="0" w:color="auto"/>
      </w:divBdr>
    </w:div>
    <w:div w:id="1055473604">
      <w:bodyDiv w:val="1"/>
      <w:marLeft w:val="0"/>
      <w:marRight w:val="0"/>
      <w:marTop w:val="0"/>
      <w:marBottom w:val="0"/>
      <w:divBdr>
        <w:top w:val="none" w:sz="0" w:space="0" w:color="auto"/>
        <w:left w:val="none" w:sz="0" w:space="0" w:color="auto"/>
        <w:bottom w:val="none" w:sz="0" w:space="0" w:color="auto"/>
        <w:right w:val="none" w:sz="0" w:space="0" w:color="auto"/>
      </w:divBdr>
    </w:div>
    <w:div w:id="1070881006">
      <w:bodyDiv w:val="1"/>
      <w:marLeft w:val="0"/>
      <w:marRight w:val="0"/>
      <w:marTop w:val="0"/>
      <w:marBottom w:val="0"/>
      <w:divBdr>
        <w:top w:val="none" w:sz="0" w:space="0" w:color="auto"/>
        <w:left w:val="none" w:sz="0" w:space="0" w:color="auto"/>
        <w:bottom w:val="none" w:sz="0" w:space="0" w:color="auto"/>
        <w:right w:val="none" w:sz="0" w:space="0" w:color="auto"/>
      </w:divBdr>
    </w:div>
    <w:div w:id="1074473679">
      <w:bodyDiv w:val="1"/>
      <w:marLeft w:val="0"/>
      <w:marRight w:val="0"/>
      <w:marTop w:val="0"/>
      <w:marBottom w:val="0"/>
      <w:divBdr>
        <w:top w:val="none" w:sz="0" w:space="0" w:color="auto"/>
        <w:left w:val="none" w:sz="0" w:space="0" w:color="auto"/>
        <w:bottom w:val="none" w:sz="0" w:space="0" w:color="auto"/>
        <w:right w:val="none" w:sz="0" w:space="0" w:color="auto"/>
      </w:divBdr>
    </w:div>
    <w:div w:id="1127047376">
      <w:bodyDiv w:val="1"/>
      <w:marLeft w:val="0"/>
      <w:marRight w:val="0"/>
      <w:marTop w:val="0"/>
      <w:marBottom w:val="0"/>
      <w:divBdr>
        <w:top w:val="none" w:sz="0" w:space="0" w:color="auto"/>
        <w:left w:val="none" w:sz="0" w:space="0" w:color="auto"/>
        <w:bottom w:val="none" w:sz="0" w:space="0" w:color="auto"/>
        <w:right w:val="none" w:sz="0" w:space="0" w:color="auto"/>
      </w:divBdr>
      <w:divsChild>
        <w:div w:id="1611469640">
          <w:marLeft w:val="0"/>
          <w:marRight w:val="0"/>
          <w:marTop w:val="0"/>
          <w:marBottom w:val="0"/>
          <w:divBdr>
            <w:top w:val="none" w:sz="0" w:space="0" w:color="auto"/>
            <w:left w:val="none" w:sz="0" w:space="0" w:color="auto"/>
            <w:bottom w:val="none" w:sz="0" w:space="0" w:color="auto"/>
            <w:right w:val="none" w:sz="0" w:space="0" w:color="auto"/>
          </w:divBdr>
          <w:divsChild>
            <w:div w:id="1652438609">
              <w:marLeft w:val="0"/>
              <w:marRight w:val="0"/>
              <w:marTop w:val="0"/>
              <w:marBottom w:val="0"/>
              <w:divBdr>
                <w:top w:val="none" w:sz="0" w:space="0" w:color="auto"/>
                <w:left w:val="none" w:sz="0" w:space="0" w:color="auto"/>
                <w:bottom w:val="none" w:sz="0" w:space="0" w:color="auto"/>
                <w:right w:val="none" w:sz="0" w:space="0" w:color="auto"/>
              </w:divBdr>
              <w:divsChild>
                <w:div w:id="1669137294">
                  <w:marLeft w:val="0"/>
                  <w:marRight w:val="0"/>
                  <w:marTop w:val="0"/>
                  <w:marBottom w:val="0"/>
                  <w:divBdr>
                    <w:top w:val="none" w:sz="0" w:space="0" w:color="auto"/>
                    <w:left w:val="none" w:sz="0" w:space="0" w:color="auto"/>
                    <w:bottom w:val="none" w:sz="0" w:space="0" w:color="auto"/>
                    <w:right w:val="none" w:sz="0" w:space="0" w:color="auto"/>
                  </w:divBdr>
                  <w:divsChild>
                    <w:div w:id="878126040">
                      <w:marLeft w:val="0"/>
                      <w:marRight w:val="0"/>
                      <w:marTop w:val="0"/>
                      <w:marBottom w:val="0"/>
                      <w:divBdr>
                        <w:top w:val="none" w:sz="0" w:space="0" w:color="auto"/>
                        <w:left w:val="none" w:sz="0" w:space="0" w:color="auto"/>
                        <w:bottom w:val="none" w:sz="0" w:space="0" w:color="auto"/>
                        <w:right w:val="none" w:sz="0" w:space="0" w:color="auto"/>
                      </w:divBdr>
                    </w:div>
                    <w:div w:id="80007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509780">
      <w:bodyDiv w:val="1"/>
      <w:marLeft w:val="0"/>
      <w:marRight w:val="0"/>
      <w:marTop w:val="0"/>
      <w:marBottom w:val="0"/>
      <w:divBdr>
        <w:top w:val="none" w:sz="0" w:space="0" w:color="auto"/>
        <w:left w:val="none" w:sz="0" w:space="0" w:color="auto"/>
        <w:bottom w:val="none" w:sz="0" w:space="0" w:color="auto"/>
        <w:right w:val="none" w:sz="0" w:space="0" w:color="auto"/>
      </w:divBdr>
    </w:div>
    <w:div w:id="1136527835">
      <w:bodyDiv w:val="1"/>
      <w:marLeft w:val="0"/>
      <w:marRight w:val="0"/>
      <w:marTop w:val="0"/>
      <w:marBottom w:val="0"/>
      <w:divBdr>
        <w:top w:val="none" w:sz="0" w:space="0" w:color="auto"/>
        <w:left w:val="none" w:sz="0" w:space="0" w:color="auto"/>
        <w:bottom w:val="none" w:sz="0" w:space="0" w:color="auto"/>
        <w:right w:val="none" w:sz="0" w:space="0" w:color="auto"/>
      </w:divBdr>
    </w:div>
    <w:div w:id="1208300938">
      <w:bodyDiv w:val="1"/>
      <w:marLeft w:val="0"/>
      <w:marRight w:val="0"/>
      <w:marTop w:val="0"/>
      <w:marBottom w:val="0"/>
      <w:divBdr>
        <w:top w:val="none" w:sz="0" w:space="0" w:color="auto"/>
        <w:left w:val="none" w:sz="0" w:space="0" w:color="auto"/>
        <w:bottom w:val="none" w:sz="0" w:space="0" w:color="auto"/>
        <w:right w:val="none" w:sz="0" w:space="0" w:color="auto"/>
      </w:divBdr>
      <w:divsChild>
        <w:div w:id="1743870627">
          <w:marLeft w:val="0"/>
          <w:marRight w:val="0"/>
          <w:marTop w:val="0"/>
          <w:marBottom w:val="0"/>
          <w:divBdr>
            <w:top w:val="none" w:sz="0" w:space="0" w:color="auto"/>
            <w:left w:val="none" w:sz="0" w:space="0" w:color="auto"/>
            <w:bottom w:val="none" w:sz="0" w:space="0" w:color="auto"/>
            <w:right w:val="none" w:sz="0" w:space="0" w:color="auto"/>
          </w:divBdr>
          <w:divsChild>
            <w:div w:id="17836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46610">
      <w:bodyDiv w:val="1"/>
      <w:marLeft w:val="0"/>
      <w:marRight w:val="0"/>
      <w:marTop w:val="0"/>
      <w:marBottom w:val="0"/>
      <w:divBdr>
        <w:top w:val="none" w:sz="0" w:space="0" w:color="auto"/>
        <w:left w:val="none" w:sz="0" w:space="0" w:color="auto"/>
        <w:bottom w:val="none" w:sz="0" w:space="0" w:color="auto"/>
        <w:right w:val="none" w:sz="0" w:space="0" w:color="auto"/>
      </w:divBdr>
    </w:div>
    <w:div w:id="1224098738">
      <w:bodyDiv w:val="1"/>
      <w:marLeft w:val="0"/>
      <w:marRight w:val="0"/>
      <w:marTop w:val="0"/>
      <w:marBottom w:val="0"/>
      <w:divBdr>
        <w:top w:val="none" w:sz="0" w:space="0" w:color="auto"/>
        <w:left w:val="none" w:sz="0" w:space="0" w:color="auto"/>
        <w:bottom w:val="none" w:sz="0" w:space="0" w:color="auto"/>
        <w:right w:val="none" w:sz="0" w:space="0" w:color="auto"/>
      </w:divBdr>
    </w:div>
    <w:div w:id="1240098387">
      <w:bodyDiv w:val="1"/>
      <w:marLeft w:val="0"/>
      <w:marRight w:val="0"/>
      <w:marTop w:val="0"/>
      <w:marBottom w:val="0"/>
      <w:divBdr>
        <w:top w:val="none" w:sz="0" w:space="0" w:color="auto"/>
        <w:left w:val="none" w:sz="0" w:space="0" w:color="auto"/>
        <w:bottom w:val="none" w:sz="0" w:space="0" w:color="auto"/>
        <w:right w:val="none" w:sz="0" w:space="0" w:color="auto"/>
      </w:divBdr>
      <w:divsChild>
        <w:div w:id="1115832560">
          <w:marLeft w:val="0"/>
          <w:marRight w:val="0"/>
          <w:marTop w:val="0"/>
          <w:marBottom w:val="0"/>
          <w:divBdr>
            <w:top w:val="none" w:sz="0" w:space="0" w:color="auto"/>
            <w:left w:val="none" w:sz="0" w:space="0" w:color="auto"/>
            <w:bottom w:val="none" w:sz="0" w:space="0" w:color="auto"/>
            <w:right w:val="none" w:sz="0" w:space="0" w:color="auto"/>
          </w:divBdr>
          <w:divsChild>
            <w:div w:id="64698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02027">
      <w:bodyDiv w:val="1"/>
      <w:marLeft w:val="0"/>
      <w:marRight w:val="0"/>
      <w:marTop w:val="0"/>
      <w:marBottom w:val="0"/>
      <w:divBdr>
        <w:top w:val="none" w:sz="0" w:space="0" w:color="auto"/>
        <w:left w:val="none" w:sz="0" w:space="0" w:color="auto"/>
        <w:bottom w:val="none" w:sz="0" w:space="0" w:color="auto"/>
        <w:right w:val="none" w:sz="0" w:space="0" w:color="auto"/>
      </w:divBdr>
    </w:div>
    <w:div w:id="1289093937">
      <w:bodyDiv w:val="1"/>
      <w:marLeft w:val="0"/>
      <w:marRight w:val="0"/>
      <w:marTop w:val="0"/>
      <w:marBottom w:val="0"/>
      <w:divBdr>
        <w:top w:val="none" w:sz="0" w:space="0" w:color="auto"/>
        <w:left w:val="none" w:sz="0" w:space="0" w:color="auto"/>
        <w:bottom w:val="none" w:sz="0" w:space="0" w:color="auto"/>
        <w:right w:val="none" w:sz="0" w:space="0" w:color="auto"/>
      </w:divBdr>
    </w:div>
    <w:div w:id="1361249127">
      <w:bodyDiv w:val="1"/>
      <w:marLeft w:val="0"/>
      <w:marRight w:val="0"/>
      <w:marTop w:val="0"/>
      <w:marBottom w:val="0"/>
      <w:divBdr>
        <w:top w:val="none" w:sz="0" w:space="0" w:color="auto"/>
        <w:left w:val="none" w:sz="0" w:space="0" w:color="auto"/>
        <w:bottom w:val="none" w:sz="0" w:space="0" w:color="auto"/>
        <w:right w:val="none" w:sz="0" w:space="0" w:color="auto"/>
      </w:divBdr>
    </w:div>
    <w:div w:id="1461916666">
      <w:bodyDiv w:val="1"/>
      <w:marLeft w:val="0"/>
      <w:marRight w:val="0"/>
      <w:marTop w:val="0"/>
      <w:marBottom w:val="0"/>
      <w:divBdr>
        <w:top w:val="none" w:sz="0" w:space="0" w:color="auto"/>
        <w:left w:val="none" w:sz="0" w:space="0" w:color="auto"/>
        <w:bottom w:val="none" w:sz="0" w:space="0" w:color="auto"/>
        <w:right w:val="none" w:sz="0" w:space="0" w:color="auto"/>
      </w:divBdr>
    </w:div>
    <w:div w:id="1466504650">
      <w:bodyDiv w:val="1"/>
      <w:marLeft w:val="0"/>
      <w:marRight w:val="0"/>
      <w:marTop w:val="0"/>
      <w:marBottom w:val="0"/>
      <w:divBdr>
        <w:top w:val="none" w:sz="0" w:space="0" w:color="auto"/>
        <w:left w:val="none" w:sz="0" w:space="0" w:color="auto"/>
        <w:bottom w:val="none" w:sz="0" w:space="0" w:color="auto"/>
        <w:right w:val="none" w:sz="0" w:space="0" w:color="auto"/>
      </w:divBdr>
    </w:div>
    <w:div w:id="1466851779">
      <w:bodyDiv w:val="1"/>
      <w:marLeft w:val="0"/>
      <w:marRight w:val="0"/>
      <w:marTop w:val="0"/>
      <w:marBottom w:val="0"/>
      <w:divBdr>
        <w:top w:val="none" w:sz="0" w:space="0" w:color="auto"/>
        <w:left w:val="none" w:sz="0" w:space="0" w:color="auto"/>
        <w:bottom w:val="none" w:sz="0" w:space="0" w:color="auto"/>
        <w:right w:val="none" w:sz="0" w:space="0" w:color="auto"/>
      </w:divBdr>
    </w:div>
    <w:div w:id="1667707456">
      <w:bodyDiv w:val="1"/>
      <w:marLeft w:val="0"/>
      <w:marRight w:val="0"/>
      <w:marTop w:val="0"/>
      <w:marBottom w:val="0"/>
      <w:divBdr>
        <w:top w:val="none" w:sz="0" w:space="0" w:color="auto"/>
        <w:left w:val="none" w:sz="0" w:space="0" w:color="auto"/>
        <w:bottom w:val="none" w:sz="0" w:space="0" w:color="auto"/>
        <w:right w:val="none" w:sz="0" w:space="0" w:color="auto"/>
      </w:divBdr>
    </w:div>
    <w:div w:id="1705330603">
      <w:bodyDiv w:val="1"/>
      <w:marLeft w:val="0"/>
      <w:marRight w:val="0"/>
      <w:marTop w:val="0"/>
      <w:marBottom w:val="0"/>
      <w:divBdr>
        <w:top w:val="none" w:sz="0" w:space="0" w:color="auto"/>
        <w:left w:val="none" w:sz="0" w:space="0" w:color="auto"/>
        <w:bottom w:val="none" w:sz="0" w:space="0" w:color="auto"/>
        <w:right w:val="none" w:sz="0" w:space="0" w:color="auto"/>
      </w:divBdr>
    </w:div>
    <w:div w:id="1822230863">
      <w:bodyDiv w:val="1"/>
      <w:marLeft w:val="0"/>
      <w:marRight w:val="0"/>
      <w:marTop w:val="0"/>
      <w:marBottom w:val="0"/>
      <w:divBdr>
        <w:top w:val="none" w:sz="0" w:space="0" w:color="auto"/>
        <w:left w:val="none" w:sz="0" w:space="0" w:color="auto"/>
        <w:bottom w:val="none" w:sz="0" w:space="0" w:color="auto"/>
        <w:right w:val="none" w:sz="0" w:space="0" w:color="auto"/>
      </w:divBdr>
    </w:div>
    <w:div w:id="1843354181">
      <w:bodyDiv w:val="1"/>
      <w:marLeft w:val="0"/>
      <w:marRight w:val="0"/>
      <w:marTop w:val="0"/>
      <w:marBottom w:val="0"/>
      <w:divBdr>
        <w:top w:val="none" w:sz="0" w:space="0" w:color="auto"/>
        <w:left w:val="none" w:sz="0" w:space="0" w:color="auto"/>
        <w:bottom w:val="none" w:sz="0" w:space="0" w:color="auto"/>
        <w:right w:val="none" w:sz="0" w:space="0" w:color="auto"/>
      </w:divBdr>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2004240596">
      <w:bodyDiv w:val="1"/>
      <w:marLeft w:val="0"/>
      <w:marRight w:val="0"/>
      <w:marTop w:val="0"/>
      <w:marBottom w:val="0"/>
      <w:divBdr>
        <w:top w:val="none" w:sz="0" w:space="0" w:color="auto"/>
        <w:left w:val="none" w:sz="0" w:space="0" w:color="auto"/>
        <w:bottom w:val="none" w:sz="0" w:space="0" w:color="auto"/>
        <w:right w:val="none" w:sz="0" w:space="0" w:color="auto"/>
      </w:divBdr>
    </w:div>
    <w:div w:id="2020231404">
      <w:bodyDiv w:val="1"/>
      <w:marLeft w:val="0"/>
      <w:marRight w:val="0"/>
      <w:marTop w:val="0"/>
      <w:marBottom w:val="0"/>
      <w:divBdr>
        <w:top w:val="none" w:sz="0" w:space="0" w:color="auto"/>
        <w:left w:val="none" w:sz="0" w:space="0" w:color="auto"/>
        <w:bottom w:val="none" w:sz="0" w:space="0" w:color="auto"/>
        <w:right w:val="none" w:sz="0" w:space="0" w:color="auto"/>
      </w:divBdr>
      <w:divsChild>
        <w:div w:id="1123382997">
          <w:marLeft w:val="0"/>
          <w:marRight w:val="0"/>
          <w:marTop w:val="0"/>
          <w:marBottom w:val="0"/>
          <w:divBdr>
            <w:top w:val="none" w:sz="0" w:space="0" w:color="auto"/>
            <w:left w:val="none" w:sz="0" w:space="0" w:color="auto"/>
            <w:bottom w:val="none" w:sz="0" w:space="0" w:color="auto"/>
            <w:right w:val="none" w:sz="0" w:space="0" w:color="auto"/>
          </w:divBdr>
          <w:divsChild>
            <w:div w:id="188805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2.jpeg"/><Relationship Id="rId26" Type="http://schemas.openxmlformats.org/officeDocument/2006/relationships/hyperlink" Target="https://doi.org/10.1016/j.lwt.2020.110343" TargetMode="External"/><Relationship Id="rId39" Type="http://schemas.openxmlformats.org/officeDocument/2006/relationships/fontTable" Target="fontTable.xml"/><Relationship Id="rId21" Type="http://schemas.openxmlformats.org/officeDocument/2006/relationships/chart" Target="charts/chart2.xml"/><Relationship Id="rId34" Type="http://schemas.openxmlformats.org/officeDocument/2006/relationships/hyperlink" Target="https://doi.org/10.3390/horticulturae11070731" TargetMode="External"/><Relationship Id="rId7" Type="http://schemas.openxmlformats.org/officeDocument/2006/relationships/settings" Target="settings.xml"/><Relationship Id="rId12" Type="http://schemas.openxmlformats.org/officeDocument/2006/relationships/diagramLayout" Target="diagrams/layout1.xml"/><Relationship Id="rId17" Type="http://schemas.microsoft.com/office/2007/relationships/hdphoto" Target="media/hdphoto1.wdp"/><Relationship Id="rId25" Type="http://schemas.openxmlformats.org/officeDocument/2006/relationships/hyperlink" Target="https://doi.org/10.1016/j.heliyon.2025.e42373" TargetMode="External"/><Relationship Id="rId33" Type="http://schemas.openxmlformats.org/officeDocument/2006/relationships/hyperlink" Target="https://doi.org/10.3390/foods14183189" TargetMode="External"/><Relationship Id="rId38" Type="http://schemas.openxmlformats.org/officeDocument/2006/relationships/hyperlink" Target="https://doi.org/10.1186/s42162-025-00493-w"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chart" Target="charts/chart1.xml"/><Relationship Id="rId29" Type="http://schemas.openxmlformats.org/officeDocument/2006/relationships/hyperlink" Target="https://doi.org/10.1098/rsta.2013.03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hyperlink" Target="https://doi.org/10.1016/j.sjbs.2016.02.003" TargetMode="External"/><Relationship Id="rId32" Type="http://schemas.openxmlformats.org/officeDocument/2006/relationships/hyperlink" Target="https://doi.org/10.1016/j.enbuild.2024.114736" TargetMode="External"/><Relationship Id="rId37" Type="http://schemas.openxmlformats.org/officeDocument/2006/relationships/hyperlink" Target="https://doi.org/10.1016/j.enbuild.2024.114094" TargetMode="External"/><Relationship Id="rId40"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hyperlink" Target="https://doi.org/10.3923/ajft.2014.127.135" TargetMode="External"/><Relationship Id="rId28" Type="http://schemas.openxmlformats.org/officeDocument/2006/relationships/hyperlink" Target="https://doi.org/10.3390/foods11111584" TargetMode="External"/><Relationship Id="rId36" Type="http://schemas.openxmlformats.org/officeDocument/2006/relationships/hyperlink" Target="https://doi.org/10.3390/app15137602" TargetMode="Externa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ncpd.gov.sa/ar/repo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hyperlink" Target="https://doi.org/10.3390/su16062552" TargetMode="External"/><Relationship Id="rId27" Type="http://schemas.openxmlformats.org/officeDocument/2006/relationships/hyperlink" Target="https://jaqm.ro/issues/volume-%0913,issue-2/pdfs/3_BE_AN_DE_PA_.pdf" TargetMode="External"/><Relationship Id="rId30" Type="http://schemas.openxmlformats.org/officeDocument/2006/relationships/hyperlink" Target="https://doi.org/10.3389/fsufs.2024.1403164" TargetMode="External"/><Relationship Id="rId35" Type="http://schemas.openxmlformats.org/officeDocument/2006/relationships/hyperlink" Target="https://doi.org/10.1016/j.apenergy.2023.12199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1" Type="http://schemas.openxmlformats.org/officeDocument/2006/relationships/oleObject" Target="https://ksusa-my.sharepoint.com/personal/sasaleh_ksu_edu_sa/Documents/A%202025/Research/data%20aanlaysis%20of%20storage%20room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ksusa-my.sharepoint.com/personal/sasaleh_ksu_edu_sa/Documents/A%202025/Research/New%20Microsoft%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ورقة1!$O$31</c:f>
              <c:strCache>
                <c:ptCount val="1"/>
                <c:pt idx="0">
                  <c:v>%</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14D-4A5B-AFDD-F95731571A2A}"/>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14D-4A5B-AFDD-F95731571A2A}"/>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14D-4A5B-AFDD-F95731571A2A}"/>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A14D-4A5B-AFDD-F95731571A2A}"/>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A14D-4A5B-AFDD-F95731571A2A}"/>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A14D-4A5B-AFDD-F95731571A2A}"/>
              </c:ext>
            </c:extLst>
          </c:dPt>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Palatino Linotype" panose="0204050205050503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A14D-4A5B-AFDD-F95731571A2A}"/>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solidFill>
                      <a:latin typeface="Palatino Linotype" panose="0204050205050503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A14D-4A5B-AFDD-F95731571A2A}"/>
                </c:ext>
              </c:extLst>
            </c:dLbl>
            <c:dLbl>
              <c:idx val="2"/>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solidFill>
                      <a:latin typeface="Palatino Linotype" panose="0204050205050503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A14D-4A5B-AFDD-F95731571A2A}"/>
                </c:ext>
              </c:extLst>
            </c:dLbl>
            <c:dLbl>
              <c:idx val="3"/>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solidFill>
                      <a:latin typeface="Palatino Linotype" panose="0204050205050503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A14D-4A5B-AFDD-F95731571A2A}"/>
                </c:ext>
              </c:extLst>
            </c:dLbl>
            <c:dLbl>
              <c:idx val="4"/>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5"/>
                      </a:solidFill>
                      <a:latin typeface="Palatino Linotype" panose="0204050205050503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A14D-4A5B-AFDD-F95731571A2A}"/>
                </c:ext>
              </c:extLst>
            </c:dLbl>
            <c:dLbl>
              <c:idx val="5"/>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6"/>
                      </a:solidFill>
                      <a:latin typeface="Palatino Linotype" panose="02040502050505030304" pitchFamily="18" charset="0"/>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A14D-4A5B-AFDD-F95731571A2A}"/>
                </c:ext>
              </c:extLst>
            </c:dLbl>
            <c:spPr>
              <a:noFill/>
              <a:ln>
                <a:noFill/>
              </a:ln>
              <a:effectLst/>
            </c:spPr>
            <c:txPr>
              <a:bodyPr wrap="square" lIns="38100" tIns="19050" rIns="38100" bIns="19050" anchor="ctr">
                <a:spAutoFit/>
              </a:bodyPr>
              <a:lstStyle/>
              <a:p>
                <a:pPr>
                  <a:defRPr sz="800">
                    <a:latin typeface="Palatino Linotype" panose="02040502050505030304" pitchFamily="18" charset="0"/>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ورقة1!$N$32:$N$37</c:f>
              <c:strCache>
                <c:ptCount val="6"/>
                <c:pt idx="0">
                  <c:v>20 Kg carogated Boxes</c:v>
                </c:pt>
                <c:pt idx="1">
                  <c:v>20 Kg carogated Boxes with PE liner </c:v>
                </c:pt>
                <c:pt idx="2">
                  <c:v>4 Kg Carogated boxes </c:v>
                </c:pt>
                <c:pt idx="3">
                  <c:v>4 Kg Carogated boxes with PE liner </c:v>
                </c:pt>
                <c:pt idx="4">
                  <c:v>30 Kg Plastic box </c:v>
                </c:pt>
                <c:pt idx="5">
                  <c:v>Other </c:v>
                </c:pt>
              </c:strCache>
            </c:strRef>
          </c:cat>
          <c:val>
            <c:numRef>
              <c:f>ورقة1!$O$32:$O$37</c:f>
              <c:numCache>
                <c:formatCode>General</c:formatCode>
                <c:ptCount val="6"/>
                <c:pt idx="0">
                  <c:v>27.71</c:v>
                </c:pt>
                <c:pt idx="1">
                  <c:v>6.02</c:v>
                </c:pt>
                <c:pt idx="2">
                  <c:v>16.27</c:v>
                </c:pt>
                <c:pt idx="3">
                  <c:v>14.46</c:v>
                </c:pt>
                <c:pt idx="4">
                  <c:v>2.41</c:v>
                </c:pt>
                <c:pt idx="5">
                  <c:v>33.130000000000003</c:v>
                </c:pt>
              </c:numCache>
            </c:numRef>
          </c:val>
          <c:extLst>
            <c:ext xmlns:c16="http://schemas.microsoft.com/office/drawing/2014/chart" uri="{C3380CC4-5D6E-409C-BE32-E72D297353CC}">
              <c16:uniqueId val="{0000000C-A14D-4A5B-AFDD-F95731571A2A}"/>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cap="all" baseline="0">
                <a:solidFill>
                  <a:schemeClr val="tx1">
                    <a:lumMod val="65000"/>
                    <a:lumOff val="35000"/>
                  </a:schemeClr>
                </a:solidFill>
                <a:latin typeface="+mn-lt"/>
                <a:ea typeface="+mn-ea"/>
                <a:cs typeface="+mn-cs"/>
              </a:defRPr>
            </a:pPr>
            <a:r>
              <a:rPr lang="en-US" sz="1000" b="0">
                <a:solidFill>
                  <a:sysClr val="windowText" lastClr="000000"/>
                </a:solidFill>
                <a:latin typeface="Times New Roman" panose="02020603050405020304" pitchFamily="18" charset="0"/>
                <a:cs typeface="Times New Roman" panose="02020603050405020304" pitchFamily="18" charset="0"/>
              </a:rPr>
              <a:t>Percentages of Avilability %</a:t>
            </a:r>
          </a:p>
        </c:rich>
      </c:tx>
      <c:overlay val="0"/>
      <c:spPr>
        <a:noFill/>
        <a:ln>
          <a:noFill/>
        </a:ln>
        <a:effectLst/>
      </c:spPr>
    </c:title>
    <c:autoTitleDeleted val="0"/>
    <c:plotArea>
      <c:layout/>
      <c:pieChart>
        <c:varyColors val="1"/>
        <c:ser>
          <c:idx val="0"/>
          <c:order val="0"/>
          <c:tx>
            <c:strRef>
              <c:f>ورقة1!$Q$9</c:f>
              <c:strCache>
                <c:ptCount val="1"/>
                <c:pt idx="0">
                  <c:v>percentages </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EFF3-4EB0-B6AE-575091F23EEF}"/>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EFF3-4EB0-B6AE-575091F23EEF}"/>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EFF3-4EB0-B6AE-575091F23EEF}"/>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EFF3-4EB0-B6AE-575091F23EEF}"/>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EFF3-4EB0-B6AE-575091F23EEF}"/>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EFF3-4EB0-B6AE-575091F23EEF}"/>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EFF3-4EB0-B6AE-575091F23EEF}"/>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EFF3-4EB0-B6AE-575091F23EEF}"/>
              </c:ext>
            </c:extLst>
          </c:dPt>
          <c:dLbls>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1-EFF3-4EB0-B6AE-575091F23EEF}"/>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3-EFF3-4EB0-B6AE-575091F23EEF}"/>
                </c:ext>
              </c:extLst>
            </c:dLbl>
            <c:dLbl>
              <c:idx val="2"/>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5-EFF3-4EB0-B6AE-575091F23EEF}"/>
                </c:ext>
              </c:extLst>
            </c:dLbl>
            <c:dLbl>
              <c:idx val="3"/>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7-EFF3-4EB0-B6AE-575091F23EEF}"/>
                </c:ext>
              </c:extLst>
            </c:dLbl>
            <c:dLbl>
              <c:idx val="4"/>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9-EFF3-4EB0-B6AE-575091F23EEF}"/>
                </c:ext>
              </c:extLst>
            </c:dLbl>
            <c:dLbl>
              <c:idx val="5"/>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B-EFF3-4EB0-B6AE-575091F23EEF}"/>
                </c:ext>
              </c:extLst>
            </c:dLbl>
            <c:dLbl>
              <c:idx val="6"/>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D-EFF3-4EB0-B6AE-575091F23EEF}"/>
                </c:ext>
              </c:extLst>
            </c:dLbl>
            <c:dLbl>
              <c:idx val="7"/>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1"/>
              <c:showSerName val="0"/>
              <c:showPercent val="0"/>
              <c:showBubbleSize val="0"/>
              <c:extLst>
                <c:ext xmlns:c16="http://schemas.microsoft.com/office/drawing/2014/chart" uri="{C3380CC4-5D6E-409C-BE32-E72D297353CC}">
                  <c16:uniqueId val="{0000000F-EFF3-4EB0-B6AE-575091F23EEF}"/>
                </c:ext>
              </c:extLst>
            </c:dLbl>
            <c:spPr>
              <a:noFill/>
              <a:ln>
                <a:noFill/>
              </a:ln>
              <a:effectLst/>
            </c:spPr>
            <c:txPr>
              <a:bodyPr wrap="square" lIns="38100" tIns="19050" rIns="38100" bIns="19050" anchor="ctr">
                <a:spAutoFit/>
              </a:bodyPr>
              <a:lstStyle/>
              <a:p>
                <a:pPr>
                  <a:defRPr sz="800">
                    <a:solidFill>
                      <a:schemeClr val="tx1"/>
                    </a:solidFill>
                    <a:latin typeface="Times New Roman" panose="02020603050405020304" pitchFamily="18" charset="0"/>
                    <a:cs typeface="Times New Roman" panose="02020603050405020304" pitchFamily="18" charset="0"/>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ورقة1!$O$10:$O$17</c:f>
              <c:strCache>
                <c:ptCount val="8"/>
                <c:pt idx="0">
                  <c:v>Dates </c:v>
                </c:pt>
                <c:pt idx="1">
                  <c:v>Potatoes </c:v>
                </c:pt>
                <c:pt idx="2">
                  <c:v>Meats </c:v>
                </c:pt>
                <c:pt idx="3">
                  <c:v>Fruits </c:v>
                </c:pt>
                <c:pt idx="4">
                  <c:v>Vegetables </c:v>
                </c:pt>
                <c:pt idx="5">
                  <c:v>Onions </c:v>
                </c:pt>
                <c:pt idx="6">
                  <c:v>Tomatos </c:v>
                </c:pt>
                <c:pt idx="7">
                  <c:v>Others </c:v>
                </c:pt>
              </c:strCache>
            </c:strRef>
          </c:cat>
          <c:val>
            <c:numRef>
              <c:f>ورقة1!$Q$10:$Q$17</c:f>
              <c:numCache>
                <c:formatCode>General</c:formatCode>
                <c:ptCount val="8"/>
                <c:pt idx="0">
                  <c:v>100</c:v>
                </c:pt>
                <c:pt idx="1">
                  <c:v>33.299999999999997</c:v>
                </c:pt>
                <c:pt idx="2">
                  <c:v>28.3</c:v>
                </c:pt>
                <c:pt idx="3">
                  <c:v>15</c:v>
                </c:pt>
                <c:pt idx="4">
                  <c:v>13.3</c:v>
                </c:pt>
                <c:pt idx="5">
                  <c:v>10</c:v>
                </c:pt>
                <c:pt idx="6">
                  <c:v>10</c:v>
                </c:pt>
                <c:pt idx="7">
                  <c:v>5</c:v>
                </c:pt>
              </c:numCache>
            </c:numRef>
          </c:val>
          <c:extLst>
            <c:ext xmlns:c16="http://schemas.microsoft.com/office/drawing/2014/chart" uri="{C3380CC4-5D6E-409C-BE32-E72D297353CC}">
              <c16:uniqueId val="{00000010-EFF3-4EB0-B6AE-575091F23EEF}"/>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DDCBC3-67E4-47B9-B2F1-770D65852883}" type="doc">
      <dgm:prSet loTypeId="urn:microsoft.com/office/officeart/2005/8/layout/hProcess9" loCatId="process" qsTypeId="urn:microsoft.com/office/officeart/2005/8/quickstyle/simple1" qsCatId="simple" csTypeId="urn:microsoft.com/office/officeart/2005/8/colors/colorful1" csCatId="colorful" phldr="1"/>
      <dgm:spPr/>
      <dgm:t>
        <a:bodyPr/>
        <a:lstStyle/>
        <a:p>
          <a:endParaRPr lang="en-US"/>
        </a:p>
      </dgm:t>
    </dgm:pt>
    <dgm:pt modelId="{64218F31-2491-4317-B2A0-AC1C0ED30206}">
      <dgm:prSet phldrT="[Text]"/>
      <dgm:spPr/>
      <dgm:t>
        <a:bodyPr/>
        <a:lstStyle/>
        <a:p>
          <a:r>
            <a:rPr lang="en-US"/>
            <a:t>60 %</a:t>
          </a:r>
        </a:p>
      </dgm:t>
    </dgm:pt>
    <dgm:pt modelId="{3EFD4616-C6D4-4C9E-9C31-5B7BDA55D0A3}" type="parTrans" cxnId="{EE1533F9-8BEF-4A4B-ABF0-B8445A022934}">
      <dgm:prSet/>
      <dgm:spPr/>
      <dgm:t>
        <a:bodyPr/>
        <a:lstStyle/>
        <a:p>
          <a:endParaRPr lang="en-US"/>
        </a:p>
      </dgm:t>
    </dgm:pt>
    <dgm:pt modelId="{54BD29F6-ABB6-4090-95A1-20247E558F02}" type="sibTrans" cxnId="{EE1533F9-8BEF-4A4B-ABF0-B8445A022934}">
      <dgm:prSet/>
      <dgm:spPr/>
      <dgm:t>
        <a:bodyPr/>
        <a:lstStyle/>
        <a:p>
          <a:endParaRPr lang="en-US"/>
        </a:p>
      </dgm:t>
    </dgm:pt>
    <dgm:pt modelId="{65E2B741-81FD-4D97-A21A-6AA2F068BF7B}">
      <dgm:prSet phldrT="[Text]"/>
      <dgm:spPr/>
      <dgm:t>
        <a:bodyPr/>
        <a:lstStyle/>
        <a:p>
          <a:r>
            <a:rPr lang="en-US"/>
            <a:t>Sorting&amp; Grading</a:t>
          </a:r>
        </a:p>
      </dgm:t>
    </dgm:pt>
    <dgm:pt modelId="{3F1CE0C7-F28D-4410-9192-9E0186B29EB2}" type="parTrans" cxnId="{0A7E73D2-9FA8-42D0-A45F-E614597D43C2}">
      <dgm:prSet/>
      <dgm:spPr/>
      <dgm:t>
        <a:bodyPr/>
        <a:lstStyle/>
        <a:p>
          <a:endParaRPr lang="en-US"/>
        </a:p>
      </dgm:t>
    </dgm:pt>
    <dgm:pt modelId="{F7164790-D937-49A2-98FC-2294D59EE485}" type="sibTrans" cxnId="{0A7E73D2-9FA8-42D0-A45F-E614597D43C2}">
      <dgm:prSet/>
      <dgm:spPr/>
      <dgm:t>
        <a:bodyPr/>
        <a:lstStyle/>
        <a:p>
          <a:endParaRPr lang="en-US"/>
        </a:p>
      </dgm:t>
    </dgm:pt>
    <dgm:pt modelId="{72002E52-E4E2-446E-82B2-FF0084E88082}">
      <dgm:prSet phldrT="[Text]"/>
      <dgm:spPr/>
      <dgm:t>
        <a:bodyPr/>
        <a:lstStyle/>
        <a:p>
          <a:r>
            <a:rPr lang="en-US"/>
            <a:t>8 %</a:t>
          </a:r>
        </a:p>
      </dgm:t>
    </dgm:pt>
    <dgm:pt modelId="{1C70CA04-7F8E-4035-AEF5-E1B549641278}" type="parTrans" cxnId="{ABC46B8D-7609-4E30-BE21-D545E345401B}">
      <dgm:prSet/>
      <dgm:spPr/>
      <dgm:t>
        <a:bodyPr/>
        <a:lstStyle/>
        <a:p>
          <a:endParaRPr lang="en-US"/>
        </a:p>
      </dgm:t>
    </dgm:pt>
    <dgm:pt modelId="{670073A2-A28C-405E-9AAA-3EFD8D51B95C}" type="sibTrans" cxnId="{ABC46B8D-7609-4E30-BE21-D545E345401B}">
      <dgm:prSet/>
      <dgm:spPr/>
      <dgm:t>
        <a:bodyPr/>
        <a:lstStyle/>
        <a:p>
          <a:endParaRPr lang="en-US"/>
        </a:p>
      </dgm:t>
    </dgm:pt>
    <dgm:pt modelId="{34C86160-77EC-446D-8029-07BC7B4B9CF6}">
      <dgm:prSet phldrT="[Text]"/>
      <dgm:spPr/>
      <dgm:t>
        <a:bodyPr/>
        <a:lstStyle/>
        <a:p>
          <a:r>
            <a:rPr lang="en-US"/>
            <a:t>Washing</a:t>
          </a:r>
        </a:p>
      </dgm:t>
    </dgm:pt>
    <dgm:pt modelId="{AB59CDB9-EF6D-43B3-B2D7-E6348E207BD3}" type="parTrans" cxnId="{705574CC-EBBF-48DA-8844-7D5D52116597}">
      <dgm:prSet/>
      <dgm:spPr/>
      <dgm:t>
        <a:bodyPr/>
        <a:lstStyle/>
        <a:p>
          <a:endParaRPr lang="en-US"/>
        </a:p>
      </dgm:t>
    </dgm:pt>
    <dgm:pt modelId="{ECF996D2-D510-4708-8867-95D528010409}" type="sibTrans" cxnId="{705574CC-EBBF-48DA-8844-7D5D52116597}">
      <dgm:prSet/>
      <dgm:spPr/>
      <dgm:t>
        <a:bodyPr/>
        <a:lstStyle/>
        <a:p>
          <a:endParaRPr lang="en-US"/>
        </a:p>
      </dgm:t>
    </dgm:pt>
    <dgm:pt modelId="{AE99A032-749F-4B9C-AB4D-BA755123550D}">
      <dgm:prSet phldrT="[Text]"/>
      <dgm:spPr>
        <a:solidFill>
          <a:schemeClr val="accent6"/>
        </a:solidFill>
      </dgm:spPr>
      <dgm:t>
        <a:bodyPr/>
        <a:lstStyle/>
        <a:p>
          <a:r>
            <a:rPr lang="en-US"/>
            <a:t>2 %</a:t>
          </a:r>
        </a:p>
      </dgm:t>
    </dgm:pt>
    <dgm:pt modelId="{782104BF-9EBA-4CA8-BDC1-69F15BFE9B5E}" type="parTrans" cxnId="{98AFA50F-CE88-4276-98C7-49FF0D7CBF1F}">
      <dgm:prSet/>
      <dgm:spPr/>
      <dgm:t>
        <a:bodyPr/>
        <a:lstStyle/>
        <a:p>
          <a:endParaRPr lang="en-US"/>
        </a:p>
      </dgm:t>
    </dgm:pt>
    <dgm:pt modelId="{5ADF0E6D-5479-4487-B0AB-81EBC4531302}" type="sibTrans" cxnId="{98AFA50F-CE88-4276-98C7-49FF0D7CBF1F}">
      <dgm:prSet/>
      <dgm:spPr/>
      <dgm:t>
        <a:bodyPr/>
        <a:lstStyle/>
        <a:p>
          <a:endParaRPr lang="en-US"/>
        </a:p>
      </dgm:t>
    </dgm:pt>
    <dgm:pt modelId="{9149D3BC-C3AA-4453-895A-C0EBBD909ED1}">
      <dgm:prSet phldrT="[Text]"/>
      <dgm:spPr>
        <a:solidFill>
          <a:schemeClr val="accent6"/>
        </a:solidFill>
      </dgm:spPr>
      <dgm:t>
        <a:bodyPr/>
        <a:lstStyle/>
        <a:p>
          <a:r>
            <a:rPr lang="en-US"/>
            <a:t>Draying</a:t>
          </a:r>
        </a:p>
      </dgm:t>
    </dgm:pt>
    <dgm:pt modelId="{0EE70C94-11DB-4594-8EEA-5107E274A4AE}" type="parTrans" cxnId="{F7A5CBC1-0CD1-4E1B-8309-697200A3E765}">
      <dgm:prSet/>
      <dgm:spPr/>
      <dgm:t>
        <a:bodyPr/>
        <a:lstStyle/>
        <a:p>
          <a:endParaRPr lang="en-US"/>
        </a:p>
      </dgm:t>
    </dgm:pt>
    <dgm:pt modelId="{26288F96-EB14-4937-BE50-BAFEF73EBDE6}" type="sibTrans" cxnId="{F7A5CBC1-0CD1-4E1B-8309-697200A3E765}">
      <dgm:prSet/>
      <dgm:spPr/>
      <dgm:t>
        <a:bodyPr/>
        <a:lstStyle/>
        <a:p>
          <a:endParaRPr lang="en-US"/>
        </a:p>
      </dgm:t>
    </dgm:pt>
    <dgm:pt modelId="{580B04E3-5686-47DB-A249-68E624C7F5EE}">
      <dgm:prSet phldrT="[Text]"/>
      <dgm:spPr/>
      <dgm:t>
        <a:bodyPr/>
        <a:lstStyle/>
        <a:p>
          <a:r>
            <a:rPr lang="en-US"/>
            <a:t>30%</a:t>
          </a:r>
        </a:p>
      </dgm:t>
    </dgm:pt>
    <dgm:pt modelId="{64C7235B-305D-4135-A4A3-30E06C91EC14}" type="parTrans" cxnId="{D0DD190F-9193-4BE3-A1DA-39A143216ED7}">
      <dgm:prSet/>
      <dgm:spPr/>
      <dgm:t>
        <a:bodyPr/>
        <a:lstStyle/>
        <a:p>
          <a:endParaRPr lang="en-US"/>
        </a:p>
      </dgm:t>
    </dgm:pt>
    <dgm:pt modelId="{9C36839D-8E1E-4871-97C3-4447FD6088F5}" type="sibTrans" cxnId="{D0DD190F-9193-4BE3-A1DA-39A143216ED7}">
      <dgm:prSet/>
      <dgm:spPr/>
      <dgm:t>
        <a:bodyPr/>
        <a:lstStyle/>
        <a:p>
          <a:endParaRPr lang="en-US"/>
        </a:p>
      </dgm:t>
    </dgm:pt>
    <dgm:pt modelId="{1A414087-4D67-44F1-B93C-47EB871E4309}">
      <dgm:prSet phldrT="[Text]"/>
      <dgm:spPr/>
      <dgm:t>
        <a:bodyPr/>
        <a:lstStyle/>
        <a:p>
          <a:r>
            <a:rPr lang="en-US"/>
            <a:t>As Received</a:t>
          </a:r>
        </a:p>
      </dgm:t>
    </dgm:pt>
    <dgm:pt modelId="{F3F5824B-CEC7-45D9-9258-B923A54A8E37}" type="sibTrans" cxnId="{1291C248-3AFA-447A-B5BB-8507109B738F}">
      <dgm:prSet/>
      <dgm:spPr/>
      <dgm:t>
        <a:bodyPr/>
        <a:lstStyle/>
        <a:p>
          <a:endParaRPr lang="en-US"/>
        </a:p>
      </dgm:t>
    </dgm:pt>
    <dgm:pt modelId="{F6FD8834-F4EE-4EAE-BFCB-50AD08E503AB}" type="parTrans" cxnId="{1291C248-3AFA-447A-B5BB-8507109B738F}">
      <dgm:prSet/>
      <dgm:spPr/>
      <dgm:t>
        <a:bodyPr/>
        <a:lstStyle/>
        <a:p>
          <a:endParaRPr lang="en-US"/>
        </a:p>
      </dgm:t>
    </dgm:pt>
    <dgm:pt modelId="{03B37A03-4242-4DE2-96B3-0453A40CC540}" type="pres">
      <dgm:prSet presAssocID="{79DDCBC3-67E4-47B9-B2F1-770D65852883}" presName="CompostProcess" presStyleCnt="0">
        <dgm:presLayoutVars>
          <dgm:dir/>
          <dgm:resizeHandles val="exact"/>
        </dgm:presLayoutVars>
      </dgm:prSet>
      <dgm:spPr/>
    </dgm:pt>
    <dgm:pt modelId="{1E20950C-D1BE-4E9B-85A8-1D356424BC8F}" type="pres">
      <dgm:prSet presAssocID="{79DDCBC3-67E4-47B9-B2F1-770D65852883}" presName="arrow" presStyleLbl="bgShp" presStyleIdx="0" presStyleCnt="1"/>
      <dgm:spPr/>
    </dgm:pt>
    <dgm:pt modelId="{D055D001-DE08-47F9-B5D2-177F2F194C42}" type="pres">
      <dgm:prSet presAssocID="{79DDCBC3-67E4-47B9-B2F1-770D65852883}" presName="linearProcess" presStyleCnt="0"/>
      <dgm:spPr/>
    </dgm:pt>
    <dgm:pt modelId="{9BB852BE-B28B-4481-83E0-DD09A73D7681}" type="pres">
      <dgm:prSet presAssocID="{64218F31-2491-4317-B2A0-AC1C0ED30206}" presName="textNode" presStyleLbl="node1" presStyleIdx="0" presStyleCnt="4">
        <dgm:presLayoutVars>
          <dgm:bulletEnabled val="1"/>
        </dgm:presLayoutVars>
      </dgm:prSet>
      <dgm:spPr/>
    </dgm:pt>
    <dgm:pt modelId="{B212C951-F374-4782-A3C0-32E031E8136B}" type="pres">
      <dgm:prSet presAssocID="{54BD29F6-ABB6-4090-95A1-20247E558F02}" presName="sibTrans" presStyleCnt="0"/>
      <dgm:spPr/>
    </dgm:pt>
    <dgm:pt modelId="{A66836FE-1817-4C0D-BFE6-BDABB63F659A}" type="pres">
      <dgm:prSet presAssocID="{72002E52-E4E2-446E-82B2-FF0084E88082}" presName="textNode" presStyleLbl="node1" presStyleIdx="1" presStyleCnt="4">
        <dgm:presLayoutVars>
          <dgm:bulletEnabled val="1"/>
        </dgm:presLayoutVars>
      </dgm:prSet>
      <dgm:spPr/>
    </dgm:pt>
    <dgm:pt modelId="{3781446B-EF09-4AA9-9909-9821E36FEA79}" type="pres">
      <dgm:prSet presAssocID="{670073A2-A28C-405E-9AAA-3EFD8D51B95C}" presName="sibTrans" presStyleCnt="0"/>
      <dgm:spPr/>
    </dgm:pt>
    <dgm:pt modelId="{91A440D3-7134-4EA7-96D8-222D34962593}" type="pres">
      <dgm:prSet presAssocID="{AE99A032-749F-4B9C-AB4D-BA755123550D}" presName="textNode" presStyleLbl="node1" presStyleIdx="2" presStyleCnt="4">
        <dgm:presLayoutVars>
          <dgm:bulletEnabled val="1"/>
        </dgm:presLayoutVars>
      </dgm:prSet>
      <dgm:spPr/>
    </dgm:pt>
    <dgm:pt modelId="{128F968B-6983-41CF-B8EB-8A21673CB989}" type="pres">
      <dgm:prSet presAssocID="{5ADF0E6D-5479-4487-B0AB-81EBC4531302}" presName="sibTrans" presStyleCnt="0"/>
      <dgm:spPr/>
    </dgm:pt>
    <dgm:pt modelId="{F664E173-65C7-4E03-A777-F5496CAB14CE}" type="pres">
      <dgm:prSet presAssocID="{580B04E3-5686-47DB-A249-68E624C7F5EE}" presName="textNode" presStyleLbl="node1" presStyleIdx="3" presStyleCnt="4">
        <dgm:presLayoutVars>
          <dgm:bulletEnabled val="1"/>
        </dgm:presLayoutVars>
      </dgm:prSet>
      <dgm:spPr/>
    </dgm:pt>
  </dgm:ptLst>
  <dgm:cxnLst>
    <dgm:cxn modelId="{B72ED10B-1C90-465E-8390-96563D56DEF1}" type="presOf" srcId="{64218F31-2491-4317-B2A0-AC1C0ED30206}" destId="{9BB852BE-B28B-4481-83E0-DD09A73D7681}" srcOrd="0" destOrd="0" presId="urn:microsoft.com/office/officeart/2005/8/layout/hProcess9"/>
    <dgm:cxn modelId="{D0DD190F-9193-4BE3-A1DA-39A143216ED7}" srcId="{79DDCBC3-67E4-47B9-B2F1-770D65852883}" destId="{580B04E3-5686-47DB-A249-68E624C7F5EE}" srcOrd="3" destOrd="0" parTransId="{64C7235B-305D-4135-A4A3-30E06C91EC14}" sibTransId="{9C36839D-8E1E-4871-97C3-4447FD6088F5}"/>
    <dgm:cxn modelId="{98AFA50F-CE88-4276-98C7-49FF0D7CBF1F}" srcId="{79DDCBC3-67E4-47B9-B2F1-770D65852883}" destId="{AE99A032-749F-4B9C-AB4D-BA755123550D}" srcOrd="2" destOrd="0" parTransId="{782104BF-9EBA-4CA8-BDC1-69F15BFE9B5E}" sibTransId="{5ADF0E6D-5479-4487-B0AB-81EBC4531302}"/>
    <dgm:cxn modelId="{8933183C-BDEB-4EBD-94B5-5F8508953B55}" type="presOf" srcId="{9149D3BC-C3AA-4453-895A-C0EBBD909ED1}" destId="{91A440D3-7134-4EA7-96D8-222D34962593}" srcOrd="0" destOrd="1" presId="urn:microsoft.com/office/officeart/2005/8/layout/hProcess9"/>
    <dgm:cxn modelId="{1291C248-3AFA-447A-B5BB-8507109B738F}" srcId="{580B04E3-5686-47DB-A249-68E624C7F5EE}" destId="{1A414087-4D67-44F1-B93C-47EB871E4309}" srcOrd="0" destOrd="0" parTransId="{F6FD8834-F4EE-4EAE-BFCB-50AD08E503AB}" sibTransId="{F3F5824B-CEC7-45D9-9258-B923A54A8E37}"/>
    <dgm:cxn modelId="{3B62946E-53F4-4CEE-9669-5981E849AC52}" type="presOf" srcId="{34C86160-77EC-446D-8029-07BC7B4B9CF6}" destId="{A66836FE-1817-4C0D-BFE6-BDABB63F659A}" srcOrd="0" destOrd="1" presId="urn:microsoft.com/office/officeart/2005/8/layout/hProcess9"/>
    <dgm:cxn modelId="{A8A80A7B-7EA9-4162-AA51-0EB7004B9D1B}" type="presOf" srcId="{AE99A032-749F-4B9C-AB4D-BA755123550D}" destId="{91A440D3-7134-4EA7-96D8-222D34962593}" srcOrd="0" destOrd="0" presId="urn:microsoft.com/office/officeart/2005/8/layout/hProcess9"/>
    <dgm:cxn modelId="{ABC46B8D-7609-4E30-BE21-D545E345401B}" srcId="{79DDCBC3-67E4-47B9-B2F1-770D65852883}" destId="{72002E52-E4E2-446E-82B2-FF0084E88082}" srcOrd="1" destOrd="0" parTransId="{1C70CA04-7F8E-4035-AEF5-E1B549641278}" sibTransId="{670073A2-A28C-405E-9AAA-3EFD8D51B95C}"/>
    <dgm:cxn modelId="{D5AAEE93-77FB-4C2F-B5F4-0174CEE997B5}" type="presOf" srcId="{1A414087-4D67-44F1-B93C-47EB871E4309}" destId="{F664E173-65C7-4E03-A777-F5496CAB14CE}" srcOrd="0" destOrd="1" presId="urn:microsoft.com/office/officeart/2005/8/layout/hProcess9"/>
    <dgm:cxn modelId="{F22E70A8-46AF-465F-B042-CD4A084B0C9F}" type="presOf" srcId="{72002E52-E4E2-446E-82B2-FF0084E88082}" destId="{A66836FE-1817-4C0D-BFE6-BDABB63F659A}" srcOrd="0" destOrd="0" presId="urn:microsoft.com/office/officeart/2005/8/layout/hProcess9"/>
    <dgm:cxn modelId="{EDE301BE-7E33-41EB-BA64-A44325DCF5E2}" type="presOf" srcId="{79DDCBC3-67E4-47B9-B2F1-770D65852883}" destId="{03B37A03-4242-4DE2-96B3-0453A40CC540}" srcOrd="0" destOrd="0" presId="urn:microsoft.com/office/officeart/2005/8/layout/hProcess9"/>
    <dgm:cxn modelId="{F7A5CBC1-0CD1-4E1B-8309-697200A3E765}" srcId="{AE99A032-749F-4B9C-AB4D-BA755123550D}" destId="{9149D3BC-C3AA-4453-895A-C0EBBD909ED1}" srcOrd="0" destOrd="0" parTransId="{0EE70C94-11DB-4594-8EEA-5107E274A4AE}" sibTransId="{26288F96-EB14-4937-BE50-BAFEF73EBDE6}"/>
    <dgm:cxn modelId="{0E746DC3-2C19-4C99-9E0B-BD2B20EF2F47}" type="presOf" srcId="{580B04E3-5686-47DB-A249-68E624C7F5EE}" destId="{F664E173-65C7-4E03-A777-F5496CAB14CE}" srcOrd="0" destOrd="0" presId="urn:microsoft.com/office/officeart/2005/8/layout/hProcess9"/>
    <dgm:cxn modelId="{705574CC-EBBF-48DA-8844-7D5D52116597}" srcId="{72002E52-E4E2-446E-82B2-FF0084E88082}" destId="{34C86160-77EC-446D-8029-07BC7B4B9CF6}" srcOrd="0" destOrd="0" parTransId="{AB59CDB9-EF6D-43B3-B2D7-E6348E207BD3}" sibTransId="{ECF996D2-D510-4708-8867-95D528010409}"/>
    <dgm:cxn modelId="{0A7E73D2-9FA8-42D0-A45F-E614597D43C2}" srcId="{64218F31-2491-4317-B2A0-AC1C0ED30206}" destId="{65E2B741-81FD-4D97-A21A-6AA2F068BF7B}" srcOrd="0" destOrd="0" parTransId="{3F1CE0C7-F28D-4410-9192-9E0186B29EB2}" sibTransId="{F7164790-D937-49A2-98FC-2294D59EE485}"/>
    <dgm:cxn modelId="{C76C01F3-3DD1-43D1-B432-90525C77614A}" type="presOf" srcId="{65E2B741-81FD-4D97-A21A-6AA2F068BF7B}" destId="{9BB852BE-B28B-4481-83E0-DD09A73D7681}" srcOrd="0" destOrd="1" presId="urn:microsoft.com/office/officeart/2005/8/layout/hProcess9"/>
    <dgm:cxn modelId="{EE1533F9-8BEF-4A4B-ABF0-B8445A022934}" srcId="{79DDCBC3-67E4-47B9-B2F1-770D65852883}" destId="{64218F31-2491-4317-B2A0-AC1C0ED30206}" srcOrd="0" destOrd="0" parTransId="{3EFD4616-C6D4-4C9E-9C31-5B7BDA55D0A3}" sibTransId="{54BD29F6-ABB6-4090-95A1-20247E558F02}"/>
    <dgm:cxn modelId="{06927729-FFD1-4974-95CE-E26C64C0D7AD}" type="presParOf" srcId="{03B37A03-4242-4DE2-96B3-0453A40CC540}" destId="{1E20950C-D1BE-4E9B-85A8-1D356424BC8F}" srcOrd="0" destOrd="0" presId="urn:microsoft.com/office/officeart/2005/8/layout/hProcess9"/>
    <dgm:cxn modelId="{BC7C6D11-8E96-4D95-AF3F-03D09A05C4DC}" type="presParOf" srcId="{03B37A03-4242-4DE2-96B3-0453A40CC540}" destId="{D055D001-DE08-47F9-B5D2-177F2F194C42}" srcOrd="1" destOrd="0" presId="urn:microsoft.com/office/officeart/2005/8/layout/hProcess9"/>
    <dgm:cxn modelId="{4EE716F3-0BBC-4010-9102-027D39BC46F7}" type="presParOf" srcId="{D055D001-DE08-47F9-B5D2-177F2F194C42}" destId="{9BB852BE-B28B-4481-83E0-DD09A73D7681}" srcOrd="0" destOrd="0" presId="urn:microsoft.com/office/officeart/2005/8/layout/hProcess9"/>
    <dgm:cxn modelId="{CD31649D-5E30-4BCC-91A7-A24C24D95096}" type="presParOf" srcId="{D055D001-DE08-47F9-B5D2-177F2F194C42}" destId="{B212C951-F374-4782-A3C0-32E031E8136B}" srcOrd="1" destOrd="0" presId="urn:microsoft.com/office/officeart/2005/8/layout/hProcess9"/>
    <dgm:cxn modelId="{73B0864B-AF6F-47FE-B3CE-A7686AC039FB}" type="presParOf" srcId="{D055D001-DE08-47F9-B5D2-177F2F194C42}" destId="{A66836FE-1817-4C0D-BFE6-BDABB63F659A}" srcOrd="2" destOrd="0" presId="urn:microsoft.com/office/officeart/2005/8/layout/hProcess9"/>
    <dgm:cxn modelId="{464CA91B-E922-4BB1-AA35-4544F57D108A}" type="presParOf" srcId="{D055D001-DE08-47F9-B5D2-177F2F194C42}" destId="{3781446B-EF09-4AA9-9909-9821E36FEA79}" srcOrd="3" destOrd="0" presId="urn:microsoft.com/office/officeart/2005/8/layout/hProcess9"/>
    <dgm:cxn modelId="{1F748056-4A6A-4066-860F-3781B8F9C77A}" type="presParOf" srcId="{D055D001-DE08-47F9-B5D2-177F2F194C42}" destId="{91A440D3-7134-4EA7-96D8-222D34962593}" srcOrd="4" destOrd="0" presId="urn:microsoft.com/office/officeart/2005/8/layout/hProcess9"/>
    <dgm:cxn modelId="{72F83B24-2DF0-4239-9E5E-1527731274CE}" type="presParOf" srcId="{D055D001-DE08-47F9-B5D2-177F2F194C42}" destId="{128F968B-6983-41CF-B8EB-8A21673CB989}" srcOrd="5" destOrd="0" presId="urn:microsoft.com/office/officeart/2005/8/layout/hProcess9"/>
    <dgm:cxn modelId="{E1AFFBB6-3113-4613-908C-BE5D48DC53F6}" type="presParOf" srcId="{D055D001-DE08-47F9-B5D2-177F2F194C42}" destId="{F664E173-65C7-4E03-A777-F5496CAB14CE}" srcOrd="6" destOrd="0" presId="urn:microsoft.com/office/officeart/2005/8/layout/hProcess9"/>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20950C-D1BE-4E9B-85A8-1D356424BC8F}">
      <dsp:nvSpPr>
        <dsp:cNvPr id="0" name=""/>
        <dsp:cNvSpPr/>
      </dsp:nvSpPr>
      <dsp:spPr>
        <a:xfrm>
          <a:off x="448913" y="0"/>
          <a:ext cx="5087683" cy="1722120"/>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BB852BE-B28B-4481-83E0-DD09A73D7681}">
      <dsp:nvSpPr>
        <dsp:cNvPr id="0" name=""/>
        <dsp:cNvSpPr/>
      </dsp:nvSpPr>
      <dsp:spPr>
        <a:xfrm>
          <a:off x="5260" y="516636"/>
          <a:ext cx="1434783" cy="688848"/>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711200">
            <a:lnSpc>
              <a:spcPct val="90000"/>
            </a:lnSpc>
            <a:spcBef>
              <a:spcPct val="0"/>
            </a:spcBef>
            <a:spcAft>
              <a:spcPct val="35000"/>
            </a:spcAft>
            <a:buNone/>
          </a:pPr>
          <a:r>
            <a:rPr lang="en-US" sz="1600" kern="1200"/>
            <a:t>60 %</a:t>
          </a:r>
        </a:p>
        <a:p>
          <a:pPr marL="114300" lvl="1" indent="-114300" algn="l" defTabSz="533400">
            <a:lnSpc>
              <a:spcPct val="90000"/>
            </a:lnSpc>
            <a:spcBef>
              <a:spcPct val="0"/>
            </a:spcBef>
            <a:spcAft>
              <a:spcPct val="15000"/>
            </a:spcAft>
            <a:buChar char="•"/>
          </a:pPr>
          <a:r>
            <a:rPr lang="en-US" sz="1200" kern="1200"/>
            <a:t>Sorting&amp; Grading</a:t>
          </a:r>
        </a:p>
      </dsp:txBody>
      <dsp:txXfrm>
        <a:off x="38887" y="550263"/>
        <a:ext cx="1367529" cy="621594"/>
      </dsp:txXfrm>
    </dsp:sp>
    <dsp:sp modelId="{A66836FE-1817-4C0D-BFE6-BDABB63F659A}">
      <dsp:nvSpPr>
        <dsp:cNvPr id="0" name=""/>
        <dsp:cNvSpPr/>
      </dsp:nvSpPr>
      <dsp:spPr>
        <a:xfrm>
          <a:off x="1518662" y="516636"/>
          <a:ext cx="1434783" cy="688848"/>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711200">
            <a:lnSpc>
              <a:spcPct val="90000"/>
            </a:lnSpc>
            <a:spcBef>
              <a:spcPct val="0"/>
            </a:spcBef>
            <a:spcAft>
              <a:spcPct val="35000"/>
            </a:spcAft>
            <a:buNone/>
          </a:pPr>
          <a:r>
            <a:rPr lang="en-US" sz="1600" kern="1200"/>
            <a:t>8 %</a:t>
          </a:r>
        </a:p>
        <a:p>
          <a:pPr marL="114300" lvl="1" indent="-114300" algn="l" defTabSz="533400">
            <a:lnSpc>
              <a:spcPct val="90000"/>
            </a:lnSpc>
            <a:spcBef>
              <a:spcPct val="0"/>
            </a:spcBef>
            <a:spcAft>
              <a:spcPct val="15000"/>
            </a:spcAft>
            <a:buChar char="•"/>
          </a:pPr>
          <a:r>
            <a:rPr lang="en-US" sz="1200" kern="1200"/>
            <a:t>Washing</a:t>
          </a:r>
        </a:p>
      </dsp:txBody>
      <dsp:txXfrm>
        <a:off x="1552289" y="550263"/>
        <a:ext cx="1367529" cy="621594"/>
      </dsp:txXfrm>
    </dsp:sp>
    <dsp:sp modelId="{91A440D3-7134-4EA7-96D8-222D34962593}">
      <dsp:nvSpPr>
        <dsp:cNvPr id="0" name=""/>
        <dsp:cNvSpPr/>
      </dsp:nvSpPr>
      <dsp:spPr>
        <a:xfrm>
          <a:off x="3032064" y="516636"/>
          <a:ext cx="1434783" cy="688848"/>
        </a:xfrm>
        <a:prstGeom prst="roundRect">
          <a:avLst/>
        </a:prstGeom>
        <a:solidFill>
          <a:schemeClr val="accent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711200">
            <a:lnSpc>
              <a:spcPct val="90000"/>
            </a:lnSpc>
            <a:spcBef>
              <a:spcPct val="0"/>
            </a:spcBef>
            <a:spcAft>
              <a:spcPct val="35000"/>
            </a:spcAft>
            <a:buNone/>
          </a:pPr>
          <a:r>
            <a:rPr lang="en-US" sz="1600" kern="1200"/>
            <a:t>2 %</a:t>
          </a:r>
        </a:p>
        <a:p>
          <a:pPr marL="114300" lvl="1" indent="-114300" algn="l" defTabSz="533400">
            <a:lnSpc>
              <a:spcPct val="90000"/>
            </a:lnSpc>
            <a:spcBef>
              <a:spcPct val="0"/>
            </a:spcBef>
            <a:spcAft>
              <a:spcPct val="15000"/>
            </a:spcAft>
            <a:buChar char="•"/>
          </a:pPr>
          <a:r>
            <a:rPr lang="en-US" sz="1200" kern="1200"/>
            <a:t>Draying</a:t>
          </a:r>
        </a:p>
      </dsp:txBody>
      <dsp:txXfrm>
        <a:off x="3065691" y="550263"/>
        <a:ext cx="1367529" cy="621594"/>
      </dsp:txXfrm>
    </dsp:sp>
    <dsp:sp modelId="{F664E173-65C7-4E03-A777-F5496CAB14CE}">
      <dsp:nvSpPr>
        <dsp:cNvPr id="0" name=""/>
        <dsp:cNvSpPr/>
      </dsp:nvSpPr>
      <dsp:spPr>
        <a:xfrm>
          <a:off x="4545465" y="516636"/>
          <a:ext cx="1434783" cy="688848"/>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t" anchorCtr="0">
          <a:noAutofit/>
        </a:bodyPr>
        <a:lstStyle/>
        <a:p>
          <a:pPr marL="0" lvl="0" indent="0" algn="l" defTabSz="711200">
            <a:lnSpc>
              <a:spcPct val="90000"/>
            </a:lnSpc>
            <a:spcBef>
              <a:spcPct val="0"/>
            </a:spcBef>
            <a:spcAft>
              <a:spcPct val="35000"/>
            </a:spcAft>
            <a:buNone/>
          </a:pPr>
          <a:r>
            <a:rPr lang="en-US" sz="1600" kern="1200"/>
            <a:t>30%</a:t>
          </a:r>
        </a:p>
        <a:p>
          <a:pPr marL="114300" lvl="1" indent="-114300" algn="l" defTabSz="533400">
            <a:lnSpc>
              <a:spcPct val="90000"/>
            </a:lnSpc>
            <a:spcBef>
              <a:spcPct val="0"/>
            </a:spcBef>
            <a:spcAft>
              <a:spcPct val="15000"/>
            </a:spcAft>
            <a:buChar char="•"/>
          </a:pPr>
          <a:r>
            <a:rPr lang="en-US" sz="1200" kern="1200"/>
            <a:t>As Received</a:t>
          </a:r>
        </a:p>
      </dsp:txBody>
      <dsp:txXfrm>
        <a:off x="4579092" y="550263"/>
        <a:ext cx="1367529" cy="62159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4d72cb-6dd4-44f1-9acf-8c8b35b380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6C689A2DAEDF4E99C4CA76F7AE396C" ma:contentTypeVersion="18" ma:contentTypeDescription="Create a new document." ma:contentTypeScope="" ma:versionID="4478f6a5947a7e3b80ad10516d9bf2cb">
  <xsd:schema xmlns:xsd="http://www.w3.org/2001/XMLSchema" xmlns:xs="http://www.w3.org/2001/XMLSchema" xmlns:p="http://schemas.microsoft.com/office/2006/metadata/properties" xmlns:ns3="314d72cb-6dd4-44f1-9acf-8c8b35b3803c" xmlns:ns4="4ae94524-23cc-4ced-bd7d-cbd4830c1878" targetNamespace="http://schemas.microsoft.com/office/2006/metadata/properties" ma:root="true" ma:fieldsID="091821f12418124c5ef20b7ae6315310" ns3:_="" ns4:_="">
    <xsd:import namespace="314d72cb-6dd4-44f1-9acf-8c8b35b3803c"/>
    <xsd:import namespace="4ae94524-23cc-4ced-bd7d-cbd4830c187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d72cb-6dd4-44f1-9acf-8c8b35b380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94524-23cc-4ced-bd7d-cbd4830c187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5318D-3C97-42C0-A888-3FAFB9F864A8}">
  <ds:schemaRefs>
    <ds:schemaRef ds:uri="http://schemas.microsoft.com/office/2006/metadata/properties"/>
    <ds:schemaRef ds:uri="http://schemas.microsoft.com/office/infopath/2007/PartnerControls"/>
    <ds:schemaRef ds:uri="314d72cb-6dd4-44f1-9acf-8c8b35b3803c"/>
  </ds:schemaRefs>
</ds:datastoreItem>
</file>

<file path=customXml/itemProps2.xml><?xml version="1.0" encoding="utf-8"?>
<ds:datastoreItem xmlns:ds="http://schemas.openxmlformats.org/officeDocument/2006/customXml" ds:itemID="{0D5194DC-1CB9-4128-9487-AD225D06A01A}">
  <ds:schemaRefs>
    <ds:schemaRef ds:uri="http://schemas.microsoft.com/sharepoint/v3/contenttype/forms"/>
  </ds:schemaRefs>
</ds:datastoreItem>
</file>

<file path=customXml/itemProps3.xml><?xml version="1.0" encoding="utf-8"?>
<ds:datastoreItem xmlns:ds="http://schemas.openxmlformats.org/officeDocument/2006/customXml" ds:itemID="{BA1A9FB3-C286-4D4A-B05D-31244E87FF23}">
  <ds:schemaRefs>
    <ds:schemaRef ds:uri="http://schemas.openxmlformats.org/officeDocument/2006/bibliography"/>
  </ds:schemaRefs>
</ds:datastoreItem>
</file>

<file path=customXml/itemProps4.xml><?xml version="1.0" encoding="utf-8"?>
<ds:datastoreItem xmlns:ds="http://schemas.openxmlformats.org/officeDocument/2006/customXml" ds:itemID="{45DBDDDB-5A45-41FB-A928-D5BBBC6E6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d72cb-6dd4-44f1-9acf-8c8b35b3803c"/>
    <ds:schemaRef ds:uri="4ae94524-23cc-4ced-bd7d-cbd4830c18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18</Pages>
  <Words>5790</Words>
  <Characters>33008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Sharaf Bakri Alaagib</dc:creator>
  <cp:lastModifiedBy>محمد مدثر . ID 441106272</cp:lastModifiedBy>
  <cp:revision>41</cp:revision>
  <cp:lastPrinted>2026-01-19T08:17:00Z</cp:lastPrinted>
  <dcterms:created xsi:type="dcterms:W3CDTF">2026-06-21T14:26:00Z</dcterms:created>
  <dcterms:modified xsi:type="dcterms:W3CDTF">2026-06-23T17:08:00Z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0x010100A86C689A2DAEDF4E99C4CA76F7AE396C</vt:lpwstr>
  </property>
  <property fmtid="{D5CDD505-2E9C-101B-9397-08002B2CF9AE}" pid="3" name="GrammarlyDocumentId">
    <vt:lpwstr>a3af4b9b-d2d1-445a-af01-478229c2f59e</vt:lpwstr>
  </property>
</Properties>
</file>