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641FF" w14:textId="77777777" w:rsidR="004A5C8B" w:rsidRDefault="00000000">
      <w:pPr>
        <w:spacing w:after="120" w:line="360" w:lineRule="auto"/>
        <w:jc w:val="center"/>
      </w:pPr>
      <w:r>
        <w:rPr>
          <w:b/>
        </w:rPr>
        <w:t>Combination of Seaweed Meal (</w:t>
      </w:r>
      <w:r w:rsidRPr="00D93D7C">
        <w:rPr>
          <w:b/>
          <w:i/>
          <w:iCs/>
        </w:rPr>
        <w:t>Gracilaria verrucosa</w:t>
      </w:r>
      <w:r>
        <w:rPr>
          <w:b/>
        </w:rPr>
        <w:t>) and Moringa Leaf Meal (</w:t>
      </w:r>
      <w:r w:rsidRPr="00D93D7C">
        <w:rPr>
          <w:b/>
          <w:i/>
          <w:iCs/>
        </w:rPr>
        <w:t>Moringa oleifera</w:t>
      </w:r>
      <w:r>
        <w:rPr>
          <w:b/>
        </w:rPr>
        <w:t>) in Diets on Digestibility, Intestinal Histology, Blood Profile, and Growth of Saline Nile Tilapia (</w:t>
      </w:r>
      <w:r w:rsidRPr="00795AE3">
        <w:rPr>
          <w:b/>
          <w:i/>
          <w:iCs/>
        </w:rPr>
        <w:t>Oreochromis niloticus</w:t>
      </w:r>
      <w:r>
        <w:rPr>
          <w:b/>
        </w:rPr>
        <w:t>)</w:t>
      </w:r>
    </w:p>
    <w:p w14:paraId="60BE8D41" w14:textId="77777777" w:rsidR="004A5C8B" w:rsidRDefault="00000000">
      <w:pPr>
        <w:spacing w:after="120" w:line="360" w:lineRule="auto"/>
        <w:jc w:val="center"/>
      </w:pPr>
      <w:r>
        <w:rPr>
          <w:sz w:val="22"/>
        </w:rPr>
        <w:t>Wellem Henrik Muskita</w:t>
      </w:r>
      <w:r w:rsidRPr="000E5F98">
        <w:rPr>
          <w:sz w:val="22"/>
          <w:vertAlign w:val="superscript"/>
        </w:rPr>
        <w:t>1</w:t>
      </w:r>
      <w:r>
        <w:rPr>
          <w:sz w:val="22"/>
        </w:rPr>
        <w:t>*, Zaim Bahtiar</w:t>
      </w:r>
      <w:r w:rsidRPr="000E5F98">
        <w:rPr>
          <w:sz w:val="22"/>
          <w:vertAlign w:val="superscript"/>
        </w:rPr>
        <w:t>2</w:t>
      </w:r>
      <w:r>
        <w:rPr>
          <w:sz w:val="22"/>
        </w:rPr>
        <w:t>, Ruslaini</w:t>
      </w:r>
      <w:r w:rsidRPr="000E5F98">
        <w:rPr>
          <w:sz w:val="22"/>
          <w:vertAlign w:val="superscript"/>
        </w:rPr>
        <w:t>1</w:t>
      </w:r>
      <w:r>
        <w:rPr>
          <w:sz w:val="22"/>
        </w:rPr>
        <w:t>, Indriyani Nur</w:t>
      </w:r>
      <w:r w:rsidRPr="000E5F98">
        <w:rPr>
          <w:sz w:val="22"/>
          <w:vertAlign w:val="superscript"/>
        </w:rPr>
        <w:t>1</w:t>
      </w:r>
      <w:r>
        <w:rPr>
          <w:sz w:val="22"/>
        </w:rPr>
        <w:t>, Agus Kurnia</w:t>
      </w:r>
      <w:r w:rsidRPr="000E5F98">
        <w:rPr>
          <w:sz w:val="22"/>
          <w:vertAlign w:val="superscript"/>
        </w:rPr>
        <w:t>1</w:t>
      </w:r>
      <w:r>
        <w:rPr>
          <w:sz w:val="22"/>
        </w:rPr>
        <w:t>, Muhaimin Hamzah</w:t>
      </w:r>
      <w:r w:rsidRPr="000E5F98">
        <w:rPr>
          <w:sz w:val="22"/>
          <w:vertAlign w:val="superscript"/>
        </w:rPr>
        <w:t>1</w:t>
      </w:r>
      <w:r>
        <w:rPr>
          <w:sz w:val="22"/>
        </w:rPr>
        <w:t>, La Ode Baytul Abidin</w:t>
      </w:r>
      <w:r w:rsidRPr="000E5F98">
        <w:rPr>
          <w:sz w:val="22"/>
          <w:vertAlign w:val="superscript"/>
        </w:rPr>
        <w:t>1</w:t>
      </w:r>
      <w:r>
        <w:rPr>
          <w:sz w:val="22"/>
        </w:rPr>
        <w:t>, Hamsah</w:t>
      </w:r>
      <w:r w:rsidRPr="000E5F98">
        <w:rPr>
          <w:sz w:val="22"/>
          <w:vertAlign w:val="superscript"/>
        </w:rPr>
        <w:t>3</w:t>
      </w:r>
      <w:r>
        <w:rPr>
          <w:sz w:val="22"/>
        </w:rPr>
        <w:t>, and La Ode Muh. Munadi</w:t>
      </w:r>
      <w:r w:rsidRPr="000E5F98">
        <w:rPr>
          <w:sz w:val="22"/>
          <w:vertAlign w:val="superscript"/>
        </w:rPr>
        <w:t>4</w:t>
      </w:r>
    </w:p>
    <w:p w14:paraId="093DEA9B" w14:textId="77777777" w:rsidR="004A5C8B" w:rsidRDefault="00000000">
      <w:pPr>
        <w:spacing w:after="40" w:line="360" w:lineRule="auto"/>
        <w:jc w:val="center"/>
      </w:pPr>
      <w:r>
        <w:rPr>
          <w:sz w:val="20"/>
        </w:rPr>
        <w:t>1 Department of Aquaculture, Faculty of Fisheries and Marine Sciences, Halu Oleo University, Kendari, Southeast Sulawesi, Indonesia</w:t>
      </w:r>
    </w:p>
    <w:p w14:paraId="275DF6AE" w14:textId="77777777" w:rsidR="004A5C8B" w:rsidRDefault="00000000">
      <w:pPr>
        <w:spacing w:after="40" w:line="360" w:lineRule="auto"/>
        <w:jc w:val="center"/>
      </w:pPr>
      <w:r>
        <w:rPr>
          <w:sz w:val="20"/>
        </w:rPr>
        <w:t>2 Student of the Department of Aquaculture, Faculty of Fisheries and Marine Sciences, Halu Oleo University, Kendari, Southeast Sulawesi, Indonesia</w:t>
      </w:r>
    </w:p>
    <w:p w14:paraId="5ACD37CB" w14:textId="77777777" w:rsidR="004A5C8B" w:rsidRDefault="00000000">
      <w:pPr>
        <w:spacing w:after="40" w:line="360" w:lineRule="auto"/>
        <w:jc w:val="center"/>
      </w:pPr>
      <w:r>
        <w:rPr>
          <w:sz w:val="20"/>
        </w:rPr>
        <w:t>3 Department of Aquaculture, Universitas Muhammadiyah Makassar, Makassar, South Sulawesi, Indonesia</w:t>
      </w:r>
    </w:p>
    <w:p w14:paraId="0DE244A2" w14:textId="77777777" w:rsidR="004A5C8B" w:rsidRDefault="00000000">
      <w:pPr>
        <w:spacing w:after="40" w:line="360" w:lineRule="auto"/>
        <w:jc w:val="center"/>
      </w:pPr>
      <w:r>
        <w:rPr>
          <w:sz w:val="20"/>
        </w:rPr>
        <w:t>4 Department of Animal Science, Faculty of Animal Science, Halu Oleo University, Kendari, Southeast Sulawesi, Indonesia</w:t>
      </w:r>
    </w:p>
    <w:p w14:paraId="3C6FC52E" w14:textId="77777777" w:rsidR="004A5C8B" w:rsidRDefault="00000000">
      <w:pPr>
        <w:spacing w:after="120" w:line="360" w:lineRule="auto"/>
        <w:jc w:val="center"/>
      </w:pPr>
      <w:r>
        <w:rPr>
          <w:sz w:val="20"/>
        </w:rPr>
        <w:t>*Corresponding author: wellemhenrikmuskita@uho.ac.id</w:t>
      </w:r>
    </w:p>
    <w:p w14:paraId="26EC56BF" w14:textId="77777777" w:rsidR="004A5C8B" w:rsidRDefault="00000000">
      <w:pPr>
        <w:spacing w:before="200" w:after="120" w:line="360" w:lineRule="auto"/>
      </w:pPr>
      <w:r>
        <w:rPr>
          <w:b/>
        </w:rPr>
        <w:t>ABSTRACT</w:t>
      </w:r>
    </w:p>
    <w:p w14:paraId="53C8997A" w14:textId="77777777" w:rsidR="004A5C8B" w:rsidRDefault="00000000" w:rsidP="004247B8">
      <w:pPr>
        <w:spacing w:after="120" w:line="360" w:lineRule="auto"/>
        <w:ind w:firstLine="432"/>
        <w:jc w:val="both"/>
      </w:pPr>
      <w:r>
        <w:t>Saline Nile tilapia (</w:t>
      </w:r>
      <w:r w:rsidRPr="00795AE3">
        <w:rPr>
          <w:i/>
          <w:iCs/>
        </w:rPr>
        <w:t>Oreochromis niloticus</w:t>
      </w:r>
      <w:r>
        <w:t>) has strong potential to support aquaculture production in coastal and brackish-water areas, but its production efficiency depends heavily on the availability of affordable, nutritious, and sustainable feeds. This study evaluated the effects of seaweed meal (</w:t>
      </w:r>
      <w:r w:rsidRPr="004247B8">
        <w:rPr>
          <w:i/>
          <w:iCs/>
        </w:rPr>
        <w:t>Gracilaria verrucosa</w:t>
      </w:r>
      <w:r>
        <w:t>) and moringa leaf meal (</w:t>
      </w:r>
      <w:r w:rsidRPr="004247B8">
        <w:rPr>
          <w:i/>
          <w:iCs/>
        </w:rPr>
        <w:t>Moringa oleifera</w:t>
      </w:r>
      <w:r>
        <w:t>), used alone or in combination, on protein digestibility, total digestibility, intestinal histology, blood profile, organ indices, and growth of saline Nile tilapia. A completely randomized design with four treatments and three replicates was used: A, 5% moringa leaf meal + 5% seaweed meal; B, 10% seaweed meal; C, 10% moringa leaf meal; and D, commercial feed. Fish with an initial body weight of 4.26 ± 0.87 g were reared for 45 days at a salinity of 13-15 ppt. The measured parameters were protein digestibility, total digestibility, absolute growth, villus height and width, intestine somatic index, hepatosomatic index, total erythrocytes, total leukocytes, and water quality. The dietary treatments significantly affected all major parameters. Commercial feed produced the best overall performance. Among the experimental diets based on alternative ingredients, treatment C produced the most favorable responses in total digestibility, absolute growth, villus width, total erythrocytes, and total leukocytes. These findings indicate that 10% moringa leaf meal is more promising as an alternative feed ingredient than the direct combination of seaweed and moringa leaf meals at the tested inclusion levels. Fermentation or other pretreatments are recommended to improve digestibility and reduce the limiting effects of fiber, ash, and antinutritional compounds.</w:t>
      </w:r>
    </w:p>
    <w:p w14:paraId="51B4D115" w14:textId="77777777" w:rsidR="004A5C8B" w:rsidRDefault="00000000" w:rsidP="004247B8">
      <w:pPr>
        <w:spacing w:after="120" w:line="360" w:lineRule="auto"/>
        <w:jc w:val="both"/>
      </w:pPr>
      <w:r>
        <w:rPr>
          <w:sz w:val="22"/>
        </w:rPr>
        <w:lastRenderedPageBreak/>
        <w:t xml:space="preserve">Keywords: digestibility; </w:t>
      </w:r>
      <w:r w:rsidRPr="00D93D7C">
        <w:rPr>
          <w:i/>
          <w:iCs/>
          <w:sz w:val="22"/>
        </w:rPr>
        <w:t>Gracilaria verrucosa</w:t>
      </w:r>
      <w:r>
        <w:rPr>
          <w:sz w:val="22"/>
        </w:rPr>
        <w:t xml:space="preserve">; intestinal histology; </w:t>
      </w:r>
      <w:r w:rsidRPr="00D93D7C">
        <w:rPr>
          <w:i/>
          <w:iCs/>
          <w:sz w:val="22"/>
        </w:rPr>
        <w:t>Moringa oleifera</w:t>
      </w:r>
      <w:r>
        <w:rPr>
          <w:sz w:val="22"/>
        </w:rPr>
        <w:t xml:space="preserve">; </w:t>
      </w:r>
      <w:r w:rsidRPr="00795AE3">
        <w:rPr>
          <w:i/>
          <w:iCs/>
          <w:sz w:val="22"/>
        </w:rPr>
        <w:t>Oreochromis niloticus</w:t>
      </w:r>
    </w:p>
    <w:p w14:paraId="20C604D2" w14:textId="77777777" w:rsidR="004A5C8B" w:rsidRDefault="00000000">
      <w:pPr>
        <w:spacing w:before="200" w:after="120" w:line="360" w:lineRule="auto"/>
      </w:pPr>
      <w:r>
        <w:rPr>
          <w:b/>
        </w:rPr>
        <w:t>INTRODUCTION</w:t>
      </w:r>
    </w:p>
    <w:p w14:paraId="67B3BF3C" w14:textId="1499FCD5" w:rsidR="004A5C8B" w:rsidRDefault="00000000" w:rsidP="004247B8">
      <w:pPr>
        <w:spacing w:after="0" w:line="360" w:lineRule="auto"/>
        <w:ind w:firstLine="432"/>
        <w:jc w:val="both"/>
      </w:pPr>
      <w:r>
        <w:t xml:space="preserve">Aquaculture has become one of the most strategic food production systems because it provides animal protein, employment, and income for coastal and inland communities. Global fisheries and aquaculture production continues to increase, and aquatic foods are now recognized as important components of food security, nutrition, and </w:t>
      </w:r>
      <w:r w:rsidR="004247B8">
        <w:t>the sustainable transformation of food systems</w:t>
      </w:r>
      <w:r>
        <w:t>. However, the expansion of aquaculture also increases pressure on feed ingredient supply, especially conventional marine-derived protein and lipid sources. This condition has intensified global research on feeds that are more efficient, affordable, and environmentally responsible (</w:t>
      </w:r>
      <w:r w:rsidR="00041B34">
        <w:fldChar w:fldCharType="begin"/>
      </w:r>
      <w:r w:rsidR="00041B34">
        <w:instrText xml:space="preserve"> ADDIN ZOTERO_ITEM CSL_CITATION {"citationID":"VIwG1lUG","properties":{"unsorted":false,"formattedCitation":"(Naylor et al., 2021; Zlaugotne et al., 2022)","plainCitation":"(Naylor et al., 2021; Zlaugotne et al., 2022)","noteIndex":0},"citationItems":[{"id":568,"uris":["http://zotero.org/users/7102179/items/UZMSF6VT"],"itemData":{"id":568,"type":"article-journal","abstract":"The sustainability of aquaculture has been debated intensely since 2000, when a review on the net contribution of aquaculture to world fish supplies was published in Nature. This paper reviews the developments in global aquaculture from 1997 to 2017, incorporating all industry sub-sectors and highlighting the integration of aquaculture in the global food system. Inland aquaculture—especially in Asia—has contributed the most to global production volumes and food security. Major gains have also occurred in aquaculture feed efficiency and fish nutrition, lowering the fish-in–fish-out ratio for all fed species, although the dependence on marine ingredients persists and reliance on terrestrial ingredients has increased. The culture of both molluscs and seaweed is increasingly recognized for its ecosystem services; however, the quantification, valuation, and market development of these services remain rare. The potential for molluscs and seaweed to support global nutritional security is underexploited. Management of pathogens, parasites, and pests remains a sustainability challenge industry-wide, and the effects of climate change on aquaculture remain uncertain and difficult to validate. Pressure on the aquaculture industry to embrace comprehensive sustainability measures during this 20-year period have improved the governance, technology, siting, and management in many cases.","container-title":"Nature","DOI":"10.1038/s41586-021-03308-6","ISSN":"1476-4687","issue":"7851","language":"en","license":"2021 Springer Nature Limited","page":"551-563","publisher":"Nature Publishing Group","source":"www.nature.com","title":"A 20-year retrospective review of global aquaculture","volume":"591","author":[{"family":"Naylor","given":"Rosamond L."},{"family":"Hardy","given":"Ronald W."},{"family":"Buschmann","given":"Alejandro H."},{"family":"Bush","given":"Simon R."},{"family":"Cao","given":"Ling"},{"family":"Klinger","given":"Dane H."},{"family":"Little","given":"David C."},{"family":"Lubchenco","given":"Jane"},{"family":"Shumway","given":"Sandra E."},{"family":"Troell","given":"Max"}],"issued":{"date-parts":[["2021",3]]}}},{"id":579,"uris":["http://zotero.org/users/7102179/items/V3HXXIZI"],"itemData":{"id":579,"type":"article-journal","container-title":"Heliyon","DOI":"10.1016/j.heliyon.2022.e10527","ISSN":"2405-8440","issue":"9","journalAbbreviation":"Heliyon","language":"English","PMID":"36119893","publisher":"Elsevier","source":"www.cell.com","title":"Advantages and disadvantages of using more sustainable ingredients in fish feed","URL":"https://www.cell.com/heliyon/abstract/S2405-8440(22)01815-1","volume":"8","author":[{"family":"Zlaugotne","given":"Beate"},{"family":"Pubule","given":"Jelena"},{"family":"Blumberga","given":"Dagnija"}],"accessed":{"date-parts":[["2026",6,21]]},"issued":{"date-parts":[["2022",9,1]]}}}],"schema":"https://github.com/citation-style-language/schema/raw/master/csl-citation.json"} </w:instrText>
      </w:r>
      <w:r w:rsidR="00041B34">
        <w:fldChar w:fldCharType="separate"/>
      </w:r>
      <w:r w:rsidR="00041B34" w:rsidRPr="00041B34">
        <w:t>Naylor et al. 2021; Zlaugotne et al. 2022</w:t>
      </w:r>
      <w:r w:rsidR="00041B34">
        <w:fldChar w:fldCharType="end"/>
      </w:r>
      <w:r w:rsidR="00237F91">
        <w:t xml:space="preserve">; </w:t>
      </w:r>
      <w:r w:rsidR="00237F91">
        <w:t>FAO 2024</w:t>
      </w:r>
      <w:r w:rsidR="00041B34">
        <w:t>)</w:t>
      </w:r>
      <w:r>
        <w:t>.</w:t>
      </w:r>
    </w:p>
    <w:p w14:paraId="75BC3D8E" w14:textId="45560F3A" w:rsidR="004A5C8B" w:rsidRDefault="00000000" w:rsidP="004247B8">
      <w:pPr>
        <w:spacing w:after="0" w:line="360" w:lineRule="auto"/>
        <w:ind w:firstLine="432"/>
        <w:jc w:val="both"/>
      </w:pPr>
      <w:r>
        <w:t xml:space="preserve">The state of the art in aquaculture nutrition shows a clear shift from fishmeal-based feeds </w:t>
      </w:r>
      <w:r w:rsidR="00D93D7C">
        <w:t>to formulations incorporating</w:t>
      </w:r>
      <w:r>
        <w:t xml:space="preserve"> plant ingredients, local resources, agro-industrial by-products, microalgae, macroalgae, and functional additives. This shift is driven not only by feed cost but also by the need to improve nutrient efficiency, intestinal health, immune responses, and fish resilience to environmental stress. Nevertheless, plant and algal ingredients often contain crude fiber, inorganic minerals, complex polysaccharides, and antinutritional compounds that can limit digestibility and protein utilization</w:t>
      </w:r>
      <w:r w:rsidR="00041B34">
        <w:t xml:space="preserve"> </w:t>
      </w:r>
      <w:r w:rsidR="00041B34">
        <w:fldChar w:fldCharType="begin"/>
      </w:r>
      <w:r w:rsidR="00041B34">
        <w:instrText xml:space="preserve"> ADDIN ZOTERO_ITEM CSL_CITATION {"citationID":"xe5LxJpl","properties":{"unsorted":true,"formattedCitation":"(Mmanda et al., 2020; Zlaugotne et al., 2022; Hussain et al., 2024)","plainCitation":"(Mmanda et al., 2020; Zlaugotne et al., 2022; Hussain et al., 2024)","noteIndex":0},"citationItems":[{"id":564,"uris":["http://zotero.org/users/7102179/items/IY2N6RMT"],"itemData":{"id":564,"type":"article-journal","abstract":"Eight locally available protein source ingredients in Tanzania were selected for assessment of apparent digestibility (AD) in tilapia Oreochromis niloticus, using faeces samples collected by siphoning or stripping. The selected protein source ingredients were Lake Victoria sardines (FM), brewers spent yeast (BSY), moringa leaves (ML), freshwater shrimp (FSH), marine shrimp (MSH), cattle blood (CB), duckweed (DW) and fish frames (FF). The AD (%) of dry matter (DM), organic matter (OM) and crude protein (CP) was unaffected (p &gt; 0.782–0.901) by the faeces collection method (i.e., siphoning or stripping), with correlation coefficient (r) of 0.98, 0.99 and 0.93 between AD values for DM, OM and CP, respectively, following siphoning and stripping. The AD (%) of DM, OM, CP and gross energy (GE) in the test ingredients differed (p &lt; 0.0001). The AD (%) of DM and OM was lowest in BSY and DW, followed in increasing order by ML, MSH, FF, FSH and CB. In general, the AD (%) of CP was high (&gt;76%), but with a low value (46%) for DW. The AD (%) of GE was closely correlated (r = 0.96) with the AD of OM. In conclusion, FSH, MSH, CB, FF, BSY and ML have acceptable protein digestibility to be used in tilapia diet formulation.","container-title":"Fishes","DOI":"10.3390/fishes5040032","ISSN":"2410-3888","issue":"4","language":"en","license":"http://creativecommons.org/licenses/by/3.0/","page":"32","publisher":"Multidisciplinary Digital Publishing Institute","source":"www.mdpi.com","title":"Digestibility of Local Feed Ingredients in Tilapia Oreochromis niloticus Juveniles, Determined on Faeces Collected by Siphoning or Stripping","volume":"5","author":[{"family":"Mmanda","given":"Francis Pius"},{"family":"Lindberg","given":"Jan Erik"},{"family":"Norman Haldén","given":"Anna"},{"family":"Mtolera","given":"Matern S. P."},{"family":"Kitula","given":"Rukia"},{"family":"Lundh","given":"Torbjörn"}],"issued":{"date-parts":[["2020",12]]}}},{"id":579,"uris":["http://zotero.org/users/7102179/items/V3HXXIZI"],"itemData":{"id":579,"type":"article-journal","container-title":"Heliyon","DOI":"10.1016/j.heliyon.2022.e10527","ISSN":"2405-8440","issue":"9","journalAbbreviation":"Heliyon","language":"English","PMID":"36119893","publisher":"Elsevier","source":"www.cell.com","title":"Advantages and disadvantages of using more sustainable ingredients in fish feed","URL":"https://www.cell.com/heliyon/abstract/S2405-8440(22)01815-1","volume":"8","author":[{"family":"Zlaugotne","given":"Beate"},{"family":"Pubule","given":"Jelena"},{"family":"Blumberga","given":"Dagnija"}],"accessed":{"date-parts":[["2026",6,21]]},"issued":{"date-parts":[["2022",9,1]]}}},{"id":554,"uris":["http://zotero.org/users/7102179/items/QQ88EEWA"],"itemData":{"id":554,"type":"article-journal","container-title":"Heliyon","DOI":"10.1016/j.heliyon.2024.e26573","ISSN":"2405-8440","issue":"4","journalAbbreviation":"Heliyon","language":"English","PMID":"38434023","publisher":"Elsevier","source":"www.cell.com","title":"Substitution of fishmeal: Highlights of potential plant protein sources for aquaculture sustainability","title-short":"Substitution of fishmeal","URL":"https://www.cell.com/heliyon/abstract/S2405-8440(24)02604-5","volume":"10","author":[{"family":"Hussain","given":"Syed Makhdoom"},{"family":"Bano","given":"Aumme Adeeba"},{"family":"Ali","given":"Shafaqat"},{"family":"Rizwan","given":"Muhammad"},{"family":"Adrees","given":"Muhammad"},{"family":"Zahoor","given":"Ameer Fawad"},{"family":"Sarker","given":"Pallab K."},{"family":"Hussain","given":"Majid"},{"family":"Arsalan","given":"Muhammad Zubair-ul-Hassan"},{"family":"Yong","given":"Jean Wan Hong"},{"family":"Naeem","given":"Adan"}],"accessed":{"date-parts":[["2026",6,21]]},"issued":{"date-parts":[["2024",2,29]]}}}],"schema":"https://github.com/citation-style-language/schema/raw/master/csl-citation.json"} </w:instrText>
      </w:r>
      <w:r w:rsidR="00041B34">
        <w:fldChar w:fldCharType="separate"/>
      </w:r>
      <w:r w:rsidR="00041B34" w:rsidRPr="00041B34">
        <w:t>(Mmanda et al. 2020; Zlaugotne et al. 2022; Hussain et al. 2024)</w:t>
      </w:r>
      <w:r w:rsidR="00041B34">
        <w:fldChar w:fldCharType="end"/>
      </w:r>
      <w:r>
        <w:t>.</w:t>
      </w:r>
    </w:p>
    <w:p w14:paraId="51926BD8" w14:textId="70F0CE14" w:rsidR="004A5C8B" w:rsidRDefault="00000000" w:rsidP="004247B8">
      <w:pPr>
        <w:spacing w:after="0" w:line="360" w:lineRule="auto"/>
        <w:ind w:firstLine="432"/>
        <w:jc w:val="both"/>
      </w:pPr>
      <w:r>
        <w:t>Nile tilapia (</w:t>
      </w:r>
      <w:r w:rsidRPr="00795AE3">
        <w:rPr>
          <w:i/>
          <w:iCs/>
        </w:rPr>
        <w:t>Oreochromis niloticus</w:t>
      </w:r>
      <w:r>
        <w:t xml:space="preserve">) is a major global aquaculture commodity because of its rapid growth, broad environmental tolerance, and capacity to utilize plant-based feed ingredients. The development of saline Nile tilapia is particularly important because it can expand fish production in coastal areas, marginal ponds, and brackish-water resources. Several studies have shown that Nile tilapia can survive and grow at certain salinity levels after acclimation, but </w:t>
      </w:r>
      <w:r w:rsidR="004247B8">
        <w:t>their physiological responses remain</w:t>
      </w:r>
      <w:r>
        <w:t xml:space="preserve"> strongly influenced by feed quality, osmoregulatory efficiency, and the availability of digestible energy and protein</w:t>
      </w:r>
      <w:r w:rsidR="00041B34">
        <w:t xml:space="preserve"> </w:t>
      </w:r>
      <w:r w:rsidR="00041B34">
        <w:fldChar w:fldCharType="begin"/>
      </w:r>
      <w:r w:rsidR="00041B34">
        <w:instrText xml:space="preserve"> ADDIN ZOTERO_ITEM CSL_CITATION {"citationID":"QLjW0CfV","properties":{"unsorted":true,"formattedCitation":"(Thomas et al., 2021; Kamble et al., 2024)","plainCitation":"(Thomas et al., 2021; Kamble et al., 2024)","noteIndex":0},"citationItems":[{"id":576,"uris":["http://zotero.org/users/7102179/items/6U3IR74T"],"itemData":{"id":576,"type":"article-journal","abstract":"This study was carried out to find suitable salinity for the best growth performance and survival of Nile tilapia (Oreochromis niloticus) with spinach (Spinacia oleracea) in an aquaponic system. The experimental design consisted of inland saline groundwater with salinities 3, 6 and 9 g L−1 as treatments and freshwater as control, carried out in 12 identical aquaponics units with fish stocked at a biomass 1.3 kg m−3 and plants at a density 40 m−2. Nile tilapia reared at salinities 9, 6 and 3 g L−1 showed significantly higher (p &lt; 0.05) feed efficiency ratio and protein efficiency ratio compared to freshwater. The feed conversion ratio of fish at salinities 9, 6 and 3 g L−1 ranged between 1.31–1.43 and significantly differed from control. Final mean biomass were statistically similar at 9 g L−1 (5 kg m−3), 6 g L−1 (4.92 kg m−3) and 3 g L−1 (4.68 kg m−3). Survival of O. niloticus was 100% in all the salinities tested. Spinach was harvested twice during the study, in the first harvest the yield was observed higher in freshwater followed by 3, 6 and 9 g L−1, but in the second harvest, the higher yield was observed in 9 g L−1 followed by 6 g L−1, 3 g L−1 and freshwater. Based on the overall production performance and water quality parameters, a salinity of 9 g L−1 was found to be the best for the integration of Nile tilapia and Spinach in an aquaponic system.","container-title":"Aquaculture Research","DOI":"10.1111/are.15492","ISSN":"1365-2109","issue":"12","language":"en","license":"© 2021 John Wiley &amp; Sons Ltd","note":"_eprint: https://onlinelibrary.wiley.com/doi/pdf/10.1111/are.15492","page":"6288-6298","source":"Wiley Online Library","title":"Effect of salinity on growth of Nile tilapia (Oreochromis niloticus) and spinach (Spinacia oleracea) in aquaponic system using inland saline groundwater","volume":"52","author":[{"family":"Thomas","given":"Ritty Maria"},{"family":"Verma","given":"Ajit Kumar"},{"family":"Krishna","given":"Hari"},{"family":"Prakash","given":"Satya"},{"family":"Kumar","given":"Ashok"},{"family":"Peter","given":"Roshan Maria"}],"issued":{"date-parts":[["2021"]]}}},{"id":559,"uris":["http://zotero.org/users/7102179/items/KFA6KMMA"],"itemData":{"id":559,"type":"article-journal","abstract":"The present study aimed to investigate the effects of Moringa oleifera leaf (MLE) extract-supplemented diets on the growth, feed utilization, hematology, innate immune response, and disease resistance of Nile tilapia against Streptococcus agalactiae Biotype 2. Four hundred and fifty Nile tilapia (32.61 ± 0.2 g/fish) were randomly allocated into fifteen tanks (30 fish/tank). Different concentrations of MLE at 0%, 0.5%, 1%, 1.5%, and 2% were fed to the Nile tilapia for 30 days, and the growth, feed utilization, hematology, and innate immune response of the Nile tilapia were determined. After the feeding trial, the Nile tilapia were challenged with a S. agalactiae Biotype 2 infection, and the relative percentage of survival (RPS) was determined. Results revealed the presence of quercetin, kaempferol, and p-coumaric acid in the MLE extract, exhibiting stronger antimicrobial activity against S. agalactiae Biotype 2. The diets supplemented with the MLE-0.5 group showed a significantly higher growth, feed utilization, hematology, and innate immune response in the Nile tilapia compared to the control and other MLE groups. Additionally, the MLE-0.5 group exhibited a significantly higher RPS of the Nile tilapia against S. agalactiae Biotype 2. Therefore, MLE-0.5 can be employed as an alternative feed supplement in sustainable Nile tilapia farming to protect against S. agalactiae Biotype 2.","container-title":"Animals","DOI":"10.3390/ani14060953","ISSN":"2076-2615","issue":"6","language":"en","license":"http://creativecommons.org/licenses/by/3.0/","page":"953","publisher":"Multidisciplinary Digital Publishing Institute","source":"www.mdpi.com","title":"Effect of Moringa oleifera Leaf Extract on the Growth Performance, Hematology, Innate Immunity, and Disease Resistance of Nile Tilapia (Oreochromis niloticus) against Streptococcus agalactiae Biotype 2","volume":"14","author":[{"family":"Kamble","given":"Manoj Tukaram"},{"family":"Gallardo","given":"Wenresti"},{"family":"Salin","given":"Krishna Rugmini"},{"family":"Pumpuang","given":"Suntree"},{"family":"Chavan","given":"Balasaheb Ramdas"},{"family":"Bhujel","given":"Ram Chandra"},{"family":"Medhe","given":"Seema Vijay"},{"family":"Kettawan","given":"Aikkarach"},{"family":"Thompson","given":"Kim D."},{"family":"Pirarat","given":"Nopadon"}],"issued":{"date-parts":[["2024",1]]}}}],"schema":"https://github.com/citation-style-language/schema/raw/master/csl-citation.json"} </w:instrText>
      </w:r>
      <w:r w:rsidR="00041B34">
        <w:fldChar w:fldCharType="separate"/>
      </w:r>
      <w:r w:rsidR="00041B34" w:rsidRPr="00041B34">
        <w:t>(Thomas et al. 2021; Kamble et al. 2024)</w:t>
      </w:r>
      <w:r w:rsidR="00041B34">
        <w:fldChar w:fldCharType="end"/>
      </w:r>
      <w:r>
        <w:t>.</w:t>
      </w:r>
    </w:p>
    <w:p w14:paraId="79400FA9" w14:textId="55A8F175" w:rsidR="004A5C8B" w:rsidRDefault="00000000" w:rsidP="004247B8">
      <w:pPr>
        <w:spacing w:after="0" w:line="360" w:lineRule="auto"/>
        <w:ind w:firstLine="432"/>
        <w:jc w:val="both"/>
      </w:pPr>
      <w:r>
        <w:t xml:space="preserve">Red seaweeds from the genus Gracilaria have attracted attention as functional feed ingredients because they contain minerals, fiber, sulfated polysaccharides, pigments, and bioactive compounds that may modulate intestinal microbiota, improve gut barrier function, and support fish immune responses. However, international studies also show that seaweed inclusion at certain levels can reduce palatability, alter intestinal morphology, or suppress growth when fiber and ash contents are too high. Therefore, seaweed should be evaluated not </w:t>
      </w:r>
      <w:r>
        <w:lastRenderedPageBreak/>
        <w:t xml:space="preserve">only as a nutrient source but also as a functional ingredient that requires appropriate inclusion levels and processing methods </w:t>
      </w:r>
      <w:r w:rsidR="006E4FB3">
        <w:fldChar w:fldCharType="begin"/>
      </w:r>
      <w:r w:rsidR="006E4FB3">
        <w:instrText xml:space="preserve"> ADDIN ZOTERO_ITEM CSL_CITATION {"citationID":"sJa1fNcy","properties":{"unsorted":true,"formattedCitation":"(Silva et al., 2015; Siddik et al., 2023)","plainCitation":"(Silva et al., 2015; Siddik et al., 2023)","noteIndex":0},"citationItems":[{"id":575,"uris":["http://zotero.org/users/7102179/items/AD7P3GY3"],"itemData":{"id":575,"type":"article-journal","abstract":"The present study evaluated the effects of the inclusion of three seaweeds, Gracilaria vermiculophylla (GRA), Porphyra dioica (POR), and Ulva spp. (ULV), as dietary ingredients for Nile tilapia (Oreochromis niloticus) juveniles, on the growth performance, body composition, and gut histology. Three experimental diets (GRA, POR, and ULV) were formulated to replace 10 % of whole diet by each of the three seaweeds. A control diet (CTRL) was used, without inclusion of any seaweed. Diets were fed to triplicate groups of 25 Nile tilapia juveniles, with an average body weight (ABW) of 12.1 g, in an 84-day trial. At the end of the trial, growth performance was significantly reduced (P &lt; 0.05) in fish fed the GRA diet, whereas the feed conversion ratio increased significantly in those fish. None of the treatments caused adverse effects on body composition. The inclusion of the three seaweeds in the diet led to evident changes in the fish digestive system morphology with significant reduction of villi length on GRA diet. The results obtained in this study suggest the usefulness of P. dioica and Ulva spp. to partially replace fishmeal in practical diets for tilapia juveniles up to 10 %, as no negative consequences on growth performance or body composition were observed. However, the inclusion of 10 % G. vermiculophylla seems to have a negative effect in diet palatability, reducing fish feed intake and growth performance.","container-title":"Journal of Applied Phycology","DOI":"10.1007/s10811-014-0453-9","ISSN":"1573-5176","issue":"4","journalAbbreviation":"J Appl Phycol","language":"en","page":"1671-1680","source":"Springer Link","title":"Evaluation of IMTA-produced seaweeds (Gracilaria, Porphyra, and Ulva) as dietary ingredients in Nile tilapia, Oreochromis niloticus L., juveniles. Effects on growth performance and gut histology","volume":"27","author":[{"family":"Silva","given":"D. M."},{"family":"Valente","given":"L. M. P."},{"family":"Sousa-Pinto","given":"I."},{"family":"Pereira","given":"R."},{"family":"Pires","given":"M. A."},{"family":"Seixas","given":"F."},{"family":"Rema","given":"P."}],"issued":{"date-parts":[["2015",8,1]]}}},{"id":573,"uris":["http://zotero.org/users/7102179/items/HZQVEHJU"],"itemData":{"id":573,"type":"article-journal","abstract":"Seaweed, also known as macroalgae, represents a vast resource that can be categorized into three taxonomic groups: Rhodophyta (red), Chlorophyta (green), and Phaeophyceae (brown). They are a good source of essential nutrients such as proteins, minerals, vitamins, and omega-3 fatty acids. Seaweed also contains a wide range of functional metabolites, including polyphenols, polysaccharides, and pigments. This study comprehensively discusses seaweed and seaweed-derived metabolites and their potential as a functional feed ingredient in aquafeed for aquaculture production. Past research has discussed the nutritional role of seaweed in promoting the growth performance of fish, but their effects on immune response and gut health in fish have received considerably less attention in the published literature. Existing research, however, has demonstrated that dietary seaweed and seaweed-based metabolite supplementation positively impact the antioxidant status, disease resistance, and stress response in fish. Additionally, seaweed supplementation can promote the growth of beneficial bacteria and inhibit the proliferation of harmful bacteria, thereby improving gut health and nutrient absorption in fish. Nevertheless, an important balance remains between dietary seaweed inclusion level and the resultant metabolic alteration in fish. This review highlights the current state of knowledge and the associated importance of continued research endeavors regarding seaweed and seaweed-based functional metabolites as potential modulators of growth, immune and antioxidant response, and gut microbiota composition in fish.","container-title":"Antioxidants","DOI":"10.3390/antiox12122066","ISSN":"2076-3921","issue":"12","language":"en","license":"http://creativecommons.org/licenses/by/3.0/","page":"2066","publisher":"Multidisciplinary Digital Publishing Institute","source":"www.mdpi.com","title":"Seaweed and Seaweed-Based Functional Metabolites as Potential Modulators of Growth, Immune and Antioxidant Responses, and Gut Microbiota in Fish","volume":"12","author":[{"family":"Siddik","given":"Muhammad A. B."},{"family":"Francis","given":"Prue"},{"family":"Rohani","given":"Md Fazle"},{"family":"Azam","given":"Mohammed Shariful"},{"family":"Mock","given":"Thomas S."},{"family":"Francis","given":"David S."}],"issued":{"date-parts":[["2023",12]]}}}],"schema":"https://github.com/citation-style-language/schema/raw/master/csl-citation.json"} </w:instrText>
      </w:r>
      <w:r w:rsidR="006E4FB3">
        <w:fldChar w:fldCharType="separate"/>
      </w:r>
      <w:r w:rsidR="006E4FB3" w:rsidRPr="006E4FB3">
        <w:t>(Silva et al. 2015; Siddik et al. 2023)</w:t>
      </w:r>
      <w:r w:rsidR="006E4FB3">
        <w:fldChar w:fldCharType="end"/>
      </w:r>
      <w:r>
        <w:t>.</w:t>
      </w:r>
    </w:p>
    <w:p w14:paraId="29A5D090" w14:textId="6189DA46" w:rsidR="004A5C8B" w:rsidRDefault="00000000" w:rsidP="004247B8">
      <w:pPr>
        <w:spacing w:after="0" w:line="360" w:lineRule="auto"/>
        <w:ind w:firstLine="432"/>
        <w:jc w:val="both"/>
      </w:pPr>
      <w:r>
        <w:t>Moringa leaves (</w:t>
      </w:r>
      <w:r w:rsidRPr="00D93D7C">
        <w:rPr>
          <w:i/>
          <w:iCs/>
        </w:rPr>
        <w:t>Moringa oleifera</w:t>
      </w:r>
      <w:r>
        <w:t xml:space="preserve">) also have strong potential as feed ingredients and functional additives because they contain protein, vitamins, minerals, flavonoids, phenolics, and natural antioxidants. Studies on Nile tilapia show that moringa extracts or moringa-based ingredients at appropriate levels can improve growth, feed utilization, hematological status, innate immunity, and resistance to bacterial infection. However, unprocessed moringa leaf meal may contain fiber and secondary metabolites that limit digestibility when included at high levels. Evaluation of inclusion level, processing method, and ingredient combination remains necessary </w:t>
      </w:r>
      <w:r w:rsidR="006E4FB3">
        <w:fldChar w:fldCharType="begin"/>
      </w:r>
      <w:r w:rsidR="006E4FB3">
        <w:instrText xml:space="preserve"> ADDIN ZOTERO_ITEM CSL_CITATION {"citationID":"YiDd2EPZ","properties":{"unsorted":false,"formattedCitation":"(Hussain et al., 2024; Kamble et al., 2024; Saleh et al., 2025)","plainCitation":"(Hussain et al., 2024; Kamble et al., 2024; Saleh et al., 2025)","noteIndex":0},"citationItems":[{"id":554,"uris":["http://zotero.org/users/7102179/items/QQ88EEWA"],"itemData":{"id":554,"type":"article-journal","container-title":"Heliyon","DOI":"10.1016/j.heliyon.2024.e26573","ISSN":"2405-8440","issue":"4","journalAbbreviation":"Heliyon","language":"English","PMID":"38434023","publisher":"Elsevier","source":"www.cell.com","title":"Substitution of fishmeal: Highlights of potential plant protein sources for aquaculture sustainability","title-short":"Substitution of fishmeal","URL":"https://www.cell.com/heliyon/abstract/S2405-8440(24)02604-5","volume":"10","author":[{"family":"Hussain","given":"Syed Makhdoom"},{"family":"Bano","given":"Aumme Adeeba"},{"family":"Ali","given":"Shafaqat"},{"family":"Rizwan","given":"Muhammad"},{"family":"Adrees","given":"Muhammad"},{"family":"Zahoor","given":"Ameer Fawad"},{"family":"Sarker","given":"Pallab K."},{"family":"Hussain","given":"Majid"},{"family":"Arsalan","given":"Muhammad Zubair-ul-Hassan"},{"family":"Yong","given":"Jean Wan Hong"},{"family":"Naeem","given":"Adan"}],"accessed":{"date-parts":[["2026",6,21]]},"issued":{"date-parts":[["2024",2,29]]}}},{"id":559,"uris":["http://zotero.org/users/7102179/items/KFA6KMMA"],"itemData":{"id":559,"type":"article-journal","abstract":"The present study aimed to investigate the effects of Moringa oleifera leaf (MLE) extract-supplemented diets on the growth, feed utilization, hematology, innate immune response, and disease resistance of Nile tilapia against Streptococcus agalactiae Biotype 2. Four hundred and fifty Nile tilapia (32.61 ± 0.2 g/fish) were randomly allocated into fifteen tanks (30 fish/tank). Different concentrations of MLE at 0%, 0.5%, 1%, 1.5%, and 2% were fed to the Nile tilapia for 30 days, and the growth, feed utilization, hematology, and innate immune response of the Nile tilapia were determined. After the feeding trial, the Nile tilapia were challenged with a S. agalactiae Biotype 2 infection, and the relative percentage of survival (RPS) was determined. Results revealed the presence of quercetin, kaempferol, and p-coumaric acid in the MLE extract, exhibiting stronger antimicrobial activity against S. agalactiae Biotype 2. The diets supplemented with the MLE-0.5 group showed a significantly higher growth, feed utilization, hematology, and innate immune response in the Nile tilapia compared to the control and other MLE groups. Additionally, the MLE-0.5 group exhibited a significantly higher RPS of the Nile tilapia against S. agalactiae Biotype 2. Therefore, MLE-0.5 can be employed as an alternative feed supplement in sustainable Nile tilapia farming to protect against S. agalactiae Biotype 2.","container-title":"Animals","DOI":"10.3390/ani14060953","ISSN":"2076-2615","issue":"6","language":"en","license":"http://creativecommons.org/licenses/by/3.0/","page":"953","publisher":"Multidisciplinary Digital Publishing Institute","source":"www.mdpi.com","title":"Effect of Moringa oleifera Leaf Extract on the Growth Performance, Hematology, Innate Immunity, and Disease Resistance of Nile Tilapia (Oreochromis niloticus) against Streptococcus agalactiae Biotype 2","volume":"14","author":[{"family":"Kamble","given":"Manoj Tukaram"},{"family":"Gallardo","given":"Wenresti"},{"family":"Salin","given":"Krishna Rugmini"},{"family":"Pumpuang","given":"Suntree"},{"family":"Chavan","given":"Balasaheb Ramdas"},{"family":"Bhujel","given":"Ram Chandra"},{"family":"Medhe","given":"Seema Vijay"},{"family":"Kettawan","given":"Aikkarach"},{"family":"Thompson","given":"Kim D."},{"family":"Pirarat","given":"Nopadon"}],"issued":{"date-parts":[["2024",1]]}}},{"id":569,"uris":["http://zotero.org/users/7102179/items/BLECHUTC"],"itemData":{"id":569,"type":"article-journal","abstract":"This comprehensive review examines the versatile applications and effects of Moringa oleifera across multiple fish species in aquaculture systems amid growing challenges of rising feed costs and antimicrobial resistance. M. oleifera, commonly called the Miracle tree, contains an exceptional nutritional profile with high protein content (22.99–29.36% dry weight), complete profiles of essential amino acids, and remarkably elevated levels of vitamins and minerals. Its bioactive profile includes substantial quantities of polyphenols, flavonoids, alkaloids (niazimicin, niaziminin, β-sitosterol), and glucosinolates that collectively enhance fish health and performance. Recent studies across multiple fish species demonstrate variable optimal inclusion rates (5–30%) with specific growth rates increasing 15–35% and feed conversion ratios improving 10–25% compared to controls. Physiological benefits include enhanced digestive enzyme activity, improved liver and kidney functions, and reduced cortisol levels during environmental stress. Immunologically, M. oleifera supplementation significantly increases lysozyme activity, complement C3, total IgM levels, and pro-inflammatory cytokine expression (TNFα, IL1-β, IL-6), strengthening resistance against major aquaculture pathogens including Aeromonas hydrophila, Pseudomonas aeruginosa, and Vibrio species. Challenge studies demonstrate relative percent survival improvements ranging from 48 to 73% against virulent pathogens. Haematological improvements include increased erythrocyte counts, higher haemoglobin levels at moderate inclusion rates, and beneficial effects on glucose metabolism and lipid profiles. Moringa seeds are highly effective natural water clarifiers, removing 95–99% of turbidity through cationic proteins that act as coagulants. However, their antinutritional compounds (tannins, phytates, saponins, oxalates) can harm fish at elevated levels, requiring careful dosage monitoring in aquaculture applications. This review synthesizes current evidence, identifies optimal application strategies, and provides direction for future research to maximize Moringa’s potential as a sustainable, cost-effective resource for enhancing productivity, fish health, and environmental sustainability in modern aquaculture systems.","container-title":"Veterinary Research Communications","DOI":"10.1007/s11259-025-10889-4","ISSN":"1573-7446","issue":"6","journalAbbreviation":"Vet Res Commun","language":"en","page":"308","source":"Springer Link","title":"The role of Moringa oleifera in enhancing fish performance and health: a comprehensive review of sustainable aquaculture applications","title-short":"The role of Moringa oleifera in enhancing fish performance and health","volume":"49","author":[{"family":"Saleh","given":"Sohair Y."},{"family":"Younis","given":"Nehal A."},{"family":"Sherif","given":"Ahmed H."},{"family":"Gaber","given":"Howyda G."}],"issued":{"date-parts":[["2025",9,10]]}}}],"schema":"https://github.com/citation-style-language/schema/raw/master/csl-citation.json"} </w:instrText>
      </w:r>
      <w:r w:rsidR="006E4FB3">
        <w:fldChar w:fldCharType="separate"/>
      </w:r>
      <w:r w:rsidR="006E4FB3" w:rsidRPr="006E4FB3">
        <w:t>(Hussain et al. 2024; Kamble et al. 2024; Saleh et al. 2025)</w:t>
      </w:r>
      <w:r w:rsidR="006E4FB3">
        <w:fldChar w:fldCharType="end"/>
      </w:r>
      <w:r>
        <w:t>.</w:t>
      </w:r>
    </w:p>
    <w:p w14:paraId="593EFC0D" w14:textId="1D307A0B" w:rsidR="004A5C8B" w:rsidRDefault="00000000" w:rsidP="004247B8">
      <w:pPr>
        <w:spacing w:after="0" w:line="360" w:lineRule="auto"/>
        <w:ind w:firstLine="432"/>
        <w:jc w:val="both"/>
      </w:pPr>
      <w:r>
        <w:t xml:space="preserve">The novelty of this study lies in its integrated evaluation of </w:t>
      </w:r>
      <w:r w:rsidRPr="005F0C93">
        <w:rPr>
          <w:i/>
          <w:iCs/>
        </w:rPr>
        <w:t>G. verrucosa</w:t>
      </w:r>
      <w:r>
        <w:t xml:space="preserve"> seaweed meal and </w:t>
      </w:r>
      <w:r w:rsidRPr="005F0C93">
        <w:rPr>
          <w:i/>
          <w:iCs/>
        </w:rPr>
        <w:t>M. oleifera</w:t>
      </w:r>
      <w:r>
        <w:t xml:space="preserve"> leaf meal in diets for saline Nile tilapia. The evaluation was not limited to growth, but also included protein digestibility, total digestibility, intestinal histology, blood profile, intestine somatic index, and hepatosomatic index. This approach is relevant </w:t>
      </w:r>
      <w:r w:rsidR="004247B8">
        <w:t>to an international readership because it addresses a global issue in sustainable feed formulation using</w:t>
      </w:r>
      <w:r>
        <w:t xml:space="preserve"> local resources while considering fish physiological responses under brackish conditions. This study also provides a scientific basis for determining whether two locally available functional ingredients are more effective when used individually or in combination in saline tilapia diets </w:t>
      </w:r>
      <w:r w:rsidR="006E4FB3">
        <w:fldChar w:fldCharType="begin"/>
      </w:r>
      <w:r w:rsidR="006E4FB3">
        <w:instrText xml:space="preserve"> ADDIN ZOTERO_ITEM CSL_CITATION {"citationID":"WpP3IIbp","properties":{"unsorted":true,"formattedCitation":"(Silva et al., 2015; Naylor et al., 2021; Hussain et al., 2024)","plainCitation":"(Silva et al., 2015; Naylor et al., 2021; Hussain et al., 2024)","noteIndex":0},"citationItems":[{"id":575,"uris":["http://zotero.org/users/7102179/items/AD7P3GY3"],"itemData":{"id":575,"type":"article-journal","abstract":"The present study evaluated the effects of the inclusion of three seaweeds, Gracilaria vermiculophylla (GRA), Porphyra dioica (POR), and Ulva spp. (ULV), as dietary ingredients for Nile tilapia (Oreochromis niloticus) juveniles, on the growth performance, body composition, and gut histology. Three experimental diets (GRA, POR, and ULV) were formulated to replace 10 % of whole diet by each of the three seaweeds. A control diet (CTRL) was used, without inclusion of any seaweed. Diets were fed to triplicate groups of 25 Nile tilapia juveniles, with an average body weight (ABW) of 12.1 g, in an 84-day trial. At the end of the trial, growth performance was significantly reduced (P &lt; 0.05) in fish fed the GRA diet, whereas the feed conversion ratio increased significantly in those fish. None of the treatments caused adverse effects on body composition. The inclusion of the three seaweeds in the diet led to evident changes in the fish digestive system morphology with significant reduction of villi length on GRA diet. The results obtained in this study suggest the usefulness of P. dioica and Ulva spp. to partially replace fishmeal in practical diets for tilapia juveniles up to 10 %, as no negative consequences on growth performance or body composition were observed. However, the inclusion of 10 % G. vermiculophylla seems to have a negative effect in diet palatability, reducing fish feed intake and growth performance.","container-title":"Journal of Applied Phycology","DOI":"10.1007/s10811-014-0453-9","ISSN":"1573-5176","issue":"4","journalAbbreviation":"J Appl Phycol","language":"en","page":"1671-1680","source":"Springer Link","title":"Evaluation of IMTA-produced seaweeds (Gracilaria, Porphyra, and Ulva) as dietary ingredients in Nile tilapia, Oreochromis niloticus L., juveniles. Effects on growth performance and gut histology","volume":"27","author":[{"family":"Silva","given":"D. M."},{"family":"Valente","given":"L. M. P."},{"family":"Sousa-Pinto","given":"I."},{"family":"Pereira","given":"R."},{"family":"Pires","given":"M. A."},{"family":"Seixas","given":"F."},{"family":"Rema","given":"P."}],"issued":{"date-parts":[["2015",8,1]]}}},{"id":568,"uris":["http://zotero.org/users/7102179/items/UZMSF6VT"],"itemData":{"id":568,"type":"article-journal","abstract":"The sustainability of aquaculture has been debated intensely since 2000, when a review on the net contribution of aquaculture to world fish supplies was published in Nature. This paper reviews the developments in global aquaculture from 1997 to 2017, incorporating all industry sub-sectors and highlighting the integration of aquaculture in the global food system. Inland aquaculture—especially in Asia—has contributed the most to global production volumes and food security. Major gains have also occurred in aquaculture feed efficiency and fish nutrition, lowering the fish-in–fish-out ratio for all fed species, although the dependence on marine ingredients persists and reliance on terrestrial ingredients has increased. The culture of both molluscs and seaweed is increasingly recognized for its ecosystem services; however, the quantification, valuation, and market development of these services remain rare. The potential for molluscs and seaweed to support global nutritional security is underexploited. Management of pathogens, parasites, and pests remains a sustainability challenge industry-wide, and the effects of climate change on aquaculture remain uncertain and difficult to validate. Pressure on the aquaculture industry to embrace comprehensive sustainability measures during this 20-year period have improved the governance, technology, siting, and management in many cases.","container-title":"Nature","DOI":"10.1038/s41586-021-03308-6","ISSN":"1476-4687","issue":"7851","language":"en","license":"2021 Springer Nature Limited","page":"551-563","publisher":"Nature Publishing Group","source":"www.nature.com","title":"A 20-year retrospective review of global aquaculture","volume":"591","author":[{"family":"Naylor","given":"Rosamond L."},{"family":"Hardy","given":"Ronald W."},{"family":"Buschmann","given":"Alejandro H."},{"family":"Bush","given":"Simon R."},{"family":"Cao","given":"Ling"},{"family":"Klinger","given":"Dane H."},{"family":"Little","given":"David C."},{"family":"Lubchenco","given":"Jane"},{"family":"Shumway","given":"Sandra E."},{"family":"Troell","given":"Max"}],"issued":{"date-parts":[["2021",3]]}}},{"id":554,"uris":["http://zotero.org/users/7102179/items/QQ88EEWA"],"itemData":{"id":554,"type":"article-journal","container-title":"Heliyon","DOI":"10.1016/j.heliyon.2024.e26573","ISSN":"2405-8440","issue":"4","journalAbbreviation":"Heliyon","language":"English","PMID":"38434023","publisher":"Elsevier","source":"www.cell.com","title":"Substitution of fishmeal: Highlights of potential plant protein sources for aquaculture sustainability","title-short":"Substitution of fishmeal","URL":"https://www.cell.com/heliyon/abstract/S2405-8440(24)02604-5","volume":"10","author":[{"family":"Hussain","given":"Syed Makhdoom"},{"family":"Bano","given":"Aumme Adeeba"},{"family":"Ali","given":"Shafaqat"},{"family":"Rizwan","given":"Muhammad"},{"family":"Adrees","given":"Muhammad"},{"family":"Zahoor","given":"Ameer Fawad"},{"family":"Sarker","given":"Pallab K."},{"family":"Hussain","given":"Majid"},{"family":"Arsalan","given":"Muhammad Zubair-ul-Hassan"},{"family":"Yong","given":"Jean Wan Hong"},{"family":"Naeem","given":"Adan"}],"accessed":{"date-parts":[["2026",6,21]]},"issued":{"date-parts":[["2024",2,29]]}}}],"schema":"https://github.com/citation-style-language/schema/raw/master/csl-citation.json"} </w:instrText>
      </w:r>
      <w:r w:rsidR="006E4FB3">
        <w:fldChar w:fldCharType="separate"/>
      </w:r>
      <w:r w:rsidR="006E4FB3" w:rsidRPr="006E4FB3">
        <w:t>(Silva et al. 2015; Naylor et al. 2021; Hussain et al. 2024)</w:t>
      </w:r>
      <w:r w:rsidR="006E4FB3">
        <w:fldChar w:fldCharType="end"/>
      </w:r>
      <w:r>
        <w:t>.</w:t>
      </w:r>
    </w:p>
    <w:p w14:paraId="60587376" w14:textId="77777777" w:rsidR="004A5C8B" w:rsidRDefault="00000000" w:rsidP="004247B8">
      <w:pPr>
        <w:spacing w:before="200" w:after="120" w:line="360" w:lineRule="auto"/>
        <w:jc w:val="both"/>
      </w:pPr>
      <w:r>
        <w:rPr>
          <w:b/>
        </w:rPr>
        <w:t>MATERIALS AND METHODS</w:t>
      </w:r>
    </w:p>
    <w:p w14:paraId="3C524F8F" w14:textId="77777777" w:rsidR="004A5C8B" w:rsidRDefault="00000000" w:rsidP="004247B8">
      <w:pPr>
        <w:spacing w:before="120" w:after="120" w:line="360" w:lineRule="auto"/>
        <w:jc w:val="both"/>
      </w:pPr>
      <w:r>
        <w:rPr>
          <w:b/>
        </w:rPr>
        <w:t>Bioethical statement</w:t>
      </w:r>
    </w:p>
    <w:p w14:paraId="3CC2E4AF" w14:textId="77777777" w:rsidR="004A5C8B" w:rsidRDefault="00000000" w:rsidP="004247B8">
      <w:pPr>
        <w:spacing w:after="120" w:line="360" w:lineRule="auto"/>
        <w:ind w:firstLine="432"/>
        <w:jc w:val="both"/>
      </w:pPr>
      <w:r>
        <w:t>The animal-use protocol was approved by the Ethical Committee Research of the Institution of Research and Community Service, Halu Oleo University, Kendari, Indonesia (approval No. 1421/UN29.20.1.2/PG/2025; approved on July 7, 2025). The approval was issued for the research protocol entitled "Combination of Seaweed Flour (</w:t>
      </w:r>
      <w:r w:rsidRPr="00D93D7C">
        <w:rPr>
          <w:i/>
          <w:iCs/>
        </w:rPr>
        <w:t>Gracilaria verrucosa</w:t>
      </w:r>
      <w:r>
        <w:t>) and Moringa Leaf Flour (</w:t>
      </w:r>
      <w:r w:rsidRPr="00D93D7C">
        <w:rPr>
          <w:i/>
          <w:iCs/>
        </w:rPr>
        <w:t>Moringa oleifera</w:t>
      </w:r>
      <w:r>
        <w:t>) in Feed on Digestibility Level, Intestinal Histology, Blood Picture, and Growth of Tilapia (</w:t>
      </w:r>
      <w:r w:rsidRPr="00795AE3">
        <w:rPr>
          <w:i/>
          <w:iCs/>
        </w:rPr>
        <w:t>Oreochromis niloticus</w:t>
      </w:r>
      <w:r>
        <w:t>)." Fish handling was conducted to minimize stress during acclimation, feeding, sampling, and blood collection.</w:t>
      </w:r>
    </w:p>
    <w:p w14:paraId="1BCBEF35" w14:textId="4D0D641D" w:rsidR="004A5C8B" w:rsidRDefault="00000000" w:rsidP="004247B8">
      <w:pPr>
        <w:spacing w:before="120" w:after="120" w:line="360" w:lineRule="auto"/>
        <w:jc w:val="both"/>
      </w:pPr>
      <w:r>
        <w:rPr>
          <w:b/>
        </w:rPr>
        <w:t>Study time and location</w:t>
      </w:r>
    </w:p>
    <w:p w14:paraId="79A491BA" w14:textId="4D037152" w:rsidR="004A5C8B" w:rsidRDefault="00000000" w:rsidP="004247B8">
      <w:pPr>
        <w:spacing w:after="120" w:line="360" w:lineRule="auto"/>
        <w:ind w:firstLine="432"/>
        <w:jc w:val="both"/>
      </w:pPr>
      <w:r>
        <w:t xml:space="preserve">The study was conducted from April to July 2025 at the Laboratory of Aquaculture, Hatchery, and Fisheries Production, Faculty of Fisheries and Marine Sciences, Halu Oleo </w:t>
      </w:r>
      <w:r>
        <w:lastRenderedPageBreak/>
        <w:t xml:space="preserve">University, Kendari, Southeast Sulawesi, Indonesia. Proximate analysis and chromium analysis of feed and feces were conducted at the Fish Nutrition Laboratory, Department of Aquaculture, Faculty of Fisheries and Marine Sciences, IPB University, Bogor, Indonesia. Intestinal histology was examined at the Center for Veterinary Assembly and Modernization, Bogor, Indonesia. Blood profile analysis was performed at the Laboratory of Aquaculture, Hatchery, and Fisheries Production, Halu Oleo University. The use of several laboratories ensured that nutrient, digestibility, histological, and hematological indicators were measured using procedures appropriate for fish nutrition studies </w:t>
      </w:r>
      <w:r w:rsidR="006E4FB3">
        <w:fldChar w:fldCharType="begin"/>
      </w:r>
      <w:r w:rsidR="006E4FB3">
        <w:instrText xml:space="preserve"> ADDIN ZOTERO_ITEM CSL_CITATION {"citationID":"LKW3xSxn","properties":{"unsorted":true,"formattedCitation":"(Mmanda et al., 2020; Kamble et al., 2024)","plainCitation":"(Mmanda et al., 2020; Kamble et al., 2024)","noteIndex":0},"citationItems":[{"id":564,"uris":["http://zotero.org/users/7102179/items/IY2N6RMT"],"itemData":{"id":564,"type":"article-journal","abstract":"Eight locally available protein source ingredients in Tanzania were selected for assessment of apparent digestibility (AD) in tilapia Oreochromis niloticus, using faeces samples collected by siphoning or stripping. The selected protein source ingredients were Lake Victoria sardines (FM), brewers spent yeast (BSY), moringa leaves (ML), freshwater shrimp (FSH), marine shrimp (MSH), cattle blood (CB), duckweed (DW) and fish frames (FF). The AD (%) of dry matter (DM), organic matter (OM) and crude protein (CP) was unaffected (p &gt; 0.782–0.901) by the faeces collection method (i.e., siphoning or stripping), with correlation coefficient (r) of 0.98, 0.99 and 0.93 between AD values for DM, OM and CP, respectively, following siphoning and stripping. The AD (%) of DM, OM, CP and gross energy (GE) in the test ingredients differed (p &lt; 0.0001). The AD (%) of DM and OM was lowest in BSY and DW, followed in increasing order by ML, MSH, FF, FSH and CB. In general, the AD (%) of CP was high (&gt;76%), but with a low value (46%) for DW. The AD (%) of GE was closely correlated (r = 0.96) with the AD of OM. In conclusion, FSH, MSH, CB, FF, BSY and ML have acceptable protein digestibility to be used in tilapia diet formulation.","container-title":"Fishes","DOI":"10.3390/fishes5040032","ISSN":"2410-3888","issue":"4","language":"en","license":"http://creativecommons.org/licenses/by/3.0/","page":"32","publisher":"Multidisciplinary Digital Publishing Institute","source":"www.mdpi.com","title":"Digestibility of Local Feed Ingredients in Tilapia Oreochromis niloticus Juveniles, Determined on Faeces Collected by Siphoning or Stripping","volume":"5","author":[{"family":"Mmanda","given":"Francis Pius"},{"family":"Lindberg","given":"Jan Erik"},{"family":"Norman Haldén","given":"Anna"},{"family":"Mtolera","given":"Matern S. P."},{"family":"Kitula","given":"Rukia"},{"family":"Lundh","given":"Torbjörn"}],"issued":{"date-parts":[["2020",12]]}}},{"id":559,"uris":["http://zotero.org/users/7102179/items/KFA6KMMA"],"itemData":{"id":559,"type":"article-journal","abstract":"The present study aimed to investigate the effects of Moringa oleifera leaf (MLE) extract-supplemented diets on the growth, feed utilization, hematology, innate immune response, and disease resistance of Nile tilapia against Streptococcus agalactiae Biotype 2. Four hundred and fifty Nile tilapia (32.61 ± 0.2 g/fish) were randomly allocated into fifteen tanks (30 fish/tank). Different concentrations of MLE at 0%, 0.5%, 1%, 1.5%, and 2% were fed to the Nile tilapia for 30 days, and the growth, feed utilization, hematology, and innate immune response of the Nile tilapia were determined. After the feeding trial, the Nile tilapia were challenged with a S. agalactiae Biotype 2 infection, and the relative percentage of survival (RPS) was determined. Results revealed the presence of quercetin, kaempferol, and p-coumaric acid in the MLE extract, exhibiting stronger antimicrobial activity against S. agalactiae Biotype 2. The diets supplemented with the MLE-0.5 group showed a significantly higher growth, feed utilization, hematology, and innate immune response in the Nile tilapia compared to the control and other MLE groups. Additionally, the MLE-0.5 group exhibited a significantly higher RPS of the Nile tilapia against S. agalactiae Biotype 2. Therefore, MLE-0.5 can be employed as an alternative feed supplement in sustainable Nile tilapia farming to protect against S. agalactiae Biotype 2.","container-title":"Animals","DOI":"10.3390/ani14060953","ISSN":"2076-2615","issue":"6","language":"en","license":"http://creativecommons.org/licenses/by/3.0/","page":"953","publisher":"Multidisciplinary Digital Publishing Institute","source":"www.mdpi.com","title":"Effect of Moringa oleifera Leaf Extract on the Growth Performance, Hematology, Innate Immunity, and Disease Resistance of Nile Tilapia (Oreochromis niloticus) against Streptococcus agalactiae Biotype 2","volume":"14","author":[{"family":"Kamble","given":"Manoj Tukaram"},{"family":"Gallardo","given":"Wenresti"},{"family":"Salin","given":"Krishna Rugmini"},{"family":"Pumpuang","given":"Suntree"},{"family":"Chavan","given":"Balasaheb Ramdas"},{"family":"Bhujel","given":"Ram Chandra"},{"family":"Medhe","given":"Seema Vijay"},{"family":"Kettawan","given":"Aikkarach"},{"family":"Thompson","given":"Kim D."},{"family":"Pirarat","given":"Nopadon"}],"issued":{"date-parts":[["2024",1]]}}}],"schema":"https://github.com/citation-style-language/schema/raw/master/csl-citation.json"} </w:instrText>
      </w:r>
      <w:r w:rsidR="006E4FB3">
        <w:fldChar w:fldCharType="separate"/>
      </w:r>
      <w:r w:rsidR="006E4FB3" w:rsidRPr="006E4FB3">
        <w:t>(Mmanda et al. 2020; Kamble et al. 2024)</w:t>
      </w:r>
      <w:r w:rsidR="006E4FB3">
        <w:fldChar w:fldCharType="end"/>
      </w:r>
      <w:r w:rsidR="006E4FB3">
        <w:t>.</w:t>
      </w:r>
    </w:p>
    <w:p w14:paraId="397785BB" w14:textId="77777777" w:rsidR="004A5C8B" w:rsidRDefault="00000000" w:rsidP="004247B8">
      <w:pPr>
        <w:spacing w:before="120" w:after="120" w:line="360" w:lineRule="auto"/>
        <w:jc w:val="both"/>
      </w:pPr>
      <w:r>
        <w:rPr>
          <w:b/>
        </w:rPr>
        <w:t>Experimental design</w:t>
      </w:r>
    </w:p>
    <w:p w14:paraId="395225D5" w14:textId="77777777" w:rsidR="004A5C8B" w:rsidRDefault="00000000" w:rsidP="004247B8">
      <w:pPr>
        <w:spacing w:after="120" w:line="360" w:lineRule="auto"/>
        <w:ind w:firstLine="432"/>
        <w:jc w:val="both"/>
      </w:pPr>
      <w:r>
        <w:t>The study used a completely randomized design with four dietary treatments and three replicates. The treatments were A: 5% moringa leaf meal + 5% seaweed meal; B: 10% seaweed meal + 0% moringa leaf meal; C: 0% seaweed meal + 10% moringa leaf meal; and D: commercial feed as a practical control. This design was used to compare the effects of alternative ingredients, used individually and in combination, on nutritional and physiological responses of saline Nile tilapia.</w:t>
      </w:r>
    </w:p>
    <w:p w14:paraId="1F82407C" w14:textId="77777777" w:rsidR="004A5C8B" w:rsidRDefault="00000000" w:rsidP="004247B8">
      <w:pPr>
        <w:spacing w:before="120" w:after="120" w:line="360" w:lineRule="auto"/>
        <w:jc w:val="both"/>
      </w:pPr>
      <w:r>
        <w:rPr>
          <w:b/>
        </w:rPr>
        <w:t>Diet formulation and preparation</w:t>
      </w:r>
    </w:p>
    <w:p w14:paraId="62F0A24C" w14:textId="071A4099" w:rsidR="004A5C8B" w:rsidRDefault="00000000" w:rsidP="004247B8">
      <w:pPr>
        <w:spacing w:after="120" w:line="360" w:lineRule="auto"/>
        <w:ind w:firstLine="432"/>
        <w:jc w:val="both"/>
      </w:pPr>
      <w:r>
        <w:t xml:space="preserve">The experimental diets were prepared as pellets using scad fish meal, shrimp head meal, soybean meal, </w:t>
      </w:r>
      <w:r w:rsidRPr="005F0C93">
        <w:rPr>
          <w:i/>
          <w:iCs/>
        </w:rPr>
        <w:t>G. verrucosa</w:t>
      </w:r>
      <w:r>
        <w:t xml:space="preserve"> seaweed meal, </w:t>
      </w:r>
      <w:r w:rsidRPr="005F0C93">
        <w:rPr>
          <w:i/>
          <w:iCs/>
        </w:rPr>
        <w:t>M. oleifera</w:t>
      </w:r>
      <w:r>
        <w:t xml:space="preserve"> leaf meal, corn meal, rice bran, sago flour, tapioca flour, fish oil, squid oil, corn oil, and premix. All ingredients were ground, weighed according to the formulation, and mixed gradually from the smallest to the largest inclusion level until homogeneous. The mixture was pelleted according to fish mouth size, dried using an oven and sunlight, and stored in closed plastic containers. Feed preparation was carried out to maintain ingredient homogeneity and reduce nutrient variation among feed units, as emphasized in the evaluation of alternative feed ingredients for fish </w:t>
      </w:r>
      <w:r w:rsidR="006E4FB3">
        <w:fldChar w:fldCharType="begin"/>
      </w:r>
      <w:r w:rsidR="006E4FB3">
        <w:instrText xml:space="preserve"> ADDIN ZOTERO_ITEM CSL_CITATION {"citationID":"KAxmE7W9","properties":{"unsorted":true,"formattedCitation":"(Mmanda et al., 2020; Hussain et al., 2024)","plainCitation":"(Mmanda et al., 2020; Hussain et al., 2024)","noteIndex":0},"citationItems":[{"id":564,"uris":["http://zotero.org/users/7102179/items/IY2N6RMT"],"itemData":{"id":564,"type":"article-journal","abstract":"Eight locally available protein source ingredients in Tanzania were selected for assessment of apparent digestibility (AD) in tilapia Oreochromis niloticus, using faeces samples collected by siphoning or stripping. The selected protein source ingredients were Lake Victoria sardines (FM), brewers spent yeast (BSY), moringa leaves (ML), freshwater shrimp (FSH), marine shrimp (MSH), cattle blood (CB), duckweed (DW) and fish frames (FF). The AD (%) of dry matter (DM), organic matter (OM) and crude protein (CP) was unaffected (p &gt; 0.782–0.901) by the faeces collection method (i.e., siphoning or stripping), with correlation coefficient (r) of 0.98, 0.99 and 0.93 between AD values for DM, OM and CP, respectively, following siphoning and stripping. The AD (%) of DM, OM, CP and gross energy (GE) in the test ingredients differed (p &lt; 0.0001). The AD (%) of DM and OM was lowest in BSY and DW, followed in increasing order by ML, MSH, FF, FSH and CB. In general, the AD (%) of CP was high (&gt;76%), but with a low value (46%) for DW. The AD (%) of GE was closely correlated (r = 0.96) with the AD of OM. In conclusion, FSH, MSH, CB, FF, BSY and ML have acceptable protein digestibility to be used in tilapia diet formulation.","container-title":"Fishes","DOI":"10.3390/fishes5040032","ISSN":"2410-3888","issue":"4","language":"en","license":"http://creativecommons.org/licenses/by/3.0/","page":"32","publisher":"Multidisciplinary Digital Publishing Institute","source":"www.mdpi.com","title":"Digestibility of Local Feed Ingredients in Tilapia Oreochromis niloticus Juveniles, Determined on Faeces Collected by Siphoning or Stripping","volume":"5","author":[{"family":"Mmanda","given":"Francis Pius"},{"family":"Lindberg","given":"Jan Erik"},{"family":"Norman Haldén","given":"Anna"},{"family":"Mtolera","given":"Matern S. P."},{"family":"Kitula","given":"Rukia"},{"family":"Lundh","given":"Torbjörn"}],"issued":{"date-parts":[["2020",12]]}}},{"id":554,"uris":["http://zotero.org/users/7102179/items/QQ88EEWA"],"itemData":{"id":554,"type":"article-journal","container-title":"Heliyon","DOI":"10.1016/j.heliyon.2024.e26573","ISSN":"2405-8440","issue":"4","journalAbbreviation":"Heliyon","language":"English","PMID":"38434023","publisher":"Elsevier","source":"www.cell.com","title":"Substitution of fishmeal: Highlights of potential plant protein sources for aquaculture sustainability","title-short":"Substitution of fishmeal","URL":"https://www.cell.com/heliyon/abstract/S2405-8440(24)02604-5","volume":"10","author":[{"family":"Hussain","given":"Syed Makhdoom"},{"family":"Bano","given":"Aumme Adeeba"},{"family":"Ali","given":"Shafaqat"},{"family":"Rizwan","given":"Muhammad"},{"family":"Adrees","given":"Muhammad"},{"family":"Zahoor","given":"Ameer Fawad"},{"family":"Sarker","given":"Pallab K."},{"family":"Hussain","given":"Majid"},{"family":"Arsalan","given":"Muhammad Zubair-ul-Hassan"},{"family":"Yong","given":"Jean Wan Hong"},{"family":"Naeem","given":"Adan"}],"accessed":{"date-parts":[["2026",6,21]]},"issued":{"date-parts":[["2024",2,29]]}}}],"schema":"https://github.com/citation-style-language/schema/raw/master/csl-citation.json"} </w:instrText>
      </w:r>
      <w:r w:rsidR="006E4FB3">
        <w:fldChar w:fldCharType="separate"/>
      </w:r>
      <w:r w:rsidR="006E4FB3" w:rsidRPr="006E4FB3">
        <w:t>(Mmanda et al. 2020; Hussain et al. 2024)</w:t>
      </w:r>
      <w:r w:rsidR="006E4FB3">
        <w:fldChar w:fldCharType="end"/>
      </w:r>
      <w:r>
        <w:t>.</w:t>
      </w:r>
    </w:p>
    <w:p w14:paraId="448F21DD" w14:textId="77777777" w:rsidR="004A5C8B" w:rsidRDefault="00000000" w:rsidP="004247B8">
      <w:pPr>
        <w:spacing w:before="120" w:after="120" w:line="360" w:lineRule="auto"/>
        <w:jc w:val="both"/>
      </w:pPr>
      <w:r>
        <w:rPr>
          <w:b/>
        </w:rPr>
        <w:t>Rearing units and test fish</w:t>
      </w:r>
    </w:p>
    <w:p w14:paraId="4212F679" w14:textId="5C29C61B" w:rsidR="004A5C8B" w:rsidRDefault="00000000" w:rsidP="004247B8">
      <w:pPr>
        <w:spacing w:after="120" w:line="360" w:lineRule="auto"/>
        <w:ind w:firstLine="432"/>
        <w:jc w:val="both"/>
      </w:pPr>
      <w:r>
        <w:t xml:space="preserve">The rearing units consisted of 12 container boxes measuring 60 x 40 x 40 cm. Each container was washed, dried, filled with water, and equipped with aeration. The test fish were saline Nile tilapia O. niloticus with an initial average body weight of 4.26 ± 0.87 g per fish, obtained from a community hatchery unit in Kendari City. Fish were acclimated for 15 days. Salinity was increased gradually by 1 ppt per day until it reached 15 ppt. Gradual acclimation </w:t>
      </w:r>
      <w:r>
        <w:lastRenderedPageBreak/>
        <w:t xml:space="preserve">is important because salinity change affects osmoregulation, feed intake, and energy efficiency in tilapia </w:t>
      </w:r>
      <w:r w:rsidR="006E4FB3">
        <w:fldChar w:fldCharType="begin"/>
      </w:r>
      <w:r w:rsidR="006E4FB3">
        <w:instrText xml:space="preserve"> ADDIN ZOTERO_ITEM CSL_CITATION {"citationID":"nm8tywmm","properties":{"unsorted":false,"formattedCitation":"(Thomas et al., 2021)","plainCitation":"(Thomas et al., 2021)","noteIndex":0},"citationItems":[{"id":576,"uris":["http://zotero.org/users/7102179/items/6U3IR74T"],"itemData":{"id":576,"type":"article-journal","abstract":"This study was carried out to find suitable salinity for the best growth performance and survival of Nile tilapia (Oreochromis niloticus) with spinach (Spinacia oleracea) in an aquaponic system. The experimental design consisted of inland saline groundwater with salinities 3, 6 and 9 g L−1 as treatments and freshwater as control, carried out in 12 identical aquaponics units with fish stocked at a biomass 1.3 kg m−3 and plants at a density 40 m−2. Nile tilapia reared at salinities 9, 6 and 3 g L−1 showed significantly higher (p &lt; 0.05) feed efficiency ratio and protein efficiency ratio compared to freshwater. The feed conversion ratio of fish at salinities 9, 6 and 3 g L−1 ranged between 1.31–1.43 and significantly differed from control. Final mean biomass were statistically similar at 9 g L−1 (5 kg m−3), 6 g L−1 (4.92 kg m−3) and 3 g L−1 (4.68 kg m−3). Survival of O. niloticus was 100% in all the salinities tested. Spinach was harvested twice during the study, in the first harvest the yield was observed higher in freshwater followed by 3, 6 and 9 g L−1, but in the second harvest, the higher yield was observed in 9 g L−1 followed by 6 g L−1, 3 g L−1 and freshwater. Based on the overall production performance and water quality parameters, a salinity of 9 g L−1 was found to be the best for the integration of Nile tilapia and Spinach in an aquaponic system.","container-title":"Aquaculture Research","DOI":"10.1111/are.15492","ISSN":"1365-2109","issue":"12","language":"en","license":"© 2021 John Wiley &amp; Sons Ltd","note":"_eprint: https://onlinelibrary.wiley.com/doi/pdf/10.1111/are.15492","page":"6288-6298","source":"Wiley Online Library","title":"Effect of salinity on growth of Nile tilapia (Oreochromis niloticus) and spinach (Spinacia oleracea) in aquaponic system using inland saline groundwater","volume":"52","author":[{"family":"Thomas","given":"Ritty Maria"},{"family":"Verma","given":"Ajit Kumar"},{"family":"Krishna","given":"Hari"},{"family":"Prakash","given":"Satya"},{"family":"Kumar","given":"Ashok"},{"family":"Peter","given":"Roshan Maria"}],"issued":{"date-parts":[["2021"]]}}}],"schema":"https://github.com/citation-style-language/schema/raw/master/csl-citation.json"} </w:instrText>
      </w:r>
      <w:r w:rsidR="006E4FB3">
        <w:fldChar w:fldCharType="separate"/>
      </w:r>
      <w:r w:rsidR="006E4FB3" w:rsidRPr="006E4FB3">
        <w:t>(Thomas et al., 2021)</w:t>
      </w:r>
      <w:r w:rsidR="006E4FB3">
        <w:fldChar w:fldCharType="end"/>
      </w:r>
      <w:r>
        <w:t>.</w:t>
      </w:r>
    </w:p>
    <w:p w14:paraId="6C865BF7" w14:textId="77777777" w:rsidR="004A5C8B" w:rsidRDefault="00000000" w:rsidP="004247B8">
      <w:pPr>
        <w:spacing w:before="120" w:after="120" w:line="360" w:lineRule="auto"/>
        <w:jc w:val="both"/>
      </w:pPr>
      <w:r>
        <w:rPr>
          <w:b/>
        </w:rPr>
        <w:t>Fish rearing</w:t>
      </w:r>
    </w:p>
    <w:p w14:paraId="79831507" w14:textId="4B39E493" w:rsidR="004A5C8B" w:rsidRDefault="00000000" w:rsidP="004247B8">
      <w:pPr>
        <w:spacing w:after="120" w:line="360" w:lineRule="auto"/>
        <w:ind w:firstLine="432"/>
        <w:jc w:val="both"/>
      </w:pPr>
      <w:r>
        <w:t xml:space="preserve">After acclimation, fish were stocked into the 12 containers at a density of 10 fish per container. Fish were fasted for 24 hours before the feeding trial to reduce residual feed in the digestive tract. The rearing period lasted 45 days. Feed was provided twice daily at 08:00 and 16:00 Central Indonesia Time on an ad libitum basis. A 45-day feeding period </w:t>
      </w:r>
      <w:r w:rsidR="004247B8">
        <w:t>enabled observation of growth, digestibility, blood profile, and intestinal tissue responses within a single</w:t>
      </w:r>
      <w:r>
        <w:t xml:space="preserve"> cycle of functional feed evaluation (Kamble et al. 2024; Nassar et al. 2024).</w:t>
      </w:r>
    </w:p>
    <w:p w14:paraId="34CAA8F3" w14:textId="77777777" w:rsidR="004A5C8B" w:rsidRDefault="00000000" w:rsidP="004247B8">
      <w:pPr>
        <w:spacing w:before="120" w:after="120" w:line="360" w:lineRule="auto"/>
        <w:jc w:val="both"/>
      </w:pPr>
      <w:r>
        <w:rPr>
          <w:b/>
        </w:rPr>
        <w:t>Digestibility test</w:t>
      </w:r>
    </w:p>
    <w:p w14:paraId="5DC05269" w14:textId="79E46201" w:rsidR="004A5C8B" w:rsidRDefault="00000000" w:rsidP="004247B8">
      <w:pPr>
        <w:spacing w:after="120" w:line="360" w:lineRule="auto"/>
        <w:ind w:firstLine="432"/>
        <w:jc w:val="both"/>
      </w:pPr>
      <w:r>
        <w:t xml:space="preserve">Digestibility was evaluated by adding 0.5% chromium oxide (Cr2O3) to the feed as an inert marker. Fecal collection began after fish had consumed the experimental diets for three days. Feces were collected by siphoning approximately three to four hours after feeding, placed in bottles, frozen, and dried before proximate and Cr2O3 analyses. Protein digestibility and total digestibility were calculated using an indirect marker method, which is commonly applied in fish feed ingredient digestibility studies </w:t>
      </w:r>
      <w:r w:rsidR="006E4FB3">
        <w:fldChar w:fldCharType="begin"/>
      </w:r>
      <w:r w:rsidR="005875DE">
        <w:instrText xml:space="preserve"> ADDIN ZOTERO_ITEM CSL_CITATION {"citationID":"cxAzVRGY","properties":{"unsorted":false,"formattedCitation":"(K\\uc0\\u246{}pr\\uc0\\u252{}c\\uc0\\u252{} &amp; \\uc0\\u214{}zdemir, 2005)","plainCitation":"(Köprücü &amp; Özdemir, 2005)","noteIndex":0},"citationItems":[{"id":561,"uris":["http://zotero.org/users/7102179/items/PXU96ER4"],"itemData":{"id":561,"type":"article-journal","abstract":"In this study, apparent digestibility coefficients (ADCs) of nutrients and energy in selected feed ingredients were determined for Nile tilapia. ADCs were determined using a reference diet with chromic oxide indicator and test diets that contained 70% reference diet, by weight, and 30% of the test ingredient being evaluated. Fish were fed twice daily at the rate of 4% of their body weight at 27±1 °C of water temperature. Fecal samples were collected from three replicate groups of fish using fecal collection column attached to fish rearing aquaria. The ADCs of the anchovy meal, corn gluten meal, soybean meal, gammarid meal and crayfish exoskeleton meal were: dry matter, 91.6%, 93.2%, 90.9%, 77.0%, and 75.7%; protein, 90.5%, 89.0%, 87.4%, 75.8% and 71.0%; lipid, 97.5%, 94.0%, 92.1%, 75.8%, and 72.0%; fiber or chitin, 90.1%, 96.1%, 95.2%, 71.5%, and 69.3%; ash, 38.1%, 74.9%, 71.6%, 32.4%, and 30.8%; calcium, 17.1%, 20.3%, 20.9%, 13.2%, and 11.6%; phosphorus, 27.8%, 28.2%, 30.1%, 10.5%, and 9.7%; nitrogen-free extract 93.7%, 95.8%, 92.6%, 84.2%, and 82.7%; energy, 92.1%, 89.0%, 83.7%, 65.6%, and, 54.8%; and average amino acid, 91.2%, 89.6%, 87.1%, 76.2%, and 70.6%, respectively. These values were significantly affected by test ingredients (P&lt;0.05). The results of the study suggest that the ADCs of protein are indicative of amino acid digestibility. However, variation in individual amino acid digestibility between feed ingredients means that determination of this parameter may allow more accurate and economical feed formulation.","container-title":"Aquaculture","DOI":"10.1016/j.aquaculture.2004.12.003","ISSN":"0044-8486","issue":"1","journalAbbreviation":"Aquaculture","page":"308-316","source":"ScienceDirect","title":"Apparent digestibility of selected feed ingredients for Nile tilapia (&lt;i&gt;Oreochromis niloticus&lt;/i&gt;)","volume":"250","author":[{"family":"Köprücü","given":"Kenan"},{"family":"Özdemir","given":"Yaşar"}],"issued":{"date-parts":[["2005",11,14]]}}}],"schema":"https://github.com/citation-style-language/schema/raw/master/csl-citation.json"} </w:instrText>
      </w:r>
      <w:r w:rsidR="006E4FB3">
        <w:fldChar w:fldCharType="separate"/>
      </w:r>
      <w:r w:rsidR="005875DE" w:rsidRPr="005875DE">
        <w:rPr>
          <w:szCs w:val="24"/>
        </w:rPr>
        <w:t>(Köprücü &amp; Özdemir, 2005</w:t>
      </w:r>
      <w:r w:rsidR="006E4FB3">
        <w:fldChar w:fldCharType="end"/>
      </w:r>
      <w:r w:rsidR="006E4FB3">
        <w:t>;</w:t>
      </w:r>
      <w:r w:rsidR="005875DE">
        <w:t xml:space="preserve"> </w:t>
      </w:r>
      <w:r>
        <w:t>Mmanda et al. 2020</w:t>
      </w:r>
      <w:r w:rsidR="005875DE">
        <w:t>)</w:t>
      </w:r>
      <w:r>
        <w:t>.</w:t>
      </w:r>
    </w:p>
    <w:p w14:paraId="362661B5" w14:textId="77777777" w:rsidR="004A5C8B" w:rsidRDefault="00000000" w:rsidP="004247B8">
      <w:pPr>
        <w:spacing w:before="120" w:after="120" w:line="360" w:lineRule="auto"/>
        <w:jc w:val="both"/>
      </w:pPr>
      <w:r>
        <w:rPr>
          <w:b/>
        </w:rPr>
        <w:t>Intestinal histology</w:t>
      </w:r>
    </w:p>
    <w:p w14:paraId="797F353E" w14:textId="1B4119C6" w:rsidR="004A5C8B" w:rsidRDefault="00000000" w:rsidP="004247B8">
      <w:pPr>
        <w:spacing w:after="120" w:line="360" w:lineRule="auto"/>
        <w:ind w:firstLine="432"/>
        <w:jc w:val="both"/>
      </w:pPr>
      <w:r>
        <w:t xml:space="preserve">Intestinal histology was examined after 45 days of rearing. Fish were dissected to collect intestinal tissue, and samples were placed in microtubes containing 10% formalin. Samples were packed in a cooled container and sent for histological preparation and examination. Villus height and villus width were measured. Villus morphometry was used because intestinal mucosal structure is associated with absorptive surface area and </w:t>
      </w:r>
      <w:r w:rsidR="004247B8">
        <w:t>with fish's ability</w:t>
      </w:r>
      <w:r>
        <w:t xml:space="preserve"> to use nutrients from the diet </w:t>
      </w:r>
      <w:r w:rsidR="005875DE">
        <w:fldChar w:fldCharType="begin"/>
      </w:r>
      <w:r w:rsidR="005875DE">
        <w:instrText xml:space="preserve"> ADDIN ZOTERO_ITEM CSL_CITATION {"citationID":"ZyyIyimh","properties":{"unsorted":true,"formattedCitation":"(Aanyu* et al., 2014; Silva et al., 2015; Schneider et al., 2025)","plainCitation":"(Aanyu* et al., 2014; Silva et al., 2015; Schneider et al., 2025)","noteIndex":0},"citationItems":[{"id":552,"uris":["http://zotero.org/users/7102179/items/SZ73YHUP"],"itemData":{"id":552,"type":"article-journal","abstract":"Physiological response of Nile tilapia to diets with both sunflower (SFSC) and cotton seed cakes (CSC) at increasing proportions (10%CSC25%SFSC; 15%CSC20%SFSC; 20%CSC15%SFSC; 25%CSC10%SFSC and a control that was a commercial tilapia diet) was investigated in two trials using diets containing 25% crude protein. Trial 1 run for 120 days in 15 happas of 1 m3 stocked with 35 fish of 5.72 g. Each treatment had three replicates. Fish were fed 4% of their body weight per day. The number and length of intestinal folds was investigated. Trial 2 was run for 60 days in 24 tanks with 60 L of water and 30 fish of 3 g. Each treatment had six replicates fed to apparent satiation. Nutrient digestibility and body composition were determined. The test diets did not negatively affect the number and length of intestinal folds as they were similar to the control. The diets with 10%CSC25%SFSC and 20%CSC15%SFSC had the most efficiently digested protein, and highest protein deposition implying that the dietary protein was effectively used. The formulations with 10%CSC25%SFSC and 20%CSC15%SFSC could be used for making Nile tilapia diets.\n\n\t&amp;nbsp;\n\n\tKey words: Plant protein, intestine histology, digestibility, nutrient retention, feed.","container-title":"African Journal of Biotechnology","DOI":"10.5897/AJB12.1895","ISSN":"1684-5315","issue":"37","journalAbbreviation":"AJB","language":"en","page":"3831-3839","publisher":"Academic Journals","source":"academicjournals.org","title":"Intestine histology, nutrient digestibility and body composition of Nile tilapia (Oreochromis niloticus) fed on diets with both cotton and sunflower seed cakes","volume":"13","author":[{"family":"Aanyu*","given":"Margaret"},{"family":"Ondhoro","given":"Constantine Chobet"},{"family":"Ganda","given":"Euglance"},{"family":"Kato","given":"Drago Charles"},{"family":"Basiita","given":"Rose Komugisha"}],"issued":{"date-parts":[["2014",9,10]]}}},{"id":575,"uris":["http://zotero.org/users/7102179/items/AD7P3GY3"],"itemData":{"id":575,"type":"article-journal","abstract":"The present study evaluated the effects of the inclusion of three seaweeds, Gracilaria vermiculophylla (GRA), Porphyra dioica (POR), and Ulva spp. (ULV), as dietary ingredients for Nile tilapia (Oreochromis niloticus) juveniles, on the growth performance, body composition, and gut histology. Three experimental diets (GRA, POR, and ULV) were formulated to replace 10 % of whole diet by each of the three seaweeds. A control diet (CTRL) was used, without inclusion of any seaweed. Diets were fed to triplicate groups of 25 Nile tilapia juveniles, with an average body weight (ABW) of 12.1 g, in an 84-day trial. At the end of the trial, growth performance was significantly reduced (P &lt; 0.05) in fish fed the GRA diet, whereas the feed conversion ratio increased significantly in those fish. None of the treatments caused adverse effects on body composition. The inclusion of the three seaweeds in the diet led to evident changes in the fish digestive system morphology with significant reduction of villi length on GRA diet. The results obtained in this study suggest the usefulness of P. dioica and Ulva spp. to partially replace fishmeal in practical diets for tilapia juveniles up to 10 %, as no negative consequences on growth performance or body composition were observed. However, the inclusion of 10 % G. vermiculophylla seems to have a negative effect in diet palatability, reducing fish feed intake and growth performance.","container-title":"Journal of Applied Phycology","DOI":"10.1007/s10811-014-0453-9","ISSN":"1573-5176","issue":"4","journalAbbreviation":"J Appl Phycol","language":"en","page":"1671-1680","source":"Springer Link","title":"Evaluation of IMTA-produced seaweeds (Gracilaria, Porphyra, and Ulva) as dietary ingredients in Nile tilapia, Oreochromis niloticus L., juveniles. Effects on growth performance and gut histology","volume":"27","author":[{"family":"Silva","given":"D. M."},{"family":"Valente","given":"L. M. P."},{"family":"Sousa-Pinto","given":"I."},{"family":"Pereira","given":"R."},{"family":"Pires","given":"M. A."},{"family":"Seixas","given":"F."},{"family":"Rema","given":"P."}],"issued":{"date-parts":[["2015",8,1]]}}},{"id":571,"uris":["http://zotero.org/users/7102179/items/7U9IR6HU"],"itemData":{"id":571,"type":"article-journal","abstract":"Proteases facilitate the breakdown of components associated with antinutritional factors. This study evaluated the effects of protease supplementation in Nile tilapia diets on metabolic and intestinal responses. Three diets were tested: soybean meal SM1 (fish meal FM:SM = 1:1), SM2 (1:2), and SM3 (1:3), based on the protein content. All the diets were without or with protease (0.44 g/kg). The fish were randomly allocated to 18 tanks/49 days. In SM3 without protease, an increase in the villus height and width, as well as the number of goblet cells, was observed. Protease supplementation increased the villus height compared to diets without the enzyme. The SM1 with protease resulted in a reduction in the digestive somatic index, but significantly increased the hepatosomatic and intestinal quotient indices. In SM2 with protease, reductions in the amino acid (AA) content and aspartate aminotransferase activity in the liver were observed. In the muscles, supplementation increased the AA concentrations. Higher plasma AA and albumin concentrations were detected in the SM2 and SM3 groups with protease. A significant interaction was found, with SM3 without protease showing lower plasma protein and AA concentrations. In SM2 with protease, higher levels of albumin and globulin were recorded. Protease in soybean meal diets improved the intestinal health and metabolism in tilapia.","container-title":"Animals","DOI":"10.3390/ani15030349","ISSN":"2076-2615","issue":"3","language":"en","license":"http://creativecommons.org/licenses/by/3.0/","page":"349","publisher":"Multidisciplinary Digital Publishing Institute","source":"www.mdpi.com","title":"Metabolic and Intestinal Morphometric Responses of Nile Tilapia Fed Diets Containing Soybean and Protease","volume":"15","author":[{"family":"Schneider","given":"Thamara Luísa Staudt"},{"family":"Scheid","given":"Roberta Cristina"},{"family":"Peixoto","given":"Nilce Coelho"},{"family":"Lazzari","given":"Rafael"}],"issued":{"date-parts":[["2025",1]]}}}],"schema":"https://github.com/citation-style-language/schema/raw/master/csl-citation.json"} </w:instrText>
      </w:r>
      <w:r w:rsidR="005875DE">
        <w:fldChar w:fldCharType="separate"/>
      </w:r>
      <w:r w:rsidR="005875DE" w:rsidRPr="005875DE">
        <w:t>(Aanyu et al. 2014; Silva et al. 2015; Schneider et al. 2025)</w:t>
      </w:r>
      <w:r w:rsidR="005875DE">
        <w:fldChar w:fldCharType="end"/>
      </w:r>
      <w:r>
        <w:t>.</w:t>
      </w:r>
    </w:p>
    <w:p w14:paraId="202A7939" w14:textId="77777777" w:rsidR="004A5C8B" w:rsidRDefault="00000000" w:rsidP="004247B8">
      <w:pPr>
        <w:spacing w:before="120" w:after="120" w:line="360" w:lineRule="auto"/>
        <w:jc w:val="both"/>
      </w:pPr>
      <w:r>
        <w:rPr>
          <w:b/>
        </w:rPr>
        <w:t>Blood profile, organ indices, and growth</w:t>
      </w:r>
    </w:p>
    <w:p w14:paraId="18793030" w14:textId="6BFD6FD8" w:rsidR="004A5C8B" w:rsidRDefault="00000000" w:rsidP="004247B8">
      <w:pPr>
        <w:spacing w:after="120" w:line="360" w:lineRule="auto"/>
        <w:ind w:firstLine="432"/>
        <w:jc w:val="both"/>
      </w:pPr>
      <w:r>
        <w:t xml:space="preserve">Blood </w:t>
      </w:r>
      <w:r w:rsidR="004247B8">
        <w:t>profiles were measured</w:t>
      </w:r>
      <w:r>
        <w:t xml:space="preserve"> at the beginning and end of the study by counting total erythrocytes and leukocytes using a hemocytometer. Blood was collected from the caudal vein using a syringe containing anticoagulant. </w:t>
      </w:r>
      <w:r w:rsidR="004247B8">
        <w:t>The intestinal somatic index and hepatosomatic index were calculated as the ratios</w:t>
      </w:r>
      <w:r>
        <w:t xml:space="preserve"> of organ weight to body weight. Absolute growth was calculated as the difference between final and initial average body weight. Hematological parameters and organ indices were used as indicators of physiological condition, metabolism, and fish health in response to functional diets </w:t>
      </w:r>
      <w:r w:rsidR="005875DE">
        <w:fldChar w:fldCharType="begin"/>
      </w:r>
      <w:r w:rsidR="005875DE">
        <w:instrText xml:space="preserve"> ADDIN ZOTERO_ITEM CSL_CITATION {"citationID":"zhSHJvbv","properties":{"unsorted":false,"formattedCitation":"(Kamble et al., 2024; Nassar et al., 2024; Villasante et al., 2025)","plainCitation":"(Kamble et al., 2024; Nassar et al., 2024; Villasante et al., 2025)","noteIndex":0},"citationItems":[{"id":559,"uris":["http://zotero.org/users/7102179/items/KFA6KMMA"],"itemData":{"id":559,"type":"article-journal","abstract":"The present study aimed to investigate the effects of Moringa oleifera leaf (MLE) extract-supplemented diets on the growth, feed utilization, hematology, innate immune response, and disease resistance of Nile tilapia against Streptococcus agalactiae Biotype 2. Four hundred and fifty Nile tilapia (32.61 ± 0.2 g/fish) were randomly allocated into fifteen tanks (30 fish/tank). Different concentrations of MLE at 0%, 0.5%, 1%, 1.5%, and 2% were fed to the Nile tilapia for 30 days, and the growth, feed utilization, hematology, and innate immune response of the Nile tilapia were determined. After the feeding trial, the Nile tilapia were challenged with a S. agalactiae Biotype 2 infection, and the relative percentage of survival (RPS) was determined. Results revealed the presence of quercetin, kaempferol, and p-coumaric acid in the MLE extract, exhibiting stronger antimicrobial activity against S. agalactiae Biotype 2. The diets supplemented with the MLE-0.5 group showed a significantly higher growth, feed utilization, hematology, and innate immune response in the Nile tilapia compared to the control and other MLE groups. Additionally, the MLE-0.5 group exhibited a significantly higher RPS of the Nile tilapia against S. agalactiae Biotype 2. Therefore, MLE-0.5 can be employed as an alternative feed supplement in sustainable Nile tilapia farming to protect against S. agalactiae Biotype 2.","container-title":"Animals","DOI":"10.3390/ani14060953","ISSN":"2076-2615","issue":"6","language":"en","license":"http://creativecommons.org/licenses/by/3.0/","page":"953","publisher":"Multidisciplinary Digital Publishing Institute","source":"www.mdpi.com","title":"Effect of Moringa oleifera Leaf Extract on the Growth Performance, Hematology, Innate Immunity, and Disease Resistance of Nile Tilapia (Oreochromis niloticus) against Streptococcus agalactiae Biotype 2","volume":"14","author":[{"family":"Kamble","given":"Manoj Tukaram"},{"family":"Gallardo","given":"Wenresti"},{"family":"Salin","given":"Krishna Rugmini"},{"family":"Pumpuang","given":"Suntree"},{"family":"Chavan","given":"Balasaheb Ramdas"},{"family":"Bhujel","given":"Ram Chandra"},{"family":"Medhe","given":"Seema Vijay"},{"family":"Kettawan","given":"Aikkarach"},{"family":"Thompson","given":"Kim D."},{"family":"Pirarat","given":"Nopadon"}],"issued":{"date-parts":[["2024",1]]}}},{"id":566,"uris":["http://zotero.org/users/7102179/items/CH7UXZV5"],"itemData":{"id":566,"type":"article-journal","abstract":"Moringa oleifera, a well-known medicinal plant, has been used in aquafeed as a dietary supplement. Based on previous studies, insufficient research is available on the dietary supplementation of Nile tilapia with M. oleifera leaf and seed mixtures, specifically the fermented form. Therefore, this study aimed to investigate the efficacy of fermented (FMO) versus non-fermented M. oleifera (MO) leaf and seed mixtures on immunological parameters, antioxidant activity, growth performance, and resistance to A. hydrophila infection after a 30-day feeding trial on Nile tilapia.","container-title":"BMC Veterinary Research","DOI":"10.1186/s12917-024-04070-3","ISSN":"1746-6148","issue":"1","journalAbbreviation":"BMC Vet Res","language":"en","page":"231","source":"Springer Link","title":"Immunomodulatory, antioxidant, and growth-promoting activities of dietary fermented Moringa oleifera in Nile tilapia (Oreochromus niloticus) with in-vivo protection against Aeromonas hydrophila","volume":"20","author":[{"family":"Nassar","given":"Asmaa A. M. A."},{"family":"Gharib","given":"Ahlam Abd El-Aziz"},{"family":"Abdelgalil","given":"Sarah Yousef"},{"family":"AbdAllah","given":"Hossam M."},{"family":"Elmowalid","given":"Gamal A."}],"issued":{"date-parts":[["2024",5,27]]}}},{"id":577,"uris":["http://zotero.org/users/7102179/items/ECCQ7IFW"],"itemData":{"id":577,"type":"article-journal","abstract":"Serum proteins are essential for maintaining osmotic pressure, regulating pH, transporting metabolites, and supporting immune responses. Studying the effects of plant-based diets on these proteins is crucial to understanding their impact on fish health and immune function. Methods: This study was conducted in a recirculation system, with rainbow trout distributed across nine tanks and fed three diets: fishmeal (control), medium plant meal (MPM; 40% of fishmeal replacement), and high plant meal (HPM; 80% of fishmeal replacement). Plasma protein and plasma glucose levels were measured at the initial and final stages, under both fasting (24 h after fast) and postprandial (6 h after fed) conditions, to assess dietary impacts. Additionally, the hepatosomatic index (HSI) was calculated at the end of the experiment to evaluate potential liver adaptations to the diets. Results: The initial protein and glucose levels were similar across all groups. However, by the end of the treatment, the fishmeal-fed group showed significantly higher total protein and globulin levels, while the albumin levels remained consistent across diet types. A significant interaction between sampling time and dietary treatment in fish reduced the clarity of dietary effects on postprandial plasma glucose levels. Furthermore, the HSI was significantly lower in fish fed the high plant meal (HPM) diet compared to the fishmeal and medium plant meal (MPM) groups, suggesting potential metabolic adaptation in response to plant-based diets. Conclusions: Replacing fishmeal with plant-based proteins in rainbow trout diets reduces total globulin and protein concentrations but leaves albumin unaffected, alongside reductions in fasting and postprandial glucose levels. The low growth and different HSI in fish fed plant-based diets highlights potential liver stress, emphasizing the need for further research to optimize sustainable aquaculture feeds while maintaining fish health and performance.","container-title":"Fishes","DOI":"10.3390/fishes10030110","ISSN":"2410-3888","issue":"3","language":"en","license":"http://creativecommons.org/licenses/by/3.0/","page":"110","publisher":"Multidisciplinary Digital Publishing Institute","source":"www.mdpi.com","title":"Impact of Plant-Based Diets on Hepatosomatic Index, Circulating Globulins and Growth in Rainbow Trout (Oncorhynchus mykiss)","volume":"10","author":[{"family":"Villasante","given":"Alejandro"},{"family":"Figueroa","given":"Elías"},{"family":"Godoy","given":"Karina"},{"family":"Dantagnan","given":"Patricio"},{"family":"López-Polo","given":"Johana"},{"family":"Opazo","given":"Rafael"},{"family":"Romero","given":"Jaime"}],"issued":{"date-parts":[["2025",3]]}}}],"schema":"https://github.com/citation-style-language/schema/raw/master/csl-citation.json"} </w:instrText>
      </w:r>
      <w:r w:rsidR="005875DE">
        <w:fldChar w:fldCharType="separate"/>
      </w:r>
      <w:r w:rsidR="005875DE" w:rsidRPr="005875DE">
        <w:t>(Kamble et al. 2024; Nassar et al. 2024; Villasante et al. 2025)</w:t>
      </w:r>
      <w:r w:rsidR="005875DE">
        <w:fldChar w:fldCharType="end"/>
      </w:r>
      <w:r>
        <w:t>.</w:t>
      </w:r>
    </w:p>
    <w:p w14:paraId="7C3A68EA" w14:textId="77777777" w:rsidR="004A5C8B" w:rsidRDefault="00000000" w:rsidP="004247B8">
      <w:pPr>
        <w:spacing w:before="120" w:after="120" w:line="360" w:lineRule="auto"/>
        <w:jc w:val="both"/>
      </w:pPr>
      <w:r>
        <w:rPr>
          <w:b/>
        </w:rPr>
        <w:lastRenderedPageBreak/>
        <w:t>Water quality and data analysis</w:t>
      </w:r>
    </w:p>
    <w:p w14:paraId="67D7E426" w14:textId="77777777" w:rsidR="004A5C8B" w:rsidRDefault="00000000" w:rsidP="004247B8">
      <w:pPr>
        <w:spacing w:after="120" w:line="360" w:lineRule="auto"/>
        <w:ind w:firstLine="432"/>
        <w:jc w:val="both"/>
      </w:pPr>
      <w:r>
        <w:t>Temperature and salinity were measured daily in the morning and afternoon, while pH and dissolved oxygen were measured every 15 days. Data on digestibility, growth, histology, organ indices, and blood profile were analyzed using analysis of variance at a 95% confidence level. When significant differences were detected, Duncan’s multiple range test was applied. Water quality data were analyzed descriptively because they were used as supporting environmental data.</w:t>
      </w:r>
    </w:p>
    <w:p w14:paraId="60586B7B" w14:textId="77777777" w:rsidR="004A5C8B" w:rsidRDefault="00000000">
      <w:pPr>
        <w:spacing w:before="200" w:after="120" w:line="360" w:lineRule="auto"/>
      </w:pPr>
      <w:r>
        <w:rPr>
          <w:b/>
        </w:rPr>
        <w:t>RESULTS</w:t>
      </w:r>
    </w:p>
    <w:p w14:paraId="3B203A2E" w14:textId="77777777" w:rsidR="004A5C8B" w:rsidRDefault="00000000" w:rsidP="004247B8">
      <w:pPr>
        <w:spacing w:before="120" w:after="120" w:line="360" w:lineRule="auto"/>
        <w:jc w:val="both"/>
      </w:pPr>
      <w:r>
        <w:rPr>
          <w:b/>
        </w:rPr>
        <w:t>Protein digestibility, total digestibility, and growth</w:t>
      </w:r>
    </w:p>
    <w:p w14:paraId="5E64D126" w14:textId="3E930716" w:rsidR="004A5C8B" w:rsidRDefault="00000000" w:rsidP="004247B8">
      <w:pPr>
        <w:spacing w:after="120" w:line="360" w:lineRule="auto"/>
        <w:ind w:firstLine="432"/>
        <w:jc w:val="both"/>
      </w:pPr>
      <w:r>
        <w:t xml:space="preserve">Dietary treatments significantly affected protein digestibility, total digestibility, and absolute growth of saline Nile tilapia </w:t>
      </w:r>
      <w:r w:rsidRPr="000F7C2E">
        <w:rPr>
          <w:i/>
          <w:iCs/>
        </w:rPr>
        <w:t>(P &lt; 0.05</w:t>
      </w:r>
      <w:r>
        <w:t xml:space="preserve">). The highest protein digestibility was </w:t>
      </w:r>
      <w:r w:rsidR="004247B8">
        <w:t>observed in treatment D (commercial feed), at 69.87 ± 1.42%, whereas the lowest was in treatment A,</w:t>
      </w:r>
      <w:r>
        <w:t xml:space="preserve"> at 46.37 ± 3.09%. Among the diets based on alternative ingredients, treatments B and C produced relatively similar protein digestibility values, 56.26 ± 3.73% and 55.72 ± 1.13%, respectively. A similar pattern was observed for total digestibility. Treatment D produced the highest value, 60.47 ± 0.22%, followed by treatment C at 42.19 ± 0.47%, treatment B at 39.12 ± 5.74%, and treatment A at 29.45 ± 4.22%. Absolute growth was also highest in treatment D at 15.35 ± 0.84 g, whereas among the alternative diets, treatment C produced the highest growth at 12.36 ± 1.13 g.</w:t>
      </w:r>
    </w:p>
    <w:p w14:paraId="5CB881DC" w14:textId="77777777" w:rsidR="004A5C8B" w:rsidRDefault="00000000" w:rsidP="004247B8">
      <w:pPr>
        <w:spacing w:before="120" w:after="120" w:line="360" w:lineRule="auto"/>
        <w:jc w:val="both"/>
      </w:pPr>
      <w:r>
        <w:rPr>
          <w:b/>
        </w:rPr>
        <w:t>Intestinal histology</w:t>
      </w:r>
    </w:p>
    <w:p w14:paraId="2D5AB3B5" w14:textId="77777777" w:rsidR="004A5C8B" w:rsidRDefault="00000000" w:rsidP="004247B8">
      <w:pPr>
        <w:spacing w:after="120" w:line="360" w:lineRule="auto"/>
        <w:ind w:firstLine="432"/>
        <w:jc w:val="both"/>
      </w:pPr>
      <w:r>
        <w:t>Villus height and width changed after the feeding trial. Initial villus height was 139.02 ± 16.96 µm. At the end of the study, the highest villus height was found in treatment B at 356.91 ± 135.96 µm, followed by treatment A at 352.37 ± 129.79 µm, treatment D at 264.44 ± 70.74 µm, and treatment C at 161.12 ± 24.39 µm. Initial villus width was 126.91 ± 63.02 µm. At the end of the study, the highest villus width was found in treatment C at 186.47 ± 55.84 µm, followed by treatment D at 151.53 ± 54.56 µm, treatment B at 146.59 ± 53.31 µm, and treatment A at 87.58 ± 36.24 µm.</w:t>
      </w:r>
    </w:p>
    <w:p w14:paraId="0BACF7FB" w14:textId="77777777" w:rsidR="004A5C8B" w:rsidRDefault="00000000" w:rsidP="004247B8">
      <w:pPr>
        <w:spacing w:before="120" w:after="120" w:line="360" w:lineRule="auto"/>
        <w:jc w:val="both"/>
      </w:pPr>
      <w:r>
        <w:rPr>
          <w:b/>
        </w:rPr>
        <w:t>Intestine somatic index and hepatosomatic index</w:t>
      </w:r>
    </w:p>
    <w:p w14:paraId="05B207C4" w14:textId="77777777" w:rsidR="004A5C8B" w:rsidRDefault="00000000" w:rsidP="004247B8">
      <w:pPr>
        <w:spacing w:after="120" w:line="360" w:lineRule="auto"/>
        <w:ind w:firstLine="432"/>
        <w:jc w:val="both"/>
      </w:pPr>
      <w:r>
        <w:t xml:space="preserve">The intestine somatic index increased from the initial value of 4.41 ± 1.03% to 6.83 ± 0.70% in treatment A, 7.92 ± 0.36% in treatment B, 8.26 ± 0.68% in treatment C, and 9.24 ± 1.27% in treatment D. The hepatosomatic index also increased from the initial value of 0.19 ± </w:t>
      </w:r>
      <w:r>
        <w:lastRenderedPageBreak/>
        <w:t>0.11% to 0.42 ± 0.04% in treatment A, 0.51 ± 0.14% in treatment B, 0.57 ± 0.15% in treatment C, and 0.70 ± 0.16% in treatment D. These results indicate that digestive and hepatic organ responses differed according to feed quality and digestibility.</w:t>
      </w:r>
    </w:p>
    <w:p w14:paraId="19E0AACB" w14:textId="77777777" w:rsidR="004A5C8B" w:rsidRDefault="00000000" w:rsidP="004247B8">
      <w:pPr>
        <w:spacing w:before="120" w:after="120" w:line="360" w:lineRule="auto"/>
        <w:jc w:val="both"/>
      </w:pPr>
      <w:r>
        <w:rPr>
          <w:b/>
        </w:rPr>
        <w:t>Blood profile</w:t>
      </w:r>
    </w:p>
    <w:p w14:paraId="5B04F740" w14:textId="0C93EB12" w:rsidR="004A5C8B" w:rsidRDefault="00000000" w:rsidP="004247B8">
      <w:pPr>
        <w:spacing w:after="120" w:line="360" w:lineRule="auto"/>
        <w:ind w:firstLine="432"/>
        <w:jc w:val="both"/>
      </w:pPr>
      <w:r>
        <w:t xml:space="preserve">Total </w:t>
      </w:r>
      <w:r w:rsidR="004247B8">
        <w:t>erythrocyte and leukocyte counts increased across</w:t>
      </w:r>
      <w:r>
        <w:t xml:space="preserve"> all treatments compared with the initial values. Initial total erythrocytes were 0.40 ± 0.00 x 10^6 cells/mm3 and increased to 3.36 ± 0.64 x 10^6 cells/mm3 in treatment A, 2.72 ± 0.40 x 10^6 cells/mm3 in treatment B, 5.58 ± 0.30 x 10^6 cells/mm3 in treatment C, and 5.87 ± 0.43 x 10^6 cells/mm3 in treatment D. Initial total leukocytes were 0.03 ± 0.00 x 10^4 cells/mm3 and increased to 67.41 ± 6.39 x 10^4 cells/mm3 in treatment A, 71.06 ± 12.44 x 10^4 cells/mm3 in treatment B, 109.67 ± 35.55 x 10^4 cells/mm3 in treatment C, and 127.99 ± 8.76 x 10^4 cells/mm3 in treatment D.</w:t>
      </w:r>
    </w:p>
    <w:p w14:paraId="688E335B" w14:textId="77777777" w:rsidR="004A5C8B" w:rsidRDefault="00000000" w:rsidP="004247B8">
      <w:pPr>
        <w:spacing w:before="120" w:after="120" w:line="360" w:lineRule="auto"/>
        <w:jc w:val="both"/>
      </w:pPr>
      <w:r>
        <w:rPr>
          <w:b/>
        </w:rPr>
        <w:t>Water quality</w:t>
      </w:r>
    </w:p>
    <w:p w14:paraId="3255137C" w14:textId="77777777" w:rsidR="004A5C8B" w:rsidRDefault="00000000" w:rsidP="004247B8">
      <w:pPr>
        <w:spacing w:after="120" w:line="360" w:lineRule="auto"/>
        <w:ind w:firstLine="432"/>
        <w:jc w:val="both"/>
      </w:pPr>
      <w:r>
        <w:t>Water quality during the rearing period remained within a suitable range for saline Nile tilapia. Temperature ranged from 26 to 28°C, pH from 7.3 to 8.1, dissolved oxygen from 5.4 to 6.7 mg/L, and salinity from 13 to 15 ppt. These ranges indicate that the main differences in fish response were more likely related to dietary treatment than to environmental fluctuation.</w:t>
      </w:r>
    </w:p>
    <w:p w14:paraId="04D94555" w14:textId="77777777" w:rsidR="004A5C8B" w:rsidRDefault="00000000" w:rsidP="004247B8">
      <w:pPr>
        <w:spacing w:before="200" w:after="120" w:line="360" w:lineRule="auto"/>
        <w:jc w:val="both"/>
      </w:pPr>
      <w:r>
        <w:rPr>
          <w:b/>
        </w:rPr>
        <w:t>DISCUSSION</w:t>
      </w:r>
    </w:p>
    <w:p w14:paraId="1E4573B8" w14:textId="062B215F" w:rsidR="004A5C8B" w:rsidRDefault="00000000" w:rsidP="004247B8">
      <w:pPr>
        <w:spacing w:after="0" w:line="360" w:lineRule="auto"/>
        <w:ind w:firstLine="432"/>
        <w:jc w:val="both"/>
      </w:pPr>
      <w:r>
        <w:t xml:space="preserve">This study showed that commercial feed produced the highest protein digestibility, total digestibility, and growth values. This result is reasonable because commercial feeds are generally designed with a more stable balance of protein, energy, lipids, minerals, vitamins, and amino acids. In Nile tilapia, protein and energy digestibility are key factors that determine feed-use efficiency and tissue deposition. International studies on ingredient digestibility in Nile tilapia also show that ingredients with highly digestible protein and balanced amino acid profiles are used more efficiently than alternative ingredients that are high in fiber or contain indigestible fractions </w:t>
      </w:r>
      <w:r w:rsidR="00BF2484">
        <w:fldChar w:fldCharType="begin"/>
      </w:r>
      <w:r w:rsidR="00BF2484">
        <w:instrText xml:space="preserve"> ADDIN ZOTERO_ITEM CSL_CITATION {"citationID":"OsN04fuX","properties":{"unsorted":false,"formattedCitation":"(K\\uc0\\u246{}pr\\uc0\\u252{}c\\uc0\\u252{} &amp; \\uc0\\u214{}zdemir, 2005; Mmanda et al., 2020)","plainCitation":"(Köprücü &amp; Özdemir, 2005; Mmanda et al., 2020)","noteIndex":0},"citationItems":[{"id":561,"uris":["http://zotero.org/users/7102179/items/PXU96ER4"],"itemData":{"id":561,"type":"article-journal","abstract":"In this study, apparent digestibility coefficients (ADCs) of nutrients and energy in selected feed ingredients were determined for Nile tilapia. ADCs were determined using a reference diet with chromic oxide indicator and test diets that contained 70% reference diet, by weight, and 30% of the test ingredient being evaluated. Fish were fed twice daily at the rate of 4% of their body weight at 27±1 °C of water temperature. Fecal samples were collected from three replicate groups of fish using fecal collection column attached to fish rearing aquaria. The ADCs of the anchovy meal, corn gluten meal, soybean meal, gammarid meal and crayfish exoskeleton meal were: dry matter, 91.6%, 93.2%, 90.9%, 77.0%, and 75.7%; protein, 90.5%, 89.0%, 87.4%, 75.8% and 71.0%; lipid, 97.5%, 94.0%, 92.1%, 75.8%, and 72.0%; fiber or chitin, 90.1%, 96.1%, 95.2%, 71.5%, and 69.3%; ash, 38.1%, 74.9%, 71.6%, 32.4%, and 30.8%; calcium, 17.1%, 20.3%, 20.9%, 13.2%, and 11.6%; phosphorus, 27.8%, 28.2%, 30.1%, 10.5%, and 9.7%; nitrogen-free extract 93.7%, 95.8%, 92.6%, 84.2%, and 82.7%; energy, 92.1%, 89.0%, 83.7%, 65.6%, and, 54.8%; and average amino acid, 91.2%, 89.6%, 87.1%, 76.2%, and 70.6%, respectively. These values were significantly affected by test ingredients (P&lt;0.05). The results of the study suggest that the ADCs of protein are indicative of amino acid digestibility. However, variation in individual amino acid digestibility between feed ingredients means that determination of this parameter may allow more accurate and economical feed formulation.","container-title":"Aquaculture","DOI":"10.1016/j.aquaculture.2004.12.003","ISSN":"0044-8486","issue":"1","journalAbbreviation":"Aquaculture","page":"308-316","source":"ScienceDirect","title":"Apparent digestibility of selected feed ingredients for Nile tilapia (&lt;i&gt;Oreochromis niloticus&lt;/i&gt;)","volume":"250","author":[{"family":"Köprücü","given":"Kenan"},{"family":"Özdemir","given":"Yaşar"}],"issued":{"date-parts":[["2005",11,14]]}}},{"id":564,"uris":["http://zotero.org/users/7102179/items/IY2N6RMT"],"itemData":{"id":564,"type":"article-journal","abstract":"Eight locally available protein source ingredients in Tanzania were selected for assessment of apparent digestibility (AD) in tilapia Oreochromis niloticus, using faeces samples collected by siphoning or stripping. The selected protein source ingredients were Lake Victoria sardines (FM), brewers spent yeast (BSY), moringa leaves (ML), freshwater shrimp (FSH), marine shrimp (MSH), cattle blood (CB), duckweed (DW) and fish frames (FF). The AD (%) of dry matter (DM), organic matter (OM) and crude protein (CP) was unaffected (p &gt; 0.782–0.901) by the faeces collection method (i.e., siphoning or stripping), with correlation coefficient (r) of 0.98, 0.99 and 0.93 between AD values for DM, OM and CP, respectively, following siphoning and stripping. The AD (%) of DM, OM, CP and gross energy (GE) in the test ingredients differed (p &lt; 0.0001). The AD (%) of DM and OM was lowest in BSY and DW, followed in increasing order by ML, MSH, FF, FSH and CB. In general, the AD (%) of CP was high (&gt;76%), but with a low value (46%) for DW. The AD (%) of GE was closely correlated (r = 0.96) with the AD of OM. In conclusion, FSH, MSH, CB, FF, BSY and ML have acceptable protein digestibility to be used in tilapia diet formulation.","container-title":"Fishes","DOI":"10.3390/fishes5040032","ISSN":"2410-3888","issue":"4","language":"en","license":"http://creativecommons.org/licenses/by/3.0/","page":"32","publisher":"Multidisciplinary Digital Publishing Institute","source":"www.mdpi.com","title":"Digestibility of Local Feed Ingredients in Tilapia Oreochromis niloticus Juveniles, Determined on Faeces Collected by Siphoning or Stripping","volume":"5","author":[{"family":"Mmanda","given":"Francis Pius"},{"family":"Lindberg","given":"Jan Erik"},{"family":"Norman Haldén","given":"Anna"},{"family":"Mtolera","given":"Matern S. P."},{"family":"Kitula","given":"Rukia"},{"family":"Lundh","given":"Torbjörn"}],"issued":{"date-parts":[["2020",12]]}}}],"schema":"https://github.com/citation-style-language/schema/raw/master/csl-citation.json"} </w:instrText>
      </w:r>
      <w:r w:rsidR="00BF2484">
        <w:fldChar w:fldCharType="separate"/>
      </w:r>
      <w:r w:rsidR="00BF2484" w:rsidRPr="00BF2484">
        <w:rPr>
          <w:szCs w:val="24"/>
        </w:rPr>
        <w:t>(Köprücü &amp; Özdemir, 2005; Mmanda et al. 2020)</w:t>
      </w:r>
      <w:r w:rsidR="00BF2484">
        <w:fldChar w:fldCharType="end"/>
      </w:r>
      <w:r>
        <w:t>.</w:t>
      </w:r>
    </w:p>
    <w:p w14:paraId="69752944" w14:textId="66B89A6C" w:rsidR="004A5C8B" w:rsidRDefault="00000000" w:rsidP="004247B8">
      <w:pPr>
        <w:spacing w:after="0" w:line="360" w:lineRule="auto"/>
        <w:ind w:firstLine="432"/>
        <w:jc w:val="both"/>
      </w:pPr>
      <w:r>
        <w:t xml:space="preserve">Among the alternative diets, treatment C, containing 10% moringa leaf meal, showed the best performance in total digestibility, absolute growth, villus width, and erythrocyte and leukocyte profiles. This response supports evidence that moringa has functional value for fish because it contains protein, minerals, vitamins, and bioactive compounds such as flavonoids and phenolics. Studies on Nile tilapia have shown that moringa can improve growth, feed utilization, hematological profile, innate immunity, and disease resistance when used at an </w:t>
      </w:r>
      <w:r>
        <w:lastRenderedPageBreak/>
        <w:t>appropriate level or after processing that reduces its limiting factors</w:t>
      </w:r>
      <w:r w:rsidR="00BF2484">
        <w:t xml:space="preserve"> </w:t>
      </w:r>
      <w:r w:rsidR="00BF2484">
        <w:fldChar w:fldCharType="begin"/>
      </w:r>
      <w:r w:rsidR="00BF2484">
        <w:instrText xml:space="preserve"> ADDIN ZOTERO_ITEM CSL_CITATION {"citationID":"7TOpqoa0","properties":{"unsorted":false,"formattedCitation":"(Kamble et al., 2024; Nassar et al., 2024; Saleh et al., 2025)","plainCitation":"(Kamble et al., 2024; Nassar et al., 2024; Saleh et al., 2025)","noteIndex":0},"citationItems":[{"id":559,"uris":["http://zotero.org/users/7102179/items/KFA6KMMA"],"itemData":{"id":559,"type":"article-journal","abstract":"The present study aimed to investigate the effects of Moringa oleifera leaf (MLE) extract-supplemented diets on the growth, feed utilization, hematology, innate immune response, and disease resistance of Nile tilapia against Streptococcus agalactiae Biotype 2. Four hundred and fifty Nile tilapia (32.61 ± 0.2 g/fish) were randomly allocated into fifteen tanks (30 fish/tank). Different concentrations of MLE at 0%, 0.5%, 1%, 1.5%, and 2% were fed to the Nile tilapia for 30 days, and the growth, feed utilization, hematology, and innate immune response of the Nile tilapia were determined. After the feeding trial, the Nile tilapia were challenged with a S. agalactiae Biotype 2 infection, and the relative percentage of survival (RPS) was determined. Results revealed the presence of quercetin, kaempferol, and p-coumaric acid in the MLE extract, exhibiting stronger antimicrobial activity against S. agalactiae Biotype 2. The diets supplemented with the MLE-0.5 group showed a significantly higher growth, feed utilization, hematology, and innate immune response in the Nile tilapia compared to the control and other MLE groups. Additionally, the MLE-0.5 group exhibited a significantly higher RPS of the Nile tilapia against S. agalactiae Biotype 2. Therefore, MLE-0.5 can be employed as an alternative feed supplement in sustainable Nile tilapia farming to protect against S. agalactiae Biotype 2.","container-title":"Animals","DOI":"10.3390/ani14060953","ISSN":"2076-2615","issue":"6","language":"en","license":"http://creativecommons.org/licenses/by/3.0/","page":"953","publisher":"Multidisciplinary Digital Publishing Institute","source":"www.mdpi.com","title":"Effect of Moringa oleifera Leaf Extract on the Growth Performance, Hematology, Innate Immunity, and Disease Resistance of Nile Tilapia (Oreochromis niloticus) against Streptococcus agalactiae Biotype 2","volume":"14","author":[{"family":"Kamble","given":"Manoj Tukaram"},{"family":"Gallardo","given":"Wenresti"},{"family":"Salin","given":"Krishna Rugmini"},{"family":"Pumpuang","given":"Suntree"},{"family":"Chavan","given":"Balasaheb Ramdas"},{"family":"Bhujel","given":"Ram Chandra"},{"family":"Medhe","given":"Seema Vijay"},{"family":"Kettawan","given":"Aikkarach"},{"family":"Thompson","given":"Kim D."},{"family":"Pirarat","given":"Nopadon"}],"issued":{"date-parts":[["2024",1]]}}},{"id":566,"uris":["http://zotero.org/users/7102179/items/CH7UXZV5"],"itemData":{"id":566,"type":"article-journal","abstract":"Moringa oleifera, a well-known medicinal plant, has been used in aquafeed as a dietary supplement. Based on previous studies, insufficient research is available on the dietary supplementation of Nile tilapia with M. oleifera leaf and seed mixtures, specifically the fermented form. Therefore, this study aimed to investigate the efficacy of fermented (FMO) versus non-fermented M. oleifera (MO) leaf and seed mixtures on immunological parameters, antioxidant activity, growth performance, and resistance to A. hydrophila infection after a 30-day feeding trial on Nile tilapia.","container-title":"BMC Veterinary Research","DOI":"10.1186/s12917-024-04070-3","ISSN":"1746-6148","issue":"1","journalAbbreviation":"BMC Vet Res","language":"en","page":"231","source":"Springer Link","title":"Immunomodulatory, antioxidant, and growth-promoting activities of dietary fermented Moringa oleifera in Nile tilapia (Oreochromus niloticus) with in-vivo protection against Aeromonas hydrophila","volume":"20","author":[{"family":"Nassar","given":"Asmaa A. M. A."},{"family":"Gharib","given":"Ahlam Abd El-Aziz"},{"family":"Abdelgalil","given":"Sarah Yousef"},{"family":"AbdAllah","given":"Hossam M."},{"family":"Elmowalid","given":"Gamal A."}],"issued":{"date-parts":[["2024",5,27]]}}},{"id":569,"uris":["http://zotero.org/users/7102179/items/BLECHUTC"],"itemData":{"id":569,"type":"article-journal","abstract":"This comprehensive review examines the versatile applications and effects of Moringa oleifera across multiple fish species in aquaculture systems amid growing challenges of rising feed costs and antimicrobial resistance. M. oleifera, commonly called the Miracle tree, contains an exceptional nutritional profile with high protein content (22.99–29.36% dry weight), complete profiles of essential amino acids, and remarkably elevated levels of vitamins and minerals. Its bioactive profile includes substantial quantities of polyphenols, flavonoids, alkaloids (niazimicin, niaziminin, β-sitosterol), and glucosinolates that collectively enhance fish health and performance. Recent studies across multiple fish species demonstrate variable optimal inclusion rates (5–30%) with specific growth rates increasing 15–35% and feed conversion ratios improving 10–25% compared to controls. Physiological benefits include enhanced digestive enzyme activity, improved liver and kidney functions, and reduced cortisol levels during environmental stress. Immunologically, M. oleifera supplementation significantly increases lysozyme activity, complement C3, total IgM levels, and pro-inflammatory cytokine expression (TNFα, IL1-β, IL-6), strengthening resistance against major aquaculture pathogens including Aeromonas hydrophila, Pseudomonas aeruginosa, and Vibrio species. Challenge studies demonstrate relative percent survival improvements ranging from 48 to 73% against virulent pathogens. Haematological improvements include increased erythrocyte counts, higher haemoglobin levels at moderate inclusion rates, and beneficial effects on glucose metabolism and lipid profiles. Moringa seeds are highly effective natural water clarifiers, removing 95–99% of turbidity through cationic proteins that act as coagulants. However, their antinutritional compounds (tannins, phytates, saponins, oxalates) can harm fish at elevated levels, requiring careful dosage monitoring in aquaculture applications. This review synthesizes current evidence, identifies optimal application strategies, and provides direction for future research to maximize Moringa’s potential as a sustainable, cost-effective resource for enhancing productivity, fish health, and environmental sustainability in modern aquaculture systems.","container-title":"Veterinary Research Communications","DOI":"10.1007/s11259-025-10889-4","ISSN":"1573-7446","issue":"6","journalAbbreviation":"Vet Res Commun","language":"en","page":"308","source":"Springer Link","title":"The role of Moringa oleifera in enhancing fish performance and health: a comprehensive review of sustainable aquaculture applications","title-short":"The role of Moringa oleifera in enhancing fish performance and health","volume":"49","author":[{"family":"Saleh","given":"Sohair Y."},{"family":"Younis","given":"Nehal A."},{"family":"Sherif","given":"Ahmed H."},{"family":"Gaber","given":"Howyda G."}],"issued":{"date-parts":[["2025",9,10]]}}}],"schema":"https://github.com/citation-style-language/schema/raw/master/csl-citation.json"} </w:instrText>
      </w:r>
      <w:r w:rsidR="00BF2484">
        <w:fldChar w:fldCharType="separate"/>
      </w:r>
      <w:r w:rsidR="00BF2484" w:rsidRPr="00BF2484">
        <w:t>(Kamble et al., 2024; Nassar et al., 2024; Saleh et al., 2025)</w:t>
      </w:r>
      <w:r w:rsidR="00BF2484">
        <w:fldChar w:fldCharType="end"/>
      </w:r>
      <w:r w:rsidR="00BF2484">
        <w:t>.</w:t>
      </w:r>
    </w:p>
    <w:p w14:paraId="4EBD0439" w14:textId="68E9C4DB" w:rsidR="004A5C8B" w:rsidRDefault="00000000" w:rsidP="004247B8">
      <w:pPr>
        <w:spacing w:after="0" w:line="360" w:lineRule="auto"/>
        <w:ind w:firstLine="432"/>
        <w:jc w:val="both"/>
      </w:pPr>
      <w:r>
        <w:t xml:space="preserve">However, protein digestibility in treatment C remained lower than in the commercial feed treatment. This finding indicates that although moringa leaves have potential as an alternative feed ingredient, unprocessed leaf meal may still contain fiber and antinutritional compounds that limit protein breakdown and absorption. Recent literature emphasizes that plant ingredients in fish diets often require pretreatments, such as fermentation, heating, enzyme supplementation, or functional additives, to improve digestibility and nutrient utilization </w:t>
      </w:r>
      <w:r w:rsidR="00BF2484">
        <w:fldChar w:fldCharType="begin"/>
      </w:r>
      <w:r w:rsidR="00BF2484">
        <w:instrText xml:space="preserve"> ADDIN ZOTERO_ITEM CSL_CITATION {"citationID":"NLH5l3dr","properties":{"unsorted":true,"formattedCitation":"(Jiang et al., 2023; Hussain et al., 2024; Nassar et al., 2024)","plainCitation":"(Jiang et al., 2023; Hussain et al., 2024; Nassar et al., 2024)","noteIndex":0},"citationItems":[{"id":557,"uris":["http://zotero.org/users/7102179/items/PJJAB33X"],"itemData":{"id":557,"type":"article-journal","abstract":"This study assessed the potential applicability of Moringa oleifera leaf meal (MO) and fermented Moringa oleifera leaf meal (FMO) as feed supplements for aquatic animals. Five experimental diets, including the basal diet (control), 2.2% and 4.4% MO-supplemented diets (MO2 and MO4), and 2.2% and 4.4% FMO-supplemented diets (FMO2 and FMO4), were prepared for feeding Megalobrama amblycephala juveniles. After the eight-week feeding trial, the growth performance, muscle nutritional composition, plasma and hepatic biochemistry indicators were measured. The results demonstrated that MO and FMO had no detrimental effects on the growth performance of M. amblycephala juveniles. The muscle crude protein, crude lipid, and total free amino acids contents were significantly enhanced in the FMO4 group (p &lt; 0.05). The liver acetyl-CoA carboxylase α mRNA level was significantly increased and the lipoprotein lipase mRNA level was markedly reduced in the FMO4 group (p &lt; 0.05). Therefore, the FMO4 group exhibited a significant increase in plasma low-density lipoprotein cholesterol and triglyceride levels (p &lt; 0.05). Compared to the control group, total superoxide dismutase and catalase activities were significantly increased in the FMO4 group (p &lt; 0.05). The FMO2 and FMO4 groups exhibited an anti-inflammatory response by inhibiting the expression levels of toll-like receptor 4, nuclear factor-kappa B, and tumor protein P53 mRNA (p &lt; 0.05). In conclusion, the 4.4% FMO treatment increased muscle crude protein content, enhanced lipogenesis, and improved the hepatic antioxidant abilities of M. amblycephala juveniles, while 2.2% FMO and 4.4% FMO improved the liver anti-inflammatory capacities.","container-title":"Fermentation","DOI":"10.3390/fermentation9060577","ISSN":"2311-5637","issue":"6","language":"en","license":"http://creativecommons.org/licenses/by/3.0/","page":"577","publisher":"Multidisciplinary Digital Publishing Institute","source":"www.mdpi.com","title":"The Application of Moringa oleifera Leaf Meal and Its Fermentation Products in the Diet of Megalobrama amblycephala Juveniles","volume":"9","author":[{"family":"Jiang","given":"Wenqiang"},{"family":"Qian","given":"Linjie"},{"family":"Zhao","given":"Yongfeng"},{"family":"Lin","given":"Yan"},{"family":"Yang","given":"Yang"},{"family":"Shen","given":"Huaishun"},{"family":"Ge","given":"Xianping"},{"family":"Miao","given":"Linghong"}],"issued":{"date-parts":[["2023",6]]}}},{"id":554,"uris":["http://zotero.org/users/7102179/items/QQ88EEWA"],"itemData":{"id":554,"type":"article-journal","container-title":"Heliyon","DOI":"10.1016/j.heliyon.2024.e26573","ISSN":"2405-8440","issue":"4","journalAbbreviation":"Heliyon","language":"English","PMID":"38434023","publisher":"Elsevier","source":"www.cell.com","title":"Substitution of fishmeal: Highlights of potential plant protein sources for aquaculture sustainability","title-short":"Substitution of fishmeal","URL":"https://www.cell.com/heliyon/abstract/S2405-8440(24)02604-5","volume":"10","author":[{"family":"Hussain","given":"Syed Makhdoom"},{"family":"Bano","given":"Aumme Adeeba"},{"family":"Ali","given":"Shafaqat"},{"family":"Rizwan","given":"Muhammad"},{"family":"Adrees","given":"Muhammad"},{"family":"Zahoor","given":"Ameer Fawad"},{"family":"Sarker","given":"Pallab K."},{"family":"Hussain","given":"Majid"},{"family":"Arsalan","given":"Muhammad Zubair-ul-Hassan"},{"family":"Yong","given":"Jean Wan Hong"},{"family":"Naeem","given":"Adan"}],"accessed":{"date-parts":[["2026",6,21]]},"issued":{"date-parts":[["2024",2,29]]}}},{"id":566,"uris":["http://zotero.org/users/7102179/items/CH7UXZV5"],"itemData":{"id":566,"type":"article-journal","abstract":"Moringa oleifera, a well-known medicinal plant, has been used in aquafeed as a dietary supplement. Based on previous studies, insufficient research is available on the dietary supplementation of Nile tilapia with M. oleifera leaf and seed mixtures, specifically the fermented form. Therefore, this study aimed to investigate the efficacy of fermented (FMO) versus non-fermented M. oleifera (MO) leaf and seed mixtures on immunological parameters, antioxidant activity, growth performance, and resistance to A. hydrophila infection after a 30-day feeding trial on Nile tilapia.","container-title":"BMC Veterinary Research","DOI":"10.1186/s12917-024-04070-3","ISSN":"1746-6148","issue":"1","journalAbbreviation":"BMC Vet Res","language":"en","page":"231","source":"Springer Link","title":"Immunomodulatory, antioxidant, and growth-promoting activities of dietary fermented Moringa oleifera in Nile tilapia (Oreochromus niloticus) with in-vivo protection against Aeromonas hydrophila","volume":"20","author":[{"family":"Nassar","given":"Asmaa A. M. A."},{"family":"Gharib","given":"Ahlam Abd El-Aziz"},{"family":"Abdelgalil","given":"Sarah Yousef"},{"family":"AbdAllah","given":"Hossam M."},{"family":"Elmowalid","given":"Gamal A."}],"issued":{"date-parts":[["2024",5,27]]}}}],"schema":"https://github.com/citation-style-language/schema/raw/master/csl-citation.json"} </w:instrText>
      </w:r>
      <w:r w:rsidR="00BF2484">
        <w:fldChar w:fldCharType="separate"/>
      </w:r>
      <w:r w:rsidR="00BF2484" w:rsidRPr="00BF2484">
        <w:t>(Jiang et al. 2023; Hussain et al. 2024; Nassar et al. 2024)</w:t>
      </w:r>
      <w:r w:rsidR="00BF2484">
        <w:fldChar w:fldCharType="end"/>
      </w:r>
      <w:r>
        <w:t>.</w:t>
      </w:r>
    </w:p>
    <w:p w14:paraId="4457D579" w14:textId="3F84C274" w:rsidR="004A5C8B" w:rsidRDefault="00000000" w:rsidP="004247B8">
      <w:pPr>
        <w:spacing w:after="0" w:line="360" w:lineRule="auto"/>
        <w:ind w:firstLine="432"/>
        <w:jc w:val="both"/>
      </w:pPr>
      <w:r>
        <w:t xml:space="preserve">Treatment B, containing 10% seaweed meal, produced the highest villus height, but it did not produce the highest total digestibility or growth among the alternative diets. This result indicates that changes in intestinal morphology do not always translate directly into growth if the feed ingredient contains fractions that are difficult to digest. Studies on tilapia fed diets containing Gracilaria, Porphyra, and Ulva show that seaweed may affect intestinal morphology and growth performance differently, depending on seaweed species and inclusion level. Gracilaria at certain inclusion levels may reduce palatability, feed intake, and growth performance, although seaweed remains a promising functional ingredient when used at appropriate levels and with suitable processing </w:t>
      </w:r>
      <w:r w:rsidR="00BF2484">
        <w:fldChar w:fldCharType="begin"/>
      </w:r>
      <w:r w:rsidR="00BF2484">
        <w:instrText xml:space="preserve"> ADDIN ZOTERO_ITEM CSL_CITATION {"citationID":"l02QxHQM","properties":{"unsorted":true,"formattedCitation":"(Silva et al., 2015; Siddik et al., 2023)","plainCitation":"(Silva et al., 2015; Siddik et al., 2023)","noteIndex":0},"citationItems":[{"id":575,"uris":["http://zotero.org/users/7102179/items/AD7P3GY3"],"itemData":{"id":575,"type":"article-journal","abstract":"The present study evaluated the effects of the inclusion of three seaweeds, Gracilaria vermiculophylla (GRA), Porphyra dioica (POR), and Ulva spp. (ULV), as dietary ingredients for Nile tilapia (Oreochromis niloticus) juveniles, on the growth performance, body composition, and gut histology. Three experimental diets (GRA, POR, and ULV) were formulated to replace 10 % of whole diet by each of the three seaweeds. A control diet (CTRL) was used, without inclusion of any seaweed. Diets were fed to triplicate groups of 25 Nile tilapia juveniles, with an average body weight (ABW) of 12.1 g, in an 84-day trial. At the end of the trial, growth performance was significantly reduced (P &lt; 0.05) in fish fed the GRA diet, whereas the feed conversion ratio increased significantly in those fish. None of the treatments caused adverse effects on body composition. The inclusion of the three seaweeds in the diet led to evident changes in the fish digestive system morphology with significant reduction of villi length on GRA diet. The results obtained in this study suggest the usefulness of P. dioica and Ulva spp. to partially replace fishmeal in practical diets for tilapia juveniles up to 10 %, as no negative consequences on growth performance or body composition were observed. However, the inclusion of 10 % G. vermiculophylla seems to have a negative effect in diet palatability, reducing fish feed intake and growth performance.","container-title":"Journal of Applied Phycology","DOI":"10.1007/s10811-014-0453-9","ISSN":"1573-5176","issue":"4","journalAbbreviation":"J Appl Phycol","language":"en","page":"1671-1680","source":"Springer Link","title":"Evaluation of IMTA-produced seaweeds (Gracilaria, Porphyra, and Ulva) as dietary ingredients in Nile tilapia, Oreochromis niloticus L., juveniles. Effects on growth performance and gut histology","volume":"27","author":[{"family":"Silva","given":"D. M."},{"family":"Valente","given":"L. M. P."},{"family":"Sousa-Pinto","given":"I."},{"family":"Pereira","given":"R."},{"family":"Pires","given":"M. A."},{"family":"Seixas","given":"F."},{"family":"Rema","given":"P."}],"issued":{"date-parts":[["2015",8,1]]}}},{"id":573,"uris":["http://zotero.org/users/7102179/items/HZQVEHJU"],"itemData":{"id":573,"type":"article-journal","abstract":"Seaweed, also known as macroalgae, represents a vast resource that can be categorized into three taxonomic groups: Rhodophyta (red), Chlorophyta (green), and Phaeophyceae (brown). They are a good source of essential nutrients such as proteins, minerals, vitamins, and omega-3 fatty acids. Seaweed also contains a wide range of functional metabolites, including polyphenols, polysaccharides, and pigments. This study comprehensively discusses seaweed and seaweed-derived metabolites and their potential as a functional feed ingredient in aquafeed for aquaculture production. Past research has discussed the nutritional role of seaweed in promoting the growth performance of fish, but their effects on immune response and gut health in fish have received considerably less attention in the published literature. Existing research, however, has demonstrated that dietary seaweed and seaweed-based metabolite supplementation positively impact the antioxidant status, disease resistance, and stress response in fish. Additionally, seaweed supplementation can promote the growth of beneficial bacteria and inhibit the proliferation of harmful bacteria, thereby improving gut health and nutrient absorption in fish. Nevertheless, an important balance remains between dietary seaweed inclusion level and the resultant metabolic alteration in fish. This review highlights the current state of knowledge and the associated importance of continued research endeavors regarding seaweed and seaweed-based functional metabolites as potential modulators of growth, immune and antioxidant response, and gut microbiota composition in fish.","container-title":"Antioxidants","DOI":"10.3390/antiox12122066","ISSN":"2076-3921","issue":"12","language":"en","license":"http://creativecommons.org/licenses/by/3.0/","page":"2066","publisher":"Multidisciplinary Digital Publishing Institute","source":"www.mdpi.com","title":"Seaweed and Seaweed-Based Functional Metabolites as Potential Modulators of Growth, Immune and Antioxidant Responses, and Gut Microbiota in Fish","volume":"12","author":[{"family":"Siddik","given":"Muhammad A. B."},{"family":"Francis","given":"Prue"},{"family":"Rohani","given":"Md Fazle"},{"family":"Azam","given":"Mohammed Shariful"},{"family":"Mock","given":"Thomas S."},{"family":"Francis","given":"David S."}],"issued":{"date-parts":[["2023",12]]}}}],"schema":"https://github.com/citation-style-language/schema/raw/master/csl-citation.json"} </w:instrText>
      </w:r>
      <w:r w:rsidR="00BF2484">
        <w:fldChar w:fldCharType="separate"/>
      </w:r>
      <w:r w:rsidR="00BF2484" w:rsidRPr="00BF2484">
        <w:t>(Silva et al. 2015; Siddik et al. 2023)</w:t>
      </w:r>
      <w:r w:rsidR="00BF2484">
        <w:fldChar w:fldCharType="end"/>
      </w:r>
      <w:r>
        <w:t>.</w:t>
      </w:r>
    </w:p>
    <w:p w14:paraId="78A569D5" w14:textId="4A2DD2C1" w:rsidR="004A5C8B" w:rsidRDefault="00000000" w:rsidP="004247B8">
      <w:pPr>
        <w:spacing w:after="0" w:line="360" w:lineRule="auto"/>
        <w:ind w:firstLine="432"/>
        <w:jc w:val="both"/>
      </w:pPr>
      <w:r>
        <w:t xml:space="preserve">Treatment A, which combined 5% seaweed meal and 5% moringa leaf meal, produced the lowest digestibility and growth. This finding indicates that combining two functional ingredients does not always produce a synergistic effect. The combination may have increased the accumulation of fiber, ash, complex polysaccharides, and antinutritional compounds, thereby reducing palatability, increasing the digestive burden, and decreasing the availability of protein and energy. In sustainable aquaculture feed development, the use of alternative ingredients should be based on nutritional compatibility, not only on the bioactive potential of each ingredient </w:t>
      </w:r>
      <w:r w:rsidR="00BF2484">
        <w:fldChar w:fldCharType="begin"/>
      </w:r>
      <w:r w:rsidR="00BF2484">
        <w:instrText xml:space="preserve"> ADDIN ZOTERO_ITEM CSL_CITATION {"citationID":"WH8jbe0G","properties":{"unsorted":true,"formattedCitation":"(Zlaugotne et al., 2022; Hussain et al., 2024)","plainCitation":"(Zlaugotne et al., 2022; Hussain et al., 2024)","noteIndex":0},"citationItems":[{"id":579,"uris":["http://zotero.org/users/7102179/items/V3HXXIZI"],"itemData":{"id":579,"type":"article-journal","container-title":"Heliyon","DOI":"10.1016/j.heliyon.2022.e10527","ISSN":"2405-8440","issue":"9","journalAbbreviation":"Heliyon","language":"English","PMID":"36119893","publisher":"Elsevier","source":"www.cell.com","title":"Advantages and disadvantages of using more sustainable ingredients in fish feed","URL":"https://www.cell.com/heliyon/abstract/S2405-8440(22)01815-1","volume":"8","author":[{"family":"Zlaugotne","given":"Beate"},{"family":"Pubule","given":"Jelena"},{"family":"Blumberga","given":"Dagnija"}],"accessed":{"date-parts":[["2026",6,21]]},"issued":{"date-parts":[["2022",9,1]]}}},{"id":554,"uris":["http://zotero.org/users/7102179/items/QQ88EEWA"],"itemData":{"id":554,"type":"article-journal","container-title":"Heliyon","DOI":"10.1016/j.heliyon.2024.e26573","ISSN":"2405-8440","issue":"4","journalAbbreviation":"Heliyon","language":"English","PMID":"38434023","publisher":"Elsevier","source":"www.cell.com","title":"Substitution of fishmeal: Highlights of potential plant protein sources for aquaculture sustainability","title-short":"Substitution of fishmeal","URL":"https://www.cell.com/heliyon/abstract/S2405-8440(24)02604-5","volume":"10","author":[{"family":"Hussain","given":"Syed Makhdoom"},{"family":"Bano","given":"Aumme Adeeba"},{"family":"Ali","given":"Shafaqat"},{"family":"Rizwan","given":"Muhammad"},{"family":"Adrees","given":"Muhammad"},{"family":"Zahoor","given":"Ameer Fawad"},{"family":"Sarker","given":"Pallab K."},{"family":"Hussain","given":"Majid"},{"family":"Arsalan","given":"Muhammad Zubair-ul-Hassan"},{"family":"Yong","given":"Jean Wan Hong"},{"family":"Naeem","given":"Adan"}],"accessed":{"date-parts":[["2026",6,21]]},"issued":{"date-parts":[["2024",2,29]]}}}],"schema":"https://github.com/citation-style-language/schema/raw/master/csl-citation.json"} </w:instrText>
      </w:r>
      <w:r w:rsidR="00BF2484">
        <w:fldChar w:fldCharType="separate"/>
      </w:r>
      <w:r w:rsidR="00BF2484" w:rsidRPr="00BF2484">
        <w:t>(Zlaugotne et al. 2022; Hussain et al. 2024)</w:t>
      </w:r>
      <w:r w:rsidR="00BF2484">
        <w:fldChar w:fldCharType="end"/>
      </w:r>
      <w:r>
        <w:t>.</w:t>
      </w:r>
    </w:p>
    <w:p w14:paraId="7CD9F946" w14:textId="0736FA64" w:rsidR="004A5C8B" w:rsidRDefault="00000000" w:rsidP="004247B8">
      <w:pPr>
        <w:spacing w:after="0" w:line="360" w:lineRule="auto"/>
        <w:ind w:firstLine="432"/>
        <w:jc w:val="both"/>
      </w:pPr>
      <w:r>
        <w:t xml:space="preserve">The blood profile supports the interpretation that treatment C was more promising than the other alternative diets. Total erythrocytes and leukocytes in treatment C approached those in the commercial feed treatment and were higher than those in treatments A and B. Erythrocytes are associated with oxygen transport capacity, whereas leukocytes reflect the body’s defense response. Kamble et al. (2024) reported that </w:t>
      </w:r>
      <w:r w:rsidR="004247B8">
        <w:t xml:space="preserve">supplementation with moringa leaf extract </w:t>
      </w:r>
      <w:r>
        <w:t>in Nile tilapia improved red blood cells, white blood cells, hemoglobin, hematocrit, and innate immune responses. Therefore, the hematological response observed in treatment C may be associated with the contribution of moringa bioactive compounds to fish physiological status.</w:t>
      </w:r>
    </w:p>
    <w:p w14:paraId="513CFE05" w14:textId="1CCEF23E" w:rsidR="004A5C8B" w:rsidRDefault="00000000" w:rsidP="004247B8">
      <w:pPr>
        <w:spacing w:after="0" w:line="360" w:lineRule="auto"/>
        <w:ind w:firstLine="432"/>
        <w:jc w:val="both"/>
      </w:pPr>
      <w:r>
        <w:lastRenderedPageBreak/>
        <w:t xml:space="preserve">The increases in intestine somatic index and hepatosomatic index in treatments D and C indicate organ responses to nutrient status and feed metabolism. A higher HSI in diets associated with better growth may reflect increased hepatic metabolic activity and energy storage. However, excessively high HSI under certain dietary conditions should be interpreted </w:t>
      </w:r>
      <w:r w:rsidR="004247B8">
        <w:t>with caution, as it may also reflect</w:t>
      </w:r>
      <w:r>
        <w:t xml:space="preserve"> lipid accumulation or metabolic burden. Further research should include liver histology and body composition analysis to determine whether increased HSI reflects healthy energy status or metabolic stress</w:t>
      </w:r>
      <w:r w:rsidR="000E0CF5">
        <w:t xml:space="preserve"> </w:t>
      </w:r>
      <w:r w:rsidR="000E0CF5">
        <w:fldChar w:fldCharType="begin"/>
      </w:r>
      <w:r w:rsidR="000E0CF5">
        <w:instrText xml:space="preserve"> ADDIN ZOTERO_ITEM CSL_CITATION {"citationID":"iQaUbnSn","properties":{"unsorted":false,"formattedCitation":"(Schneider et al., 2025; Villasante et al., 2025)","plainCitation":"(Schneider et al., 2025; Villasante et al., 2025)","noteIndex":0},"citationItems":[{"id":571,"uris":["http://zotero.org/users/7102179/items/7U9IR6HU"],"itemData":{"id":571,"type":"article-journal","abstract":"Proteases facilitate the breakdown of components associated with antinutritional factors. This study evaluated the effects of protease supplementation in Nile tilapia diets on metabolic and intestinal responses. Three diets were tested: soybean meal SM1 (fish meal FM:SM = 1:1), SM2 (1:2), and SM3 (1:3), based on the protein content. All the diets were without or with protease (0.44 g/kg). The fish were randomly allocated to 18 tanks/49 days. In SM3 without protease, an increase in the villus height and width, as well as the number of goblet cells, was observed. Protease supplementation increased the villus height compared to diets without the enzyme. The SM1 with protease resulted in a reduction in the digestive somatic index, but significantly increased the hepatosomatic and intestinal quotient indices. In SM2 with protease, reductions in the amino acid (AA) content and aspartate aminotransferase activity in the liver were observed. In the muscles, supplementation increased the AA concentrations. Higher plasma AA and albumin concentrations were detected in the SM2 and SM3 groups with protease. A significant interaction was found, with SM3 without protease showing lower plasma protein and AA concentrations. In SM2 with protease, higher levels of albumin and globulin were recorded. Protease in soybean meal diets improved the intestinal health and metabolism in tilapia.","container-title":"Animals","DOI":"10.3390/ani15030349","ISSN":"2076-2615","issue":"3","language":"en","license":"http://creativecommons.org/licenses/by/3.0/","page":"349","publisher":"Multidisciplinary Digital Publishing Institute","source":"www.mdpi.com","title":"Metabolic and Intestinal Morphometric Responses of Nile Tilapia Fed Diets Containing Soybean and Protease","volume":"15","author":[{"family":"Schneider","given":"Thamara Luísa Staudt"},{"family":"Scheid","given":"Roberta Cristina"},{"family":"Peixoto","given":"Nilce Coelho"},{"family":"Lazzari","given":"Rafael"}],"issued":{"date-parts":[["2025",1]]}}},{"id":577,"uris":["http://zotero.org/users/7102179/items/ECCQ7IFW"],"itemData":{"id":577,"type":"article-journal","abstract":"Serum proteins are essential for maintaining osmotic pressure, regulating pH, transporting metabolites, and supporting immune responses. Studying the effects of plant-based diets on these proteins is crucial to understanding their impact on fish health and immune function. Methods: This study was conducted in a recirculation system, with rainbow trout distributed across nine tanks and fed three diets: fishmeal (control), medium plant meal (MPM; 40% of fishmeal replacement), and high plant meal (HPM; 80% of fishmeal replacement). Plasma protein and plasma glucose levels were measured at the initial and final stages, under both fasting (24 h after fast) and postprandial (6 h after fed) conditions, to assess dietary impacts. Additionally, the hepatosomatic index (HSI) was calculated at the end of the experiment to evaluate potential liver adaptations to the diets. Results: The initial protein and glucose levels were similar across all groups. However, by the end of the treatment, the fishmeal-fed group showed significantly higher total protein and globulin levels, while the albumin levels remained consistent across diet types. A significant interaction between sampling time and dietary treatment in fish reduced the clarity of dietary effects on postprandial plasma glucose levels. Furthermore, the HSI was significantly lower in fish fed the high plant meal (HPM) diet compared to the fishmeal and medium plant meal (MPM) groups, suggesting potential metabolic adaptation in response to plant-based diets. Conclusions: Replacing fishmeal with plant-based proteins in rainbow trout diets reduces total globulin and protein concentrations but leaves albumin unaffected, alongside reductions in fasting and postprandial glucose levels. The low growth and different HSI in fish fed plant-based diets highlights potential liver stress, emphasizing the need for further research to optimize sustainable aquaculture feeds while maintaining fish health and performance.","container-title":"Fishes","DOI":"10.3390/fishes10030110","ISSN":"2410-3888","issue":"3","language":"en","license":"http://creativecommons.org/licenses/by/3.0/","page":"110","publisher":"Multidisciplinary Digital Publishing Institute","source":"www.mdpi.com","title":"Impact of Plant-Based Diets on Hepatosomatic Index, Circulating Globulins and Growth in Rainbow Trout (Oncorhynchus mykiss)","volume":"10","author":[{"family":"Villasante","given":"Alejandro"},{"family":"Figueroa","given":"Elías"},{"family":"Godoy","given":"Karina"},{"family":"Dantagnan","given":"Patricio"},{"family":"López-Polo","given":"Johana"},{"family":"Opazo","given":"Rafael"},{"family":"Romero","given":"Jaime"}],"issued":{"date-parts":[["2025",3]]}}}],"schema":"https://github.com/citation-style-language/schema/raw/master/csl-citation.json"} </w:instrText>
      </w:r>
      <w:r w:rsidR="000E0CF5">
        <w:fldChar w:fldCharType="separate"/>
      </w:r>
      <w:r w:rsidR="000E0CF5" w:rsidRPr="000E0CF5">
        <w:t>(Schneider et al. 2025; Villasante et al. 2025)</w:t>
      </w:r>
      <w:r w:rsidR="000E0CF5">
        <w:fldChar w:fldCharType="end"/>
      </w:r>
      <w:r w:rsidR="000E0CF5">
        <w:t>.</w:t>
      </w:r>
      <w:r>
        <w:t xml:space="preserve"> </w:t>
      </w:r>
    </w:p>
    <w:p w14:paraId="2BE9EEF1" w14:textId="3D47AB0D" w:rsidR="004A5C8B" w:rsidRDefault="00000000" w:rsidP="004247B8">
      <w:pPr>
        <w:spacing w:after="0" w:line="360" w:lineRule="auto"/>
        <w:ind w:firstLine="432"/>
        <w:jc w:val="both"/>
      </w:pPr>
      <w:r>
        <w:t xml:space="preserve">Water quality remained within a suitable range for saline Nile tilapia, indicating that the observed results can be interpreted mainly as responses to the dietary treatments. Salinity of 13-15 ppt remained within the range tolerated by Nile tilapia after gradual acclimation. Under saline conditions, high-quality feed becomes more important because fish require energy for osmoregulation in addition to growth. Therefore, alternative feed ingredients for saline tilapia should be evaluated not only for nutrient content but also for their ability to support digestibility, physiological status, and energy efficiency in a brackish environment </w:t>
      </w:r>
      <w:r w:rsidR="000E0CF5">
        <w:fldChar w:fldCharType="begin"/>
      </w:r>
      <w:r w:rsidR="000E0CF5">
        <w:instrText xml:space="preserve"> ADDIN ZOTERO_ITEM CSL_CITATION {"citationID":"hdWgfKzN","properties":{"unsorted":false,"formattedCitation":"(Thomas et al., 2021)","plainCitation":"(Thomas et al., 2021)","noteIndex":0},"citationItems":[{"id":576,"uris":["http://zotero.org/users/7102179/items/6U3IR74T"],"itemData":{"id":576,"type":"article-journal","abstract":"This study was carried out to find suitable salinity for the best growth performance and survival of Nile tilapia (Oreochromis niloticus) with spinach (Spinacia oleracea) in an aquaponic system. The experimental design consisted of inland saline groundwater with salinities 3, 6 and 9 g L−1 as treatments and freshwater as control, carried out in 12 identical aquaponics units with fish stocked at a biomass 1.3 kg m−3 and plants at a density 40 m−2. Nile tilapia reared at salinities 9, 6 and 3 g L−1 showed significantly higher (p &lt; 0.05) feed efficiency ratio and protein efficiency ratio compared to freshwater. The feed conversion ratio of fish at salinities 9, 6 and 3 g L−1 ranged between 1.31–1.43 and significantly differed from control. Final mean biomass were statistically similar at 9 g L−1 (5 kg m−3), 6 g L−1 (4.92 kg m−3) and 3 g L−1 (4.68 kg m−3). Survival of O. niloticus was 100% in all the salinities tested. Spinach was harvested twice during the study, in the first harvest the yield was observed higher in freshwater followed by 3, 6 and 9 g L−1, but in the second harvest, the higher yield was observed in 9 g L−1 followed by 6 g L−1, 3 g L−1 and freshwater. Based on the overall production performance and water quality parameters, a salinity of 9 g L−1 was found to be the best for the integration of Nile tilapia and Spinach in an aquaponic system.","container-title":"Aquaculture Research","DOI":"10.1111/are.15492","ISSN":"1365-2109","issue":"12","language":"en","license":"© 2021 John Wiley &amp; Sons Ltd","note":"_eprint: https://onlinelibrary.wiley.com/doi/pdf/10.1111/are.15492","page":"6288-6298","source":"Wiley Online Library","title":"Effect of salinity on growth of Nile tilapia (Oreochromis niloticus) and spinach (Spinacia oleracea) in aquaponic system using inland saline groundwater","volume":"52","author":[{"family":"Thomas","given":"Ritty Maria"},{"family":"Verma","given":"Ajit Kumar"},{"family":"Krishna","given":"Hari"},{"family":"Prakash","given":"Satya"},{"family":"Kumar","given":"Ashok"},{"family":"Peter","given":"Roshan Maria"}],"issued":{"date-parts":[["2021"]]}}}],"schema":"https://github.com/citation-style-language/schema/raw/master/csl-citation.json"} </w:instrText>
      </w:r>
      <w:r w:rsidR="000E0CF5">
        <w:fldChar w:fldCharType="separate"/>
      </w:r>
      <w:r w:rsidR="000E0CF5" w:rsidRPr="000E0CF5">
        <w:t>(Thomas et al. 2021)</w:t>
      </w:r>
      <w:r w:rsidR="000E0CF5">
        <w:fldChar w:fldCharType="end"/>
      </w:r>
      <w:r>
        <w:t>.</w:t>
      </w:r>
    </w:p>
    <w:p w14:paraId="48806752" w14:textId="6325E8D3" w:rsidR="004A5C8B" w:rsidRDefault="00000000" w:rsidP="004247B8">
      <w:pPr>
        <w:spacing w:after="0" w:line="360" w:lineRule="auto"/>
        <w:ind w:firstLine="432"/>
        <w:jc w:val="both"/>
      </w:pPr>
      <w:r>
        <w:t>Overall, the results indicate that 10% moringa leaf meal is more suitable as an alternative feed ingredient for saline Nile tilapia than 10% seaweed meal or the direct combination of 5% seaweed meal and 5% moringa leaf meal. For an international readership, this finding is important because it provides evidence that tropical local ingredients can support the sustainable aquaculture feed agenda, but formulation must be guided by integrated evaluation of digestibility, intestinal health, blood profile, and growth performance. The findings also open opportunities for further studies on seaweed and moringa fermentation, inclusion-level optimization, and isoenergetic and isoproteic formulation to improve the competitiveness of local feeds in saline tilapia farming systems</w:t>
      </w:r>
      <w:r w:rsidR="000E0CF5">
        <w:t xml:space="preserve"> </w:t>
      </w:r>
      <w:r w:rsidR="000E0CF5">
        <w:fldChar w:fldCharType="begin"/>
      </w:r>
      <w:r w:rsidR="000E0CF5">
        <w:instrText xml:space="preserve"> ADDIN ZOTERO_ITEM CSL_CITATION {"citationID":"E4r8sIRa","properties":{"unsorted":true,"formattedCitation":"(Silva et al., 2015; Naylor et al., 2021; Nassar et al., 2024)","plainCitation":"(Silva et al., 2015; Naylor et al., 2021; Nassar et al., 2024)","noteIndex":0},"citationItems":[{"id":575,"uris":["http://zotero.org/users/7102179/items/AD7P3GY3"],"itemData":{"id":575,"type":"article-journal","abstract":"The present study evaluated the effects of the inclusion of three seaweeds, Gracilaria vermiculophylla (GRA), Porphyra dioica (POR), and Ulva spp. (ULV), as dietary ingredients for Nile tilapia (Oreochromis niloticus) juveniles, on the growth performance, body composition, and gut histology. Three experimental diets (GRA, POR, and ULV) were formulated to replace 10 % of whole diet by each of the three seaweeds. A control diet (CTRL) was used, without inclusion of any seaweed. Diets were fed to triplicate groups of 25 Nile tilapia juveniles, with an average body weight (ABW) of 12.1 g, in an 84-day trial. At the end of the trial, growth performance was significantly reduced (P &lt; 0.05) in fish fed the GRA diet, whereas the feed conversion ratio increased significantly in those fish. None of the treatments caused adverse effects on body composition. The inclusion of the three seaweeds in the diet led to evident changes in the fish digestive system morphology with significant reduction of villi length on GRA diet. The results obtained in this study suggest the usefulness of P. dioica and Ulva spp. to partially replace fishmeal in practical diets for tilapia juveniles up to 10 %, as no negative consequences on growth performance or body composition were observed. However, the inclusion of 10 % G. vermiculophylla seems to have a negative effect in diet palatability, reducing fish feed intake and growth performance.","container-title":"Journal of Applied Phycology","DOI":"10.1007/s10811-014-0453-9","ISSN":"1573-5176","issue":"4","journalAbbreviation":"J Appl Phycol","language":"en","page":"1671-1680","source":"Springer Link","title":"Evaluation of IMTA-produced seaweeds (Gracilaria, Porphyra, and Ulva) as dietary ingredients in Nile tilapia, Oreochromis niloticus L., juveniles. Effects on growth performance and gut histology","volume":"27","author":[{"family":"Silva","given":"D. M."},{"family":"Valente","given":"L. M. P."},{"family":"Sousa-Pinto","given":"I."},{"family":"Pereira","given":"R."},{"family":"Pires","given":"M. A."},{"family":"Seixas","given":"F."},{"family":"Rema","given":"P."}],"issued":{"date-parts":[["2015",8,1]]}}},{"id":568,"uris":["http://zotero.org/users/7102179/items/UZMSF6VT"],"itemData":{"id":568,"type":"article-journal","abstract":"The sustainability of aquaculture has been debated intensely since 2000, when a review on the net contribution of aquaculture to world fish supplies was published in Nature. This paper reviews the developments in global aquaculture from 1997 to 2017, incorporating all industry sub-sectors and highlighting the integration of aquaculture in the global food system. Inland aquaculture—especially in Asia—has contributed the most to global production volumes and food security. Major gains have also occurred in aquaculture feed efficiency and fish nutrition, lowering the fish-in–fish-out ratio for all fed species, although the dependence on marine ingredients persists and reliance on terrestrial ingredients has increased. The culture of both molluscs and seaweed is increasingly recognized for its ecosystem services; however, the quantification, valuation, and market development of these services remain rare. The potential for molluscs and seaweed to support global nutritional security is underexploited. Management of pathogens, parasites, and pests remains a sustainability challenge industry-wide, and the effects of climate change on aquaculture remain uncertain and difficult to validate. Pressure on the aquaculture industry to embrace comprehensive sustainability measures during this 20-year period have improved the governance, technology, siting, and management in many cases.","container-title":"Nature","DOI":"10.1038/s41586-021-03308-6","ISSN":"1476-4687","issue":"7851","language":"en","license":"2021 Springer Nature Limited","page":"551-563","publisher":"Nature Publishing Group","source":"www.nature.com","title":"A 20-year retrospective review of global aquaculture","volume":"591","author":[{"family":"Naylor","given":"Rosamond L."},{"family":"Hardy","given":"Ronald W."},{"family":"Buschmann","given":"Alejandro H."},{"family":"Bush","given":"Simon R."},{"family":"Cao","given":"Ling"},{"family":"Klinger","given":"Dane H."},{"family":"Little","given":"David C."},{"family":"Lubchenco","given":"Jane"},{"family":"Shumway","given":"Sandra E."},{"family":"Troell","given":"Max"}],"issued":{"date-parts":[["2021",3]]}}},{"id":566,"uris":["http://zotero.org/users/7102179/items/CH7UXZV5"],"itemData":{"id":566,"type":"article-journal","abstract":"Moringa oleifera, a well-known medicinal plant, has been used in aquafeed as a dietary supplement. Based on previous studies, insufficient research is available on the dietary supplementation of Nile tilapia with M. oleifera leaf and seed mixtures, specifically the fermented form. Therefore, this study aimed to investigate the efficacy of fermented (FMO) versus non-fermented M. oleifera (MO) leaf and seed mixtures on immunological parameters, antioxidant activity, growth performance, and resistance to A. hydrophila infection after a 30-day feeding trial on Nile tilapia.","container-title":"BMC Veterinary Research","DOI":"10.1186/s12917-024-04070-3","ISSN":"1746-6148","issue":"1","journalAbbreviation":"BMC Vet Res","language":"en","page":"231","source":"Springer Link","title":"Immunomodulatory, antioxidant, and growth-promoting activities of dietary fermented Moringa oleifera in Nile tilapia (Oreochromus niloticus) with in-vivo protection against Aeromonas hydrophila","volume":"20","author":[{"family":"Nassar","given":"Asmaa A. M. A."},{"family":"Gharib","given":"Ahlam Abd El-Aziz"},{"family":"Abdelgalil","given":"Sarah Yousef"},{"family":"AbdAllah","given":"Hossam M."},{"family":"Elmowalid","given":"Gamal A."}],"issued":{"date-parts":[["2024",5,27]]}}}],"schema":"https://github.com/citation-style-language/schema/raw/master/csl-citation.json"} </w:instrText>
      </w:r>
      <w:r w:rsidR="000E0CF5">
        <w:fldChar w:fldCharType="separate"/>
      </w:r>
      <w:r w:rsidR="000E0CF5" w:rsidRPr="000E0CF5">
        <w:t>(Silva et al. 2015; Naylor et al. 2021; Nassar et al. 2024)</w:t>
      </w:r>
      <w:r w:rsidR="000E0CF5">
        <w:fldChar w:fldCharType="end"/>
      </w:r>
      <w:r w:rsidR="000E0CF5">
        <w:t>.</w:t>
      </w:r>
    </w:p>
    <w:p w14:paraId="0108917B" w14:textId="77777777" w:rsidR="004A5C8B" w:rsidRDefault="00000000" w:rsidP="004247B8">
      <w:pPr>
        <w:spacing w:before="200" w:after="120" w:line="360" w:lineRule="auto"/>
        <w:jc w:val="both"/>
      </w:pPr>
      <w:r>
        <w:rPr>
          <w:b/>
        </w:rPr>
        <w:t>CONCLUSION</w:t>
      </w:r>
    </w:p>
    <w:p w14:paraId="40C1C33F" w14:textId="77777777" w:rsidR="004A5C8B" w:rsidRDefault="00000000" w:rsidP="004247B8">
      <w:pPr>
        <w:spacing w:after="120" w:line="360" w:lineRule="auto"/>
        <w:ind w:firstLine="432"/>
        <w:jc w:val="both"/>
      </w:pPr>
      <w:r>
        <w:t xml:space="preserve">Dietary inclusion of </w:t>
      </w:r>
      <w:r w:rsidRPr="005F0C93">
        <w:rPr>
          <w:i/>
          <w:iCs/>
        </w:rPr>
        <w:t>G. verrucosa</w:t>
      </w:r>
      <w:r>
        <w:t xml:space="preserve"> seaweed meal and </w:t>
      </w:r>
      <w:r w:rsidRPr="005F0C93">
        <w:rPr>
          <w:i/>
          <w:iCs/>
        </w:rPr>
        <w:t>M. oleifera</w:t>
      </w:r>
      <w:r>
        <w:t xml:space="preserve"> leaf meal significantly affected protein digestibility, total digestibility, absolute growth, intestinal histology, intestine somatic index, hepatosomatic index, total erythrocytes, and total leukocytes of saline Nile tilapia. Commercial feed produced the highest response in most parameters. Among the alternative diets, 10% moringa leaf meal produced the most favorable and consistent performance, especially in total digestibility, growth, villus width, and blood profile. The direct </w:t>
      </w:r>
      <w:r>
        <w:lastRenderedPageBreak/>
        <w:t>combination of 5% seaweed meal and 5% moringa leaf meal did not show a synergistic effect. Its use should therefore be improved through ingredient processing, especially fermentation, to reduce fiber, ash, and antinutritional compounds. Further studies should evaluate isoproteic and isoenergetic diets, lower inclusion levels, ingredient fermentation, microbiota profiles, and liver histology to better explain the mechanisms of nutrient utilization.</w:t>
      </w:r>
    </w:p>
    <w:p w14:paraId="646C1E21" w14:textId="77777777" w:rsidR="004A5C8B" w:rsidRDefault="00000000">
      <w:pPr>
        <w:spacing w:before="200" w:after="120" w:line="360" w:lineRule="auto"/>
      </w:pPr>
      <w:r>
        <w:rPr>
          <w:b/>
        </w:rPr>
        <w:t>DECLARATIONS</w:t>
      </w:r>
    </w:p>
    <w:p w14:paraId="22CCBFEA" w14:textId="77777777" w:rsidR="004A5C8B" w:rsidRDefault="00000000">
      <w:pPr>
        <w:spacing w:before="120" w:after="120" w:line="360" w:lineRule="auto"/>
      </w:pPr>
      <w:r>
        <w:rPr>
          <w:b/>
        </w:rPr>
        <w:t>Funding</w:t>
      </w:r>
    </w:p>
    <w:p w14:paraId="23EB4B60" w14:textId="77777777" w:rsidR="004A5C8B" w:rsidRDefault="00000000" w:rsidP="004247B8">
      <w:pPr>
        <w:spacing w:after="120" w:line="360" w:lineRule="auto"/>
        <w:ind w:firstLine="432"/>
        <w:jc w:val="both"/>
      </w:pPr>
      <w:r>
        <w:t>This study did not receive financial support from any organization or agency.</w:t>
      </w:r>
    </w:p>
    <w:p w14:paraId="14B773C6" w14:textId="77777777" w:rsidR="004A5C8B" w:rsidRDefault="00000000" w:rsidP="004247B8">
      <w:pPr>
        <w:spacing w:before="120" w:after="120" w:line="360" w:lineRule="auto"/>
        <w:jc w:val="both"/>
      </w:pPr>
      <w:r>
        <w:rPr>
          <w:b/>
        </w:rPr>
        <w:t>Acknowledgments</w:t>
      </w:r>
    </w:p>
    <w:p w14:paraId="5CE13ADC" w14:textId="77777777" w:rsidR="004A5C8B" w:rsidRDefault="00000000" w:rsidP="004247B8">
      <w:pPr>
        <w:spacing w:after="120" w:line="360" w:lineRule="auto"/>
        <w:ind w:firstLine="432"/>
        <w:jc w:val="both"/>
      </w:pPr>
      <w:r>
        <w:t>The authors thank the Laboratory of Aquaculture, Hatchery, and Fisheries Production, Faculty of Fisheries and Marine Sciences, Halu Oleo University, Kendari, Indonesia; the Fish Nutrition Laboratory, Department of Aquaculture, Faculty of Fisheries and Marine Sciences, IPB University, Bogor, Indonesia; and the Center for Veterinary Assembly and Modernization, Bogor, Indonesia, for technical support during fish rearing, proximate and chromium analyses, blood profile observation, and intestinal histology examination.</w:t>
      </w:r>
    </w:p>
    <w:p w14:paraId="479BF226" w14:textId="77777777" w:rsidR="004A5C8B" w:rsidRDefault="00000000" w:rsidP="004247B8">
      <w:pPr>
        <w:spacing w:before="120" w:after="120" w:line="360" w:lineRule="auto"/>
        <w:jc w:val="both"/>
      </w:pPr>
      <w:r>
        <w:rPr>
          <w:b/>
        </w:rPr>
        <w:t>Conflict of interest</w:t>
      </w:r>
    </w:p>
    <w:p w14:paraId="44A568AE" w14:textId="1EBE02CC" w:rsidR="004A5C8B" w:rsidRDefault="00000000" w:rsidP="004247B8">
      <w:pPr>
        <w:spacing w:after="120" w:line="360" w:lineRule="auto"/>
        <w:ind w:firstLine="432"/>
        <w:jc w:val="both"/>
      </w:pPr>
      <w:r>
        <w:t>The authors declare no financial or nonfinancial conflicts of interest that could have influenced the conduct, analysis, interpretation, or reporting of this study.</w:t>
      </w:r>
    </w:p>
    <w:p w14:paraId="18ADC2FD" w14:textId="77777777" w:rsidR="004A5C8B" w:rsidRDefault="00000000" w:rsidP="004247B8">
      <w:pPr>
        <w:spacing w:before="120" w:after="120" w:line="360" w:lineRule="auto"/>
        <w:jc w:val="both"/>
      </w:pPr>
      <w:r>
        <w:rPr>
          <w:b/>
        </w:rPr>
        <w:t>Data availability</w:t>
      </w:r>
    </w:p>
    <w:p w14:paraId="5D1E2D57" w14:textId="77777777" w:rsidR="004A5C8B" w:rsidRDefault="00000000" w:rsidP="004247B8">
      <w:pPr>
        <w:spacing w:after="120" w:line="360" w:lineRule="auto"/>
        <w:ind w:firstLine="432"/>
        <w:jc w:val="both"/>
      </w:pPr>
      <w:r>
        <w:t>The main data supporting the findings of this study are presented in the article. Raw data are available from the corresponding author upon reasonable request.</w:t>
      </w:r>
    </w:p>
    <w:p w14:paraId="69BE3CBE" w14:textId="77777777" w:rsidR="004A5C8B" w:rsidRDefault="00000000" w:rsidP="004247B8">
      <w:pPr>
        <w:spacing w:before="120" w:after="120" w:line="360" w:lineRule="auto"/>
        <w:jc w:val="both"/>
      </w:pPr>
      <w:r>
        <w:rPr>
          <w:b/>
        </w:rPr>
        <w:t>Ethics statement</w:t>
      </w:r>
    </w:p>
    <w:p w14:paraId="422D3292" w14:textId="6CB2E906" w:rsidR="004A5C8B" w:rsidRDefault="00000000" w:rsidP="004247B8">
      <w:pPr>
        <w:spacing w:after="120" w:line="360" w:lineRule="auto"/>
        <w:ind w:firstLine="432"/>
        <w:jc w:val="both"/>
      </w:pPr>
      <w:r>
        <w:t xml:space="preserve">The animal-use protocol was approved by the Ethical Committee </w:t>
      </w:r>
      <w:r w:rsidR="00D93D7C">
        <w:t xml:space="preserve">for </w:t>
      </w:r>
      <w:r>
        <w:t xml:space="preserve">Research of the Institution of Research and Community Service, Halu Oleo University, Kendari, Indonesia (approval No. 1421/UN29.20.1.2/PG/2025; approved on July 7, 2025). The approval was valid for one year from the approval date. The study was conducted </w:t>
      </w:r>
      <w:r w:rsidR="004247B8">
        <w:t>in accordance with</w:t>
      </w:r>
      <w:r>
        <w:t xml:space="preserve"> applicable institutional requirements for the use of animal subjects.</w:t>
      </w:r>
    </w:p>
    <w:p w14:paraId="5AF9D3F1" w14:textId="77777777" w:rsidR="004A5C8B" w:rsidRDefault="00000000" w:rsidP="004247B8">
      <w:pPr>
        <w:spacing w:before="120" w:after="120" w:line="360" w:lineRule="auto"/>
        <w:jc w:val="both"/>
      </w:pPr>
      <w:r>
        <w:rPr>
          <w:b/>
        </w:rPr>
        <w:t>Authors’ contributions</w:t>
      </w:r>
    </w:p>
    <w:p w14:paraId="3D44BAA3" w14:textId="77777777" w:rsidR="004A5C8B" w:rsidRDefault="00000000" w:rsidP="004247B8">
      <w:pPr>
        <w:spacing w:after="120" w:line="360" w:lineRule="auto"/>
        <w:ind w:firstLine="432"/>
        <w:jc w:val="both"/>
      </w:pPr>
      <w:r>
        <w:t xml:space="preserve">WHM: conceptualization, methodology, project administration, supervision, and writing - review and editing. ZB: investigation, data collection, data curation, formal analysis, and </w:t>
      </w:r>
      <w:r>
        <w:lastRenderedPageBreak/>
        <w:t>writing - original draft. R: methodology, validation, resources, and writing - review and editing. IN: methodology, data interpretation, validation, and writing - review and editing. AK: supervision, methodology, validation, and writing - review and editing. MH: investigation, resources, validation, and writing - review and editing. LOBA: investigation, data curation, visualization, and writing - review and editing. H: methodology, validation, and writing - review and editing. LOMM: formal analysis, validation, data interpretation, and writing - review and editing. All authors read and approved the final manuscript.</w:t>
      </w:r>
    </w:p>
    <w:p w14:paraId="10B8E33F" w14:textId="77777777" w:rsidR="004A5C8B" w:rsidRDefault="00000000" w:rsidP="004247B8">
      <w:pPr>
        <w:spacing w:before="120" w:after="120" w:line="360" w:lineRule="auto"/>
        <w:jc w:val="both"/>
      </w:pPr>
      <w:r>
        <w:rPr>
          <w:b/>
        </w:rPr>
        <w:t>Generative AI statement</w:t>
      </w:r>
    </w:p>
    <w:p w14:paraId="1FF2AE2C" w14:textId="77777777" w:rsidR="004A5C8B" w:rsidRDefault="00000000" w:rsidP="004247B8">
      <w:pPr>
        <w:spacing w:after="120" w:line="360" w:lineRule="auto"/>
        <w:ind w:firstLine="432"/>
        <w:jc w:val="both"/>
      </w:pPr>
      <w:r>
        <w:t>Digital assistance was used only for language editing, academic English refinement, and manuscript formatting. No generative AI tool was used to design the study, generate data, perform statistical analysis, create results, or determine the scientific interpretation. The authors take full responsibility for the accuracy, integrity, and originality of the manuscript.</w:t>
      </w:r>
    </w:p>
    <w:p w14:paraId="24C48F50" w14:textId="4F5C5F48" w:rsidR="004A5C8B" w:rsidRDefault="00000000" w:rsidP="000E0CF5">
      <w:pPr>
        <w:spacing w:before="200" w:after="120" w:line="360" w:lineRule="auto"/>
      </w:pPr>
      <w:r>
        <w:rPr>
          <w:b/>
        </w:rPr>
        <w:t>REFERENCES</w:t>
      </w:r>
      <w:r w:rsidR="004247B8">
        <w:rPr>
          <w:sz w:val="22"/>
        </w:rPr>
        <w:t xml:space="preserve"> </w:t>
      </w:r>
    </w:p>
    <w:p w14:paraId="7547E565" w14:textId="728D23C4" w:rsidR="00134924" w:rsidRPr="00C03393" w:rsidRDefault="000E0CF5" w:rsidP="00134924">
      <w:pPr>
        <w:pStyle w:val="NormalWeb"/>
        <w:spacing w:before="0" w:beforeAutospacing="0" w:after="60" w:afterAutospacing="0" w:line="240" w:lineRule="exact"/>
        <w:jc w:val="both"/>
        <w:rPr>
          <w:sz w:val="22"/>
          <w:szCs w:val="22"/>
        </w:rPr>
      </w:pPr>
      <w:r w:rsidRPr="00C03393">
        <w:rPr>
          <w:sz w:val="22"/>
          <w:szCs w:val="22"/>
        </w:rPr>
        <w:fldChar w:fldCharType="begin"/>
      </w:r>
      <w:r w:rsidRPr="00C03393">
        <w:rPr>
          <w:sz w:val="22"/>
          <w:szCs w:val="22"/>
        </w:rPr>
        <w:instrText xml:space="preserve"> ADDIN ZOTERO_BIBL {"uncited":[],"omitted":[],"custom":[]} CSL_BIBLIOGRAPHY </w:instrText>
      </w:r>
      <w:r w:rsidRPr="00C03393">
        <w:rPr>
          <w:sz w:val="22"/>
          <w:szCs w:val="22"/>
        </w:rPr>
        <w:fldChar w:fldCharType="separate"/>
      </w:r>
      <w:r w:rsidR="00134924" w:rsidRPr="00C03393">
        <w:rPr>
          <w:sz w:val="22"/>
          <w:szCs w:val="22"/>
        </w:rPr>
        <w:t>Aanyu M, Ondhoro CC, Ganda E, Kato DC and Basiita RK, 2014. Intestine histology, nutrient digestibility and body composition of Nile tilapia (</w:t>
      </w:r>
      <w:r w:rsidR="00134924" w:rsidRPr="00795AE3">
        <w:rPr>
          <w:i/>
          <w:iCs/>
          <w:sz w:val="22"/>
          <w:szCs w:val="22"/>
        </w:rPr>
        <w:t>Oreochromis niloticus</w:t>
      </w:r>
      <w:r w:rsidR="00134924" w:rsidRPr="00C03393">
        <w:rPr>
          <w:sz w:val="22"/>
          <w:szCs w:val="22"/>
        </w:rPr>
        <w:t xml:space="preserve">) fed on diets with both cotton and sunflower seed cakes. African Journal of Biotechnology 13: 3831-3839. </w:t>
      </w:r>
      <w:hyperlink r:id="rId8" w:history="1">
        <w:r w:rsidR="00134924" w:rsidRPr="00C03393">
          <w:rPr>
            <w:rStyle w:val="Hyperlink"/>
            <w:color w:val="auto"/>
            <w:sz w:val="22"/>
            <w:szCs w:val="22"/>
            <w:u w:val="none"/>
          </w:rPr>
          <w:t>https://doi.org/10.5897/AJB12.1895</w:t>
        </w:r>
      </w:hyperlink>
    </w:p>
    <w:p w14:paraId="6238553E"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 xml:space="preserve">FAO, 2024. The State of World Fisheries and Aquaculture 2024: Blue Transformation in Action. Food and Agriculture Organization of the United Nations, Rome, Italy. </w:t>
      </w:r>
      <w:hyperlink r:id="rId9" w:history="1">
        <w:r w:rsidRPr="00C03393">
          <w:rPr>
            <w:rStyle w:val="Hyperlink"/>
            <w:color w:val="auto"/>
            <w:sz w:val="22"/>
            <w:szCs w:val="22"/>
            <w:u w:val="none"/>
          </w:rPr>
          <w:t>https://doi.org/10.4060/cd0683en</w:t>
        </w:r>
      </w:hyperlink>
    </w:p>
    <w:p w14:paraId="262B079D"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 xml:space="preserve">Hussain SM, Bano AA, Ali S, Rizwan M, Adrees M, Zahoor AF, Sarker PK, Hussain M, Arsalan MZ-H, Yong JWH and Naeem A, 2024. Substitution of fishmeal: Highlights of potential plant protein sources for aquaculture sustainability. Heliyon 10: e26573. </w:t>
      </w:r>
      <w:hyperlink r:id="rId10" w:history="1">
        <w:r w:rsidRPr="00C03393">
          <w:rPr>
            <w:rStyle w:val="Hyperlink"/>
            <w:color w:val="auto"/>
            <w:sz w:val="22"/>
            <w:szCs w:val="22"/>
            <w:u w:val="none"/>
          </w:rPr>
          <w:t>https://doi.org/10.1016/j.heliyon.2024.e26573</w:t>
        </w:r>
      </w:hyperlink>
    </w:p>
    <w:p w14:paraId="5BCFCE93"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 xml:space="preserve">Jiang W, Qian L, Zhao Y, Lin Y, Yang Y, Shen H, Ge X and Miao L, 2023. The application of Moringa oleifera leaf meal and its fermentation products in the diet of Megalobrama amblycephala juveniles. Fermentation 9: 577. </w:t>
      </w:r>
      <w:hyperlink r:id="rId11" w:history="1">
        <w:r w:rsidRPr="00C03393">
          <w:rPr>
            <w:rStyle w:val="Hyperlink"/>
            <w:color w:val="auto"/>
            <w:sz w:val="22"/>
            <w:szCs w:val="22"/>
            <w:u w:val="none"/>
          </w:rPr>
          <w:t>https://doi.org/10.3390/fermentation9060577</w:t>
        </w:r>
      </w:hyperlink>
    </w:p>
    <w:p w14:paraId="4E34D49D"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Kamble MT, Gallardo W, Salin KR, Pumpuang S, Chavan BR, Bhujel RC, Medhe SV, Kettawan A, Thompson KD and Pirarat N, 2024. Effect of Moringa oleifera leaf extract on the growth performance, hematology, innate immunity, and disease resistance of Nile tilapia (</w:t>
      </w:r>
      <w:r w:rsidRPr="00795AE3">
        <w:rPr>
          <w:i/>
          <w:iCs/>
          <w:sz w:val="22"/>
          <w:szCs w:val="22"/>
        </w:rPr>
        <w:t>Oreochromis niloticus</w:t>
      </w:r>
      <w:r w:rsidRPr="00C03393">
        <w:rPr>
          <w:sz w:val="22"/>
          <w:szCs w:val="22"/>
        </w:rPr>
        <w:t xml:space="preserve">) against Streptococcus agalactiae biotype 2. Animals 14: 953. </w:t>
      </w:r>
      <w:hyperlink r:id="rId12" w:history="1">
        <w:r w:rsidRPr="00C03393">
          <w:rPr>
            <w:rStyle w:val="Hyperlink"/>
            <w:color w:val="auto"/>
            <w:sz w:val="22"/>
            <w:szCs w:val="22"/>
            <w:u w:val="none"/>
          </w:rPr>
          <w:t>https://doi.org/10.3390/ani14060953</w:t>
        </w:r>
      </w:hyperlink>
    </w:p>
    <w:p w14:paraId="5BCD6480"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Köprücü K and Özdemir Y, 2005. Apparent digestibility of selected feed ingredients for Nile tilapia (</w:t>
      </w:r>
      <w:r w:rsidRPr="00795AE3">
        <w:rPr>
          <w:i/>
          <w:iCs/>
          <w:sz w:val="22"/>
          <w:szCs w:val="22"/>
        </w:rPr>
        <w:t>Oreochromis niloticus</w:t>
      </w:r>
      <w:r w:rsidRPr="00C03393">
        <w:rPr>
          <w:sz w:val="22"/>
          <w:szCs w:val="22"/>
        </w:rPr>
        <w:t xml:space="preserve">). Aquaculture 250: 308-316. </w:t>
      </w:r>
      <w:hyperlink r:id="rId13" w:history="1">
        <w:r w:rsidRPr="00C03393">
          <w:rPr>
            <w:rStyle w:val="Hyperlink"/>
            <w:color w:val="auto"/>
            <w:sz w:val="22"/>
            <w:szCs w:val="22"/>
            <w:u w:val="none"/>
          </w:rPr>
          <w:t>https://doi.org/10.1016/j.aquaculture.2004.12.003</w:t>
        </w:r>
      </w:hyperlink>
    </w:p>
    <w:p w14:paraId="719557B1"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 xml:space="preserve">Mmanda FP, Lindberg JE, Norman Haldén A, Mtolera MSP, Kitula R and Lundh T, 2020. Digestibility of local feed ingredients in tilapia </w:t>
      </w:r>
      <w:r w:rsidRPr="00795AE3">
        <w:rPr>
          <w:i/>
          <w:iCs/>
          <w:sz w:val="22"/>
          <w:szCs w:val="22"/>
        </w:rPr>
        <w:t>Oreochromis niloticus</w:t>
      </w:r>
      <w:r w:rsidRPr="00C03393">
        <w:rPr>
          <w:sz w:val="22"/>
          <w:szCs w:val="22"/>
        </w:rPr>
        <w:t xml:space="preserve"> juveniles, determined on faeces collected by siphoning or stripping. Fishes 5: 32. </w:t>
      </w:r>
      <w:hyperlink r:id="rId14" w:history="1">
        <w:r w:rsidRPr="00C03393">
          <w:rPr>
            <w:rStyle w:val="Hyperlink"/>
            <w:color w:val="auto"/>
            <w:sz w:val="22"/>
            <w:szCs w:val="22"/>
            <w:u w:val="none"/>
          </w:rPr>
          <w:t>https://doi.org/10.3390/fishes5040032</w:t>
        </w:r>
      </w:hyperlink>
    </w:p>
    <w:p w14:paraId="09520F4D"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Nassar AAMA, Gharib AAEA, Abdelgalil SY, AbdAllah HM and Elmowalid GA, 2024. Immunomodulatory, antioxidant, and growth-promoting activities of dietary fermented Moringa oleifera in Nile tilapia (</w:t>
      </w:r>
      <w:r w:rsidRPr="00795AE3">
        <w:rPr>
          <w:i/>
          <w:iCs/>
          <w:sz w:val="22"/>
          <w:szCs w:val="22"/>
        </w:rPr>
        <w:t>Oreochromis niloticus</w:t>
      </w:r>
      <w:r w:rsidRPr="00C03393">
        <w:rPr>
          <w:sz w:val="22"/>
          <w:szCs w:val="22"/>
        </w:rPr>
        <w:t xml:space="preserve">) with in-vivo protection against Aeromonas hydrophila. BMC Veterinary Research 20: 231. </w:t>
      </w:r>
      <w:hyperlink r:id="rId15" w:history="1">
        <w:r w:rsidRPr="00C03393">
          <w:rPr>
            <w:rStyle w:val="Hyperlink"/>
            <w:color w:val="auto"/>
            <w:sz w:val="22"/>
            <w:szCs w:val="22"/>
            <w:u w:val="none"/>
          </w:rPr>
          <w:t>https://doi.org/10.1186/s12917-024-04070-3</w:t>
        </w:r>
      </w:hyperlink>
    </w:p>
    <w:p w14:paraId="2C21A2F6"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 xml:space="preserve">Naylor RL, Hardy RW, Buschmann AH, Bush SR, Cao L, Klinger DH, Little DC, Lubchenco J, Shumway SE and Troell M, 2021. A 20-year retrospective review of global aquaculture. Nature 591: 551-563. </w:t>
      </w:r>
      <w:hyperlink r:id="rId16" w:history="1">
        <w:r w:rsidRPr="00C03393">
          <w:rPr>
            <w:rStyle w:val="Hyperlink"/>
            <w:color w:val="auto"/>
            <w:sz w:val="22"/>
            <w:szCs w:val="22"/>
            <w:u w:val="none"/>
          </w:rPr>
          <w:t>https://doi.org/10.1038/s41586-021-03308-6</w:t>
        </w:r>
      </w:hyperlink>
    </w:p>
    <w:p w14:paraId="217594BB"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lastRenderedPageBreak/>
        <w:t xml:space="preserve">Saleh SY, Younis NA, Sherif AH and Gaber HG, 2025. The role of Moringa oleifera in enhancing fish performance and health: A comprehensive review of sustainable aquaculture applications. Veterinary Research Communications 49: 308. </w:t>
      </w:r>
      <w:hyperlink r:id="rId17" w:history="1">
        <w:r w:rsidRPr="00C03393">
          <w:rPr>
            <w:rStyle w:val="Hyperlink"/>
            <w:color w:val="auto"/>
            <w:sz w:val="22"/>
            <w:szCs w:val="22"/>
            <w:u w:val="none"/>
          </w:rPr>
          <w:t>https://doi.org/10.1007/s11259-025-10889-4</w:t>
        </w:r>
      </w:hyperlink>
    </w:p>
    <w:p w14:paraId="36D789D9"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 xml:space="preserve">Schneider TLS, Scheid RC, Peixoto NC and Lazzari R, 2025. Metabolic and intestinal morphometric responses of Nile tilapia fed diets containing soybean and protease. Animals 15: 349. </w:t>
      </w:r>
      <w:hyperlink r:id="rId18" w:history="1">
        <w:r w:rsidRPr="00C03393">
          <w:rPr>
            <w:rStyle w:val="Hyperlink"/>
            <w:color w:val="auto"/>
            <w:sz w:val="22"/>
            <w:szCs w:val="22"/>
            <w:u w:val="none"/>
          </w:rPr>
          <w:t>https://doi.org/10.3390/ani15030349</w:t>
        </w:r>
      </w:hyperlink>
    </w:p>
    <w:p w14:paraId="05D0215A"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 xml:space="preserve">Siddik MAB, Francis P, Rohani MF, Azam MS, Mock TS and Francis DS, 2023. Seaweed and seaweed-based functional metabolites as potential modulators of growth, immune and antioxidant responses, and gut microbiota in fish. Antioxidants 12: 2066. </w:t>
      </w:r>
      <w:hyperlink r:id="rId19" w:history="1">
        <w:r w:rsidRPr="00C03393">
          <w:rPr>
            <w:rStyle w:val="Hyperlink"/>
            <w:color w:val="auto"/>
            <w:sz w:val="22"/>
            <w:szCs w:val="22"/>
            <w:u w:val="none"/>
          </w:rPr>
          <w:t>https://doi.org/10.3390/antiox12122066</w:t>
        </w:r>
      </w:hyperlink>
    </w:p>
    <w:p w14:paraId="1C9C332B"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 xml:space="preserve">Silva DM, Valente LMP, Sousa-Pinto I, Pereira R, Pires MA, Seixas F and Rema P, 2015. Evaluation of IMTA-produced seaweeds (Gracilaria, Porphyra, and Ulva) as dietary ingredients in Nile tilapia, </w:t>
      </w:r>
      <w:r w:rsidRPr="00795AE3">
        <w:rPr>
          <w:i/>
          <w:iCs/>
          <w:sz w:val="22"/>
          <w:szCs w:val="22"/>
        </w:rPr>
        <w:t>Oreochromis niloticus</w:t>
      </w:r>
      <w:r w:rsidRPr="00C03393">
        <w:rPr>
          <w:sz w:val="22"/>
          <w:szCs w:val="22"/>
        </w:rPr>
        <w:t xml:space="preserve"> L., juveniles: Effects on growth performance and gut histology. Journal of Applied Phycology 27: 1671-1680. </w:t>
      </w:r>
      <w:hyperlink r:id="rId20" w:history="1">
        <w:r w:rsidRPr="00C03393">
          <w:rPr>
            <w:rStyle w:val="Hyperlink"/>
            <w:color w:val="auto"/>
            <w:sz w:val="22"/>
            <w:szCs w:val="22"/>
            <w:u w:val="none"/>
          </w:rPr>
          <w:t>https://doi.org/10.1007/s10811-014-0453-9</w:t>
        </w:r>
      </w:hyperlink>
    </w:p>
    <w:p w14:paraId="2F63B850"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Thomas RM, Verma AK, Krishna H, Prakash S, Kumar A and Peter RM, 2021. Effect of salinity on growth of Nile tilapia (</w:t>
      </w:r>
      <w:r w:rsidRPr="00795AE3">
        <w:rPr>
          <w:i/>
          <w:iCs/>
          <w:sz w:val="22"/>
          <w:szCs w:val="22"/>
        </w:rPr>
        <w:t>Oreochromis niloticus</w:t>
      </w:r>
      <w:r w:rsidRPr="00C03393">
        <w:rPr>
          <w:sz w:val="22"/>
          <w:szCs w:val="22"/>
        </w:rPr>
        <w:t xml:space="preserve">) and spinach (Spinacia oleracea) in aquaponic system using inland saline groundwater. Aquaculture Research 52: 6288-6298. </w:t>
      </w:r>
      <w:hyperlink r:id="rId21" w:history="1">
        <w:r w:rsidRPr="00C03393">
          <w:rPr>
            <w:rStyle w:val="Hyperlink"/>
            <w:color w:val="auto"/>
            <w:sz w:val="22"/>
            <w:szCs w:val="22"/>
            <w:u w:val="none"/>
          </w:rPr>
          <w:t>https://doi.org/10.1111/are.15492</w:t>
        </w:r>
      </w:hyperlink>
    </w:p>
    <w:p w14:paraId="1FA297AD"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 xml:space="preserve">Villasante A, Figueroa E, Godoy K, Dantagnan P, López-Polo J, Opazo R and Romero J, 2025. Impact of plant-based diets on hepatosomatic index, circulating globulins and growth in rainbow trout (Oncorhynchus mykiss). Fishes 10: 110. </w:t>
      </w:r>
      <w:hyperlink r:id="rId22" w:history="1">
        <w:r w:rsidRPr="00C03393">
          <w:rPr>
            <w:rStyle w:val="Hyperlink"/>
            <w:color w:val="auto"/>
            <w:sz w:val="22"/>
            <w:szCs w:val="22"/>
            <w:u w:val="none"/>
          </w:rPr>
          <w:t>https://doi.org/10.3390/fishes10030110</w:t>
        </w:r>
      </w:hyperlink>
    </w:p>
    <w:p w14:paraId="3BA18DAE" w14:textId="77777777" w:rsidR="00134924" w:rsidRPr="00C03393" w:rsidRDefault="00134924" w:rsidP="00134924">
      <w:pPr>
        <w:pStyle w:val="NormalWeb"/>
        <w:spacing w:before="0" w:beforeAutospacing="0" w:after="60" w:afterAutospacing="0" w:line="240" w:lineRule="exact"/>
        <w:jc w:val="both"/>
        <w:rPr>
          <w:sz w:val="22"/>
          <w:szCs w:val="22"/>
        </w:rPr>
      </w:pPr>
      <w:r w:rsidRPr="00C03393">
        <w:rPr>
          <w:sz w:val="22"/>
          <w:szCs w:val="22"/>
        </w:rPr>
        <w:t xml:space="preserve">Zlaugotne B, Pubule J and Blumberga D, 2022. Advantages and disadvantages of using more sustainable ingredients in fish feed. Heliyon 8: e10527. </w:t>
      </w:r>
      <w:hyperlink r:id="rId23" w:history="1">
        <w:r w:rsidRPr="00C03393">
          <w:rPr>
            <w:rStyle w:val="Hyperlink"/>
            <w:color w:val="auto"/>
            <w:sz w:val="22"/>
            <w:szCs w:val="22"/>
            <w:u w:val="none"/>
          </w:rPr>
          <w:t>https://doi.org/10.1016/j.heliyon.2022.e10527</w:t>
        </w:r>
      </w:hyperlink>
    </w:p>
    <w:p w14:paraId="2079588E" w14:textId="5FAB93A6" w:rsidR="004A5C8B" w:rsidRDefault="000E0CF5" w:rsidP="000E0CF5">
      <w:pPr>
        <w:spacing w:after="80" w:line="240" w:lineRule="auto"/>
        <w:jc w:val="both"/>
      </w:pPr>
      <w:r w:rsidRPr="00C03393">
        <w:rPr>
          <w:sz w:val="22"/>
        </w:rPr>
        <w:fldChar w:fldCharType="end"/>
      </w:r>
      <w:r>
        <w:rPr>
          <w:b/>
        </w:rPr>
        <w:t>TABLES AND FIGURE</w:t>
      </w:r>
    </w:p>
    <w:p w14:paraId="6A4714DA" w14:textId="77777777" w:rsidR="004A5C8B" w:rsidRDefault="00000000" w:rsidP="00134924">
      <w:pPr>
        <w:spacing w:after="0" w:line="240" w:lineRule="auto"/>
      </w:pPr>
      <w:r>
        <w:rPr>
          <w:b/>
          <w:sz w:val="20"/>
        </w:rPr>
        <w:t>Table 1. Experimental diet formulation (g/100 g feed).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6"/>
        <w:gridCol w:w="1008"/>
        <w:gridCol w:w="1008"/>
        <w:gridCol w:w="1008"/>
      </w:tblGrid>
      <w:tr w:rsidR="004A5C8B" w14:paraId="2C9299A0" w14:textId="77777777" w:rsidTr="005F0C93">
        <w:tc>
          <w:tcPr>
            <w:tcW w:w="4896" w:type="dxa"/>
            <w:shd w:val="clear" w:color="auto" w:fill="auto"/>
            <w:vAlign w:val="center"/>
          </w:tcPr>
          <w:p w14:paraId="43F7E429" w14:textId="77777777" w:rsidR="004A5C8B" w:rsidRDefault="00000000" w:rsidP="00134924">
            <w:pPr>
              <w:spacing w:after="0" w:line="240" w:lineRule="auto"/>
              <w:jc w:val="center"/>
            </w:pPr>
            <w:r>
              <w:rPr>
                <w:b/>
                <w:sz w:val="18"/>
              </w:rPr>
              <w:t>Feed ingredient</w:t>
            </w:r>
          </w:p>
        </w:tc>
        <w:tc>
          <w:tcPr>
            <w:tcW w:w="1008" w:type="dxa"/>
            <w:shd w:val="clear" w:color="auto" w:fill="auto"/>
            <w:vAlign w:val="center"/>
          </w:tcPr>
          <w:p w14:paraId="17F8C121" w14:textId="77777777" w:rsidR="004A5C8B" w:rsidRDefault="00000000" w:rsidP="00134924">
            <w:pPr>
              <w:spacing w:after="0" w:line="240" w:lineRule="auto"/>
              <w:jc w:val="center"/>
            </w:pPr>
            <w:r>
              <w:rPr>
                <w:b/>
                <w:sz w:val="18"/>
              </w:rPr>
              <w:t>A</w:t>
            </w:r>
          </w:p>
        </w:tc>
        <w:tc>
          <w:tcPr>
            <w:tcW w:w="1008" w:type="dxa"/>
            <w:shd w:val="clear" w:color="auto" w:fill="auto"/>
            <w:vAlign w:val="center"/>
          </w:tcPr>
          <w:p w14:paraId="3D15C65C" w14:textId="77777777" w:rsidR="004A5C8B" w:rsidRDefault="00000000" w:rsidP="00134924">
            <w:pPr>
              <w:spacing w:after="0" w:line="240" w:lineRule="auto"/>
              <w:jc w:val="center"/>
            </w:pPr>
            <w:r>
              <w:rPr>
                <w:b/>
                <w:sz w:val="18"/>
              </w:rPr>
              <w:t>B</w:t>
            </w:r>
          </w:p>
        </w:tc>
        <w:tc>
          <w:tcPr>
            <w:tcW w:w="1008" w:type="dxa"/>
            <w:shd w:val="clear" w:color="auto" w:fill="auto"/>
            <w:vAlign w:val="center"/>
          </w:tcPr>
          <w:p w14:paraId="07679A2E" w14:textId="77777777" w:rsidR="004A5C8B" w:rsidRDefault="00000000" w:rsidP="00134924">
            <w:pPr>
              <w:spacing w:after="0" w:line="240" w:lineRule="auto"/>
              <w:jc w:val="center"/>
            </w:pPr>
            <w:r>
              <w:rPr>
                <w:b/>
                <w:sz w:val="18"/>
              </w:rPr>
              <w:t>C</w:t>
            </w:r>
          </w:p>
        </w:tc>
      </w:tr>
      <w:tr w:rsidR="004A5C8B" w14:paraId="1D6AFA3F" w14:textId="77777777" w:rsidTr="005F0C93">
        <w:tc>
          <w:tcPr>
            <w:tcW w:w="4896" w:type="dxa"/>
            <w:shd w:val="clear" w:color="auto" w:fill="auto"/>
            <w:vAlign w:val="center"/>
          </w:tcPr>
          <w:p w14:paraId="0F1C4A79" w14:textId="77777777" w:rsidR="004A5C8B" w:rsidRDefault="00000000" w:rsidP="00134924">
            <w:pPr>
              <w:spacing w:after="0" w:line="240" w:lineRule="auto"/>
            </w:pPr>
            <w:r>
              <w:rPr>
                <w:sz w:val="18"/>
              </w:rPr>
              <w:t>Scad fish meal</w:t>
            </w:r>
          </w:p>
        </w:tc>
        <w:tc>
          <w:tcPr>
            <w:tcW w:w="1008" w:type="dxa"/>
            <w:shd w:val="clear" w:color="auto" w:fill="auto"/>
            <w:vAlign w:val="center"/>
          </w:tcPr>
          <w:p w14:paraId="4B61B20A" w14:textId="77777777" w:rsidR="004A5C8B" w:rsidRDefault="00000000" w:rsidP="00134924">
            <w:pPr>
              <w:spacing w:after="0" w:line="240" w:lineRule="auto"/>
              <w:jc w:val="center"/>
            </w:pPr>
            <w:r>
              <w:rPr>
                <w:sz w:val="18"/>
              </w:rPr>
              <w:t>20</w:t>
            </w:r>
          </w:p>
        </w:tc>
        <w:tc>
          <w:tcPr>
            <w:tcW w:w="1008" w:type="dxa"/>
            <w:shd w:val="clear" w:color="auto" w:fill="auto"/>
            <w:vAlign w:val="center"/>
          </w:tcPr>
          <w:p w14:paraId="7DF7F84E" w14:textId="77777777" w:rsidR="004A5C8B" w:rsidRDefault="00000000" w:rsidP="00134924">
            <w:pPr>
              <w:spacing w:after="0" w:line="240" w:lineRule="auto"/>
              <w:jc w:val="center"/>
            </w:pPr>
            <w:r>
              <w:rPr>
                <w:sz w:val="18"/>
              </w:rPr>
              <w:t>20</w:t>
            </w:r>
          </w:p>
        </w:tc>
        <w:tc>
          <w:tcPr>
            <w:tcW w:w="1008" w:type="dxa"/>
            <w:shd w:val="clear" w:color="auto" w:fill="auto"/>
            <w:vAlign w:val="center"/>
          </w:tcPr>
          <w:p w14:paraId="2CFDBDE6" w14:textId="77777777" w:rsidR="004A5C8B" w:rsidRDefault="00000000" w:rsidP="00134924">
            <w:pPr>
              <w:spacing w:after="0" w:line="240" w:lineRule="auto"/>
              <w:jc w:val="center"/>
            </w:pPr>
            <w:r>
              <w:rPr>
                <w:sz w:val="18"/>
              </w:rPr>
              <w:t>20</w:t>
            </w:r>
          </w:p>
        </w:tc>
      </w:tr>
      <w:tr w:rsidR="004A5C8B" w14:paraId="6E216AB1" w14:textId="77777777" w:rsidTr="005F0C93">
        <w:tc>
          <w:tcPr>
            <w:tcW w:w="4896" w:type="dxa"/>
            <w:shd w:val="clear" w:color="auto" w:fill="auto"/>
            <w:vAlign w:val="center"/>
          </w:tcPr>
          <w:p w14:paraId="2C0F06A0" w14:textId="77777777" w:rsidR="004A5C8B" w:rsidRDefault="00000000" w:rsidP="00134924">
            <w:pPr>
              <w:spacing w:after="0" w:line="240" w:lineRule="auto"/>
            </w:pPr>
            <w:r>
              <w:rPr>
                <w:sz w:val="18"/>
              </w:rPr>
              <w:t>Shrimp head meal</w:t>
            </w:r>
          </w:p>
        </w:tc>
        <w:tc>
          <w:tcPr>
            <w:tcW w:w="1008" w:type="dxa"/>
            <w:shd w:val="clear" w:color="auto" w:fill="auto"/>
            <w:vAlign w:val="center"/>
          </w:tcPr>
          <w:p w14:paraId="577DE364" w14:textId="77777777" w:rsidR="004A5C8B" w:rsidRDefault="00000000" w:rsidP="00134924">
            <w:pPr>
              <w:spacing w:after="0" w:line="240" w:lineRule="auto"/>
              <w:jc w:val="center"/>
            </w:pPr>
            <w:r>
              <w:rPr>
                <w:sz w:val="18"/>
              </w:rPr>
              <w:t>20</w:t>
            </w:r>
          </w:p>
        </w:tc>
        <w:tc>
          <w:tcPr>
            <w:tcW w:w="1008" w:type="dxa"/>
            <w:shd w:val="clear" w:color="auto" w:fill="auto"/>
            <w:vAlign w:val="center"/>
          </w:tcPr>
          <w:p w14:paraId="1389672C" w14:textId="77777777" w:rsidR="004A5C8B" w:rsidRDefault="00000000" w:rsidP="00134924">
            <w:pPr>
              <w:spacing w:after="0" w:line="240" w:lineRule="auto"/>
              <w:jc w:val="center"/>
            </w:pPr>
            <w:r>
              <w:rPr>
                <w:sz w:val="18"/>
              </w:rPr>
              <w:t>20</w:t>
            </w:r>
          </w:p>
        </w:tc>
        <w:tc>
          <w:tcPr>
            <w:tcW w:w="1008" w:type="dxa"/>
            <w:shd w:val="clear" w:color="auto" w:fill="auto"/>
            <w:vAlign w:val="center"/>
          </w:tcPr>
          <w:p w14:paraId="1947AF6B" w14:textId="77777777" w:rsidR="004A5C8B" w:rsidRDefault="00000000" w:rsidP="00134924">
            <w:pPr>
              <w:spacing w:after="0" w:line="240" w:lineRule="auto"/>
              <w:jc w:val="center"/>
            </w:pPr>
            <w:r>
              <w:rPr>
                <w:sz w:val="18"/>
              </w:rPr>
              <w:t>20</w:t>
            </w:r>
          </w:p>
        </w:tc>
      </w:tr>
      <w:tr w:rsidR="004A5C8B" w14:paraId="0D0F7B75" w14:textId="77777777" w:rsidTr="005F0C93">
        <w:tc>
          <w:tcPr>
            <w:tcW w:w="4896" w:type="dxa"/>
            <w:shd w:val="clear" w:color="auto" w:fill="auto"/>
            <w:vAlign w:val="center"/>
          </w:tcPr>
          <w:p w14:paraId="13070BCE" w14:textId="77777777" w:rsidR="004A5C8B" w:rsidRDefault="00000000" w:rsidP="00134924">
            <w:pPr>
              <w:spacing w:after="0" w:line="240" w:lineRule="auto"/>
            </w:pPr>
            <w:r>
              <w:rPr>
                <w:sz w:val="18"/>
              </w:rPr>
              <w:t>Soybean meal</w:t>
            </w:r>
          </w:p>
        </w:tc>
        <w:tc>
          <w:tcPr>
            <w:tcW w:w="1008" w:type="dxa"/>
            <w:shd w:val="clear" w:color="auto" w:fill="auto"/>
            <w:vAlign w:val="center"/>
          </w:tcPr>
          <w:p w14:paraId="105C88EC" w14:textId="77777777" w:rsidR="004A5C8B" w:rsidRDefault="00000000" w:rsidP="00134924">
            <w:pPr>
              <w:spacing w:after="0" w:line="240" w:lineRule="auto"/>
              <w:jc w:val="center"/>
            </w:pPr>
            <w:r>
              <w:rPr>
                <w:sz w:val="18"/>
              </w:rPr>
              <w:t>20</w:t>
            </w:r>
          </w:p>
        </w:tc>
        <w:tc>
          <w:tcPr>
            <w:tcW w:w="1008" w:type="dxa"/>
            <w:shd w:val="clear" w:color="auto" w:fill="auto"/>
            <w:vAlign w:val="center"/>
          </w:tcPr>
          <w:p w14:paraId="48FD8A38" w14:textId="77777777" w:rsidR="004A5C8B" w:rsidRDefault="00000000" w:rsidP="00134924">
            <w:pPr>
              <w:spacing w:after="0" w:line="240" w:lineRule="auto"/>
              <w:jc w:val="center"/>
            </w:pPr>
            <w:r>
              <w:rPr>
                <w:sz w:val="18"/>
              </w:rPr>
              <w:t>20</w:t>
            </w:r>
          </w:p>
        </w:tc>
        <w:tc>
          <w:tcPr>
            <w:tcW w:w="1008" w:type="dxa"/>
            <w:shd w:val="clear" w:color="auto" w:fill="auto"/>
            <w:vAlign w:val="center"/>
          </w:tcPr>
          <w:p w14:paraId="41AC60EF" w14:textId="77777777" w:rsidR="004A5C8B" w:rsidRDefault="00000000" w:rsidP="00134924">
            <w:pPr>
              <w:spacing w:after="0" w:line="240" w:lineRule="auto"/>
              <w:jc w:val="center"/>
            </w:pPr>
            <w:r>
              <w:rPr>
                <w:sz w:val="18"/>
              </w:rPr>
              <w:t>20</w:t>
            </w:r>
          </w:p>
        </w:tc>
      </w:tr>
      <w:tr w:rsidR="004A5C8B" w14:paraId="5F091E61" w14:textId="77777777" w:rsidTr="005F0C93">
        <w:tc>
          <w:tcPr>
            <w:tcW w:w="4896" w:type="dxa"/>
            <w:shd w:val="clear" w:color="auto" w:fill="auto"/>
            <w:vAlign w:val="center"/>
          </w:tcPr>
          <w:p w14:paraId="25FFE7AF" w14:textId="77777777" w:rsidR="004A5C8B" w:rsidRDefault="00000000" w:rsidP="00134924">
            <w:pPr>
              <w:spacing w:after="0" w:line="240" w:lineRule="auto"/>
            </w:pPr>
            <w:r>
              <w:rPr>
                <w:sz w:val="18"/>
              </w:rPr>
              <w:t>Seaweed meal (</w:t>
            </w:r>
            <w:r w:rsidRPr="005F0C93">
              <w:rPr>
                <w:i/>
                <w:iCs/>
                <w:sz w:val="18"/>
              </w:rPr>
              <w:t>G. verrucosa</w:t>
            </w:r>
            <w:r>
              <w:rPr>
                <w:sz w:val="18"/>
              </w:rPr>
              <w:t>)</w:t>
            </w:r>
          </w:p>
        </w:tc>
        <w:tc>
          <w:tcPr>
            <w:tcW w:w="1008" w:type="dxa"/>
            <w:shd w:val="clear" w:color="auto" w:fill="auto"/>
            <w:vAlign w:val="center"/>
          </w:tcPr>
          <w:p w14:paraId="6567F68B" w14:textId="77777777" w:rsidR="004A5C8B" w:rsidRDefault="00000000" w:rsidP="00134924">
            <w:pPr>
              <w:spacing w:after="0" w:line="240" w:lineRule="auto"/>
              <w:jc w:val="center"/>
            </w:pPr>
            <w:r>
              <w:rPr>
                <w:sz w:val="18"/>
              </w:rPr>
              <w:t>5</w:t>
            </w:r>
          </w:p>
        </w:tc>
        <w:tc>
          <w:tcPr>
            <w:tcW w:w="1008" w:type="dxa"/>
            <w:shd w:val="clear" w:color="auto" w:fill="auto"/>
            <w:vAlign w:val="center"/>
          </w:tcPr>
          <w:p w14:paraId="606A27C2" w14:textId="77777777" w:rsidR="004A5C8B" w:rsidRDefault="00000000" w:rsidP="00134924">
            <w:pPr>
              <w:spacing w:after="0" w:line="240" w:lineRule="auto"/>
              <w:jc w:val="center"/>
            </w:pPr>
            <w:r>
              <w:rPr>
                <w:sz w:val="18"/>
              </w:rPr>
              <w:t>10</w:t>
            </w:r>
          </w:p>
        </w:tc>
        <w:tc>
          <w:tcPr>
            <w:tcW w:w="1008" w:type="dxa"/>
            <w:shd w:val="clear" w:color="auto" w:fill="auto"/>
            <w:vAlign w:val="center"/>
          </w:tcPr>
          <w:p w14:paraId="63842194" w14:textId="77777777" w:rsidR="004A5C8B" w:rsidRDefault="00000000" w:rsidP="00134924">
            <w:pPr>
              <w:spacing w:after="0" w:line="240" w:lineRule="auto"/>
              <w:jc w:val="center"/>
            </w:pPr>
            <w:r>
              <w:rPr>
                <w:sz w:val="18"/>
              </w:rPr>
              <w:t>0</w:t>
            </w:r>
          </w:p>
        </w:tc>
      </w:tr>
      <w:tr w:rsidR="004A5C8B" w14:paraId="2C215E35" w14:textId="77777777" w:rsidTr="005F0C93">
        <w:tc>
          <w:tcPr>
            <w:tcW w:w="4896" w:type="dxa"/>
            <w:shd w:val="clear" w:color="auto" w:fill="auto"/>
            <w:vAlign w:val="center"/>
          </w:tcPr>
          <w:p w14:paraId="7BDF537D" w14:textId="77777777" w:rsidR="004A5C8B" w:rsidRDefault="00000000" w:rsidP="00134924">
            <w:pPr>
              <w:spacing w:after="0" w:line="240" w:lineRule="auto"/>
            </w:pPr>
            <w:r>
              <w:rPr>
                <w:sz w:val="18"/>
              </w:rPr>
              <w:t>Moringa leaf meal (</w:t>
            </w:r>
            <w:r w:rsidRPr="005F0C93">
              <w:rPr>
                <w:i/>
                <w:iCs/>
                <w:sz w:val="18"/>
              </w:rPr>
              <w:t>M. oleifera</w:t>
            </w:r>
            <w:r>
              <w:rPr>
                <w:sz w:val="18"/>
              </w:rPr>
              <w:t>)</w:t>
            </w:r>
          </w:p>
        </w:tc>
        <w:tc>
          <w:tcPr>
            <w:tcW w:w="1008" w:type="dxa"/>
            <w:shd w:val="clear" w:color="auto" w:fill="auto"/>
            <w:vAlign w:val="center"/>
          </w:tcPr>
          <w:p w14:paraId="4192E3F6" w14:textId="77777777" w:rsidR="004A5C8B" w:rsidRDefault="00000000" w:rsidP="00134924">
            <w:pPr>
              <w:spacing w:after="0" w:line="240" w:lineRule="auto"/>
              <w:jc w:val="center"/>
            </w:pPr>
            <w:r>
              <w:rPr>
                <w:sz w:val="18"/>
              </w:rPr>
              <w:t>5</w:t>
            </w:r>
          </w:p>
        </w:tc>
        <w:tc>
          <w:tcPr>
            <w:tcW w:w="1008" w:type="dxa"/>
            <w:shd w:val="clear" w:color="auto" w:fill="auto"/>
            <w:vAlign w:val="center"/>
          </w:tcPr>
          <w:p w14:paraId="3B403074" w14:textId="77777777" w:rsidR="004A5C8B" w:rsidRDefault="00000000" w:rsidP="00134924">
            <w:pPr>
              <w:spacing w:after="0" w:line="240" w:lineRule="auto"/>
              <w:jc w:val="center"/>
            </w:pPr>
            <w:r>
              <w:rPr>
                <w:sz w:val="18"/>
              </w:rPr>
              <w:t>0</w:t>
            </w:r>
          </w:p>
        </w:tc>
        <w:tc>
          <w:tcPr>
            <w:tcW w:w="1008" w:type="dxa"/>
            <w:shd w:val="clear" w:color="auto" w:fill="auto"/>
            <w:vAlign w:val="center"/>
          </w:tcPr>
          <w:p w14:paraId="288FB50C" w14:textId="77777777" w:rsidR="004A5C8B" w:rsidRDefault="00000000" w:rsidP="00134924">
            <w:pPr>
              <w:spacing w:after="0" w:line="240" w:lineRule="auto"/>
              <w:jc w:val="center"/>
            </w:pPr>
            <w:r>
              <w:rPr>
                <w:sz w:val="18"/>
              </w:rPr>
              <w:t>10</w:t>
            </w:r>
          </w:p>
        </w:tc>
      </w:tr>
      <w:tr w:rsidR="004A5C8B" w14:paraId="67CC9672" w14:textId="77777777" w:rsidTr="005F0C93">
        <w:tc>
          <w:tcPr>
            <w:tcW w:w="4896" w:type="dxa"/>
            <w:shd w:val="clear" w:color="auto" w:fill="auto"/>
            <w:vAlign w:val="center"/>
          </w:tcPr>
          <w:p w14:paraId="1727F0B9" w14:textId="77777777" w:rsidR="004A5C8B" w:rsidRDefault="00000000" w:rsidP="00134924">
            <w:pPr>
              <w:spacing w:after="0" w:line="240" w:lineRule="auto"/>
            </w:pPr>
            <w:r>
              <w:rPr>
                <w:sz w:val="18"/>
              </w:rPr>
              <w:t>Corn meal</w:t>
            </w:r>
          </w:p>
        </w:tc>
        <w:tc>
          <w:tcPr>
            <w:tcW w:w="1008" w:type="dxa"/>
            <w:shd w:val="clear" w:color="auto" w:fill="auto"/>
            <w:vAlign w:val="center"/>
          </w:tcPr>
          <w:p w14:paraId="724A9809" w14:textId="77777777" w:rsidR="004A5C8B" w:rsidRDefault="00000000" w:rsidP="00134924">
            <w:pPr>
              <w:spacing w:after="0" w:line="240" w:lineRule="auto"/>
              <w:jc w:val="center"/>
            </w:pPr>
            <w:r>
              <w:rPr>
                <w:sz w:val="18"/>
              </w:rPr>
              <w:t>10</w:t>
            </w:r>
          </w:p>
        </w:tc>
        <w:tc>
          <w:tcPr>
            <w:tcW w:w="1008" w:type="dxa"/>
            <w:shd w:val="clear" w:color="auto" w:fill="auto"/>
            <w:vAlign w:val="center"/>
          </w:tcPr>
          <w:p w14:paraId="32B77F44" w14:textId="77777777" w:rsidR="004A5C8B" w:rsidRDefault="00000000" w:rsidP="00134924">
            <w:pPr>
              <w:spacing w:after="0" w:line="240" w:lineRule="auto"/>
              <w:jc w:val="center"/>
            </w:pPr>
            <w:r>
              <w:rPr>
                <w:sz w:val="18"/>
              </w:rPr>
              <w:t>10</w:t>
            </w:r>
          </w:p>
        </w:tc>
        <w:tc>
          <w:tcPr>
            <w:tcW w:w="1008" w:type="dxa"/>
            <w:shd w:val="clear" w:color="auto" w:fill="auto"/>
            <w:vAlign w:val="center"/>
          </w:tcPr>
          <w:p w14:paraId="449A200E" w14:textId="77777777" w:rsidR="004A5C8B" w:rsidRDefault="00000000" w:rsidP="00134924">
            <w:pPr>
              <w:spacing w:after="0" w:line="240" w:lineRule="auto"/>
              <w:jc w:val="center"/>
            </w:pPr>
            <w:r>
              <w:rPr>
                <w:sz w:val="18"/>
              </w:rPr>
              <w:t>10</w:t>
            </w:r>
          </w:p>
        </w:tc>
      </w:tr>
      <w:tr w:rsidR="004A5C8B" w14:paraId="06824F06" w14:textId="77777777" w:rsidTr="005F0C93">
        <w:tc>
          <w:tcPr>
            <w:tcW w:w="4896" w:type="dxa"/>
            <w:shd w:val="clear" w:color="auto" w:fill="auto"/>
            <w:vAlign w:val="center"/>
          </w:tcPr>
          <w:p w14:paraId="2EB479B1" w14:textId="77777777" w:rsidR="004A5C8B" w:rsidRDefault="00000000" w:rsidP="00134924">
            <w:pPr>
              <w:spacing w:after="0" w:line="240" w:lineRule="auto"/>
            </w:pPr>
            <w:r>
              <w:rPr>
                <w:sz w:val="18"/>
              </w:rPr>
              <w:t>Rice bran</w:t>
            </w:r>
          </w:p>
        </w:tc>
        <w:tc>
          <w:tcPr>
            <w:tcW w:w="1008" w:type="dxa"/>
            <w:shd w:val="clear" w:color="auto" w:fill="auto"/>
            <w:vAlign w:val="center"/>
          </w:tcPr>
          <w:p w14:paraId="5CAD52D1" w14:textId="77777777" w:rsidR="004A5C8B" w:rsidRDefault="00000000" w:rsidP="00134924">
            <w:pPr>
              <w:spacing w:after="0" w:line="240" w:lineRule="auto"/>
              <w:jc w:val="center"/>
            </w:pPr>
            <w:r>
              <w:rPr>
                <w:sz w:val="18"/>
              </w:rPr>
              <w:t>7</w:t>
            </w:r>
          </w:p>
        </w:tc>
        <w:tc>
          <w:tcPr>
            <w:tcW w:w="1008" w:type="dxa"/>
            <w:shd w:val="clear" w:color="auto" w:fill="auto"/>
            <w:vAlign w:val="center"/>
          </w:tcPr>
          <w:p w14:paraId="004EFBC3" w14:textId="77777777" w:rsidR="004A5C8B" w:rsidRDefault="00000000" w:rsidP="00134924">
            <w:pPr>
              <w:spacing w:after="0" w:line="240" w:lineRule="auto"/>
              <w:jc w:val="center"/>
            </w:pPr>
            <w:r>
              <w:rPr>
                <w:sz w:val="18"/>
              </w:rPr>
              <w:t>8</w:t>
            </w:r>
          </w:p>
        </w:tc>
        <w:tc>
          <w:tcPr>
            <w:tcW w:w="1008" w:type="dxa"/>
            <w:shd w:val="clear" w:color="auto" w:fill="auto"/>
            <w:vAlign w:val="center"/>
          </w:tcPr>
          <w:p w14:paraId="711D2787" w14:textId="77777777" w:rsidR="004A5C8B" w:rsidRDefault="00000000" w:rsidP="00134924">
            <w:pPr>
              <w:spacing w:after="0" w:line="240" w:lineRule="auto"/>
              <w:jc w:val="center"/>
            </w:pPr>
            <w:r>
              <w:rPr>
                <w:sz w:val="18"/>
              </w:rPr>
              <w:t>8</w:t>
            </w:r>
          </w:p>
        </w:tc>
      </w:tr>
      <w:tr w:rsidR="004A5C8B" w14:paraId="786A3A8C" w14:textId="77777777" w:rsidTr="005F0C93">
        <w:tc>
          <w:tcPr>
            <w:tcW w:w="4896" w:type="dxa"/>
            <w:shd w:val="clear" w:color="auto" w:fill="auto"/>
            <w:vAlign w:val="center"/>
          </w:tcPr>
          <w:p w14:paraId="501E471C" w14:textId="77777777" w:rsidR="004A5C8B" w:rsidRDefault="00000000" w:rsidP="00134924">
            <w:pPr>
              <w:spacing w:after="0" w:line="240" w:lineRule="auto"/>
            </w:pPr>
            <w:r>
              <w:rPr>
                <w:sz w:val="18"/>
              </w:rPr>
              <w:t>Sago flour</w:t>
            </w:r>
          </w:p>
        </w:tc>
        <w:tc>
          <w:tcPr>
            <w:tcW w:w="1008" w:type="dxa"/>
            <w:shd w:val="clear" w:color="auto" w:fill="auto"/>
            <w:vAlign w:val="center"/>
          </w:tcPr>
          <w:p w14:paraId="349AE446" w14:textId="77777777" w:rsidR="004A5C8B" w:rsidRDefault="00000000" w:rsidP="00134924">
            <w:pPr>
              <w:spacing w:after="0" w:line="240" w:lineRule="auto"/>
              <w:jc w:val="center"/>
            </w:pPr>
            <w:r>
              <w:rPr>
                <w:sz w:val="18"/>
              </w:rPr>
              <w:t>4</w:t>
            </w:r>
          </w:p>
        </w:tc>
        <w:tc>
          <w:tcPr>
            <w:tcW w:w="1008" w:type="dxa"/>
            <w:shd w:val="clear" w:color="auto" w:fill="auto"/>
            <w:vAlign w:val="center"/>
          </w:tcPr>
          <w:p w14:paraId="353428DF" w14:textId="77777777" w:rsidR="004A5C8B" w:rsidRDefault="00000000" w:rsidP="00134924">
            <w:pPr>
              <w:spacing w:after="0" w:line="240" w:lineRule="auto"/>
              <w:jc w:val="center"/>
            </w:pPr>
            <w:r>
              <w:rPr>
                <w:sz w:val="18"/>
              </w:rPr>
              <w:t>4</w:t>
            </w:r>
          </w:p>
        </w:tc>
        <w:tc>
          <w:tcPr>
            <w:tcW w:w="1008" w:type="dxa"/>
            <w:shd w:val="clear" w:color="auto" w:fill="auto"/>
            <w:vAlign w:val="center"/>
          </w:tcPr>
          <w:p w14:paraId="2D10CBE1" w14:textId="77777777" w:rsidR="004A5C8B" w:rsidRDefault="00000000" w:rsidP="00134924">
            <w:pPr>
              <w:spacing w:after="0" w:line="240" w:lineRule="auto"/>
              <w:jc w:val="center"/>
            </w:pPr>
            <w:r>
              <w:rPr>
                <w:sz w:val="18"/>
              </w:rPr>
              <w:t>4</w:t>
            </w:r>
          </w:p>
        </w:tc>
      </w:tr>
      <w:tr w:rsidR="004A5C8B" w14:paraId="1E1C6787" w14:textId="77777777" w:rsidTr="005F0C93">
        <w:tc>
          <w:tcPr>
            <w:tcW w:w="4896" w:type="dxa"/>
            <w:shd w:val="clear" w:color="auto" w:fill="auto"/>
            <w:vAlign w:val="center"/>
          </w:tcPr>
          <w:p w14:paraId="1E54F576" w14:textId="77777777" w:rsidR="004A5C8B" w:rsidRDefault="00000000" w:rsidP="00134924">
            <w:pPr>
              <w:spacing w:after="0" w:line="240" w:lineRule="auto"/>
            </w:pPr>
            <w:r>
              <w:rPr>
                <w:sz w:val="18"/>
              </w:rPr>
              <w:t>Tapioca flour</w:t>
            </w:r>
          </w:p>
        </w:tc>
        <w:tc>
          <w:tcPr>
            <w:tcW w:w="1008" w:type="dxa"/>
            <w:shd w:val="clear" w:color="auto" w:fill="auto"/>
            <w:vAlign w:val="center"/>
          </w:tcPr>
          <w:p w14:paraId="3C597939" w14:textId="77777777" w:rsidR="004A5C8B" w:rsidRDefault="00000000" w:rsidP="00134924">
            <w:pPr>
              <w:spacing w:after="0" w:line="240" w:lineRule="auto"/>
              <w:jc w:val="center"/>
            </w:pPr>
            <w:r>
              <w:rPr>
                <w:sz w:val="18"/>
              </w:rPr>
              <w:t>7</w:t>
            </w:r>
          </w:p>
        </w:tc>
        <w:tc>
          <w:tcPr>
            <w:tcW w:w="1008" w:type="dxa"/>
            <w:shd w:val="clear" w:color="auto" w:fill="auto"/>
            <w:vAlign w:val="center"/>
          </w:tcPr>
          <w:p w14:paraId="4F8C52E0" w14:textId="77777777" w:rsidR="004A5C8B" w:rsidRDefault="00000000" w:rsidP="00134924">
            <w:pPr>
              <w:spacing w:after="0" w:line="240" w:lineRule="auto"/>
              <w:jc w:val="center"/>
            </w:pPr>
            <w:r>
              <w:rPr>
                <w:sz w:val="18"/>
              </w:rPr>
              <w:t>7</w:t>
            </w:r>
          </w:p>
        </w:tc>
        <w:tc>
          <w:tcPr>
            <w:tcW w:w="1008" w:type="dxa"/>
            <w:shd w:val="clear" w:color="auto" w:fill="auto"/>
            <w:vAlign w:val="center"/>
          </w:tcPr>
          <w:p w14:paraId="55544D0A" w14:textId="77777777" w:rsidR="004A5C8B" w:rsidRDefault="00000000" w:rsidP="00134924">
            <w:pPr>
              <w:spacing w:after="0" w:line="240" w:lineRule="auto"/>
              <w:jc w:val="center"/>
            </w:pPr>
            <w:r>
              <w:rPr>
                <w:sz w:val="18"/>
              </w:rPr>
              <w:t>7</w:t>
            </w:r>
          </w:p>
        </w:tc>
      </w:tr>
      <w:tr w:rsidR="004A5C8B" w14:paraId="49A29BBC" w14:textId="77777777" w:rsidTr="005F0C93">
        <w:tc>
          <w:tcPr>
            <w:tcW w:w="4896" w:type="dxa"/>
            <w:shd w:val="clear" w:color="auto" w:fill="auto"/>
            <w:vAlign w:val="center"/>
          </w:tcPr>
          <w:p w14:paraId="42BC794A" w14:textId="77777777" w:rsidR="004A5C8B" w:rsidRDefault="00000000" w:rsidP="00134924">
            <w:pPr>
              <w:spacing w:after="0" w:line="240" w:lineRule="auto"/>
            </w:pPr>
            <w:r>
              <w:rPr>
                <w:sz w:val="18"/>
              </w:rPr>
              <w:t>Fish oil</w:t>
            </w:r>
          </w:p>
        </w:tc>
        <w:tc>
          <w:tcPr>
            <w:tcW w:w="1008" w:type="dxa"/>
            <w:shd w:val="clear" w:color="auto" w:fill="auto"/>
            <w:vAlign w:val="center"/>
          </w:tcPr>
          <w:p w14:paraId="5385DE27" w14:textId="77777777" w:rsidR="004A5C8B" w:rsidRDefault="00000000" w:rsidP="00134924">
            <w:pPr>
              <w:spacing w:after="0" w:line="240" w:lineRule="auto"/>
              <w:jc w:val="center"/>
            </w:pPr>
            <w:r>
              <w:rPr>
                <w:sz w:val="18"/>
              </w:rPr>
              <w:t>0.5</w:t>
            </w:r>
          </w:p>
        </w:tc>
        <w:tc>
          <w:tcPr>
            <w:tcW w:w="1008" w:type="dxa"/>
            <w:shd w:val="clear" w:color="auto" w:fill="auto"/>
            <w:vAlign w:val="center"/>
          </w:tcPr>
          <w:p w14:paraId="51A868F1" w14:textId="77777777" w:rsidR="004A5C8B" w:rsidRDefault="00000000" w:rsidP="00134924">
            <w:pPr>
              <w:spacing w:after="0" w:line="240" w:lineRule="auto"/>
              <w:jc w:val="center"/>
            </w:pPr>
            <w:r>
              <w:rPr>
                <w:sz w:val="18"/>
              </w:rPr>
              <w:t>0.5</w:t>
            </w:r>
          </w:p>
        </w:tc>
        <w:tc>
          <w:tcPr>
            <w:tcW w:w="1008" w:type="dxa"/>
            <w:shd w:val="clear" w:color="auto" w:fill="auto"/>
            <w:vAlign w:val="center"/>
          </w:tcPr>
          <w:p w14:paraId="44CEB92C" w14:textId="77777777" w:rsidR="004A5C8B" w:rsidRDefault="00000000" w:rsidP="00134924">
            <w:pPr>
              <w:spacing w:after="0" w:line="240" w:lineRule="auto"/>
              <w:jc w:val="center"/>
            </w:pPr>
            <w:r>
              <w:rPr>
                <w:sz w:val="18"/>
              </w:rPr>
              <w:t>0.5</w:t>
            </w:r>
          </w:p>
        </w:tc>
      </w:tr>
      <w:tr w:rsidR="004A5C8B" w14:paraId="05051616" w14:textId="77777777" w:rsidTr="005F0C93">
        <w:tc>
          <w:tcPr>
            <w:tcW w:w="4896" w:type="dxa"/>
            <w:shd w:val="clear" w:color="auto" w:fill="auto"/>
            <w:vAlign w:val="center"/>
          </w:tcPr>
          <w:p w14:paraId="7E3D5176" w14:textId="77777777" w:rsidR="004A5C8B" w:rsidRDefault="00000000" w:rsidP="00134924">
            <w:pPr>
              <w:spacing w:after="0" w:line="240" w:lineRule="auto"/>
            </w:pPr>
            <w:r>
              <w:rPr>
                <w:sz w:val="18"/>
              </w:rPr>
              <w:t>Squid oil</w:t>
            </w:r>
          </w:p>
        </w:tc>
        <w:tc>
          <w:tcPr>
            <w:tcW w:w="1008" w:type="dxa"/>
            <w:shd w:val="clear" w:color="auto" w:fill="auto"/>
            <w:vAlign w:val="center"/>
          </w:tcPr>
          <w:p w14:paraId="116B17BA" w14:textId="77777777" w:rsidR="004A5C8B" w:rsidRDefault="00000000" w:rsidP="00134924">
            <w:pPr>
              <w:spacing w:after="0" w:line="240" w:lineRule="auto"/>
              <w:jc w:val="center"/>
            </w:pPr>
            <w:r>
              <w:rPr>
                <w:sz w:val="18"/>
              </w:rPr>
              <w:t>0.5</w:t>
            </w:r>
          </w:p>
        </w:tc>
        <w:tc>
          <w:tcPr>
            <w:tcW w:w="1008" w:type="dxa"/>
            <w:shd w:val="clear" w:color="auto" w:fill="auto"/>
            <w:vAlign w:val="center"/>
          </w:tcPr>
          <w:p w14:paraId="5479F7C9" w14:textId="77777777" w:rsidR="004A5C8B" w:rsidRDefault="00000000" w:rsidP="00134924">
            <w:pPr>
              <w:spacing w:after="0" w:line="240" w:lineRule="auto"/>
              <w:jc w:val="center"/>
            </w:pPr>
            <w:r>
              <w:rPr>
                <w:sz w:val="18"/>
              </w:rPr>
              <w:t>0.5</w:t>
            </w:r>
          </w:p>
        </w:tc>
        <w:tc>
          <w:tcPr>
            <w:tcW w:w="1008" w:type="dxa"/>
            <w:shd w:val="clear" w:color="auto" w:fill="auto"/>
            <w:vAlign w:val="center"/>
          </w:tcPr>
          <w:p w14:paraId="6623C338" w14:textId="77777777" w:rsidR="004A5C8B" w:rsidRDefault="00000000" w:rsidP="00134924">
            <w:pPr>
              <w:spacing w:after="0" w:line="240" w:lineRule="auto"/>
              <w:jc w:val="center"/>
            </w:pPr>
            <w:r>
              <w:rPr>
                <w:sz w:val="18"/>
              </w:rPr>
              <w:t>0.5</w:t>
            </w:r>
          </w:p>
        </w:tc>
      </w:tr>
      <w:tr w:rsidR="004A5C8B" w14:paraId="785C3864" w14:textId="77777777" w:rsidTr="005F0C93">
        <w:tc>
          <w:tcPr>
            <w:tcW w:w="4896" w:type="dxa"/>
            <w:shd w:val="clear" w:color="auto" w:fill="auto"/>
            <w:vAlign w:val="center"/>
          </w:tcPr>
          <w:p w14:paraId="2F2CFC32" w14:textId="77777777" w:rsidR="004A5C8B" w:rsidRDefault="00000000" w:rsidP="00134924">
            <w:pPr>
              <w:spacing w:after="0" w:line="240" w:lineRule="auto"/>
            </w:pPr>
            <w:r>
              <w:rPr>
                <w:sz w:val="18"/>
              </w:rPr>
              <w:t>Corn oil</w:t>
            </w:r>
          </w:p>
        </w:tc>
        <w:tc>
          <w:tcPr>
            <w:tcW w:w="1008" w:type="dxa"/>
            <w:shd w:val="clear" w:color="auto" w:fill="auto"/>
            <w:vAlign w:val="center"/>
          </w:tcPr>
          <w:p w14:paraId="6BD3D876" w14:textId="77777777" w:rsidR="004A5C8B" w:rsidRDefault="00000000" w:rsidP="00134924">
            <w:pPr>
              <w:spacing w:after="0" w:line="240" w:lineRule="auto"/>
              <w:jc w:val="center"/>
            </w:pPr>
            <w:r>
              <w:rPr>
                <w:sz w:val="18"/>
              </w:rPr>
              <w:t>0.5</w:t>
            </w:r>
          </w:p>
        </w:tc>
        <w:tc>
          <w:tcPr>
            <w:tcW w:w="1008" w:type="dxa"/>
            <w:shd w:val="clear" w:color="auto" w:fill="auto"/>
            <w:vAlign w:val="center"/>
          </w:tcPr>
          <w:p w14:paraId="39241FF4" w14:textId="77777777" w:rsidR="004A5C8B" w:rsidRDefault="00000000" w:rsidP="00134924">
            <w:pPr>
              <w:spacing w:after="0" w:line="240" w:lineRule="auto"/>
              <w:jc w:val="center"/>
            </w:pPr>
            <w:r>
              <w:rPr>
                <w:sz w:val="18"/>
              </w:rPr>
              <w:t>0.5</w:t>
            </w:r>
          </w:p>
        </w:tc>
        <w:tc>
          <w:tcPr>
            <w:tcW w:w="1008" w:type="dxa"/>
            <w:shd w:val="clear" w:color="auto" w:fill="auto"/>
            <w:vAlign w:val="center"/>
          </w:tcPr>
          <w:p w14:paraId="39EA9B7F" w14:textId="77777777" w:rsidR="004A5C8B" w:rsidRDefault="00000000" w:rsidP="00134924">
            <w:pPr>
              <w:spacing w:after="0" w:line="240" w:lineRule="auto"/>
              <w:jc w:val="center"/>
            </w:pPr>
            <w:r>
              <w:rPr>
                <w:sz w:val="18"/>
              </w:rPr>
              <w:t>0.5</w:t>
            </w:r>
          </w:p>
        </w:tc>
      </w:tr>
      <w:tr w:rsidR="004A5C8B" w14:paraId="45711464" w14:textId="77777777" w:rsidTr="005F0C93">
        <w:tc>
          <w:tcPr>
            <w:tcW w:w="4896" w:type="dxa"/>
            <w:shd w:val="clear" w:color="auto" w:fill="auto"/>
            <w:vAlign w:val="center"/>
          </w:tcPr>
          <w:p w14:paraId="04EC4BB1" w14:textId="77777777" w:rsidR="004A5C8B" w:rsidRDefault="00000000" w:rsidP="00134924">
            <w:pPr>
              <w:spacing w:after="0" w:line="240" w:lineRule="auto"/>
            </w:pPr>
            <w:r>
              <w:rPr>
                <w:sz w:val="18"/>
              </w:rPr>
              <w:t>Top mix</w:t>
            </w:r>
          </w:p>
        </w:tc>
        <w:tc>
          <w:tcPr>
            <w:tcW w:w="1008" w:type="dxa"/>
            <w:shd w:val="clear" w:color="auto" w:fill="auto"/>
            <w:vAlign w:val="center"/>
          </w:tcPr>
          <w:p w14:paraId="78208669" w14:textId="77777777" w:rsidR="004A5C8B" w:rsidRDefault="00000000" w:rsidP="00134924">
            <w:pPr>
              <w:spacing w:after="0" w:line="240" w:lineRule="auto"/>
              <w:jc w:val="center"/>
            </w:pPr>
            <w:r>
              <w:rPr>
                <w:sz w:val="18"/>
              </w:rPr>
              <w:t>0.5</w:t>
            </w:r>
          </w:p>
        </w:tc>
        <w:tc>
          <w:tcPr>
            <w:tcW w:w="1008" w:type="dxa"/>
            <w:shd w:val="clear" w:color="auto" w:fill="auto"/>
            <w:vAlign w:val="center"/>
          </w:tcPr>
          <w:p w14:paraId="12D1646E" w14:textId="77777777" w:rsidR="004A5C8B" w:rsidRDefault="00000000" w:rsidP="00134924">
            <w:pPr>
              <w:spacing w:after="0" w:line="240" w:lineRule="auto"/>
              <w:jc w:val="center"/>
            </w:pPr>
            <w:r>
              <w:rPr>
                <w:sz w:val="18"/>
              </w:rPr>
              <w:t>0.5</w:t>
            </w:r>
          </w:p>
        </w:tc>
        <w:tc>
          <w:tcPr>
            <w:tcW w:w="1008" w:type="dxa"/>
            <w:shd w:val="clear" w:color="auto" w:fill="auto"/>
            <w:vAlign w:val="center"/>
          </w:tcPr>
          <w:p w14:paraId="06069439" w14:textId="77777777" w:rsidR="004A5C8B" w:rsidRDefault="00000000" w:rsidP="00134924">
            <w:pPr>
              <w:spacing w:after="0" w:line="240" w:lineRule="auto"/>
              <w:jc w:val="center"/>
            </w:pPr>
            <w:r>
              <w:rPr>
                <w:sz w:val="18"/>
              </w:rPr>
              <w:t>0.5</w:t>
            </w:r>
          </w:p>
        </w:tc>
      </w:tr>
      <w:tr w:rsidR="004A5C8B" w14:paraId="489917C9" w14:textId="77777777" w:rsidTr="005F0C93">
        <w:tc>
          <w:tcPr>
            <w:tcW w:w="4896" w:type="dxa"/>
            <w:shd w:val="clear" w:color="auto" w:fill="auto"/>
            <w:vAlign w:val="center"/>
          </w:tcPr>
          <w:p w14:paraId="1E281752" w14:textId="77777777" w:rsidR="004A5C8B" w:rsidRDefault="00000000" w:rsidP="00134924">
            <w:pPr>
              <w:spacing w:after="0" w:line="240" w:lineRule="auto"/>
            </w:pPr>
            <w:r>
              <w:rPr>
                <w:sz w:val="18"/>
              </w:rPr>
              <w:t>Total</w:t>
            </w:r>
          </w:p>
        </w:tc>
        <w:tc>
          <w:tcPr>
            <w:tcW w:w="1008" w:type="dxa"/>
            <w:shd w:val="clear" w:color="auto" w:fill="auto"/>
            <w:vAlign w:val="center"/>
          </w:tcPr>
          <w:p w14:paraId="03137A36" w14:textId="77777777" w:rsidR="004A5C8B" w:rsidRDefault="00000000" w:rsidP="00134924">
            <w:pPr>
              <w:spacing w:after="0" w:line="240" w:lineRule="auto"/>
              <w:jc w:val="center"/>
            </w:pPr>
            <w:r>
              <w:rPr>
                <w:sz w:val="18"/>
              </w:rPr>
              <w:t>100</w:t>
            </w:r>
          </w:p>
        </w:tc>
        <w:tc>
          <w:tcPr>
            <w:tcW w:w="1008" w:type="dxa"/>
            <w:shd w:val="clear" w:color="auto" w:fill="auto"/>
            <w:vAlign w:val="center"/>
          </w:tcPr>
          <w:p w14:paraId="1D441FCB" w14:textId="77777777" w:rsidR="004A5C8B" w:rsidRDefault="00000000" w:rsidP="00134924">
            <w:pPr>
              <w:spacing w:after="0" w:line="240" w:lineRule="auto"/>
              <w:jc w:val="center"/>
            </w:pPr>
            <w:r>
              <w:rPr>
                <w:sz w:val="18"/>
              </w:rPr>
              <w:t>100</w:t>
            </w:r>
          </w:p>
        </w:tc>
        <w:tc>
          <w:tcPr>
            <w:tcW w:w="1008" w:type="dxa"/>
            <w:shd w:val="clear" w:color="auto" w:fill="auto"/>
            <w:vAlign w:val="center"/>
          </w:tcPr>
          <w:p w14:paraId="59846EBC" w14:textId="77777777" w:rsidR="004A5C8B" w:rsidRDefault="00000000" w:rsidP="00134924">
            <w:pPr>
              <w:spacing w:after="0" w:line="240" w:lineRule="auto"/>
              <w:jc w:val="center"/>
            </w:pPr>
            <w:r>
              <w:rPr>
                <w:sz w:val="18"/>
              </w:rPr>
              <w:t>100</w:t>
            </w:r>
          </w:p>
        </w:tc>
      </w:tr>
    </w:tbl>
    <w:p w14:paraId="2E176C03" w14:textId="129ECB0C" w:rsidR="004247B8" w:rsidRPr="000E0CF5" w:rsidRDefault="00000000" w:rsidP="00134924">
      <w:pPr>
        <w:spacing w:after="120" w:line="240" w:lineRule="auto"/>
      </w:pPr>
      <w:r>
        <w:rPr>
          <w:sz w:val="18"/>
        </w:rPr>
        <w:t>Note: A = 5% MLM + 5% SM; B = 10% SM + 0% MLM; C = 0% SM + 10% MLM. MLM = moringa leaf meal; SM = seaweed meal.</w:t>
      </w:r>
    </w:p>
    <w:p w14:paraId="08B3FD03" w14:textId="2F496794" w:rsidR="004A5C8B" w:rsidRDefault="00000000" w:rsidP="00134924">
      <w:pPr>
        <w:spacing w:after="0" w:line="240" w:lineRule="auto"/>
      </w:pPr>
      <w:r>
        <w:rPr>
          <w:b/>
          <w:sz w:val="20"/>
        </w:rPr>
        <w:t>Table 2. Protein digestibility, total digestibility, and absolute growth of saline Nile tilapia after 45 days of rearing.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2"/>
        <w:gridCol w:w="2448"/>
        <w:gridCol w:w="2448"/>
        <w:gridCol w:w="2448"/>
      </w:tblGrid>
      <w:tr w:rsidR="004A5C8B" w14:paraId="6263E9E6" w14:textId="77777777" w:rsidTr="004247B8">
        <w:trPr>
          <w:tblHeader/>
        </w:trPr>
        <w:tc>
          <w:tcPr>
            <w:tcW w:w="1152" w:type="dxa"/>
            <w:shd w:val="clear" w:color="auto" w:fill="auto"/>
            <w:vAlign w:val="center"/>
          </w:tcPr>
          <w:p w14:paraId="7BFE1B1A" w14:textId="77777777" w:rsidR="004A5C8B" w:rsidRDefault="00000000" w:rsidP="004247B8">
            <w:pPr>
              <w:spacing w:after="0" w:line="240" w:lineRule="auto"/>
              <w:jc w:val="center"/>
            </w:pPr>
            <w:r>
              <w:rPr>
                <w:b/>
                <w:sz w:val="18"/>
              </w:rPr>
              <w:t>Treatment</w:t>
            </w:r>
          </w:p>
        </w:tc>
        <w:tc>
          <w:tcPr>
            <w:tcW w:w="2448" w:type="dxa"/>
            <w:shd w:val="clear" w:color="auto" w:fill="auto"/>
            <w:vAlign w:val="center"/>
          </w:tcPr>
          <w:p w14:paraId="5E62AB6E" w14:textId="77777777" w:rsidR="004A5C8B" w:rsidRDefault="00000000" w:rsidP="004247B8">
            <w:pPr>
              <w:spacing w:after="0" w:line="240" w:lineRule="auto"/>
              <w:jc w:val="center"/>
            </w:pPr>
            <w:r>
              <w:rPr>
                <w:b/>
                <w:sz w:val="18"/>
              </w:rPr>
              <w:t>Protein digestibility (%)</w:t>
            </w:r>
          </w:p>
        </w:tc>
        <w:tc>
          <w:tcPr>
            <w:tcW w:w="2448" w:type="dxa"/>
            <w:shd w:val="clear" w:color="auto" w:fill="auto"/>
            <w:vAlign w:val="center"/>
          </w:tcPr>
          <w:p w14:paraId="0A5785E3" w14:textId="77777777" w:rsidR="004A5C8B" w:rsidRDefault="00000000" w:rsidP="004247B8">
            <w:pPr>
              <w:spacing w:after="0" w:line="240" w:lineRule="auto"/>
              <w:jc w:val="center"/>
            </w:pPr>
            <w:r>
              <w:rPr>
                <w:b/>
                <w:sz w:val="18"/>
              </w:rPr>
              <w:t>Total digestibility (%)</w:t>
            </w:r>
          </w:p>
        </w:tc>
        <w:tc>
          <w:tcPr>
            <w:tcW w:w="2448" w:type="dxa"/>
            <w:shd w:val="clear" w:color="auto" w:fill="auto"/>
            <w:vAlign w:val="center"/>
          </w:tcPr>
          <w:p w14:paraId="5AB810A8" w14:textId="77777777" w:rsidR="004A5C8B" w:rsidRDefault="00000000" w:rsidP="004247B8">
            <w:pPr>
              <w:spacing w:after="0" w:line="240" w:lineRule="auto"/>
              <w:jc w:val="center"/>
            </w:pPr>
            <w:r>
              <w:rPr>
                <w:b/>
                <w:sz w:val="18"/>
              </w:rPr>
              <w:t>Absolute growth (g)</w:t>
            </w:r>
          </w:p>
        </w:tc>
      </w:tr>
      <w:tr w:rsidR="004A5C8B" w14:paraId="459E07B1" w14:textId="77777777" w:rsidTr="004247B8">
        <w:tc>
          <w:tcPr>
            <w:tcW w:w="1152" w:type="dxa"/>
            <w:shd w:val="clear" w:color="auto" w:fill="auto"/>
            <w:vAlign w:val="center"/>
          </w:tcPr>
          <w:p w14:paraId="2E1119D6" w14:textId="77777777" w:rsidR="004A5C8B" w:rsidRDefault="00000000" w:rsidP="009178CB">
            <w:pPr>
              <w:spacing w:after="0" w:line="240" w:lineRule="auto"/>
              <w:jc w:val="center"/>
            </w:pPr>
            <w:r>
              <w:rPr>
                <w:sz w:val="18"/>
              </w:rPr>
              <w:t>A</w:t>
            </w:r>
          </w:p>
        </w:tc>
        <w:tc>
          <w:tcPr>
            <w:tcW w:w="2448" w:type="dxa"/>
            <w:shd w:val="clear" w:color="auto" w:fill="auto"/>
            <w:vAlign w:val="center"/>
          </w:tcPr>
          <w:p w14:paraId="6118F531" w14:textId="77777777" w:rsidR="004A5C8B" w:rsidRDefault="00000000" w:rsidP="004247B8">
            <w:pPr>
              <w:spacing w:after="0" w:line="240" w:lineRule="auto"/>
              <w:jc w:val="center"/>
            </w:pPr>
            <w:r>
              <w:rPr>
                <w:sz w:val="18"/>
              </w:rPr>
              <w:t>46.37 ± 3.09</w:t>
            </w:r>
            <w:r w:rsidRPr="009178CB">
              <w:rPr>
                <w:sz w:val="18"/>
                <w:vertAlign w:val="superscript"/>
              </w:rPr>
              <w:t>a</w:t>
            </w:r>
          </w:p>
        </w:tc>
        <w:tc>
          <w:tcPr>
            <w:tcW w:w="2448" w:type="dxa"/>
            <w:shd w:val="clear" w:color="auto" w:fill="auto"/>
            <w:vAlign w:val="center"/>
          </w:tcPr>
          <w:p w14:paraId="15833976" w14:textId="77777777" w:rsidR="004A5C8B" w:rsidRDefault="00000000" w:rsidP="004247B8">
            <w:pPr>
              <w:spacing w:after="0" w:line="240" w:lineRule="auto"/>
              <w:jc w:val="center"/>
            </w:pPr>
            <w:r>
              <w:rPr>
                <w:sz w:val="18"/>
              </w:rPr>
              <w:t>29.45 ± 4.22</w:t>
            </w:r>
            <w:r w:rsidRPr="009178CB">
              <w:rPr>
                <w:sz w:val="18"/>
                <w:vertAlign w:val="superscript"/>
              </w:rPr>
              <w:t>a</w:t>
            </w:r>
          </w:p>
        </w:tc>
        <w:tc>
          <w:tcPr>
            <w:tcW w:w="2448" w:type="dxa"/>
            <w:shd w:val="clear" w:color="auto" w:fill="auto"/>
            <w:vAlign w:val="center"/>
          </w:tcPr>
          <w:p w14:paraId="6640237B" w14:textId="77777777" w:rsidR="004A5C8B" w:rsidRDefault="00000000" w:rsidP="004247B8">
            <w:pPr>
              <w:spacing w:after="0" w:line="240" w:lineRule="auto"/>
              <w:jc w:val="center"/>
            </w:pPr>
            <w:r>
              <w:rPr>
                <w:sz w:val="18"/>
              </w:rPr>
              <w:t>9.60 ± 0.60</w:t>
            </w:r>
            <w:r w:rsidRPr="009178CB">
              <w:rPr>
                <w:sz w:val="18"/>
                <w:vertAlign w:val="superscript"/>
              </w:rPr>
              <w:t>a</w:t>
            </w:r>
          </w:p>
        </w:tc>
      </w:tr>
      <w:tr w:rsidR="004A5C8B" w14:paraId="5EE668DC" w14:textId="77777777" w:rsidTr="004247B8">
        <w:tc>
          <w:tcPr>
            <w:tcW w:w="1152" w:type="dxa"/>
            <w:shd w:val="clear" w:color="auto" w:fill="auto"/>
            <w:vAlign w:val="center"/>
          </w:tcPr>
          <w:p w14:paraId="5A99DB41" w14:textId="77777777" w:rsidR="004A5C8B" w:rsidRDefault="00000000" w:rsidP="009178CB">
            <w:pPr>
              <w:spacing w:after="0" w:line="240" w:lineRule="auto"/>
              <w:jc w:val="center"/>
            </w:pPr>
            <w:r>
              <w:rPr>
                <w:sz w:val="18"/>
              </w:rPr>
              <w:t>B</w:t>
            </w:r>
          </w:p>
        </w:tc>
        <w:tc>
          <w:tcPr>
            <w:tcW w:w="2448" w:type="dxa"/>
            <w:shd w:val="clear" w:color="auto" w:fill="auto"/>
            <w:vAlign w:val="center"/>
          </w:tcPr>
          <w:p w14:paraId="5B7D312A" w14:textId="77777777" w:rsidR="004A5C8B" w:rsidRDefault="00000000" w:rsidP="004247B8">
            <w:pPr>
              <w:spacing w:after="0" w:line="240" w:lineRule="auto"/>
              <w:jc w:val="center"/>
            </w:pPr>
            <w:r>
              <w:rPr>
                <w:sz w:val="18"/>
              </w:rPr>
              <w:t>56.26 ± 3.73</w:t>
            </w:r>
            <w:r w:rsidRPr="009178CB">
              <w:rPr>
                <w:sz w:val="18"/>
                <w:vertAlign w:val="superscript"/>
              </w:rPr>
              <w:t>b</w:t>
            </w:r>
          </w:p>
        </w:tc>
        <w:tc>
          <w:tcPr>
            <w:tcW w:w="2448" w:type="dxa"/>
            <w:shd w:val="clear" w:color="auto" w:fill="auto"/>
            <w:vAlign w:val="center"/>
          </w:tcPr>
          <w:p w14:paraId="6CD40F51" w14:textId="77777777" w:rsidR="004A5C8B" w:rsidRDefault="00000000" w:rsidP="004247B8">
            <w:pPr>
              <w:spacing w:after="0" w:line="240" w:lineRule="auto"/>
              <w:jc w:val="center"/>
            </w:pPr>
            <w:r>
              <w:rPr>
                <w:sz w:val="18"/>
              </w:rPr>
              <w:t>39.12 ± 5.74</w:t>
            </w:r>
            <w:r w:rsidRPr="009178CB">
              <w:rPr>
                <w:sz w:val="18"/>
                <w:vertAlign w:val="superscript"/>
              </w:rPr>
              <w:t>ab</w:t>
            </w:r>
          </w:p>
        </w:tc>
        <w:tc>
          <w:tcPr>
            <w:tcW w:w="2448" w:type="dxa"/>
            <w:shd w:val="clear" w:color="auto" w:fill="auto"/>
            <w:vAlign w:val="center"/>
          </w:tcPr>
          <w:p w14:paraId="1E5C8852" w14:textId="77777777" w:rsidR="004A5C8B" w:rsidRDefault="00000000" w:rsidP="004247B8">
            <w:pPr>
              <w:spacing w:after="0" w:line="240" w:lineRule="auto"/>
              <w:jc w:val="center"/>
            </w:pPr>
            <w:r>
              <w:rPr>
                <w:sz w:val="18"/>
              </w:rPr>
              <w:t>11.16 ± 0.95</w:t>
            </w:r>
            <w:r w:rsidRPr="009178CB">
              <w:rPr>
                <w:sz w:val="18"/>
                <w:vertAlign w:val="superscript"/>
              </w:rPr>
              <w:t>ab</w:t>
            </w:r>
          </w:p>
        </w:tc>
      </w:tr>
      <w:tr w:rsidR="004A5C8B" w14:paraId="166A3C15" w14:textId="77777777" w:rsidTr="004247B8">
        <w:tc>
          <w:tcPr>
            <w:tcW w:w="1152" w:type="dxa"/>
            <w:shd w:val="clear" w:color="auto" w:fill="auto"/>
            <w:vAlign w:val="center"/>
          </w:tcPr>
          <w:p w14:paraId="4851AD2B" w14:textId="77777777" w:rsidR="004A5C8B" w:rsidRDefault="00000000" w:rsidP="009178CB">
            <w:pPr>
              <w:spacing w:after="0" w:line="240" w:lineRule="auto"/>
              <w:jc w:val="center"/>
            </w:pPr>
            <w:r>
              <w:rPr>
                <w:sz w:val="18"/>
              </w:rPr>
              <w:t>C</w:t>
            </w:r>
          </w:p>
        </w:tc>
        <w:tc>
          <w:tcPr>
            <w:tcW w:w="2448" w:type="dxa"/>
            <w:shd w:val="clear" w:color="auto" w:fill="auto"/>
            <w:vAlign w:val="center"/>
          </w:tcPr>
          <w:p w14:paraId="006D1E05" w14:textId="77777777" w:rsidR="004A5C8B" w:rsidRDefault="00000000" w:rsidP="004247B8">
            <w:pPr>
              <w:spacing w:after="0" w:line="240" w:lineRule="auto"/>
              <w:jc w:val="center"/>
            </w:pPr>
            <w:r>
              <w:rPr>
                <w:sz w:val="18"/>
              </w:rPr>
              <w:t>55.72 ± 1.13</w:t>
            </w:r>
            <w:r w:rsidRPr="009178CB">
              <w:rPr>
                <w:sz w:val="18"/>
                <w:vertAlign w:val="superscript"/>
              </w:rPr>
              <w:t>b</w:t>
            </w:r>
          </w:p>
        </w:tc>
        <w:tc>
          <w:tcPr>
            <w:tcW w:w="2448" w:type="dxa"/>
            <w:shd w:val="clear" w:color="auto" w:fill="auto"/>
            <w:vAlign w:val="center"/>
          </w:tcPr>
          <w:p w14:paraId="75255FA8" w14:textId="77777777" w:rsidR="004A5C8B" w:rsidRDefault="00000000" w:rsidP="004247B8">
            <w:pPr>
              <w:spacing w:after="0" w:line="240" w:lineRule="auto"/>
              <w:jc w:val="center"/>
            </w:pPr>
            <w:r>
              <w:rPr>
                <w:sz w:val="18"/>
              </w:rPr>
              <w:t>42.19 ± 0.47</w:t>
            </w:r>
            <w:r w:rsidRPr="009178CB">
              <w:rPr>
                <w:sz w:val="18"/>
                <w:vertAlign w:val="superscript"/>
              </w:rPr>
              <w:t>b</w:t>
            </w:r>
          </w:p>
        </w:tc>
        <w:tc>
          <w:tcPr>
            <w:tcW w:w="2448" w:type="dxa"/>
            <w:shd w:val="clear" w:color="auto" w:fill="auto"/>
            <w:vAlign w:val="center"/>
          </w:tcPr>
          <w:p w14:paraId="35D3B8ED" w14:textId="77777777" w:rsidR="004A5C8B" w:rsidRDefault="00000000" w:rsidP="004247B8">
            <w:pPr>
              <w:spacing w:after="0" w:line="240" w:lineRule="auto"/>
              <w:jc w:val="center"/>
            </w:pPr>
            <w:r>
              <w:rPr>
                <w:sz w:val="18"/>
              </w:rPr>
              <w:t>12.36 ± 1.13</w:t>
            </w:r>
            <w:r w:rsidRPr="009178CB">
              <w:rPr>
                <w:sz w:val="18"/>
                <w:vertAlign w:val="superscript"/>
              </w:rPr>
              <w:t>b</w:t>
            </w:r>
          </w:p>
        </w:tc>
      </w:tr>
      <w:tr w:rsidR="004A5C8B" w14:paraId="672D9285" w14:textId="77777777" w:rsidTr="004247B8">
        <w:tc>
          <w:tcPr>
            <w:tcW w:w="1152" w:type="dxa"/>
            <w:shd w:val="clear" w:color="auto" w:fill="auto"/>
            <w:vAlign w:val="center"/>
          </w:tcPr>
          <w:p w14:paraId="048FBF42" w14:textId="77777777" w:rsidR="004A5C8B" w:rsidRDefault="00000000" w:rsidP="009178CB">
            <w:pPr>
              <w:spacing w:after="0" w:line="240" w:lineRule="auto"/>
              <w:jc w:val="center"/>
            </w:pPr>
            <w:r>
              <w:rPr>
                <w:sz w:val="18"/>
              </w:rPr>
              <w:t>D</w:t>
            </w:r>
          </w:p>
        </w:tc>
        <w:tc>
          <w:tcPr>
            <w:tcW w:w="2448" w:type="dxa"/>
            <w:shd w:val="clear" w:color="auto" w:fill="auto"/>
            <w:vAlign w:val="center"/>
          </w:tcPr>
          <w:p w14:paraId="19A90159" w14:textId="77777777" w:rsidR="004A5C8B" w:rsidRDefault="00000000" w:rsidP="004247B8">
            <w:pPr>
              <w:spacing w:after="0" w:line="240" w:lineRule="auto"/>
              <w:jc w:val="center"/>
            </w:pPr>
            <w:r>
              <w:rPr>
                <w:sz w:val="18"/>
              </w:rPr>
              <w:t>69.87 ± 1.42</w:t>
            </w:r>
            <w:r w:rsidRPr="009178CB">
              <w:rPr>
                <w:sz w:val="18"/>
                <w:vertAlign w:val="superscript"/>
              </w:rPr>
              <w:t>c</w:t>
            </w:r>
          </w:p>
        </w:tc>
        <w:tc>
          <w:tcPr>
            <w:tcW w:w="2448" w:type="dxa"/>
            <w:shd w:val="clear" w:color="auto" w:fill="auto"/>
            <w:vAlign w:val="center"/>
          </w:tcPr>
          <w:p w14:paraId="03A579EB" w14:textId="77777777" w:rsidR="004A5C8B" w:rsidRDefault="00000000" w:rsidP="004247B8">
            <w:pPr>
              <w:spacing w:after="0" w:line="240" w:lineRule="auto"/>
              <w:jc w:val="center"/>
            </w:pPr>
            <w:r>
              <w:rPr>
                <w:sz w:val="18"/>
              </w:rPr>
              <w:t>60.47 ± 0.22</w:t>
            </w:r>
            <w:r w:rsidRPr="009178CB">
              <w:rPr>
                <w:sz w:val="18"/>
                <w:vertAlign w:val="superscript"/>
              </w:rPr>
              <w:t>c</w:t>
            </w:r>
          </w:p>
        </w:tc>
        <w:tc>
          <w:tcPr>
            <w:tcW w:w="2448" w:type="dxa"/>
            <w:shd w:val="clear" w:color="auto" w:fill="auto"/>
            <w:vAlign w:val="center"/>
          </w:tcPr>
          <w:p w14:paraId="7E42E3E4" w14:textId="77777777" w:rsidR="004A5C8B" w:rsidRDefault="00000000" w:rsidP="004247B8">
            <w:pPr>
              <w:spacing w:after="0" w:line="240" w:lineRule="auto"/>
              <w:jc w:val="center"/>
            </w:pPr>
            <w:r>
              <w:rPr>
                <w:sz w:val="18"/>
              </w:rPr>
              <w:t>15.35 ± 0.84</w:t>
            </w:r>
            <w:r w:rsidRPr="009178CB">
              <w:rPr>
                <w:sz w:val="18"/>
                <w:vertAlign w:val="superscript"/>
              </w:rPr>
              <w:t>c</w:t>
            </w:r>
          </w:p>
        </w:tc>
      </w:tr>
    </w:tbl>
    <w:p w14:paraId="5A5AD959" w14:textId="77777777" w:rsidR="004A5C8B" w:rsidRDefault="00000000" w:rsidP="004247B8">
      <w:pPr>
        <w:spacing w:after="120" w:line="240" w:lineRule="auto"/>
      </w:pPr>
      <w:r>
        <w:rPr>
          <w:sz w:val="18"/>
        </w:rPr>
        <w:t>Note: Different superscript letters in the same column indicate significant differences based on Duncan’s multiple range test (</w:t>
      </w:r>
      <w:r w:rsidRPr="009178CB">
        <w:rPr>
          <w:i/>
          <w:iCs/>
          <w:sz w:val="18"/>
        </w:rPr>
        <w:t>P &lt; 0.05</w:t>
      </w:r>
      <w:r>
        <w:rPr>
          <w:sz w:val="18"/>
        </w:rPr>
        <w:t>).</w:t>
      </w:r>
    </w:p>
    <w:p w14:paraId="6A510DC9" w14:textId="77777777" w:rsidR="004A5C8B" w:rsidRDefault="00000000" w:rsidP="00134924">
      <w:pPr>
        <w:spacing w:after="0" w:line="240" w:lineRule="auto"/>
      </w:pPr>
      <w:r>
        <w:rPr>
          <w:b/>
          <w:sz w:val="20"/>
        </w:rPr>
        <w:t>Table 3. Intestinal villus morphometry of saline Nile tilapia.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2"/>
        <w:gridCol w:w="1454"/>
        <w:gridCol w:w="1455"/>
        <w:gridCol w:w="1455"/>
        <w:gridCol w:w="1455"/>
        <w:gridCol w:w="1455"/>
      </w:tblGrid>
      <w:tr w:rsidR="004A5C8B" w14:paraId="6D38DC2C" w14:textId="77777777" w:rsidTr="005F0C93">
        <w:trPr>
          <w:jc w:val="center"/>
        </w:trPr>
        <w:tc>
          <w:tcPr>
            <w:tcW w:w="1872" w:type="dxa"/>
            <w:shd w:val="clear" w:color="auto" w:fill="auto"/>
            <w:vAlign w:val="center"/>
          </w:tcPr>
          <w:p w14:paraId="428ACBC9" w14:textId="77777777" w:rsidR="004A5C8B" w:rsidRDefault="00000000" w:rsidP="00134924">
            <w:pPr>
              <w:spacing w:after="0" w:line="240" w:lineRule="auto"/>
              <w:jc w:val="center"/>
            </w:pPr>
            <w:r>
              <w:rPr>
                <w:b/>
                <w:sz w:val="16"/>
              </w:rPr>
              <w:t>Parameter</w:t>
            </w:r>
          </w:p>
        </w:tc>
        <w:tc>
          <w:tcPr>
            <w:tcW w:w="1584" w:type="dxa"/>
            <w:shd w:val="clear" w:color="auto" w:fill="auto"/>
            <w:vAlign w:val="center"/>
          </w:tcPr>
          <w:p w14:paraId="61B8A9D8" w14:textId="77777777" w:rsidR="004A5C8B" w:rsidRDefault="00000000" w:rsidP="00134924">
            <w:pPr>
              <w:spacing w:after="0" w:line="240" w:lineRule="auto"/>
              <w:jc w:val="center"/>
            </w:pPr>
            <w:r>
              <w:rPr>
                <w:b/>
                <w:sz w:val="16"/>
              </w:rPr>
              <w:t>Initial</w:t>
            </w:r>
          </w:p>
        </w:tc>
        <w:tc>
          <w:tcPr>
            <w:tcW w:w="1584" w:type="dxa"/>
            <w:shd w:val="clear" w:color="auto" w:fill="auto"/>
            <w:vAlign w:val="center"/>
          </w:tcPr>
          <w:p w14:paraId="0458BCC8" w14:textId="77777777" w:rsidR="004A5C8B" w:rsidRDefault="00000000" w:rsidP="00134924">
            <w:pPr>
              <w:spacing w:after="0" w:line="240" w:lineRule="auto"/>
              <w:jc w:val="center"/>
            </w:pPr>
            <w:r>
              <w:rPr>
                <w:b/>
                <w:sz w:val="16"/>
              </w:rPr>
              <w:t>A</w:t>
            </w:r>
          </w:p>
        </w:tc>
        <w:tc>
          <w:tcPr>
            <w:tcW w:w="1584" w:type="dxa"/>
            <w:shd w:val="clear" w:color="auto" w:fill="auto"/>
            <w:vAlign w:val="center"/>
          </w:tcPr>
          <w:p w14:paraId="5B4EFB0E" w14:textId="77777777" w:rsidR="004A5C8B" w:rsidRDefault="00000000" w:rsidP="00134924">
            <w:pPr>
              <w:spacing w:after="0" w:line="240" w:lineRule="auto"/>
              <w:jc w:val="center"/>
            </w:pPr>
            <w:r>
              <w:rPr>
                <w:b/>
                <w:sz w:val="16"/>
              </w:rPr>
              <w:t>B</w:t>
            </w:r>
          </w:p>
        </w:tc>
        <w:tc>
          <w:tcPr>
            <w:tcW w:w="1584" w:type="dxa"/>
            <w:shd w:val="clear" w:color="auto" w:fill="auto"/>
            <w:vAlign w:val="center"/>
          </w:tcPr>
          <w:p w14:paraId="00021CFC" w14:textId="77777777" w:rsidR="004A5C8B" w:rsidRDefault="00000000" w:rsidP="00134924">
            <w:pPr>
              <w:spacing w:after="0" w:line="240" w:lineRule="auto"/>
              <w:jc w:val="center"/>
            </w:pPr>
            <w:r>
              <w:rPr>
                <w:b/>
                <w:sz w:val="16"/>
              </w:rPr>
              <w:t>C</w:t>
            </w:r>
          </w:p>
        </w:tc>
        <w:tc>
          <w:tcPr>
            <w:tcW w:w="1584" w:type="dxa"/>
            <w:shd w:val="clear" w:color="auto" w:fill="auto"/>
            <w:vAlign w:val="center"/>
          </w:tcPr>
          <w:p w14:paraId="6C1E9B4D" w14:textId="77777777" w:rsidR="004A5C8B" w:rsidRDefault="00000000" w:rsidP="00134924">
            <w:pPr>
              <w:spacing w:after="0" w:line="240" w:lineRule="auto"/>
              <w:jc w:val="center"/>
            </w:pPr>
            <w:r>
              <w:rPr>
                <w:b/>
                <w:sz w:val="16"/>
              </w:rPr>
              <w:t>D</w:t>
            </w:r>
          </w:p>
        </w:tc>
      </w:tr>
      <w:tr w:rsidR="004A5C8B" w14:paraId="1AF70581" w14:textId="77777777" w:rsidTr="005F0C93">
        <w:trPr>
          <w:jc w:val="center"/>
        </w:trPr>
        <w:tc>
          <w:tcPr>
            <w:tcW w:w="1872" w:type="dxa"/>
            <w:shd w:val="clear" w:color="auto" w:fill="auto"/>
            <w:vAlign w:val="center"/>
          </w:tcPr>
          <w:p w14:paraId="39636DB5" w14:textId="77777777" w:rsidR="004A5C8B" w:rsidRDefault="00000000" w:rsidP="00134924">
            <w:pPr>
              <w:spacing w:after="0" w:line="240" w:lineRule="auto"/>
            </w:pPr>
            <w:r>
              <w:rPr>
                <w:sz w:val="16"/>
              </w:rPr>
              <w:t>Villus height (µm)</w:t>
            </w:r>
          </w:p>
        </w:tc>
        <w:tc>
          <w:tcPr>
            <w:tcW w:w="1584" w:type="dxa"/>
            <w:shd w:val="clear" w:color="auto" w:fill="auto"/>
            <w:vAlign w:val="center"/>
          </w:tcPr>
          <w:p w14:paraId="36749DFC" w14:textId="77777777" w:rsidR="004A5C8B" w:rsidRDefault="00000000" w:rsidP="00134924">
            <w:pPr>
              <w:spacing w:after="0" w:line="240" w:lineRule="auto"/>
              <w:jc w:val="center"/>
            </w:pPr>
            <w:r>
              <w:rPr>
                <w:sz w:val="16"/>
              </w:rPr>
              <w:t>139.02 ± 16.96</w:t>
            </w:r>
          </w:p>
        </w:tc>
        <w:tc>
          <w:tcPr>
            <w:tcW w:w="1584" w:type="dxa"/>
            <w:shd w:val="clear" w:color="auto" w:fill="auto"/>
            <w:vAlign w:val="center"/>
          </w:tcPr>
          <w:p w14:paraId="32DD8F3C" w14:textId="77777777" w:rsidR="004A5C8B" w:rsidRDefault="00000000" w:rsidP="00134924">
            <w:pPr>
              <w:spacing w:after="0" w:line="240" w:lineRule="auto"/>
              <w:jc w:val="center"/>
            </w:pPr>
            <w:r>
              <w:rPr>
                <w:sz w:val="16"/>
              </w:rPr>
              <w:t>352.37 ± 129.79</w:t>
            </w:r>
          </w:p>
        </w:tc>
        <w:tc>
          <w:tcPr>
            <w:tcW w:w="1584" w:type="dxa"/>
            <w:shd w:val="clear" w:color="auto" w:fill="auto"/>
            <w:vAlign w:val="center"/>
          </w:tcPr>
          <w:p w14:paraId="78CCBD98" w14:textId="77777777" w:rsidR="004A5C8B" w:rsidRDefault="00000000" w:rsidP="00134924">
            <w:pPr>
              <w:spacing w:after="0" w:line="240" w:lineRule="auto"/>
              <w:jc w:val="center"/>
            </w:pPr>
            <w:r>
              <w:rPr>
                <w:sz w:val="16"/>
              </w:rPr>
              <w:t>356.91 ± 135.96</w:t>
            </w:r>
          </w:p>
        </w:tc>
        <w:tc>
          <w:tcPr>
            <w:tcW w:w="1584" w:type="dxa"/>
            <w:shd w:val="clear" w:color="auto" w:fill="auto"/>
            <w:vAlign w:val="center"/>
          </w:tcPr>
          <w:p w14:paraId="61927763" w14:textId="77777777" w:rsidR="004A5C8B" w:rsidRDefault="00000000" w:rsidP="00134924">
            <w:pPr>
              <w:spacing w:after="0" w:line="240" w:lineRule="auto"/>
              <w:jc w:val="center"/>
            </w:pPr>
            <w:r>
              <w:rPr>
                <w:sz w:val="16"/>
              </w:rPr>
              <w:t>161.12 ± 24.39</w:t>
            </w:r>
          </w:p>
        </w:tc>
        <w:tc>
          <w:tcPr>
            <w:tcW w:w="1584" w:type="dxa"/>
            <w:shd w:val="clear" w:color="auto" w:fill="auto"/>
            <w:vAlign w:val="center"/>
          </w:tcPr>
          <w:p w14:paraId="4AFB04E1" w14:textId="77777777" w:rsidR="004A5C8B" w:rsidRDefault="00000000" w:rsidP="00134924">
            <w:pPr>
              <w:spacing w:after="0" w:line="240" w:lineRule="auto"/>
              <w:jc w:val="center"/>
            </w:pPr>
            <w:r>
              <w:rPr>
                <w:sz w:val="16"/>
              </w:rPr>
              <w:t>264.44 ± 70.74</w:t>
            </w:r>
          </w:p>
        </w:tc>
      </w:tr>
      <w:tr w:rsidR="004A5C8B" w14:paraId="63EBE9B9" w14:textId="77777777" w:rsidTr="005F0C93">
        <w:trPr>
          <w:jc w:val="center"/>
        </w:trPr>
        <w:tc>
          <w:tcPr>
            <w:tcW w:w="1872" w:type="dxa"/>
            <w:shd w:val="clear" w:color="auto" w:fill="auto"/>
            <w:vAlign w:val="center"/>
          </w:tcPr>
          <w:p w14:paraId="119AF092" w14:textId="77777777" w:rsidR="004A5C8B" w:rsidRDefault="00000000" w:rsidP="00134924">
            <w:pPr>
              <w:spacing w:after="0" w:line="240" w:lineRule="auto"/>
            </w:pPr>
            <w:r>
              <w:rPr>
                <w:sz w:val="16"/>
              </w:rPr>
              <w:t>Villus width (µm)</w:t>
            </w:r>
          </w:p>
        </w:tc>
        <w:tc>
          <w:tcPr>
            <w:tcW w:w="1584" w:type="dxa"/>
            <w:shd w:val="clear" w:color="auto" w:fill="auto"/>
            <w:vAlign w:val="center"/>
          </w:tcPr>
          <w:p w14:paraId="000BC831" w14:textId="77777777" w:rsidR="004A5C8B" w:rsidRDefault="00000000" w:rsidP="00134924">
            <w:pPr>
              <w:spacing w:after="0" w:line="240" w:lineRule="auto"/>
              <w:jc w:val="center"/>
            </w:pPr>
            <w:r>
              <w:rPr>
                <w:sz w:val="16"/>
              </w:rPr>
              <w:t>126.91 ± 63.02</w:t>
            </w:r>
          </w:p>
        </w:tc>
        <w:tc>
          <w:tcPr>
            <w:tcW w:w="1584" w:type="dxa"/>
            <w:shd w:val="clear" w:color="auto" w:fill="auto"/>
            <w:vAlign w:val="center"/>
          </w:tcPr>
          <w:p w14:paraId="5F0BA749" w14:textId="77777777" w:rsidR="004A5C8B" w:rsidRDefault="00000000" w:rsidP="00134924">
            <w:pPr>
              <w:spacing w:after="0" w:line="240" w:lineRule="auto"/>
              <w:jc w:val="center"/>
            </w:pPr>
            <w:r>
              <w:rPr>
                <w:sz w:val="16"/>
              </w:rPr>
              <w:t>87.58 ± 36.24</w:t>
            </w:r>
          </w:p>
        </w:tc>
        <w:tc>
          <w:tcPr>
            <w:tcW w:w="1584" w:type="dxa"/>
            <w:shd w:val="clear" w:color="auto" w:fill="auto"/>
            <w:vAlign w:val="center"/>
          </w:tcPr>
          <w:p w14:paraId="5D1D9128" w14:textId="77777777" w:rsidR="004A5C8B" w:rsidRDefault="00000000" w:rsidP="00134924">
            <w:pPr>
              <w:spacing w:after="0" w:line="240" w:lineRule="auto"/>
              <w:jc w:val="center"/>
            </w:pPr>
            <w:r>
              <w:rPr>
                <w:sz w:val="16"/>
              </w:rPr>
              <w:t>146.59 ± 53.31</w:t>
            </w:r>
          </w:p>
        </w:tc>
        <w:tc>
          <w:tcPr>
            <w:tcW w:w="1584" w:type="dxa"/>
            <w:shd w:val="clear" w:color="auto" w:fill="auto"/>
            <w:vAlign w:val="center"/>
          </w:tcPr>
          <w:p w14:paraId="525699C0" w14:textId="77777777" w:rsidR="004A5C8B" w:rsidRDefault="00000000" w:rsidP="00134924">
            <w:pPr>
              <w:spacing w:after="0" w:line="240" w:lineRule="auto"/>
              <w:jc w:val="center"/>
            </w:pPr>
            <w:r>
              <w:rPr>
                <w:sz w:val="16"/>
              </w:rPr>
              <w:t>186.47 ± 55.84</w:t>
            </w:r>
          </w:p>
        </w:tc>
        <w:tc>
          <w:tcPr>
            <w:tcW w:w="1584" w:type="dxa"/>
            <w:shd w:val="clear" w:color="auto" w:fill="auto"/>
            <w:vAlign w:val="center"/>
          </w:tcPr>
          <w:p w14:paraId="5F553C01" w14:textId="77777777" w:rsidR="004A5C8B" w:rsidRDefault="00000000" w:rsidP="00134924">
            <w:pPr>
              <w:spacing w:after="0" w:line="240" w:lineRule="auto"/>
              <w:jc w:val="center"/>
            </w:pPr>
            <w:r>
              <w:rPr>
                <w:sz w:val="16"/>
              </w:rPr>
              <w:t>151.53 ± 54.56</w:t>
            </w:r>
          </w:p>
        </w:tc>
      </w:tr>
    </w:tbl>
    <w:p w14:paraId="76E53E9F" w14:textId="5FB560A0" w:rsidR="004A5C8B" w:rsidRDefault="00000000" w:rsidP="00134924">
      <w:pPr>
        <w:spacing w:after="0" w:line="240" w:lineRule="auto"/>
      </w:pPr>
      <w:r>
        <w:rPr>
          <w:b/>
          <w:sz w:val="20"/>
        </w:rPr>
        <w:t>Table 4. Intestine somatic index (ISI) and hepatosomatic index (HSI) of saline Nile tilapia.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0"/>
        <w:gridCol w:w="2448"/>
        <w:gridCol w:w="2448"/>
      </w:tblGrid>
      <w:tr w:rsidR="004A5C8B" w14:paraId="6A4AB045" w14:textId="77777777" w:rsidTr="005F0C93">
        <w:tc>
          <w:tcPr>
            <w:tcW w:w="1440" w:type="dxa"/>
            <w:shd w:val="clear" w:color="auto" w:fill="auto"/>
            <w:vAlign w:val="center"/>
          </w:tcPr>
          <w:p w14:paraId="53A04894" w14:textId="77777777" w:rsidR="004A5C8B" w:rsidRDefault="00000000" w:rsidP="004247B8">
            <w:pPr>
              <w:spacing w:after="0" w:line="240" w:lineRule="auto"/>
              <w:jc w:val="center"/>
            </w:pPr>
            <w:r>
              <w:rPr>
                <w:b/>
                <w:sz w:val="18"/>
              </w:rPr>
              <w:t>Treatment</w:t>
            </w:r>
          </w:p>
        </w:tc>
        <w:tc>
          <w:tcPr>
            <w:tcW w:w="2448" w:type="dxa"/>
            <w:shd w:val="clear" w:color="auto" w:fill="auto"/>
            <w:vAlign w:val="center"/>
          </w:tcPr>
          <w:p w14:paraId="470D487B" w14:textId="77777777" w:rsidR="004A5C8B" w:rsidRDefault="00000000" w:rsidP="004247B8">
            <w:pPr>
              <w:spacing w:after="0" w:line="240" w:lineRule="auto"/>
              <w:jc w:val="center"/>
            </w:pPr>
            <w:r>
              <w:rPr>
                <w:b/>
                <w:sz w:val="18"/>
              </w:rPr>
              <w:t>ISI (%)</w:t>
            </w:r>
          </w:p>
        </w:tc>
        <w:tc>
          <w:tcPr>
            <w:tcW w:w="2448" w:type="dxa"/>
            <w:shd w:val="clear" w:color="auto" w:fill="auto"/>
            <w:vAlign w:val="center"/>
          </w:tcPr>
          <w:p w14:paraId="63A2740B" w14:textId="77777777" w:rsidR="004A5C8B" w:rsidRDefault="00000000" w:rsidP="004247B8">
            <w:pPr>
              <w:spacing w:after="0" w:line="240" w:lineRule="auto"/>
              <w:jc w:val="center"/>
            </w:pPr>
            <w:r>
              <w:rPr>
                <w:b/>
                <w:sz w:val="18"/>
              </w:rPr>
              <w:t>HSI (%)</w:t>
            </w:r>
          </w:p>
        </w:tc>
      </w:tr>
      <w:tr w:rsidR="004A5C8B" w14:paraId="313AD1AA" w14:textId="77777777" w:rsidTr="005F0C93">
        <w:tc>
          <w:tcPr>
            <w:tcW w:w="1440" w:type="dxa"/>
            <w:shd w:val="clear" w:color="auto" w:fill="auto"/>
            <w:vAlign w:val="center"/>
          </w:tcPr>
          <w:p w14:paraId="4E5944F2" w14:textId="77777777" w:rsidR="004A5C8B" w:rsidRDefault="00000000" w:rsidP="004247B8">
            <w:pPr>
              <w:spacing w:after="0" w:line="240" w:lineRule="auto"/>
            </w:pPr>
            <w:r>
              <w:rPr>
                <w:sz w:val="18"/>
              </w:rPr>
              <w:t>Initial</w:t>
            </w:r>
          </w:p>
        </w:tc>
        <w:tc>
          <w:tcPr>
            <w:tcW w:w="2448" w:type="dxa"/>
            <w:shd w:val="clear" w:color="auto" w:fill="auto"/>
            <w:vAlign w:val="center"/>
          </w:tcPr>
          <w:p w14:paraId="51B6D7BF" w14:textId="77777777" w:rsidR="004A5C8B" w:rsidRDefault="00000000" w:rsidP="004247B8">
            <w:pPr>
              <w:spacing w:after="0" w:line="240" w:lineRule="auto"/>
              <w:jc w:val="center"/>
            </w:pPr>
            <w:r>
              <w:rPr>
                <w:sz w:val="18"/>
              </w:rPr>
              <w:t>4.41 ± 1.03</w:t>
            </w:r>
          </w:p>
        </w:tc>
        <w:tc>
          <w:tcPr>
            <w:tcW w:w="2448" w:type="dxa"/>
            <w:shd w:val="clear" w:color="auto" w:fill="auto"/>
            <w:vAlign w:val="center"/>
          </w:tcPr>
          <w:p w14:paraId="6E7FA070" w14:textId="77777777" w:rsidR="004A5C8B" w:rsidRDefault="00000000" w:rsidP="004247B8">
            <w:pPr>
              <w:spacing w:after="0" w:line="240" w:lineRule="auto"/>
              <w:jc w:val="center"/>
            </w:pPr>
            <w:r>
              <w:rPr>
                <w:sz w:val="18"/>
              </w:rPr>
              <w:t>0.19 ± 0.11</w:t>
            </w:r>
          </w:p>
        </w:tc>
      </w:tr>
      <w:tr w:rsidR="004A5C8B" w14:paraId="7027B0A6" w14:textId="77777777" w:rsidTr="005F0C93">
        <w:tc>
          <w:tcPr>
            <w:tcW w:w="1440" w:type="dxa"/>
            <w:shd w:val="clear" w:color="auto" w:fill="auto"/>
            <w:vAlign w:val="center"/>
          </w:tcPr>
          <w:p w14:paraId="388A2CAB" w14:textId="77777777" w:rsidR="004A5C8B" w:rsidRDefault="00000000" w:rsidP="004247B8">
            <w:pPr>
              <w:spacing w:after="0" w:line="240" w:lineRule="auto"/>
            </w:pPr>
            <w:r>
              <w:rPr>
                <w:sz w:val="18"/>
              </w:rPr>
              <w:t>A</w:t>
            </w:r>
          </w:p>
        </w:tc>
        <w:tc>
          <w:tcPr>
            <w:tcW w:w="2448" w:type="dxa"/>
            <w:shd w:val="clear" w:color="auto" w:fill="auto"/>
            <w:vAlign w:val="center"/>
          </w:tcPr>
          <w:p w14:paraId="27E061A8" w14:textId="77777777" w:rsidR="004A5C8B" w:rsidRDefault="00000000" w:rsidP="004247B8">
            <w:pPr>
              <w:spacing w:after="0" w:line="240" w:lineRule="auto"/>
              <w:jc w:val="center"/>
            </w:pPr>
            <w:r>
              <w:rPr>
                <w:sz w:val="18"/>
              </w:rPr>
              <w:t>6.83 ± 0.70</w:t>
            </w:r>
          </w:p>
        </w:tc>
        <w:tc>
          <w:tcPr>
            <w:tcW w:w="2448" w:type="dxa"/>
            <w:shd w:val="clear" w:color="auto" w:fill="auto"/>
            <w:vAlign w:val="center"/>
          </w:tcPr>
          <w:p w14:paraId="660F3316" w14:textId="77777777" w:rsidR="004A5C8B" w:rsidRDefault="00000000" w:rsidP="004247B8">
            <w:pPr>
              <w:spacing w:after="0" w:line="240" w:lineRule="auto"/>
              <w:jc w:val="center"/>
            </w:pPr>
            <w:r>
              <w:rPr>
                <w:sz w:val="18"/>
              </w:rPr>
              <w:t>0.42 ± 0.04</w:t>
            </w:r>
          </w:p>
        </w:tc>
      </w:tr>
      <w:tr w:rsidR="004A5C8B" w14:paraId="64B36D4D" w14:textId="77777777" w:rsidTr="005F0C93">
        <w:tc>
          <w:tcPr>
            <w:tcW w:w="1440" w:type="dxa"/>
            <w:shd w:val="clear" w:color="auto" w:fill="auto"/>
            <w:vAlign w:val="center"/>
          </w:tcPr>
          <w:p w14:paraId="3DB0D275" w14:textId="77777777" w:rsidR="004A5C8B" w:rsidRDefault="00000000" w:rsidP="004247B8">
            <w:pPr>
              <w:spacing w:after="0" w:line="240" w:lineRule="auto"/>
            </w:pPr>
            <w:r>
              <w:rPr>
                <w:sz w:val="18"/>
              </w:rPr>
              <w:lastRenderedPageBreak/>
              <w:t>B</w:t>
            </w:r>
          </w:p>
        </w:tc>
        <w:tc>
          <w:tcPr>
            <w:tcW w:w="2448" w:type="dxa"/>
            <w:shd w:val="clear" w:color="auto" w:fill="auto"/>
            <w:vAlign w:val="center"/>
          </w:tcPr>
          <w:p w14:paraId="4386999C" w14:textId="77777777" w:rsidR="004A5C8B" w:rsidRDefault="00000000" w:rsidP="004247B8">
            <w:pPr>
              <w:spacing w:after="0" w:line="240" w:lineRule="auto"/>
              <w:jc w:val="center"/>
            </w:pPr>
            <w:r>
              <w:rPr>
                <w:sz w:val="18"/>
              </w:rPr>
              <w:t>7.92 ± 0.36</w:t>
            </w:r>
          </w:p>
        </w:tc>
        <w:tc>
          <w:tcPr>
            <w:tcW w:w="2448" w:type="dxa"/>
            <w:shd w:val="clear" w:color="auto" w:fill="auto"/>
            <w:vAlign w:val="center"/>
          </w:tcPr>
          <w:p w14:paraId="1DBFDDF9" w14:textId="77777777" w:rsidR="004A5C8B" w:rsidRDefault="00000000" w:rsidP="004247B8">
            <w:pPr>
              <w:spacing w:after="0" w:line="240" w:lineRule="auto"/>
              <w:jc w:val="center"/>
            </w:pPr>
            <w:r>
              <w:rPr>
                <w:sz w:val="18"/>
              </w:rPr>
              <w:t>0.51 ± 0.14</w:t>
            </w:r>
          </w:p>
        </w:tc>
      </w:tr>
      <w:tr w:rsidR="004A5C8B" w14:paraId="2775B63A" w14:textId="77777777" w:rsidTr="005F0C93">
        <w:tc>
          <w:tcPr>
            <w:tcW w:w="1440" w:type="dxa"/>
            <w:shd w:val="clear" w:color="auto" w:fill="auto"/>
            <w:vAlign w:val="center"/>
          </w:tcPr>
          <w:p w14:paraId="527506A0" w14:textId="77777777" w:rsidR="004A5C8B" w:rsidRDefault="00000000" w:rsidP="004247B8">
            <w:pPr>
              <w:spacing w:after="0" w:line="240" w:lineRule="auto"/>
            </w:pPr>
            <w:r>
              <w:rPr>
                <w:sz w:val="18"/>
              </w:rPr>
              <w:t>C</w:t>
            </w:r>
          </w:p>
        </w:tc>
        <w:tc>
          <w:tcPr>
            <w:tcW w:w="2448" w:type="dxa"/>
            <w:shd w:val="clear" w:color="auto" w:fill="auto"/>
            <w:vAlign w:val="center"/>
          </w:tcPr>
          <w:p w14:paraId="6E8C184A" w14:textId="77777777" w:rsidR="004A5C8B" w:rsidRDefault="00000000" w:rsidP="004247B8">
            <w:pPr>
              <w:spacing w:after="0" w:line="240" w:lineRule="auto"/>
              <w:jc w:val="center"/>
            </w:pPr>
            <w:r>
              <w:rPr>
                <w:sz w:val="18"/>
              </w:rPr>
              <w:t>8.26 ± 0.68</w:t>
            </w:r>
          </w:p>
        </w:tc>
        <w:tc>
          <w:tcPr>
            <w:tcW w:w="2448" w:type="dxa"/>
            <w:shd w:val="clear" w:color="auto" w:fill="auto"/>
            <w:vAlign w:val="center"/>
          </w:tcPr>
          <w:p w14:paraId="0F8CCBDE" w14:textId="77777777" w:rsidR="004A5C8B" w:rsidRDefault="00000000" w:rsidP="004247B8">
            <w:pPr>
              <w:spacing w:after="0" w:line="240" w:lineRule="auto"/>
              <w:jc w:val="center"/>
            </w:pPr>
            <w:r>
              <w:rPr>
                <w:sz w:val="18"/>
              </w:rPr>
              <w:t>0.57 ± 0.15</w:t>
            </w:r>
          </w:p>
        </w:tc>
      </w:tr>
      <w:tr w:rsidR="004A5C8B" w14:paraId="58929765" w14:textId="77777777" w:rsidTr="005F0C93">
        <w:tc>
          <w:tcPr>
            <w:tcW w:w="1440" w:type="dxa"/>
            <w:shd w:val="clear" w:color="auto" w:fill="auto"/>
            <w:vAlign w:val="center"/>
          </w:tcPr>
          <w:p w14:paraId="69DC99D9" w14:textId="77777777" w:rsidR="004A5C8B" w:rsidRDefault="00000000" w:rsidP="004247B8">
            <w:pPr>
              <w:spacing w:after="0" w:line="240" w:lineRule="auto"/>
            </w:pPr>
            <w:r>
              <w:rPr>
                <w:sz w:val="18"/>
              </w:rPr>
              <w:t>D</w:t>
            </w:r>
          </w:p>
        </w:tc>
        <w:tc>
          <w:tcPr>
            <w:tcW w:w="2448" w:type="dxa"/>
            <w:shd w:val="clear" w:color="auto" w:fill="auto"/>
            <w:vAlign w:val="center"/>
          </w:tcPr>
          <w:p w14:paraId="4F06FE4F" w14:textId="77777777" w:rsidR="004A5C8B" w:rsidRDefault="00000000" w:rsidP="004247B8">
            <w:pPr>
              <w:spacing w:after="0" w:line="240" w:lineRule="auto"/>
              <w:jc w:val="center"/>
            </w:pPr>
            <w:r>
              <w:rPr>
                <w:sz w:val="18"/>
              </w:rPr>
              <w:t>9.24 ± 1.27</w:t>
            </w:r>
          </w:p>
        </w:tc>
        <w:tc>
          <w:tcPr>
            <w:tcW w:w="2448" w:type="dxa"/>
            <w:shd w:val="clear" w:color="auto" w:fill="auto"/>
            <w:vAlign w:val="center"/>
          </w:tcPr>
          <w:p w14:paraId="5A570CCA" w14:textId="77777777" w:rsidR="004A5C8B" w:rsidRDefault="00000000" w:rsidP="004247B8">
            <w:pPr>
              <w:spacing w:after="0" w:line="240" w:lineRule="auto"/>
              <w:jc w:val="center"/>
            </w:pPr>
            <w:r>
              <w:rPr>
                <w:sz w:val="18"/>
              </w:rPr>
              <w:t>0.70 ± 0.16</w:t>
            </w:r>
          </w:p>
        </w:tc>
      </w:tr>
    </w:tbl>
    <w:p w14:paraId="09C2E885" w14:textId="77777777" w:rsidR="004A5C8B" w:rsidRDefault="00000000" w:rsidP="002B3AEC">
      <w:pPr>
        <w:spacing w:after="0" w:line="240" w:lineRule="auto"/>
      </w:pPr>
      <w:r>
        <w:rPr>
          <w:b/>
          <w:sz w:val="20"/>
        </w:rPr>
        <w:t>Table 5. Total erythrocytes and leukocytes of saline Nile tilapia.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0"/>
        <w:gridCol w:w="3600"/>
        <w:gridCol w:w="3600"/>
      </w:tblGrid>
      <w:tr w:rsidR="004A5C8B" w14:paraId="0D569B0B" w14:textId="77777777" w:rsidTr="005F0C93">
        <w:tc>
          <w:tcPr>
            <w:tcW w:w="1440" w:type="dxa"/>
            <w:shd w:val="clear" w:color="auto" w:fill="auto"/>
            <w:vAlign w:val="center"/>
          </w:tcPr>
          <w:p w14:paraId="155EF7F5" w14:textId="77777777" w:rsidR="004A5C8B" w:rsidRDefault="00000000" w:rsidP="004247B8">
            <w:pPr>
              <w:spacing w:after="0" w:line="240" w:lineRule="auto"/>
              <w:jc w:val="center"/>
            </w:pPr>
            <w:r>
              <w:rPr>
                <w:b/>
                <w:sz w:val="18"/>
              </w:rPr>
              <w:t>Treatment</w:t>
            </w:r>
          </w:p>
        </w:tc>
        <w:tc>
          <w:tcPr>
            <w:tcW w:w="3600" w:type="dxa"/>
            <w:shd w:val="clear" w:color="auto" w:fill="auto"/>
            <w:vAlign w:val="center"/>
          </w:tcPr>
          <w:p w14:paraId="775B29F9" w14:textId="77777777" w:rsidR="004A5C8B" w:rsidRDefault="00000000" w:rsidP="004247B8">
            <w:pPr>
              <w:spacing w:after="0" w:line="240" w:lineRule="auto"/>
              <w:jc w:val="center"/>
            </w:pPr>
            <w:r>
              <w:rPr>
                <w:b/>
                <w:sz w:val="18"/>
              </w:rPr>
              <w:t>Total erythrocytes (x 10^6 cells/mm3)</w:t>
            </w:r>
          </w:p>
        </w:tc>
        <w:tc>
          <w:tcPr>
            <w:tcW w:w="3600" w:type="dxa"/>
            <w:shd w:val="clear" w:color="auto" w:fill="auto"/>
            <w:vAlign w:val="center"/>
          </w:tcPr>
          <w:p w14:paraId="7F662998" w14:textId="77777777" w:rsidR="004A5C8B" w:rsidRDefault="00000000" w:rsidP="004247B8">
            <w:pPr>
              <w:spacing w:after="0" w:line="240" w:lineRule="auto"/>
              <w:jc w:val="center"/>
            </w:pPr>
            <w:r>
              <w:rPr>
                <w:b/>
                <w:sz w:val="18"/>
              </w:rPr>
              <w:t>Total leukocytes (x 10^4 cells/mm3)</w:t>
            </w:r>
          </w:p>
        </w:tc>
      </w:tr>
      <w:tr w:rsidR="004A5C8B" w14:paraId="487FA977" w14:textId="77777777" w:rsidTr="005F0C93">
        <w:tc>
          <w:tcPr>
            <w:tcW w:w="1440" w:type="dxa"/>
            <w:shd w:val="clear" w:color="auto" w:fill="auto"/>
            <w:vAlign w:val="center"/>
          </w:tcPr>
          <w:p w14:paraId="4E869AFC" w14:textId="77777777" w:rsidR="004A5C8B" w:rsidRDefault="00000000" w:rsidP="004247B8">
            <w:pPr>
              <w:spacing w:after="0" w:line="240" w:lineRule="auto"/>
            </w:pPr>
            <w:r>
              <w:rPr>
                <w:sz w:val="18"/>
              </w:rPr>
              <w:t>Initial</w:t>
            </w:r>
          </w:p>
        </w:tc>
        <w:tc>
          <w:tcPr>
            <w:tcW w:w="3600" w:type="dxa"/>
            <w:shd w:val="clear" w:color="auto" w:fill="auto"/>
            <w:vAlign w:val="center"/>
          </w:tcPr>
          <w:p w14:paraId="1CF492E9" w14:textId="77777777" w:rsidR="004A5C8B" w:rsidRDefault="00000000" w:rsidP="004247B8">
            <w:pPr>
              <w:spacing w:after="0" w:line="240" w:lineRule="auto"/>
              <w:jc w:val="center"/>
            </w:pPr>
            <w:r>
              <w:rPr>
                <w:sz w:val="18"/>
              </w:rPr>
              <w:t>0.40 ± 0.00</w:t>
            </w:r>
          </w:p>
        </w:tc>
        <w:tc>
          <w:tcPr>
            <w:tcW w:w="3600" w:type="dxa"/>
            <w:shd w:val="clear" w:color="auto" w:fill="auto"/>
            <w:vAlign w:val="center"/>
          </w:tcPr>
          <w:p w14:paraId="6DB4B48E" w14:textId="77777777" w:rsidR="004A5C8B" w:rsidRDefault="00000000" w:rsidP="004247B8">
            <w:pPr>
              <w:spacing w:after="0" w:line="240" w:lineRule="auto"/>
              <w:jc w:val="center"/>
            </w:pPr>
            <w:r>
              <w:rPr>
                <w:sz w:val="18"/>
              </w:rPr>
              <w:t>0.03 ± 0.00</w:t>
            </w:r>
          </w:p>
        </w:tc>
      </w:tr>
      <w:tr w:rsidR="004A5C8B" w14:paraId="2F73C02D" w14:textId="77777777" w:rsidTr="005F0C93">
        <w:tc>
          <w:tcPr>
            <w:tcW w:w="1440" w:type="dxa"/>
            <w:shd w:val="clear" w:color="auto" w:fill="auto"/>
            <w:vAlign w:val="center"/>
          </w:tcPr>
          <w:p w14:paraId="64951A10" w14:textId="77777777" w:rsidR="004A5C8B" w:rsidRDefault="00000000" w:rsidP="004247B8">
            <w:pPr>
              <w:spacing w:after="0" w:line="240" w:lineRule="auto"/>
            </w:pPr>
            <w:r>
              <w:rPr>
                <w:sz w:val="18"/>
              </w:rPr>
              <w:t>A</w:t>
            </w:r>
          </w:p>
        </w:tc>
        <w:tc>
          <w:tcPr>
            <w:tcW w:w="3600" w:type="dxa"/>
            <w:shd w:val="clear" w:color="auto" w:fill="auto"/>
            <w:vAlign w:val="center"/>
          </w:tcPr>
          <w:p w14:paraId="4715BDDD" w14:textId="77777777" w:rsidR="004A5C8B" w:rsidRDefault="00000000" w:rsidP="004247B8">
            <w:pPr>
              <w:spacing w:after="0" w:line="240" w:lineRule="auto"/>
              <w:jc w:val="center"/>
            </w:pPr>
            <w:r>
              <w:rPr>
                <w:sz w:val="18"/>
              </w:rPr>
              <w:t>3.36 ± 0.64</w:t>
            </w:r>
          </w:p>
        </w:tc>
        <w:tc>
          <w:tcPr>
            <w:tcW w:w="3600" w:type="dxa"/>
            <w:shd w:val="clear" w:color="auto" w:fill="auto"/>
            <w:vAlign w:val="center"/>
          </w:tcPr>
          <w:p w14:paraId="2821B043" w14:textId="77777777" w:rsidR="004A5C8B" w:rsidRDefault="00000000" w:rsidP="004247B8">
            <w:pPr>
              <w:spacing w:after="0" w:line="240" w:lineRule="auto"/>
              <w:jc w:val="center"/>
            </w:pPr>
            <w:r>
              <w:rPr>
                <w:sz w:val="18"/>
              </w:rPr>
              <w:t>67.41 ± 6.39</w:t>
            </w:r>
          </w:p>
        </w:tc>
      </w:tr>
      <w:tr w:rsidR="004A5C8B" w14:paraId="7B426ABA" w14:textId="77777777" w:rsidTr="005F0C93">
        <w:tc>
          <w:tcPr>
            <w:tcW w:w="1440" w:type="dxa"/>
            <w:shd w:val="clear" w:color="auto" w:fill="auto"/>
            <w:vAlign w:val="center"/>
          </w:tcPr>
          <w:p w14:paraId="06A03CEB" w14:textId="77777777" w:rsidR="004A5C8B" w:rsidRDefault="00000000" w:rsidP="004247B8">
            <w:pPr>
              <w:spacing w:after="0" w:line="240" w:lineRule="auto"/>
            </w:pPr>
            <w:r>
              <w:rPr>
                <w:sz w:val="18"/>
              </w:rPr>
              <w:t>B</w:t>
            </w:r>
          </w:p>
        </w:tc>
        <w:tc>
          <w:tcPr>
            <w:tcW w:w="3600" w:type="dxa"/>
            <w:shd w:val="clear" w:color="auto" w:fill="auto"/>
            <w:vAlign w:val="center"/>
          </w:tcPr>
          <w:p w14:paraId="4C4DAA2F" w14:textId="77777777" w:rsidR="004A5C8B" w:rsidRDefault="00000000" w:rsidP="004247B8">
            <w:pPr>
              <w:spacing w:after="0" w:line="240" w:lineRule="auto"/>
              <w:jc w:val="center"/>
            </w:pPr>
            <w:r>
              <w:rPr>
                <w:sz w:val="18"/>
              </w:rPr>
              <w:t>2.72 ± 0.40</w:t>
            </w:r>
          </w:p>
        </w:tc>
        <w:tc>
          <w:tcPr>
            <w:tcW w:w="3600" w:type="dxa"/>
            <w:shd w:val="clear" w:color="auto" w:fill="auto"/>
            <w:vAlign w:val="center"/>
          </w:tcPr>
          <w:p w14:paraId="5A86AA5C" w14:textId="77777777" w:rsidR="004A5C8B" w:rsidRDefault="00000000" w:rsidP="004247B8">
            <w:pPr>
              <w:spacing w:after="0" w:line="240" w:lineRule="auto"/>
              <w:jc w:val="center"/>
            </w:pPr>
            <w:r>
              <w:rPr>
                <w:sz w:val="18"/>
              </w:rPr>
              <w:t>71.06 ± 12.44</w:t>
            </w:r>
          </w:p>
        </w:tc>
      </w:tr>
      <w:tr w:rsidR="004A5C8B" w14:paraId="5C4AC35F" w14:textId="77777777" w:rsidTr="005F0C93">
        <w:tc>
          <w:tcPr>
            <w:tcW w:w="1440" w:type="dxa"/>
            <w:shd w:val="clear" w:color="auto" w:fill="auto"/>
            <w:vAlign w:val="center"/>
          </w:tcPr>
          <w:p w14:paraId="3E056392" w14:textId="77777777" w:rsidR="004A5C8B" w:rsidRDefault="00000000" w:rsidP="004247B8">
            <w:pPr>
              <w:spacing w:after="0" w:line="240" w:lineRule="auto"/>
            </w:pPr>
            <w:r>
              <w:rPr>
                <w:sz w:val="18"/>
              </w:rPr>
              <w:t>C</w:t>
            </w:r>
          </w:p>
        </w:tc>
        <w:tc>
          <w:tcPr>
            <w:tcW w:w="3600" w:type="dxa"/>
            <w:shd w:val="clear" w:color="auto" w:fill="auto"/>
            <w:vAlign w:val="center"/>
          </w:tcPr>
          <w:p w14:paraId="6FC9B792" w14:textId="77777777" w:rsidR="004A5C8B" w:rsidRDefault="00000000" w:rsidP="004247B8">
            <w:pPr>
              <w:spacing w:after="0" w:line="240" w:lineRule="auto"/>
              <w:jc w:val="center"/>
            </w:pPr>
            <w:r>
              <w:rPr>
                <w:sz w:val="18"/>
              </w:rPr>
              <w:t>5.58 ± 0.30</w:t>
            </w:r>
          </w:p>
        </w:tc>
        <w:tc>
          <w:tcPr>
            <w:tcW w:w="3600" w:type="dxa"/>
            <w:shd w:val="clear" w:color="auto" w:fill="auto"/>
            <w:vAlign w:val="center"/>
          </w:tcPr>
          <w:p w14:paraId="28944C95" w14:textId="77777777" w:rsidR="004A5C8B" w:rsidRDefault="00000000" w:rsidP="004247B8">
            <w:pPr>
              <w:spacing w:after="0" w:line="240" w:lineRule="auto"/>
              <w:jc w:val="center"/>
            </w:pPr>
            <w:r>
              <w:rPr>
                <w:sz w:val="18"/>
              </w:rPr>
              <w:t>109.67 ± 35.55</w:t>
            </w:r>
          </w:p>
        </w:tc>
      </w:tr>
      <w:tr w:rsidR="004A5C8B" w14:paraId="445BF1B2" w14:textId="77777777" w:rsidTr="005F0C93">
        <w:tc>
          <w:tcPr>
            <w:tcW w:w="1440" w:type="dxa"/>
            <w:shd w:val="clear" w:color="auto" w:fill="auto"/>
            <w:vAlign w:val="center"/>
          </w:tcPr>
          <w:p w14:paraId="3B360C26" w14:textId="77777777" w:rsidR="004A5C8B" w:rsidRDefault="00000000" w:rsidP="004247B8">
            <w:pPr>
              <w:spacing w:after="0" w:line="240" w:lineRule="auto"/>
            </w:pPr>
            <w:r>
              <w:rPr>
                <w:sz w:val="18"/>
              </w:rPr>
              <w:t>D</w:t>
            </w:r>
          </w:p>
        </w:tc>
        <w:tc>
          <w:tcPr>
            <w:tcW w:w="3600" w:type="dxa"/>
            <w:shd w:val="clear" w:color="auto" w:fill="auto"/>
            <w:vAlign w:val="center"/>
          </w:tcPr>
          <w:p w14:paraId="237CD237" w14:textId="77777777" w:rsidR="004A5C8B" w:rsidRDefault="00000000" w:rsidP="004247B8">
            <w:pPr>
              <w:spacing w:after="0" w:line="240" w:lineRule="auto"/>
              <w:jc w:val="center"/>
            </w:pPr>
            <w:r>
              <w:rPr>
                <w:sz w:val="18"/>
              </w:rPr>
              <w:t>5.87 ± 0.43</w:t>
            </w:r>
          </w:p>
        </w:tc>
        <w:tc>
          <w:tcPr>
            <w:tcW w:w="3600" w:type="dxa"/>
            <w:shd w:val="clear" w:color="auto" w:fill="auto"/>
            <w:vAlign w:val="center"/>
          </w:tcPr>
          <w:p w14:paraId="06995B9B" w14:textId="77777777" w:rsidR="004A5C8B" w:rsidRDefault="00000000" w:rsidP="004247B8">
            <w:pPr>
              <w:spacing w:after="0" w:line="240" w:lineRule="auto"/>
              <w:jc w:val="center"/>
            </w:pPr>
            <w:r>
              <w:rPr>
                <w:sz w:val="18"/>
              </w:rPr>
              <w:t>127.99 ± 8.76</w:t>
            </w:r>
          </w:p>
        </w:tc>
      </w:tr>
    </w:tbl>
    <w:p w14:paraId="31F033E0" w14:textId="77777777" w:rsidR="004A5C8B" w:rsidRDefault="00000000" w:rsidP="002B3AEC">
      <w:pPr>
        <w:spacing w:after="0" w:line="240" w:lineRule="auto"/>
      </w:pPr>
      <w:r>
        <w:rPr>
          <w:b/>
          <w:sz w:val="20"/>
        </w:rPr>
        <w:t>Table 6. Water quality during the rearing period.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8"/>
        <w:gridCol w:w="3168"/>
      </w:tblGrid>
      <w:tr w:rsidR="004A5C8B" w14:paraId="32A7E8EF" w14:textId="77777777" w:rsidTr="005F0C93">
        <w:tc>
          <w:tcPr>
            <w:tcW w:w="3168" w:type="dxa"/>
            <w:shd w:val="clear" w:color="auto" w:fill="auto"/>
            <w:vAlign w:val="center"/>
          </w:tcPr>
          <w:p w14:paraId="6702D584" w14:textId="77777777" w:rsidR="004A5C8B" w:rsidRDefault="00000000" w:rsidP="004247B8">
            <w:pPr>
              <w:spacing w:after="0" w:line="240" w:lineRule="auto"/>
              <w:jc w:val="center"/>
            </w:pPr>
            <w:r>
              <w:rPr>
                <w:b/>
                <w:sz w:val="18"/>
              </w:rPr>
              <w:t>Parameter</w:t>
            </w:r>
          </w:p>
        </w:tc>
        <w:tc>
          <w:tcPr>
            <w:tcW w:w="3168" w:type="dxa"/>
            <w:shd w:val="clear" w:color="auto" w:fill="auto"/>
            <w:vAlign w:val="center"/>
          </w:tcPr>
          <w:p w14:paraId="72C60B2E" w14:textId="77777777" w:rsidR="004A5C8B" w:rsidRDefault="00000000" w:rsidP="004247B8">
            <w:pPr>
              <w:spacing w:after="0" w:line="240" w:lineRule="auto"/>
              <w:jc w:val="center"/>
            </w:pPr>
            <w:r>
              <w:rPr>
                <w:b/>
                <w:sz w:val="18"/>
              </w:rPr>
              <w:t>Value</w:t>
            </w:r>
          </w:p>
        </w:tc>
      </w:tr>
      <w:tr w:rsidR="004A5C8B" w14:paraId="08E750B1" w14:textId="77777777" w:rsidTr="005F0C93">
        <w:tc>
          <w:tcPr>
            <w:tcW w:w="3168" w:type="dxa"/>
            <w:shd w:val="clear" w:color="auto" w:fill="auto"/>
            <w:vAlign w:val="center"/>
          </w:tcPr>
          <w:p w14:paraId="6E9FF12A" w14:textId="77777777" w:rsidR="004A5C8B" w:rsidRDefault="00000000" w:rsidP="004247B8">
            <w:pPr>
              <w:spacing w:after="0" w:line="240" w:lineRule="auto"/>
            </w:pPr>
            <w:r>
              <w:rPr>
                <w:sz w:val="18"/>
              </w:rPr>
              <w:t>Temperature (°C)</w:t>
            </w:r>
          </w:p>
        </w:tc>
        <w:tc>
          <w:tcPr>
            <w:tcW w:w="3168" w:type="dxa"/>
            <w:shd w:val="clear" w:color="auto" w:fill="auto"/>
            <w:vAlign w:val="center"/>
          </w:tcPr>
          <w:p w14:paraId="08F3B805" w14:textId="77777777" w:rsidR="004A5C8B" w:rsidRDefault="00000000" w:rsidP="004247B8">
            <w:pPr>
              <w:spacing w:after="0" w:line="240" w:lineRule="auto"/>
              <w:jc w:val="center"/>
            </w:pPr>
            <w:r>
              <w:rPr>
                <w:sz w:val="18"/>
              </w:rPr>
              <w:t>26-28</w:t>
            </w:r>
          </w:p>
        </w:tc>
      </w:tr>
      <w:tr w:rsidR="004A5C8B" w14:paraId="35CBDAAA" w14:textId="77777777" w:rsidTr="005F0C93">
        <w:tc>
          <w:tcPr>
            <w:tcW w:w="3168" w:type="dxa"/>
            <w:shd w:val="clear" w:color="auto" w:fill="auto"/>
            <w:vAlign w:val="center"/>
          </w:tcPr>
          <w:p w14:paraId="2D0F449C" w14:textId="77777777" w:rsidR="004A5C8B" w:rsidRDefault="00000000" w:rsidP="004247B8">
            <w:pPr>
              <w:spacing w:after="0" w:line="240" w:lineRule="auto"/>
            </w:pPr>
            <w:r>
              <w:rPr>
                <w:sz w:val="18"/>
              </w:rPr>
              <w:t>pH</w:t>
            </w:r>
          </w:p>
        </w:tc>
        <w:tc>
          <w:tcPr>
            <w:tcW w:w="3168" w:type="dxa"/>
            <w:shd w:val="clear" w:color="auto" w:fill="auto"/>
            <w:vAlign w:val="center"/>
          </w:tcPr>
          <w:p w14:paraId="3DC7D1E4" w14:textId="77777777" w:rsidR="004A5C8B" w:rsidRDefault="00000000" w:rsidP="004247B8">
            <w:pPr>
              <w:spacing w:after="0" w:line="240" w:lineRule="auto"/>
              <w:jc w:val="center"/>
            </w:pPr>
            <w:r>
              <w:rPr>
                <w:sz w:val="18"/>
              </w:rPr>
              <w:t>7.3-8.1</w:t>
            </w:r>
          </w:p>
        </w:tc>
      </w:tr>
      <w:tr w:rsidR="004A5C8B" w14:paraId="77635DB0" w14:textId="77777777" w:rsidTr="005F0C93">
        <w:tc>
          <w:tcPr>
            <w:tcW w:w="3168" w:type="dxa"/>
            <w:shd w:val="clear" w:color="auto" w:fill="auto"/>
            <w:vAlign w:val="center"/>
          </w:tcPr>
          <w:p w14:paraId="6890867E" w14:textId="77777777" w:rsidR="004A5C8B" w:rsidRDefault="00000000" w:rsidP="004247B8">
            <w:pPr>
              <w:spacing w:after="0" w:line="240" w:lineRule="auto"/>
            </w:pPr>
            <w:r>
              <w:rPr>
                <w:sz w:val="18"/>
              </w:rPr>
              <w:t>Dissolved oxygen (mg/L)</w:t>
            </w:r>
          </w:p>
        </w:tc>
        <w:tc>
          <w:tcPr>
            <w:tcW w:w="3168" w:type="dxa"/>
            <w:shd w:val="clear" w:color="auto" w:fill="auto"/>
            <w:vAlign w:val="center"/>
          </w:tcPr>
          <w:p w14:paraId="0B848EB5" w14:textId="77777777" w:rsidR="004A5C8B" w:rsidRDefault="00000000" w:rsidP="004247B8">
            <w:pPr>
              <w:spacing w:after="0" w:line="240" w:lineRule="auto"/>
              <w:jc w:val="center"/>
            </w:pPr>
            <w:r>
              <w:rPr>
                <w:sz w:val="18"/>
              </w:rPr>
              <w:t>5.4-6.7</w:t>
            </w:r>
          </w:p>
        </w:tc>
      </w:tr>
      <w:tr w:rsidR="004A5C8B" w14:paraId="590D2286" w14:textId="77777777" w:rsidTr="005F0C93">
        <w:tc>
          <w:tcPr>
            <w:tcW w:w="3168" w:type="dxa"/>
            <w:shd w:val="clear" w:color="auto" w:fill="auto"/>
            <w:vAlign w:val="center"/>
          </w:tcPr>
          <w:p w14:paraId="3A0E2206" w14:textId="77777777" w:rsidR="004A5C8B" w:rsidRDefault="00000000" w:rsidP="004247B8">
            <w:pPr>
              <w:spacing w:after="0" w:line="240" w:lineRule="auto"/>
            </w:pPr>
            <w:r>
              <w:rPr>
                <w:sz w:val="18"/>
              </w:rPr>
              <w:t>Salinity (ppt)</w:t>
            </w:r>
          </w:p>
        </w:tc>
        <w:tc>
          <w:tcPr>
            <w:tcW w:w="3168" w:type="dxa"/>
            <w:shd w:val="clear" w:color="auto" w:fill="auto"/>
            <w:vAlign w:val="center"/>
          </w:tcPr>
          <w:p w14:paraId="4B3C0809" w14:textId="77777777" w:rsidR="004A5C8B" w:rsidRDefault="00000000" w:rsidP="004247B8">
            <w:pPr>
              <w:spacing w:after="0" w:line="240" w:lineRule="auto"/>
              <w:jc w:val="center"/>
            </w:pPr>
            <w:r>
              <w:rPr>
                <w:sz w:val="18"/>
              </w:rPr>
              <w:t>13-15</w:t>
            </w:r>
          </w:p>
        </w:tc>
      </w:tr>
    </w:tbl>
    <w:p w14:paraId="67F2660A" w14:textId="7BECF566" w:rsidR="004A5C8B" w:rsidRDefault="004A5C8B">
      <w:pPr>
        <w:spacing w:after="120"/>
      </w:pPr>
    </w:p>
    <w:tbl>
      <w:tblPr>
        <w:tblW w:w="0" w:type="auto"/>
        <w:jc w:val="center"/>
        <w:tblLook w:val="04A0" w:firstRow="1" w:lastRow="0" w:firstColumn="1" w:lastColumn="0" w:noHBand="0" w:noVBand="1"/>
      </w:tblPr>
      <w:tblGrid>
        <w:gridCol w:w="3005"/>
        <w:gridCol w:w="1501"/>
        <w:gridCol w:w="1505"/>
        <w:gridCol w:w="3005"/>
      </w:tblGrid>
      <w:tr w:rsidR="00495065" w14:paraId="03E490BD" w14:textId="77777777" w:rsidTr="002B3AEC">
        <w:trPr>
          <w:jc w:val="center"/>
        </w:trPr>
        <w:tc>
          <w:tcPr>
            <w:tcW w:w="3006" w:type="dxa"/>
            <w:tcBorders>
              <w:top w:val="single" w:sz="4" w:space="0" w:color="BFBFBF"/>
              <w:left w:val="single" w:sz="4" w:space="0" w:color="BFBFBF"/>
              <w:bottom w:val="single" w:sz="4" w:space="0" w:color="BFBFBF"/>
              <w:right w:val="single" w:sz="4" w:space="0" w:color="BFBFBF"/>
            </w:tcBorders>
          </w:tcPr>
          <w:p w14:paraId="24CD7DE5" w14:textId="77777777" w:rsidR="00495065" w:rsidRDefault="00495065" w:rsidP="00D2508C">
            <w:pPr>
              <w:spacing w:after="0" w:line="240" w:lineRule="auto"/>
              <w:jc w:val="center"/>
            </w:pPr>
            <w:r>
              <w:rPr>
                <w:noProof/>
              </w:rPr>
              <w:drawing>
                <wp:inline distT="0" distB="0" distL="0" distR="0" wp14:anchorId="72915216" wp14:editId="4C07155F">
                  <wp:extent cx="1783080" cy="24127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01_Fig5.jpg"/>
                          <pic:cNvPicPr/>
                        </pic:nvPicPr>
                        <pic:blipFill>
                          <a:blip r:embed="rId24"/>
                          <a:stretch>
                            <a:fillRect/>
                          </a:stretch>
                        </pic:blipFill>
                        <pic:spPr>
                          <a:xfrm>
                            <a:off x="0" y="0"/>
                            <a:ext cx="1783080" cy="2412792"/>
                          </a:xfrm>
                          <a:prstGeom prst="rect">
                            <a:avLst/>
                          </a:prstGeom>
                        </pic:spPr>
                      </pic:pic>
                    </a:graphicData>
                  </a:graphic>
                </wp:inline>
              </w:drawing>
            </w:r>
          </w:p>
          <w:p w14:paraId="7A638950" w14:textId="646D48BF" w:rsidR="00495065" w:rsidRDefault="00495065" w:rsidP="00D2508C">
            <w:pPr>
              <w:spacing w:after="0" w:line="240" w:lineRule="auto"/>
              <w:jc w:val="center"/>
            </w:pPr>
            <w:r>
              <w:rPr>
                <w:sz w:val="16"/>
              </w:rPr>
              <w:t>Initial sample (OZ). Height and width of intestinal mucosal villi. H&amp;E, x200.</w:t>
            </w:r>
          </w:p>
        </w:tc>
        <w:tc>
          <w:tcPr>
            <w:tcW w:w="3005" w:type="dxa"/>
            <w:gridSpan w:val="2"/>
            <w:tcBorders>
              <w:top w:val="single" w:sz="4" w:space="0" w:color="BFBFBF"/>
              <w:left w:val="single" w:sz="4" w:space="0" w:color="BFBFBF"/>
              <w:bottom w:val="single" w:sz="4" w:space="0" w:color="BFBFBF"/>
              <w:right w:val="single" w:sz="4" w:space="0" w:color="BFBFBF"/>
            </w:tcBorders>
          </w:tcPr>
          <w:p w14:paraId="5797BB12" w14:textId="77777777" w:rsidR="00495065" w:rsidRDefault="00495065" w:rsidP="00D2508C">
            <w:pPr>
              <w:spacing w:after="0" w:line="240" w:lineRule="auto"/>
              <w:jc w:val="center"/>
            </w:pPr>
            <w:r>
              <w:rPr>
                <w:noProof/>
              </w:rPr>
              <w:drawing>
                <wp:inline distT="0" distB="0" distL="0" distR="0" wp14:anchorId="46CBAF42" wp14:editId="0F0F5756">
                  <wp:extent cx="1783080" cy="2421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02_Fig1a.jpg"/>
                          <pic:cNvPicPr/>
                        </pic:nvPicPr>
                        <pic:blipFill>
                          <a:blip r:embed="rId25"/>
                          <a:stretch>
                            <a:fillRect/>
                          </a:stretch>
                        </pic:blipFill>
                        <pic:spPr>
                          <a:xfrm>
                            <a:off x="0" y="0"/>
                            <a:ext cx="1783080" cy="2421795"/>
                          </a:xfrm>
                          <a:prstGeom prst="rect">
                            <a:avLst/>
                          </a:prstGeom>
                        </pic:spPr>
                      </pic:pic>
                    </a:graphicData>
                  </a:graphic>
                </wp:inline>
              </w:drawing>
            </w:r>
          </w:p>
          <w:p w14:paraId="72F088DD" w14:textId="77777777" w:rsidR="00495065" w:rsidRDefault="00495065" w:rsidP="00D2508C">
            <w:pPr>
              <w:spacing w:after="0" w:line="240" w:lineRule="auto"/>
              <w:jc w:val="center"/>
            </w:pPr>
            <w:r>
              <w:rPr>
                <w:b/>
                <w:sz w:val="16"/>
              </w:rPr>
              <w:t xml:space="preserve">Fig. 1a. </w:t>
            </w:r>
            <w:r>
              <w:rPr>
                <w:sz w:val="16"/>
              </w:rPr>
              <w:t>Sample AZ. Height and width of intestinal mucosal villi. H&amp;E, x200.</w:t>
            </w:r>
          </w:p>
        </w:tc>
        <w:tc>
          <w:tcPr>
            <w:tcW w:w="3005" w:type="dxa"/>
            <w:tcBorders>
              <w:top w:val="single" w:sz="4" w:space="0" w:color="BFBFBF"/>
              <w:left w:val="single" w:sz="4" w:space="0" w:color="BFBFBF"/>
              <w:bottom w:val="single" w:sz="4" w:space="0" w:color="BFBFBF"/>
              <w:right w:val="single" w:sz="4" w:space="0" w:color="BFBFBF"/>
            </w:tcBorders>
          </w:tcPr>
          <w:p w14:paraId="10BF72A2" w14:textId="77777777" w:rsidR="00495065" w:rsidRDefault="00495065" w:rsidP="00D2508C">
            <w:pPr>
              <w:spacing w:after="0" w:line="240" w:lineRule="auto"/>
              <w:jc w:val="center"/>
            </w:pPr>
            <w:r>
              <w:rPr>
                <w:noProof/>
              </w:rPr>
              <w:drawing>
                <wp:inline distT="0" distB="0" distL="0" distR="0" wp14:anchorId="5A964858" wp14:editId="52624A75">
                  <wp:extent cx="1783080" cy="24217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03_Fig1b.jpg"/>
                          <pic:cNvPicPr/>
                        </pic:nvPicPr>
                        <pic:blipFill>
                          <a:blip r:embed="rId26"/>
                          <a:stretch>
                            <a:fillRect/>
                          </a:stretch>
                        </pic:blipFill>
                        <pic:spPr>
                          <a:xfrm>
                            <a:off x="0" y="0"/>
                            <a:ext cx="1783080" cy="2421795"/>
                          </a:xfrm>
                          <a:prstGeom prst="rect">
                            <a:avLst/>
                          </a:prstGeom>
                        </pic:spPr>
                      </pic:pic>
                    </a:graphicData>
                  </a:graphic>
                </wp:inline>
              </w:drawing>
            </w:r>
          </w:p>
          <w:p w14:paraId="1B9D7D81" w14:textId="77777777" w:rsidR="00495065" w:rsidRDefault="00495065" w:rsidP="00D2508C">
            <w:pPr>
              <w:spacing w:after="0" w:line="240" w:lineRule="auto"/>
              <w:jc w:val="center"/>
            </w:pPr>
            <w:r>
              <w:rPr>
                <w:b/>
                <w:sz w:val="16"/>
              </w:rPr>
              <w:t xml:space="preserve">Fig. 1b. </w:t>
            </w:r>
            <w:r>
              <w:rPr>
                <w:sz w:val="16"/>
              </w:rPr>
              <w:t>Sample AZ. Height and width of intestinal mucosal villi. H&amp;E, x200.</w:t>
            </w:r>
          </w:p>
        </w:tc>
      </w:tr>
      <w:tr w:rsidR="00495065" w14:paraId="12581FA8" w14:textId="77777777" w:rsidTr="002B3AEC">
        <w:trPr>
          <w:jc w:val="center"/>
        </w:trPr>
        <w:tc>
          <w:tcPr>
            <w:tcW w:w="3005" w:type="dxa"/>
            <w:tcBorders>
              <w:top w:val="single" w:sz="4" w:space="0" w:color="BFBFBF"/>
              <w:left w:val="single" w:sz="4" w:space="0" w:color="BFBFBF"/>
              <w:bottom w:val="single" w:sz="4" w:space="0" w:color="BFBFBF"/>
              <w:right w:val="single" w:sz="4" w:space="0" w:color="BFBFBF"/>
            </w:tcBorders>
          </w:tcPr>
          <w:p w14:paraId="72448EE9" w14:textId="77777777" w:rsidR="00495065" w:rsidRDefault="00495065" w:rsidP="00D2508C">
            <w:pPr>
              <w:spacing w:after="0" w:line="240" w:lineRule="auto"/>
              <w:jc w:val="center"/>
            </w:pPr>
            <w:r>
              <w:rPr>
                <w:noProof/>
              </w:rPr>
              <w:drawing>
                <wp:inline distT="0" distB="0" distL="0" distR="0" wp14:anchorId="59C339AF" wp14:editId="3188DD9F">
                  <wp:extent cx="1783080" cy="24260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04_Fig3a.jpg"/>
                          <pic:cNvPicPr/>
                        </pic:nvPicPr>
                        <pic:blipFill>
                          <a:blip r:embed="rId27"/>
                          <a:stretch>
                            <a:fillRect/>
                          </a:stretch>
                        </pic:blipFill>
                        <pic:spPr>
                          <a:xfrm>
                            <a:off x="0" y="0"/>
                            <a:ext cx="1783080" cy="2426049"/>
                          </a:xfrm>
                          <a:prstGeom prst="rect">
                            <a:avLst/>
                          </a:prstGeom>
                        </pic:spPr>
                      </pic:pic>
                    </a:graphicData>
                  </a:graphic>
                </wp:inline>
              </w:drawing>
            </w:r>
          </w:p>
          <w:p w14:paraId="4B2B8558" w14:textId="77777777" w:rsidR="00495065" w:rsidRDefault="00495065" w:rsidP="00D2508C">
            <w:pPr>
              <w:spacing w:after="0" w:line="240" w:lineRule="auto"/>
              <w:jc w:val="center"/>
            </w:pPr>
            <w:r>
              <w:rPr>
                <w:b/>
                <w:sz w:val="16"/>
              </w:rPr>
              <w:t xml:space="preserve">Fig. 3a. </w:t>
            </w:r>
            <w:r>
              <w:rPr>
                <w:sz w:val="16"/>
              </w:rPr>
              <w:t>Sample BZ. Height and width of intestinal mucosal villi. H&amp;E, x200.</w:t>
            </w:r>
          </w:p>
        </w:tc>
        <w:tc>
          <w:tcPr>
            <w:tcW w:w="3006" w:type="dxa"/>
            <w:gridSpan w:val="2"/>
            <w:tcBorders>
              <w:top w:val="single" w:sz="4" w:space="0" w:color="BFBFBF"/>
              <w:left w:val="single" w:sz="4" w:space="0" w:color="BFBFBF"/>
              <w:bottom w:val="single" w:sz="4" w:space="0" w:color="BFBFBF"/>
              <w:right w:val="single" w:sz="4" w:space="0" w:color="BFBFBF"/>
            </w:tcBorders>
          </w:tcPr>
          <w:p w14:paraId="5FA74ED1" w14:textId="77777777" w:rsidR="00495065" w:rsidRDefault="00495065" w:rsidP="00D2508C">
            <w:pPr>
              <w:spacing w:after="0" w:line="240" w:lineRule="auto"/>
              <w:jc w:val="center"/>
            </w:pPr>
            <w:r>
              <w:rPr>
                <w:noProof/>
              </w:rPr>
              <w:drawing>
                <wp:inline distT="0" distB="0" distL="0" distR="0" wp14:anchorId="6AAAD794" wp14:editId="371D3929">
                  <wp:extent cx="1783080" cy="243510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05_Fig3b.jpg"/>
                          <pic:cNvPicPr/>
                        </pic:nvPicPr>
                        <pic:blipFill>
                          <a:blip r:embed="rId28"/>
                          <a:stretch>
                            <a:fillRect/>
                          </a:stretch>
                        </pic:blipFill>
                        <pic:spPr>
                          <a:xfrm>
                            <a:off x="0" y="0"/>
                            <a:ext cx="1783080" cy="2435102"/>
                          </a:xfrm>
                          <a:prstGeom prst="rect">
                            <a:avLst/>
                          </a:prstGeom>
                        </pic:spPr>
                      </pic:pic>
                    </a:graphicData>
                  </a:graphic>
                </wp:inline>
              </w:drawing>
            </w:r>
          </w:p>
          <w:p w14:paraId="30879D91" w14:textId="77777777" w:rsidR="00495065" w:rsidRDefault="00495065" w:rsidP="00D2508C">
            <w:pPr>
              <w:spacing w:after="0" w:line="240" w:lineRule="auto"/>
              <w:jc w:val="center"/>
            </w:pPr>
            <w:r>
              <w:rPr>
                <w:b/>
                <w:sz w:val="16"/>
              </w:rPr>
              <w:t xml:space="preserve">Fig. 3b. </w:t>
            </w:r>
            <w:r>
              <w:rPr>
                <w:sz w:val="16"/>
              </w:rPr>
              <w:t>Sample BZ. Height and width of intestinal mucosal villi. H&amp;E, x200.</w:t>
            </w:r>
          </w:p>
        </w:tc>
        <w:tc>
          <w:tcPr>
            <w:tcW w:w="3005" w:type="dxa"/>
            <w:tcBorders>
              <w:top w:val="single" w:sz="4" w:space="0" w:color="BFBFBF"/>
              <w:left w:val="single" w:sz="4" w:space="0" w:color="BFBFBF"/>
              <w:bottom w:val="single" w:sz="4" w:space="0" w:color="BFBFBF"/>
              <w:right w:val="single" w:sz="4" w:space="0" w:color="BFBFBF"/>
            </w:tcBorders>
          </w:tcPr>
          <w:p w14:paraId="5DB47DE5" w14:textId="77777777" w:rsidR="00495065" w:rsidRDefault="00495065" w:rsidP="00D2508C">
            <w:pPr>
              <w:spacing w:after="0" w:line="240" w:lineRule="auto"/>
              <w:jc w:val="center"/>
            </w:pPr>
            <w:r>
              <w:rPr>
                <w:noProof/>
              </w:rPr>
              <w:drawing>
                <wp:inline distT="0" distB="0" distL="0" distR="0" wp14:anchorId="77269F0D" wp14:editId="1FB0A8AA">
                  <wp:extent cx="1783080" cy="243510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06_Fig3c.jpg"/>
                          <pic:cNvPicPr/>
                        </pic:nvPicPr>
                        <pic:blipFill>
                          <a:blip r:embed="rId29"/>
                          <a:stretch>
                            <a:fillRect/>
                          </a:stretch>
                        </pic:blipFill>
                        <pic:spPr>
                          <a:xfrm>
                            <a:off x="0" y="0"/>
                            <a:ext cx="1783080" cy="2435102"/>
                          </a:xfrm>
                          <a:prstGeom prst="rect">
                            <a:avLst/>
                          </a:prstGeom>
                        </pic:spPr>
                      </pic:pic>
                    </a:graphicData>
                  </a:graphic>
                </wp:inline>
              </w:drawing>
            </w:r>
          </w:p>
          <w:p w14:paraId="704E9933" w14:textId="77777777" w:rsidR="00495065" w:rsidRDefault="00495065" w:rsidP="00D2508C">
            <w:pPr>
              <w:spacing w:after="0" w:line="240" w:lineRule="auto"/>
              <w:jc w:val="center"/>
            </w:pPr>
            <w:r>
              <w:rPr>
                <w:b/>
                <w:sz w:val="16"/>
              </w:rPr>
              <w:t xml:space="preserve">Fig. 3c. </w:t>
            </w:r>
            <w:r>
              <w:rPr>
                <w:sz w:val="16"/>
              </w:rPr>
              <w:t>Sample BZ. Height and width of intestinal mucosal villi. H&amp;E, x200.</w:t>
            </w:r>
          </w:p>
        </w:tc>
      </w:tr>
      <w:tr w:rsidR="00495065" w14:paraId="0A1AED3E" w14:textId="77777777" w:rsidTr="002B3AEC">
        <w:trPr>
          <w:jc w:val="center"/>
        </w:trPr>
        <w:tc>
          <w:tcPr>
            <w:tcW w:w="3005" w:type="dxa"/>
            <w:tcBorders>
              <w:top w:val="single" w:sz="4" w:space="0" w:color="BFBFBF"/>
              <w:left w:val="single" w:sz="4" w:space="0" w:color="BFBFBF"/>
              <w:bottom w:val="single" w:sz="4" w:space="0" w:color="BFBFBF"/>
              <w:right w:val="single" w:sz="4" w:space="0" w:color="BFBFBF"/>
            </w:tcBorders>
          </w:tcPr>
          <w:p w14:paraId="48BA3965" w14:textId="77777777" w:rsidR="00495065" w:rsidRDefault="00495065" w:rsidP="002B3AEC">
            <w:pPr>
              <w:spacing w:after="0" w:line="240" w:lineRule="auto"/>
              <w:jc w:val="center"/>
            </w:pPr>
            <w:r>
              <w:rPr>
                <w:noProof/>
              </w:rPr>
              <w:lastRenderedPageBreak/>
              <w:drawing>
                <wp:inline distT="0" distB="0" distL="0" distR="0" wp14:anchorId="460C10C8" wp14:editId="57EC9768">
                  <wp:extent cx="1783080" cy="242604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07_Fig2a.jpg"/>
                          <pic:cNvPicPr/>
                        </pic:nvPicPr>
                        <pic:blipFill>
                          <a:blip r:embed="rId30"/>
                          <a:stretch>
                            <a:fillRect/>
                          </a:stretch>
                        </pic:blipFill>
                        <pic:spPr>
                          <a:xfrm>
                            <a:off x="0" y="0"/>
                            <a:ext cx="1783080" cy="2426049"/>
                          </a:xfrm>
                          <a:prstGeom prst="rect">
                            <a:avLst/>
                          </a:prstGeom>
                        </pic:spPr>
                      </pic:pic>
                    </a:graphicData>
                  </a:graphic>
                </wp:inline>
              </w:drawing>
            </w:r>
          </w:p>
          <w:p w14:paraId="2B38AADD" w14:textId="77777777" w:rsidR="00495065" w:rsidRDefault="00495065" w:rsidP="002B3AEC">
            <w:pPr>
              <w:spacing w:after="0" w:line="240" w:lineRule="auto"/>
              <w:jc w:val="center"/>
            </w:pPr>
            <w:r>
              <w:rPr>
                <w:b/>
                <w:sz w:val="16"/>
              </w:rPr>
              <w:t xml:space="preserve">Fig. 2a. </w:t>
            </w:r>
            <w:r>
              <w:rPr>
                <w:sz w:val="16"/>
              </w:rPr>
              <w:t>Sample CZ. Height and width of intestinal mucosal villi. H&amp;E, x200.</w:t>
            </w:r>
          </w:p>
        </w:tc>
        <w:tc>
          <w:tcPr>
            <w:tcW w:w="3006" w:type="dxa"/>
            <w:gridSpan w:val="2"/>
            <w:tcBorders>
              <w:top w:val="single" w:sz="4" w:space="0" w:color="BFBFBF"/>
              <w:left w:val="single" w:sz="4" w:space="0" w:color="BFBFBF"/>
              <w:bottom w:val="single" w:sz="4" w:space="0" w:color="BFBFBF"/>
              <w:right w:val="single" w:sz="4" w:space="0" w:color="BFBFBF"/>
            </w:tcBorders>
          </w:tcPr>
          <w:p w14:paraId="37FFAB97" w14:textId="77777777" w:rsidR="00495065" w:rsidRDefault="00495065" w:rsidP="002B3AEC">
            <w:pPr>
              <w:spacing w:after="0" w:line="240" w:lineRule="auto"/>
              <w:jc w:val="center"/>
            </w:pPr>
            <w:r>
              <w:rPr>
                <w:noProof/>
              </w:rPr>
              <w:drawing>
                <wp:inline distT="0" distB="0" distL="0" distR="0" wp14:anchorId="2A7946F3" wp14:editId="09A3ADC6">
                  <wp:extent cx="1783080" cy="243510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08_Fig2b.jpg"/>
                          <pic:cNvPicPr/>
                        </pic:nvPicPr>
                        <pic:blipFill>
                          <a:blip r:embed="rId31"/>
                          <a:stretch>
                            <a:fillRect/>
                          </a:stretch>
                        </pic:blipFill>
                        <pic:spPr>
                          <a:xfrm>
                            <a:off x="0" y="0"/>
                            <a:ext cx="1783080" cy="2435102"/>
                          </a:xfrm>
                          <a:prstGeom prst="rect">
                            <a:avLst/>
                          </a:prstGeom>
                        </pic:spPr>
                      </pic:pic>
                    </a:graphicData>
                  </a:graphic>
                </wp:inline>
              </w:drawing>
            </w:r>
          </w:p>
          <w:p w14:paraId="66668862" w14:textId="77777777" w:rsidR="00495065" w:rsidRDefault="00495065" w:rsidP="002B3AEC">
            <w:pPr>
              <w:spacing w:after="0" w:line="240" w:lineRule="auto"/>
              <w:jc w:val="center"/>
            </w:pPr>
            <w:r>
              <w:rPr>
                <w:b/>
                <w:sz w:val="16"/>
              </w:rPr>
              <w:t xml:space="preserve">Fig. 2b. </w:t>
            </w:r>
            <w:r>
              <w:rPr>
                <w:sz w:val="16"/>
              </w:rPr>
              <w:t>Sample CZ. Height and width of intestinal mucosal villi. H&amp;E, x200.</w:t>
            </w:r>
          </w:p>
        </w:tc>
        <w:tc>
          <w:tcPr>
            <w:tcW w:w="3005" w:type="dxa"/>
            <w:tcBorders>
              <w:top w:val="single" w:sz="4" w:space="0" w:color="BFBFBF"/>
              <w:left w:val="single" w:sz="4" w:space="0" w:color="BFBFBF"/>
              <w:bottom w:val="single" w:sz="4" w:space="0" w:color="BFBFBF"/>
              <w:right w:val="single" w:sz="4" w:space="0" w:color="BFBFBF"/>
            </w:tcBorders>
          </w:tcPr>
          <w:p w14:paraId="068B1137" w14:textId="77777777" w:rsidR="00495065" w:rsidRDefault="00495065" w:rsidP="002B3AEC">
            <w:pPr>
              <w:spacing w:after="0" w:line="240" w:lineRule="auto"/>
              <w:jc w:val="center"/>
            </w:pPr>
            <w:r>
              <w:rPr>
                <w:noProof/>
              </w:rPr>
              <w:drawing>
                <wp:inline distT="0" distB="0" distL="0" distR="0" wp14:anchorId="674E4212" wp14:editId="40498EC5">
                  <wp:extent cx="1783080" cy="243510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09_Fig4a.jpg"/>
                          <pic:cNvPicPr/>
                        </pic:nvPicPr>
                        <pic:blipFill>
                          <a:blip r:embed="rId32"/>
                          <a:stretch>
                            <a:fillRect/>
                          </a:stretch>
                        </pic:blipFill>
                        <pic:spPr>
                          <a:xfrm>
                            <a:off x="0" y="0"/>
                            <a:ext cx="1783080" cy="2435102"/>
                          </a:xfrm>
                          <a:prstGeom prst="rect">
                            <a:avLst/>
                          </a:prstGeom>
                        </pic:spPr>
                      </pic:pic>
                    </a:graphicData>
                  </a:graphic>
                </wp:inline>
              </w:drawing>
            </w:r>
          </w:p>
          <w:p w14:paraId="202016E4" w14:textId="77777777" w:rsidR="00495065" w:rsidRDefault="00495065" w:rsidP="002B3AEC">
            <w:pPr>
              <w:spacing w:after="0" w:line="240" w:lineRule="auto"/>
              <w:jc w:val="center"/>
            </w:pPr>
            <w:r>
              <w:rPr>
                <w:b/>
                <w:sz w:val="16"/>
              </w:rPr>
              <w:t xml:space="preserve">Fig. 4a. </w:t>
            </w:r>
            <w:r>
              <w:rPr>
                <w:sz w:val="16"/>
              </w:rPr>
              <w:t>Sample DZ. Height and width of intestinal mucosal villi. H&amp;E, x200.</w:t>
            </w:r>
          </w:p>
        </w:tc>
      </w:tr>
      <w:tr w:rsidR="00495065" w14:paraId="4EFB241A" w14:textId="77777777" w:rsidTr="002B3AEC">
        <w:trPr>
          <w:jc w:val="center"/>
        </w:trPr>
        <w:tc>
          <w:tcPr>
            <w:tcW w:w="4507" w:type="dxa"/>
            <w:gridSpan w:val="2"/>
            <w:tcBorders>
              <w:top w:val="single" w:sz="4" w:space="0" w:color="BFBFBF"/>
              <w:left w:val="single" w:sz="4" w:space="0" w:color="BFBFBF"/>
              <w:bottom w:val="single" w:sz="4" w:space="0" w:color="BFBFBF"/>
              <w:right w:val="single" w:sz="4" w:space="0" w:color="BFBFBF"/>
            </w:tcBorders>
          </w:tcPr>
          <w:p w14:paraId="1CD2D388" w14:textId="77777777" w:rsidR="00495065" w:rsidRDefault="00495065" w:rsidP="002B3AEC">
            <w:pPr>
              <w:spacing w:after="0" w:line="240" w:lineRule="auto"/>
              <w:jc w:val="center"/>
            </w:pPr>
            <w:r>
              <w:rPr>
                <w:noProof/>
              </w:rPr>
              <w:drawing>
                <wp:inline distT="0" distB="0" distL="0" distR="0" wp14:anchorId="13A4D2EA" wp14:editId="353C09D7">
                  <wp:extent cx="2057400" cy="279928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10_Fig4b.jpg"/>
                          <pic:cNvPicPr/>
                        </pic:nvPicPr>
                        <pic:blipFill>
                          <a:blip r:embed="rId33"/>
                          <a:stretch>
                            <a:fillRect/>
                          </a:stretch>
                        </pic:blipFill>
                        <pic:spPr>
                          <a:xfrm>
                            <a:off x="0" y="0"/>
                            <a:ext cx="2057400" cy="2799288"/>
                          </a:xfrm>
                          <a:prstGeom prst="rect">
                            <a:avLst/>
                          </a:prstGeom>
                        </pic:spPr>
                      </pic:pic>
                    </a:graphicData>
                  </a:graphic>
                </wp:inline>
              </w:drawing>
            </w:r>
          </w:p>
          <w:p w14:paraId="5F09B7DF" w14:textId="77777777" w:rsidR="00495065" w:rsidRDefault="00495065" w:rsidP="002B3AEC">
            <w:pPr>
              <w:spacing w:after="0" w:line="240" w:lineRule="auto"/>
              <w:jc w:val="center"/>
            </w:pPr>
            <w:r>
              <w:rPr>
                <w:b/>
                <w:sz w:val="16"/>
              </w:rPr>
              <w:t xml:space="preserve">Fig. 4b. </w:t>
            </w:r>
            <w:r>
              <w:rPr>
                <w:sz w:val="16"/>
              </w:rPr>
              <w:t>Sample DZ. Height and width of intestinal mucosal villi. H&amp;E, x200.</w:t>
            </w:r>
          </w:p>
        </w:tc>
        <w:tc>
          <w:tcPr>
            <w:tcW w:w="4509" w:type="dxa"/>
            <w:gridSpan w:val="2"/>
            <w:tcBorders>
              <w:top w:val="single" w:sz="4" w:space="0" w:color="BFBFBF"/>
              <w:left w:val="single" w:sz="4" w:space="0" w:color="BFBFBF"/>
              <w:bottom w:val="single" w:sz="4" w:space="0" w:color="BFBFBF"/>
              <w:right w:val="single" w:sz="4" w:space="0" w:color="BFBFBF"/>
            </w:tcBorders>
          </w:tcPr>
          <w:p w14:paraId="12DFD5B2" w14:textId="77777777" w:rsidR="00495065" w:rsidRDefault="00495065" w:rsidP="002B3AEC">
            <w:pPr>
              <w:spacing w:after="0" w:line="240" w:lineRule="auto"/>
              <w:jc w:val="center"/>
            </w:pPr>
            <w:r>
              <w:rPr>
                <w:noProof/>
              </w:rPr>
              <w:drawing>
                <wp:inline distT="0" distB="0" distL="0" distR="0" wp14:anchorId="5B5244BC" wp14:editId="7E23D302">
                  <wp:extent cx="2057400" cy="280973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_11_Fig4c.jpg"/>
                          <pic:cNvPicPr/>
                        </pic:nvPicPr>
                        <pic:blipFill>
                          <a:blip r:embed="rId34"/>
                          <a:stretch>
                            <a:fillRect/>
                          </a:stretch>
                        </pic:blipFill>
                        <pic:spPr>
                          <a:xfrm>
                            <a:off x="0" y="0"/>
                            <a:ext cx="2057400" cy="2809733"/>
                          </a:xfrm>
                          <a:prstGeom prst="rect">
                            <a:avLst/>
                          </a:prstGeom>
                        </pic:spPr>
                      </pic:pic>
                    </a:graphicData>
                  </a:graphic>
                </wp:inline>
              </w:drawing>
            </w:r>
          </w:p>
          <w:p w14:paraId="3015CA35" w14:textId="77777777" w:rsidR="00495065" w:rsidRDefault="00495065" w:rsidP="002B3AEC">
            <w:pPr>
              <w:spacing w:after="0" w:line="240" w:lineRule="auto"/>
              <w:jc w:val="center"/>
            </w:pPr>
            <w:r>
              <w:rPr>
                <w:b/>
                <w:sz w:val="16"/>
              </w:rPr>
              <w:t xml:space="preserve">Fig. 4c. </w:t>
            </w:r>
            <w:r>
              <w:rPr>
                <w:sz w:val="16"/>
              </w:rPr>
              <w:t>Sample DZ. Height and width of intestinal mucosal villi. H&amp;E, x200.</w:t>
            </w:r>
          </w:p>
        </w:tc>
      </w:tr>
    </w:tbl>
    <w:p w14:paraId="3F33A739" w14:textId="7AEEAD67" w:rsidR="004A5C8B" w:rsidRDefault="00000000">
      <w:pPr>
        <w:spacing w:after="120" w:line="240" w:lineRule="auto"/>
      </w:pPr>
      <w:r>
        <w:rPr>
          <w:sz w:val="20"/>
        </w:rPr>
        <w:t>Fig. 1. Intestinal villus histology of saline Nile tilapia at the beginning of the study and after feeding treatments</w:t>
      </w:r>
      <w:r w:rsidR="00495065">
        <w:rPr>
          <w:sz w:val="20"/>
        </w:rPr>
        <w:t xml:space="preserve">. </w:t>
      </w:r>
      <w:r>
        <w:rPr>
          <w:sz w:val="20"/>
        </w:rPr>
        <w:t>Hematoxylin and eosin staining, 200x magnification. The figure should be prepared as a separate JPG/TIFF file with at least 300 dpi before submission.</w:t>
      </w:r>
    </w:p>
    <w:sectPr w:rsidR="004A5C8B" w:rsidSect="00034616">
      <w:footerReference w:type="default" r:id="rId35"/>
      <w:pgSz w:w="11906" w:h="16838"/>
      <w:pgMar w:top="1440" w:right="1440" w:bottom="1440" w:left="1440" w:header="720" w:footer="720" w:gutter="0"/>
      <w:lnNumType w:countBy="1" w:start="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9B698" w14:textId="77777777" w:rsidR="00B515CC" w:rsidRDefault="00B515CC">
      <w:pPr>
        <w:spacing w:after="0" w:line="240" w:lineRule="auto"/>
      </w:pPr>
      <w:r>
        <w:separator/>
      </w:r>
    </w:p>
  </w:endnote>
  <w:endnote w:type="continuationSeparator" w:id="0">
    <w:p w14:paraId="2ECFB78B" w14:textId="77777777" w:rsidR="00B515CC" w:rsidRDefault="00B51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CC91C" w14:textId="77777777" w:rsidR="004A5C8B" w:rsidRDefault="00000000">
    <w:pPr>
      <w:pStyle w:val="Footer"/>
      <w:jc w:val="right"/>
    </w:pPr>
    <w:r>
      <w:rPr>
        <w:sz w:val="20"/>
      </w:rPr>
      <w:fldChar w:fldCharType="begin"/>
    </w:r>
    <w:r>
      <w:rPr>
        <w:sz w:val="20"/>
      </w:rPr>
      <w:instrText>PAGE</w:instrText>
    </w:r>
    <w:r>
      <w:rPr>
        <w:sz w:val="20"/>
      </w:rPr>
      <w:fldChar w:fldCharType="separate"/>
    </w:r>
    <w:r w:rsidR="004247B8">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4F936" w14:textId="77777777" w:rsidR="00B515CC" w:rsidRDefault="00B515CC">
      <w:pPr>
        <w:spacing w:after="0" w:line="240" w:lineRule="auto"/>
      </w:pPr>
      <w:r>
        <w:separator/>
      </w:r>
    </w:p>
  </w:footnote>
  <w:footnote w:type="continuationSeparator" w:id="0">
    <w:p w14:paraId="1FEE1DA1" w14:textId="77777777" w:rsidR="00B515CC" w:rsidRDefault="00B515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655D6E"/>
    <w:multiLevelType w:val="hybridMultilevel"/>
    <w:tmpl w:val="7A3E3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3590175">
    <w:abstractNumId w:val="8"/>
  </w:num>
  <w:num w:numId="2" w16cid:durableId="1953853479">
    <w:abstractNumId w:val="6"/>
  </w:num>
  <w:num w:numId="3" w16cid:durableId="1344013922">
    <w:abstractNumId w:val="5"/>
  </w:num>
  <w:num w:numId="4" w16cid:durableId="379784768">
    <w:abstractNumId w:val="4"/>
  </w:num>
  <w:num w:numId="5" w16cid:durableId="756829363">
    <w:abstractNumId w:val="7"/>
  </w:num>
  <w:num w:numId="6" w16cid:durableId="1119299746">
    <w:abstractNumId w:val="3"/>
  </w:num>
  <w:num w:numId="7" w16cid:durableId="1136875412">
    <w:abstractNumId w:val="2"/>
  </w:num>
  <w:num w:numId="8" w16cid:durableId="994262452">
    <w:abstractNumId w:val="1"/>
  </w:num>
  <w:num w:numId="9" w16cid:durableId="1362781295">
    <w:abstractNumId w:val="0"/>
  </w:num>
  <w:num w:numId="10" w16cid:durableId="6305538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B34"/>
    <w:rsid w:val="0006063C"/>
    <w:rsid w:val="000E0CF5"/>
    <w:rsid w:val="000E5F98"/>
    <w:rsid w:val="000F7C2E"/>
    <w:rsid w:val="00134924"/>
    <w:rsid w:val="0015074B"/>
    <w:rsid w:val="00237F91"/>
    <w:rsid w:val="0029639D"/>
    <w:rsid w:val="002B3AEC"/>
    <w:rsid w:val="00326F90"/>
    <w:rsid w:val="004247B8"/>
    <w:rsid w:val="00495065"/>
    <w:rsid w:val="004A5C8B"/>
    <w:rsid w:val="005875DE"/>
    <w:rsid w:val="005F0C93"/>
    <w:rsid w:val="006E4FB3"/>
    <w:rsid w:val="00795AE3"/>
    <w:rsid w:val="007D5760"/>
    <w:rsid w:val="009178CB"/>
    <w:rsid w:val="00A141B4"/>
    <w:rsid w:val="00AA1D8D"/>
    <w:rsid w:val="00B3090C"/>
    <w:rsid w:val="00B47730"/>
    <w:rsid w:val="00B515CC"/>
    <w:rsid w:val="00BD4E76"/>
    <w:rsid w:val="00BF2484"/>
    <w:rsid w:val="00C03393"/>
    <w:rsid w:val="00CA677B"/>
    <w:rsid w:val="00CB0664"/>
    <w:rsid w:val="00D2508C"/>
    <w:rsid w:val="00D93D7C"/>
    <w:rsid w:val="00E406D7"/>
    <w:rsid w:val="00E76043"/>
    <w:rsid w:val="00F62B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7D2C92"/>
  <w14:defaultImageDpi w14:val="300"/>
  <w15:docId w15:val="{F31564DC-CD9A-4687-B267-63C196A4E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4247B8"/>
  </w:style>
  <w:style w:type="character" w:styleId="Hyperlink">
    <w:name w:val="Hyperlink"/>
    <w:basedOn w:val="DefaultParagraphFont"/>
    <w:uiPriority w:val="99"/>
    <w:unhideWhenUsed/>
    <w:rsid w:val="004247B8"/>
    <w:rPr>
      <w:color w:val="0000FF" w:themeColor="hyperlink"/>
      <w:u w:val="single"/>
    </w:rPr>
  </w:style>
  <w:style w:type="character" w:styleId="UnresolvedMention">
    <w:name w:val="Unresolved Mention"/>
    <w:basedOn w:val="DefaultParagraphFont"/>
    <w:uiPriority w:val="99"/>
    <w:semiHidden/>
    <w:unhideWhenUsed/>
    <w:rsid w:val="004247B8"/>
    <w:rPr>
      <w:color w:val="605E5C"/>
      <w:shd w:val="clear" w:color="auto" w:fill="E1DFDD"/>
    </w:rPr>
  </w:style>
  <w:style w:type="character" w:styleId="FollowedHyperlink">
    <w:name w:val="FollowedHyperlink"/>
    <w:basedOn w:val="DefaultParagraphFont"/>
    <w:uiPriority w:val="99"/>
    <w:semiHidden/>
    <w:unhideWhenUsed/>
    <w:rsid w:val="00B3090C"/>
    <w:rPr>
      <w:color w:val="800080" w:themeColor="followedHyperlink"/>
      <w:u w:val="single"/>
    </w:rPr>
  </w:style>
  <w:style w:type="paragraph" w:styleId="Bibliography">
    <w:name w:val="Bibliography"/>
    <w:basedOn w:val="Normal"/>
    <w:next w:val="Normal"/>
    <w:uiPriority w:val="37"/>
    <w:unhideWhenUsed/>
    <w:rsid w:val="000E0CF5"/>
    <w:pPr>
      <w:spacing w:after="0" w:line="480" w:lineRule="auto"/>
      <w:ind w:left="720" w:hanging="720"/>
    </w:pPr>
  </w:style>
  <w:style w:type="paragraph" w:styleId="NormalWeb">
    <w:name w:val="Normal (Web)"/>
    <w:basedOn w:val="Normal"/>
    <w:uiPriority w:val="99"/>
    <w:semiHidden/>
    <w:unhideWhenUsed/>
    <w:rsid w:val="00134924"/>
    <w:pPr>
      <w:spacing w:before="100" w:beforeAutospacing="1" w:after="100" w:afterAutospacing="1" w:line="240" w:lineRule="auto"/>
    </w:pPr>
    <w:rPr>
      <w:rFonts w:eastAsia="Times New Roman"/>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1753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aquaculture.2004.12.003" TargetMode="External"/><Relationship Id="rId18" Type="http://schemas.openxmlformats.org/officeDocument/2006/relationships/hyperlink" Target="https://doi.org/10.3390/ani15030349" TargetMode="External"/><Relationship Id="rId26" Type="http://schemas.openxmlformats.org/officeDocument/2006/relationships/image" Target="media/image3.jpg"/><Relationship Id="rId21" Type="http://schemas.openxmlformats.org/officeDocument/2006/relationships/hyperlink" Target="https://doi.org/10.1111/are.15492" TargetMode="External"/><Relationship Id="rId34" Type="http://schemas.openxmlformats.org/officeDocument/2006/relationships/image" Target="media/image11.jpg"/><Relationship Id="rId7" Type="http://schemas.openxmlformats.org/officeDocument/2006/relationships/endnotes" Target="endnotes.xml"/><Relationship Id="rId12" Type="http://schemas.openxmlformats.org/officeDocument/2006/relationships/hyperlink" Target="https://doi.org/10.3390/ani14060953" TargetMode="External"/><Relationship Id="rId17" Type="http://schemas.openxmlformats.org/officeDocument/2006/relationships/hyperlink" Target="https://doi.org/10.1007/s11259-025-10889-4" TargetMode="External"/><Relationship Id="rId25" Type="http://schemas.openxmlformats.org/officeDocument/2006/relationships/image" Target="media/image2.jpg"/><Relationship Id="rId33"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hyperlink" Target="https://doi.org/10.1038/s41586-021-03308-6" TargetMode="External"/><Relationship Id="rId20" Type="http://schemas.openxmlformats.org/officeDocument/2006/relationships/hyperlink" Target="https://doi.org/10.1007/s10811-014-0453-9" TargetMode="External"/><Relationship Id="rId29"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fermentation9060577" TargetMode="External"/><Relationship Id="rId24" Type="http://schemas.openxmlformats.org/officeDocument/2006/relationships/image" Target="media/image1.jpg"/><Relationship Id="rId32" Type="http://schemas.openxmlformats.org/officeDocument/2006/relationships/image" Target="media/image9.jp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86/s12917-024-04070-3" TargetMode="External"/><Relationship Id="rId23" Type="http://schemas.openxmlformats.org/officeDocument/2006/relationships/hyperlink" Target="https://doi.org/10.1016/j.heliyon.2022.e10527" TargetMode="External"/><Relationship Id="rId28" Type="http://schemas.openxmlformats.org/officeDocument/2006/relationships/image" Target="media/image5.jpg"/><Relationship Id="rId36" Type="http://schemas.openxmlformats.org/officeDocument/2006/relationships/fontTable" Target="fontTable.xml"/><Relationship Id="rId10" Type="http://schemas.openxmlformats.org/officeDocument/2006/relationships/hyperlink" Target="https://doi.org/10.1016/j.heliyon.2024.e26573" TargetMode="External"/><Relationship Id="rId19" Type="http://schemas.openxmlformats.org/officeDocument/2006/relationships/hyperlink" Target="https://doi.org/10.3390/antiox12122066" TargetMode="External"/><Relationship Id="rId31"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yperlink" Target="https://doi.org/10.4060/cd0683en" TargetMode="External"/><Relationship Id="rId14" Type="http://schemas.openxmlformats.org/officeDocument/2006/relationships/hyperlink" Target="https://doi.org/10.3390/fishes5040032" TargetMode="External"/><Relationship Id="rId22" Type="http://schemas.openxmlformats.org/officeDocument/2006/relationships/hyperlink" Target="https://doi.org/10.3390/fishes10030110" TargetMode="External"/><Relationship Id="rId27" Type="http://schemas.openxmlformats.org/officeDocument/2006/relationships/image" Target="media/image4.jpg"/><Relationship Id="rId30" Type="http://schemas.openxmlformats.org/officeDocument/2006/relationships/image" Target="media/image7.jpg"/><Relationship Id="rId35" Type="http://schemas.openxmlformats.org/officeDocument/2006/relationships/footer" Target="footer1.xml"/><Relationship Id="rId8" Type="http://schemas.openxmlformats.org/officeDocument/2006/relationships/hyperlink" Target="https://doi.org/10.5897/AJB12.1895"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14</Pages>
  <Words>19765</Words>
  <Characters>112666</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Kudus</cp:lastModifiedBy>
  <cp:revision>18</cp:revision>
  <dcterms:created xsi:type="dcterms:W3CDTF">2026-06-21T12:24:00Z</dcterms:created>
  <dcterms:modified xsi:type="dcterms:W3CDTF">2026-06-21T13:54:00Z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fdda646d-fc14-4445-8acf-17af2f935aa8</vt:lpwstr>
  </property>
  <property fmtid="{D5CDD505-2E9C-101B-9397-08002B2CF9AE}" pid="3" name="ZOTERO_PREF_1">
    <vt:lpwstr>&lt;data data-version="3" zotero-version="9.0.4"&gt;&lt;session id="cNpGKf96"/&gt;&lt;style id="http://www.zotero.org/styles/apa" locale="en-GB" hasBibliography="1" bibliographyStyleHasBeenSet="1"/&gt;&lt;prefs&gt;&lt;pref name="fieldType" value="Field"/&gt;&lt;/prefs&gt;&lt;/data&gt;</vt:lpwstr>
  </property>
</Properties>
</file>