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E3C10" w14:textId="123B99D3" w:rsidR="00AC49C7" w:rsidRPr="00F61AFC" w:rsidRDefault="00D07021" w:rsidP="00D07021">
      <w:pPr>
        <w:spacing w:after="0" w:line="360" w:lineRule="auto"/>
        <w:jc w:val="both"/>
        <w:rPr>
          <w:rFonts w:ascii="Times New Roman" w:hAnsi="Times New Roman" w:cs="Times New Roman"/>
          <w:b/>
          <w:bCs/>
        </w:rPr>
      </w:pPr>
      <w:r w:rsidRPr="00F61AFC">
        <w:rPr>
          <w:rFonts w:ascii="Times New Roman" w:hAnsi="Times New Roman" w:cs="Times New Roman"/>
          <w:b/>
          <w:bCs/>
        </w:rPr>
        <w:t>Integrative Genomic, Evolutionary, and Structural Analysis of Plastid-Encoded RNA Polymerase Genes in Elite Indonesian Sugarcane (</w:t>
      </w:r>
      <w:r w:rsidRPr="00F61AFC">
        <w:rPr>
          <w:rFonts w:ascii="Times New Roman" w:hAnsi="Times New Roman" w:cs="Times New Roman"/>
          <w:b/>
          <w:bCs/>
          <w:i/>
          <w:iCs/>
        </w:rPr>
        <w:t xml:space="preserve">Saccharum </w:t>
      </w:r>
      <w:r w:rsidRPr="00F61AFC">
        <w:rPr>
          <w:rFonts w:ascii="Times New Roman" w:hAnsi="Times New Roman" w:cs="Times New Roman"/>
          <w:b/>
          <w:bCs/>
        </w:rPr>
        <w:t>spp. hybrid) ‘</w:t>
      </w:r>
      <w:proofErr w:type="spellStart"/>
      <w:r w:rsidRPr="00F61AFC">
        <w:rPr>
          <w:rFonts w:ascii="Times New Roman" w:hAnsi="Times New Roman" w:cs="Times New Roman"/>
          <w:b/>
          <w:bCs/>
        </w:rPr>
        <w:t>Kidang</w:t>
      </w:r>
      <w:proofErr w:type="spellEnd"/>
      <w:r w:rsidRPr="00F61AFC">
        <w:rPr>
          <w:rFonts w:ascii="Times New Roman" w:hAnsi="Times New Roman" w:cs="Times New Roman"/>
          <w:b/>
          <w:bCs/>
        </w:rPr>
        <w:t xml:space="preserve"> </w:t>
      </w:r>
      <w:proofErr w:type="spellStart"/>
      <w:r w:rsidRPr="00F61AFC">
        <w:rPr>
          <w:rFonts w:ascii="Times New Roman" w:hAnsi="Times New Roman" w:cs="Times New Roman"/>
          <w:b/>
          <w:bCs/>
        </w:rPr>
        <w:t>Kencana</w:t>
      </w:r>
      <w:proofErr w:type="spellEnd"/>
      <w:r w:rsidRPr="00F61AFC">
        <w:rPr>
          <w:rFonts w:ascii="Times New Roman" w:hAnsi="Times New Roman" w:cs="Times New Roman"/>
          <w:b/>
          <w:bCs/>
        </w:rPr>
        <w:t>’ and ‘</w:t>
      </w:r>
      <w:proofErr w:type="spellStart"/>
      <w:r w:rsidRPr="00F61AFC">
        <w:rPr>
          <w:rFonts w:ascii="Times New Roman" w:hAnsi="Times New Roman" w:cs="Times New Roman"/>
          <w:b/>
          <w:bCs/>
        </w:rPr>
        <w:t>Bululawang</w:t>
      </w:r>
      <w:proofErr w:type="spellEnd"/>
      <w:r w:rsidRPr="00F61AFC">
        <w:rPr>
          <w:rFonts w:ascii="Times New Roman" w:hAnsi="Times New Roman" w:cs="Times New Roman"/>
          <w:b/>
          <w:bCs/>
        </w:rPr>
        <w:t>’</w:t>
      </w:r>
    </w:p>
    <w:p w14:paraId="06CCC684" w14:textId="77777777" w:rsidR="00D07021" w:rsidRPr="00F61AFC" w:rsidRDefault="00D07021" w:rsidP="00D07021">
      <w:pPr>
        <w:spacing w:after="0" w:line="360" w:lineRule="auto"/>
        <w:jc w:val="both"/>
        <w:rPr>
          <w:rFonts w:ascii="Times New Roman" w:hAnsi="Times New Roman" w:cs="Times New Roman"/>
        </w:rPr>
      </w:pPr>
    </w:p>
    <w:p w14:paraId="08664406" w14:textId="019C652A" w:rsidR="00D07021" w:rsidRPr="00F61AFC" w:rsidRDefault="00D07021" w:rsidP="00D07021">
      <w:pPr>
        <w:spacing w:after="0" w:line="360" w:lineRule="auto"/>
        <w:jc w:val="both"/>
        <w:rPr>
          <w:rFonts w:ascii="Times New Roman" w:hAnsi="Times New Roman" w:cs="Times New Roman"/>
          <w:vertAlign w:val="superscript"/>
          <w:lang w:val="pt-PT"/>
        </w:rPr>
      </w:pPr>
      <w:r w:rsidRPr="00F61AFC">
        <w:rPr>
          <w:rFonts w:ascii="Times New Roman" w:hAnsi="Times New Roman" w:cs="Times New Roman"/>
          <w:lang w:val="pt-PT"/>
        </w:rPr>
        <w:t>Tiara Putria Judith</w:t>
      </w:r>
      <w:r w:rsidRPr="00F61AFC">
        <w:rPr>
          <w:rFonts w:ascii="Times New Roman" w:hAnsi="Times New Roman" w:cs="Times New Roman"/>
          <w:vertAlign w:val="superscript"/>
          <w:lang w:val="pt-PT"/>
        </w:rPr>
        <w:t>1</w:t>
      </w:r>
      <w:r w:rsidRPr="00F61AFC">
        <w:rPr>
          <w:rFonts w:ascii="Times New Roman" w:hAnsi="Times New Roman" w:cs="Times New Roman"/>
          <w:lang w:val="pt-PT"/>
        </w:rPr>
        <w:t>, Aliyah Syahidah</w:t>
      </w:r>
      <w:r w:rsidRPr="00F61AFC">
        <w:rPr>
          <w:rFonts w:ascii="Times New Roman" w:hAnsi="Times New Roman" w:cs="Times New Roman"/>
          <w:vertAlign w:val="superscript"/>
          <w:lang w:val="pt-PT"/>
        </w:rPr>
        <w:t>1</w:t>
      </w:r>
      <w:r w:rsidRPr="00F61AFC">
        <w:rPr>
          <w:rFonts w:ascii="Times New Roman" w:hAnsi="Times New Roman" w:cs="Times New Roman"/>
          <w:lang w:val="pt-PT"/>
        </w:rPr>
        <w:t>, Denianto Agung Wicaksono</w:t>
      </w:r>
      <w:r w:rsidRPr="00F61AFC">
        <w:rPr>
          <w:rFonts w:ascii="Times New Roman" w:hAnsi="Times New Roman" w:cs="Times New Roman"/>
          <w:vertAlign w:val="superscript"/>
          <w:lang w:val="pt-PT"/>
        </w:rPr>
        <w:t>1</w:t>
      </w:r>
      <w:r w:rsidRPr="00F61AFC">
        <w:rPr>
          <w:rFonts w:ascii="Times New Roman" w:hAnsi="Times New Roman" w:cs="Times New Roman"/>
          <w:lang w:val="pt-PT"/>
        </w:rPr>
        <w:t>, Kah Ooi Chua</w:t>
      </w:r>
      <w:r w:rsidRPr="00F61AFC">
        <w:rPr>
          <w:rFonts w:ascii="Times New Roman" w:hAnsi="Times New Roman" w:cs="Times New Roman"/>
          <w:vertAlign w:val="superscript"/>
          <w:lang w:val="pt-PT"/>
        </w:rPr>
        <w:t>2</w:t>
      </w:r>
      <w:r w:rsidRPr="00F61AFC">
        <w:rPr>
          <w:rFonts w:ascii="Times New Roman" w:hAnsi="Times New Roman" w:cs="Times New Roman"/>
          <w:lang w:val="pt-PT"/>
        </w:rPr>
        <w:t>, Ganies Riza Aristya</w:t>
      </w:r>
      <w:r w:rsidRPr="00F61AFC">
        <w:rPr>
          <w:rFonts w:ascii="Times New Roman" w:hAnsi="Times New Roman" w:cs="Times New Roman"/>
          <w:vertAlign w:val="superscript"/>
          <w:lang w:val="pt-PT"/>
        </w:rPr>
        <w:t>1*</w:t>
      </w:r>
    </w:p>
    <w:p w14:paraId="57A116A9" w14:textId="77777777" w:rsidR="00D07021" w:rsidRPr="00F61AFC" w:rsidRDefault="00D07021" w:rsidP="00D07021">
      <w:pPr>
        <w:spacing w:after="0" w:line="360" w:lineRule="auto"/>
        <w:jc w:val="both"/>
        <w:rPr>
          <w:rFonts w:ascii="Times New Roman" w:hAnsi="Times New Roman" w:cs="Times New Roman"/>
          <w:vertAlign w:val="superscript"/>
          <w:lang w:val="pt-PT"/>
        </w:rPr>
      </w:pPr>
    </w:p>
    <w:p w14:paraId="476E8D90" w14:textId="5D66B0FB" w:rsidR="00D07021" w:rsidRPr="00F61AFC" w:rsidRDefault="00D07021" w:rsidP="00D07021">
      <w:pPr>
        <w:spacing w:after="0" w:line="360" w:lineRule="auto"/>
        <w:jc w:val="both"/>
        <w:rPr>
          <w:rFonts w:ascii="Times New Roman" w:hAnsi="Times New Roman" w:cs="Times New Roman"/>
        </w:rPr>
      </w:pPr>
      <w:r w:rsidRPr="00F61AFC">
        <w:rPr>
          <w:rFonts w:ascii="Times New Roman" w:hAnsi="Times New Roman" w:cs="Times New Roman"/>
          <w:vertAlign w:val="superscript"/>
        </w:rPr>
        <w:t>1</w:t>
      </w:r>
      <w:r w:rsidRPr="00F61AFC">
        <w:rPr>
          <w:rFonts w:ascii="Times New Roman" w:hAnsi="Times New Roman" w:cs="Times New Roman"/>
        </w:rPr>
        <w:t xml:space="preserve">Laboratory of Genetics and Breeding, </w:t>
      </w:r>
      <w:proofErr w:type="spellStart"/>
      <w:r w:rsidRPr="00F61AFC">
        <w:rPr>
          <w:rFonts w:ascii="Times New Roman" w:hAnsi="Times New Roman" w:cs="Times New Roman"/>
        </w:rPr>
        <w:t>Departement</w:t>
      </w:r>
      <w:proofErr w:type="spellEnd"/>
      <w:r w:rsidRPr="00F61AFC">
        <w:rPr>
          <w:rFonts w:ascii="Times New Roman" w:hAnsi="Times New Roman" w:cs="Times New Roman"/>
        </w:rPr>
        <w:t xml:space="preserve"> of Tropical Biology, Faculty of Biology, Universitas Gadjah Mada, Yogyakarta 55281, Indonesia</w:t>
      </w:r>
    </w:p>
    <w:p w14:paraId="1AE1A258" w14:textId="4E100C65" w:rsidR="00D07021" w:rsidRPr="00F61AFC" w:rsidRDefault="00D07021" w:rsidP="00D07021">
      <w:pPr>
        <w:spacing w:after="0" w:line="360" w:lineRule="auto"/>
        <w:jc w:val="both"/>
        <w:rPr>
          <w:rFonts w:ascii="Times New Roman" w:hAnsi="Times New Roman" w:cs="Times New Roman"/>
        </w:rPr>
      </w:pPr>
      <w:r w:rsidRPr="00F61AFC">
        <w:rPr>
          <w:rFonts w:ascii="Times New Roman" w:hAnsi="Times New Roman" w:cs="Times New Roman"/>
          <w:vertAlign w:val="superscript"/>
        </w:rPr>
        <w:t>2</w:t>
      </w:r>
      <w:r w:rsidRPr="00F61AFC">
        <w:rPr>
          <w:rFonts w:ascii="Times New Roman" w:hAnsi="Times New Roman" w:cs="Times New Roman"/>
        </w:rPr>
        <w:t>Centre for Research in Biotechnology for Agriculture (CEBAR) &amp; Institute of Biological Sciences (ISB), Faculty of Science, Universiti Malaya, Kuala Lumpur 50603, Malaysia</w:t>
      </w:r>
    </w:p>
    <w:p w14:paraId="31CD5ABA" w14:textId="73A0B0FC" w:rsidR="00D07021" w:rsidRPr="00F61AFC" w:rsidRDefault="00D07021" w:rsidP="00D07021">
      <w:pPr>
        <w:spacing w:after="0" w:line="360" w:lineRule="auto"/>
        <w:jc w:val="both"/>
        <w:rPr>
          <w:rFonts w:ascii="Times New Roman" w:hAnsi="Times New Roman" w:cs="Times New Roman"/>
        </w:rPr>
      </w:pPr>
      <w:r w:rsidRPr="00F61AFC">
        <w:rPr>
          <w:rFonts w:ascii="Times New Roman" w:hAnsi="Times New Roman" w:cs="Times New Roman"/>
        </w:rPr>
        <w:t xml:space="preserve">*Corresponding author: </w:t>
      </w:r>
      <w:hyperlink r:id="rId7" w:history="1">
        <w:r w:rsidRPr="00F61AFC">
          <w:rPr>
            <w:rStyle w:val="Hyperlink"/>
            <w:rFonts w:ascii="Times New Roman" w:hAnsi="Times New Roman" w:cs="Times New Roman"/>
          </w:rPr>
          <w:t>ganies_riza@ugm.ac.id</w:t>
        </w:r>
      </w:hyperlink>
    </w:p>
    <w:p w14:paraId="28FFCFF2" w14:textId="77777777" w:rsidR="00D07021" w:rsidRPr="00F61AFC" w:rsidRDefault="00D07021" w:rsidP="00D07021">
      <w:pPr>
        <w:spacing w:after="0" w:line="360" w:lineRule="auto"/>
        <w:jc w:val="both"/>
        <w:rPr>
          <w:rFonts w:ascii="Times New Roman" w:hAnsi="Times New Roman" w:cs="Times New Roman"/>
        </w:rPr>
      </w:pPr>
    </w:p>
    <w:p w14:paraId="4044E2E5" w14:textId="69E3CEF3" w:rsidR="00D07021" w:rsidRPr="00F61AFC" w:rsidRDefault="00D07021" w:rsidP="00D07021">
      <w:pPr>
        <w:spacing w:after="0" w:line="360" w:lineRule="auto"/>
        <w:jc w:val="both"/>
        <w:rPr>
          <w:rFonts w:ascii="Times New Roman" w:hAnsi="Times New Roman" w:cs="Times New Roman"/>
        </w:rPr>
      </w:pPr>
      <w:r w:rsidRPr="00F61AFC">
        <w:rPr>
          <w:rFonts w:ascii="Times New Roman" w:hAnsi="Times New Roman" w:cs="Times New Roman"/>
        </w:rPr>
        <w:t>ORCID Number</w:t>
      </w:r>
    </w:p>
    <w:p w14:paraId="563D5D4E" w14:textId="1906E1C3" w:rsidR="00D07021" w:rsidRPr="00E146F1" w:rsidRDefault="00D07021" w:rsidP="00D07021">
      <w:pPr>
        <w:spacing w:after="0" w:line="360" w:lineRule="auto"/>
        <w:jc w:val="both"/>
        <w:rPr>
          <w:rFonts w:ascii="Times New Roman" w:hAnsi="Times New Roman" w:cs="Times New Roman"/>
          <w:lang w:val="pt-PT"/>
        </w:rPr>
      </w:pPr>
      <w:r w:rsidRPr="00E146F1">
        <w:rPr>
          <w:rFonts w:ascii="Times New Roman" w:hAnsi="Times New Roman" w:cs="Times New Roman"/>
          <w:lang w:val="pt-PT"/>
        </w:rPr>
        <w:t xml:space="preserve">Tiara Putria Judith </w:t>
      </w:r>
      <w:r>
        <w:fldChar w:fldCharType="begin"/>
      </w:r>
      <w:r w:rsidRPr="00E146F1">
        <w:rPr>
          <w:lang w:val="pt-PT"/>
        </w:rPr>
        <w:instrText>HYPERLINK "https://orcid.org/0000-0001-9274-5728"</w:instrText>
      </w:r>
      <w:r>
        <w:fldChar w:fldCharType="separate"/>
      </w:r>
      <w:r w:rsidRPr="00E146F1">
        <w:rPr>
          <w:rStyle w:val="Hyperlink"/>
          <w:rFonts w:ascii="Times New Roman" w:hAnsi="Times New Roman" w:cs="Times New Roman"/>
          <w:lang w:val="pt-PT"/>
        </w:rPr>
        <w:t>https://orcid.org/0000-0001-9274-5728</w:t>
      </w:r>
      <w:r>
        <w:fldChar w:fldCharType="end"/>
      </w:r>
      <w:r w:rsidR="00E146F1" w:rsidRPr="00E146F1">
        <w:rPr>
          <w:rFonts w:ascii="Times New Roman" w:hAnsi="Times New Roman" w:cs="Times New Roman"/>
          <w:lang w:val="pt-PT"/>
        </w:rPr>
        <w:t>; tiara.putria2103@mail.ugm.ac.id</w:t>
      </w:r>
    </w:p>
    <w:p w14:paraId="2A2B6CA5" w14:textId="6097B75C" w:rsidR="00D07021" w:rsidRPr="00E146F1" w:rsidRDefault="00D07021" w:rsidP="00D07021">
      <w:pPr>
        <w:spacing w:after="0" w:line="360" w:lineRule="auto"/>
        <w:jc w:val="both"/>
        <w:rPr>
          <w:rFonts w:ascii="Times New Roman" w:hAnsi="Times New Roman" w:cs="Times New Roman"/>
        </w:rPr>
      </w:pPr>
      <w:r w:rsidRPr="00E146F1">
        <w:rPr>
          <w:rFonts w:ascii="Times New Roman" w:hAnsi="Times New Roman" w:cs="Times New Roman"/>
        </w:rPr>
        <w:t xml:space="preserve">Aliyah Syahidah </w:t>
      </w:r>
      <w:hyperlink r:id="rId8" w:history="1">
        <w:r w:rsidRPr="00E146F1">
          <w:rPr>
            <w:rStyle w:val="Hyperlink"/>
            <w:rFonts w:ascii="Times New Roman" w:hAnsi="Times New Roman" w:cs="Times New Roman"/>
          </w:rPr>
          <w:t>https://orcid.org/0009-0000-3854-882X</w:t>
        </w:r>
      </w:hyperlink>
      <w:r w:rsidR="00E146F1" w:rsidRPr="00E146F1">
        <w:rPr>
          <w:rFonts w:ascii="Times New Roman" w:hAnsi="Times New Roman" w:cs="Times New Roman"/>
        </w:rPr>
        <w:t>; aliyahsyahidah</w:t>
      </w:r>
      <w:r w:rsidR="00E146F1" w:rsidRPr="00E146F1">
        <w:rPr>
          <w:rFonts w:ascii="Times New Roman" w:hAnsi="Times New Roman" w:cs="Times New Roman"/>
        </w:rPr>
        <w:t>@mail.ugm.ac.id</w:t>
      </w:r>
    </w:p>
    <w:p w14:paraId="1C4DE287" w14:textId="62E453C7" w:rsidR="00D07021" w:rsidRPr="00E146F1" w:rsidRDefault="00D07021" w:rsidP="00D07021">
      <w:pPr>
        <w:spacing w:after="0" w:line="360" w:lineRule="auto"/>
        <w:jc w:val="both"/>
        <w:rPr>
          <w:rFonts w:ascii="Times New Roman" w:hAnsi="Times New Roman" w:cs="Times New Roman"/>
        </w:rPr>
      </w:pPr>
      <w:proofErr w:type="spellStart"/>
      <w:r w:rsidRPr="00E146F1">
        <w:rPr>
          <w:rFonts w:ascii="Times New Roman" w:hAnsi="Times New Roman" w:cs="Times New Roman"/>
        </w:rPr>
        <w:t>Denianto</w:t>
      </w:r>
      <w:proofErr w:type="spellEnd"/>
      <w:r w:rsidRPr="00E146F1">
        <w:rPr>
          <w:rFonts w:ascii="Times New Roman" w:hAnsi="Times New Roman" w:cs="Times New Roman"/>
        </w:rPr>
        <w:t xml:space="preserve"> Agung </w:t>
      </w:r>
      <w:proofErr w:type="spellStart"/>
      <w:r w:rsidRPr="00E146F1">
        <w:rPr>
          <w:rFonts w:ascii="Times New Roman" w:hAnsi="Times New Roman" w:cs="Times New Roman"/>
        </w:rPr>
        <w:t>Wicaksono</w:t>
      </w:r>
      <w:proofErr w:type="spellEnd"/>
      <w:r w:rsidRPr="00E146F1">
        <w:rPr>
          <w:rFonts w:ascii="Times New Roman" w:hAnsi="Times New Roman" w:cs="Times New Roman"/>
        </w:rPr>
        <w:t xml:space="preserve"> </w:t>
      </w:r>
      <w:hyperlink r:id="rId9" w:history="1">
        <w:r w:rsidRPr="00E146F1">
          <w:rPr>
            <w:rStyle w:val="Hyperlink"/>
            <w:rFonts w:ascii="Times New Roman" w:hAnsi="Times New Roman" w:cs="Times New Roman"/>
          </w:rPr>
          <w:t>https://orcid.org/0009-0009-5605-7464</w:t>
        </w:r>
      </w:hyperlink>
      <w:r w:rsidR="00E146F1" w:rsidRPr="00E146F1">
        <w:rPr>
          <w:rFonts w:ascii="Times New Roman" w:hAnsi="Times New Roman" w:cs="Times New Roman"/>
        </w:rPr>
        <w:t>; deniantoagungwicaksono@mail.ugm.ac.id</w:t>
      </w:r>
    </w:p>
    <w:p w14:paraId="5540BAEE" w14:textId="388E1BD0" w:rsidR="00D07021" w:rsidRPr="00E146F1" w:rsidRDefault="00D07021" w:rsidP="00D07021">
      <w:pPr>
        <w:spacing w:after="0" w:line="360" w:lineRule="auto"/>
        <w:jc w:val="both"/>
        <w:rPr>
          <w:rFonts w:ascii="Times New Roman" w:hAnsi="Times New Roman" w:cs="Times New Roman"/>
        </w:rPr>
      </w:pPr>
      <w:r w:rsidRPr="00E146F1">
        <w:rPr>
          <w:rFonts w:ascii="Times New Roman" w:hAnsi="Times New Roman" w:cs="Times New Roman"/>
        </w:rPr>
        <w:t xml:space="preserve">Kah Ooi Chua </w:t>
      </w:r>
      <w:hyperlink r:id="rId10" w:history="1">
        <w:r w:rsidRPr="00E146F1">
          <w:rPr>
            <w:rStyle w:val="Hyperlink"/>
            <w:rFonts w:ascii="Times New Roman" w:hAnsi="Times New Roman" w:cs="Times New Roman"/>
          </w:rPr>
          <w:t>htpps://orcid.org/0000-0002-4380-598X</w:t>
        </w:r>
      </w:hyperlink>
      <w:r w:rsidR="00E146F1">
        <w:rPr>
          <w:rFonts w:ascii="Times New Roman" w:hAnsi="Times New Roman" w:cs="Times New Roman"/>
        </w:rPr>
        <w:t xml:space="preserve">; </w:t>
      </w:r>
      <w:r w:rsidR="00E146F1" w:rsidRPr="00E146F1">
        <w:rPr>
          <w:rFonts w:ascii="Times New Roman" w:hAnsi="Times New Roman" w:cs="Times New Roman"/>
        </w:rPr>
        <w:t>kahooi@um.edu.my</w:t>
      </w:r>
    </w:p>
    <w:p w14:paraId="02F2A0C6" w14:textId="5DC64F4E" w:rsidR="00D07021" w:rsidRPr="00E146F1" w:rsidRDefault="000F50DE" w:rsidP="00D07021">
      <w:pPr>
        <w:spacing w:after="0" w:line="360" w:lineRule="auto"/>
        <w:jc w:val="both"/>
        <w:rPr>
          <w:rFonts w:ascii="Times New Roman" w:hAnsi="Times New Roman" w:cs="Times New Roman"/>
          <w:lang w:val="pt-PT"/>
        </w:rPr>
      </w:pPr>
      <w:r w:rsidRPr="00E146F1">
        <w:rPr>
          <w:rFonts w:ascii="Times New Roman" w:hAnsi="Times New Roman" w:cs="Times New Roman"/>
          <w:lang w:val="pt-PT"/>
        </w:rPr>
        <w:t xml:space="preserve">Ganies Riza Aristya </w:t>
      </w:r>
      <w:r w:rsidRPr="00E146F1">
        <w:rPr>
          <w:rFonts w:ascii="Times New Roman" w:hAnsi="Times New Roman" w:cs="Times New Roman"/>
        </w:rPr>
        <w:fldChar w:fldCharType="begin"/>
      </w:r>
      <w:r w:rsidRPr="00E146F1">
        <w:rPr>
          <w:rFonts w:ascii="Times New Roman" w:hAnsi="Times New Roman" w:cs="Times New Roman"/>
          <w:lang w:val="pt-PT"/>
        </w:rPr>
        <w:instrText>HYPERLINK "https://orcid.org/0000-0001-9251-5076"</w:instrText>
      </w:r>
      <w:r w:rsidRPr="00E146F1">
        <w:rPr>
          <w:rFonts w:ascii="Times New Roman" w:hAnsi="Times New Roman" w:cs="Times New Roman"/>
        </w:rPr>
      </w:r>
      <w:r w:rsidRPr="00E146F1">
        <w:rPr>
          <w:rFonts w:ascii="Times New Roman" w:hAnsi="Times New Roman" w:cs="Times New Roman"/>
        </w:rPr>
        <w:fldChar w:fldCharType="separate"/>
      </w:r>
      <w:r w:rsidRPr="00E146F1">
        <w:rPr>
          <w:rStyle w:val="Hyperlink"/>
          <w:rFonts w:ascii="Times New Roman" w:hAnsi="Times New Roman" w:cs="Times New Roman"/>
          <w:lang w:val="pt-PT"/>
        </w:rPr>
        <w:t>https://orcid.org/0000-0001-9251-5076</w:t>
      </w:r>
      <w:r w:rsidRPr="00E146F1">
        <w:rPr>
          <w:rFonts w:ascii="Times New Roman" w:hAnsi="Times New Roman" w:cs="Times New Roman"/>
        </w:rPr>
        <w:fldChar w:fldCharType="end"/>
      </w:r>
      <w:r w:rsidR="00E146F1" w:rsidRPr="00E146F1">
        <w:rPr>
          <w:rFonts w:ascii="Times New Roman" w:hAnsi="Times New Roman" w:cs="Times New Roman"/>
          <w:lang w:val="pt-PT"/>
        </w:rPr>
        <w:t>;</w:t>
      </w:r>
      <w:r w:rsidR="00E146F1">
        <w:rPr>
          <w:rFonts w:ascii="Times New Roman" w:hAnsi="Times New Roman" w:cs="Times New Roman"/>
          <w:lang w:val="pt-PT"/>
        </w:rPr>
        <w:t xml:space="preserve"> ganies_riza@ugm.ac.id</w:t>
      </w:r>
    </w:p>
    <w:p w14:paraId="335F95DD" w14:textId="77777777" w:rsidR="000F50DE" w:rsidRPr="00E146F1" w:rsidRDefault="000F50DE" w:rsidP="00D07021">
      <w:pPr>
        <w:spacing w:after="0" w:line="360" w:lineRule="auto"/>
        <w:jc w:val="both"/>
        <w:rPr>
          <w:rFonts w:ascii="Times New Roman" w:hAnsi="Times New Roman" w:cs="Times New Roman"/>
          <w:lang w:val="pt-PT"/>
        </w:rPr>
      </w:pPr>
    </w:p>
    <w:p w14:paraId="6E297693" w14:textId="393A3AEB" w:rsidR="000F50DE" w:rsidRPr="00F61AFC" w:rsidRDefault="000F50DE" w:rsidP="00D07021">
      <w:pPr>
        <w:spacing w:after="0" w:line="360" w:lineRule="auto"/>
        <w:jc w:val="both"/>
        <w:rPr>
          <w:rFonts w:ascii="Times New Roman" w:hAnsi="Times New Roman" w:cs="Times New Roman"/>
          <w:b/>
          <w:bCs/>
        </w:rPr>
      </w:pPr>
      <w:r w:rsidRPr="00F61AFC">
        <w:rPr>
          <w:rFonts w:ascii="Times New Roman" w:hAnsi="Times New Roman" w:cs="Times New Roman"/>
          <w:b/>
          <w:bCs/>
        </w:rPr>
        <w:t>ABSTRACT</w:t>
      </w:r>
    </w:p>
    <w:p w14:paraId="0D100D2F" w14:textId="2B1FC6D5" w:rsidR="00BA0E2C" w:rsidRPr="00F61AFC" w:rsidRDefault="000F50DE" w:rsidP="00D07021">
      <w:pPr>
        <w:spacing w:after="0" w:line="360" w:lineRule="auto"/>
        <w:jc w:val="both"/>
        <w:rPr>
          <w:rFonts w:ascii="Times New Roman" w:hAnsi="Times New Roman" w:cs="Times New Roman"/>
        </w:rPr>
      </w:pPr>
      <w:r w:rsidRPr="00F61AFC">
        <w:rPr>
          <w:rFonts w:ascii="Times New Roman" w:hAnsi="Times New Roman" w:cs="Times New Roman"/>
        </w:rPr>
        <w:tab/>
        <w:t>Sugarcane (</w:t>
      </w:r>
      <w:r w:rsidRPr="00F61AFC">
        <w:rPr>
          <w:rFonts w:ascii="Times New Roman" w:hAnsi="Times New Roman" w:cs="Times New Roman"/>
          <w:i/>
          <w:iCs/>
        </w:rPr>
        <w:t>Saccharum</w:t>
      </w:r>
      <w:r w:rsidRPr="00F61AFC">
        <w:rPr>
          <w:rFonts w:ascii="Times New Roman" w:hAnsi="Times New Roman" w:cs="Times New Roman"/>
        </w:rPr>
        <w:t xml:space="preserve"> spp. hybrid) is a major tropical C4 crop with high sucrose productivity, supported by efficient photosynthesis occurring in </w:t>
      </w:r>
      <w:r w:rsidR="002E44CF">
        <w:rPr>
          <w:rFonts w:ascii="Times New Roman" w:hAnsi="Times New Roman" w:cs="Times New Roman"/>
        </w:rPr>
        <w:t xml:space="preserve">the </w:t>
      </w:r>
      <w:r w:rsidRPr="00F61AFC">
        <w:rPr>
          <w:rFonts w:ascii="Times New Roman" w:hAnsi="Times New Roman" w:cs="Times New Roman"/>
        </w:rPr>
        <w:t xml:space="preserve">chloroplasts. </w:t>
      </w:r>
      <w:r w:rsidR="002E44CF">
        <w:rPr>
          <w:rFonts w:ascii="Times New Roman" w:hAnsi="Times New Roman" w:cs="Times New Roman"/>
        </w:rPr>
        <w:t>P</w:t>
      </w:r>
      <w:r w:rsidRPr="00F61AFC">
        <w:rPr>
          <w:rFonts w:ascii="Times New Roman" w:hAnsi="Times New Roman" w:cs="Times New Roman"/>
        </w:rPr>
        <w:t>lastid-encoded RNA polymerase (PEP), co</w:t>
      </w:r>
      <w:r w:rsidR="00EB23FE">
        <w:rPr>
          <w:rFonts w:ascii="Times New Roman" w:hAnsi="Times New Roman" w:cs="Times New Roman"/>
        </w:rPr>
        <w:t>mprising</w:t>
      </w:r>
      <w:r w:rsidRPr="00F61AFC">
        <w:rPr>
          <w:rFonts w:ascii="Times New Roman" w:hAnsi="Times New Roman" w:cs="Times New Roman"/>
        </w:rPr>
        <w:t xml:space="preserve"> of core subunits encoded by the </w:t>
      </w:r>
      <w:proofErr w:type="spellStart"/>
      <w:r w:rsidRPr="00F61AFC">
        <w:rPr>
          <w:rFonts w:ascii="Times New Roman" w:hAnsi="Times New Roman" w:cs="Times New Roman"/>
          <w:i/>
          <w:iCs/>
        </w:rPr>
        <w:t>rpo</w:t>
      </w:r>
      <w:proofErr w:type="spellEnd"/>
      <w:r w:rsidRPr="00F61AFC">
        <w:rPr>
          <w:rFonts w:ascii="Times New Roman" w:hAnsi="Times New Roman" w:cs="Times New Roman"/>
          <w:i/>
          <w:iCs/>
        </w:rPr>
        <w:t xml:space="preserve"> </w:t>
      </w:r>
      <w:r w:rsidRPr="00F61AFC">
        <w:rPr>
          <w:rFonts w:ascii="Times New Roman" w:hAnsi="Times New Roman" w:cs="Times New Roman"/>
        </w:rPr>
        <w:t>gene family (</w:t>
      </w:r>
      <w:proofErr w:type="spellStart"/>
      <w:r w:rsidRPr="00F61AFC">
        <w:rPr>
          <w:rFonts w:ascii="Times New Roman" w:hAnsi="Times New Roman" w:cs="Times New Roman"/>
          <w:i/>
          <w:iCs/>
        </w:rPr>
        <w:t>rpo</w:t>
      </w:r>
      <w:r w:rsidRPr="00F61AFC">
        <w:rPr>
          <w:rFonts w:ascii="Times New Roman" w:hAnsi="Times New Roman" w:cs="Times New Roman"/>
        </w:rPr>
        <w:t>A</w:t>
      </w:r>
      <w:proofErr w:type="spellEnd"/>
      <w:r w:rsidRPr="00F61AFC">
        <w:rPr>
          <w:rFonts w:ascii="Times New Roman" w:hAnsi="Times New Roman" w:cs="Times New Roman"/>
        </w:rPr>
        <w:t>,</w:t>
      </w:r>
      <w:r w:rsidRPr="00F61AFC">
        <w:rPr>
          <w:rFonts w:ascii="Times New Roman" w:hAnsi="Times New Roman" w:cs="Times New Roman"/>
          <w:i/>
          <w:iCs/>
        </w:rPr>
        <w:t xml:space="preserve"> </w:t>
      </w:r>
      <w:proofErr w:type="spellStart"/>
      <w:r w:rsidRPr="00F61AFC">
        <w:rPr>
          <w:rFonts w:ascii="Times New Roman" w:hAnsi="Times New Roman" w:cs="Times New Roman"/>
          <w:i/>
          <w:iCs/>
        </w:rPr>
        <w:t>rpo</w:t>
      </w:r>
      <w:r w:rsidRPr="00F61AFC">
        <w:rPr>
          <w:rFonts w:ascii="Times New Roman" w:hAnsi="Times New Roman" w:cs="Times New Roman"/>
        </w:rPr>
        <w:t>B</w:t>
      </w:r>
      <w:proofErr w:type="spellEnd"/>
      <w:r w:rsidRPr="00F61AFC">
        <w:rPr>
          <w:rFonts w:ascii="Times New Roman" w:hAnsi="Times New Roman" w:cs="Times New Roman"/>
        </w:rPr>
        <w:t xml:space="preserve">, </w:t>
      </w:r>
      <w:r w:rsidRPr="00F61AFC">
        <w:rPr>
          <w:rFonts w:ascii="Times New Roman" w:hAnsi="Times New Roman" w:cs="Times New Roman"/>
          <w:i/>
          <w:iCs/>
        </w:rPr>
        <w:t>rpo</w:t>
      </w:r>
      <w:r w:rsidRPr="00F61AFC">
        <w:rPr>
          <w:rFonts w:ascii="Times New Roman" w:hAnsi="Times New Roman" w:cs="Times New Roman"/>
        </w:rPr>
        <w:t xml:space="preserve">C1, and </w:t>
      </w:r>
      <w:r w:rsidRPr="00F61AFC">
        <w:rPr>
          <w:rFonts w:ascii="Times New Roman" w:hAnsi="Times New Roman" w:cs="Times New Roman"/>
          <w:i/>
          <w:iCs/>
        </w:rPr>
        <w:t>rpo</w:t>
      </w:r>
      <w:r w:rsidRPr="00F61AFC">
        <w:rPr>
          <w:rFonts w:ascii="Times New Roman" w:hAnsi="Times New Roman" w:cs="Times New Roman"/>
        </w:rPr>
        <w:t xml:space="preserve">C2), plays a </w:t>
      </w:r>
      <w:r w:rsidR="00EB23FE">
        <w:rPr>
          <w:rFonts w:ascii="Times New Roman" w:hAnsi="Times New Roman" w:cs="Times New Roman"/>
        </w:rPr>
        <w:t>key</w:t>
      </w:r>
      <w:r w:rsidRPr="00F61AFC">
        <w:rPr>
          <w:rFonts w:ascii="Times New Roman" w:hAnsi="Times New Roman" w:cs="Times New Roman"/>
        </w:rPr>
        <w:t xml:space="preserve"> role in regulating chloroplast gene expression. </w:t>
      </w:r>
      <w:r w:rsidR="002E44CF">
        <w:rPr>
          <w:rFonts w:ascii="Times New Roman" w:hAnsi="Times New Roman" w:cs="Times New Roman"/>
        </w:rPr>
        <w:t xml:space="preserve">Despite Indonesian high-yielding varieties such as </w:t>
      </w:r>
      <w:proofErr w:type="spellStart"/>
      <w:r w:rsidR="002E44CF">
        <w:rPr>
          <w:rFonts w:ascii="Times New Roman" w:hAnsi="Times New Roman" w:cs="Times New Roman"/>
        </w:rPr>
        <w:t>Kidang</w:t>
      </w:r>
      <w:proofErr w:type="spellEnd"/>
      <w:r w:rsidR="002E44CF">
        <w:rPr>
          <w:rFonts w:ascii="Times New Roman" w:hAnsi="Times New Roman" w:cs="Times New Roman"/>
        </w:rPr>
        <w:t xml:space="preserve"> </w:t>
      </w:r>
      <w:proofErr w:type="spellStart"/>
      <w:r w:rsidR="002E44CF">
        <w:rPr>
          <w:rFonts w:ascii="Times New Roman" w:hAnsi="Times New Roman" w:cs="Times New Roman"/>
        </w:rPr>
        <w:t>Kencana</w:t>
      </w:r>
      <w:proofErr w:type="spellEnd"/>
      <w:r w:rsidR="002E44CF">
        <w:rPr>
          <w:rFonts w:ascii="Times New Roman" w:hAnsi="Times New Roman" w:cs="Times New Roman"/>
        </w:rPr>
        <w:t xml:space="preserve"> and </w:t>
      </w:r>
      <w:proofErr w:type="spellStart"/>
      <w:r w:rsidR="002E44CF">
        <w:rPr>
          <w:rFonts w:ascii="Times New Roman" w:hAnsi="Times New Roman" w:cs="Times New Roman"/>
        </w:rPr>
        <w:t>Bululawang</w:t>
      </w:r>
      <w:proofErr w:type="spellEnd"/>
      <w:r w:rsidR="002E44CF">
        <w:rPr>
          <w:rFonts w:ascii="Times New Roman" w:hAnsi="Times New Roman" w:cs="Times New Roman"/>
        </w:rPr>
        <w:t xml:space="preserve"> having significant agronomic importance, genomic insights into </w:t>
      </w:r>
      <w:r w:rsidR="00EB23FE">
        <w:rPr>
          <w:rFonts w:ascii="Times New Roman" w:hAnsi="Times New Roman" w:cs="Times New Roman"/>
        </w:rPr>
        <w:t>essential</w:t>
      </w:r>
      <w:r w:rsidR="002E44CF">
        <w:rPr>
          <w:rFonts w:ascii="Times New Roman" w:hAnsi="Times New Roman" w:cs="Times New Roman"/>
        </w:rPr>
        <w:t xml:space="preserve"> chloroplast genes remain limited. </w:t>
      </w:r>
      <w:r w:rsidR="0069441B">
        <w:rPr>
          <w:rFonts w:ascii="Times New Roman" w:hAnsi="Times New Roman" w:cs="Times New Roman"/>
        </w:rPr>
        <w:t>In t</w:t>
      </w:r>
      <w:r w:rsidR="009275DD" w:rsidRPr="00F61AFC">
        <w:rPr>
          <w:rFonts w:ascii="Times New Roman" w:hAnsi="Times New Roman" w:cs="Times New Roman"/>
        </w:rPr>
        <w:t>his study</w:t>
      </w:r>
      <w:r w:rsidR="0069441B">
        <w:rPr>
          <w:rFonts w:ascii="Times New Roman" w:hAnsi="Times New Roman" w:cs="Times New Roman"/>
        </w:rPr>
        <w:t>, we applied</w:t>
      </w:r>
      <w:r w:rsidR="002E44CF">
        <w:rPr>
          <w:rFonts w:ascii="Times New Roman" w:hAnsi="Times New Roman" w:cs="Times New Roman"/>
        </w:rPr>
        <w:t xml:space="preserve"> </w:t>
      </w:r>
      <w:r w:rsidR="009275DD" w:rsidRPr="00F61AFC">
        <w:rPr>
          <w:rFonts w:ascii="Times New Roman" w:hAnsi="Times New Roman" w:cs="Times New Roman"/>
        </w:rPr>
        <w:t xml:space="preserve">an integrative analysis of </w:t>
      </w:r>
      <w:proofErr w:type="spellStart"/>
      <w:r w:rsidR="009275DD" w:rsidRPr="00F61AFC">
        <w:rPr>
          <w:rFonts w:ascii="Times New Roman" w:hAnsi="Times New Roman" w:cs="Times New Roman"/>
          <w:i/>
          <w:iCs/>
        </w:rPr>
        <w:t>rpo</w:t>
      </w:r>
      <w:proofErr w:type="spellEnd"/>
      <w:r w:rsidR="009275DD" w:rsidRPr="00F61AFC">
        <w:rPr>
          <w:rFonts w:ascii="Times New Roman" w:hAnsi="Times New Roman" w:cs="Times New Roman"/>
          <w:i/>
          <w:iCs/>
        </w:rPr>
        <w:t xml:space="preserve"> </w:t>
      </w:r>
      <w:r w:rsidR="009275DD" w:rsidRPr="00F61AFC">
        <w:rPr>
          <w:rFonts w:ascii="Times New Roman" w:hAnsi="Times New Roman" w:cs="Times New Roman"/>
        </w:rPr>
        <w:t>genes to</w:t>
      </w:r>
      <w:r w:rsidR="00EB23FE">
        <w:rPr>
          <w:rFonts w:ascii="Times New Roman" w:hAnsi="Times New Roman" w:cs="Times New Roman"/>
        </w:rPr>
        <w:t xml:space="preserve"> examine</w:t>
      </w:r>
      <w:r w:rsidR="009275DD" w:rsidRPr="00F61AFC">
        <w:rPr>
          <w:rFonts w:ascii="Times New Roman" w:hAnsi="Times New Roman" w:cs="Times New Roman"/>
        </w:rPr>
        <w:t xml:space="preserve"> the genomic characteristics, evolutionary relationships, and structural features. Fresh young leaves were used for DNA extraction, followed by long-read sequencing, chloroplast genome assembly, and annotation. The </w:t>
      </w:r>
      <w:proofErr w:type="spellStart"/>
      <w:r w:rsidR="009275DD" w:rsidRPr="00F61AFC">
        <w:rPr>
          <w:rFonts w:ascii="Times New Roman" w:hAnsi="Times New Roman" w:cs="Times New Roman"/>
          <w:i/>
          <w:iCs/>
        </w:rPr>
        <w:t>rpo</w:t>
      </w:r>
      <w:proofErr w:type="spellEnd"/>
      <w:r w:rsidR="009275DD" w:rsidRPr="00F61AFC">
        <w:rPr>
          <w:rFonts w:ascii="Times New Roman" w:hAnsi="Times New Roman" w:cs="Times New Roman"/>
          <w:i/>
          <w:iCs/>
        </w:rPr>
        <w:t xml:space="preserve"> </w:t>
      </w:r>
      <w:r w:rsidR="009275DD" w:rsidRPr="00F61AFC">
        <w:rPr>
          <w:rFonts w:ascii="Times New Roman" w:hAnsi="Times New Roman" w:cs="Times New Roman"/>
        </w:rPr>
        <w:t>genes were analyzed for gene structure, conserved motifs, codon usage bias, protein structure, and phylogenetic relationships using Maximum Likelihood and Bayesian Inference</w:t>
      </w:r>
      <w:r w:rsidR="00D73981" w:rsidRPr="00F61AFC">
        <w:rPr>
          <w:rFonts w:ascii="Times New Roman" w:hAnsi="Times New Roman" w:cs="Times New Roman"/>
        </w:rPr>
        <w:t xml:space="preserve"> approaches. </w:t>
      </w:r>
      <w:r w:rsidR="002E44CF">
        <w:rPr>
          <w:rFonts w:ascii="Times New Roman" w:hAnsi="Times New Roman" w:cs="Times New Roman"/>
        </w:rPr>
        <w:t>The</w:t>
      </w:r>
      <w:r w:rsidR="00D73981" w:rsidRPr="00F61AFC">
        <w:rPr>
          <w:rFonts w:ascii="Times New Roman" w:hAnsi="Times New Roman" w:cs="Times New Roman"/>
        </w:rPr>
        <w:t xml:space="preserve"> four </w:t>
      </w:r>
      <w:proofErr w:type="spellStart"/>
      <w:r w:rsidR="00D73981" w:rsidRPr="00F61AFC">
        <w:rPr>
          <w:rFonts w:ascii="Times New Roman" w:hAnsi="Times New Roman" w:cs="Times New Roman"/>
          <w:i/>
          <w:iCs/>
        </w:rPr>
        <w:t>rpo</w:t>
      </w:r>
      <w:proofErr w:type="spellEnd"/>
      <w:r w:rsidR="00D73981" w:rsidRPr="00F61AFC">
        <w:rPr>
          <w:rFonts w:ascii="Times New Roman" w:hAnsi="Times New Roman" w:cs="Times New Roman"/>
          <w:i/>
          <w:iCs/>
        </w:rPr>
        <w:t xml:space="preserve"> </w:t>
      </w:r>
      <w:r w:rsidR="00D73981" w:rsidRPr="00F61AFC">
        <w:rPr>
          <w:rFonts w:ascii="Times New Roman" w:hAnsi="Times New Roman" w:cs="Times New Roman"/>
        </w:rPr>
        <w:t xml:space="preserve">genes were identified as single-copy, </w:t>
      </w:r>
      <w:proofErr w:type="spellStart"/>
      <w:r w:rsidR="00D73981" w:rsidRPr="00F61AFC">
        <w:rPr>
          <w:rFonts w:ascii="Times New Roman" w:hAnsi="Times New Roman" w:cs="Times New Roman"/>
        </w:rPr>
        <w:t>intron</w:t>
      </w:r>
      <w:r w:rsidR="002E44CF">
        <w:rPr>
          <w:rFonts w:ascii="Times New Roman" w:hAnsi="Times New Roman" w:cs="Times New Roman"/>
        </w:rPr>
        <w:t>less</w:t>
      </w:r>
      <w:proofErr w:type="spellEnd"/>
      <w:r w:rsidR="00D73981" w:rsidRPr="00F61AFC">
        <w:rPr>
          <w:rFonts w:ascii="Times New Roman" w:hAnsi="Times New Roman" w:cs="Times New Roman"/>
        </w:rPr>
        <w:t xml:space="preserve"> genes </w:t>
      </w:r>
      <w:r w:rsidR="00EB23FE">
        <w:rPr>
          <w:rFonts w:ascii="Times New Roman" w:hAnsi="Times New Roman" w:cs="Times New Roman"/>
        </w:rPr>
        <w:t>located in</w:t>
      </w:r>
      <w:r w:rsidR="00D73981" w:rsidRPr="00F61AFC">
        <w:rPr>
          <w:rFonts w:ascii="Times New Roman" w:hAnsi="Times New Roman" w:cs="Times New Roman"/>
        </w:rPr>
        <w:t xml:space="preserve"> the LSC region,</w:t>
      </w:r>
      <w:r w:rsidR="002E44CF">
        <w:rPr>
          <w:rFonts w:ascii="Times New Roman" w:hAnsi="Times New Roman" w:cs="Times New Roman"/>
        </w:rPr>
        <w:t xml:space="preserve"> </w:t>
      </w:r>
      <w:r w:rsidR="00D73981" w:rsidRPr="00F61AFC">
        <w:rPr>
          <w:rFonts w:ascii="Times New Roman" w:hAnsi="Times New Roman" w:cs="Times New Roman"/>
        </w:rPr>
        <w:t>ranging</w:t>
      </w:r>
      <w:r w:rsidR="002E44CF">
        <w:rPr>
          <w:rFonts w:ascii="Times New Roman" w:hAnsi="Times New Roman" w:cs="Times New Roman"/>
        </w:rPr>
        <w:t xml:space="preserve"> in </w:t>
      </w:r>
      <w:r w:rsidR="002E44CF" w:rsidRPr="00F61AFC">
        <w:rPr>
          <w:rFonts w:ascii="Times New Roman" w:hAnsi="Times New Roman" w:cs="Times New Roman"/>
        </w:rPr>
        <w:t>lengths</w:t>
      </w:r>
      <w:r w:rsidR="00D73981" w:rsidRPr="00F61AFC">
        <w:rPr>
          <w:rFonts w:ascii="Times New Roman" w:hAnsi="Times New Roman" w:cs="Times New Roman"/>
        </w:rPr>
        <w:t xml:space="preserve"> from 1,020 bp (</w:t>
      </w:r>
      <w:proofErr w:type="spellStart"/>
      <w:r w:rsidR="00D73981" w:rsidRPr="00F61AFC">
        <w:rPr>
          <w:rFonts w:ascii="Times New Roman" w:hAnsi="Times New Roman" w:cs="Times New Roman"/>
          <w:i/>
          <w:iCs/>
        </w:rPr>
        <w:t>rpo</w:t>
      </w:r>
      <w:r w:rsidR="00D73981" w:rsidRPr="00F61AFC">
        <w:rPr>
          <w:rFonts w:ascii="Times New Roman" w:hAnsi="Times New Roman" w:cs="Times New Roman"/>
        </w:rPr>
        <w:t>A</w:t>
      </w:r>
      <w:proofErr w:type="spellEnd"/>
      <w:r w:rsidR="00D73981" w:rsidRPr="00F61AFC">
        <w:rPr>
          <w:rFonts w:ascii="Times New Roman" w:hAnsi="Times New Roman" w:cs="Times New Roman"/>
        </w:rPr>
        <w:t>)</w:t>
      </w:r>
      <w:r w:rsidR="00130506" w:rsidRPr="00F61AFC">
        <w:rPr>
          <w:rFonts w:ascii="Times New Roman" w:hAnsi="Times New Roman" w:cs="Times New Roman"/>
        </w:rPr>
        <w:t xml:space="preserve"> to 4,605 bp (</w:t>
      </w:r>
      <w:r w:rsidR="00130506" w:rsidRPr="00F61AFC">
        <w:rPr>
          <w:rFonts w:ascii="Times New Roman" w:hAnsi="Times New Roman" w:cs="Times New Roman"/>
          <w:i/>
          <w:iCs/>
        </w:rPr>
        <w:t>rpo</w:t>
      </w:r>
      <w:r w:rsidR="00130506" w:rsidRPr="00F61AFC">
        <w:rPr>
          <w:rFonts w:ascii="Times New Roman" w:hAnsi="Times New Roman" w:cs="Times New Roman"/>
        </w:rPr>
        <w:t xml:space="preserve">C2). </w:t>
      </w:r>
      <w:r w:rsidR="002E44CF">
        <w:rPr>
          <w:rFonts w:ascii="Times New Roman" w:hAnsi="Times New Roman" w:cs="Times New Roman"/>
        </w:rPr>
        <w:t xml:space="preserve">Analysis of conserved motifs revealed up to 30 highly significant motifs, </w:t>
      </w:r>
      <w:r w:rsidR="00130506" w:rsidRPr="00F61AFC">
        <w:rPr>
          <w:rFonts w:ascii="Times New Roman" w:hAnsi="Times New Roman" w:cs="Times New Roman"/>
        </w:rPr>
        <w:t xml:space="preserve">while codon usage patterns were highly similar </w:t>
      </w:r>
      <w:r w:rsidR="002E44CF">
        <w:rPr>
          <w:rFonts w:ascii="Times New Roman" w:hAnsi="Times New Roman" w:cs="Times New Roman"/>
        </w:rPr>
        <w:t>across</w:t>
      </w:r>
      <w:r w:rsidR="00130506" w:rsidRPr="00F61AFC">
        <w:rPr>
          <w:rFonts w:ascii="Times New Roman" w:hAnsi="Times New Roman" w:cs="Times New Roman"/>
        </w:rPr>
        <w:t xml:space="preserve"> cultivars, indicating strong translational selection. Predicted protein structures showed high confidence </w:t>
      </w:r>
      <w:r w:rsidR="002E44CF">
        <w:rPr>
          <w:rFonts w:ascii="Times New Roman" w:hAnsi="Times New Roman" w:cs="Times New Roman"/>
        </w:rPr>
        <w:t xml:space="preserve">levels </w:t>
      </w:r>
      <w:r w:rsidR="00130506" w:rsidRPr="00F61AFC">
        <w:rPr>
          <w:rFonts w:ascii="Times New Roman" w:hAnsi="Times New Roman" w:cs="Times New Roman"/>
        </w:rPr>
        <w:t>(</w:t>
      </w:r>
      <w:proofErr w:type="spellStart"/>
      <w:r w:rsidR="00130506" w:rsidRPr="00F61AFC">
        <w:rPr>
          <w:rFonts w:ascii="Times New Roman" w:hAnsi="Times New Roman" w:cs="Times New Roman"/>
        </w:rPr>
        <w:t>pLDDT</w:t>
      </w:r>
      <w:proofErr w:type="spellEnd"/>
      <w:r w:rsidR="00130506" w:rsidRPr="00F61AFC">
        <w:rPr>
          <w:rFonts w:ascii="Times New Roman" w:hAnsi="Times New Roman" w:cs="Times New Roman"/>
        </w:rPr>
        <w:t xml:space="preserve"> &gt; 90) with low structural divergence, although </w:t>
      </w:r>
      <w:r w:rsidR="00130506" w:rsidRPr="00F61AFC">
        <w:rPr>
          <w:rFonts w:ascii="Times New Roman" w:hAnsi="Times New Roman" w:cs="Times New Roman"/>
          <w:i/>
          <w:iCs/>
        </w:rPr>
        <w:t>rpo</w:t>
      </w:r>
      <w:r w:rsidR="00130506" w:rsidRPr="00F61AFC">
        <w:rPr>
          <w:rFonts w:ascii="Times New Roman" w:hAnsi="Times New Roman" w:cs="Times New Roman"/>
        </w:rPr>
        <w:t xml:space="preserve">C2 exhibited slightly </w:t>
      </w:r>
      <w:r w:rsidR="002E44CF">
        <w:rPr>
          <w:rFonts w:ascii="Times New Roman" w:hAnsi="Times New Roman" w:cs="Times New Roman"/>
        </w:rPr>
        <w:t>greater</w:t>
      </w:r>
      <w:r w:rsidR="00130506" w:rsidRPr="00F61AFC">
        <w:rPr>
          <w:rFonts w:ascii="Times New Roman" w:hAnsi="Times New Roman" w:cs="Times New Roman"/>
        </w:rPr>
        <w:t xml:space="preserve"> variation. Phylogenetic analys</w:t>
      </w:r>
      <w:r w:rsidR="002E44CF">
        <w:rPr>
          <w:rFonts w:ascii="Times New Roman" w:hAnsi="Times New Roman" w:cs="Times New Roman"/>
        </w:rPr>
        <w:t>i</w:t>
      </w:r>
      <w:r w:rsidR="00130506" w:rsidRPr="00F61AFC">
        <w:rPr>
          <w:rFonts w:ascii="Times New Roman" w:hAnsi="Times New Roman" w:cs="Times New Roman"/>
        </w:rPr>
        <w:t xml:space="preserve">s produced </w:t>
      </w:r>
      <w:r w:rsidR="002E44CF">
        <w:rPr>
          <w:rFonts w:ascii="Times New Roman" w:hAnsi="Times New Roman" w:cs="Times New Roman"/>
        </w:rPr>
        <w:t xml:space="preserve">a </w:t>
      </w:r>
      <w:r w:rsidR="00EB23FE">
        <w:rPr>
          <w:rFonts w:ascii="Times New Roman" w:hAnsi="Times New Roman" w:cs="Times New Roman"/>
        </w:rPr>
        <w:t>well-supported</w:t>
      </w:r>
      <w:r w:rsidR="00130506" w:rsidRPr="00F61AFC">
        <w:rPr>
          <w:rFonts w:ascii="Times New Roman" w:hAnsi="Times New Roman" w:cs="Times New Roman"/>
        </w:rPr>
        <w:t xml:space="preserve"> topolog</w:t>
      </w:r>
      <w:r w:rsidR="002E44CF">
        <w:rPr>
          <w:rFonts w:ascii="Times New Roman" w:hAnsi="Times New Roman" w:cs="Times New Roman"/>
        </w:rPr>
        <w:t>y</w:t>
      </w:r>
      <w:r w:rsidR="00130506" w:rsidRPr="00F61AFC">
        <w:rPr>
          <w:rFonts w:ascii="Times New Roman" w:hAnsi="Times New Roman" w:cs="Times New Roman"/>
        </w:rPr>
        <w:t xml:space="preserve"> (ML = 100%, BI = 1.00), clustering both cultivars </w:t>
      </w:r>
      <w:r w:rsidR="002E44CF">
        <w:rPr>
          <w:rFonts w:ascii="Times New Roman" w:hAnsi="Times New Roman" w:cs="Times New Roman"/>
        </w:rPr>
        <w:t>into</w:t>
      </w:r>
      <w:r w:rsidR="00130506" w:rsidRPr="00F61AFC">
        <w:rPr>
          <w:rFonts w:ascii="Times New Roman" w:hAnsi="Times New Roman" w:cs="Times New Roman"/>
        </w:rPr>
        <w:t xml:space="preserve"> a closely related hybrid clade. These findings </w:t>
      </w:r>
      <w:r w:rsidR="00EB23FE">
        <w:rPr>
          <w:rFonts w:ascii="Times New Roman" w:hAnsi="Times New Roman" w:cs="Times New Roman"/>
        </w:rPr>
        <w:t>indicate</w:t>
      </w:r>
      <w:r w:rsidR="00130506" w:rsidRPr="00F61AFC">
        <w:rPr>
          <w:rFonts w:ascii="Times New Roman" w:hAnsi="Times New Roman" w:cs="Times New Roman"/>
        </w:rPr>
        <w:t xml:space="preserve"> strong </w:t>
      </w:r>
      <w:r w:rsidR="00BA0E2C" w:rsidRPr="00F61AFC">
        <w:rPr>
          <w:rFonts w:ascii="Times New Roman" w:hAnsi="Times New Roman" w:cs="Times New Roman"/>
        </w:rPr>
        <w:t>purifying selection</w:t>
      </w:r>
      <w:r w:rsidR="002E44CF">
        <w:rPr>
          <w:rFonts w:ascii="Times New Roman" w:hAnsi="Times New Roman" w:cs="Times New Roman"/>
        </w:rPr>
        <w:t xml:space="preserve"> maintain</w:t>
      </w:r>
      <w:r w:rsidR="00EB23FE">
        <w:rPr>
          <w:rFonts w:ascii="Times New Roman" w:hAnsi="Times New Roman" w:cs="Times New Roman"/>
        </w:rPr>
        <w:t>ing</w:t>
      </w:r>
      <w:r w:rsidR="00BA0E2C" w:rsidRPr="00F61AFC">
        <w:rPr>
          <w:rFonts w:ascii="Times New Roman" w:hAnsi="Times New Roman" w:cs="Times New Roman"/>
        </w:rPr>
        <w:t xml:space="preserve"> the structural and </w:t>
      </w:r>
      <w:r w:rsidR="00DA174A">
        <w:rPr>
          <w:rFonts w:ascii="Times New Roman" w:hAnsi="Times New Roman" w:cs="Times New Roman"/>
        </w:rPr>
        <w:t>functional</w:t>
      </w:r>
      <w:r w:rsidR="00BA0E2C" w:rsidRPr="00F61AFC">
        <w:rPr>
          <w:rFonts w:ascii="Times New Roman" w:hAnsi="Times New Roman" w:cs="Times New Roman"/>
        </w:rPr>
        <w:t xml:space="preserve"> integrity of </w:t>
      </w:r>
      <w:r w:rsidR="00DA174A">
        <w:rPr>
          <w:rFonts w:ascii="Times New Roman" w:hAnsi="Times New Roman" w:cs="Times New Roman"/>
        </w:rPr>
        <w:t xml:space="preserve">the </w:t>
      </w:r>
      <w:proofErr w:type="spellStart"/>
      <w:r w:rsidR="00BA0E2C" w:rsidRPr="00F61AFC">
        <w:rPr>
          <w:rFonts w:ascii="Times New Roman" w:hAnsi="Times New Roman" w:cs="Times New Roman"/>
          <w:i/>
          <w:iCs/>
        </w:rPr>
        <w:t>rpo</w:t>
      </w:r>
      <w:proofErr w:type="spellEnd"/>
      <w:r w:rsidR="00BA0E2C" w:rsidRPr="00F61AFC">
        <w:rPr>
          <w:rFonts w:ascii="Times New Roman" w:hAnsi="Times New Roman" w:cs="Times New Roman"/>
        </w:rPr>
        <w:t xml:space="preserve"> genes, providing valuable genomic insights for molecular-based sugarcane improvement.</w:t>
      </w:r>
    </w:p>
    <w:p w14:paraId="07280ABC" w14:textId="77777777" w:rsidR="00BA0E2C" w:rsidRPr="00F61AFC" w:rsidRDefault="00BA0E2C" w:rsidP="00D07021">
      <w:pPr>
        <w:spacing w:after="0" w:line="360" w:lineRule="auto"/>
        <w:jc w:val="both"/>
        <w:rPr>
          <w:rFonts w:ascii="Times New Roman" w:hAnsi="Times New Roman" w:cs="Times New Roman"/>
        </w:rPr>
      </w:pPr>
    </w:p>
    <w:p w14:paraId="6B0B2D1C" w14:textId="77777777" w:rsidR="003C57D7" w:rsidRPr="00F61AFC" w:rsidRDefault="00BA0E2C" w:rsidP="00D07021">
      <w:pPr>
        <w:spacing w:after="0" w:line="360" w:lineRule="auto"/>
        <w:jc w:val="both"/>
        <w:rPr>
          <w:rFonts w:ascii="Times New Roman" w:hAnsi="Times New Roman" w:cs="Times New Roman"/>
        </w:rPr>
      </w:pPr>
      <w:r w:rsidRPr="00F61AFC">
        <w:rPr>
          <w:rFonts w:ascii="Times New Roman" w:hAnsi="Times New Roman" w:cs="Times New Roman"/>
          <w:b/>
          <w:bCs/>
        </w:rPr>
        <w:t>Keywords:</w:t>
      </w:r>
      <w:r w:rsidRPr="00F61AFC">
        <w:rPr>
          <w:rFonts w:ascii="Times New Roman" w:hAnsi="Times New Roman" w:cs="Times New Roman"/>
        </w:rPr>
        <w:t xml:space="preserve"> Conserved motifs, Molecular evolution, Plastid-encoded RNA polymerase, Protein structure, Sugarcane</w:t>
      </w:r>
    </w:p>
    <w:p w14:paraId="28356731" w14:textId="77777777" w:rsidR="003C57D7" w:rsidRPr="00F61AFC" w:rsidRDefault="003C57D7" w:rsidP="00D07021">
      <w:pPr>
        <w:spacing w:after="0" w:line="360" w:lineRule="auto"/>
        <w:jc w:val="both"/>
        <w:rPr>
          <w:rFonts w:ascii="Times New Roman" w:hAnsi="Times New Roman" w:cs="Times New Roman"/>
        </w:rPr>
      </w:pPr>
    </w:p>
    <w:p w14:paraId="31F1B2A8" w14:textId="77777777" w:rsidR="003C57D7" w:rsidRPr="00F61AFC" w:rsidRDefault="003C57D7" w:rsidP="00D07021">
      <w:pPr>
        <w:spacing w:after="0" w:line="360" w:lineRule="auto"/>
        <w:jc w:val="both"/>
        <w:rPr>
          <w:rFonts w:ascii="Times New Roman" w:hAnsi="Times New Roman" w:cs="Times New Roman"/>
          <w:b/>
          <w:bCs/>
        </w:rPr>
      </w:pPr>
      <w:r w:rsidRPr="00F61AFC">
        <w:rPr>
          <w:rFonts w:ascii="Times New Roman" w:hAnsi="Times New Roman" w:cs="Times New Roman"/>
          <w:b/>
          <w:bCs/>
        </w:rPr>
        <w:t>INTRODUCTION</w:t>
      </w:r>
    </w:p>
    <w:p w14:paraId="5BA539C8" w14:textId="3F554CC9" w:rsidR="00D07021" w:rsidRDefault="003C57D7" w:rsidP="00D07021">
      <w:pPr>
        <w:spacing w:after="0" w:line="360" w:lineRule="auto"/>
        <w:jc w:val="both"/>
        <w:rPr>
          <w:rFonts w:ascii="Times New Roman" w:hAnsi="Times New Roman" w:cs="Times New Roman"/>
        </w:rPr>
      </w:pPr>
      <w:r w:rsidRPr="00F61AFC">
        <w:rPr>
          <w:rFonts w:ascii="Times New Roman" w:hAnsi="Times New Roman" w:cs="Times New Roman"/>
        </w:rPr>
        <w:tab/>
        <w:t>Sugarcane (</w:t>
      </w:r>
      <w:r w:rsidRPr="00F61AFC">
        <w:rPr>
          <w:rFonts w:ascii="Times New Roman" w:hAnsi="Times New Roman" w:cs="Times New Roman"/>
          <w:i/>
          <w:iCs/>
        </w:rPr>
        <w:t>Saccharum officinarum</w:t>
      </w:r>
      <w:r w:rsidRPr="00F61AFC">
        <w:rPr>
          <w:rFonts w:ascii="Times New Roman" w:hAnsi="Times New Roman" w:cs="Times New Roman"/>
        </w:rPr>
        <w:t xml:space="preserve"> and modern </w:t>
      </w:r>
      <w:r w:rsidRPr="00F61AFC">
        <w:rPr>
          <w:rFonts w:ascii="Times New Roman" w:hAnsi="Times New Roman" w:cs="Times New Roman"/>
          <w:i/>
          <w:iCs/>
        </w:rPr>
        <w:t>Saccharum</w:t>
      </w:r>
      <w:r w:rsidRPr="00F61AFC">
        <w:rPr>
          <w:rFonts w:ascii="Times New Roman" w:hAnsi="Times New Roman" w:cs="Times New Roman"/>
        </w:rPr>
        <w:t xml:space="preserve"> hybrids) is </w:t>
      </w:r>
      <w:r w:rsidR="00EB23FE">
        <w:rPr>
          <w:rFonts w:ascii="Times New Roman" w:hAnsi="Times New Roman" w:cs="Times New Roman"/>
        </w:rPr>
        <w:t xml:space="preserve">widely recognized as a </w:t>
      </w:r>
      <w:r w:rsidR="00DA174A">
        <w:rPr>
          <w:rFonts w:ascii="Times New Roman" w:hAnsi="Times New Roman" w:cs="Times New Roman"/>
        </w:rPr>
        <w:t>C4 plant,</w:t>
      </w:r>
      <w:r w:rsidRPr="00F61AFC">
        <w:rPr>
          <w:rFonts w:ascii="Times New Roman" w:hAnsi="Times New Roman" w:cs="Times New Roman"/>
        </w:rPr>
        <w:t xml:space="preserve"> known for its high capacity to accumulate sucrose</w:t>
      </w:r>
      <w:r w:rsidR="00DA174A">
        <w:rPr>
          <w:rFonts w:ascii="Times New Roman" w:hAnsi="Times New Roman" w:cs="Times New Roman"/>
        </w:rPr>
        <w:t>,</w:t>
      </w:r>
      <w:r w:rsidRPr="00F61AFC">
        <w:rPr>
          <w:rFonts w:ascii="Times New Roman" w:hAnsi="Times New Roman" w:cs="Times New Roman"/>
        </w:rPr>
        <w:t xml:space="preserve"> and </w:t>
      </w:r>
      <w:r w:rsidR="009003D7">
        <w:rPr>
          <w:rFonts w:ascii="Times New Roman" w:hAnsi="Times New Roman" w:cs="Times New Roman"/>
        </w:rPr>
        <w:t xml:space="preserve">serves as a major </w:t>
      </w:r>
      <w:r w:rsidR="00DA174A">
        <w:rPr>
          <w:rFonts w:ascii="Times New Roman" w:hAnsi="Times New Roman" w:cs="Times New Roman"/>
        </w:rPr>
        <w:t>feedstock</w:t>
      </w:r>
      <w:r w:rsidRPr="00F61AFC">
        <w:rPr>
          <w:rFonts w:ascii="Times New Roman" w:hAnsi="Times New Roman" w:cs="Times New Roman"/>
        </w:rPr>
        <w:t xml:space="preserve"> for the production of sugar (80%), bioethanol (40%), bioenergy, and various derivative products </w:t>
      </w:r>
      <w:r w:rsidRPr="00F61AFC">
        <w:rPr>
          <w:rFonts w:ascii="Times New Roman" w:hAnsi="Times New Roman" w:cs="Times New Roman"/>
        </w:rPr>
        <w:fldChar w:fldCharType="begin" w:fldLock="1"/>
      </w:r>
      <w:r w:rsidRPr="00F61AFC">
        <w:rPr>
          <w:rFonts w:ascii="Times New Roman" w:hAnsi="Times New Roman" w:cs="Times New Roman"/>
        </w:rPr>
        <w:instrText>ADDIN CSL_CITATION {"citationItems":[{"id":"ITEM-1","itemData":{"DOI":"10.3390/agronomy15112638","ISSN":"20734395","abstract":"Understanding the genetic diversity and population structure of sugarcane germplasm banks is essential for generating progenies with maximum variability. In this study, 350 accessions from the EEAOC germplasm bank were genotyped using DArT-seq markers. Genetic diversity, population structure, and variability were assessed through Bayesian analysis, principal coordinate analysis (PCoA), and analysis of molecular variance (AMOVA). Additionally, different sizes of core collections were evaluated. After filtering, 74,969 high-quality SNPs were retained, and two outlier genotypes were excluded. The mean observed heterozygosity (HO) was 0.28, while the mean expected heterozygosity (HE) was 0.3. Polymorphic information content (PIC) values ranged from 0 to 0.38 (mean 0.22), and the mean discrimination power (Dj) was 0.28. Structure and PCoA analyses consistently revealed three genetic clusters. AMOVA indicated that most of the genetic variation was found within subpopulations, while 10.25% was attributable to differences among them (p &lt; 0.0001), where ΦFST suggested moderate genetic differentiation. Core collection analysis showed that a subset of 35 genotypes (10%) captured nearly 96% of the total genetic diversity, while a 30% core captured over 98%. These results provide valuable information for the effective management and utilization of sugarcane genetic resources and support the design of breeding strategies to develop superior cultivars.","author":[{"dropping-particle":"","family":"Perera","given":"Maria Francisca","non-dropping-particle":"","parse-names":false,"suffix":""},{"dropping-particle":"","family":"Peña Malavera","given":"Andrea Natalia","non-dropping-particle":"","parse-names":false,"suffix":""},{"dropping-particle":"","family":"Henriquez","given":"Diego Daniel","non-dropping-particle":"","parse-names":false,"suffix":""},{"dropping-particle":"","family":"Noguera","given":"Aldo Sergio","non-dropping-particle":"","parse-names":false,"suffix":""},{"dropping-particle":"","family":"Racedo","given":"Josefina","non-dropping-particle":"","parse-names":false,"suffix":""},{"dropping-particle":"","family":"Ostengo","given":"Santiago","non-dropping-particle":"","parse-names":false,"suffix":""}],"container-title":"Agronomy","id":"ITEM-1","issue":"11","issued":{"date-parts":[["2025","11","1"]]},"publisher":"Multidisciplinary Digital Publishing Institute (MDPI)","title":"Sugarcane Genetic Diversity Study of Germplasm Bank and Assessment of a Core Collection †","type":"article-journal","volume":"15"},"uris":["http://www.mendeley.com/documents/?uuid=d78ae93f-7e9f-33a2-8724-75ced18636b7"]},{"id":"ITEM-2","itemData":{"DOI":"10.3390/ijms26083490","ISSN":"14220067","PMID":"40331937","abstract":"Sugarcane (Saccharum spp.) hybrid, one of the most important crops in Florida, has been affected by orange rust (OR) disease caused by Puccinia kuehnii since 2007, resulting in significant yield loss. Developing resistant cultivars to this disease has become an important goal in sugarcane breeding programs. However, the specific genes and molecular mechanisms underlying the resistance to OR disease in sugarcane are still not clear. In this study, we selected two sugarcane sister lines with different genotypes—showing contrasting resistance responses to the disease—from a major quantitative trait loci (QTL) region controlling OR disease resistance. Morphological and anatomical observations revealed that the resistant line (540) had significantly smaller stomatal size and lower stomatal density than the susceptible line (664). Transcriptomic analyses showed that resistant line 540 had increased cell surface modification activity, suggesting possible increased surface receptors. Differentially expressed gene and coexpression analyses also revealed key genes involved in the biosynthesis of anti-fungal molecules, such as hordatines, arabidopyrones, and alkaloids. They also showed a strong increase in long non-coding RNA expression, playing a role in transcriptional regulation. Transcriptomic–metabolomic joint analysis suggested that the biosynthesis of phenylpropanoid derivatives with purported antioxidant and anti-fungal capabilities increased in line 540, especially those deriving from ferulate. Genes, pathways, and some single-nucleotide polymorphisms identified in this study will provide fundamental information and resources to advance the knowledge of sugarcane molecular genetic mechanisms in relation to OR disease, supporting breeding programs in developing cultivars with improved resistance to OR.","author":[{"dropping-particle":"","family":"Zhou","given":"Yupeng","non-dropping-particle":"","parse-names":false,"suffix":""},{"dropping-particle":"","family":"Mihail","given":"Edvin Sebastian","non-dropping-particle":"","parse-names":false,"suffix":""},{"dropping-particle":"","family":"Luo","given":"Ziliang","non-dropping-particle":"","parse-names":false,"suffix":""},{"dropping-particle":"","family":"Sood","given":"Sushma","non-dropping-particle":"","parse-names":false,"suffix":""},{"dropping-particle":"","family":"Islam","given":"Md Sariful","non-dropping-particle":"","parse-names":false,"suffix":""},{"dropping-particle":"","family":"Wang","given":"Jianping","non-dropping-particle":"","parse-names":false,"suffix":""}],"container-title":"International Journal of Molecular Sciences","id":"ITEM-2","issue":"8","issued":{"date-parts":[["2025","4","1"]]},"publisher":"Multidisciplinary Digital Publishing Institute (MDPI)","title":"Exploring Morphological, Transcriptomic, and Metabolomic Differences Between Two Sister Lines with Contrasting Resistance to Orange Rust Disease in Sugarcane","type":"article-journal","volume":"26"},"uris":["http://www.mendeley.com/documents/?uuid=dd8a90cf-588f-3295-9e21-b83650034be6"]},{"id":"ITEM-3","itemData":{"DOI":"10.3389/fpls.2024.1413108","ISSN":"1664462X","abstract":"Sugarcane, a significant cash crop in tropical and subtropical regions, contributes to 80% of sugar production and 40% of bioethanol production in the world. It is a key sugar crop, accounting for 85% of sugar production in China. Developing new varieties with high yield, high sugar, and better stress resistance is crucial for the sustainable growth of sugar industry. Hybrid breeding is the most widely used and effective method, with over 98% of Chinese sugarcane varieties resulting from this approach. Over the past two decades, Chinese breeders have developed the theory of high-heterogeneous composite high-sugar breeding, leading to the successful breeding of the fifth-generation sugarcane varieties. Among them, YZ08–1609, a complex hybrid of Saccharum spp., was developed by Sugarcane Research Institute (YSRI) of Yunnan Academy of Agricultural Sciences. The average cane yield of YZ08–1609 was 14.4% higher than ROC22. It is highly resistant to mosaic disease, and highly tolerant to drought stress, but moderately susceptible to smut disease. Notably, YZ08–1609 stands out with a sucrose content of 20.3%, setting an international record, earning the reputation as “King of Sugar”. To summarize experience and inspire breeding, we provided here the detailed insights into the selection of parents, breeding process, and characteristics of YZ08–1609. Besides, the biological mechanisms underlying its high yield and high sugar was excavated at both transcriptional and metabolic levels. The challenges and prospects in breeding sugarcane varieties especially with high sugar were also discussed, offering a foundation for the future development of high-sugar varieties.","author":[{"dropping-particle":"","family":"Wu","given":"Qibin","non-dropping-particle":"","parse-names":false,"suffix":""},{"dropping-particle":"","family":"Li","given":"Aomei","non-dropping-particle":"","parse-names":false,"suffix":""},{"dropping-particle":"","family":"Zhao","given":"Peifang","non-dropping-particle":"","parse-names":false,"suffix":""},{"dropping-particle":"","family":"Xia","given":"Hongming","non-dropping-particle":"","parse-names":false,"suffix":""},{"dropping-particle":"","family":"Zhang","given":"Yuebin","non-dropping-particle":"","parse-names":false,"suffix":""},{"dropping-particle":"","family":"Que","given":"Youxiong","non-dropping-particle":"","parse-names":false,"suffix":""}],"container-title":"Frontiers in Plant Science","id":"ITEM-3","issued":{"date-parts":[["2024"]]},"publisher":"Frontiers Media SA","title":"Theory to practice: a success in breeding sugarcane variety YZ08–1609 known as the King of Sugar","type":"article-journal","volume":"15"},"uris":["http://www.mendeley.com/documents/?uuid=6faaacb8-2df8-3952-a0f1-cee3f84772e7"]},{"id":"ITEM-4","itemData":{"DOI":"10.1016/j.heliyon.2023.e15520","ISSN":"24058440","abstract":"The improvement of sugarcane productivity depends on the crop varieties, growth environments, and management practices. In particular, the selection of the most productive variety and the use of an optimal fertilizer rate and plant bioregulator are critical for increasing sugarcane productivity and sugar yield. This study aimed to determine the high-performing sugarcane variety, optimal nitrogen rate, and potential bioregulator for improved sugarcane production, juice quality, and sugar yield. Two sugarcane varieties (D42/58 and NCo-334), three nitrogen (N) fertilizer rates (0, 100, and 150 kg/ha), and two bioregulators (Agrostemin and Crops®) were used for the study. The study revealed that sugarcane variety had a significant effect on all growth, yield, and quality parameters. Plant height was significantly influenced by variety and bioregulators, while stalk population was significantly influenced by two- and three-way interactions of varieties, bioregulators, and N fertilizer rates. Cane weight was significantly affected by variety, N fertilizer rate, and bioregulators, whereas cane yield was significantly affected by variety, N fertilizer, and their interaction effects. Sugar yield was similarly influenced by variety, bioregulator, and their interaction. The three main factors, as well as their two- and three-way interactions, had a considerable influence on cane quality parameters. Sugarcane variety D42/58 significantly outperformed variety NCo-334 in terms of sprouting, number of tillers, plant height, number of millable canes, and sucrose percentage by 7.49%, 9.50%, 12.80%, 10.50%, and 9.10%, respectively. The use of the D42/58 variety with N fertilizer (at 100 kg/ha) and/or the Agrostemin bioregulator also led to higher performance in cane population (107126), cane yield (153.34 tons/ha), Pol % (15.81%), and sugar yield (10.25 tons/ha). Most sugarcane growth, yield, juice quality, and sugar yield parameters were positively correlated; hence, high-performing varieties, appropriate N rates, and plant bioregulators could boost sugarcane productivity and sugar yield. Overall, the selection and combination of sugarcane variety D42/58 with 100 kg N/ha and/or Agrostemin bioregulator could maximize sugarcane production, juice quality, and sugar yield. To confirm the current findings, however, more research needs to be conducted across different agroecologies and seasons.","author":[{"dropping-particle":"","family":"Desalegn","given":"Belete","non-dropping-particle":"","parse-names":false,"suffix":""},{"dropping-particle":"","family":"Kebede","given":"Erana","non-dropping-particle":"","parse-names":false,"suffix":""},{"dropping-particle":"","family":"Legesse","given":"Hirpa","non-dropping-particle":"","parse-names":false,"suffix":""},{"dropping-particle":"","family":"Fite","given":"Tarekegn","non-dropping-particle":"","parse-names":false,"suffix":""}],"container-title":"Heliyon","id":"ITEM-4","issue":"4","issued":{"date-parts":[["2023","4","1"]]},"publisher":"Elsevier Ltd","title":"Sugarcane productivity and sugar yield improvement: Selecting variety, nitrogen fertilizer rate, and bioregulator as a first-line treatment","type":"article-journal","volume":"9"},"uris":["http://www.mendeley.com/documents/?uuid=795b7b52-8fb3-36ab-86b2-f82ae17e4794"]}],"mendeley":{"formattedCitation":"(Desalegn et al., 2023; Perera et al., 2025; Wu et al., 2024; Zhou et al., 2025)","plainTextFormattedCitation":"(Desalegn et al., 2023; Perera et al., 2025; Wu et al., 2024; Zhou et al., 2025)","previouslyFormattedCitation":"[1–4]"},"properties":{"noteIndex":0},"schema":"https://github.com/citation-style-language/schema/raw/master/csl-citation.json"}</w:instrText>
      </w:r>
      <w:r w:rsidRPr="00F61AFC">
        <w:rPr>
          <w:rFonts w:ascii="Times New Roman" w:hAnsi="Times New Roman" w:cs="Times New Roman"/>
        </w:rPr>
        <w:fldChar w:fldCharType="separate"/>
      </w:r>
      <w:r w:rsidRPr="00F61AFC">
        <w:rPr>
          <w:rFonts w:ascii="Times New Roman" w:hAnsi="Times New Roman" w:cs="Times New Roman"/>
          <w:noProof/>
        </w:rPr>
        <w:t>(Desalegn et al., 2023; Perera et al., 2025; Wu et al., 2024; Zhou et al., 2025)</w:t>
      </w:r>
      <w:r w:rsidRPr="00F61AFC">
        <w:rPr>
          <w:rFonts w:ascii="Times New Roman" w:hAnsi="Times New Roman" w:cs="Times New Roman"/>
        </w:rPr>
        <w:fldChar w:fldCharType="end"/>
      </w:r>
      <w:r w:rsidRPr="00F61AFC">
        <w:rPr>
          <w:rFonts w:ascii="Times New Roman" w:hAnsi="Times New Roman" w:cs="Times New Roman"/>
        </w:rPr>
        <w:t>. Th</w:t>
      </w:r>
      <w:r w:rsidR="00EB23FE">
        <w:rPr>
          <w:rFonts w:ascii="Times New Roman" w:hAnsi="Times New Roman" w:cs="Times New Roman"/>
        </w:rPr>
        <w:t>is</w:t>
      </w:r>
      <w:r w:rsidRPr="00F61AFC">
        <w:rPr>
          <w:rFonts w:ascii="Times New Roman" w:hAnsi="Times New Roman" w:cs="Times New Roman"/>
        </w:rPr>
        <w:t xml:space="preserve"> high biomass accumulation and sucrose yield are</w:t>
      </w:r>
      <w:r w:rsidR="00DA174A">
        <w:rPr>
          <w:rFonts w:ascii="Times New Roman" w:hAnsi="Times New Roman" w:cs="Times New Roman"/>
        </w:rPr>
        <w:t xml:space="preserve"> primarily</w:t>
      </w:r>
      <w:r w:rsidRPr="00F61AFC">
        <w:rPr>
          <w:rFonts w:ascii="Times New Roman" w:hAnsi="Times New Roman" w:cs="Times New Roman"/>
        </w:rPr>
        <w:t xml:space="preserve"> driven by efficient photosynthesis, a process that converts light energy to su</w:t>
      </w:r>
      <w:r w:rsidR="00EB23FE">
        <w:rPr>
          <w:rFonts w:ascii="Times New Roman" w:hAnsi="Times New Roman" w:cs="Times New Roman"/>
        </w:rPr>
        <w:t>stain</w:t>
      </w:r>
      <w:r w:rsidRPr="00F61AFC">
        <w:rPr>
          <w:rFonts w:ascii="Times New Roman" w:hAnsi="Times New Roman" w:cs="Times New Roman"/>
        </w:rPr>
        <w:t xml:space="preserve"> </w:t>
      </w:r>
      <w:r w:rsidR="00F61AFC" w:rsidRPr="00F61AFC">
        <w:rPr>
          <w:rFonts w:ascii="Times New Roman" w:hAnsi="Times New Roman" w:cs="Times New Roman"/>
        </w:rPr>
        <w:t xml:space="preserve">plant growth and sugar synthesis </w:t>
      </w:r>
      <w:r w:rsidR="00F61AFC" w:rsidRPr="00F61AFC">
        <w:rPr>
          <w:rFonts w:ascii="Times New Roman" w:hAnsi="Times New Roman" w:cs="Times New Roman"/>
        </w:rPr>
        <w:fldChar w:fldCharType="begin" w:fldLock="1"/>
      </w:r>
      <w:r w:rsidR="00F61AFC" w:rsidRPr="00F61AFC">
        <w:rPr>
          <w:rFonts w:ascii="Times New Roman" w:hAnsi="Times New Roman" w:cs="Times New Roman"/>
        </w:rPr>
        <w:instrText>ADDIN CSL_CITATION {"citationItems":[{"id":"ITEM-1","itemData":{"DOI":"10.3390/plants14060978","ISSN":"22237747","abstract":"Chloroplasts are important in plant growth, development, and defense mechanisms, making them central to addressing global agricultural challenges. This review explores the multi-faceted contributions of chloroplasts, including photosynthesis, hormone biosynthesis, and stress signaling, which orchestrate the trade-off between growth and defense. Advancements in chloroplast genomics, transcription, translation, and proteomics have deepened our understanding of their regulatory functions and interactions with nuclear-encoded proteins. Case studies have demonstrated the potential of chloroplast-targeted strategies, such as the expression of elongation factor EF-2 for heat tolerance and flavodiiron proteins for drought resilience, to enhance crop productivity and stress adaptation. Future research directions should focus on the need for integrating omics data with nanotechnology and synthetic biology to develop sustainable and resilient agricultural systems. This review uniquely integrates recent advancements in chloroplast genomics, transcriptional regulation, and synthetic biology to present a holistic perspective on optimizing plant growth and stress tolerance. We emphasize the role of chloroplast-driven trade-off in balancing growth and immunity, leveraging omics technologies and emerging biotechnological innovations. This comprehensive approach offers new insights into sustainable agricultural practices, making it a significant contribution to the field.","author":[{"dropping-particle":"","family":"Zhang","given":"Chunhua","non-dropping-particle":"","parse-names":false,"suffix":""},{"dropping-particle":"","family":"Li","given":"Wenting","non-dropping-particle":"","parse-names":false,"suffix":""},{"dropping-particle":"","family":"Wu","given":"Yahan","non-dropping-particle":"","parse-names":false,"suffix":""},{"dropping-particle":"","family":"Li","given":"Shengli","non-dropping-particle":"","parse-names":false,"suffix":""},{"dropping-particle":"","family":"Hua","given":"Bao","non-dropping-particle":"","parse-names":false,"suffix":""},{"dropping-particle":"","family":"Sun","given":"Haizhou","non-dropping-particle":"","parse-names":false,"suffix":""}],"container-title":"Plants","id":"ITEM-1","issue":"6","issued":{"date-parts":[["2025","3","1"]]},"number-of-pages":"1","publisher":"Multidisciplinary Digital Publishing Institute (MDPI)","title":"Chloroplast Functionality at the Interface of Growth, Defense, and Genetic Innovation: A Multi-Omics and Technological Perspective","type":"report","volume":"14"},"uris":["http://www.mendeley.com/documents/?uuid=5fa1d7e9-7cee-326a-b01f-cab2aaab341e"]},{"id":"ITEM-2","itemData":{"DOI":"10.3390/agronomy13122957","ISSN":"20734395","abstract":"Sugarcane (Saccharum spp. hybrid) is the chief source of sugar and biofuel globally and is prominent among cash crops. Sucrose is the main required product in sugarcane, and many studies have been performed to understand the phenomena of sucrose synthesis, metabolism, and accumulation in sugarcane. However, none of the studies concluded that a single gene is responsible for the sucrose content. Instead, a complex mechanism consisting of several genes, such as sucrose phosphate synthase genes (SPS1, SPS2, SPS4, SPS5), sucrose synthase genes (SuSy1, SuSy2, SuSy4), invertase genes (INV, CWIN, NIN1, CINV2), and phytohormone, trehalose, transcription factor (TF), protein kinase, and sugar transporter genes are working spatiotemporally in sugarcane. Currently, omics approaches like transcriptomics, proteomics, and metabolomics are also being used to explore the sugar metabolism in sugarcane, but integrated transcriptomic, proteomic, and metabolomic studies have been less reported. The results obtained from the integrated analysis of transcriptomics, proteomics, and metabolomics are more reliable because the strong gene expression, received in the form of abundant mRNA, does not guarantee the plentiful existence of associated proteins or their particular activity in the target cells or tissues, which discloses the restraint of single interpretation and stresses the significance of the integrated analysis of transcriptomics, proteomics, and metabolomics. This review highlights different genes and molecules contributing to sugar metabolism at different stages and the significance of omics approaches in explaining sucrose metabolism, especially sucrose accumulation in sugarcane. It is also a vital source of knowledge for sugarcane breeders, particularly associated with sucrose content improvement and bioethanol energy production.","author":[{"dropping-particle":"","family":"Khan","given":"Qaisar","non-dropping-particle":"","parse-names":false,"suffix":""},{"dropping-particle":"","family":"Qin","given":"Ying","non-dropping-particle":"","parse-names":false,"suffix":""},{"dropping-particle":"","family":"Guo","given":"Dao Jun","non-dropping-particle":"","parse-names":false,"suffix":""},{"dropping-particle":"","family":"Yang","given":"Li Tao","non-dropping-particle":"","parse-names":false,"suffix":""},{"dropping-particle":"","family":"Song","given":"Xiu Peng","non-dropping-particle":"","parse-names":false,"suffix":""},{"dropping-particle":"","family":"Xing","given":"Yong Xiu","non-dropping-particle":"","parse-names":false,"suffix":""},{"dropping-particle":"","family":"Li","given":"Yang Rui","non-dropping-particle":"","parse-names":false,"suffix":""}],"container-title":"Agronomy","id":"ITEM-2","issue":"12","issued":{"date-parts":[["2023","12","1"]]},"publisher":"Multidisciplinary Digital Publishing Institute (MDPI)","title":"A Review of the Diverse Genes and Molecules Involved in Sucrose Metabolism and Innovative Approaches to Improve Sucrose Content in Sugarcane","type":"article-journal","volume":"13"},"uris":["http://www.mendeley.com/documents/?uuid=a4a683f6-3d1c-34de-84ba-2aa12064c6b4"]},{"id":"ITEM-3","itemData":{"DOI":"10.1093/plcell/koae132","ISSN":"1532298X","PMID":"38701340","abstract":"Improving photosynthesis, the fundamental process by which plants convert light energy into chemical energy, is a key area of research with great potential for enhancing sustainable agricultural productivity and addressing global food security challenges. This perspective delves into the latest advancements and approaches aimed at optimizing photosynthetic efficiency. Our discussion encompasses the entire process, beginning with light harvesting and its regulation and progressing through the bottleneck of electron transfer. We then delve into the carbon reactions of photosynthesis, focusing on strategies targeting the enzymes of the Calvin–Benson–Bassham (CBB) cycle. Additionally, we explore methods to increase carbon dioxide (CO2) concentration near the Rubisco, the enzyme responsible for the first step of CBB cycle, drawing inspiration from various photosynthetic organisms, and conclude this section by examining ways to enhance CO2 delivery into leaves. Moving beyond individual processes, we discuss two approaches to identifying key targets for photosynthesis improvement: systems modeling and the study of natural variation. Finally, we revisit some of the strategies mentioned above to provide a holistic view of the improvements, analyzing their impact on nitrogen use efficiency and on canopy photosynthesis.","author":[{"dropping-particle":"","family":"Croce","given":"Roberta","non-dropping-particle":"","parse-names":false,"suffix":""},{"dropping-particle":"","family":"Carmo-Silva","given":"Elizabete","non-dropping-particle":"","parse-names":false,"suffix":""},{"dropping-particle":"","family":"Cho","given":"Young B.","non-dropping-particle":"","parse-names":false,"suffix":""},{"dropping-particle":"","family":"Ermakova","given":"Maria","non-dropping-particle":"","parse-names":false,"suffix":""},{"dropping-particle":"","family":"Harbinson","given":"Jeremy","non-dropping-particle":"","parse-names":false,"suffix":""},{"dropping-particle":"","family":"Lawson","given":"Tracy","non-dropping-particle":"","parse-names":false,"suffix":""},{"dropping-particle":"","family":"McCormick","given":"Alistair J.","non-dropping-particle":"","parse-names":false,"suffix":""},{"dropping-particle":"","family":"Niyogi","given":"Krishna K.","non-dropping-particle":"","parse-names":false,"suffix":""},{"dropping-particle":"","family":"Ort","given":"Donald R.","non-dropping-particle":"","parse-names":false,"suffix":""},{"dropping-particle":"","family":"Patel-Tupper","given":"Dhruv","non-dropping-particle":"","parse-names":false,"suffix":""},{"dropping-particle":"","family":"Pesaresi","given":"Paolo","non-dropping-particle":"","parse-names":false,"suffix":""},{"dropping-particle":"","family":"Raines","given":"Christine","non-dropping-particle":"","parse-names":false,"suffix":""},{"dropping-particle":"","family":"Weber","given":"Andreas P.M.","non-dropping-particle":"","parse-names":false,"suffix":""},{"dropping-particle":"","family":"Zhu","given":"Xin Guang","non-dropping-particle":"","parse-names":false,"suffix":""}],"container-title":"Plant Cell","id":"ITEM-3","issue":"10","issued":{"date-parts":[["2024","10","1"]]},"page":"3944-3973","publisher":"American Society of Plant Biologists","title":"Perspectives on improving photosynthesis to increase crop yield","type":"article","volume":"36"},"uris":["http://www.mendeley.com/documents/?uuid=d2af800e-e92c-3064-9db8-be4bfd04f152"]}],"mendeley":{"formattedCitation":"(Croce et al., 2024; Khan et al., 2023; Zhang et al., 2025)","plainTextFormattedCitation":"(Croce et al., 2024; Khan et al., 2023; Zhang et al., 2025)","previouslyFormattedCitation":"[5–7]"},"properties":{"noteIndex":0},"schema":"https://github.com/citation-style-language/schema/raw/master/csl-citation.json"}</w:instrText>
      </w:r>
      <w:r w:rsidR="00F61AFC" w:rsidRPr="00F61AFC">
        <w:rPr>
          <w:rFonts w:ascii="Times New Roman" w:hAnsi="Times New Roman" w:cs="Times New Roman"/>
        </w:rPr>
        <w:fldChar w:fldCharType="separate"/>
      </w:r>
      <w:r w:rsidR="00F61AFC" w:rsidRPr="00F61AFC">
        <w:rPr>
          <w:rFonts w:ascii="Times New Roman" w:hAnsi="Times New Roman" w:cs="Times New Roman"/>
          <w:noProof/>
        </w:rPr>
        <w:t>(Croce et al., 2024; Khan et al., 2023; Zhang et al., 2025)</w:t>
      </w:r>
      <w:r w:rsidR="00F61AFC" w:rsidRPr="00F61AFC">
        <w:rPr>
          <w:rFonts w:ascii="Times New Roman" w:hAnsi="Times New Roman" w:cs="Times New Roman"/>
        </w:rPr>
        <w:fldChar w:fldCharType="end"/>
      </w:r>
      <w:r w:rsidR="00F61AFC" w:rsidRPr="00F61AFC">
        <w:rPr>
          <w:rFonts w:ascii="Times New Roman" w:hAnsi="Times New Roman" w:cs="Times New Roman"/>
        </w:rPr>
        <w:t xml:space="preserve">. </w:t>
      </w:r>
      <w:r w:rsidR="00F61AFC">
        <w:rPr>
          <w:rFonts w:ascii="Times New Roman" w:hAnsi="Times New Roman" w:cs="Times New Roman"/>
        </w:rPr>
        <w:t xml:space="preserve">Chloroplasts, </w:t>
      </w:r>
      <w:r w:rsidR="00E00DC5">
        <w:rPr>
          <w:rFonts w:ascii="Times New Roman" w:hAnsi="Times New Roman" w:cs="Times New Roman"/>
        </w:rPr>
        <w:t xml:space="preserve">as </w:t>
      </w:r>
      <w:r w:rsidR="00F61AFC">
        <w:rPr>
          <w:rFonts w:ascii="Times New Roman" w:hAnsi="Times New Roman" w:cs="Times New Roman"/>
        </w:rPr>
        <w:t xml:space="preserve">the </w:t>
      </w:r>
      <w:r w:rsidR="00E00DC5">
        <w:rPr>
          <w:rFonts w:ascii="Times New Roman" w:hAnsi="Times New Roman" w:cs="Times New Roman"/>
        </w:rPr>
        <w:t>central</w:t>
      </w:r>
      <w:r w:rsidR="00F61AFC">
        <w:rPr>
          <w:rFonts w:ascii="Times New Roman" w:hAnsi="Times New Roman" w:cs="Times New Roman"/>
        </w:rPr>
        <w:t xml:space="preserve"> organelle</w:t>
      </w:r>
      <w:r w:rsidR="00E00DC5">
        <w:rPr>
          <w:rFonts w:ascii="Times New Roman" w:hAnsi="Times New Roman" w:cs="Times New Roman"/>
        </w:rPr>
        <w:t xml:space="preserve"> of this process,</w:t>
      </w:r>
      <w:r w:rsidR="00E00DC5" w:rsidRPr="00E00DC5">
        <w:t xml:space="preserve"> </w:t>
      </w:r>
      <w:r w:rsidR="00E00DC5" w:rsidRPr="00E00DC5">
        <w:rPr>
          <w:rFonts w:ascii="Times New Roman" w:hAnsi="Times New Roman" w:cs="Times New Roman"/>
        </w:rPr>
        <w:t>not only regulate photosynthesis but also participate in a range of essential metabolic pathways</w:t>
      </w:r>
      <w:r w:rsidR="008D54BA">
        <w:rPr>
          <w:rFonts w:ascii="Times New Roman" w:hAnsi="Times New Roman" w:cs="Times New Roman"/>
        </w:rPr>
        <w:t xml:space="preserve"> </w:t>
      </w:r>
      <w:r w:rsidR="008D54BA" w:rsidRPr="00C458B3">
        <w:rPr>
          <w:rFonts w:ascii="Times New Roman" w:hAnsi="Times New Roman" w:cs="Times New Roman"/>
        </w:rPr>
        <w:fldChar w:fldCharType="begin" w:fldLock="1"/>
      </w:r>
      <w:r w:rsidR="008D54BA">
        <w:rPr>
          <w:rFonts w:ascii="Times New Roman" w:hAnsi="Times New Roman" w:cs="Times New Roman"/>
        </w:rPr>
        <w:instrText>ADDIN CSL_CITATION {"citationItems":[{"id":"ITEM-1","itemData":{"DOI":"10.1016/j.jgg.2023.02.010","ISSN":"18735533","PMID":"36863685","abstract":"Chloroplasts are unique organelles that not only provide sites for photosynthesis and many metabolic processes, but also are sensitive to various environmental stresses. Chloroplast proteins are encoded by genes from both nuclear and chloroplast genomes. During chloroplast development and responses to stresses, the robust protein quality control systems are essential for regulation of protein homeostasis and the integrity of chloroplast proteome. In this review, we summarize the regulatory mechanisms of chloroplast protein degradation refer to protease system, ubiquitin-proteasome system, and the chloroplast autophagy. These mechanisms symbiotically play a vital role in chloroplast development and photosynthesis under both normal or stress conditions.","author":[{"dropping-particle":"","family":"Sun","given":"Yang","non-dropping-particle":"","parse-names":false,"suffix":""},{"dropping-particle":"","family":"Li","given":"Jialong","non-dropping-particle":"","parse-names":false,"suffix":""},{"dropping-particle":"","family":"Zhang","given":"Lixin","non-dropping-particle":"","parse-names":false,"suffix":""},{"dropping-particle":"","family":"Lin","given":"Rongcheng","non-dropping-particle":"","parse-names":false,"suffix":""}],"container-title":"Journal of Genetics and Genomics","id":"ITEM-1","issue":"6","issued":{"date-parts":[["2023","6","1"]]},"page":"375-384","publisher":"Institute of Genetics and Developmental Biology","title":"Regulation of chloroplast protein degradation","type":"article","volume":"50"},"uris":["http://www.mendeley.com/documents/?uuid=74451a86-523b-3ef2-ba12-5b2128555c14"]},{"id":"ITEM-2","itemData":{"DOI":"10.3390/plants14060978","ISSN":"22237747","abstract":"Chloroplasts are important in plant growth, development, and defense mechanisms, making them central to addressing global agricultural challenges. This review explores the multi-faceted contributions of chloroplasts, including photosynthesis, hormone biosynthesis, and stress signaling, which orchestrate the trade-off between growth and defense. Advancements in chloroplast genomics, transcription, translation, and proteomics have deepened our understanding of their regulatory functions and interactions with nuclear-encoded proteins. Case studies have demonstrated the potential of chloroplast-targeted strategies, such as the expression of elongation factor EF-2 for heat tolerance and flavodiiron proteins for drought resilience, to enhance crop productivity and stress adaptation. Future research directions should focus on the need for integrating omics data with nanotechnology and synthetic biology to develop sustainable and resilient agricultural systems. This review uniquely integrates recent advancements in chloroplast genomics, transcriptional regulation, and synthetic biology to present a holistic perspective on optimizing plant growth and stress tolerance. We emphasize the role of chloroplast-driven trade-off in balancing growth and immunity, leveraging omics technologies and emerging biotechnological innovations. This comprehensive approach offers new insights into sustainable agricultural practices, making it a significant contribution to the field.","author":[{"dropping-particle":"","family":"Zhang","given":"Chunhua","non-dropping-particle":"","parse-names":false,"suffix":""},{"dropping-particle":"","family":"Li","given":"Wenting","non-dropping-particle":"","parse-names":false,"suffix":""},{"dropping-particle":"","family":"Wu","given":"Yahan","non-dropping-particle":"","parse-names":false,"suffix":""},{"dropping-particle":"","family":"Li","given":"Shengli","non-dropping-particle":"","parse-names":false,"suffix":""},{"dropping-particle":"","family":"Hua","given":"Bao","non-dropping-particle":"","parse-names":false,"suffix":""},{"dropping-particle":"","family":"Sun","given":"Haizhou","non-dropping-particle":"","parse-names":false,"suffix":""}],"container-title":"Plants","id":"ITEM-2","issue":"6","issued":{"date-parts":[["2025","3","1"]]},"number-of-pages":"1","publisher":"Multidisciplinary Digital Publishing Institute (MDPI)","title":"Chloroplast Functionality at the Interface of Growth, Defense, and Genetic Innovation: A Multi-Omics and Technological Perspective","type":"report","volume":"14"},"uris":["http://www.mendeley.com/documents/?uuid=5fa1d7e9-7cee-326a-b01f-cab2aaab341e"]}],"mendeley":{"formattedCitation":"(Sun et al., 2023; Zhang et al., 2025)","plainTextFormattedCitation":"(Sun et al., 2023; Zhang et al., 2025)","previouslyFormattedCitation":"[5, 8]"},"properties":{"noteIndex":0},"schema":"https://github.com/citation-style-language/schema/raw/master/csl-citation.json"}</w:instrText>
      </w:r>
      <w:r w:rsidR="008D54BA" w:rsidRPr="00C458B3">
        <w:rPr>
          <w:rFonts w:ascii="Times New Roman" w:hAnsi="Times New Roman" w:cs="Times New Roman"/>
        </w:rPr>
        <w:fldChar w:fldCharType="separate"/>
      </w:r>
      <w:r w:rsidR="008D54BA" w:rsidRPr="00A652DE">
        <w:rPr>
          <w:rFonts w:ascii="Times New Roman" w:hAnsi="Times New Roman" w:cs="Times New Roman"/>
          <w:noProof/>
        </w:rPr>
        <w:t>(Sun et al., 2023; Zhang et al., 2025)</w:t>
      </w:r>
      <w:r w:rsidR="008D54BA" w:rsidRPr="00C458B3">
        <w:rPr>
          <w:rFonts w:ascii="Times New Roman" w:hAnsi="Times New Roman" w:cs="Times New Roman"/>
        </w:rPr>
        <w:fldChar w:fldCharType="end"/>
      </w:r>
      <w:r w:rsidR="008D54BA">
        <w:rPr>
          <w:rFonts w:ascii="Times New Roman" w:hAnsi="Times New Roman" w:cs="Times New Roman"/>
        </w:rPr>
        <w:t xml:space="preserve">. The </w:t>
      </w:r>
      <w:r w:rsidR="007E3A22">
        <w:rPr>
          <w:rFonts w:ascii="Times New Roman" w:hAnsi="Times New Roman" w:cs="Times New Roman"/>
        </w:rPr>
        <w:t xml:space="preserve">sugarcane </w:t>
      </w:r>
      <w:r w:rsidR="008D54BA">
        <w:rPr>
          <w:rFonts w:ascii="Times New Roman" w:hAnsi="Times New Roman" w:cs="Times New Roman"/>
        </w:rPr>
        <w:t>chloroplast genome</w:t>
      </w:r>
      <w:r w:rsidR="00AA55AE">
        <w:rPr>
          <w:rFonts w:ascii="Times New Roman" w:hAnsi="Times New Roman" w:cs="Times New Roman"/>
        </w:rPr>
        <w:t xml:space="preserve"> </w:t>
      </w:r>
      <w:r w:rsidR="00DA174A">
        <w:rPr>
          <w:rFonts w:ascii="Times New Roman" w:hAnsi="Times New Roman" w:cs="Times New Roman"/>
        </w:rPr>
        <w:t xml:space="preserve">is </w:t>
      </w:r>
      <w:r w:rsidR="008043E8">
        <w:rPr>
          <w:rFonts w:ascii="Times New Roman" w:hAnsi="Times New Roman" w:cs="Times New Roman"/>
        </w:rPr>
        <w:t xml:space="preserve">roughly </w:t>
      </w:r>
      <w:r w:rsidR="00DA174A">
        <w:rPr>
          <w:rFonts w:ascii="Times New Roman" w:hAnsi="Times New Roman" w:cs="Times New Roman"/>
        </w:rPr>
        <w:t xml:space="preserve">~141 kb in size and exhibits a </w:t>
      </w:r>
      <w:r w:rsidR="00E00DC5">
        <w:rPr>
          <w:rFonts w:ascii="Times New Roman" w:hAnsi="Times New Roman" w:cs="Times New Roman"/>
        </w:rPr>
        <w:t>typical</w:t>
      </w:r>
      <w:r w:rsidR="00DA174A">
        <w:rPr>
          <w:rFonts w:ascii="Times New Roman" w:hAnsi="Times New Roman" w:cs="Times New Roman"/>
        </w:rPr>
        <w:t xml:space="preserve"> quadripartite structure</w:t>
      </w:r>
      <w:r w:rsidR="00E00DC5">
        <w:rPr>
          <w:rFonts w:ascii="Times New Roman" w:hAnsi="Times New Roman" w:cs="Times New Roman"/>
        </w:rPr>
        <w:t>,</w:t>
      </w:r>
      <w:r w:rsidR="00DA174A">
        <w:rPr>
          <w:rFonts w:ascii="Times New Roman" w:hAnsi="Times New Roman" w:cs="Times New Roman"/>
        </w:rPr>
        <w:t xml:space="preserve"> consisting of a large single copy (LSC) region, a small single copy (SSC) region, and two inverted repeat (</w:t>
      </w:r>
      <w:proofErr w:type="spellStart"/>
      <w:r w:rsidR="00DA174A">
        <w:rPr>
          <w:rFonts w:ascii="Times New Roman" w:hAnsi="Times New Roman" w:cs="Times New Roman"/>
        </w:rPr>
        <w:t>IRa</w:t>
      </w:r>
      <w:proofErr w:type="spellEnd"/>
      <w:r w:rsidR="00DA174A">
        <w:rPr>
          <w:rFonts w:ascii="Times New Roman" w:hAnsi="Times New Roman" w:cs="Times New Roman"/>
        </w:rPr>
        <w:t xml:space="preserve">/b) regions, </w:t>
      </w:r>
      <w:r w:rsidR="00E00DC5">
        <w:rPr>
          <w:rFonts w:ascii="Times New Roman" w:hAnsi="Times New Roman" w:cs="Times New Roman"/>
        </w:rPr>
        <w:t>harboring</w:t>
      </w:r>
      <w:r w:rsidR="00DA174A">
        <w:rPr>
          <w:rFonts w:ascii="Times New Roman" w:hAnsi="Times New Roman" w:cs="Times New Roman"/>
        </w:rPr>
        <w:t xml:space="preserve"> </w:t>
      </w:r>
      <w:r w:rsidR="009003D7">
        <w:rPr>
          <w:rFonts w:ascii="Times New Roman" w:hAnsi="Times New Roman" w:cs="Times New Roman"/>
        </w:rPr>
        <w:t>around</w:t>
      </w:r>
      <w:r w:rsidR="00DA174A">
        <w:rPr>
          <w:rFonts w:ascii="Times New Roman" w:hAnsi="Times New Roman" w:cs="Times New Roman"/>
        </w:rPr>
        <w:t xml:space="preserve"> 110-120 genes </w:t>
      </w:r>
      <w:r w:rsidR="00DA174A" w:rsidRPr="00C458B3">
        <w:rPr>
          <w:rFonts w:ascii="Times New Roman" w:hAnsi="Times New Roman" w:cs="Times New Roman"/>
        </w:rPr>
        <w:fldChar w:fldCharType="begin" w:fldLock="1"/>
      </w:r>
      <w:r w:rsidR="00DA174A">
        <w:rPr>
          <w:rFonts w:ascii="Times New Roman" w:hAnsi="Times New Roman" w:cs="Times New Roman"/>
        </w:rPr>
        <w:instrText>ADDIN CSL_CITATION {"citationItems":[{"id":"ITEM-1","itemData":{"DOI":"10.3390/plants13213006","ISSN":"22237747","abstract":"Sugarcane white leaf (SCWL) disease, caused by Candidatus Phytoplasma sacchari, poses a significant threat to sugarcane cultivation. An obligate parasite, phytoplasma is difficult to culture in laboratory conditions, making the isolation of its DNA from the massive amount of plant host DNA extremely challenging. Yet, the appropriate amount and quality of plant microbiome-derived DNA are key for high-quality DNA sequencing data. Here, a simple, cost-effective, alternative method for DNA isolation was applied using a guanidine-HCl-hydroxylated silica (GuHCl-Silica)-based method and microbiome DNA enrichment based on size-selective low-molecular-weight (LMW) DNA by PEG/NaCl precipitation. qPCR analysis revealed a significant enrichment of phytoplasma DNA in the LMW fraction. Additionally, the NEBNext Microbiome DNA enrichment kit was utilized to further enrich microbial DNA, demonstrating a remarkable increase in the relative abundance of phytoplasma DNA to host DNA. Shotgun sequencing of the isolated DNA gave high-quality data on the metagenome assembly genome (MAG) of Ca. Phytoplasma sacchari SCWL with completeness at 95.85 and 215× coverage. The results indicate that this combined approach of PEG/NaCl size selection and microbiome enrichment is effective for obtaining high-quality genomic data from phytoplasma, surpassing previous methods in efficiency and resource utilization. This low-cost method not only enhances the recovery of microbiome DNA from plant hosts but also provides a robust framework for studying plant pathogens in complex plant models.","author":[{"dropping-particle":"","family":"Lohmaneeratana","given":"Karan","non-dropping-particle":"","parse-names":false,"suffix":""},{"dropping-particle":"","family":"Gutiérrez","given":"Gabriel","non-dropping-particle":"","parse-names":false,"suffix":""},{"dropping-particle":"","family":"Thamchaipenet","given":"Arinthip","non-dropping-particle":"","parse-names":false,"suffix":""},{"dropping-particle":"","family":"Wellinger","given":"Ralf Erik","non-dropping-particle":"","parse-names":false,"suffix":""}],"container-title":"Plants","id":"ITEM-1","issue":"21","issued":{"date-parts":[["2024","11","1"]]},"publisher":"Multidisciplinary Digital Publishing Institute (MDPI)","title":"Phytoplasma DNA Enrichment from Sugarcane White Leaves for Shotgun Sequencing Improvement","type":"article-journal","volume":"13"},"uris":["http://www.mendeley.com/documents/?uuid=e0d60f72-fbf7-370e-bfc7-aab17ca2873b"]},{"id":"ITEM-2","itemData":{"DOI":"10.3390/ijms20153828","ISSN":"14220067","PMID":"31387284","abstract":"Polyploid Saccharum with complex genomes hindered the progress of sugarcane improvement, while their chloroplast genomes are much smaller and simpler. Chloroplast (cp), the vital organelle, is the site of plant photosynthesis, which also evolves other functions, such as tolerance to environmental stresses. In this study, the cp genome of two sugarcane ancestors Saccharum officinarum and S. spontaneum were sequenced, and genome comparative analysis between these two species was carried out, together with the photosynthetic ability. The length is 141,187 bp for S. officinarum and that is 7 bp longer than S. spontaneum, with the same GC content (38.44%) and annotated gene number (134), 13 with introns among them. There is a typical tetrad structure, including LSC, SSC, IRb and IRa. Of them, LSC and IRa/IRb are 18 bp longer and 6 bp shorter than those in S. spontaneum (83,047 bp and 22,795 bp), respectively, while the size of SSC is same (12,544 bp). Five genes exhibit contraction and expansion at the IR junctions, but only one gene ndhF with 29 bp expansion at the border of IRb/SSC. Nucleotide diversity (Pi) based on sliding window analysis showed that the single copy and noncoding regions were more divergent than IR-and coding regions, and the variant hotspots trnG-trnM, psbM-petN, trnR-rps14, ndhC-trnV and petA-psbJ in the LSC and trnL-ccsA in the SSC regions were detected, and petA-psbJ with the highest divergent value of 0.01500. Genetic distances of 65 protein genes vary from 0.00000 to 0.00288 between two species, and the selective pressure on them indicated that only petB was subjected to positive selection, while more genes including rpoC2, rps3, ccsA, ndhA, ndhA, psbI, atpH and psaC were subjected to purifying or very strong purifying selection. There are larger number of codons in S. spontaneum than that in S. officinarum, while both species have obvious codon preference and the codons with highest-(AUG) and lowest frequency (AUA) are same. Whilst, the most abundant amino acid is leucine in both S. officinarum and S. spontaneum, with number of 2175 (10.88% of total) and 2228 (10.90% of total) codons, respectively, and the lowest number is cysteine, with only 221 (1.105%) and 224 (1.096%), respectively. Protein collinearity analysis showed the high collinearity though several divergences were present in cp genomes, and identification of simple sequence repeats (SSRs) were included in this study. In addition, in order to compare cold tolerance and …","author":[{"dropping-particle":"","family":"Xu","given":"Fu","non-dropping-particle":"","parse-names":false,"suffix":""},{"dropping-particle":"","family":"He","given":"Lilian","non-dropping-particle":"","parse-names":false,"suffix":""},{"dropping-particle":"","family":"Gao","given":"Shiwu","non-dropping-particle":"","parse-names":false,"suffix":""},{"dropping-particle":"","family":"Su","given":"Yachun","non-dropping-particle":"","parse-names":false,"suffix":""},{"dropping-particle":"","family":"Li","given":"Fusheng","non-dropping-particle":"","parse-names":false,"suffix":""},{"dropping-particle":"","family":"Xu","given":"Liping","non-dropping-particle":"","parse-names":false,"suffix":""}],"container-title":"International Journal of Molecular Sciences","id":"ITEM-2","issue":"15","issued":{"date-parts":[["2019"]]},"publisher":"MDPI AG","title":"Comparative analysis of two sugarcane ancestors saccharum officinarum and S. spontaneum based on complete chloroplast genome sequences and photosynthetic ability in cold stress","type":"article-journal","volume":"20"},"uris":["http://www.mendeley.com/documents/?uuid=1ad93be2-0e1a-3118-8e35-5059681a2d1d"]},{"id":"ITEM-3","itemData":{"DOI":"10.1002/ppp3.70056","ISSN":"2572-2611","author":[{"dropping-particle":"","family":"Li","given":"Sicheng","non-dropping-particle":"","parse-names":false,"suffix":""},{"dropping-particle":"","family":"Wang","given":"Zhen","non-dropping-particle":"","parse-names":false,"suffix":""},{"dropping-particle":"","family":"Xu","given":"Chaohua","non-dropping-particle":"","parse-names":false,"suffix":""},{"dropping-particle":"","family":"Zhang","given":"Lijun","non-dropping-particle":"","parse-names":false,"suffix":""},{"dropping-particle":"","family":"Zhang","given":"Baoqing","non-dropping-particle":"","parse-names":false,"suffix":""},{"dropping-particle":"","family":"Huang","given":"Yuxin","non-dropping-particle":"","parse-names":false,"suffix":""},{"dropping-particle":"","family":"Lu","given":"Xin","non-dropping-particle":"","parse-names":false,"suffix":""},{"dropping-particle":"","family":"Duan","given":"Weixing","non-dropping-particle":"","parse-names":false,"suffix":""},{"dropping-particle":"","family":"Yang","given":"Xiping","non-dropping-particle":"","parse-names":false,"suffix":""}],"container-title":"PLANTS, PEOPLE, PLANET","id":"ITEM-3","issue":"6","issued":{"date-parts":[["2025","11","19"]]},"page":"1834-1844","title":"Chloroplast genome diversity and phylogenetic insights of &lt;scp&gt; &lt;i&gt;Saccharum spontaneum&lt;/i&gt; &lt;/scp&gt; across Southeast Asia","type":"article-journal","volume":"7"},"uris":["http://www.mendeley.com/documents/?uuid=858e2505-849a-3879-8422-7b1bc05dc111"]},{"id":"ITEM-4","itemData":{"DOI":"10.1080/14772000.2016.1197336","ISSN":"14780933","abstract":"Sugarcane (Saccharum hybrid cultivar) ranks among the world's top 10 food crops and annually provides 60–70% of the sugar produced worldwide. Despite its economic importance there has been no large-scale systematics study of genus Saccharum and the existing model of sugarcane origins has remained largely unchallenged for almost 50 years. For the first time, we have assembled the complete plastid genomes of Miscanthus floridulus (first report for this genus), Saccharum spontaneum and Saccharum officinarum allowing us to elucidate the phylogenetic origins of Saccharum s.s. species. We demonstrate that Saccharum s.s. is divided into four species, with S. spontaneum diverging from the remainder of the genus about 1.5 million years ago and S. robustum diverging 750,000 years ago. Two separate lineages, one leading to S. officinarum and the other leading to modern hybrid cultivars diverged from S. robustum 640,000 years ago. These findings overturn all previous hypotheses on sugarcane origins, demonstrating that sugarcane's antecedents could not have arisen by human action. All modern cultivars share a common Polynesian origin, whereas Old World canes, S. barberi and S. sinense, cluster as a distinct S. officinarum lineage. This makes modern cultivars a distinct species of genus Saccharum, and we formally propose the name Saccharum cultum for the ancestor of all lineages currently classified as Saccharum hybrid cultivars.","author":[{"dropping-particle":"","family":"Evans","given":"Dyfed Lloyd","non-dropping-particle":"","parse-names":false,"suffix":""},{"dropping-particle":"","family":"Joshi","given":"Shailesh Vinay","non-dropping-particle":"","parse-names":false,"suffix":""}],"container-title":"Systematics and Biodiversity","id":"ITEM-4","issue":"6","issued":{"date-parts":[["2016","11","1"]]},"page":"548-571","publisher":"Taylor and Francis Ltd.","title":"Complete chloroplast genomes of Saccharum spontaneum, Saccharum officinarum and Miscanthus floridulus (Panicoideae: Andropogoneae) reveal the plastid view on sugarcane origins","type":"article-journal","volume":"14"},"uris":["http://www.mendeley.com/documents/?uuid=5ac215c5-41ba-3e0c-8ae2-1fb2c39011dc"]}],"mendeley":{"formattedCitation":"(Evans &amp; Joshi, 2016; S. Li et al., 2025; Lohmaneeratana et al., 2024; Xu et al., 2019)","plainTextFormattedCitation":"(Evans &amp; Joshi, 2016; S. Li et al., 2025; Lohmaneeratana et al., 2024; Xu et al., 2019)","previouslyFormattedCitation":"[9–12]"},"properties":{"noteIndex":0},"schema":"https://github.com/citation-style-language/schema/raw/master/csl-citation.json"}</w:instrText>
      </w:r>
      <w:r w:rsidR="00DA174A" w:rsidRPr="00C458B3">
        <w:rPr>
          <w:rFonts w:ascii="Times New Roman" w:hAnsi="Times New Roman" w:cs="Times New Roman"/>
        </w:rPr>
        <w:fldChar w:fldCharType="separate"/>
      </w:r>
      <w:r w:rsidR="00DA174A" w:rsidRPr="00A652DE">
        <w:rPr>
          <w:rFonts w:ascii="Times New Roman" w:hAnsi="Times New Roman" w:cs="Times New Roman"/>
          <w:noProof/>
        </w:rPr>
        <w:t>(Evans &amp; Joshi, 2016; Li et al., 2025; Lohmaneeratana et al., 2024; Xu et al., 2019)</w:t>
      </w:r>
      <w:r w:rsidR="00DA174A" w:rsidRPr="00C458B3">
        <w:rPr>
          <w:rFonts w:ascii="Times New Roman" w:hAnsi="Times New Roman" w:cs="Times New Roman"/>
        </w:rPr>
        <w:fldChar w:fldCharType="end"/>
      </w:r>
      <w:r w:rsidR="00DA174A">
        <w:rPr>
          <w:rFonts w:ascii="Times New Roman" w:hAnsi="Times New Roman" w:cs="Times New Roman"/>
        </w:rPr>
        <w:t xml:space="preserve">. These genes </w:t>
      </w:r>
      <w:r w:rsidR="00E00DC5">
        <w:rPr>
          <w:rFonts w:ascii="Times New Roman" w:hAnsi="Times New Roman" w:cs="Times New Roman"/>
        </w:rPr>
        <w:t xml:space="preserve">can be broadly </w:t>
      </w:r>
      <w:r w:rsidR="009003D7">
        <w:rPr>
          <w:rFonts w:ascii="Times New Roman" w:hAnsi="Times New Roman" w:cs="Times New Roman"/>
        </w:rPr>
        <w:t xml:space="preserve">grouped </w:t>
      </w:r>
      <w:r w:rsidR="00DA174A">
        <w:rPr>
          <w:rFonts w:ascii="Times New Roman" w:hAnsi="Times New Roman" w:cs="Times New Roman"/>
        </w:rPr>
        <w:t xml:space="preserve">into three </w:t>
      </w:r>
      <w:r w:rsidR="009003D7">
        <w:rPr>
          <w:rFonts w:ascii="Times New Roman" w:hAnsi="Times New Roman" w:cs="Times New Roman"/>
        </w:rPr>
        <w:t xml:space="preserve">categories </w:t>
      </w:r>
      <w:r w:rsidR="00DA174A">
        <w:rPr>
          <w:rFonts w:ascii="Times New Roman" w:hAnsi="Times New Roman" w:cs="Times New Roman"/>
        </w:rPr>
        <w:t xml:space="preserve">based on the molecular functions: (1) components </w:t>
      </w:r>
      <w:r w:rsidR="00E00DC5">
        <w:rPr>
          <w:rFonts w:ascii="Times New Roman" w:hAnsi="Times New Roman" w:cs="Times New Roman"/>
        </w:rPr>
        <w:t>involved in</w:t>
      </w:r>
      <w:r w:rsidR="00DA174A">
        <w:rPr>
          <w:rFonts w:ascii="Times New Roman" w:hAnsi="Times New Roman" w:cs="Times New Roman"/>
        </w:rPr>
        <w:t xml:space="preserve"> plastid gene expression machinery, including RNA polymerase, ribosomal proteins, tRNAs, and rRNAs; (2) subunits of photosynthetic complexes</w:t>
      </w:r>
      <w:r w:rsidR="007E3A22">
        <w:rPr>
          <w:rFonts w:ascii="Times New Roman" w:hAnsi="Times New Roman" w:cs="Times New Roman"/>
        </w:rPr>
        <w:t xml:space="preserve">, such as Rubisco, photosystem II, the cytochrome b6f complex, photosystem I, NADPH dehydrogenase, and ATP synthase; and (3) </w:t>
      </w:r>
      <w:r w:rsidR="00E00DC5" w:rsidRPr="00E00DC5">
        <w:rPr>
          <w:rFonts w:ascii="Times New Roman" w:hAnsi="Times New Roman" w:cs="Times New Roman"/>
        </w:rPr>
        <w:t>additional proteins supporting these processes</w:t>
      </w:r>
      <w:r w:rsidR="007E3A22">
        <w:rPr>
          <w:rFonts w:ascii="Times New Roman" w:hAnsi="Times New Roman" w:cs="Times New Roman"/>
        </w:rPr>
        <w:t xml:space="preserve">, including </w:t>
      </w:r>
      <w:r w:rsidR="007E3A22" w:rsidRPr="007E3A22">
        <w:rPr>
          <w:rFonts w:ascii="Times New Roman" w:hAnsi="Times New Roman" w:cs="Times New Roman"/>
          <w:i/>
          <w:iCs/>
        </w:rPr>
        <w:t>ClpP1</w:t>
      </w:r>
      <w:r w:rsidR="007E3A22">
        <w:rPr>
          <w:rFonts w:ascii="Times New Roman" w:hAnsi="Times New Roman" w:cs="Times New Roman"/>
        </w:rPr>
        <w:t xml:space="preserve"> and </w:t>
      </w:r>
      <w:r w:rsidR="007E3A22" w:rsidRPr="007E3A22">
        <w:rPr>
          <w:rFonts w:ascii="Times New Roman" w:hAnsi="Times New Roman" w:cs="Times New Roman"/>
          <w:i/>
          <w:iCs/>
        </w:rPr>
        <w:t>ycf3</w:t>
      </w:r>
      <w:r w:rsidR="007E3A22">
        <w:rPr>
          <w:rFonts w:ascii="Times New Roman" w:hAnsi="Times New Roman" w:cs="Times New Roman"/>
          <w:i/>
          <w:iCs/>
        </w:rPr>
        <w:t xml:space="preserve"> </w:t>
      </w:r>
      <w:r w:rsidR="007E3A22" w:rsidRPr="00C458B3">
        <w:rPr>
          <w:rFonts w:ascii="Times New Roman" w:hAnsi="Times New Roman" w:cs="Times New Roman"/>
        </w:rPr>
        <w:fldChar w:fldCharType="begin" w:fldLock="1"/>
      </w:r>
      <w:r w:rsidR="007E3A22">
        <w:rPr>
          <w:rFonts w:ascii="Times New Roman" w:hAnsi="Times New Roman" w:cs="Times New Roman"/>
        </w:rPr>
        <w:instrText>ADDIN CSL_CITATION {"citationItems":[{"id":"ITEM-1","itemData":{"DOI":"10.3389/fpls.2014.00316","ISSN":"1664462X","abstract":"Plastid transcription is crucial for plant growth and development. There exist two types of RNA polymerases in plastids: a nuclear-encoded RNA polymerase (NEP) and plastid-encoded RNA polymerase (PEP). PEP is the major RNA polymerase activity in chloroplast. Its core subunits are encoded by the plastid genome, and these are embedded into a larger complex of nuclear-encoded subunits. Biochemical and genetics analysis identified at least 12 proteins are tightly associated with the core subunit, while about 34 further proteins are associated more loosely generating larger complexes such as the transcriptionally active chromosome (TAC) or a part of the nucleoid. Domain analyses and functional investigations suggested that these nuclear-encoded factors may form several functional modules that mediate regulation of plastid gene expression by light, redox, phosphorylation, and heat stress. Genetic analyses also identified that some nuclear-encoded proteins in the chloroplast that are important for plastid gene expression, although a physical association with the transcriptional machinery is not observed. This covers several PPR proteins including CLB19, PDM1/SEL1, OTP70, and YS1 which are involved in the processing of transcripts for PEP core subunit as well as AtECB2, Prin2, SVR4-Like, and NARA5 that are also important for plastid gene expression, although their functions are unclear. © 2014 Yu, Huang and Yang.","author":[{"dropping-particle":"","family":"Yu","given":"Qing Bo","non-dropping-particle":"","parse-names":false,"suffix":""},{"dropping-particle":"","family":"Huang","given":"Chao","non-dropping-particle":"","parse-names":false,"suffix":""},{"dropping-particle":"","family":"Yang","given":"Zhong Nan","non-dropping-particle":"","parse-names":false,"suffix":""}],"container-title":"Frontiers in Plant Science","id":"ITEM-1","issue":"JUL","issued":{"date-parts":[["2014","7","3"]]},"title":"Nuclear-encoded factors associated with the chloroplast transcription machinery of higher plants","type":"article","volume":"5"},"uris":["http://www.mendeley.com/documents/?uuid=8eab9ddb-2728-32c9-917c-cca5afb1ff99"]}],"mendeley":{"formattedCitation":"(Yu et al., 2014)","plainTextFormattedCitation":"(Yu et al., 2014)","previouslyFormattedCitation":"[13]"},"properties":{"noteIndex":0},"schema":"https://github.com/citation-style-language/schema/raw/master/csl-citation.json"}</w:instrText>
      </w:r>
      <w:r w:rsidR="007E3A22" w:rsidRPr="00C458B3">
        <w:rPr>
          <w:rFonts w:ascii="Times New Roman" w:hAnsi="Times New Roman" w:cs="Times New Roman"/>
        </w:rPr>
        <w:fldChar w:fldCharType="separate"/>
      </w:r>
      <w:r w:rsidR="007E3A22" w:rsidRPr="00A652DE">
        <w:rPr>
          <w:rFonts w:ascii="Times New Roman" w:hAnsi="Times New Roman" w:cs="Times New Roman"/>
          <w:noProof/>
        </w:rPr>
        <w:t>(Yu et al., 2014)</w:t>
      </w:r>
      <w:r w:rsidR="007E3A22" w:rsidRPr="00C458B3">
        <w:rPr>
          <w:rFonts w:ascii="Times New Roman" w:hAnsi="Times New Roman" w:cs="Times New Roman"/>
        </w:rPr>
        <w:fldChar w:fldCharType="end"/>
      </w:r>
      <w:r w:rsidR="007E3A22">
        <w:rPr>
          <w:rFonts w:ascii="Times New Roman" w:hAnsi="Times New Roman" w:cs="Times New Roman"/>
        </w:rPr>
        <w:t xml:space="preserve">. The relatively low rates of nucleotide substitution and recombination in chloroplast genomes make them </w:t>
      </w:r>
      <w:r w:rsidR="00E00DC5">
        <w:rPr>
          <w:rFonts w:ascii="Times New Roman" w:hAnsi="Times New Roman" w:cs="Times New Roman"/>
        </w:rPr>
        <w:t>particularly useful</w:t>
      </w:r>
      <w:r w:rsidR="007E3A22">
        <w:rPr>
          <w:rFonts w:ascii="Times New Roman" w:hAnsi="Times New Roman" w:cs="Times New Roman"/>
        </w:rPr>
        <w:t xml:space="preserve"> for </w:t>
      </w:r>
      <w:r w:rsidR="00E00DC5">
        <w:rPr>
          <w:rFonts w:ascii="Times New Roman" w:hAnsi="Times New Roman" w:cs="Times New Roman"/>
        </w:rPr>
        <w:t>studying</w:t>
      </w:r>
      <w:r w:rsidR="007E3A22">
        <w:rPr>
          <w:rFonts w:ascii="Times New Roman" w:hAnsi="Times New Roman" w:cs="Times New Roman"/>
        </w:rPr>
        <w:t xml:space="preserve"> various biological aspects in plants, including gene families and their functions, as well as genome structure and evolution </w:t>
      </w:r>
      <w:r w:rsidR="007E3A22" w:rsidRPr="00C458B3">
        <w:rPr>
          <w:rFonts w:ascii="Times New Roman" w:hAnsi="Times New Roman" w:cs="Times New Roman"/>
        </w:rPr>
        <w:fldChar w:fldCharType="begin" w:fldLock="1"/>
      </w:r>
      <w:r w:rsidR="007E3A22">
        <w:rPr>
          <w:rFonts w:ascii="Times New Roman" w:hAnsi="Times New Roman" w:cs="Times New Roman"/>
        </w:rPr>
        <w:instrText>ADDIN CSL_CITATION {"citationItems":[{"id":"ITEM-1","itemData":{"DOI":"10.3390/genes14030703","ISSN":"20734425","PMID":"36980975","abstract":"The chloroplast genomes of Dioscorea brevipetiolata, D. depauperata, D. glabra, and D. pyrifolia are 153,370–153,503 bp in size. A total of 113 genes were predicted, including 79 protein-coding sequences (CDS), 30 tRNA, and four rRNA genes. The overall GC content for all four species was 37%. Only mono-, di-, and trinucleotides were present in the genome. Genes adjacent to the junction borders were similar in all species analyzed. Eight distinct indel variations were detected in the chloroplast genome alignment of 24 Dioscorea species. At a cut-off point of Pi = 0.03, a sliding window analysis based on 25 chloroplast genome sequences of Dioscorea species revealed three highly variable regions, which included three CDS (trnC, ycf1, and rpl32), as well as an intergenic spacer region, ndhF-rpl32. A phylogenetic tree based on the complete chloroplast genome sequence displayed an almost fully resolved relationship in Dioscorea. However, D. brevipetiolata, D. depauperata, and D. glabra were clustered together with D. alata, while D. pyrifolia was closely related to D. aspersa. As Dioscorea is a diverse genus, genome data generated in this study may contribute to a better understanding of the genetic identity of these species, which would be useful for future taxonomic work of Dioscorea.","author":[{"dropping-particle":"","family":"Wonok","given":"Warin","non-dropping-particle":"","parse-names":false,"suffix":""},{"dropping-particle":"","family":"Sudmoon","given":"Runglawan","non-dropping-particle":"","parse-names":false,"suffix":""},{"dropping-particle":"","family":"Tanee","given":"Tawatchai","non-dropping-particle":"","parse-names":false,"suffix":""},{"dropping-particle":"","family":"Lee","given":"Shiou Yih","non-dropping-particle":"","parse-names":false,"suffix":""},{"dropping-particle":"","family":"Chaveerach","given":"Arunrat","non-dropping-particle":"","parse-names":false,"suffix":""}],"container-title":"Genes","id":"ITEM-1","issue":"3","issued":{"date-parts":[["2023","3","1"]]},"publisher":"MDPI","title":"Complete Chloroplast Genome of Four Thai Native Dioscorea Species: Structural, Comparative and Phylogenetic Analyses","type":"article-journal","volume":"14"},"uris":["http://www.mendeley.com/documents/?uuid=e92ed5b7-19e4-3a5e-89bf-bfac105f82f0"]}],"mendeley":{"formattedCitation":"(Wonok et al., 2023)","plainTextFormattedCitation":"(Wonok et al., 2023)","previouslyFormattedCitation":"[14]"},"properties":{"noteIndex":0},"schema":"https://github.com/citation-style-language/schema/raw/master/csl-citation.json"}</w:instrText>
      </w:r>
      <w:r w:rsidR="007E3A22" w:rsidRPr="00C458B3">
        <w:rPr>
          <w:rFonts w:ascii="Times New Roman" w:hAnsi="Times New Roman" w:cs="Times New Roman"/>
        </w:rPr>
        <w:fldChar w:fldCharType="separate"/>
      </w:r>
      <w:r w:rsidR="007E3A22" w:rsidRPr="00A652DE">
        <w:rPr>
          <w:rFonts w:ascii="Times New Roman" w:hAnsi="Times New Roman" w:cs="Times New Roman"/>
          <w:noProof/>
        </w:rPr>
        <w:t>(Wonok et al., 2023)</w:t>
      </w:r>
      <w:r w:rsidR="007E3A22" w:rsidRPr="00C458B3">
        <w:rPr>
          <w:rFonts w:ascii="Times New Roman" w:hAnsi="Times New Roman" w:cs="Times New Roman"/>
        </w:rPr>
        <w:fldChar w:fldCharType="end"/>
      </w:r>
      <w:r w:rsidR="007E3A22">
        <w:rPr>
          <w:rFonts w:ascii="Times New Roman" w:hAnsi="Times New Roman" w:cs="Times New Roman"/>
        </w:rPr>
        <w:t>.</w:t>
      </w:r>
    </w:p>
    <w:p w14:paraId="4E8CA7A2" w14:textId="23169BFC" w:rsidR="00DC1B50" w:rsidRDefault="00DC1B50" w:rsidP="001476CE">
      <w:pPr>
        <w:spacing w:after="0" w:line="360" w:lineRule="auto"/>
        <w:ind w:firstLine="454"/>
        <w:jc w:val="both"/>
        <w:rPr>
          <w:rFonts w:ascii="Times New Roman" w:hAnsi="Times New Roman" w:cs="Times New Roman"/>
        </w:rPr>
      </w:pPr>
      <w:r>
        <w:rPr>
          <w:rFonts w:ascii="Times New Roman" w:hAnsi="Times New Roman" w:cs="Times New Roman"/>
        </w:rPr>
        <w:tab/>
        <w:t xml:space="preserve">Chloroplast genes are transcribed by two distinct types of RNA polymerases: the nucleus-encoded RNA polymerase (NEP) and the </w:t>
      </w:r>
      <w:r w:rsidR="0069441B">
        <w:rPr>
          <w:rFonts w:ascii="Times New Roman" w:hAnsi="Times New Roman" w:cs="Times New Roman"/>
        </w:rPr>
        <w:t>other is made in the plastid itself (</w:t>
      </w:r>
      <w:r>
        <w:rPr>
          <w:rFonts w:ascii="Times New Roman" w:hAnsi="Times New Roman" w:cs="Times New Roman"/>
        </w:rPr>
        <w:t>plastid-encoded RNA polymerase (PEP)</w:t>
      </w:r>
      <w:r w:rsidR="0069441B">
        <w:rPr>
          <w:rFonts w:ascii="Times New Roman" w:hAnsi="Times New Roman" w:cs="Times New Roman"/>
        </w:rPr>
        <w:t>)</w:t>
      </w:r>
      <w:r>
        <w:rPr>
          <w:rFonts w:ascii="Times New Roman" w:hAnsi="Times New Roman" w:cs="Times New Roman"/>
        </w:rPr>
        <w:t xml:space="preserve"> </w:t>
      </w:r>
      <w:r w:rsidRPr="00C458B3">
        <w:rPr>
          <w:rFonts w:ascii="Times New Roman" w:hAnsi="Times New Roman" w:cs="Times New Roman"/>
        </w:rPr>
        <w:fldChar w:fldCharType="begin" w:fldLock="1"/>
      </w:r>
      <w:r>
        <w:rPr>
          <w:rFonts w:ascii="Times New Roman" w:hAnsi="Times New Roman" w:cs="Times New Roman"/>
        </w:rPr>
        <w:instrText>ADDIN CSL_CITATION {"citationItems":[{"id":"ITEM-1","itemData":{"DOI":"10.1111/tpj.15882","ISSN":"1365313X","PMID":"35765883","abstract":"Plastids contain their own genomes, which are transcribed by two types of RNA polymerases. One of those enzymes is a bacterial-type, multi-subunit polymerase encoded by the plastid genome. The plastid-encoded RNA polymerase (PEP) is required for efficient expression of genes encoding proteins involved in photosynthesis. Despite the importance of PEP, its DNA binding locations have not been studied on the genome-wide scale at high resolution. We established a highly specific approach to detect the genome-wide pattern of PEP binding to chloroplast DNA using plastid chromatin immunoprecipitation–sequencing (ptChIP-seq). We found that in mature Arabidopsis thaliana chloroplasts, PEP has a complex DNA binding pattern with preferential association at genes encoding rRNA, tRNA, and a subset of photosynthetic proteins. Sigma factors SIG2 and SIG6 strongly impact PEP binding to a subset of tRNA genes and have more moderate effects on PEP binding throughout the rest of the genome. PEP binding is commonly enriched on gene promoters, around transcription start sites. Finally, the levels of PEP binding to DNA are correlated with levels of RNA accumulation, which demonstrates the impact of PEP on chloroplast gene expression. Presented data are available through a publicly available Plastid Genome Visualization Tool (Plavisto) at https://plavisto.mcdb.lsa.umich.edu/.","author":[{"dropping-particle":"","family":"Palomar","given":"V. Miguel","non-dropping-particle":"","parse-names":false,"suffix":""},{"dropping-particle":"","family":"Jaksich","given":"Sarah","non-dropping-particle":"","parse-names":false,"suffix":""},{"dropping-particle":"","family":"Fujii","given":"Sho","non-dropping-particle":"","parse-names":false,"suffix":""},{"dropping-particle":"","family":"Kuciński","given":"Jan","non-dropping-particle":"","parse-names":false,"suffix":""},{"dropping-particle":"","family":"Wierzbicki","given":"Andrzej T.","non-dropping-particle":"","parse-names":false,"suffix":""}],"container-title":"Plant Journal","id":"ITEM-1","issue":"4","issued":{"date-parts":[["2022","8","1"]]},"page":"1139-1151","publisher":"John Wiley and Sons Inc","title":"High-resolution map of plastid-encoded RNA polymerase binding patterns demonstrates a major role of transcription in chloroplast gene expression","type":"article-journal","volume":"111"},"uris":["http://www.mendeley.com/documents/?uuid=904d4b64-fe97-3ab3-b8f6-951bd8dfaaa3"]},{"id":"ITEM-2","itemData":{"DOI":"10.1038/s41467-024-54266-2","ISSN":"20411723","PMID":"39537621","abstract":"The plastid-encoded RNA polymerase serves as the principal transcription machinery within chloroplasts, transcribing over 80% of all primary plastid transcripts. This polymerase consists of a prokaryotic-like core enzyme known as the plastid-encoded RNA polymerase core, and is supplemented by newly evolved associated proteins known as PAPs. However, the architecture of the plastid-encoded RNA polymerase and the possible functions of PAPs remain unknown. Here, we present the cryo-electron microscopy structure of a 19-subunit plastid-encoded RNA polymerase complex derived from spinach (Spinacia oleracea). The structure shows that the plastid-encoded RNA polymerase core resembles bacterial RNA polymerase. Twelve PAPs and two additional proteins (FLN2 and pTAC18) bind at the periphery of the plastid-encoded RNA polymerase core, forming extensive interactions that may facilitate complex assembly and stability. PAPs may also protect the complex against oxidative damage and has potential functions in transcriptional regulation. This research offers a structural basis for future investigations into the functions and regulatory mechanisms governing the transcription of plastid genes.","author":[{"dropping-particle":"","family":"Wang","given":"Tongtong","non-dropping-particle":"","parse-names":false,"suffix":""},{"dropping-particle":"","family":"Wang","given":"Guang Lei","non-dropping-particle":"","parse-names":false,"suffix":""},{"dropping-particle":"","family":"Fang","given":"Ying","non-dropping-particle":"","parse-names":false,"suffix":""},{"dropping-particle":"","family":"Zhang","given":"Yi","non-dropping-particle":"","parse-names":false,"suffix":""},{"dropping-particle":"","family":"Peng","given":"Wenxin","non-dropping-particle":"","parse-names":false,"suffix":""},{"dropping-particle":"","family":"Zhou","given":"Yue","non-dropping-particle":"","parse-names":false,"suffix":""},{"dropping-particle":"","family":"Zhang","given":"Aihong","non-dropping-particle":"","parse-names":false,"suffix":""},{"dropping-particle":"","family":"Yu","given":"Long Jiang","non-dropping-particle":"","parse-names":false,"suffix":""},{"dropping-particle":"","family":"Lu","given":"Congming","non-dropping-particle":"","parse-names":false,"suffix":""}],"container-title":"Nature Communications ","id":"ITEM-2","issue":"1","issued":{"date-parts":[["2024","12","1"]]},"publisher":"Nature Research","title":"Architecture of the spinach plastid-encoded RNA polymerase","type":"article-journal","volume":"15"},"uris":["http://www.mendeley.com/documents/?uuid=564b299d-ccb8-30f7-a528-79dd13c4b37c"]},{"id":"ITEM-3","itemData":{"DOI":"10.3389/fpls.2014.00316","ISSN":"1664462X","abstract":"Plastid transcription is crucial for plant growth and development. There exist two types of RNA polymerases in plastids: a nuclear-encoded RNA polymerase (NEP) and plastid-encoded RNA polymerase (PEP). PEP is the major RNA polymerase activity in chloroplast. Its core subunits are encoded by the plastid genome, and these are embedded into a larger complex of nuclear-encoded subunits. Biochemical and genetics analysis identified at least 12 proteins are tightly associated with the core subunit, while about 34 further proteins are associated more loosely generating larger complexes such as the transcriptionally active chromosome (TAC) or a part of the nucleoid. Domain analyses and functional investigations suggested that these nuclear-encoded factors may form several functional modules that mediate regulation of plastid gene expression by light, redox, phosphorylation, and heat stress. Genetic analyses also identified that some nuclear-encoded proteins in the chloroplast that are important for plastid gene expression, although a physical association with the transcriptional machinery is not observed. This covers several PPR proteins including CLB19, PDM1/SEL1, OTP70, and YS1 which are involved in the processing of transcripts for PEP core subunit as well as AtECB2, Prin2, SVR4-Like, and NARA5 that are also important for plastid gene expression, although their functions are unclear. © 2014 Yu, Huang and Yang.","author":[{"dropping-particle":"","family":"Yu","given":"Qing Bo","non-dropping-particle":"","parse-names":false,"suffix":""},{"dropping-particle":"","family":"Huang","given":"Chao","non-dropping-particle":"","parse-names":false,"suffix":""},{"dropping-particle":"","family":"Yang","given":"Zhong Nan","non-dropping-particle":"","parse-names":false,"suffix":""}],"container-title":"Frontiers in Plant Science","id":"ITEM-3","issue":"JUL","issued":{"date-parts":[["2014","7","3"]]},"title":"Nuclear-encoded factors associated with the chloroplast transcription machinery of higher plants","type":"article","volume":"5"},"uris":["http://www.mendeley.com/documents/?uuid=8eab9ddb-2728-32c9-917c-cca5afb1ff99"]}],"mendeley":{"formattedCitation":"(Palomar et al., 2022; Wang et al., 2024; Yu et al., 2014)","plainTextFormattedCitation":"(Palomar et al., 2022; Wang et al., 2024; Yu et al., 2014)","previouslyFormattedCitation":"[13, 15, 16]"},"properties":{"noteIndex":0},"schema":"https://github.com/citation-style-language/schema/raw/master/csl-citation.json"}</w:instrText>
      </w:r>
      <w:r w:rsidRPr="00C458B3">
        <w:rPr>
          <w:rFonts w:ascii="Times New Roman" w:hAnsi="Times New Roman" w:cs="Times New Roman"/>
        </w:rPr>
        <w:fldChar w:fldCharType="separate"/>
      </w:r>
      <w:r w:rsidRPr="00A652DE">
        <w:rPr>
          <w:rFonts w:ascii="Times New Roman" w:hAnsi="Times New Roman" w:cs="Times New Roman"/>
          <w:noProof/>
        </w:rPr>
        <w:t>(Palomar et al., 2022; Wang et al., 2024; Yu et al., 2014)</w:t>
      </w:r>
      <w:r w:rsidRPr="00C458B3">
        <w:rPr>
          <w:rFonts w:ascii="Times New Roman" w:hAnsi="Times New Roman" w:cs="Times New Roman"/>
        </w:rPr>
        <w:fldChar w:fldCharType="end"/>
      </w:r>
      <w:r>
        <w:rPr>
          <w:rFonts w:ascii="Times New Roman" w:hAnsi="Times New Roman" w:cs="Times New Roman"/>
        </w:rPr>
        <w:t xml:space="preserve">. During early chloroplast development, NEP transcribes </w:t>
      </w:r>
      <w:r w:rsidR="0069441B">
        <w:rPr>
          <w:rFonts w:ascii="Times New Roman" w:hAnsi="Times New Roman" w:cs="Times New Roman"/>
        </w:rPr>
        <w:t xml:space="preserve">essential </w:t>
      </w:r>
      <w:r>
        <w:rPr>
          <w:rFonts w:ascii="Times New Roman" w:hAnsi="Times New Roman" w:cs="Times New Roman"/>
        </w:rPr>
        <w:t xml:space="preserve">housekeeping genes, including members of the </w:t>
      </w:r>
      <w:proofErr w:type="spellStart"/>
      <w:r w:rsidRPr="00DC1B50">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gene family such as </w:t>
      </w:r>
      <w:proofErr w:type="spellStart"/>
      <w:r w:rsidRPr="00DC1B50">
        <w:rPr>
          <w:rFonts w:ascii="Times New Roman" w:hAnsi="Times New Roman" w:cs="Times New Roman"/>
          <w:i/>
          <w:iCs/>
        </w:rPr>
        <w:t>rpo</w:t>
      </w:r>
      <w:r>
        <w:rPr>
          <w:rFonts w:ascii="Times New Roman" w:hAnsi="Times New Roman" w:cs="Times New Roman"/>
        </w:rPr>
        <w:t>A</w:t>
      </w:r>
      <w:proofErr w:type="spellEnd"/>
      <w:r>
        <w:rPr>
          <w:rFonts w:ascii="Times New Roman" w:hAnsi="Times New Roman" w:cs="Times New Roman"/>
        </w:rPr>
        <w:t xml:space="preserve">, </w:t>
      </w:r>
      <w:proofErr w:type="spellStart"/>
      <w:r w:rsidRPr="00DC1B50">
        <w:rPr>
          <w:rFonts w:ascii="Times New Roman" w:hAnsi="Times New Roman" w:cs="Times New Roman"/>
          <w:i/>
          <w:iCs/>
        </w:rPr>
        <w:t>rpo</w:t>
      </w:r>
      <w:r>
        <w:rPr>
          <w:rFonts w:ascii="Times New Roman" w:hAnsi="Times New Roman" w:cs="Times New Roman"/>
        </w:rPr>
        <w:t>B</w:t>
      </w:r>
      <w:proofErr w:type="spellEnd"/>
      <w:r>
        <w:rPr>
          <w:rFonts w:ascii="Times New Roman" w:hAnsi="Times New Roman" w:cs="Times New Roman"/>
        </w:rPr>
        <w:t xml:space="preserve">, </w:t>
      </w:r>
      <w:r w:rsidRPr="00DC1B50">
        <w:rPr>
          <w:rFonts w:ascii="Times New Roman" w:hAnsi="Times New Roman" w:cs="Times New Roman"/>
          <w:i/>
          <w:iCs/>
        </w:rPr>
        <w:t>rpo</w:t>
      </w:r>
      <w:r>
        <w:rPr>
          <w:rFonts w:ascii="Times New Roman" w:hAnsi="Times New Roman" w:cs="Times New Roman"/>
        </w:rPr>
        <w:t xml:space="preserve">C1, and </w:t>
      </w:r>
      <w:r w:rsidRPr="00DC1B50">
        <w:rPr>
          <w:rFonts w:ascii="Times New Roman" w:hAnsi="Times New Roman" w:cs="Times New Roman"/>
          <w:i/>
          <w:iCs/>
        </w:rPr>
        <w:t>rpo</w:t>
      </w:r>
      <w:r>
        <w:rPr>
          <w:rFonts w:ascii="Times New Roman" w:hAnsi="Times New Roman" w:cs="Times New Roman"/>
        </w:rPr>
        <w:t xml:space="preserve">C2 </w:t>
      </w:r>
      <w:r w:rsidRPr="00C458B3">
        <w:rPr>
          <w:rFonts w:ascii="Times New Roman" w:hAnsi="Times New Roman" w:cs="Times New Roman"/>
        </w:rPr>
        <w:fldChar w:fldCharType="begin" w:fldLock="1"/>
      </w:r>
      <w:r>
        <w:rPr>
          <w:rFonts w:ascii="Times New Roman" w:hAnsi="Times New Roman" w:cs="Times New Roman"/>
        </w:rPr>
        <w:instrText>ADDIN CSL_CITATION {"citationItems":[{"id":"ITEM-1","itemData":{"DOI":"10.1016/j.bbabio.2015.02.004","ISSN":"18792650","PMID":"25680513","abstract":"Abstract Plastid genes are transcribed by two types of RNA polymerase in angiosperms: the bacterial type plastid-encoded RNA polymerase (PEP) and one (RPOTp in monocots) or two (RPOTp and RPOTmp in dicots) nuclear-encoded RNA polymerase(s) (NEP). PEP is a bacterial-type multisubunit enzyme composed of core subunits (coded for by the plastid rpoA, rpoB, rpoC1 and rpoC2 genes) and additional protein factors (sigma factors and polymerase associated protein, PAPs) encoded in the nuclear genome. Sigma factors are required by PEP for promoter recognition. Six different sigma factors are NEP subunit has been identified, which bears the catalytic activity. NEP and PEP use different promoters. Many plastid genes have both PEP and NEP promoters. PEP dominates in the transcription of photosynthesis genes. Intriguingly, rpoB belongs to the few genes transcribed exclusively by NEP. Both NEP and PEP are active in non-green plastids and in chloroplasts at all stages of development. The transcriptional activity of NEP and PEP is affected by endogenous and exogenous factors. This article is part of a Special Issue entitled: Chloroplast Biogenesis.","author":[{"dropping-particle":"","family":"Börner","given":"Thomas","non-dropping-particle":"","parse-names":false,"suffix":""},{"dropping-particle":"","family":"Aleynikova","given":"Anastasia Yu","non-dropping-particle":"","parse-names":false,"suffix":""},{"dropping-particle":"","family":"Zubo","given":"Yan O.","non-dropping-particle":"","parse-names":false,"suffix":""},{"dropping-particle":"V.","family":"Kusnetsov","given":"Victor","non-dropping-particle":"","parse-names":false,"suffix":""}],"container-title":"Biochimica et Biophysica Acta - Bioenergetics","id":"ITEM-1","issue":"9","issued":{"date-parts":[["2015","12","18"]]},"page":"761-769","publisher":"Elsevier B.V.","title":"Chloroplast RNA polymerases: Role in chloroplast biogenesis","type":"article","volume":"1847"},"uris":["http://www.mendeley.com/documents/?uuid=7c4a791a-f098-38a2-846b-342fd551ffa0"]},{"id":"ITEM-2","itemData":{"DOI":"10.1080/07388551.2023.2299789","ISSN":"15497801","PMID":"38238104","abstract":"The chloroplast and mitochondrion are semi-autonomous organelles that play essential roles in cell function. These two organelles are embellished with prokaryotic remnants and contain many new features emerging from the co-evolution of organelles and the nucleus. A typical plant chloroplast or mitochondrion genome encodes less than 100 genes, and the regulation of these genesˈ expression is remarkably complex. The regulation of chloroplast and mitochondrion gene expression can be achieved at multiple levels during development and in response to environmental cues, in which, RNA metabolism, including: RNA transcription, processing, translation, and degradation, plays an important role. RNA metabolism in plant chloroplasts and mitochondria combines bacterial-like traits with novel features evolved in the host cell and is regulated by a large number of nucleus-encoded proteins. Among these, pentatricopeptide repeat (PPR) proteins are deeply involved in multiple aspects of the RNA metabolism of organellar genes. Research over the past decades has revealed new insights into different RNA metabolic events in plant organelles, such as the composition of chloroplast and mitochondrion RNA editosomes. We summarize and discuss the most recent knowledge and biotechnological implications of various RNA metabolism processes in plant chloroplasts and mitochondria, with a focus on the nucleus-encoded factors supporting them, to gain a deeper understanding of the function and evolution of these two organelles in plant cells. Furthermore, a better understanding of the role of nucleus-encoded factors in chloroplast and mitochondrion RNA metabolism will motivate future studies on manipulating the plant gene expression machinery with engineered nucleus-encoded factors.","author":[{"dropping-particle":"","family":"Ali","given":"Nadia Ahmed","non-dropping-particle":"","parse-names":false,"suffix":""},{"dropping-particle":"","family":"Song","given":"Wenjian","non-dropping-particle":"","parse-names":false,"suffix":""},{"dropping-particle":"","family":"Huang","given":"Jianyan","non-dropping-particle":"","parse-names":false,"suffix":""},{"dropping-particle":"","family":"Wu","given":"Dianxing","non-dropping-particle":"","parse-names":false,"suffix":""},{"dropping-particle":"","family":"Zhao","given":"Xiaobo","non-dropping-particle":"","parse-names":false,"suffix":""}],"container-title":"Critical Reviews in Biotechnology","id":"ITEM-2","issue":"8","issued":{"date-parts":[["2024"]]},"page":"1552-1573","publisher":"Taylor and Francis Ltd.","title":"Recent advances and biotechnological applications of RNA metabolism in plant chloroplasts and mitochondria","type":"article","volume":"44"},"uris":["http://www.mendeley.com/documents/?uuid=68f129a6-41c1-3a8e-a731-a9a26554547d"]},{"id":"ITEM-3","itemData":{"DOI":"10.3389/fpls.2014.00316","ISSN":"1664462X","abstract":"Plastid transcription is crucial for plant growth and development. There exist two types of RNA polymerases in plastids: a nuclear-encoded RNA polymerase (NEP) and plastid-encoded RNA polymerase (PEP). PEP is the major RNA polymerase activity in chloroplast. Its core subunits are encoded by the plastid genome, and these are embedded into a larger complex of nuclear-encoded subunits. Biochemical and genetics analysis identified at least 12 proteins are tightly associated with the core subunit, while about 34 further proteins are associated more loosely generating larger complexes such as the transcriptionally active chromosome (TAC) or a part of the nucleoid. Domain analyses and functional investigations suggested that these nuclear-encoded factors may form several functional modules that mediate regulation of plastid gene expression by light, redox, phosphorylation, and heat stress. Genetic analyses also identified that some nuclear-encoded proteins in the chloroplast that are important for plastid gene expression, although a physical association with the transcriptional machinery is not observed. This covers several PPR proteins including CLB19, PDM1/SEL1, OTP70, and YS1 which are involved in the processing of transcripts for PEP core subunit as well as AtECB2, Prin2, SVR4-Like, and NARA5 that are also important for plastid gene expression, although their functions are unclear. © 2014 Yu, Huang and Yang.","author":[{"dropping-particle":"","family":"Yu","given":"Qing Bo","non-dropping-particle":"","parse-names":false,"suffix":""},{"dropping-particle":"","family":"Huang","given":"Chao","non-dropping-particle":"","parse-names":false,"suffix":""},{"dropping-particle":"","family":"Yang","given":"Zhong Nan","non-dropping-particle":"","parse-names":false,"suffix":""}],"container-title":"Frontiers in Plant Science","id":"ITEM-3","issue":"JUL","issued":{"date-parts":[["2014","7","3"]]},"title":"Nuclear-encoded factors associated with the chloroplast transcription machinery of higher plants","type":"article","volume":"5"},"uris":["http://www.mendeley.com/documents/?uuid=8eab9ddb-2728-32c9-917c-cca5afb1ff99"]},{"id":"ITEM-4","itemData":{"DOI":"10.1111/tpj.15882","ISSN":"1365313X","PMID":"35765883","abstract":"Plastids contain their own genomes, which are transcribed by two types of RNA polymerases. One of those enzymes is a bacterial-type, multi-subunit polymerase encoded by the plastid genome. The plastid-encoded RNA polymerase (PEP) is required for efficient expression of genes encoding proteins involved in photosynthesis. Despite the importance of PEP, its DNA binding locations have not been studied on the genome-wide scale at high resolution. We established a highly specific approach to detect the genome-wide pattern of PEP binding to chloroplast DNA using plastid chromatin immunoprecipitation–sequencing (ptChIP-seq). We found that in mature Arabidopsis thaliana chloroplasts, PEP has a complex DNA binding pattern with preferential association at genes encoding rRNA, tRNA, and a subset of photosynthetic proteins. Sigma factors SIG2 and SIG6 strongly impact PEP binding to a subset of tRNA genes and have more moderate effects on PEP binding throughout the rest of the genome. PEP binding is commonly enriched on gene promoters, around transcription start sites. Finally, the levels of PEP binding to DNA are correlated with levels of RNA accumulation, which demonstrates the impact of PEP on chloroplast gene expression. Presented data are available through a publicly available Plastid Genome Visualization Tool (Plavisto) at https://plavisto.mcdb.lsa.umich.edu/.","author":[{"dropping-particle":"","family":"Palomar","given":"V. Miguel","non-dropping-particle":"","parse-names":false,"suffix":""},{"dropping-particle":"","family":"Jaksich","given":"Sarah","non-dropping-particle":"","parse-names":false,"suffix":""},{"dropping-particle":"","family":"Fujii","given":"Sho","non-dropping-particle":"","parse-names":false,"suffix":""},{"dropping-particle":"","family":"Kuciński","given":"Jan","non-dropping-particle":"","parse-names":false,"suffix":""},{"dropping-particle":"","family":"Wierzbicki","given":"Andrzej T.","non-dropping-particle":"","parse-names":false,"suffix":""}],"container-title":"Plant Journal","id":"ITEM-4","issue":"4","issued":{"date-parts":[["2022","8","1"]]},"page":"1139-1151","publisher":"John Wiley and Sons Inc","title":"High-resolution map of plastid-encoded RNA polymerase binding patterns demonstrates a major role of transcription in chloroplast gene expression","type":"article-journal","volume":"111"},"uris":["http://www.mendeley.com/documents/?uuid=904d4b64-fe97-3ab3-b8f6-951bd8dfaaa3"]}],"mendeley":{"formattedCitation":"(Ali et al., 2024; Börner et al., 2015; Palomar et al., 2022; Yu et al., 2014)","plainTextFormattedCitation":"(Ali et al., 2024; Börner et al., 2015; Palomar et al., 2022; Yu et al., 2014)","previouslyFormattedCitation":"[13, 15, 17, 18]"},"properties":{"noteIndex":0},"schema":"https://github.com/citation-style-language/schema/raw/master/csl-citation.json"}</w:instrText>
      </w:r>
      <w:r w:rsidRPr="00C458B3">
        <w:rPr>
          <w:rFonts w:ascii="Times New Roman" w:hAnsi="Times New Roman" w:cs="Times New Roman"/>
        </w:rPr>
        <w:fldChar w:fldCharType="separate"/>
      </w:r>
      <w:r w:rsidRPr="00A652DE">
        <w:rPr>
          <w:rFonts w:ascii="Times New Roman" w:hAnsi="Times New Roman" w:cs="Times New Roman"/>
          <w:noProof/>
        </w:rPr>
        <w:t>(Ali et al., 2024; Börner et al., 2015; Palomar et al., 2022; Yu et al., 2014)</w:t>
      </w:r>
      <w:r w:rsidRPr="00C458B3">
        <w:rPr>
          <w:rFonts w:ascii="Times New Roman" w:hAnsi="Times New Roman" w:cs="Times New Roman"/>
        </w:rPr>
        <w:fldChar w:fldCharType="end"/>
      </w:r>
      <w:r>
        <w:rPr>
          <w:rFonts w:ascii="Times New Roman" w:hAnsi="Times New Roman" w:cs="Times New Roman"/>
        </w:rPr>
        <w:t xml:space="preserve">. The mRNA transcripts of these </w:t>
      </w:r>
      <w:proofErr w:type="spellStart"/>
      <w:r w:rsidRPr="00DC1B50">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genes are subsequently translated into four core subunits of plastid-encoded RNA polymerase (PEP), namely </w:t>
      </w:r>
      <w:r w:rsidRPr="00C458B3">
        <w:rPr>
          <w:rFonts w:ascii="Times New Roman" w:hAnsi="Times New Roman" w:cs="Times New Roman"/>
        </w:rPr>
        <w:t xml:space="preserve">α (38 </w:t>
      </w:r>
      <w:proofErr w:type="spellStart"/>
      <w:r w:rsidRPr="00C458B3">
        <w:rPr>
          <w:rFonts w:ascii="Times New Roman" w:hAnsi="Times New Roman" w:cs="Times New Roman"/>
        </w:rPr>
        <w:t>kDa</w:t>
      </w:r>
      <w:proofErr w:type="spellEnd"/>
      <w:r w:rsidRPr="00C458B3">
        <w:rPr>
          <w:rFonts w:ascii="Times New Roman" w:hAnsi="Times New Roman" w:cs="Times New Roman"/>
        </w:rPr>
        <w:t xml:space="preserve">), β (120 </w:t>
      </w:r>
      <w:proofErr w:type="spellStart"/>
      <w:r w:rsidRPr="00C458B3">
        <w:rPr>
          <w:rFonts w:ascii="Times New Roman" w:hAnsi="Times New Roman" w:cs="Times New Roman"/>
        </w:rPr>
        <w:t>kDa</w:t>
      </w:r>
      <w:proofErr w:type="spellEnd"/>
      <w:r w:rsidRPr="00C458B3">
        <w:rPr>
          <w:rFonts w:ascii="Times New Roman" w:hAnsi="Times New Roman" w:cs="Times New Roman"/>
        </w:rPr>
        <w:t xml:space="preserve">), β′ (85 </w:t>
      </w:r>
      <w:proofErr w:type="spellStart"/>
      <w:r w:rsidRPr="00C458B3">
        <w:rPr>
          <w:rFonts w:ascii="Times New Roman" w:hAnsi="Times New Roman" w:cs="Times New Roman"/>
        </w:rPr>
        <w:t>kDa</w:t>
      </w:r>
      <w:proofErr w:type="spellEnd"/>
      <w:r w:rsidRPr="00C458B3">
        <w:rPr>
          <w:rFonts w:ascii="Times New Roman" w:hAnsi="Times New Roman" w:cs="Times New Roman"/>
        </w:rPr>
        <w:t xml:space="preserve">), and β″ (185 </w:t>
      </w:r>
      <w:proofErr w:type="spellStart"/>
      <w:r w:rsidRPr="00C458B3">
        <w:rPr>
          <w:rFonts w:ascii="Times New Roman" w:hAnsi="Times New Roman" w:cs="Times New Roman"/>
        </w:rPr>
        <w:t>kDa</w:t>
      </w:r>
      <w:proofErr w:type="spellEnd"/>
      <w:r w:rsidRPr="00C458B3">
        <w:rPr>
          <w:rFonts w:ascii="Times New Roman" w:hAnsi="Times New Roman" w:cs="Times New Roman"/>
        </w:rPr>
        <w:t>),</w:t>
      </w:r>
      <w:r w:rsidR="00774E22">
        <w:rPr>
          <w:rFonts w:ascii="Times New Roman" w:hAnsi="Times New Roman" w:cs="Times New Roman"/>
        </w:rPr>
        <w:t xml:space="preserve"> which assemble into a functional PEP enzyme that serves as the primary transcription machinery for photosynthesis-related genes in chloroplasts </w:t>
      </w:r>
      <w:r w:rsidR="00774E22" w:rsidRPr="00C458B3">
        <w:rPr>
          <w:rFonts w:ascii="Times New Roman" w:hAnsi="Times New Roman" w:cs="Times New Roman"/>
        </w:rPr>
        <w:fldChar w:fldCharType="begin" w:fldLock="1"/>
      </w:r>
      <w:r w:rsidR="00774E22">
        <w:rPr>
          <w:rFonts w:ascii="Times New Roman" w:hAnsi="Times New Roman" w:cs="Times New Roman"/>
        </w:rPr>
        <w:instrText>ADDIN CSL_CITATION {"citationItems":[{"id":"ITEM-1","itemData":{"DOI":"10.3390/plants14060978","ISSN":"22237747","abstract":"Chloroplasts are important in plant growth, development, and defense mechanisms, making them central to addressing global agricultural challenges. This review explores the multi-faceted contributions of chloroplasts, including photosynthesis, hormone biosynthesis, and stress signaling, which orchestrate the trade-off between growth and defense. Advancements in chloroplast genomics, transcription, translation, and proteomics have deepened our understanding of their regulatory functions and interactions with nuclear-encoded proteins. Case studies have demonstrated the potential of chloroplast-targeted strategies, such as the expression of elongation factor EF-2 for heat tolerance and flavodiiron proteins for drought resilience, to enhance crop productivity and stress adaptation. Future research directions should focus on the need for integrating omics data with nanotechnology and synthetic biology to develop sustainable and resilient agricultural systems. This review uniquely integrates recent advancements in chloroplast genomics, transcriptional regulation, and synthetic biology to present a holistic perspective on optimizing plant growth and stress tolerance. We emphasize the role of chloroplast-driven trade-off in balancing growth and immunity, leveraging omics technologies and emerging biotechnological innovations. This comprehensive approach offers new insights into sustainable agricultural practices, making it a significant contribution to the field.","author":[{"dropping-particle":"","family":"Zhang","given":"Chunhua","non-dropping-particle":"","parse-names":false,"suffix":""},{"dropping-particle":"","family":"Li","given":"Wenting","non-dropping-particle":"","parse-names":false,"suffix":""},{"dropping-particle":"","family":"Wu","given":"Yahan","non-dropping-particle":"","parse-names":false,"suffix":""},{"dropping-particle":"","family":"Li","given":"Shengli","non-dropping-particle":"","parse-names":false,"suffix":""},{"dropping-particle":"","family":"Hua","given":"Bao","non-dropping-particle":"","parse-names":false,"suffix":""},{"dropping-particle":"","family":"Sun","given":"Haizhou","non-dropping-particle":"","parse-names":false,"suffix":""}],"container-title":"Plants","id":"ITEM-1","issue":"6","issued":{"date-parts":[["2025","3","1"]]},"number-of-pages":"1","publisher":"Multidisciplinary Digital Publishing Institute (MDPI)","title":"Chloroplast Functionality at the Interface of Growth, Defense, and Genetic Innovation: A Multi-Omics and Technological Perspective","type":"report","volume":"14"},"uris":["http://www.mendeley.com/documents/?uuid=5fa1d7e9-7cee-326a-b01f-cab2aaab341e"]},{"id":"ITEM-2","itemData":{"DOI":"10.1016/j.tplants.2025.01.010","ISSN":"13601385","PMID":"40011163","abstract":"Plant chloroplasts possess a dedicated genome (plastome) and a prokaryotic-type plastid-encoded RNA polymerase (PEP) that mediates its expression. PEP is composed of five bacteria-like core proteins and 16 nucleus-encoded PEP-associated proteins (PAPs). These are essential for PEP-driven transcription and chloroplast biogenesis, but their functions and structural arrangement in the PEP complex remained largely enigmatic. Recently, four independently determined cryogenic-electron microscopy (cryo-EM) structures of purified plant PEP complexes reported features of the prokaryotic core and the arrangement of PAPs around it, identified potential functional domains and cofactors, and described the interactions of PEP with DNA. We explore these data and critically discuss the proposed regulatory impact of PAPs on the transcription process. We further address the evolutionary implications and describe fields for future investigation.","author":[{"dropping-particle":"","family":"Ahrens","given":"Frederik M.","non-dropping-particle":"","parse-names":false,"suffix":""},{"dropping-particle":"","family":"Prado","given":"Paula F.V.","non-dropping-particle":"do","parse-names":false,"suffix":""},{"dropping-particle":"","family":"Hillen","given":"Hauke S.","non-dropping-particle":"","parse-names":false,"suffix":""},{"dropping-particle":"","family":"Pfannschmidt","given":"Thomas","non-dropping-particle":"","parse-names":false,"suffix":""}],"container-title":"Trends in Plant Science","id":"ITEM-2","issue":"7","issued":{"date-parts":[["2025","7","1"]]},"page":"712-723","publisher":"Elsevier Ltd","title":"The plastid-encoded RNA polymerase of plant chloroplasts","type":"article","volume":"30"},"uris":["http://www.mendeley.com/documents/?uuid=d5e7b78a-d168-3f71-9b50-918f55e720e3"]},{"id":"ITEM-3","itemData":{"DOI":"10.1016/j.cell.2024.01.044","ISSN":"10974172","PMID":"38428392","abstract":"RNA polymerases (RNAPs) control the first step of gene expression in all forms of life by transferring genetic information from DNA to RNA, a process known as transcription. In this issue of Cell, Webster et al. and Wu et al. report three-dimensional structures of RNAP complexes from chloroplasts.","author":[{"dropping-particle":"","family":"Loiacono","given":"F. Vanessa","non-dropping-particle":"","parse-names":false,"suffix":""},{"dropping-particle":"","family":"Bock","given":"Ralph","non-dropping-particle":"","parse-names":false,"suffix":""}],"container-title":"Cell","id":"ITEM-3","issue":"5","issued":{"date-parts":[["2024","2","29"]]},"page":"1106-1108","publisher":"Elsevier B.V.","title":"An RNA polymerase that became a Swiss army knife","type":"article","volume":"187"},"uris":["http://www.mendeley.com/documents/?uuid=045bcf2a-41d7-3349-ad71-5d264ebf7151"]},{"id":"ITEM-4","itemData":{"DOI":"10.1016/j.bbabio.2015.02.004","ISSN":"18792650","PMID":"25680513","abstract":"Abstract Plastid genes are transcribed by two types of RNA polymerase in angiosperms: the bacterial type plastid-encoded RNA polymerase (PEP) and one (RPOTp in monocots) or two (RPOTp and RPOTmp in dicots) nuclear-encoded RNA polymerase(s) (NEP). PEP is a bacterial-type multisubunit enzyme composed of core subunits (coded for by the plastid rpoA, rpoB, rpoC1 and rpoC2 genes) and additional protein factors (sigma factors and polymerase associated protein, PAPs) encoded in the nuclear genome. Sigma factors are required by PEP for promoter recognition. Six different sigma factors are NEP subunit has been identified, which bears the catalytic activity. NEP and PEP use different promoters. Many plastid genes have both PEP and NEP promoters. PEP dominates in the transcription of photosynthesis genes. Intriguingly, rpoB belongs to the few genes transcribed exclusively by NEP. Both NEP and PEP are active in non-green plastids and in chloroplasts at all stages of development. The transcriptional activity of NEP and PEP is affected by endogenous and exogenous factors. This article is part of a Special Issue entitled: Chloroplast Biogenesis.","author":[{"dropping-particle":"","family":"Börner","given":"Thomas","non-dropping-particle":"","parse-names":false,"suffix":""},{"dropping-particle":"","family":"Aleynikova","given":"Anastasia Yu","non-dropping-particle":"","parse-names":false,"suffix":""},{"dropping-particle":"","family":"Zubo","given":"Yan O.","non-dropping-particle":"","parse-names":false,"suffix":""},{"dropping-particle":"V.","family":"Kusnetsov","given":"Victor","non-dropping-particle":"","parse-names":false,"suffix":""}],"container-title":"Biochimica et Biophysica Acta - Bioenergetics","id":"ITEM-4","issue":"9","issued":{"date-parts":[["2015","12","18"]]},"page":"761-769","publisher":"Elsevier B.V.","title":"Chloroplast RNA polymerases: Role in chloroplast biogenesis","type":"article","volume":"1847"},"uris":["http://www.mendeley.com/documents/?uuid=7c4a791a-f098-38a2-846b-342fd551ffa0"]}],"mendeley":{"formattedCitation":"(Ahrens et al., 2025; Börner et al., 2015; Loiacono &amp; Bock, 2024; Zhang et al., 2025)","plainTextFormattedCitation":"(Ahrens et al., 2025; Börner et al., 2015; Loiacono &amp; Bock, 2024; Zhang et al., 2025)","previouslyFormattedCitation":"[5, 17, 19, 20]"},"properties":{"noteIndex":0},"schema":"https://github.com/citation-style-language/schema/raw/master/csl-citation.json"}</w:instrText>
      </w:r>
      <w:r w:rsidR="00774E22" w:rsidRPr="00C458B3">
        <w:rPr>
          <w:rFonts w:ascii="Times New Roman" w:hAnsi="Times New Roman" w:cs="Times New Roman"/>
        </w:rPr>
        <w:fldChar w:fldCharType="separate"/>
      </w:r>
      <w:r w:rsidR="00774E22" w:rsidRPr="00A652DE">
        <w:rPr>
          <w:rFonts w:ascii="Times New Roman" w:hAnsi="Times New Roman" w:cs="Times New Roman"/>
          <w:noProof/>
        </w:rPr>
        <w:t>(Ahrens et al., 2025; Börner et al., 2015; Loiacono &amp; Bock, 2024; Zhang et al., 2025)</w:t>
      </w:r>
      <w:r w:rsidR="00774E22" w:rsidRPr="00C458B3">
        <w:rPr>
          <w:rFonts w:ascii="Times New Roman" w:hAnsi="Times New Roman" w:cs="Times New Roman"/>
        </w:rPr>
        <w:fldChar w:fldCharType="end"/>
      </w:r>
      <w:r w:rsidR="00774E22">
        <w:rPr>
          <w:rFonts w:ascii="Times New Roman" w:hAnsi="Times New Roman" w:cs="Times New Roman"/>
        </w:rPr>
        <w:t xml:space="preserve">. </w:t>
      </w:r>
      <w:r w:rsidR="001476CE">
        <w:rPr>
          <w:rFonts w:ascii="Times New Roman" w:hAnsi="Times New Roman" w:cs="Times New Roman"/>
        </w:rPr>
        <w:t xml:space="preserve">PEP is a bacterial-type RNA polymerase </w:t>
      </w:r>
      <w:r w:rsidR="008043E8">
        <w:rPr>
          <w:rFonts w:ascii="Times New Roman" w:hAnsi="Times New Roman" w:cs="Times New Roman"/>
        </w:rPr>
        <w:t>which inherited its</w:t>
      </w:r>
      <w:r w:rsidR="001476CE">
        <w:rPr>
          <w:rFonts w:ascii="Times New Roman" w:hAnsi="Times New Roman" w:cs="Times New Roman"/>
        </w:rPr>
        <w:t xml:space="preserve"> catalytic core from its cyanobacterial endosymbiotic ancestor </w:t>
      </w:r>
      <w:r w:rsidR="001476CE" w:rsidRPr="00C458B3">
        <w:rPr>
          <w:rFonts w:ascii="Times New Roman" w:hAnsi="Times New Roman" w:cs="Times New Roman"/>
        </w:rPr>
        <w:fldChar w:fldCharType="begin" w:fldLock="1"/>
      </w:r>
      <w:r w:rsidR="001476CE">
        <w:rPr>
          <w:rFonts w:ascii="Times New Roman" w:hAnsi="Times New Roman" w:cs="Times New Roman"/>
        </w:rPr>
        <w:instrText>ADDIN CSL_CITATION {"citationItems":[{"id":"ITEM-1","itemData":{"DOI":"10.1111/tpj.15882","ISSN":"1365313X","PMID":"35765883","abstract":"Plastids contain their own genomes, which are transcribed by two types of RNA polymerases. One of those enzymes is a bacterial-type, multi-subunit polymerase encoded by the plastid genome. The plastid-encoded RNA polymerase (PEP) is required for efficient expression of genes encoding proteins involved in photosynthesis. Despite the importance of PEP, its DNA binding locations have not been studied on the genome-wide scale at high resolution. We established a highly specific approach to detect the genome-wide pattern of PEP binding to chloroplast DNA using plastid chromatin immunoprecipitation–sequencing (ptChIP-seq). We found that in mature Arabidopsis thaliana chloroplasts, PEP has a complex DNA binding pattern with preferential association at genes encoding rRNA, tRNA, and a subset of photosynthetic proteins. Sigma factors SIG2 and SIG6 strongly impact PEP binding to a subset of tRNA genes and have more moderate effects on PEP binding throughout the rest of the genome. PEP binding is commonly enriched on gene promoters, around transcription start sites. Finally, the levels of PEP binding to DNA are correlated with levels of RNA accumulation, which demonstrates the impact of PEP on chloroplast gene expression. Presented data are available through a publicly available Plastid Genome Visualization Tool (Plavisto) at https://plavisto.mcdb.lsa.umich.edu/.","author":[{"dropping-particle":"","family":"Palomar","given":"V. Miguel","non-dropping-particle":"","parse-names":false,"suffix":""},{"dropping-particle":"","family":"Jaksich","given":"Sarah","non-dropping-particle":"","parse-names":false,"suffix":""},{"dropping-particle":"","family":"Fujii","given":"Sho","non-dropping-particle":"","parse-names":false,"suffix":""},{"dropping-particle":"","family":"Kuciński","given":"Jan","non-dropping-particle":"","parse-names":false,"suffix":""},{"dropping-particle":"","family":"Wierzbicki","given":"Andrzej T.","non-dropping-particle":"","parse-names":false,"suffix":""}],"container-title":"Plant Journal","id":"ITEM-1","issue":"4","issued":{"date-parts":[["2022","8","1"]]},"page":"1139-1151","publisher":"John Wiley and Sons Inc","title":"High-resolution map of plastid-encoded RNA polymerase binding patterns demonstrates a major role of transcription in chloroplast gene expression","type":"article-journal","volume":"111"},"uris":["http://www.mendeley.com/documents/?uuid=904d4b64-fe97-3ab3-b8f6-951bd8dfaaa3"]}],"mendeley":{"formattedCitation":"(Palomar et al., 2022)","plainTextFormattedCitation":"(Palomar et al., 2022)","previouslyFormattedCitation":"[15]"},"properties":{"noteIndex":0},"schema":"https://github.com/citation-style-language/schema/raw/master/csl-citation.json"}</w:instrText>
      </w:r>
      <w:r w:rsidR="001476CE" w:rsidRPr="00C458B3">
        <w:rPr>
          <w:rFonts w:ascii="Times New Roman" w:hAnsi="Times New Roman" w:cs="Times New Roman"/>
        </w:rPr>
        <w:fldChar w:fldCharType="separate"/>
      </w:r>
      <w:r w:rsidR="001476CE" w:rsidRPr="00A652DE">
        <w:rPr>
          <w:rFonts w:ascii="Times New Roman" w:hAnsi="Times New Roman" w:cs="Times New Roman"/>
          <w:noProof/>
        </w:rPr>
        <w:t>(Palomar et al., 2022)</w:t>
      </w:r>
      <w:r w:rsidR="001476CE" w:rsidRPr="00C458B3">
        <w:rPr>
          <w:rFonts w:ascii="Times New Roman" w:hAnsi="Times New Roman" w:cs="Times New Roman"/>
        </w:rPr>
        <w:fldChar w:fldCharType="end"/>
      </w:r>
      <w:r w:rsidR="001476CE">
        <w:rPr>
          <w:rFonts w:ascii="Times New Roman" w:hAnsi="Times New Roman" w:cs="Times New Roman"/>
        </w:rPr>
        <w:t>. This enzyme stably</w:t>
      </w:r>
      <w:r w:rsidR="008043E8">
        <w:rPr>
          <w:rFonts w:ascii="Times New Roman" w:hAnsi="Times New Roman" w:cs="Times New Roman"/>
        </w:rPr>
        <w:t xml:space="preserve"> interacts</w:t>
      </w:r>
      <w:r w:rsidR="001476CE">
        <w:rPr>
          <w:rFonts w:ascii="Times New Roman" w:hAnsi="Times New Roman" w:cs="Times New Roman"/>
        </w:rPr>
        <w:t xml:space="preserve"> </w:t>
      </w:r>
      <w:r w:rsidR="008043E8">
        <w:rPr>
          <w:rFonts w:ascii="Times New Roman" w:hAnsi="Times New Roman" w:cs="Times New Roman"/>
        </w:rPr>
        <w:t xml:space="preserve">to </w:t>
      </w:r>
      <w:r w:rsidR="001476CE">
        <w:rPr>
          <w:rFonts w:ascii="Times New Roman" w:hAnsi="Times New Roman" w:cs="Times New Roman"/>
        </w:rPr>
        <w:t xml:space="preserve">several PEP-associated proteins (PAPs) encoded by nuclear genes, reflecting the complex integration between the chloroplast and nuclear genomes </w:t>
      </w:r>
      <w:r w:rsidR="001476CE" w:rsidRPr="00C458B3">
        <w:rPr>
          <w:rFonts w:ascii="Times New Roman" w:hAnsi="Times New Roman" w:cs="Times New Roman"/>
        </w:rPr>
        <w:fldChar w:fldCharType="begin" w:fldLock="1"/>
      </w:r>
      <w:r w:rsidR="001476CE">
        <w:rPr>
          <w:rFonts w:ascii="Times New Roman" w:hAnsi="Times New Roman" w:cs="Times New Roman"/>
        </w:rPr>
        <w:instrText>ADDIN CSL_CITATION {"citationItems":[{"id":"ITEM-1","itemData":{"DOI":"10.1038/s41467-024-54266-2","ISSN":"20411723","PMID":"39537621","abstract":"The plastid-encoded RNA polymerase serves as the principal transcription machinery within chloroplasts, transcribing over 80% of all primary plastid transcripts. This polymerase consists of a prokaryotic-like core enzyme known as the plastid-encoded RNA polymerase core, and is supplemented by newly evolved associated proteins known as PAPs. However, the architecture of the plastid-encoded RNA polymerase and the possible functions of PAPs remain unknown. Here, we present the cryo-electron microscopy structure of a 19-subunit plastid-encoded RNA polymerase complex derived from spinach (Spinacia oleracea). The structure shows that the plastid-encoded RNA polymerase core resembles bacterial RNA polymerase. Twelve PAPs and two additional proteins (FLN2 and pTAC18) bind at the periphery of the plastid-encoded RNA polymerase core, forming extensive interactions that may facilitate complex assembly and stability. PAPs may also protect the complex against oxidative damage and has potential functions in transcriptional regulation. This research offers a structural basis for future investigations into the functions and regulatory mechanisms governing the transcription of plastid genes.","author":[{"dropping-particle":"","family":"Wang","given":"Tongtong","non-dropping-particle":"","parse-names":false,"suffix":""},{"dropping-particle":"","family":"Wang","given":"Guang Lei","non-dropping-particle":"","parse-names":false,"suffix":""},{"dropping-particle":"","family":"Fang","given":"Ying","non-dropping-particle":"","parse-names":false,"suffix":""},{"dropping-particle":"","family":"Zhang","given":"Yi","non-dropping-particle":"","parse-names":false,"suffix":""},{"dropping-particle":"","family":"Peng","given":"Wenxin","non-dropping-particle":"","parse-names":false,"suffix":""},{"dropping-particle":"","family":"Zhou","given":"Yue","non-dropping-particle":"","parse-names":false,"suffix":""},{"dropping-particle":"","family":"Zhang","given":"Aihong","non-dropping-particle":"","parse-names":false,"suffix":""},{"dropping-particle":"","family":"Yu","given":"Long Jiang","non-dropping-particle":"","parse-names":false,"suffix":""},{"dropping-particle":"","family":"Lu","given":"Congming","non-dropping-particle":"","parse-names":false,"suffix":""}],"container-title":"Nature Communications ","id":"ITEM-1","issue":"1","issued":{"date-parts":[["2024","12","1"]]},"publisher":"Nature Research","title":"Architecture of the spinach plastid-encoded RNA polymerase","type":"article-journal","volume":"15"},"uris":["http://www.mendeley.com/documents/?uuid=564b299d-ccb8-30f7-a528-79dd13c4b37c"]},{"id":"ITEM-2","itemData":{"DOI":"10.1016/j.cell.2024.01.036","ISSN":"10974172","PMID":"38428394","abstract":"Chloroplast genes encoding photosynthesis-associated proteins are predominantly transcribed by the plastid-encoded RNA polymerase (PEP). PEP is a multi-subunit complex composed of plastid-encoded subunits similar to bacterial RNA polymerases (RNAPs) stably bound to a set of nuclear-encoded PEP-associated proteins (PAPs). PAPs are essential to PEP activity and chloroplast biogenesis, but their roles are poorly defined. Here, we present cryoelectron microscopy (cryo-EM) structures of native 21-subunit PEP and a PEP transcription elongation complex from white mustard (Sinapis alba). We identify that PAPs encase the core polymerase, forming extensive interactions that likely promote complex assembly and stability. During elongation, PAPs interact with DNA downstream of the transcription bubble and with the nascent mRNA. The models reveal details of the superoxide dismutase, lysine methyltransferase, thioredoxin, and amino acid ligase enzymes that are subunits of PEP. Collectively, these data provide a foundation for the mechanistic understanding of chloroplast transcription and its role in plant growth and adaptation.","author":[{"dropping-particle":"","family":"Vergara-Cruces","given":"Ángel","non-dropping-particle":"","parse-names":false,"suffix":""},{"dropping-particle":"","family":"Pramanick","given":"Ishika","non-dropping-particle":"","parse-names":false,"suffix":""},{"dropping-particle":"","family":"Pearce","given":"David","non-dropping-particle":"","parse-names":false,"suffix":""},{"dropping-particle":"","family":"Vogirala","given":"Vinod K.","non-dropping-particle":"","parse-names":false,"suffix":""},{"dropping-particle":"","family":"Byrne","given":"Matthew J.","non-dropping-particle":"","parse-names":false,"suffix":""},{"dropping-particle":"","family":"Low","given":"Jason K.K.","non-dropping-particle":"","parse-names":false,"suffix":""},{"dropping-particle":"","family":"Webster","given":"Michael W.","non-dropping-particle":"","parse-names":false,"suffix":""}],"container-title":"Cell","id":"ITEM-2","issue":"5","issued":{"date-parts":[["2024","2","29"]]},"page":"1145-1159.e21","publisher":"Elsevier B.V.","title":"Structure of the plant plastid-encoded RNA polymerase","type":"article-journal","volume":"187"},"uris":["http://www.mendeley.com/documents/?uuid=994deefe-6f54-328e-bb78-7448aeaffe78"]}],"mendeley":{"formattedCitation":"(Vergara-Cruces et al., 2024; Wang et al., 2024)","plainTextFormattedCitation":"(Vergara-Cruces et al., 2024; Wang et al., 2024)","previouslyFormattedCitation":"[16, 21]"},"properties":{"noteIndex":0},"schema":"https://github.com/citation-style-language/schema/raw/master/csl-citation.json"}</w:instrText>
      </w:r>
      <w:r w:rsidR="001476CE" w:rsidRPr="00C458B3">
        <w:rPr>
          <w:rFonts w:ascii="Times New Roman" w:hAnsi="Times New Roman" w:cs="Times New Roman"/>
        </w:rPr>
        <w:fldChar w:fldCharType="separate"/>
      </w:r>
      <w:r w:rsidR="001476CE" w:rsidRPr="00A652DE">
        <w:rPr>
          <w:rFonts w:ascii="Times New Roman" w:hAnsi="Times New Roman" w:cs="Times New Roman"/>
          <w:noProof/>
        </w:rPr>
        <w:t>(Vergara-Cruces et al., 2024; Wang et al., 2024)</w:t>
      </w:r>
      <w:r w:rsidR="001476CE" w:rsidRPr="00C458B3">
        <w:rPr>
          <w:rFonts w:ascii="Times New Roman" w:hAnsi="Times New Roman" w:cs="Times New Roman"/>
        </w:rPr>
        <w:fldChar w:fldCharType="end"/>
      </w:r>
      <w:r w:rsidR="001476CE">
        <w:rPr>
          <w:rFonts w:ascii="Times New Roman" w:hAnsi="Times New Roman" w:cs="Times New Roman"/>
        </w:rPr>
        <w:t xml:space="preserve">. The central role </w:t>
      </w:r>
      <w:r w:rsidR="001476CE">
        <w:rPr>
          <w:rFonts w:ascii="Times New Roman" w:hAnsi="Times New Roman" w:cs="Times New Roman"/>
        </w:rPr>
        <w:lastRenderedPageBreak/>
        <w:t xml:space="preserve">of PEP </w:t>
      </w:r>
      <w:r w:rsidR="008043E8">
        <w:rPr>
          <w:rFonts w:ascii="Times New Roman" w:hAnsi="Times New Roman" w:cs="Times New Roman"/>
        </w:rPr>
        <w:t>emphasizes</w:t>
      </w:r>
      <w:r w:rsidR="001476CE">
        <w:rPr>
          <w:rFonts w:ascii="Times New Roman" w:hAnsi="Times New Roman" w:cs="Times New Roman"/>
        </w:rPr>
        <w:t xml:space="preserve"> the importance of characterizing the </w:t>
      </w:r>
      <w:proofErr w:type="spellStart"/>
      <w:r w:rsidR="001476CE" w:rsidRPr="001476CE">
        <w:rPr>
          <w:rFonts w:ascii="Times New Roman" w:hAnsi="Times New Roman" w:cs="Times New Roman"/>
          <w:i/>
          <w:iCs/>
        </w:rPr>
        <w:t>rpo</w:t>
      </w:r>
      <w:proofErr w:type="spellEnd"/>
      <w:r w:rsidR="001476CE">
        <w:rPr>
          <w:rFonts w:ascii="Times New Roman" w:hAnsi="Times New Roman" w:cs="Times New Roman"/>
        </w:rPr>
        <w:t xml:space="preserve"> gene family, as </w:t>
      </w:r>
      <w:r w:rsidR="008043E8">
        <w:rPr>
          <w:rFonts w:ascii="Times New Roman" w:hAnsi="Times New Roman" w:cs="Times New Roman"/>
        </w:rPr>
        <w:t>its</w:t>
      </w:r>
      <w:r w:rsidR="001476CE">
        <w:rPr>
          <w:rFonts w:ascii="Times New Roman" w:hAnsi="Times New Roman" w:cs="Times New Roman"/>
        </w:rPr>
        <w:t xml:space="preserve"> presence and function regulate the transition from young chloroplasts to mature chloroplasts capable of efficient photosynthesis </w:t>
      </w:r>
      <w:r w:rsidR="001476CE" w:rsidRPr="00C458B3">
        <w:rPr>
          <w:rFonts w:ascii="Times New Roman" w:hAnsi="Times New Roman" w:cs="Times New Roman"/>
        </w:rPr>
        <w:fldChar w:fldCharType="begin" w:fldLock="1"/>
      </w:r>
      <w:r w:rsidR="001476CE">
        <w:rPr>
          <w:rFonts w:ascii="Times New Roman" w:hAnsi="Times New Roman" w:cs="Times New Roman"/>
        </w:rPr>
        <w:instrText>ADDIN CSL_CITATION {"citationItems":[{"id":"ITEM-1","itemData":{"DOI":"10.3389/fpls.2014.00316","ISSN":"1664462X","abstract":"Plastid transcription is crucial for plant growth and development. There exist two types of RNA polymerases in plastids: a nuclear-encoded RNA polymerase (NEP) and plastid-encoded RNA polymerase (PEP). PEP is the major RNA polymerase activity in chloroplast. Its core subunits are encoded by the plastid genome, and these are embedded into a larger complex of nuclear-encoded subunits. Biochemical and genetics analysis identified at least 12 proteins are tightly associated with the core subunit, while about 34 further proteins are associated more loosely generating larger complexes such as the transcriptionally active chromosome (TAC) or a part of the nucleoid. Domain analyses and functional investigations suggested that these nuclear-encoded factors may form several functional modules that mediate regulation of plastid gene expression by light, redox, phosphorylation, and heat stress. Genetic analyses also identified that some nuclear-encoded proteins in the chloroplast that are important for plastid gene expression, although a physical association with the transcriptional machinery is not observed. This covers several PPR proteins including CLB19, PDM1/SEL1, OTP70, and YS1 which are involved in the processing of transcripts for PEP core subunit as well as AtECB2, Prin2, SVR4-Like, and NARA5 that are also important for plastid gene expression, although their functions are unclear. © 2014 Yu, Huang and Yang.","author":[{"dropping-particle":"","family":"Yu","given":"Qing Bo","non-dropping-particle":"","parse-names":false,"suffix":""},{"dropping-particle":"","family":"Huang","given":"Chao","non-dropping-particle":"","parse-names":false,"suffix":""},{"dropping-particle":"","family":"Yang","given":"Zhong Nan","non-dropping-particle":"","parse-names":false,"suffix":""}],"container-title":"Frontiers in Plant Science","id":"ITEM-1","issue":"JUL","issued":{"date-parts":[["2014","7","3"]]},"title":"Nuclear-encoded factors associated with the chloroplast transcription machinery of higher plants","type":"article","volume":"5"},"uris":["http://www.mendeley.com/documents/?uuid=8eab9ddb-2728-32c9-917c-cca5afb1ff99"]}],"mendeley":{"formattedCitation":"(Yu et al., 2014)","plainTextFormattedCitation":"(Yu et al., 2014)","previouslyFormattedCitation":"[13]"},"properties":{"noteIndex":0},"schema":"https://github.com/citation-style-language/schema/raw/master/csl-citation.json"}</w:instrText>
      </w:r>
      <w:r w:rsidR="001476CE" w:rsidRPr="00C458B3">
        <w:rPr>
          <w:rFonts w:ascii="Times New Roman" w:hAnsi="Times New Roman" w:cs="Times New Roman"/>
        </w:rPr>
        <w:fldChar w:fldCharType="separate"/>
      </w:r>
      <w:r w:rsidR="001476CE" w:rsidRPr="00A652DE">
        <w:rPr>
          <w:rFonts w:ascii="Times New Roman" w:hAnsi="Times New Roman" w:cs="Times New Roman"/>
          <w:noProof/>
        </w:rPr>
        <w:t>(Yu et al., 2014)</w:t>
      </w:r>
      <w:r w:rsidR="001476CE" w:rsidRPr="00C458B3">
        <w:rPr>
          <w:rFonts w:ascii="Times New Roman" w:hAnsi="Times New Roman" w:cs="Times New Roman"/>
        </w:rPr>
        <w:fldChar w:fldCharType="end"/>
      </w:r>
      <w:r w:rsidR="001476CE" w:rsidRPr="00C458B3">
        <w:rPr>
          <w:rFonts w:ascii="Times New Roman" w:hAnsi="Times New Roman" w:cs="Times New Roman"/>
        </w:rPr>
        <w:t>.</w:t>
      </w:r>
    </w:p>
    <w:p w14:paraId="5A912B8D" w14:textId="07383543" w:rsidR="00434EE9" w:rsidRDefault="001476CE" w:rsidP="00434EE9">
      <w:pPr>
        <w:spacing w:after="0" w:line="360" w:lineRule="auto"/>
        <w:ind w:firstLine="454"/>
        <w:jc w:val="both"/>
        <w:rPr>
          <w:rFonts w:ascii="Times New Roman" w:hAnsi="Times New Roman" w:cs="Times New Roman"/>
        </w:rPr>
      </w:pPr>
      <w:r w:rsidRPr="001476CE">
        <w:rPr>
          <w:rFonts w:ascii="Times New Roman" w:hAnsi="Times New Roman" w:cs="Times New Roman"/>
        </w:rPr>
        <w:t xml:space="preserve">Indonesia </w:t>
      </w:r>
      <w:r w:rsidR="00E00DC5">
        <w:rPr>
          <w:rFonts w:ascii="Times New Roman" w:hAnsi="Times New Roman" w:cs="Times New Roman"/>
        </w:rPr>
        <w:t>h</w:t>
      </w:r>
      <w:r w:rsidR="00E00DC5" w:rsidRPr="00E00DC5">
        <w:rPr>
          <w:rFonts w:ascii="Times New Roman" w:hAnsi="Times New Roman" w:cs="Times New Roman"/>
        </w:rPr>
        <w:t>arbors a range o</w:t>
      </w:r>
      <w:r w:rsidR="00E00DC5">
        <w:rPr>
          <w:rFonts w:ascii="Times New Roman" w:hAnsi="Times New Roman" w:cs="Times New Roman"/>
        </w:rPr>
        <w:t>f</w:t>
      </w:r>
      <w:r w:rsidRPr="001476CE">
        <w:rPr>
          <w:rFonts w:ascii="Times New Roman" w:hAnsi="Times New Roman" w:cs="Times New Roman"/>
        </w:rPr>
        <w:t xml:space="preserve"> elite sugarcane cultivars </w:t>
      </w:r>
      <w:r w:rsidR="00E00DC5">
        <w:rPr>
          <w:rFonts w:ascii="Times New Roman" w:hAnsi="Times New Roman" w:cs="Times New Roman"/>
        </w:rPr>
        <w:t xml:space="preserve">with </w:t>
      </w:r>
      <w:r w:rsidRPr="001476CE">
        <w:rPr>
          <w:rFonts w:ascii="Times New Roman" w:hAnsi="Times New Roman" w:cs="Times New Roman"/>
        </w:rPr>
        <w:t>advantageous agronomic traits, in</w:t>
      </w:r>
      <w:r>
        <w:rPr>
          <w:rFonts w:ascii="Times New Roman" w:hAnsi="Times New Roman" w:cs="Times New Roman"/>
        </w:rPr>
        <w:t xml:space="preserve">cluding the cultivars </w:t>
      </w:r>
      <w:proofErr w:type="spellStart"/>
      <w:r>
        <w:rPr>
          <w:rFonts w:ascii="Times New Roman" w:hAnsi="Times New Roman" w:cs="Times New Roman"/>
        </w:rPr>
        <w:t>Kidang</w:t>
      </w:r>
      <w:proofErr w:type="spellEnd"/>
      <w:r>
        <w:rPr>
          <w:rFonts w:ascii="Times New Roman" w:hAnsi="Times New Roman" w:cs="Times New Roman"/>
        </w:rPr>
        <w:t xml:space="preserve"> </w:t>
      </w:r>
      <w:proofErr w:type="spellStart"/>
      <w:r>
        <w:rPr>
          <w:rFonts w:ascii="Times New Roman" w:hAnsi="Times New Roman" w:cs="Times New Roman"/>
        </w:rPr>
        <w:t>Kencana</w:t>
      </w:r>
      <w:proofErr w:type="spellEnd"/>
      <w:r>
        <w:rPr>
          <w:rFonts w:ascii="Times New Roman" w:hAnsi="Times New Roman" w:cs="Times New Roman"/>
        </w:rPr>
        <w:t xml:space="preserve"> and </w:t>
      </w:r>
      <w:proofErr w:type="spellStart"/>
      <w:r>
        <w:rPr>
          <w:rFonts w:ascii="Times New Roman" w:hAnsi="Times New Roman" w:cs="Times New Roman"/>
        </w:rPr>
        <w:t>Bululawang</w:t>
      </w:r>
      <w:proofErr w:type="spellEnd"/>
      <w:r>
        <w:rPr>
          <w:rFonts w:ascii="Times New Roman" w:hAnsi="Times New Roman" w:cs="Times New Roman"/>
        </w:rPr>
        <w:t xml:space="preserve">, </w:t>
      </w:r>
      <w:r w:rsidR="00E00DC5">
        <w:rPr>
          <w:rFonts w:ascii="Times New Roman" w:hAnsi="Times New Roman" w:cs="Times New Roman"/>
        </w:rPr>
        <w:t xml:space="preserve">both </w:t>
      </w:r>
      <w:r>
        <w:rPr>
          <w:rFonts w:ascii="Times New Roman" w:hAnsi="Times New Roman" w:cs="Times New Roman"/>
        </w:rPr>
        <w:t xml:space="preserve">known for their superior sucrose accumulation </w:t>
      </w:r>
      <w:r w:rsidRPr="00C458B3">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{"citationItems":[{"id":"ITEM-1","itemData":{"author":[{"dropping-particle":"","family":"P3GI","given":"","non-dropping-particle":"","parse-names":false,"suffix":""}],"id":"ITEM-1","issued":{"date-parts":[["2025","1","31"]]},"page":"1","title":"Varietas Komersial di Indonesia","type":"webpage"},"uris":["http://www.mendeley.com/documents/?uuid=1a6ac401-8929-325f-b7b0-ae705ac9d4b1"]},{"id":"ITEM-2","itemData":{"DOI":"10.22302/iribb.jur.mp.v1i1.287","ISSN":"0125-9318","abstract":"Increasing productivity and sugar yield of sugarcane are required to meet the increasing demand for sugar. Biostimulants application is one of the effort to increase the productivity and rendement of sugar, especially at drought stress conditions. The purpose of this study was to determine the effect of biostimulants on the performance of sugarcane var. Kidang Kencana known susceptible to drought stress. The research was conducted in the greenhouse with several biostimulant treatments i.e. P0: Control, P1: Citorin-R, P2: Citorin-R and Citorin-S (1x spray) P3: Citorin-R and Citorin -S (2x spray), P4: Citorin-R, Citorin-S (1x spray) and Humic Acid, P5: Citorin-R, Citorin-S (1x spray), Humic Acid and Mycorrhiza, P6: Citorin-R, Citorin-S (2x spray), Humic Acid and Mycorrhiza. All treatments were subjected with drought stress started from 4 months after planting. The biostimulant treatments resulted in better growth and yield on treated-biostimulan compared to these of control. The best treatment for the vegetative growth and the productive parameters was P6. The plant height, stems diameter, segment number, weight, and sap volume at P6 were respectively 32.2%, 5.5%, 24.0%, 53.2% and 44.7% higher than the control. The best treatment for the sugar yield was P5 and the productivity parameters was P6 respectively, 42.5% and 70.5% higher than the control. The best treatments contained Citorin biostimulant. Humic Acid and Mycorrhiza which increased growth and sugar yield of Kidang Kencana sugarcane at drought stress conditions.[Keywords: drought stress Kidang Kencana variety, plant biostimulant, productivity, sugar yield]. AbstrakPeningkatan produktivitas dan rendemen gula tanaman tebu diperlukan untuk memenuhi kebutuhan gula yang terus meningkat. Aplikasi biostimulan merupakan salah satu upaya untuk meningkatkan produktivitas dan rendemen gula khususnya pada kondisi tercekam kekeringan. Tujuan dari penelitian ini adalah untuk mengetahui pengaruh pemberian beberapa produk biostimulan terhadap produktivitas tanaman tebu varietas Kidang Kencana yang rentan cekaman kekeringan. Penelitian dilakukan di rumah kaca dengan perlakuan beberapa perlakuan biostimulan pada tanaman tebu, yaitu P0: Kontrol, P1: Citorin-R, P2: Citorin-R dan Citorin-S (1x semprot) P3: Citorin-R dan Citorin-S (2x semprot), P4: Citorin-R, Citorin-S (1x semprot) dan Asam Humat, P5: Citorin-R, Citorin-S (1x semprot), Asam Humat dan Mikoriza, P6: Citorin-R, Citorin-S (2x semprot), Asam Humat dan Mikor…","author":[{"dropping-particle":"","family":"Amanah","given":"Dian Mutiara","non-dropping-particle":"","parse-names":false,"suffix":""},{"dropping-particle":"","family":"Putra","given":"Soekarno Mismana","non-dropping-particle":"","parse-names":false,"suffix":""}],"container-title":"E-Journal Menara Perkebunan","id":"ITEM-2","issue":"1","issued":{"date-parts":[["2018","4","23"]]},"page":"46-55","publisher":"Riset Perkebunan Nusantara","title":"Pengaruh biostimulan terhadap toleransi kekeringan dan pertumbuhan tanaman tebu varietas Kidang Kencana di rumah kaca (Effect of biostimulants on drought tolerance and growth of sugarcane var. Kidang Kencana at green house)","type":"article-journal","volume":"86"},"uris":["http://www.mendeley.com/documents/?uuid=b146d427-2357-3b98-a951-477d6b7e49a1"]},{"id":"ITEM-3","itemData":{"DOI":"10.1007/s12355-021-01069-0","ISSN":"09740740","abstract":"In Indonesia, sugarcane and sugar production during the last ten years (2010–2019) fluctuated considerably and showed a declining trend due to several reasons. The achievements of sugarcane production were mainly influenced by the availability of superior sugarcane varieties developed by the domestic sugarcane breeding programs. Historically, sugarcane breeding in Indonesia was started during the Dutch era in the late nineteenth century by Het Proefstation Oost Java (POJ) and the great achievements were the discovery of ‘wonder cane’ POJ 2878 and POJ 3016. Breeding activities carried out by the Indonesian Sugar Research Institute (ISRI), as the successor of POJ, are aimed to address different challenges including those arising from moving sugarcane production from paddy fields to dry and marginal lands, increasing ratoons, and managing climate change and biotic and abiotic stresses. Currently, ISRI is facing serious financial problems, which made breeding activities less optimal. Consequently, germplasm collection, number of crossing, seedling and clone selection, and the number of new released sugarcane varieties in the last 10 years decreased considerably. The decline of ISRI’s breeding activities has prompted several other institutions to carry out breeding programs, namely PT Gunung Madu Plantation, Jengkol Sugar Research Centre of PTPN X, Sukosari Research Centre of PTPN XI, and the Indonesian Sweeteners and Fiber Crops Research Institute (ISFCRI). In principle, the objective of all the breeding programs is to obtain superior varieties with the characteristics as expected by the cane growers such as high cane yield and sugar content, good ratooning ability, resistant to systemic diseases, and borer as well as drought tolerant. Currently, the majority commercial sugarcane varieties planted by cane growers are the old varieties that was released more than 10 years ago, and the most dominant variety is Bululawang (BL). The average sugarcane yield is around 70 t/ha and sugar yield of 5.4 t/ha, which are much lower than that of other sugar producing countries. To improve sugar production several new superior varieties have been released by all the institution during the last 5 years, but the development of those varieties on commercial scale is still limited. In the future, collaboration among the existing sugarcane breeding agencies needs to be improved so that the breeding program could run efficiently and effectively. This review briefly describes th…","author":[{"dropping-particle":"","family":"Widyasari","given":"Wiwit Budi","non-dropping-particle":"","parse-names":false,"suffix":""},{"dropping-particle":"","family":"Putra","given":"Lilik Koesmihartono","non-dropping-particle":"","parse-names":false,"suffix":""},{"dropping-particle":"","family":"Ranomahera","given":"Muhammad Rasyid Ridla","non-dropping-particle":"","parse-names":false,"suffix":""},{"dropping-particle":"","family":"Puspitasari","given":"Arinta Rury","non-dropping-particle":"","parse-names":false,"suffix":""}],"container-title":"Sugar Tech","id":"ITEM-3","issue":"1","issued":{"date-parts":[["2022","2","1"]]},"page":"30-47","publisher":"Springer","title":"Historical Notes, Germplasm Development, and Molecular Approaches to Support Sugarcane Breeding Program in Indonesia","type":"article-journal","volume":"24"},"uris":["http://www.mendeley.com/documents/?uuid=2cfb40b7-6cf7-3067-b054-a1ee3d10d08c"]}],"mendeley":{"formattedCitation":"(Amanah &amp; Putra, 2018; P3GI, 2025; Widyasari et al., 2022)","plainTextFormattedCitation":"(Amanah &amp; Putra, 2018; P3GI, 2025; Widyasari et al., 2022)","previouslyFormattedCitation":"[22–24]"},"properties":{"noteIndex":0},"schema":"https://github.com/citation-style-language/schema/raw/master/csl-citation.json"}</w:instrText>
      </w:r>
      <w:r w:rsidRPr="00C458B3">
        <w:rPr>
          <w:rFonts w:ascii="Times New Roman" w:hAnsi="Times New Roman" w:cs="Times New Roman"/>
        </w:rPr>
        <w:fldChar w:fldCharType="separate"/>
      </w:r>
      <w:r w:rsidRPr="00A652DE">
        <w:rPr>
          <w:rFonts w:ascii="Times New Roman" w:hAnsi="Times New Roman" w:cs="Times New Roman"/>
          <w:noProof/>
        </w:rPr>
        <w:t>(Amanah &amp; Putra, 2018; P3GI, 2025; Widyasari et al., 2022)</w:t>
      </w:r>
      <w:r w:rsidRPr="00C458B3">
        <w:rPr>
          <w:rFonts w:ascii="Times New Roman" w:hAnsi="Times New Roman" w:cs="Times New Roman"/>
        </w:rPr>
        <w:fldChar w:fldCharType="end"/>
      </w:r>
      <w:r>
        <w:rPr>
          <w:rFonts w:ascii="Times New Roman" w:hAnsi="Times New Roman" w:cs="Times New Roman"/>
        </w:rPr>
        <w:t xml:space="preserve">. </w:t>
      </w:r>
      <w:r w:rsidR="00E00DC5" w:rsidRPr="00E00DC5">
        <w:rPr>
          <w:rFonts w:ascii="Times New Roman" w:hAnsi="Times New Roman" w:cs="Times New Roman"/>
        </w:rPr>
        <w:t xml:space="preserve">Reported sucrose yields reach 10.99 ± 1.65% under irrigated conditions and 9.51 ± 0.88% in dryland systems for </w:t>
      </w:r>
      <w:proofErr w:type="spellStart"/>
      <w:r w:rsidR="00E00DC5" w:rsidRPr="00E00DC5">
        <w:rPr>
          <w:rFonts w:ascii="Times New Roman" w:hAnsi="Times New Roman" w:cs="Times New Roman"/>
        </w:rPr>
        <w:t>Kidang</w:t>
      </w:r>
      <w:proofErr w:type="spellEnd"/>
      <w:r w:rsidR="00E00DC5" w:rsidRPr="00E00DC5">
        <w:rPr>
          <w:rFonts w:ascii="Times New Roman" w:hAnsi="Times New Roman" w:cs="Times New Roman"/>
        </w:rPr>
        <w:t xml:space="preserve"> </w:t>
      </w:r>
      <w:proofErr w:type="spellStart"/>
      <w:r w:rsidR="00E00DC5" w:rsidRPr="00E00DC5">
        <w:rPr>
          <w:rFonts w:ascii="Times New Roman" w:hAnsi="Times New Roman" w:cs="Times New Roman"/>
        </w:rPr>
        <w:t>Kencana</w:t>
      </w:r>
      <w:proofErr w:type="spellEnd"/>
      <w:r w:rsidR="00E00DC5" w:rsidRPr="00E00DC5">
        <w:rPr>
          <w:rFonts w:ascii="Times New Roman" w:hAnsi="Times New Roman" w:cs="Times New Roman"/>
        </w:rPr>
        <w:t xml:space="preserve">, while </w:t>
      </w:r>
      <w:proofErr w:type="spellStart"/>
      <w:r w:rsidR="00E00DC5" w:rsidRPr="00E00DC5">
        <w:rPr>
          <w:rFonts w:ascii="Times New Roman" w:hAnsi="Times New Roman" w:cs="Times New Roman"/>
        </w:rPr>
        <w:t>Bululawang</w:t>
      </w:r>
      <w:proofErr w:type="spellEnd"/>
      <w:r w:rsidR="00E00DC5" w:rsidRPr="00E00DC5">
        <w:rPr>
          <w:rFonts w:ascii="Times New Roman" w:hAnsi="Times New Roman" w:cs="Times New Roman"/>
        </w:rPr>
        <w:t xml:space="preserve"> shows approximately 7.51% under dryland cultivation</w:t>
      </w:r>
      <w:r w:rsidRPr="00C458B3">
        <w:rPr>
          <w:rFonts w:ascii="Times New Roman" w:hAnsi="Times New Roman" w:cs="Times New Roman"/>
        </w:rPr>
        <w:t xml:space="preserve"> </w:t>
      </w:r>
      <w:r w:rsidRPr="00C458B3">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{"citationItems":[{"id":"ITEM-1","itemData":{"author":[{"dropping-particle":"","family":"P3GI","given":"","non-dropping-particle":"","parse-names":false,"suffix":""}],"id":"ITEM-1","issued":{"date-parts":[["2025","1","31"]]},"page":"1","title":"Varietas Komersial di Indonesia","type":"webpage"},"uris":["http://www.mendeley.com/documents/?uuid=1a6ac401-8929-325f-b7b0-ae705ac9d4b1"]}],"mendeley":{"formattedCitation":"(P3GI, 2025)","plainTextFormattedCitation":"(P3GI, 2025)","previouslyFormattedCitation":"[22]"},"properties":{"noteIndex":0},"schema":"https://github.com/citation-style-language/schema/raw/master/csl-citation.json"}</w:instrText>
      </w:r>
      <w:r w:rsidRPr="00C458B3">
        <w:rPr>
          <w:rFonts w:ascii="Times New Roman" w:hAnsi="Times New Roman" w:cs="Times New Roman"/>
        </w:rPr>
        <w:fldChar w:fldCharType="separate"/>
      </w:r>
      <w:r w:rsidRPr="00A652DE">
        <w:rPr>
          <w:rFonts w:ascii="Times New Roman" w:hAnsi="Times New Roman" w:cs="Times New Roman"/>
          <w:noProof/>
        </w:rPr>
        <w:t>(P3GI, 2025)</w:t>
      </w:r>
      <w:r w:rsidRPr="00C458B3">
        <w:rPr>
          <w:rFonts w:ascii="Times New Roman" w:hAnsi="Times New Roman" w:cs="Times New Roman"/>
        </w:rPr>
        <w:fldChar w:fldCharType="end"/>
      </w:r>
      <w:r w:rsidRPr="00C458B3">
        <w:rPr>
          <w:rFonts w:ascii="Times New Roman" w:hAnsi="Times New Roman" w:cs="Times New Roman"/>
        </w:rPr>
        <w:t>.</w:t>
      </w:r>
      <w:r w:rsidR="00072BC8">
        <w:rPr>
          <w:rFonts w:ascii="Times New Roman" w:hAnsi="Times New Roman" w:cs="Times New Roman"/>
        </w:rPr>
        <w:t xml:space="preserve"> Despite these agronomic advantages, such traits are not yet supported by comprehensive genomic information. To date, the potential of local sugarcane cultivars remains largely unexplored and insufficiently documented at the genomic level. The limited availability of local genomic databases, combined with the dominance of global genomic references that poorly represent Indonesian agroecosystems, has hindered the optimal implementation of molecular breeding in sugarcane </w:t>
      </w:r>
      <w:r w:rsidR="00072BC8" w:rsidRPr="00C458B3">
        <w:rPr>
          <w:rFonts w:ascii="Times New Roman" w:hAnsi="Times New Roman" w:cs="Times New Roman"/>
        </w:rPr>
        <w:fldChar w:fldCharType="begin" w:fldLock="1"/>
      </w:r>
      <w:r w:rsidR="00072BC8">
        <w:rPr>
          <w:rFonts w:ascii="Times New Roman" w:hAnsi="Times New Roman" w:cs="Times New Roman"/>
        </w:rPr>
        <w:instrText>ADDIN CSL_CITATION {"citationItems":[{"id":"ITEM-1","itemData":{"DOI":"10.1080/14772000.2016.1197336","ISSN":"14780933","abstract":"Sugarcane (Saccharum hybrid cultivar) ranks among the world's top 10 food crops and annually provides 60–70% of the sugar produced worldwide. Despite its economic importance there has been no large-scale systematics study of genus Saccharum and the existing model of sugarcane origins has remained largely unchallenged for almost 50 years. For the first time, we have assembled the complete plastid genomes of Miscanthus floridulus (first report for this genus), Saccharum spontaneum and Saccharum officinarum allowing us to elucidate the phylogenetic origins of Saccharum s.s. species. We demonstrate that Saccharum s.s. is divided into four species, with S. spontaneum diverging from the remainder of the genus about 1.5 million years ago and S. robustum diverging 750,000 years ago. Two separate lineages, one leading to S. officinarum and the other leading to modern hybrid cultivars diverged from S. robustum 640,000 years ago. These findings overturn all previous hypotheses on sugarcane origins, demonstrating that sugarcane's antecedents could not have arisen by human action. All modern cultivars share a common Polynesian origin, whereas Old World canes, S. barberi and S. sinense, cluster as a distinct S. officinarum lineage. This makes modern cultivars a distinct species of genus Saccharum, and we formally propose the name Saccharum cultum for the ancestor of all lineages currently classified as Saccharum hybrid cultivars.","author":[{"dropping-particle":"","family":"Evans","given":"Dyfed Lloyd","non-dropping-particle":"","parse-names":false,"suffix":""},{"dropping-particle":"","family":"Joshi","given":"Shailesh Vinay","non-dropping-particle":"","parse-names":false,"suffix":""}],"container-title":"Systematics and Biodiversity","id":"ITEM-1","issue":"6","issued":{"date-parts":[["2016","11","1"]]},"page":"548-571","publisher":"Taylor and Francis Ltd.","title":"Complete chloroplast genomes of Saccharum spontaneum, Saccharum officinarum and Miscanthus floridulus (Panicoideae: Andropogoneae) reveal the plastid view on sugarcane origins","type":"article-journal","volume":"14"},"uris":["http://www.mendeley.com/documents/?uuid=5ac215c5-41ba-3e0c-8ae2-1fb2c39011dc"]},{"id":"ITEM-2","itemData":{"DOI":"10.23960/jtep-l.v13i1.132-146","ISSN":"2302-559X","abstract":"The productivity of sugarcane is decreasing and there are more and more varieties in circulation. The decrease in productivity is caused by the incompatibility of each variety of land typology. The purpose of this research is to arrange the right varieties in increasing the productivity of sugarcane. The research method is surveying and matching. Parameters used include soil texture, land type conditions, soil drainage conditions, and rainfall. Based on the research results, the total working area of 11,866.81 ha was divided into 4 land typologies, namely BHJ with an area of 2,910.95 hectares (24.53%), BPJ with an area of 2,047.44 hectares (17.25%), RHL an area of 471.12 hectares (3.97%), RPL area of 1,527.01 hectares (12.87%). Based on land typology the suitability of BHJ varieties of sugarcane suitable varieties PSMLG 1 AGRIBUN, VMC76-16, NX03, PS921, PSJT941, PSDK923; BPJ land typology of suitable varieties Cenning, VMC71-238, PA0218, NX01, Kentung, AASAgribun, PSJT 941, PSDK923, PSBK051, NX02; RHL land typology of suitable varieties PSKA 942, PA028, PSBK061, VMC76-16, AMS Agribun, ASA Agribun, PSJT941, NXI4T, MOJO01, Bululawang; RPL land typology of suitable varieties PS881, TLH02, PSKA 942, PSBK061, PS091, PSJK922, VMC86-550, PS862, PS851, PSCO902, Kidang Kencana, PS882, PS092, PS865, PS864, NXI4T, Bululawang.  Keywords: Soil drainage, Soil texture, Soil type, Soil typology, Sugarcane varieties. ","author":[{"dropping-particle":"","family":"Basuki","given":"Basuki","non-dropping-particle":"","parse-names":false,"suffix":""},{"dropping-particle":"","family":"Sari","given":"Vega Kartika","non-dropping-particle":"","parse-names":false,"suffix":""}],"container-title":"Jurnal Teknik Pertanian Lampung (Journal of Agricultural Engineering)","id":"ITEM-2","issue":"1","issued":{"date-parts":[["2024","2","1"]]},"page":"132","publisher":"Lembaga Penelitian dan Pengabdian kepada Masyarakat Universitas Lampung","title":"Specifications of Sugar Cane Varieties Based on Land Characteristic and Typology","type":"article-journal","volume":"13"},"uris":["http://www.mendeley.com/documents/?uuid=a9c89611-30cb-3ce7-9e7b-5d630e415648"]},{"id":"ITEM-3","itemData":{"DOI":"10.1007/s12355-021-01069-0","ISSN":"09740740","abstract":"In Indonesia, sugarcane and sugar production during the last ten years (2010–2019) fluctuated considerably and showed a declining trend due to several reasons. The achievements of sugarcane production were mainly influenced by the availability of superior sugarcane varieties developed by the domestic sugarcane breeding programs. Historically, sugarcane breeding in Indonesia was started during the Dutch era in the late nineteenth century by Het Proefstation Oost Java (POJ) and the great achievements were the discovery of ‘wonder cane’ POJ 2878 and POJ 3016. Breeding activities carried out by the Indonesian Sugar Research Institute (ISRI), as the successor of POJ, are aimed to address different challenges including those arising from moving sugarcane production from paddy fields to dry and marginal lands, increasing ratoons, and managing climate change and biotic and abiotic stresses. Currently, ISRI is facing serious financial problems, which made breeding activities less optimal. Consequently, germplasm collection, number of crossing, seedling and clone selection, and the number of new released sugarcane varieties in the last 10 years decreased considerably. The decline of ISRI’s breeding activities has prompted several other institutions to carry out breeding programs, namely PT Gunung Madu Plantation, Jengkol Sugar Research Centre of PTPN X, Sukosari Research Centre of PTPN XI, and the Indonesian Sweeteners and Fiber Crops Research Institute (ISFCRI). In principle, the objective of all the breeding programs is to obtain superior varieties with the characteristics as expected by the cane growers such as high cane yield and sugar content, good ratooning ability, resistant to systemic diseases, and borer as well as drought tolerant. Currently, the majority commercial sugarcane varieties planted by cane growers are the old varieties that was released more than 10 years ago, and the most dominant variety is Bululawang (BL). The average sugarcane yield is around 70 t/ha and sugar yield of 5.4 t/ha, which are much lower than that of other sugar producing countries. To improve sugar production several new superior varieties have been released by all the institution during the last 5 years, but the development of those varieties on commercial scale is still limited. In the future, collaboration among the existing sugarcane breeding agencies needs to be improved so that the breeding program could run efficiently and effectively. This review briefly describes th…","author":[{"dropping-particle":"","family":"Widyasari","given":"Wiwit Budi","non-dropping-particle":"","parse-names":false,"suffix":""},{"dropping-particle":"","family":"Putra","given":"Lilik Koesmihartono","non-dropping-particle":"","parse-names":false,"suffix":""},{"dropping-particle":"","family":"Ranomahera","given":"Muhammad Rasyid Ridla","non-dropping-particle":"","parse-names":false,"suffix":""},{"dropping-particle":"","family":"Puspitasari","given":"Arinta Rury","non-dropping-particle":"","parse-names":false,"suffix":""}],"container-title":"Sugar Tech","id":"ITEM-3","issue":"1","issued":{"date-parts":[["2022","2","1"]]},"page":"30-47","publisher":"Springer","title":"Historical Notes, Germplasm Development, and Molecular Approaches to Support Sugarcane Breeding Program in Indonesia","type":"article-journal","volume":"24"},"uris":["http://www.mendeley.com/documents/?uuid=2cfb40b7-6cf7-3067-b054-a1ee3d10d08c"]}],"mendeley":{"formattedCitation":"(Basuki &amp; Sari, 2024; Evans &amp; Joshi, 2016; Widyasari et al., 2022)","plainTextFormattedCitation":"(Basuki &amp; Sari, 2024; Evans &amp; Joshi, 2016; Widyasari et al., 2022)","previouslyFormattedCitation":"[12, 24, 25]"},"properties":{"noteIndex":0},"schema":"https://github.com/citation-style-language/schema/raw/master/csl-citation.json"}</w:instrText>
      </w:r>
      <w:r w:rsidR="00072BC8" w:rsidRPr="00C458B3">
        <w:rPr>
          <w:rFonts w:ascii="Times New Roman" w:hAnsi="Times New Roman" w:cs="Times New Roman"/>
        </w:rPr>
        <w:fldChar w:fldCharType="separate"/>
      </w:r>
      <w:r w:rsidR="00072BC8" w:rsidRPr="00A652DE">
        <w:rPr>
          <w:rFonts w:ascii="Times New Roman" w:hAnsi="Times New Roman" w:cs="Times New Roman"/>
          <w:noProof/>
        </w:rPr>
        <w:t>(Basuki &amp; Sari, 2024; Evans &amp; Joshi, 2016; Widyasari et al., 2022)</w:t>
      </w:r>
      <w:r w:rsidR="00072BC8" w:rsidRPr="00C458B3">
        <w:rPr>
          <w:rFonts w:ascii="Times New Roman" w:hAnsi="Times New Roman" w:cs="Times New Roman"/>
        </w:rPr>
        <w:fldChar w:fldCharType="end"/>
      </w:r>
      <w:r w:rsidR="00072BC8">
        <w:rPr>
          <w:rFonts w:ascii="Times New Roman" w:hAnsi="Times New Roman" w:cs="Times New Roman"/>
        </w:rPr>
        <w:t xml:space="preserve">. One promising </w:t>
      </w:r>
      <w:r w:rsidR="00E00DC5">
        <w:rPr>
          <w:rFonts w:ascii="Times New Roman" w:hAnsi="Times New Roman" w:cs="Times New Roman"/>
        </w:rPr>
        <w:t>way</w:t>
      </w:r>
      <w:r w:rsidR="00072BC8">
        <w:rPr>
          <w:rFonts w:ascii="Times New Roman" w:hAnsi="Times New Roman" w:cs="Times New Roman"/>
        </w:rPr>
        <w:t xml:space="preserve"> to address this gap is the exploration </w:t>
      </w:r>
      <w:r w:rsidR="00E00DC5" w:rsidRPr="00E00DC5">
        <w:rPr>
          <w:rFonts w:ascii="Times New Roman" w:hAnsi="Times New Roman" w:cs="Times New Roman"/>
        </w:rPr>
        <w:t>through the characterization of</w:t>
      </w:r>
      <w:r w:rsidR="00E00DC5">
        <w:rPr>
          <w:rFonts w:ascii="Times New Roman" w:hAnsi="Times New Roman" w:cs="Times New Roman"/>
        </w:rPr>
        <w:t xml:space="preserve"> </w:t>
      </w:r>
      <w:r w:rsidR="00E00DC5" w:rsidRPr="00E00DC5">
        <w:rPr>
          <w:rFonts w:ascii="Times New Roman" w:hAnsi="Times New Roman" w:cs="Times New Roman"/>
        </w:rPr>
        <w:t>genes involved in</w:t>
      </w:r>
      <w:r w:rsidR="00072BC8">
        <w:rPr>
          <w:rFonts w:ascii="Times New Roman" w:hAnsi="Times New Roman" w:cs="Times New Roman"/>
        </w:rPr>
        <w:t xml:space="preserve"> chloroplast function and photosynthetic processes. </w:t>
      </w:r>
      <w:r w:rsidR="00E00DC5">
        <w:rPr>
          <w:rFonts w:ascii="Times New Roman" w:hAnsi="Times New Roman" w:cs="Times New Roman"/>
        </w:rPr>
        <w:t>E</w:t>
      </w:r>
      <w:r w:rsidR="00E00DC5" w:rsidRPr="00E00DC5">
        <w:rPr>
          <w:rFonts w:ascii="Times New Roman" w:hAnsi="Times New Roman" w:cs="Times New Roman"/>
        </w:rPr>
        <w:t xml:space="preserve">vidence from </w:t>
      </w:r>
      <w:r w:rsidR="00072BC8">
        <w:rPr>
          <w:rFonts w:ascii="Times New Roman" w:hAnsi="Times New Roman" w:cs="Times New Roman"/>
        </w:rPr>
        <w:t xml:space="preserve">model plants, such as </w:t>
      </w:r>
      <w:r w:rsidR="00072BC8" w:rsidRPr="00072BC8">
        <w:rPr>
          <w:rFonts w:ascii="Times New Roman" w:hAnsi="Times New Roman" w:cs="Times New Roman"/>
          <w:i/>
          <w:iCs/>
        </w:rPr>
        <w:t>Nicotiana tabacum</w:t>
      </w:r>
      <w:r w:rsidR="00072BC8">
        <w:rPr>
          <w:rFonts w:ascii="Times New Roman" w:hAnsi="Times New Roman" w:cs="Times New Roman"/>
        </w:rPr>
        <w:t xml:space="preserve">, shown that mutations in </w:t>
      </w:r>
      <w:proofErr w:type="spellStart"/>
      <w:r w:rsidR="00072BC8" w:rsidRPr="00072BC8">
        <w:rPr>
          <w:rFonts w:ascii="Times New Roman" w:hAnsi="Times New Roman" w:cs="Times New Roman"/>
          <w:i/>
          <w:iCs/>
        </w:rPr>
        <w:t>rpo</w:t>
      </w:r>
      <w:proofErr w:type="spellEnd"/>
      <w:r w:rsidR="00072BC8">
        <w:rPr>
          <w:rFonts w:ascii="Times New Roman" w:hAnsi="Times New Roman" w:cs="Times New Roman"/>
          <w:i/>
          <w:iCs/>
        </w:rPr>
        <w:t xml:space="preserve"> </w:t>
      </w:r>
      <w:r w:rsidR="00072BC8">
        <w:rPr>
          <w:rFonts w:ascii="Times New Roman" w:hAnsi="Times New Roman" w:cs="Times New Roman"/>
        </w:rPr>
        <w:t xml:space="preserve">genes can lead to albino or chlorotic phenotypes, </w:t>
      </w:r>
      <w:r w:rsidR="00E00DC5" w:rsidRPr="00E00DC5">
        <w:rPr>
          <w:rFonts w:ascii="Times New Roman" w:hAnsi="Times New Roman" w:cs="Times New Roman"/>
        </w:rPr>
        <w:t>underscoring</w:t>
      </w:r>
      <w:r w:rsidR="00072BC8">
        <w:rPr>
          <w:rFonts w:ascii="Times New Roman" w:hAnsi="Times New Roman" w:cs="Times New Roman"/>
        </w:rPr>
        <w:t xml:space="preserve"> the essential role of this gene family in chloroplast biogenesis </w:t>
      </w:r>
      <w:r w:rsidR="00072BC8" w:rsidRPr="00C458B3">
        <w:rPr>
          <w:rFonts w:ascii="Times New Roman" w:hAnsi="Times New Roman" w:cs="Times New Roman"/>
        </w:rPr>
        <w:fldChar w:fldCharType="begin" w:fldLock="1"/>
      </w:r>
      <w:r w:rsidR="00072BC8">
        <w:rPr>
          <w:rFonts w:ascii="Times New Roman" w:hAnsi="Times New Roman" w:cs="Times New Roman"/>
        </w:rPr>
        <w:instrText>ADDIN CSL_CITATION {"citationItems":[{"id":"ITEM-1","itemData":{"DOI":"10.1016/j.cell.2024.01.036","ISSN":"10974172","PMID":"38428394","abstract":"Chloroplast genes encoding photosynthesis-associated proteins are predominantly transcribed by the plastid-encoded RNA polymerase (PEP). PEP is a multi-subunit complex composed of plastid-encoded subunits similar to bacterial RNA polymerases (RNAPs) stably bound to a set of nuclear-encoded PEP-associated proteins (PAPs). PAPs are essential to PEP activity and chloroplast biogenesis, but their roles are poorly defined. Here, we present cryoelectron microscopy (cryo-EM) structures of native 21-subunit PEP and a PEP transcription elongation complex from white mustard (Sinapis alba). We identify that PAPs encase the core polymerase, forming extensive interactions that likely promote complex assembly and stability. During elongation, PAPs interact with DNA downstream of the transcription bubble and with the nascent mRNA. The models reveal details of the superoxide dismutase, lysine methyltransferase, thioredoxin, and amino acid ligase enzymes that are subunits of PEP. Collectively, these data provide a foundation for the mechanistic understanding of chloroplast transcription and its role in plant growth and adaptation.","author":[{"dropping-particle":"","family":"Vergara-Cruces","given":"Ángel","non-dropping-particle":"","parse-names":false,"suffix":""},{"dropping-particle":"","family":"Pramanick","given":"Ishika","non-dropping-particle":"","parse-names":false,"suffix":""},{"dropping-particle":"","family":"Pearce","given":"David","non-dropping-particle":"","parse-names":false,"suffix":""},{"dropping-particle":"","family":"Vogirala","given":"Vinod K.","non-dropping-particle":"","parse-names":false,"suffix":""},{"dropping-particle":"","family":"Byrne","given":"Matthew J.","non-dropping-particle":"","parse-names":false,"suffix":""},{"dropping-particle":"","family":"Low","given":"Jason K.K.","non-dropping-particle":"","parse-names":false,"suffix":""},{"dropping-particle":"","family":"Webster","given":"Michael W.","non-dropping-particle":"","parse-names":false,"suffix":""}],"container-title":"Cell","id":"ITEM-1","issue":"5","issued":{"date-parts":[["2024","2","29"]]},"page":"1145-1159.e21","publisher":"Elsevier B.V.","title":"Structure of the plant plastid-encoded RNA polymerase","type":"article-journal","volume":"187"},"uris":["http://www.mendeley.com/documents/?uuid=994deefe-6f54-328e-bb78-7448aeaffe78"]},{"id":"ITEM-2","itemData":{"DOI":"10.1038/s41467-024-54266-2","ISSN":"20411723","PMID":"39537621","abstract":"The plastid-encoded RNA polymerase serves as the principal transcription machinery within chloroplasts, transcribing over 80% of all primary plastid transcripts. This polymerase consists of a prokaryotic-like core enzyme known as the plastid-encoded RNA polymerase core, and is supplemented by newly evolved associated proteins known as PAPs. However, the architecture of the plastid-encoded RNA polymerase and the possible functions of PAPs remain unknown. Here, we present the cryo-electron microscopy structure of a 19-subunit plastid-encoded RNA polymerase complex derived from spinach (Spinacia oleracea). The structure shows that the plastid-encoded RNA polymerase core resembles bacterial RNA polymerase. Twelve PAPs and two additional proteins (FLN2 and pTAC18) bind at the periphery of the plastid-encoded RNA polymerase core, forming extensive interactions that may facilitate complex assembly and stability. PAPs may also protect the complex against oxidative damage and has potential functions in transcriptional regulation. This research offers a structural basis for future investigations into the functions and regulatory mechanisms governing the transcription of plastid genes.","author":[{"dropping-particle":"","family":"Wang","given":"Tongtong","non-dropping-particle":"","parse-names":false,"suffix":""},{"dropping-particle":"","family":"Wang","given":"Guang Lei","non-dropping-particle":"","parse-names":false,"suffix":""},{"dropping-particle":"","family":"Fang","given":"Ying","non-dropping-particle":"","parse-names":false,"suffix":""},{"dropping-particle":"","family":"Zhang","given":"Yi","non-dropping-particle":"","parse-names":false,"suffix":""},{"dropping-particle":"","family":"Peng","given":"Wenxin","non-dropping-particle":"","parse-names":false,"suffix":""},{"dropping-particle":"","family":"Zhou","given":"Yue","non-dropping-particle":"","parse-names":false,"suffix":""},{"dropping-particle":"","family":"Zhang","given":"Aihong","non-dropping-particle":"","parse-names":false,"suffix":""},{"dropping-particle":"","family":"Yu","given":"Long Jiang","non-dropping-particle":"","parse-names":false,"suffix":""},{"dropping-particle":"","family":"Lu","given":"Congming","non-dropping-particle":"","parse-names":false,"suffix":""}],"container-title":"Nature Communications ","id":"ITEM-2","issue":"1","issued":{"date-parts":[["2024","12","1"]]},"publisher":"Nature Research","title":"Architecture of the spinach plastid-encoded RNA polymerase","type":"article-journal","volume":"15"},"uris":["http://www.mendeley.com/documents/?uuid=564b299d-ccb8-30f7-a528-79dd13c4b37c"]}],"mendeley":{"formattedCitation":"(Vergara-Cruces et al., 2024; Wang et al., 2024)","plainTextFormattedCitation":"(Vergara-Cruces et al., 2024; Wang et al., 2024)","previouslyFormattedCitation":"[16, 21]"},"properties":{"noteIndex":0},"schema":"https://github.com/citation-style-language/schema/raw/master/csl-citation.json"}</w:instrText>
      </w:r>
      <w:r w:rsidR="00072BC8" w:rsidRPr="00C458B3">
        <w:rPr>
          <w:rFonts w:ascii="Times New Roman" w:hAnsi="Times New Roman" w:cs="Times New Roman"/>
        </w:rPr>
        <w:fldChar w:fldCharType="separate"/>
      </w:r>
      <w:r w:rsidR="00072BC8" w:rsidRPr="00A652DE">
        <w:rPr>
          <w:rFonts w:ascii="Times New Roman" w:hAnsi="Times New Roman" w:cs="Times New Roman"/>
          <w:noProof/>
        </w:rPr>
        <w:t>(Vergara-Cruces et al., 2024; Wang et al., 2024)</w:t>
      </w:r>
      <w:r w:rsidR="00072BC8" w:rsidRPr="00C458B3">
        <w:rPr>
          <w:rFonts w:ascii="Times New Roman" w:hAnsi="Times New Roman" w:cs="Times New Roman"/>
        </w:rPr>
        <w:fldChar w:fldCharType="end"/>
      </w:r>
      <w:r w:rsidR="00072BC8">
        <w:rPr>
          <w:rFonts w:ascii="Times New Roman" w:hAnsi="Times New Roman" w:cs="Times New Roman"/>
        </w:rPr>
        <w:t xml:space="preserve">. These </w:t>
      </w:r>
      <w:r w:rsidR="00E00DC5">
        <w:rPr>
          <w:rFonts w:ascii="Times New Roman" w:hAnsi="Times New Roman" w:cs="Times New Roman"/>
        </w:rPr>
        <w:t xml:space="preserve">observations </w:t>
      </w:r>
      <w:r w:rsidR="00072BC8">
        <w:rPr>
          <w:rFonts w:ascii="Times New Roman" w:hAnsi="Times New Roman" w:cs="Times New Roman"/>
        </w:rPr>
        <w:t xml:space="preserve">suggest that the characterization of </w:t>
      </w:r>
      <w:proofErr w:type="spellStart"/>
      <w:r w:rsidR="00072BC8" w:rsidRPr="00072BC8">
        <w:rPr>
          <w:rFonts w:ascii="Times New Roman" w:hAnsi="Times New Roman" w:cs="Times New Roman"/>
          <w:i/>
          <w:iCs/>
        </w:rPr>
        <w:t>rp</w:t>
      </w:r>
      <w:r w:rsidR="00072BC8">
        <w:rPr>
          <w:rFonts w:ascii="Times New Roman" w:hAnsi="Times New Roman" w:cs="Times New Roman"/>
          <w:i/>
          <w:iCs/>
        </w:rPr>
        <w:t>o</w:t>
      </w:r>
      <w:proofErr w:type="spellEnd"/>
      <w:r w:rsidR="00072BC8">
        <w:rPr>
          <w:rFonts w:ascii="Times New Roman" w:hAnsi="Times New Roman" w:cs="Times New Roman"/>
          <w:i/>
          <w:iCs/>
        </w:rPr>
        <w:t xml:space="preserve"> </w:t>
      </w:r>
      <w:r w:rsidR="00072BC8">
        <w:rPr>
          <w:rFonts w:ascii="Times New Roman" w:hAnsi="Times New Roman" w:cs="Times New Roman"/>
        </w:rPr>
        <w:t xml:space="preserve">genes </w:t>
      </w:r>
      <w:r w:rsidR="00E00DC5">
        <w:rPr>
          <w:rFonts w:ascii="Times New Roman" w:hAnsi="Times New Roman" w:cs="Times New Roman"/>
        </w:rPr>
        <w:t>is</w:t>
      </w:r>
      <w:r w:rsidR="00072BC8">
        <w:rPr>
          <w:rFonts w:ascii="Times New Roman" w:hAnsi="Times New Roman" w:cs="Times New Roman"/>
        </w:rPr>
        <w:t xml:space="preserve"> not only important for understanding plastid gene expression but also holds potential as a </w:t>
      </w:r>
      <w:r w:rsidR="0057789A">
        <w:rPr>
          <w:rFonts w:ascii="Times New Roman" w:hAnsi="Times New Roman" w:cs="Times New Roman"/>
        </w:rPr>
        <w:t>informative</w:t>
      </w:r>
      <w:r w:rsidR="00072BC8">
        <w:rPr>
          <w:rFonts w:ascii="Times New Roman" w:hAnsi="Times New Roman" w:cs="Times New Roman"/>
        </w:rPr>
        <w:t xml:space="preserve"> molecular marker to uncover genetic conservation, variation, as well as structural and evolutionary dynamics in sugarcane cultivars.</w:t>
      </w:r>
      <w:r w:rsidR="00805184">
        <w:rPr>
          <w:rFonts w:ascii="Times New Roman" w:hAnsi="Times New Roman" w:cs="Times New Roman"/>
        </w:rPr>
        <w:t xml:space="preserve"> </w:t>
      </w:r>
      <w:r w:rsidR="00072BC8">
        <w:rPr>
          <w:rFonts w:ascii="Times New Roman" w:hAnsi="Times New Roman" w:cs="Times New Roman"/>
        </w:rPr>
        <w:t>Therefore, this study</w:t>
      </w:r>
      <w:r w:rsidR="00434EE9">
        <w:rPr>
          <w:rFonts w:ascii="Times New Roman" w:hAnsi="Times New Roman" w:cs="Times New Roman"/>
        </w:rPr>
        <w:t xml:space="preserve"> aims to applied an integrative genomic, evolutionary, and structural analysis of plastid-encoded RNA polymerase (</w:t>
      </w:r>
      <w:proofErr w:type="spellStart"/>
      <w:r w:rsidR="00434EE9" w:rsidRPr="00434EE9">
        <w:rPr>
          <w:rFonts w:ascii="Times New Roman" w:hAnsi="Times New Roman" w:cs="Times New Roman"/>
          <w:i/>
          <w:iCs/>
        </w:rPr>
        <w:t>rpo</w:t>
      </w:r>
      <w:proofErr w:type="spellEnd"/>
      <w:r w:rsidR="00434EE9">
        <w:rPr>
          <w:rFonts w:ascii="Times New Roman" w:hAnsi="Times New Roman" w:cs="Times New Roman"/>
        </w:rPr>
        <w:t>) genes in elite Indonesian sugarcane ‘</w:t>
      </w:r>
      <w:proofErr w:type="spellStart"/>
      <w:r w:rsidR="00434EE9">
        <w:rPr>
          <w:rFonts w:ascii="Times New Roman" w:hAnsi="Times New Roman" w:cs="Times New Roman"/>
        </w:rPr>
        <w:t>Kidang</w:t>
      </w:r>
      <w:proofErr w:type="spellEnd"/>
      <w:r w:rsidR="00434EE9">
        <w:rPr>
          <w:rFonts w:ascii="Times New Roman" w:hAnsi="Times New Roman" w:cs="Times New Roman"/>
        </w:rPr>
        <w:t xml:space="preserve"> </w:t>
      </w:r>
      <w:proofErr w:type="spellStart"/>
      <w:r w:rsidR="00434EE9">
        <w:rPr>
          <w:rFonts w:ascii="Times New Roman" w:hAnsi="Times New Roman" w:cs="Times New Roman"/>
        </w:rPr>
        <w:t>Kencana</w:t>
      </w:r>
      <w:proofErr w:type="spellEnd"/>
      <w:r w:rsidR="00434EE9">
        <w:rPr>
          <w:rFonts w:ascii="Times New Roman" w:hAnsi="Times New Roman" w:cs="Times New Roman"/>
        </w:rPr>
        <w:t>’ and ‘</w:t>
      </w:r>
      <w:proofErr w:type="spellStart"/>
      <w:r w:rsidR="00434EE9">
        <w:rPr>
          <w:rFonts w:ascii="Times New Roman" w:hAnsi="Times New Roman" w:cs="Times New Roman"/>
        </w:rPr>
        <w:t>Bululawang</w:t>
      </w:r>
      <w:proofErr w:type="spellEnd"/>
      <w:r w:rsidR="00434EE9">
        <w:rPr>
          <w:rFonts w:ascii="Times New Roman" w:hAnsi="Times New Roman" w:cs="Times New Roman"/>
        </w:rPr>
        <w:t>’, to reveal their genetic features, evolutionary patterns, and structural characteristics that may support molecular-based selection and improvement of sugarcane cultivars in Indonesia.</w:t>
      </w:r>
    </w:p>
    <w:p w14:paraId="44CC5DBE" w14:textId="77777777" w:rsidR="00434EE9" w:rsidRDefault="00434EE9" w:rsidP="00434EE9">
      <w:pPr>
        <w:spacing w:after="0" w:line="360" w:lineRule="auto"/>
        <w:ind w:firstLine="454"/>
        <w:jc w:val="both"/>
        <w:rPr>
          <w:rFonts w:ascii="Times New Roman" w:hAnsi="Times New Roman" w:cs="Times New Roman"/>
        </w:rPr>
      </w:pPr>
    </w:p>
    <w:p w14:paraId="2B06F8C5" w14:textId="3DCA16D9" w:rsidR="00434EE9" w:rsidRPr="00434EE9" w:rsidRDefault="00434EE9" w:rsidP="00434EE9">
      <w:pPr>
        <w:spacing w:after="0" w:line="360" w:lineRule="auto"/>
        <w:jc w:val="both"/>
        <w:rPr>
          <w:rFonts w:ascii="Times New Roman" w:hAnsi="Times New Roman" w:cs="Times New Roman"/>
          <w:b/>
          <w:bCs/>
        </w:rPr>
      </w:pPr>
      <w:r w:rsidRPr="00434EE9">
        <w:rPr>
          <w:rFonts w:ascii="Times New Roman" w:hAnsi="Times New Roman" w:cs="Times New Roman"/>
          <w:b/>
          <w:bCs/>
        </w:rPr>
        <w:t>MATERIAL AND METHODS</w:t>
      </w:r>
    </w:p>
    <w:p w14:paraId="36FBE252" w14:textId="5B1EA390" w:rsidR="00434EE9" w:rsidRPr="00434EE9" w:rsidRDefault="00434EE9" w:rsidP="00434EE9">
      <w:pPr>
        <w:spacing w:after="0" w:line="360" w:lineRule="auto"/>
        <w:jc w:val="both"/>
        <w:rPr>
          <w:rFonts w:ascii="Times New Roman" w:hAnsi="Times New Roman" w:cs="Times New Roman"/>
          <w:b/>
          <w:bCs/>
        </w:rPr>
      </w:pPr>
      <w:r w:rsidRPr="00434EE9">
        <w:rPr>
          <w:rFonts w:ascii="Times New Roman" w:hAnsi="Times New Roman" w:cs="Times New Roman"/>
          <w:b/>
          <w:bCs/>
        </w:rPr>
        <w:t>Plant Materials and DNA Extraction</w:t>
      </w:r>
    </w:p>
    <w:p w14:paraId="1260CF72" w14:textId="77777777" w:rsidR="00434EE9" w:rsidRDefault="00434EE9" w:rsidP="00434EE9">
      <w:pPr>
        <w:spacing w:after="0" w:line="360" w:lineRule="auto"/>
        <w:ind w:firstLine="454"/>
        <w:jc w:val="both"/>
        <w:rPr>
          <w:rFonts w:ascii="Times New Roman" w:eastAsia="Times New Roman" w:hAnsi="Times New Roman" w:cs="Times New Roman"/>
        </w:rPr>
      </w:pPr>
      <w:r>
        <w:rPr>
          <w:rFonts w:ascii="Times New Roman" w:hAnsi="Times New Roman" w:cs="Times New Roman"/>
        </w:rPr>
        <w:t>Fresh young leaves of Saccharum hybrid ‘</w:t>
      </w:r>
      <w:proofErr w:type="spellStart"/>
      <w:r>
        <w:rPr>
          <w:rFonts w:ascii="Times New Roman" w:hAnsi="Times New Roman" w:cs="Times New Roman"/>
        </w:rPr>
        <w:t>Kidang</w:t>
      </w:r>
      <w:proofErr w:type="spellEnd"/>
      <w:r>
        <w:rPr>
          <w:rFonts w:ascii="Times New Roman" w:hAnsi="Times New Roman" w:cs="Times New Roman"/>
        </w:rPr>
        <w:t xml:space="preserve"> </w:t>
      </w:r>
      <w:proofErr w:type="spellStart"/>
      <w:r>
        <w:rPr>
          <w:rFonts w:ascii="Times New Roman" w:hAnsi="Times New Roman" w:cs="Times New Roman"/>
        </w:rPr>
        <w:t>Kencana</w:t>
      </w:r>
      <w:proofErr w:type="spellEnd"/>
      <w:r>
        <w:rPr>
          <w:rFonts w:ascii="Times New Roman" w:hAnsi="Times New Roman" w:cs="Times New Roman"/>
        </w:rPr>
        <w:t>’ and ‘</w:t>
      </w:r>
      <w:proofErr w:type="spellStart"/>
      <w:r>
        <w:rPr>
          <w:rFonts w:ascii="Times New Roman" w:hAnsi="Times New Roman" w:cs="Times New Roman"/>
        </w:rPr>
        <w:t>Bululawang</w:t>
      </w:r>
      <w:proofErr w:type="spellEnd"/>
      <w:r>
        <w:rPr>
          <w:rFonts w:ascii="Times New Roman" w:hAnsi="Times New Roman" w:cs="Times New Roman"/>
        </w:rPr>
        <w:t xml:space="preserve">’ were collected from PT </w:t>
      </w:r>
      <w:proofErr w:type="spellStart"/>
      <w:r>
        <w:rPr>
          <w:rFonts w:ascii="Times New Roman" w:hAnsi="Times New Roman" w:cs="Times New Roman"/>
        </w:rPr>
        <w:t>Madubaru</w:t>
      </w:r>
      <w:proofErr w:type="spellEnd"/>
      <w:r w:rsidRPr="00C458B3">
        <w:rPr>
          <w:rFonts w:ascii="Times New Roman" w:eastAsia="Times New Roman" w:hAnsi="Times New Roman" w:cs="Times New Roman"/>
        </w:rPr>
        <w:t xml:space="preserve">–PG </w:t>
      </w:r>
      <w:proofErr w:type="spellStart"/>
      <w:r w:rsidRPr="00C458B3">
        <w:rPr>
          <w:rFonts w:ascii="Times New Roman" w:eastAsia="Times New Roman" w:hAnsi="Times New Roman" w:cs="Times New Roman"/>
        </w:rPr>
        <w:t>Madukismo</w:t>
      </w:r>
      <w:proofErr w:type="spellEnd"/>
      <w:r>
        <w:rPr>
          <w:rFonts w:ascii="Times New Roman" w:eastAsia="Times New Roman" w:hAnsi="Times New Roman" w:cs="Times New Roman"/>
        </w:rPr>
        <w:t xml:space="preserve"> located in Bantul, Special Region of Yogyakarta, Indonesia </w:t>
      </w:r>
      <w:r w:rsidRPr="00C458B3">
        <w:rPr>
          <w:rFonts w:ascii="Times New Roman" w:eastAsia="Times New Roman" w:hAnsi="Times New Roman" w:cs="Times New Roman"/>
        </w:rPr>
        <w:t>(7°49′40″S, 110°20′14″E).</w:t>
      </w:r>
      <w:r>
        <w:rPr>
          <w:rFonts w:ascii="Times New Roman" w:eastAsia="Times New Roman" w:hAnsi="Times New Roman" w:cs="Times New Roman"/>
        </w:rPr>
        <w:t xml:space="preserve"> The leaf samples were immediately placed into tubes containing liquid nitrogen and transported to the laboratory for DNA extraction. The samples were subsequently stored at </w:t>
      </w:r>
      <w:r w:rsidRPr="00C458B3">
        <w:rPr>
          <w:rFonts w:ascii="Times New Roman" w:eastAsia="Times New Roman" w:hAnsi="Times New Roman" w:cs="Times New Roman"/>
        </w:rPr>
        <w:t>−20 °C</w:t>
      </w:r>
      <w:r>
        <w:rPr>
          <w:rFonts w:ascii="Times New Roman" w:eastAsia="Times New Roman" w:hAnsi="Times New Roman" w:cs="Times New Roman"/>
        </w:rPr>
        <w:t xml:space="preserve"> prior to DNA extraction. High-molecular weight genomic DNA was extracted from approximately 100 mg of leaf tissue using the </w:t>
      </w:r>
      <w:r w:rsidRPr="00C458B3">
        <w:rPr>
          <w:rFonts w:ascii="Times New Roman" w:eastAsia="Times New Roman" w:hAnsi="Times New Roman" w:cs="Times New Roman"/>
        </w:rPr>
        <w:t>Wizard</w:t>
      </w:r>
      <w:r w:rsidRPr="00C458B3">
        <w:rPr>
          <w:rFonts w:ascii="Times New Roman" w:eastAsia="Times New Roman" w:hAnsi="Times New Roman" w:cs="Times New Roman"/>
          <w:vertAlign w:val="superscript"/>
        </w:rPr>
        <w:t>®</w:t>
      </w:r>
      <w:r w:rsidRPr="00C458B3">
        <w:rPr>
          <w:rFonts w:ascii="Times New Roman" w:eastAsia="Times New Roman" w:hAnsi="Times New Roman" w:cs="Times New Roman"/>
        </w:rPr>
        <w:t xml:space="preserve"> HMW DNA Extraction Kit (Promega Corporation, Madison, WI, USA)</w:t>
      </w:r>
      <w:r>
        <w:rPr>
          <w:rFonts w:ascii="Times New Roman" w:eastAsia="Times New Roman" w:hAnsi="Times New Roman" w:cs="Times New Roman"/>
        </w:rPr>
        <w:t xml:space="preserve"> following the manufacturer’s protocol. DNA quality and quantity were measured using a </w:t>
      </w:r>
      <w:proofErr w:type="spellStart"/>
      <w:r w:rsidRPr="00C458B3">
        <w:rPr>
          <w:rFonts w:ascii="Times New Roman" w:eastAsia="Times New Roman" w:hAnsi="Times New Roman" w:cs="Times New Roman"/>
        </w:rPr>
        <w:t>NanoDrop</w:t>
      </w:r>
      <w:proofErr w:type="spellEnd"/>
      <w:r w:rsidRPr="00C458B3">
        <w:rPr>
          <w:rFonts w:ascii="Times New Roman" w:eastAsia="Times New Roman" w:hAnsi="Times New Roman" w:cs="Times New Roman"/>
        </w:rPr>
        <w:t xml:space="preserve"> Lite Plus Spectrophotometer and a Qubit 4 Fluorometer (</w:t>
      </w:r>
      <w:proofErr w:type="spellStart"/>
      <w:r w:rsidRPr="00C458B3">
        <w:rPr>
          <w:rFonts w:ascii="Times New Roman" w:eastAsia="Times New Roman" w:hAnsi="Times New Roman" w:cs="Times New Roman"/>
        </w:rPr>
        <w:t>Thermo</w:t>
      </w:r>
      <w:proofErr w:type="spellEnd"/>
      <w:r w:rsidRPr="00C458B3">
        <w:rPr>
          <w:rFonts w:ascii="Times New Roman" w:eastAsia="Times New Roman" w:hAnsi="Times New Roman" w:cs="Times New Roman"/>
        </w:rPr>
        <w:t xml:space="preserve"> Fisher Scientific, Waltham, MA, USA).</w:t>
      </w:r>
      <w:r>
        <w:rPr>
          <w:rFonts w:ascii="Times New Roman" w:eastAsia="Times New Roman" w:hAnsi="Times New Roman" w:cs="Times New Roman"/>
        </w:rPr>
        <w:t xml:space="preserve"> DNA integrity was further verified by electrophoresis on a 1% agarose gel using the </w:t>
      </w:r>
      <w:proofErr w:type="spellStart"/>
      <w:r w:rsidRPr="00C458B3">
        <w:rPr>
          <w:rFonts w:ascii="Times New Roman" w:eastAsia="Times New Roman" w:hAnsi="Times New Roman" w:cs="Times New Roman"/>
        </w:rPr>
        <w:t>Mupid-exU</w:t>
      </w:r>
      <w:proofErr w:type="spellEnd"/>
      <w:r w:rsidRPr="00C458B3">
        <w:rPr>
          <w:rFonts w:ascii="Times New Roman" w:eastAsia="Times New Roman" w:hAnsi="Times New Roman" w:cs="Times New Roman"/>
        </w:rPr>
        <w:t xml:space="preserve"> system (Advance Co., Ltd., Japan).</w:t>
      </w:r>
    </w:p>
    <w:p w14:paraId="5E87221F" w14:textId="77777777" w:rsidR="00434EE9" w:rsidRDefault="00434EE9" w:rsidP="00434EE9">
      <w:pPr>
        <w:spacing w:after="0" w:line="360" w:lineRule="auto"/>
        <w:jc w:val="both"/>
        <w:rPr>
          <w:rFonts w:ascii="Times New Roman" w:eastAsia="Times New Roman" w:hAnsi="Times New Roman" w:cs="Times New Roman"/>
        </w:rPr>
      </w:pPr>
    </w:p>
    <w:p w14:paraId="1F263716" w14:textId="5CEFE1DF" w:rsidR="00434EE9" w:rsidRPr="00434EE9" w:rsidRDefault="00434EE9" w:rsidP="00434EE9">
      <w:pPr>
        <w:spacing w:after="0" w:line="360" w:lineRule="auto"/>
        <w:jc w:val="both"/>
        <w:rPr>
          <w:rFonts w:ascii="Times New Roman" w:eastAsia="Times New Roman" w:hAnsi="Times New Roman" w:cs="Times New Roman"/>
          <w:b/>
          <w:bCs/>
        </w:rPr>
      </w:pPr>
      <w:r w:rsidRPr="00434EE9">
        <w:rPr>
          <w:rFonts w:ascii="Times New Roman" w:eastAsia="Times New Roman" w:hAnsi="Times New Roman" w:cs="Times New Roman"/>
          <w:b/>
          <w:bCs/>
        </w:rPr>
        <w:t>Library Preparation and Long-Read Sequencing</w:t>
      </w:r>
    </w:p>
    <w:p w14:paraId="20D26605" w14:textId="75EE539E" w:rsidR="00CE4A8B" w:rsidRPr="00C458B3" w:rsidRDefault="00434EE9" w:rsidP="00CE4A8B">
      <w:pPr>
        <w:spacing w:after="0" w:line="360" w:lineRule="auto"/>
        <w:ind w:firstLine="454"/>
        <w:jc w:val="both"/>
        <w:rPr>
          <w:rFonts w:ascii="Times New Roman" w:eastAsia="Times New Roman" w:hAnsi="Times New Roman" w:cs="Times New Roman"/>
        </w:rPr>
      </w:pPr>
      <w:r>
        <w:rPr>
          <w:rFonts w:ascii="Times New Roman" w:hAnsi="Times New Roman" w:cs="Times New Roman"/>
        </w:rPr>
        <w:lastRenderedPageBreak/>
        <w:t>DNA library</w:t>
      </w:r>
      <w:r w:rsidR="008567AE">
        <w:rPr>
          <w:rFonts w:ascii="Times New Roman" w:hAnsi="Times New Roman" w:cs="Times New Roman"/>
        </w:rPr>
        <w:t xml:space="preserve"> preparation was performed using the Ligation Sequencing Kit V14 (SQK-LSK114; Oxford Nanopore Technologies, UK) according to the manufacturer’s instructions. The library preparation included DNA repair and end-preparation, adapter ligation, flow</w:t>
      </w:r>
      <w:r w:rsidR="00CE4A8B">
        <w:rPr>
          <w:rFonts w:ascii="Times New Roman" w:hAnsi="Times New Roman" w:cs="Times New Roman"/>
        </w:rPr>
        <w:t>-</w:t>
      </w:r>
      <w:r w:rsidR="008567AE">
        <w:rPr>
          <w:rFonts w:ascii="Times New Roman" w:hAnsi="Times New Roman" w:cs="Times New Roman"/>
        </w:rPr>
        <w:t>cell priming</w:t>
      </w:r>
      <w:r w:rsidR="00CE4A8B">
        <w:rPr>
          <w:rFonts w:ascii="Times New Roman" w:hAnsi="Times New Roman" w:cs="Times New Roman"/>
        </w:rPr>
        <w:t>, and</w:t>
      </w:r>
      <w:r w:rsidR="008567AE">
        <w:rPr>
          <w:rFonts w:ascii="Times New Roman" w:hAnsi="Times New Roman" w:cs="Times New Roman"/>
        </w:rPr>
        <w:t xml:space="preserve"> loading. Sequencing was carried out on the </w:t>
      </w:r>
      <w:proofErr w:type="spellStart"/>
      <w:r w:rsidR="008567AE">
        <w:rPr>
          <w:rFonts w:ascii="Times New Roman" w:hAnsi="Times New Roman" w:cs="Times New Roman"/>
        </w:rPr>
        <w:t>PromethION</w:t>
      </w:r>
      <w:proofErr w:type="spellEnd"/>
      <w:r w:rsidR="008567AE">
        <w:rPr>
          <w:rFonts w:ascii="Times New Roman" w:hAnsi="Times New Roman" w:cs="Times New Roman"/>
        </w:rPr>
        <w:t xml:space="preserve"> 24 platform using </w:t>
      </w:r>
      <w:proofErr w:type="spellStart"/>
      <w:r w:rsidR="008567AE">
        <w:rPr>
          <w:rFonts w:ascii="Times New Roman" w:hAnsi="Times New Roman" w:cs="Times New Roman"/>
        </w:rPr>
        <w:t>MinKNOW</w:t>
      </w:r>
      <w:proofErr w:type="spellEnd"/>
      <w:r w:rsidR="008567AE">
        <w:rPr>
          <w:rFonts w:ascii="Times New Roman" w:hAnsi="Times New Roman" w:cs="Times New Roman"/>
        </w:rPr>
        <w:t xml:space="preserve"> v.24.11.10 software (Oxford Nanopore Technologies, UK). The sequencing run lasted approximately 72 hours, generating raw nanopore signal data (.pod5). The raw signal data were </w:t>
      </w:r>
      <w:proofErr w:type="spellStart"/>
      <w:r w:rsidR="008567AE">
        <w:rPr>
          <w:rFonts w:ascii="Times New Roman" w:hAnsi="Times New Roman" w:cs="Times New Roman"/>
        </w:rPr>
        <w:t>basecalled</w:t>
      </w:r>
      <w:proofErr w:type="spellEnd"/>
      <w:r w:rsidR="008567AE">
        <w:rPr>
          <w:rFonts w:ascii="Times New Roman" w:hAnsi="Times New Roman" w:cs="Times New Roman"/>
        </w:rPr>
        <w:t xml:space="preserve"> using the super-</w:t>
      </w:r>
      <w:proofErr w:type="spellStart"/>
      <w:r w:rsidR="008567AE">
        <w:rPr>
          <w:rFonts w:ascii="Times New Roman" w:hAnsi="Times New Roman" w:cs="Times New Roman"/>
        </w:rPr>
        <w:t>acuracy</w:t>
      </w:r>
      <w:proofErr w:type="spellEnd"/>
      <w:r w:rsidR="008567AE">
        <w:rPr>
          <w:rFonts w:ascii="Times New Roman" w:hAnsi="Times New Roman" w:cs="Times New Roman"/>
        </w:rPr>
        <w:t xml:space="preserve"> (SUP) model in Dorado v0.9.6 and exported </w:t>
      </w:r>
      <w:r w:rsidR="00CE4A8B">
        <w:rPr>
          <w:rFonts w:ascii="Times New Roman" w:hAnsi="Times New Roman" w:cs="Times New Roman"/>
        </w:rPr>
        <w:t xml:space="preserve">as </w:t>
      </w:r>
      <w:r w:rsidR="008567AE">
        <w:rPr>
          <w:rFonts w:ascii="Times New Roman" w:hAnsi="Times New Roman" w:cs="Times New Roman"/>
        </w:rPr>
        <w:t>FASTQ format for downstream analysis. Low</w:t>
      </w:r>
      <w:r w:rsidR="00CE4A8B">
        <w:rPr>
          <w:rFonts w:ascii="Times New Roman" w:hAnsi="Times New Roman" w:cs="Times New Roman"/>
        </w:rPr>
        <w:t>-</w:t>
      </w:r>
      <w:r w:rsidR="008567AE">
        <w:rPr>
          <w:rFonts w:ascii="Times New Roman" w:hAnsi="Times New Roman" w:cs="Times New Roman"/>
        </w:rPr>
        <w:t xml:space="preserve">quality reads and adapter sequences were filtered using </w:t>
      </w:r>
      <w:proofErr w:type="spellStart"/>
      <w:r w:rsidR="008567AE">
        <w:rPr>
          <w:rFonts w:ascii="Times New Roman" w:hAnsi="Times New Roman" w:cs="Times New Roman"/>
        </w:rPr>
        <w:t>Filtlong</w:t>
      </w:r>
      <w:proofErr w:type="spellEnd"/>
      <w:r w:rsidR="008567AE">
        <w:rPr>
          <w:rFonts w:ascii="Times New Roman" w:hAnsi="Times New Roman" w:cs="Times New Roman"/>
        </w:rPr>
        <w:t xml:space="preserve"> v0.3.1 to obtain high</w:t>
      </w:r>
      <w:r w:rsidR="00CE4A8B">
        <w:rPr>
          <w:rFonts w:ascii="Times New Roman" w:hAnsi="Times New Roman" w:cs="Times New Roman"/>
        </w:rPr>
        <w:t>-</w:t>
      </w:r>
      <w:r w:rsidR="008567AE">
        <w:rPr>
          <w:rFonts w:ascii="Times New Roman" w:hAnsi="Times New Roman" w:cs="Times New Roman"/>
        </w:rPr>
        <w:t xml:space="preserve"> quality reads suitable for genome assembly. The quality of the output FASTQ reads was assessed</w:t>
      </w:r>
      <w:r w:rsidR="00CE4A8B">
        <w:rPr>
          <w:rFonts w:ascii="Times New Roman" w:hAnsi="Times New Roman" w:cs="Times New Roman"/>
        </w:rPr>
        <w:t xml:space="preserve"> using </w:t>
      </w:r>
      <w:proofErr w:type="spellStart"/>
      <w:r w:rsidR="00CE4A8B">
        <w:rPr>
          <w:rFonts w:ascii="Times New Roman" w:hAnsi="Times New Roman" w:cs="Times New Roman"/>
        </w:rPr>
        <w:t>NanoPlot</w:t>
      </w:r>
      <w:proofErr w:type="spellEnd"/>
      <w:r w:rsidR="00CE4A8B">
        <w:rPr>
          <w:rFonts w:ascii="Times New Roman" w:hAnsi="Times New Roman" w:cs="Times New Roman"/>
        </w:rPr>
        <w:t xml:space="preserve"> v.1.41.6 </w:t>
      </w:r>
      <w:r w:rsidR="00CE4A8B" w:rsidRPr="00C458B3">
        <w:rPr>
          <w:rFonts w:ascii="Times New Roman" w:eastAsia="Times New Roman" w:hAnsi="Times New Roman" w:cs="Times New Roman"/>
        </w:rPr>
        <w:fldChar w:fldCharType="begin" w:fldLock="1"/>
      </w:r>
      <w:r w:rsidR="00CE4A8B">
        <w:rPr>
          <w:rFonts w:ascii="Times New Roman" w:eastAsia="Times New Roman" w:hAnsi="Times New Roman" w:cs="Times New Roman"/>
        </w:rPr>
        <w:instrText>ADDIN CSL_CITATION {"citationItems":[{"id":"ITEM-1","itemData":{"DOI":"10.1093/bioinformatics/btad311","ISSN":"13674811","abstract":"Increases in the cohort size in long-read sequencing projects necessitate more efficient software for quality assessment and processing of sequencing data from Oxford Nanopore Technologies and Pacific Biosciences. Here, we describe novel tools for summarizing experiments, filtering datasets, visualizing phased alignments results, and updates to the NanoPack software suite. Availability and implementation: The cramino, chopper, kyber, and phasius tools are written in Rust and available as executable binaries without requiring installation or managing dependencies. Binaries build on musl are available for broad compatibility. NanoPlot and NanoComp are written in Python3. Links to the separate tools and their documentation can be found at https://github.com/wdecoster/nanopack. All tools are compatible with Linux, Mac OS, and the MS Windows Subsystem for Linux and are released under the MIT license. The repositories include test data, and the tools are continuously tested using GitHub Actions and can be installed with the conda dependency manager.","author":[{"dropping-particle":"","family":"Coster","given":"Wouter","non-dropping-particle":"De","parse-names":false,"suffix":""},{"dropping-particle":"","family":"Rademakers","given":"Rosa","non-dropping-particle":"","parse-names":false,"suffix":""}],"container-title":"Bioinformatics","id":"ITEM-1","issue":"5","issued":{"date-parts":[["2023","5","1"]]},"publisher":"Oxford University Press","title":"NanoPack2: population-scale evaluation of long-read sequencing data","type":"article-journal","volume":"39"},"uris":["http://www.mendeley.com/documents/?uuid=0d904900-ccf1-397d-950e-5ec8d8068311"]}],"mendeley":{"formattedCitation":"(De Coster &amp; Rademakers, 2023)","plainTextFormattedCitation":"(De Coster &amp; Rademakers, 2023)","previouslyFormattedCitation":"[26]"},"properties":{"noteIndex":0},"schema":"https://github.com/citation-style-language/schema/raw/master/csl-citation.json"}</w:instrText>
      </w:r>
      <w:r w:rsidR="00CE4A8B" w:rsidRPr="00C458B3">
        <w:rPr>
          <w:rFonts w:ascii="Times New Roman" w:eastAsia="Times New Roman" w:hAnsi="Times New Roman" w:cs="Times New Roman"/>
        </w:rPr>
        <w:fldChar w:fldCharType="separate"/>
      </w:r>
      <w:r w:rsidR="00CE4A8B" w:rsidRPr="00A652DE">
        <w:rPr>
          <w:rFonts w:ascii="Times New Roman" w:eastAsia="Times New Roman" w:hAnsi="Times New Roman" w:cs="Times New Roman"/>
          <w:noProof/>
        </w:rPr>
        <w:t>(De Coster &amp; Rademakers, 2023)</w:t>
      </w:r>
      <w:r w:rsidR="00CE4A8B" w:rsidRPr="00C458B3">
        <w:rPr>
          <w:rFonts w:ascii="Times New Roman" w:eastAsia="Times New Roman" w:hAnsi="Times New Roman" w:cs="Times New Roman"/>
        </w:rPr>
        <w:fldChar w:fldCharType="end"/>
      </w:r>
      <w:r w:rsidR="00CE4A8B" w:rsidRPr="00C458B3">
        <w:rPr>
          <w:rFonts w:ascii="Times New Roman" w:eastAsia="Times New Roman" w:hAnsi="Times New Roman" w:cs="Times New Roman"/>
        </w:rPr>
        <w:t xml:space="preserve">. </w:t>
      </w:r>
    </w:p>
    <w:p w14:paraId="55AA7FB0" w14:textId="77777777" w:rsidR="00434EE9" w:rsidRDefault="00434EE9" w:rsidP="00CE4A8B">
      <w:pPr>
        <w:spacing w:after="0" w:line="360" w:lineRule="auto"/>
        <w:jc w:val="both"/>
        <w:rPr>
          <w:rFonts w:ascii="Times New Roman" w:hAnsi="Times New Roman" w:cs="Times New Roman"/>
        </w:rPr>
      </w:pPr>
    </w:p>
    <w:p w14:paraId="12C117C1" w14:textId="77777777"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Chloroplast Genome Assembly and Annotation</w:t>
      </w:r>
    </w:p>
    <w:p w14:paraId="1C0BC288" w14:textId="27CDDDF9" w:rsidR="00434EE9" w:rsidRDefault="00CE4A8B" w:rsidP="00434EE9">
      <w:pPr>
        <w:spacing w:after="0" w:line="360" w:lineRule="auto"/>
        <w:jc w:val="both"/>
        <w:rPr>
          <w:rFonts w:ascii="Times New Roman" w:eastAsia="Times New Roman" w:hAnsi="Times New Roman" w:cs="Times New Roman"/>
        </w:rPr>
      </w:pPr>
      <w:r>
        <w:rPr>
          <w:rFonts w:ascii="Times New Roman" w:hAnsi="Times New Roman" w:cs="Times New Roman"/>
        </w:rPr>
        <w:tab/>
        <w:t xml:space="preserve">Chloroplast genome assembly from the filtered long reads was performed using </w:t>
      </w:r>
      <w:proofErr w:type="spellStart"/>
      <w:r>
        <w:rPr>
          <w:rFonts w:ascii="Times New Roman" w:hAnsi="Times New Roman" w:cs="Times New Roman"/>
        </w:rPr>
        <w:t>TIPPo</w:t>
      </w:r>
      <w:proofErr w:type="spellEnd"/>
      <w:r>
        <w:rPr>
          <w:rFonts w:ascii="Times New Roman" w:hAnsi="Times New Roman" w:cs="Times New Roman"/>
        </w:rPr>
        <w:t xml:space="preserve"> </w:t>
      </w:r>
      <w:r w:rsidR="004114F8">
        <w:rPr>
          <w:rFonts w:ascii="Times New Roman" w:hAnsi="Times New Roman" w:cs="Times New Roman"/>
        </w:rPr>
        <w:t>pipeline (</w:t>
      </w:r>
      <w:hyperlink r:id="rId11" w:history="1">
        <w:r w:rsidR="004114F8" w:rsidRPr="00F3230F">
          <w:rPr>
            <w:rStyle w:val="Hyperlink"/>
            <w:rFonts w:ascii="Times New Roman" w:hAnsi="Times New Roman" w:cs="Times New Roman"/>
          </w:rPr>
          <w:t>https://github.com/Wenfei-Xian/TIPP</w:t>
        </w:r>
      </w:hyperlink>
      <w:r w:rsidR="004114F8">
        <w:rPr>
          <w:rFonts w:ascii="Times New Roman" w:hAnsi="Times New Roman" w:cs="Times New Roman"/>
        </w:rPr>
        <w:t>)</w:t>
      </w:r>
      <w:r>
        <w:rPr>
          <w:rFonts w:ascii="Times New Roman" w:eastAsia="Times New Roman" w:hAnsi="Times New Roman" w:cs="Times New Roman"/>
        </w:rPr>
        <w:t>.</w:t>
      </w:r>
      <w:r w:rsidR="00F87509">
        <w:rPr>
          <w:rFonts w:ascii="Times New Roman" w:eastAsia="Times New Roman" w:hAnsi="Times New Roman" w:cs="Times New Roman"/>
        </w:rPr>
        <w:t xml:space="preserve"> The assembly graph was visualized and inspected using Bandage v0.8.1 </w:t>
      </w:r>
      <w:r w:rsidR="00F87509" w:rsidRPr="00C458B3">
        <w:rPr>
          <w:rFonts w:ascii="Times New Roman" w:eastAsia="Times New Roman" w:hAnsi="Times New Roman" w:cs="Times New Roman"/>
        </w:rPr>
        <w:fldChar w:fldCharType="begin" w:fldLock="1"/>
      </w:r>
      <w:r w:rsidR="00F87509">
        <w:rPr>
          <w:rFonts w:ascii="Times New Roman" w:eastAsia="Times New Roman" w:hAnsi="Times New Roman" w:cs="Times New Roman"/>
        </w:rPr>
        <w:instrText>ADDIN CSL_CITATION {"citationItems":[{"id":"ITEM-1","itemData":{"DOI":"10.1093/bioinformatics/btv383","ISSN":"14602059","PMID":"26099265","abstract":"Although de novo assembly graphs contain assembled contigs (nodes), the connections between those contigs (edges) are difficult for users to access. Bandage (a Bioinformatics Application for Navigating De novo Assembly Graphs Easily) is a tool for visualizing assembly graphs with connections. Users can zoom in to specific areas of the graph and interact with it by moving nodes, adding labels, changing colors and extracting sequences. BLAST searches can be performed within the Bandage graphical user interface and the hits are displayed as highlights in the graph. By displaying connections between contigs, Bandage presents new possibilities for analyzing de novo assemblies that are not possible through investigation of contigs alone.","author":[{"dropping-particle":"","family":"Wick","given":"Ryan R.","non-dropping-particle":"","parse-names":false,"suffix":""},{"dropping-particle":"","family":"Schultz","given":"Mark B.","non-dropping-particle":"","parse-names":false,"suffix":""},{"dropping-particle":"","family":"Zobel","given":"Justin","non-dropping-particle":"","parse-names":false,"suffix":""},{"dropping-particle":"","family":"Holt","given":"Kathryn E.","non-dropping-particle":"","parse-names":false,"suffix":""}],"container-title":"Bioinformatics","id":"ITEM-1","issue":"20","issued":{"date-parts":[["2015","3","25"]]},"page":"3350-3352","publisher":"Oxford University Press","title":"Bandage: Interactive visualization of de novo genome assemblies","type":"article-journal","volume":"31"},"uris":["http://www.mendeley.com/documents/?uuid=10083e1a-d21b-3cfe-91be-c37c2be23afb"]}],"mendeley":{"formattedCitation":"(Wick et al., 2015)","plainTextFormattedCitation":"(Wick et al., 2015)","previouslyFormattedCitation":"[27]"},"properties":{"noteIndex":0},"schema":"https://github.com/citation-style-language/schema/raw/master/csl-citation.json"}</w:instrText>
      </w:r>
      <w:r w:rsidR="00F87509" w:rsidRPr="00C458B3">
        <w:rPr>
          <w:rFonts w:ascii="Times New Roman" w:eastAsia="Times New Roman" w:hAnsi="Times New Roman" w:cs="Times New Roman"/>
        </w:rPr>
        <w:fldChar w:fldCharType="separate"/>
      </w:r>
      <w:r w:rsidR="00F87509" w:rsidRPr="00A652DE">
        <w:rPr>
          <w:rFonts w:ascii="Times New Roman" w:eastAsia="Times New Roman" w:hAnsi="Times New Roman" w:cs="Times New Roman"/>
          <w:noProof/>
        </w:rPr>
        <w:t>(Wick et al., 2015)</w:t>
      </w:r>
      <w:r w:rsidR="00F87509" w:rsidRPr="00C458B3">
        <w:rPr>
          <w:rFonts w:ascii="Times New Roman" w:eastAsia="Times New Roman" w:hAnsi="Times New Roman" w:cs="Times New Roman"/>
        </w:rPr>
        <w:fldChar w:fldCharType="end"/>
      </w:r>
      <w:r w:rsidR="00F87509">
        <w:rPr>
          <w:rFonts w:ascii="Times New Roman" w:eastAsia="Times New Roman" w:hAnsi="Times New Roman" w:cs="Times New Roman"/>
        </w:rPr>
        <w:t xml:space="preserve"> to confirm the circular structure of the chloroplast genome. The assembled genome was subsequently annotated using GeSeq </w:t>
      </w:r>
      <w:r w:rsidR="00F87509" w:rsidRPr="00C458B3">
        <w:rPr>
          <w:rFonts w:ascii="Times New Roman" w:eastAsia="Times New Roman" w:hAnsi="Times New Roman" w:cs="Times New Roman"/>
        </w:rPr>
        <w:fldChar w:fldCharType="begin" w:fldLock="1"/>
      </w:r>
      <w:r w:rsidR="00F87509">
        <w:rPr>
          <w:rFonts w:ascii="Times New Roman" w:eastAsia="Times New Roman" w:hAnsi="Times New Roman" w:cs="Times New Roman"/>
        </w:rPr>
        <w:instrText>ADDIN CSL_CITATION {"citationItems":[{"id":"ITEM-1","itemData":{"DOI":"10.1093/nar/gkx391","ISSN":"0305-1048","author":[{"dropping-particle":"","family":"Tillich","given":"Michael","non-dropping-particle":"","parse-names":false,"suffix":""},{"dropping-particle":"","family":"Lehwark","given":"Pascal","non-dropping-particle":"","parse-names":false,"suffix":""},{"dropping-particle":"","family":"Pellizzer","given":"Tommaso","non-dropping-particle":"","parse-names":false,"suffix":""},{"dropping-particle":"","family":"Ulbricht-Jones","given":"Elena S.","non-dropping-particle":"","parse-names":false,"suffix":""},{"dropping-particle":"","family":"Fischer","given":"Axel","non-dropping-particle":"","parse-names":false,"suffix":""},{"dropping-particle":"","family":"Bock","given":"Ralph","non-dropping-particle":"","parse-names":false,"suffix":""},{"dropping-particle":"","family":"Greiner","given":"Stephan","non-dropping-particle":"","parse-names":false,"suffix":""}],"container-title":"Nucleic Acids Research","id":"ITEM-1","issue":"W1","issued":{"date-parts":[["2017","7","3"]]},"page":"W6-W11","title":"GeSeq – versatile and accurate annotation of organelle genomes","type":"article-journal","volume":"45"},"uris":["http://www.mendeley.com/documents/?uuid=1b0a4abc-a869-31b2-8e11-eda08f9d26d1"]}],"mendeley":{"formattedCitation":"(Tillich et al., 2017)","plainTextFormattedCitation":"(Tillich et al., 2017)","previouslyFormattedCitation":"[28]"},"properties":{"noteIndex":0},"schema":"https://github.com/citation-style-language/schema/raw/master/csl-citation.json"}</w:instrText>
      </w:r>
      <w:r w:rsidR="00F87509" w:rsidRPr="00C458B3">
        <w:rPr>
          <w:rFonts w:ascii="Times New Roman" w:eastAsia="Times New Roman" w:hAnsi="Times New Roman" w:cs="Times New Roman"/>
        </w:rPr>
        <w:fldChar w:fldCharType="separate"/>
      </w:r>
      <w:r w:rsidR="00F87509" w:rsidRPr="00A652DE">
        <w:rPr>
          <w:rFonts w:ascii="Times New Roman" w:eastAsia="Times New Roman" w:hAnsi="Times New Roman" w:cs="Times New Roman"/>
          <w:noProof/>
        </w:rPr>
        <w:t>(Tillich et al., 2017)</w:t>
      </w:r>
      <w:r w:rsidR="00F87509" w:rsidRPr="00C458B3">
        <w:rPr>
          <w:rFonts w:ascii="Times New Roman" w:eastAsia="Times New Roman" w:hAnsi="Times New Roman" w:cs="Times New Roman"/>
        </w:rPr>
        <w:fldChar w:fldCharType="end"/>
      </w:r>
      <w:r w:rsidR="00F87509">
        <w:rPr>
          <w:rFonts w:ascii="Times New Roman" w:eastAsia="Times New Roman" w:hAnsi="Times New Roman" w:cs="Times New Roman"/>
        </w:rPr>
        <w:t xml:space="preserve"> to obtain the GenBank (GB) file. The final annotation results were visualized to generate circular chloroplast genome maps using OGDRAW v.1.3.1</w:t>
      </w:r>
      <w:r w:rsidR="005D4EEB">
        <w:rPr>
          <w:rFonts w:ascii="Times New Roman" w:eastAsia="Times New Roman" w:hAnsi="Times New Roman" w:cs="Times New Roman"/>
        </w:rPr>
        <w:t xml:space="preserve"> </w:t>
      </w:r>
      <w:r w:rsidR="005D4EEB" w:rsidRPr="00C458B3">
        <w:rPr>
          <w:rFonts w:ascii="Times New Roman" w:eastAsia="Times New Roman" w:hAnsi="Times New Roman" w:cs="Times New Roman"/>
        </w:rPr>
        <w:fldChar w:fldCharType="begin" w:fldLock="1"/>
      </w:r>
      <w:r w:rsidR="005D4EEB">
        <w:rPr>
          <w:rFonts w:ascii="Times New Roman" w:eastAsia="Times New Roman" w:hAnsi="Times New Roman" w:cs="Times New Roman"/>
        </w:rPr>
        <w:instrText>ADDIN CSL_CITATION {"citationItems":[{"id":"ITEM-1","itemData":{"DOI":"10.1093/nar/gkz238","ISSN":"0305-1048","abstract":"&lt;p&gt;Organellar (plastid and mitochondrial) genomes play an important role in resolving phylogenetic relationships, and next-generation sequencing technologies have led to a burst in their availability. The ongoing massive sequencing efforts require software tools for routine assembly and annotation of organellar genomes as well as their display as physical maps. OrganellarGenomeDRAW (OGDRAW) has become the standard tool to draw graphical maps of plastid and mitochondrial genomes. Here, we present a new version of OGDRAW equipped with a new front end. Besides several new features, OGDRAW now has access to a local copy of the organelle genome database of the NCBI RefSeq project. Together with batch processing of (multi-)GenBank files, this enables the user to easily visualize large sets of organellar genomes spanning entire taxonomic clades. The new OGDRAW server can be accessed at https://chlorobox.mpimp-golm.mpg.de/OGDraw.html.&lt;/p&gt;","author":[{"dropping-particle":"","family":"Greiner","given":"Stephan","non-dropping-particle":"","parse-names":false,"suffix":""},{"dropping-particle":"","family":"Lehwark","given":"Pascal","non-dropping-particle":"","parse-names":false,"suffix":""},{"dropping-particle":"","family":"Bock","given":"Ralph","non-dropping-particle":"","parse-names":false,"suffix":""}],"container-title":"Nucleic Acids Research","id":"ITEM-1","issue":"W1","issued":{"date-parts":[["2019","7","2"]]},"page":"W59-W64","title":"OrganellarGenomeDRAW (OGDRAW) version 1.3.1: expanded toolkit for the graphical visualization of organellar genomes","type":"article-journal","volume":"47"},"uris":["http://www.mendeley.com/documents/?uuid=b0920802-aa97-30c1-8070-6b0dc0830aa4"]}],"mendeley":{"formattedCitation":"(Greiner et al., 2019)","plainTextFormattedCitation":"(Greiner et al., 2019)","previouslyFormattedCitation":"[29]"},"properties":{"noteIndex":0},"schema":"https://github.com/citation-style-language/schema/raw/master/csl-citation.json"}</w:instrText>
      </w:r>
      <w:r w:rsidR="005D4EEB" w:rsidRPr="00C458B3">
        <w:rPr>
          <w:rFonts w:ascii="Times New Roman" w:eastAsia="Times New Roman" w:hAnsi="Times New Roman" w:cs="Times New Roman"/>
        </w:rPr>
        <w:fldChar w:fldCharType="separate"/>
      </w:r>
      <w:r w:rsidR="005D4EEB" w:rsidRPr="00A652DE">
        <w:rPr>
          <w:rFonts w:ascii="Times New Roman" w:eastAsia="Times New Roman" w:hAnsi="Times New Roman" w:cs="Times New Roman"/>
          <w:noProof/>
        </w:rPr>
        <w:t>(Greiner et al., 2019)</w:t>
      </w:r>
      <w:r w:rsidR="005D4EEB" w:rsidRPr="00C458B3">
        <w:rPr>
          <w:rFonts w:ascii="Times New Roman" w:eastAsia="Times New Roman" w:hAnsi="Times New Roman" w:cs="Times New Roman"/>
        </w:rPr>
        <w:fldChar w:fldCharType="end"/>
      </w:r>
      <w:r w:rsidR="005D4EEB">
        <w:rPr>
          <w:rFonts w:ascii="Times New Roman" w:eastAsia="Times New Roman" w:hAnsi="Times New Roman" w:cs="Times New Roman"/>
        </w:rPr>
        <w:t xml:space="preserve">. The chloroplast genome sequence </w:t>
      </w:r>
      <w:proofErr w:type="spellStart"/>
      <w:r w:rsidR="005D4EEB">
        <w:rPr>
          <w:rFonts w:ascii="Times New Roman" w:eastAsia="Times New Roman" w:hAnsi="Times New Roman" w:cs="Times New Roman"/>
        </w:rPr>
        <w:t>obtaine</w:t>
      </w:r>
      <w:r w:rsidR="00C24518">
        <w:rPr>
          <w:rFonts w:ascii="Times New Roman" w:eastAsia="Times New Roman" w:hAnsi="Times New Roman" w:cs="Times New Roman"/>
        </w:rPr>
        <w:t>zz</w:t>
      </w:r>
      <w:r w:rsidR="005D4EEB">
        <w:rPr>
          <w:rFonts w:ascii="Times New Roman" w:eastAsia="Times New Roman" w:hAnsi="Times New Roman" w:cs="Times New Roman"/>
        </w:rPr>
        <w:t>d</w:t>
      </w:r>
      <w:proofErr w:type="spellEnd"/>
      <w:r w:rsidR="005D4EEB">
        <w:rPr>
          <w:rFonts w:ascii="Times New Roman" w:eastAsia="Times New Roman" w:hAnsi="Times New Roman" w:cs="Times New Roman"/>
        </w:rPr>
        <w:t xml:space="preserve"> in this study has been submitted to the NCBI GenBank database </w:t>
      </w:r>
      <w:r w:rsidR="005D4EEB" w:rsidRPr="00C458B3">
        <w:rPr>
          <w:rFonts w:ascii="Times New Roman" w:eastAsia="Times New Roman" w:hAnsi="Times New Roman" w:cs="Times New Roman"/>
        </w:rPr>
        <w:t>(</w:t>
      </w:r>
      <w:hyperlink r:id="rId12" w:history="1">
        <w:r w:rsidR="005D4EEB" w:rsidRPr="00C458B3">
          <w:rPr>
            <w:rStyle w:val="Hyperlink"/>
            <w:rFonts w:ascii="Times New Roman" w:eastAsia="Times New Roman" w:hAnsi="Times New Roman" w:cs="Times New Roman"/>
          </w:rPr>
          <w:t>https://www.ncbi.nlm.nih.gov/nuccore</w:t>
        </w:r>
      </w:hyperlink>
      <w:r w:rsidR="005D4EEB" w:rsidRPr="00C458B3">
        <w:rPr>
          <w:rFonts w:ascii="Times New Roman" w:eastAsia="Times New Roman" w:hAnsi="Times New Roman" w:cs="Times New Roman"/>
        </w:rPr>
        <w:t>)</w:t>
      </w:r>
      <w:r w:rsidR="005D4EEB">
        <w:rPr>
          <w:rFonts w:ascii="Times New Roman" w:eastAsia="Times New Roman" w:hAnsi="Times New Roman" w:cs="Times New Roman"/>
        </w:rPr>
        <w:t xml:space="preserve">. </w:t>
      </w:r>
    </w:p>
    <w:p w14:paraId="0F20C06A" w14:textId="77777777" w:rsidR="00434EE9" w:rsidRDefault="00434EE9" w:rsidP="00D07021">
      <w:pPr>
        <w:spacing w:after="0" w:line="360" w:lineRule="auto"/>
        <w:jc w:val="both"/>
        <w:rPr>
          <w:rFonts w:ascii="Times New Roman" w:hAnsi="Times New Roman" w:cs="Times New Roman"/>
        </w:rPr>
      </w:pPr>
    </w:p>
    <w:p w14:paraId="584C0294" w14:textId="77777777"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 xml:space="preserve">Extraction of </w:t>
      </w:r>
      <w:proofErr w:type="spellStart"/>
      <w:r w:rsidRPr="00C458B3">
        <w:rPr>
          <w:rFonts w:ascii="Times New Roman" w:eastAsia="Times New Roman" w:hAnsi="Times New Roman" w:cs="Times New Roman"/>
          <w:b/>
          <w:bCs/>
          <w:i/>
          <w:iCs/>
        </w:rPr>
        <w:t>rpo</w:t>
      </w:r>
      <w:proofErr w:type="spellEnd"/>
      <w:r w:rsidRPr="00C458B3">
        <w:rPr>
          <w:rFonts w:ascii="Times New Roman" w:eastAsia="Times New Roman" w:hAnsi="Times New Roman" w:cs="Times New Roman"/>
          <w:b/>
          <w:bCs/>
        </w:rPr>
        <w:t xml:space="preserve"> Gene Family</w:t>
      </w:r>
    </w:p>
    <w:p w14:paraId="1BC94134" w14:textId="7555AF30" w:rsidR="00434EE9" w:rsidRDefault="005D4EEB" w:rsidP="00D07021">
      <w:pPr>
        <w:spacing w:after="0" w:line="360" w:lineRule="auto"/>
        <w:jc w:val="both"/>
        <w:rPr>
          <w:rFonts w:ascii="Times New Roman" w:hAnsi="Times New Roman" w:cs="Times New Roman"/>
        </w:rPr>
      </w:pPr>
      <w:r>
        <w:rPr>
          <w:rFonts w:ascii="Times New Roman" w:hAnsi="Times New Roman" w:cs="Times New Roman"/>
        </w:rPr>
        <w:tab/>
        <w:t xml:space="preserve">The annotated chloroplast genome in GenBank (GB) format was imported into </w:t>
      </w:r>
      <w:proofErr w:type="spellStart"/>
      <w:r>
        <w:rPr>
          <w:rFonts w:ascii="Times New Roman" w:hAnsi="Times New Roman" w:cs="Times New Roman"/>
        </w:rPr>
        <w:t>Unipro</w:t>
      </w:r>
      <w:proofErr w:type="spellEnd"/>
      <w:r>
        <w:rPr>
          <w:rFonts w:ascii="Times New Roman" w:hAnsi="Times New Roman" w:cs="Times New Roman"/>
        </w:rPr>
        <w:t xml:space="preserve"> UGENE v53.0, and all genes belonging to the </w:t>
      </w:r>
      <w:proofErr w:type="spellStart"/>
      <w:r w:rsidRPr="005D4EEB">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family were identified based on gene annotations. The full gene sequences, coding DNA sequences (CDS), and amino acid sequences were extracted and exported in FASTA format for downstream analysis. </w:t>
      </w:r>
    </w:p>
    <w:p w14:paraId="615AB383" w14:textId="77777777" w:rsidR="00434EE9" w:rsidRDefault="00434EE9" w:rsidP="00D07021">
      <w:pPr>
        <w:spacing w:after="0" w:line="360" w:lineRule="auto"/>
        <w:jc w:val="both"/>
        <w:rPr>
          <w:rFonts w:ascii="Times New Roman" w:hAnsi="Times New Roman" w:cs="Times New Roman"/>
        </w:rPr>
      </w:pPr>
    </w:p>
    <w:p w14:paraId="2F163ABE" w14:textId="77777777"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Gene Structure and Predicted 3D Protein Structure Analysis</w:t>
      </w:r>
    </w:p>
    <w:p w14:paraId="01592D5A" w14:textId="36B15371" w:rsidR="00434EE9" w:rsidRDefault="005D4EEB" w:rsidP="00D07021">
      <w:pPr>
        <w:spacing w:after="0" w:line="360" w:lineRule="auto"/>
        <w:jc w:val="both"/>
        <w:rPr>
          <w:rFonts w:ascii="Times New Roman" w:hAnsi="Times New Roman" w:cs="Times New Roman"/>
        </w:rPr>
      </w:pPr>
      <w:r>
        <w:rPr>
          <w:rFonts w:ascii="Times New Roman" w:hAnsi="Times New Roman" w:cs="Times New Roman"/>
        </w:rPr>
        <w:tab/>
        <w:t xml:space="preserve">The CDS and full gene sequences of the </w:t>
      </w:r>
      <w:proofErr w:type="spellStart"/>
      <w:r w:rsidRPr="005D4EEB">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 gene family were used to analyze intron and exon organization using the Gene Structure Display Server 2.0 </w:t>
      </w:r>
      <w:r w:rsidRPr="00C458B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{"citationItems":[{"id":"ITEM-1","itemData":{"DOI":"10.1093/bioinformatics/btu817","ISSN":"14602059","PMID":"25504850","abstract":"Summary: Visualizing genes' structure and annotated features helps biologists to investigate their function and evolution intuitively. The Gene Structure Display Server (GSDS) has been widely used by more than 60â ‰000 users since its first publication in 2007. Here, we reported the upgraded GSDS 2.0 with a newly designed interface, supports for more types of annotation features and formats, as well as an integrated visual editor for editing the generated figure. Moreover, a user-specified phylogenetic tree can be added to facilitate further evolutionary analysis. The full source code is also available for downloading. Availability and implementation: Web server and source code are freely available at http://gsds.cbi.pku.edu.cn.","author":[{"dropping-particle":"","family":"Hu","given":"Bo","non-dropping-particle":"","parse-names":false,"suffix":""},{"dropping-particle":"","family":"Jin","given":"Jinpu","non-dropping-particle":"","parse-names":false,"suffix":""},{"dropping-particle":"","family":"Guo","given":"An Yuan","non-dropping-particle":"","parse-names":false,"suffix":""},{"dropping-particle":"","family":"Zhang","given":"He","non-dropping-particle":"","parse-names":false,"suffix":""},{"dropping-particle":"","family":"Luo","given":"Jingchu","non-dropping-particle":"","parse-names":false,"suffix":""},{"dropping-particle":"","family":"Gao","given":"Ge","non-dropping-particle":"","parse-names":false,"suffix":""}],"container-title":"Bioinformatics","id":"ITEM-1","issue":"8","issued":{"date-parts":[["2015","4","15"]]},"page":"1296-1297","publisher":"Oxford University Press","title":"GSDS 2.0: An upgraded gene feature visualization server","type":"article-journal","volume":"31"},"uris":["http://www.mendeley.com/documents/?uuid=24bc3880-ced7-3982-84e0-c3b23b473999"]}],"mendeley":{"formattedCitation":"(Hu et al., 2015)","plainTextFormattedCitation":"(Hu et al., 2015)","previouslyFormattedCitation":"[30]"},"properties":{"noteIndex":0},"schema":"https://github.com/citation-style-language/schema/raw/master/csl-citation.json"}</w:instrText>
      </w:r>
      <w:r w:rsidRPr="00C458B3">
        <w:rPr>
          <w:rFonts w:ascii="Times New Roman" w:eastAsia="Times New Roman" w:hAnsi="Times New Roman" w:cs="Times New Roman"/>
        </w:rPr>
        <w:fldChar w:fldCharType="separate"/>
      </w:r>
      <w:r w:rsidRPr="00A652DE">
        <w:rPr>
          <w:rFonts w:ascii="Times New Roman" w:eastAsia="Times New Roman" w:hAnsi="Times New Roman" w:cs="Times New Roman"/>
          <w:noProof/>
        </w:rPr>
        <w:t>(Hu et al., 2015)</w:t>
      </w:r>
      <w:r w:rsidRPr="00C458B3">
        <w:rPr>
          <w:rFonts w:ascii="Times New Roman" w:eastAsia="Times New Roman" w:hAnsi="Times New Roman" w:cs="Times New Roman"/>
        </w:rPr>
        <w:fldChar w:fldCharType="end"/>
      </w:r>
      <w:r>
        <w:rPr>
          <w:rFonts w:ascii="Times New Roman" w:eastAsia="Times New Roman" w:hAnsi="Times New Roman" w:cs="Times New Roman"/>
        </w:rPr>
        <w:t xml:space="preserve">. The analysis included sequences from the studied genome together with 15 reference sequences from the genus </w:t>
      </w:r>
      <w:r w:rsidRPr="005D4EEB">
        <w:rPr>
          <w:rFonts w:ascii="Times New Roman" w:eastAsia="Times New Roman" w:hAnsi="Times New Roman" w:cs="Times New Roman"/>
          <w:i/>
          <w:iCs/>
        </w:rPr>
        <w:t>Saccharum</w:t>
      </w:r>
      <w:r>
        <w:rPr>
          <w:rFonts w:ascii="Times New Roman" w:eastAsia="Times New Roman" w:hAnsi="Times New Roman" w:cs="Times New Roman"/>
          <w:i/>
          <w:iCs/>
        </w:rPr>
        <w:t xml:space="preserve"> </w:t>
      </w:r>
      <w:r>
        <w:rPr>
          <w:rFonts w:ascii="Times New Roman" w:eastAsia="Times New Roman" w:hAnsi="Times New Roman" w:cs="Times New Roman"/>
        </w:rPr>
        <w:t xml:space="preserve">and one outgroup sequence from </w:t>
      </w:r>
      <w:r w:rsidRPr="005D4EEB">
        <w:rPr>
          <w:rFonts w:ascii="Times New Roman" w:eastAsia="Times New Roman" w:hAnsi="Times New Roman" w:cs="Times New Roman"/>
          <w:i/>
          <w:iCs/>
        </w:rPr>
        <w:t xml:space="preserve">Miscanthus sinensis </w:t>
      </w:r>
      <w:r>
        <w:rPr>
          <w:rFonts w:ascii="Times New Roman" w:eastAsia="Times New Roman" w:hAnsi="Times New Roman" w:cs="Times New Roman"/>
        </w:rPr>
        <w:t>(GenBank: LN896358) from the NCBI GenBank database</w:t>
      </w:r>
      <w:r>
        <w:rPr>
          <w:rFonts w:ascii="Times New Roman" w:hAnsi="Times New Roman" w:cs="Times New Roman"/>
        </w:rPr>
        <w:t>.</w:t>
      </w:r>
    </w:p>
    <w:p w14:paraId="2E664C36" w14:textId="39F7B474" w:rsidR="005D4EEB" w:rsidRDefault="005D4EEB" w:rsidP="00D07021">
      <w:pPr>
        <w:spacing w:after="0" w:line="360" w:lineRule="auto"/>
        <w:jc w:val="both"/>
        <w:rPr>
          <w:rFonts w:ascii="Times New Roman" w:eastAsia="Times New Roman" w:hAnsi="Times New Roman" w:cs="Times New Roman"/>
        </w:rPr>
      </w:pPr>
      <w:r>
        <w:rPr>
          <w:rFonts w:ascii="Times New Roman" w:hAnsi="Times New Roman" w:cs="Times New Roman"/>
        </w:rPr>
        <w:tab/>
        <w:t xml:space="preserve">Amino acid sequences of the </w:t>
      </w:r>
      <w:proofErr w:type="spellStart"/>
      <w:r w:rsidRPr="005D4EEB">
        <w:rPr>
          <w:rFonts w:ascii="Times New Roman" w:hAnsi="Times New Roman" w:cs="Times New Roman"/>
          <w:i/>
          <w:iCs/>
        </w:rPr>
        <w:t>rpo</w:t>
      </w:r>
      <w:proofErr w:type="spellEnd"/>
      <w:r>
        <w:rPr>
          <w:rFonts w:ascii="Times New Roman" w:hAnsi="Times New Roman" w:cs="Times New Roman"/>
        </w:rPr>
        <w:t xml:space="preserve"> gene family were used to predict three-dimensional protein structures using the AlphaFold 3 Server </w:t>
      </w:r>
      <w:r w:rsidRPr="00C458B3">
        <w:rPr>
          <w:rFonts w:ascii="Times New Roman" w:eastAsia="Times New Roman" w:hAnsi="Times New Roman" w:cs="Times New Roman"/>
        </w:rPr>
        <w:t>(</w:t>
      </w:r>
      <w:hyperlink r:id="rId13" w:history="1">
        <w:r w:rsidRPr="00C458B3">
          <w:rPr>
            <w:rStyle w:val="Hyperlink"/>
            <w:rFonts w:ascii="Times New Roman" w:eastAsia="Times New Roman" w:hAnsi="Times New Roman" w:cs="Times New Roman"/>
          </w:rPr>
          <w:t>https://alphafoldserver.com</w:t>
        </w:r>
      </w:hyperlink>
      <w:r w:rsidRPr="00C458B3">
        <w:rPr>
          <w:rFonts w:ascii="Times New Roman" w:eastAsia="Times New Roman" w:hAnsi="Times New Roman" w:cs="Times New Roman"/>
        </w:rPr>
        <w:t>).</w:t>
      </w:r>
      <w:r>
        <w:rPr>
          <w:rFonts w:ascii="Times New Roman" w:eastAsia="Times New Roman" w:hAnsi="Times New Roman" w:cs="Times New Roman"/>
        </w:rPr>
        <w:t xml:space="preserve"> The predicted</w:t>
      </w:r>
      <w:r w:rsidR="00262E96">
        <w:rPr>
          <w:rFonts w:ascii="Times New Roman" w:eastAsia="Times New Roman" w:hAnsi="Times New Roman" w:cs="Times New Roman"/>
        </w:rPr>
        <w:t xml:space="preserve"> protein models were visualized and analyzed using </w:t>
      </w:r>
      <w:proofErr w:type="spellStart"/>
      <w:r w:rsidR="00262E96">
        <w:rPr>
          <w:rFonts w:ascii="Times New Roman" w:eastAsia="Times New Roman" w:hAnsi="Times New Roman" w:cs="Times New Roman"/>
        </w:rPr>
        <w:t>PyMOL</w:t>
      </w:r>
      <w:proofErr w:type="spellEnd"/>
      <w:r w:rsidR="00262E96">
        <w:rPr>
          <w:rFonts w:ascii="Times New Roman" w:eastAsia="Times New Roman" w:hAnsi="Times New Roman" w:cs="Times New Roman"/>
        </w:rPr>
        <w:t xml:space="preserve"> software. Structural similarity among the predicted proteins was evaluated by calculating the root mean square deviation (RMSD) values through structural alignment with reference protein structures.</w:t>
      </w:r>
    </w:p>
    <w:p w14:paraId="7F9A9642" w14:textId="77777777" w:rsidR="00262E96" w:rsidRDefault="00262E96" w:rsidP="00D07021">
      <w:pPr>
        <w:spacing w:after="0" w:line="360" w:lineRule="auto"/>
        <w:jc w:val="both"/>
        <w:rPr>
          <w:rFonts w:ascii="Times New Roman" w:hAnsi="Times New Roman" w:cs="Times New Roman"/>
        </w:rPr>
      </w:pPr>
    </w:p>
    <w:p w14:paraId="0677477B" w14:textId="77777777"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Conserved Motif Analysis</w:t>
      </w:r>
    </w:p>
    <w:p w14:paraId="66B360F7" w14:textId="5A3782CC" w:rsidR="00434EE9" w:rsidRDefault="00262E96" w:rsidP="00D07021">
      <w:pPr>
        <w:spacing w:after="0" w:line="360" w:lineRule="auto"/>
        <w:jc w:val="both"/>
        <w:rPr>
          <w:rFonts w:ascii="Times New Roman" w:eastAsia="Times New Roman" w:hAnsi="Times New Roman" w:cs="Times New Roman"/>
        </w:rPr>
      </w:pPr>
      <w:r>
        <w:rPr>
          <w:rFonts w:ascii="Times New Roman" w:hAnsi="Times New Roman" w:cs="Times New Roman"/>
        </w:rPr>
        <w:lastRenderedPageBreak/>
        <w:tab/>
        <w:t xml:space="preserve">Conserved motif analysis was performed using the MEME Suite v5.5.7 online server </w:t>
      </w:r>
      <w:r w:rsidRPr="00C458B3">
        <w:rPr>
          <w:rFonts w:ascii="Times New Roman" w:eastAsia="Times New Roman" w:hAnsi="Times New Roman" w:cs="Times New Roman"/>
        </w:rPr>
        <w:t>(</w:t>
      </w:r>
      <w:hyperlink r:id="rId14" w:history="1">
        <w:r w:rsidRPr="00C458B3">
          <w:rPr>
            <w:rStyle w:val="Hyperlink"/>
            <w:rFonts w:ascii="Times New Roman" w:eastAsia="Times New Roman" w:hAnsi="Times New Roman" w:cs="Times New Roman"/>
          </w:rPr>
          <w:t>https://meme-suite.org/meme/tools/meme</w:t>
        </w:r>
      </w:hyperlink>
      <w:r w:rsidRPr="00C458B3">
        <w:rPr>
          <w:rFonts w:ascii="Times New Roman" w:eastAsia="Times New Roman" w:hAnsi="Times New Roman" w:cs="Times New Roman"/>
        </w:rPr>
        <w:t>).</w:t>
      </w:r>
      <w:r>
        <w:rPr>
          <w:rFonts w:ascii="Times New Roman" w:eastAsia="Times New Roman" w:hAnsi="Times New Roman" w:cs="Times New Roman"/>
        </w:rPr>
        <w:t xml:space="preserve"> The amino acid sequences of the </w:t>
      </w:r>
      <w:proofErr w:type="spellStart"/>
      <w:r w:rsidRPr="00262E96">
        <w:rPr>
          <w:rFonts w:ascii="Times New Roman" w:eastAsia="Times New Roman" w:hAnsi="Times New Roman" w:cs="Times New Roman"/>
          <w:i/>
          <w:iCs/>
        </w:rPr>
        <w:t>rpo</w:t>
      </w:r>
      <w:proofErr w:type="spellEnd"/>
      <w:r>
        <w:rPr>
          <w:rFonts w:ascii="Times New Roman" w:eastAsia="Times New Roman" w:hAnsi="Times New Roman" w:cs="Times New Roman"/>
        </w:rPr>
        <w:t xml:space="preserve"> gene family, together with reference and outgroup protein sequences, were used as input for motif discovery. The MEME algorithm was applied with the maximum number of motifs set to 30 to allow comprehensive detection of conserved motifs, including potentially rare or lineage-specific motifs within the </w:t>
      </w:r>
      <w:proofErr w:type="spellStart"/>
      <w:r w:rsidRPr="00262E96">
        <w:rPr>
          <w:rFonts w:ascii="Times New Roman" w:eastAsia="Times New Roman" w:hAnsi="Times New Roman" w:cs="Times New Roman"/>
          <w:i/>
          <w:iCs/>
        </w:rPr>
        <w:t>rpo</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protein family, while other parameters were kept at their default settings.</w:t>
      </w:r>
    </w:p>
    <w:p w14:paraId="39123AA5" w14:textId="77777777" w:rsidR="00262E96" w:rsidRDefault="00262E96" w:rsidP="00434EE9">
      <w:pPr>
        <w:spacing w:after="0" w:line="360" w:lineRule="auto"/>
        <w:rPr>
          <w:rFonts w:ascii="Times New Roman" w:eastAsia="Times New Roman" w:hAnsi="Times New Roman" w:cs="Times New Roman"/>
          <w:b/>
          <w:bCs/>
        </w:rPr>
      </w:pPr>
    </w:p>
    <w:p w14:paraId="75EC407E" w14:textId="0DC77CFA"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RSCU-Based Codon Usage Analysis</w:t>
      </w:r>
    </w:p>
    <w:p w14:paraId="074FF269" w14:textId="2B967241" w:rsidR="00434EE9" w:rsidRDefault="00262E96" w:rsidP="00D07021">
      <w:pPr>
        <w:spacing w:after="0" w:line="360" w:lineRule="auto"/>
        <w:jc w:val="both"/>
        <w:rPr>
          <w:rFonts w:ascii="Times New Roman" w:eastAsia="Times New Roman" w:hAnsi="Times New Roman" w:cs="Times New Roman"/>
        </w:rPr>
      </w:pPr>
      <w:r>
        <w:rPr>
          <w:rFonts w:ascii="Times New Roman" w:hAnsi="Times New Roman" w:cs="Times New Roman"/>
        </w:rPr>
        <w:tab/>
        <w:t>Codon usage bias analysis was performed using a custom Python pipeline executed through the Anaconda Prompt (Python 3) environment. The input data consisted of a complete chloroplast genome annotation file in GenBank format (.</w:t>
      </w:r>
      <w:proofErr w:type="spellStart"/>
      <w:r>
        <w:rPr>
          <w:rFonts w:ascii="Times New Roman" w:hAnsi="Times New Roman" w:cs="Times New Roman"/>
        </w:rPr>
        <w:t>gbk</w:t>
      </w:r>
      <w:proofErr w:type="spellEnd"/>
      <w:r>
        <w:rPr>
          <w:rFonts w:ascii="Times New Roman" w:hAnsi="Times New Roman" w:cs="Times New Roman"/>
        </w:rPr>
        <w:t xml:space="preserve">). CDS shorter than 60 nucleotides were excluded from the analysis and stop codons were removed </w:t>
      </w:r>
      <w:r w:rsidR="004114F8">
        <w:rPr>
          <w:rFonts w:ascii="Times New Roman" w:hAnsi="Times New Roman" w:cs="Times New Roman"/>
        </w:rPr>
        <w:t>before</w:t>
      </w:r>
      <w:r>
        <w:rPr>
          <w:rFonts w:ascii="Times New Roman" w:hAnsi="Times New Roman" w:cs="Times New Roman"/>
        </w:rPr>
        <w:t xml:space="preserve"> codon counting to avoid statistical bias in codon frequency estimation. Th</w:t>
      </w:r>
      <w:r w:rsidR="00D601DE">
        <w:rPr>
          <w:rFonts w:ascii="Times New Roman" w:hAnsi="Times New Roman" w:cs="Times New Roman"/>
        </w:rPr>
        <w:t>e</w:t>
      </w:r>
      <w:r>
        <w:rPr>
          <w:rFonts w:ascii="Times New Roman" w:hAnsi="Times New Roman" w:cs="Times New Roman"/>
        </w:rPr>
        <w:t xml:space="preserve"> </w:t>
      </w:r>
      <w:proofErr w:type="spellStart"/>
      <w:r w:rsidRPr="00262E96">
        <w:rPr>
          <w:rFonts w:ascii="Times New Roman" w:hAnsi="Times New Roman" w:cs="Times New Roman"/>
          <w:i/>
          <w:iCs/>
        </w:rPr>
        <w:t>rpo</w:t>
      </w:r>
      <w:proofErr w:type="spellEnd"/>
      <w:r>
        <w:rPr>
          <w:rFonts w:ascii="Times New Roman" w:hAnsi="Times New Roman" w:cs="Times New Roman"/>
        </w:rPr>
        <w:t xml:space="preserve"> gene family, including </w:t>
      </w:r>
      <w:proofErr w:type="spellStart"/>
      <w:r w:rsidRPr="00C458B3">
        <w:rPr>
          <w:rFonts w:ascii="Times New Roman" w:eastAsia="Times New Roman" w:hAnsi="Times New Roman" w:cs="Times New Roman"/>
          <w:i/>
          <w:iCs/>
        </w:rPr>
        <w:t>rpo</w:t>
      </w:r>
      <w:r w:rsidRPr="00C458B3">
        <w:rPr>
          <w:rFonts w:ascii="Times New Roman" w:eastAsia="Times New Roman" w:hAnsi="Times New Roman" w:cs="Times New Roman"/>
        </w:rPr>
        <w:t>A</w:t>
      </w:r>
      <w:proofErr w:type="spellEnd"/>
      <w:r w:rsidRPr="00C458B3">
        <w:rPr>
          <w:rFonts w:ascii="Times New Roman" w:eastAsia="Times New Roman" w:hAnsi="Times New Roman" w:cs="Times New Roman"/>
        </w:rPr>
        <w:t xml:space="preserve">, </w:t>
      </w:r>
      <w:proofErr w:type="spellStart"/>
      <w:r w:rsidRPr="00C458B3">
        <w:rPr>
          <w:rFonts w:ascii="Times New Roman" w:eastAsia="Times New Roman" w:hAnsi="Times New Roman" w:cs="Times New Roman"/>
          <w:i/>
          <w:iCs/>
        </w:rPr>
        <w:t>rpo</w:t>
      </w:r>
      <w:r w:rsidRPr="00C458B3">
        <w:rPr>
          <w:rFonts w:ascii="Times New Roman" w:eastAsia="Times New Roman" w:hAnsi="Times New Roman" w:cs="Times New Roman"/>
        </w:rPr>
        <w:t>B</w:t>
      </w:r>
      <w:proofErr w:type="spellEnd"/>
      <w:r w:rsidRPr="00C458B3">
        <w:rPr>
          <w:rFonts w:ascii="Times New Roman" w:eastAsia="Times New Roman" w:hAnsi="Times New Roman" w:cs="Times New Roman"/>
        </w:rPr>
        <w:t xml:space="preserve">, </w:t>
      </w:r>
      <w:r w:rsidRPr="00C458B3">
        <w:rPr>
          <w:rFonts w:ascii="Times New Roman" w:eastAsia="Times New Roman" w:hAnsi="Times New Roman" w:cs="Times New Roman"/>
          <w:i/>
          <w:iCs/>
        </w:rPr>
        <w:t>rpo</w:t>
      </w:r>
      <w:r w:rsidRPr="00C458B3">
        <w:rPr>
          <w:rFonts w:ascii="Times New Roman" w:eastAsia="Times New Roman" w:hAnsi="Times New Roman" w:cs="Times New Roman"/>
        </w:rPr>
        <w:t xml:space="preserve">C1, and </w:t>
      </w:r>
      <w:r w:rsidRPr="00C458B3">
        <w:rPr>
          <w:rFonts w:ascii="Times New Roman" w:eastAsia="Times New Roman" w:hAnsi="Times New Roman" w:cs="Times New Roman"/>
          <w:i/>
          <w:iCs/>
        </w:rPr>
        <w:t>rpo</w:t>
      </w:r>
      <w:r w:rsidRPr="00C458B3">
        <w:rPr>
          <w:rFonts w:ascii="Times New Roman" w:eastAsia="Times New Roman" w:hAnsi="Times New Roman" w:cs="Times New Roman"/>
        </w:rPr>
        <w:t>C2</w:t>
      </w:r>
      <w:r>
        <w:rPr>
          <w:rFonts w:ascii="Times New Roman" w:eastAsia="Times New Roman" w:hAnsi="Times New Roman" w:cs="Times New Roman"/>
        </w:rPr>
        <w:t>, was identified based on gene annotations in the GenBank file, while all remaining CDS were grouped as the other chloroplast genes. The pipeline generated output files</w:t>
      </w:r>
      <w:r w:rsidR="004114F8">
        <w:rPr>
          <w:rFonts w:ascii="Times New Roman" w:eastAsia="Times New Roman" w:hAnsi="Times New Roman" w:cs="Times New Roman"/>
        </w:rPr>
        <w:t>,</w:t>
      </w:r>
      <w:r>
        <w:rPr>
          <w:rFonts w:ascii="Times New Roman" w:eastAsia="Times New Roman" w:hAnsi="Times New Roman" w:cs="Times New Roman"/>
        </w:rPr>
        <w:t xml:space="preserve"> including CSV tables and heatmap visualizations. </w:t>
      </w:r>
    </w:p>
    <w:p w14:paraId="73E3DAE3" w14:textId="77777777" w:rsidR="00262E96" w:rsidRDefault="00262E96" w:rsidP="00D07021">
      <w:pPr>
        <w:spacing w:after="0" w:line="360" w:lineRule="auto"/>
        <w:jc w:val="both"/>
        <w:rPr>
          <w:rFonts w:ascii="Times New Roman" w:hAnsi="Times New Roman" w:cs="Times New Roman"/>
        </w:rPr>
      </w:pPr>
    </w:p>
    <w:p w14:paraId="345E5B8D" w14:textId="77777777" w:rsidR="00434EE9" w:rsidRPr="00C458B3" w:rsidRDefault="00434EE9" w:rsidP="00434EE9">
      <w:pPr>
        <w:spacing w:after="0" w:line="360" w:lineRule="auto"/>
        <w:rPr>
          <w:rFonts w:ascii="Times New Roman" w:eastAsia="Times New Roman" w:hAnsi="Times New Roman" w:cs="Times New Roman"/>
          <w:b/>
          <w:bCs/>
        </w:rPr>
      </w:pPr>
      <w:r w:rsidRPr="00C458B3">
        <w:rPr>
          <w:rFonts w:ascii="Times New Roman" w:eastAsia="Times New Roman" w:hAnsi="Times New Roman" w:cs="Times New Roman"/>
          <w:b/>
          <w:bCs/>
        </w:rPr>
        <w:t>Phylogenetic Reconstruction</w:t>
      </w:r>
    </w:p>
    <w:p w14:paraId="7543092C" w14:textId="34BA548F" w:rsidR="00434EE9" w:rsidRPr="00D601DE" w:rsidRDefault="00D601DE" w:rsidP="00D07021">
      <w:pPr>
        <w:spacing w:after="0" w:line="360" w:lineRule="auto"/>
        <w:jc w:val="both"/>
        <w:rPr>
          <w:rFonts w:ascii="Times New Roman" w:hAnsi="Times New Roman" w:cs="Times New Roman"/>
        </w:rPr>
      </w:pPr>
      <w:r>
        <w:rPr>
          <w:rFonts w:ascii="Times New Roman" w:hAnsi="Times New Roman" w:cs="Times New Roman"/>
        </w:rPr>
        <w:tab/>
        <w:t xml:space="preserve">Phylogenetic relationships were </w:t>
      </w:r>
      <w:r w:rsidR="00D26BAD">
        <w:rPr>
          <w:rFonts w:ascii="Times New Roman" w:hAnsi="Times New Roman" w:cs="Times New Roman"/>
        </w:rPr>
        <w:t>reconstructed</w:t>
      </w:r>
      <w:r>
        <w:rPr>
          <w:rFonts w:ascii="Times New Roman" w:hAnsi="Times New Roman" w:cs="Times New Roman"/>
        </w:rPr>
        <w:t xml:space="preserve"> using Maximum Likelihood (ML) and Bayesian Inference (BI) approaches based on a concatenated dataset of the </w:t>
      </w:r>
      <w:proofErr w:type="spellStart"/>
      <w:r w:rsidRPr="00D601DE">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gene family. The coding sequences of </w:t>
      </w:r>
      <w:proofErr w:type="spellStart"/>
      <w:r w:rsidRPr="00C458B3">
        <w:rPr>
          <w:rFonts w:ascii="Times New Roman" w:eastAsia="Times New Roman" w:hAnsi="Times New Roman" w:cs="Times New Roman"/>
          <w:i/>
          <w:iCs/>
        </w:rPr>
        <w:t>rpo</w:t>
      </w:r>
      <w:r w:rsidRPr="00C458B3">
        <w:rPr>
          <w:rFonts w:ascii="Times New Roman" w:eastAsia="Times New Roman" w:hAnsi="Times New Roman" w:cs="Times New Roman"/>
        </w:rPr>
        <w:t>A</w:t>
      </w:r>
      <w:proofErr w:type="spellEnd"/>
      <w:r w:rsidRPr="00C458B3">
        <w:rPr>
          <w:rFonts w:ascii="Times New Roman" w:eastAsia="Times New Roman" w:hAnsi="Times New Roman" w:cs="Times New Roman"/>
        </w:rPr>
        <w:t xml:space="preserve">, </w:t>
      </w:r>
      <w:proofErr w:type="spellStart"/>
      <w:r w:rsidRPr="00C458B3">
        <w:rPr>
          <w:rFonts w:ascii="Times New Roman" w:eastAsia="Times New Roman" w:hAnsi="Times New Roman" w:cs="Times New Roman"/>
          <w:i/>
          <w:iCs/>
        </w:rPr>
        <w:t>rpo</w:t>
      </w:r>
      <w:r w:rsidRPr="00C458B3">
        <w:rPr>
          <w:rFonts w:ascii="Times New Roman" w:eastAsia="Times New Roman" w:hAnsi="Times New Roman" w:cs="Times New Roman"/>
        </w:rPr>
        <w:t>B</w:t>
      </w:r>
      <w:proofErr w:type="spellEnd"/>
      <w:r w:rsidRPr="00C458B3">
        <w:rPr>
          <w:rFonts w:ascii="Times New Roman" w:eastAsia="Times New Roman" w:hAnsi="Times New Roman" w:cs="Times New Roman"/>
        </w:rPr>
        <w:t xml:space="preserve">, </w:t>
      </w:r>
      <w:r w:rsidRPr="00C458B3">
        <w:rPr>
          <w:rFonts w:ascii="Times New Roman" w:eastAsia="Times New Roman" w:hAnsi="Times New Roman" w:cs="Times New Roman"/>
          <w:i/>
          <w:iCs/>
        </w:rPr>
        <w:t>rpo</w:t>
      </w:r>
      <w:r w:rsidRPr="00C458B3">
        <w:rPr>
          <w:rFonts w:ascii="Times New Roman" w:eastAsia="Times New Roman" w:hAnsi="Times New Roman" w:cs="Times New Roman"/>
        </w:rPr>
        <w:t xml:space="preserve">C1, and </w:t>
      </w:r>
      <w:r w:rsidRPr="00C458B3">
        <w:rPr>
          <w:rFonts w:ascii="Times New Roman" w:eastAsia="Times New Roman" w:hAnsi="Times New Roman" w:cs="Times New Roman"/>
          <w:i/>
          <w:iCs/>
        </w:rPr>
        <w:t>rpo</w:t>
      </w:r>
      <w:r w:rsidRPr="00C458B3">
        <w:rPr>
          <w:rFonts w:ascii="Times New Roman" w:eastAsia="Times New Roman" w:hAnsi="Times New Roman" w:cs="Times New Roman"/>
        </w:rPr>
        <w:t>C2</w:t>
      </w:r>
      <w:r>
        <w:rPr>
          <w:rFonts w:ascii="Times New Roman" w:eastAsia="Times New Roman" w:hAnsi="Times New Roman" w:cs="Times New Roman"/>
        </w:rPr>
        <w:t xml:space="preserve"> were </w:t>
      </w:r>
      <w:r w:rsidR="00D26BAD">
        <w:rPr>
          <w:rFonts w:ascii="Times New Roman" w:eastAsia="Times New Roman" w:hAnsi="Times New Roman" w:cs="Times New Roman"/>
        </w:rPr>
        <w:t>aligned</w:t>
      </w:r>
      <w:r>
        <w:rPr>
          <w:rFonts w:ascii="Times New Roman" w:eastAsia="Times New Roman" w:hAnsi="Times New Roman" w:cs="Times New Roman"/>
        </w:rPr>
        <w:t xml:space="preserve"> into a single alignment </w:t>
      </w:r>
      <w:r w:rsidR="00D2039D">
        <w:rPr>
          <w:rFonts w:ascii="Times New Roman" w:eastAsia="Times New Roman" w:hAnsi="Times New Roman" w:cs="Times New Roman"/>
        </w:rPr>
        <w:t>file</w:t>
      </w:r>
      <w:r>
        <w:rPr>
          <w:rFonts w:ascii="Times New Roman" w:eastAsia="Times New Roman" w:hAnsi="Times New Roman" w:cs="Times New Roman"/>
        </w:rPr>
        <w:t xml:space="preserve">. The </w:t>
      </w:r>
      <w:r w:rsidR="00D2039D">
        <w:rPr>
          <w:rFonts w:ascii="Times New Roman" w:eastAsia="Times New Roman" w:hAnsi="Times New Roman" w:cs="Times New Roman"/>
        </w:rPr>
        <w:t>optimal</w:t>
      </w:r>
      <w:r>
        <w:rPr>
          <w:rFonts w:ascii="Times New Roman" w:eastAsia="Times New Roman" w:hAnsi="Times New Roman" w:cs="Times New Roman"/>
        </w:rPr>
        <w:t xml:space="preserve"> partitioning scheme for the dataset was determined by </w:t>
      </w:r>
      <w:proofErr w:type="spellStart"/>
      <w:r>
        <w:rPr>
          <w:rFonts w:ascii="Times New Roman" w:eastAsia="Times New Roman" w:hAnsi="Times New Roman" w:cs="Times New Roman"/>
        </w:rPr>
        <w:t>PartitionFinder</w:t>
      </w:r>
      <w:proofErr w:type="spellEnd"/>
      <w:r>
        <w:rPr>
          <w:rFonts w:ascii="Times New Roman" w:eastAsia="Times New Roman" w:hAnsi="Times New Roman" w:cs="Times New Roman"/>
        </w:rPr>
        <w:t xml:space="preserve"> v.2.1.1 </w:t>
      </w:r>
      <w:r w:rsidRPr="00C458B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{"citationItems":[{"id":"ITEM-1","itemData":{"DOI":"10.1093/molbev/msw260","ISSN":"15371719","PMID":"28013191","abstract":"PartitionFinder 2 is a program for automatically selecting best-fit partitioning schemes and models of evolution for phylogenetic analyses. PartitionFinder 2 is substantially faster and more efficient than version 1, and incorporates many newmethods and features. These include the ability to analyzemorphological datasets, new methods to analyze genomescale datasets, new output formats to facilitate interoperability with downstream software, and many new models of molecular evolution. PartitionFinder 2 is freely available under an open source license and works on Windows, OSX, and Linux operating systems. It can be downloaded from www.robertlanfear.com/partitionfinder. The source code is available at https://github.com/brettc/partitionfinder.","author":[{"dropping-particle":"","family":"Lanfear","given":"Robert","non-dropping-particle":"","parse-names":false,"suffix":""},{"dropping-particle":"","family":"Frandsen","given":"Paul B.","non-dropping-particle":"","parse-names":false,"suffix":""},{"dropping-particle":"","family":"Wright","given":"April M.","non-dropping-particle":"","parse-names":false,"suffix":""},{"dropping-particle":"","family":"Senfeld","given":"Tereza","non-dropping-particle":"","parse-names":false,"suffix":""},{"dropping-particle":"","family":"Calcott","given":"Brett","non-dropping-particle":"","parse-names":false,"suffix":""}],"container-title":"Molecular Biology and Evolution","id":"ITEM-1","issue":"3","issued":{"date-parts":[["2017"]]},"page":"772-773","publisher":"Oxford University Press","title":"Partitionfinder 2: New methods for selecting partitioned models of evolution for molecular and morphological phylogenetic analyses","type":"article-journal","volume":"34"},"uris":["http://www.mendeley.com/documents/?uuid=07927b75-45fc-31f3-baa8-8d358d199e9c"]}],"mendeley":{"formattedCitation":"(Lanfear et al., 2017)","plainTextFormattedCitation":"(Lanfear et al., 2017)","previouslyFormattedCitation":"[31]"},"properties":{"noteIndex":0},"schema":"https://github.com/citation-style-language/schema/raw/master/csl-citation.json"}</w:instrText>
      </w:r>
      <w:r w:rsidRPr="00C458B3">
        <w:rPr>
          <w:rFonts w:ascii="Times New Roman" w:eastAsia="Times New Roman" w:hAnsi="Times New Roman" w:cs="Times New Roman"/>
        </w:rPr>
        <w:fldChar w:fldCharType="separate"/>
      </w:r>
      <w:r w:rsidRPr="00A652DE">
        <w:rPr>
          <w:rFonts w:ascii="Times New Roman" w:eastAsia="Times New Roman" w:hAnsi="Times New Roman" w:cs="Times New Roman"/>
          <w:noProof/>
        </w:rPr>
        <w:t>(Lanfear et al., 2017)</w:t>
      </w:r>
      <w:r w:rsidRPr="00C458B3">
        <w:rPr>
          <w:rFonts w:ascii="Times New Roman" w:eastAsia="Times New Roman" w:hAnsi="Times New Roman" w:cs="Times New Roman"/>
        </w:rPr>
        <w:fldChar w:fldCharType="end"/>
      </w:r>
      <w:r>
        <w:rPr>
          <w:rFonts w:ascii="Times New Roman" w:eastAsia="Times New Roman" w:hAnsi="Times New Roman" w:cs="Times New Roman"/>
        </w:rPr>
        <w:t xml:space="preserve"> based on the Bayesian Information Criterion (BIC). ML analysis was conducted in IQ-TREE v2.3.1 </w:t>
      </w:r>
      <w:r w:rsidRPr="00C458B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{"citationItems":[{"id":"ITEM-1","itemData":{"DOI":"10.1093/molbev/msu300","ISSN":"15371719","PMID":"25371430","abstract":"Large phylogenomics data sets require fast tree inference methods, especially for maximum-likelihood (ML) phylogenies. Fast programs exist, but due to inherent heuristics to find optimal trees, it is not clear whether the best tree is found. Thus, there is need for additional approaches that employ different search strategies to find ML trees and that are at the same time as fast as currently available ML programs. We show that a combination of hill-climbing approaches and a stochastic perturbation method can be time-efficiently implemented. If we allow the same CPU time as RAxML and PhyML, then our software IQ-TREE found higher likelihoods between 62.2% and 87.1% of the studied alignments, thus efficiently exploring the tree-space. If we use the IQ-TREE stopping rule, RAxML and PhyML are faster in 75.7% and 47.1% of the DNA alignments and 42.2% and 100% of the protein alignments, respectively. However, the range of obtaining higher likelihoods with IQ-TREE improves to 73.3-97.1%. IQ-TREE is freely available at http://www.cibiv.at/software/iqtree.","author":[{"dropping-particle":"","family":"Nguyen","given":"Lam Tung","non-dropping-particle":"","parse-names":false,"suffix":""},{"dropping-particle":"","family":"Schmidt","given":"Heiko A.","non-dropping-particle":"","parse-names":false,"suffix":""},{"dropping-particle":"","family":"Haeseler","given":"Arndt","non-dropping-particle":"Von","parse-names":false,"suffix":""},{"dropping-particle":"","family":"Minh","given":"Bui Quang","non-dropping-particle":"","parse-names":false,"suffix":""}],"container-title":"Molecular Biology and Evolution","id":"ITEM-1","issue":"1","issued":{"date-parts":[["2015","1","1"]]},"page":"268-274","publisher":"Oxford University Press","title":"IQ-TREE: A fast and effective stochastic algorithm for estimating maximum-likelihood phylogenies","type":"article-journal","volume":"32"},"uris":["http://www.mendeley.com/documents/?uuid=3d004e4a-b53d-3ab8-acff-f1b527ef3391"]}],"mendeley":{"formattedCitation":"(Nguyen et al., 2015)","plainTextFormattedCitation":"(Nguyen et al., 2015)","previouslyFormattedCitation":"[32]"},"properties":{"noteIndex":0},"schema":"https://github.com/citation-style-language/schema/raw/master/csl-citation.json"}</w:instrText>
      </w:r>
      <w:r w:rsidRPr="00C458B3">
        <w:rPr>
          <w:rFonts w:ascii="Times New Roman" w:eastAsia="Times New Roman" w:hAnsi="Times New Roman" w:cs="Times New Roman"/>
        </w:rPr>
        <w:fldChar w:fldCharType="separate"/>
      </w:r>
      <w:r w:rsidRPr="00A652DE">
        <w:rPr>
          <w:rFonts w:ascii="Times New Roman" w:eastAsia="Times New Roman" w:hAnsi="Times New Roman" w:cs="Times New Roman"/>
          <w:noProof/>
        </w:rPr>
        <w:t>(Nguyen et al., 2015)</w:t>
      </w:r>
      <w:r w:rsidRPr="00C458B3">
        <w:rPr>
          <w:rFonts w:ascii="Times New Roman" w:eastAsia="Times New Roman" w:hAnsi="Times New Roman" w:cs="Times New Roman"/>
        </w:rPr>
        <w:fldChar w:fldCharType="end"/>
      </w:r>
      <w:r>
        <w:rPr>
          <w:rFonts w:ascii="Times New Roman" w:eastAsia="Times New Roman" w:hAnsi="Times New Roman" w:cs="Times New Roman"/>
        </w:rPr>
        <w:t xml:space="preserve"> with 1000 bootstrap replicates, whereas BI analysis was performed in </w:t>
      </w:r>
      <w:proofErr w:type="spellStart"/>
      <w:r>
        <w:rPr>
          <w:rFonts w:ascii="Times New Roman" w:eastAsia="Times New Roman" w:hAnsi="Times New Roman" w:cs="Times New Roman"/>
        </w:rPr>
        <w:t>MrBayes</w:t>
      </w:r>
      <w:proofErr w:type="spellEnd"/>
      <w:r>
        <w:rPr>
          <w:rFonts w:ascii="Times New Roman" w:eastAsia="Times New Roman" w:hAnsi="Times New Roman" w:cs="Times New Roman"/>
        </w:rPr>
        <w:t xml:space="preserve"> v3.2.6 </w:t>
      </w:r>
      <w:r w:rsidRPr="00C458B3">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{"citationItems":[{"id":"ITEM-1","itemData":{"DOI":"10.1093/sysbio/sys029","ISSN":"10635157","PMID":"22357727","abstract":"Since its introduction in 2001, MrBayes has grown in popularity as a software package for Bayesian phylogenetic inference using Markov chain Monte Carlo (MCMC) methods. With this note, we announce the release of version 3.2, a major upgrade to the latest official release presented in 2003. The new version provides convergence diagnostics and allows multiple analyses to be run in parallel with convergence progress monitored on the fly. The introduction of new proposals and automatic optimization of tuning parameters has improved convergence for many problems. The new version also sports significantly faster likelihood calculations through streaming single-instruction-multiple-data extensions (SSE) and support of the BEAGLE library, allowing likelihood calculations to be delegated to graphics processing units (GPUs) on compatible hardware. Speedup factors range from around 2 with SSE code to more than 50 with BEAGLE for codon problems. Checkpointing across all models allows long runs to be completed even when an analysis is prematurely terminated. New models include relaxed clocks, dating, model averaging across time-reversible substitution models, and support for hard, negative, and partial (backbone) tree constraints. Inference of species trees from gene trees is supported by full incorporation of the Bayesian estimation of species trees (BEST) algorithms. Marginal model likelihoods for Bayes factor tests can be estimated accurately across the entire model space using the stepping stone method. The new version provides more output options than previously, including samples of ancestral states, site rates, site dN/dS rations, branch rates, and node dates. A wide range of statistics on tree parameters can also be output for visualization in FigTree and compatible software. © 2012 The Author(s).","author":[{"dropping-particle":"","family":"Ronquist","given":"Fredrik","non-dropping-particle":"","parse-names":false,"suffix":""},{"dropping-particle":"","family":"Teslenko","given":"Maxim","non-dropping-particle":"","parse-names":false,"suffix":""},{"dropping-particle":"","family":"Mark","given":"Paul","non-dropping-particle":"Van Der","parse-names":false,"suffix":""},{"dropping-particle":"","family":"Ayres","given":"Daniel L.","non-dropping-particle":"","parse-names":false,"suffix":""},{"dropping-particle":"","family":"Darling","given":"Aaron","non-dropping-particle":"","parse-names":false,"suffix":""},{"dropping-particle":"","family":"Höhna","given":"Sebastian","non-dropping-particle":"","parse-names":false,"suffix":""},{"dropping-particle":"","family":"Larget","given":"Bret","non-dropping-particle":"","parse-names":false,"suffix":""},{"dropping-particle":"","family":"Liu","given":"Liang","non-dropping-particle":"","parse-names":false,"suffix":""},{"dropping-particle":"","family":"Suchard","given":"Marc A.","non-dropping-particle":"","parse-names":false,"suffix":""},{"dropping-particle":"","family":"Huelsenbeck","given":"John P.","non-dropping-particle":"","parse-names":false,"suffix":""}],"container-title":"Systematic Biology","id":"ITEM-1","issue":"3","issued":{"date-parts":[["2012","5"]]},"page":"539-542","title":"Mrbayes 3.2: Efficient bayesian phylogenetic inference and model choice across a large model space","type":"article-journal","volume":"61"},"uris":["http://www.mendeley.com/documents/?uuid=23837c37-6000-36ec-9c41-58622bba1788"]}],"mendeley":{"formattedCitation":"(Ronquist et al., 2012)","plainTextFormattedCitation":"(Ronquist et al., 2012)","previouslyFormattedCitation":"[33]"},"properties":{"noteIndex":0},"schema":"https://github.com/citation-style-language/schema/raw/master/csl-citation.json"}</w:instrText>
      </w:r>
      <w:r w:rsidRPr="00C458B3">
        <w:rPr>
          <w:rFonts w:ascii="Times New Roman" w:eastAsia="Times New Roman" w:hAnsi="Times New Roman" w:cs="Times New Roman"/>
        </w:rPr>
        <w:fldChar w:fldCharType="separate"/>
      </w:r>
      <w:r w:rsidRPr="00A652DE">
        <w:rPr>
          <w:rFonts w:ascii="Times New Roman" w:eastAsia="Times New Roman" w:hAnsi="Times New Roman" w:cs="Times New Roman"/>
          <w:noProof/>
        </w:rPr>
        <w:t>(Ronquist et al., 2012)</w:t>
      </w:r>
      <w:r w:rsidRPr="00C458B3">
        <w:rPr>
          <w:rFonts w:ascii="Times New Roman" w:eastAsia="Times New Roman" w:hAnsi="Times New Roman" w:cs="Times New Roman"/>
        </w:rPr>
        <w:fldChar w:fldCharType="end"/>
      </w:r>
      <w:r>
        <w:rPr>
          <w:rFonts w:ascii="Times New Roman" w:eastAsia="Times New Roman" w:hAnsi="Times New Roman" w:cs="Times New Roman"/>
        </w:rPr>
        <w:t xml:space="preserve"> using a M</w:t>
      </w:r>
      <w:r w:rsidR="00531003">
        <w:rPr>
          <w:rFonts w:ascii="Times New Roman" w:eastAsia="Times New Roman" w:hAnsi="Times New Roman" w:cs="Times New Roman"/>
        </w:rPr>
        <w:t>a</w:t>
      </w:r>
      <w:r>
        <w:rPr>
          <w:rFonts w:ascii="Times New Roman" w:eastAsia="Times New Roman" w:hAnsi="Times New Roman" w:cs="Times New Roman"/>
        </w:rPr>
        <w:t xml:space="preserve">rkov Chain Monte Carlo (MCMC) run of 4,000,000 generations. </w:t>
      </w:r>
      <w:r w:rsidRPr="00D601DE">
        <w:rPr>
          <w:rFonts w:ascii="Times New Roman" w:eastAsia="Times New Roman" w:hAnsi="Times New Roman" w:cs="Times New Roman"/>
          <w:i/>
          <w:iCs/>
        </w:rPr>
        <w:t>Miscanthus sinensis</w:t>
      </w:r>
      <w:r>
        <w:rPr>
          <w:rFonts w:ascii="Times New Roman" w:eastAsia="Times New Roman" w:hAnsi="Times New Roman" w:cs="Times New Roman"/>
        </w:rPr>
        <w:t xml:space="preserve"> </w:t>
      </w:r>
      <w:r w:rsidRPr="00C458B3">
        <w:rPr>
          <w:rFonts w:ascii="Times New Roman" w:eastAsia="Times New Roman" w:hAnsi="Times New Roman" w:cs="Times New Roman"/>
        </w:rPr>
        <w:t>(GenBank: LN896358)</w:t>
      </w:r>
      <w:r>
        <w:rPr>
          <w:rFonts w:ascii="Times New Roman" w:eastAsia="Times New Roman" w:hAnsi="Times New Roman" w:cs="Times New Roman"/>
        </w:rPr>
        <w:t xml:space="preserve"> was used as the outgroup. The resulting phylogenetic trees were visualized using Fig Tree v1.4.4.</w:t>
      </w:r>
    </w:p>
    <w:p w14:paraId="7E991A08" w14:textId="77777777" w:rsidR="00434EE9" w:rsidRDefault="00434EE9" w:rsidP="00D07021">
      <w:pPr>
        <w:spacing w:after="0" w:line="360" w:lineRule="auto"/>
        <w:jc w:val="both"/>
        <w:rPr>
          <w:rFonts w:ascii="Times New Roman" w:hAnsi="Times New Roman" w:cs="Times New Roman"/>
        </w:rPr>
      </w:pPr>
    </w:p>
    <w:p w14:paraId="2826E6C1" w14:textId="77777777" w:rsidR="00434EE9" w:rsidRPr="00EA2309" w:rsidRDefault="00434EE9" w:rsidP="00434EE9">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R</w:t>
      </w:r>
      <w:r>
        <w:rPr>
          <w:rFonts w:ascii="Times New Roman" w:eastAsia="Times New Roman" w:hAnsi="Times New Roman" w:cs="Times New Roman"/>
          <w:b/>
          <w:bCs/>
        </w:rPr>
        <w:t>ESULTS</w:t>
      </w:r>
      <w:r w:rsidRPr="00EA2309">
        <w:rPr>
          <w:rFonts w:ascii="Times New Roman" w:eastAsia="Times New Roman" w:hAnsi="Times New Roman" w:cs="Times New Roman"/>
          <w:b/>
          <w:bCs/>
        </w:rPr>
        <w:t xml:space="preserve"> </w:t>
      </w:r>
      <w:r>
        <w:rPr>
          <w:rFonts w:ascii="Times New Roman" w:eastAsia="Times New Roman" w:hAnsi="Times New Roman" w:cs="Times New Roman"/>
          <w:b/>
          <w:bCs/>
        </w:rPr>
        <w:t>AND</w:t>
      </w:r>
      <w:r w:rsidRPr="00EA2309">
        <w:rPr>
          <w:rFonts w:ascii="Times New Roman" w:eastAsia="Times New Roman" w:hAnsi="Times New Roman" w:cs="Times New Roman"/>
          <w:b/>
          <w:bCs/>
        </w:rPr>
        <w:t xml:space="preserve"> </w:t>
      </w:r>
      <w:r>
        <w:rPr>
          <w:rFonts w:ascii="Times New Roman" w:eastAsia="Times New Roman" w:hAnsi="Times New Roman" w:cs="Times New Roman"/>
          <w:b/>
          <w:bCs/>
        </w:rPr>
        <w:t>DISCUSSION</w:t>
      </w:r>
    </w:p>
    <w:p w14:paraId="776F427E" w14:textId="77777777" w:rsidR="00434EE9" w:rsidRDefault="00434EE9" w:rsidP="00434EE9">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 xml:space="preserve">Identification of </w:t>
      </w:r>
      <w:proofErr w:type="spellStart"/>
      <w:r w:rsidRPr="00EA2309">
        <w:rPr>
          <w:rFonts w:ascii="Times New Roman" w:eastAsia="Times New Roman" w:hAnsi="Times New Roman" w:cs="Times New Roman"/>
          <w:b/>
          <w:bCs/>
          <w:i/>
          <w:iCs/>
        </w:rPr>
        <w:t>rpo</w:t>
      </w:r>
      <w:proofErr w:type="spellEnd"/>
      <w:r w:rsidRPr="00EA2309">
        <w:rPr>
          <w:rFonts w:ascii="Times New Roman" w:eastAsia="Times New Roman" w:hAnsi="Times New Roman" w:cs="Times New Roman"/>
          <w:b/>
          <w:bCs/>
          <w:i/>
          <w:iCs/>
        </w:rPr>
        <w:t xml:space="preserve"> </w:t>
      </w:r>
      <w:r w:rsidRPr="00EA2309">
        <w:rPr>
          <w:rFonts w:ascii="Times New Roman" w:eastAsia="Times New Roman" w:hAnsi="Times New Roman" w:cs="Times New Roman"/>
          <w:b/>
          <w:bCs/>
        </w:rPr>
        <w:t>Gene Family</w:t>
      </w:r>
    </w:p>
    <w:p w14:paraId="21AB484B" w14:textId="03850004" w:rsidR="00D601DE" w:rsidRDefault="00D601DE" w:rsidP="00D601DE">
      <w:pPr>
        <w:spacing w:after="0" w:line="360" w:lineRule="auto"/>
        <w:jc w:val="both"/>
        <w:rPr>
          <w:rFonts w:ascii="Times New Roman" w:hAnsi="Times New Roman" w:cs="Times New Roman"/>
        </w:rPr>
      </w:pPr>
      <w:r>
        <w:rPr>
          <w:rFonts w:ascii="Times New Roman" w:eastAsia="Times New Roman" w:hAnsi="Times New Roman" w:cs="Times New Roman"/>
        </w:rPr>
        <w:tab/>
        <w:t xml:space="preserve">A total of four genes belonging to the plastid-encoded RNA polymerase (PEP) were identified in the chloroplast genomes of </w:t>
      </w:r>
      <w:r w:rsidRPr="00D601DE">
        <w:rPr>
          <w:rFonts w:ascii="Times New Roman" w:eastAsia="Times New Roman" w:hAnsi="Times New Roman" w:cs="Times New Roman"/>
          <w:i/>
          <w:iCs/>
        </w:rPr>
        <w:t>Saccharum</w:t>
      </w:r>
      <w:r>
        <w:rPr>
          <w:rFonts w:ascii="Times New Roman" w:eastAsia="Times New Roman" w:hAnsi="Times New Roman" w:cs="Times New Roman"/>
        </w:rPr>
        <w:t xml:space="preserve"> hybrid ‘</w:t>
      </w:r>
      <w:proofErr w:type="spellStart"/>
      <w:r>
        <w:rPr>
          <w:rFonts w:ascii="Times New Roman" w:eastAsia="Times New Roman" w:hAnsi="Times New Roman" w:cs="Times New Roman"/>
        </w:rPr>
        <w:t>Kidang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Kencana</w:t>
      </w:r>
      <w:proofErr w:type="spellEnd"/>
      <w:r>
        <w:rPr>
          <w:rFonts w:ascii="Times New Roman" w:eastAsia="Times New Roman" w:hAnsi="Times New Roman" w:cs="Times New Roman"/>
        </w:rPr>
        <w:t>’ and ‘</w:t>
      </w:r>
      <w:proofErr w:type="spellStart"/>
      <w:r>
        <w:rPr>
          <w:rFonts w:ascii="Times New Roman" w:eastAsia="Times New Roman" w:hAnsi="Times New Roman" w:cs="Times New Roman"/>
        </w:rPr>
        <w:t>Bululawang</w:t>
      </w:r>
      <w:proofErr w:type="spellEnd"/>
      <w:r>
        <w:rPr>
          <w:rFonts w:ascii="Times New Roman" w:eastAsia="Times New Roman" w:hAnsi="Times New Roman" w:cs="Times New Roman"/>
        </w:rPr>
        <w:t xml:space="preserve">’. These genes include </w:t>
      </w:r>
      <w:proofErr w:type="spellStart"/>
      <w:r w:rsidR="004114F8" w:rsidRPr="00C458B3">
        <w:rPr>
          <w:rFonts w:ascii="Times New Roman" w:eastAsia="Times New Roman" w:hAnsi="Times New Roman" w:cs="Times New Roman"/>
          <w:i/>
          <w:iCs/>
        </w:rPr>
        <w:t>rpo</w:t>
      </w:r>
      <w:r w:rsidR="004114F8" w:rsidRPr="00C458B3">
        <w:rPr>
          <w:rFonts w:ascii="Times New Roman" w:eastAsia="Times New Roman" w:hAnsi="Times New Roman" w:cs="Times New Roman"/>
        </w:rPr>
        <w:t>A</w:t>
      </w:r>
      <w:proofErr w:type="spellEnd"/>
      <w:r w:rsidR="004114F8" w:rsidRPr="00C458B3">
        <w:rPr>
          <w:rFonts w:ascii="Times New Roman" w:eastAsia="Times New Roman" w:hAnsi="Times New Roman" w:cs="Times New Roman"/>
        </w:rPr>
        <w:t xml:space="preserve">, </w:t>
      </w:r>
      <w:proofErr w:type="spellStart"/>
      <w:r w:rsidR="004114F8" w:rsidRPr="00C458B3">
        <w:rPr>
          <w:rFonts w:ascii="Times New Roman" w:eastAsia="Times New Roman" w:hAnsi="Times New Roman" w:cs="Times New Roman"/>
          <w:i/>
          <w:iCs/>
        </w:rPr>
        <w:t>rpo</w:t>
      </w:r>
      <w:r w:rsidR="004114F8" w:rsidRPr="00C458B3">
        <w:rPr>
          <w:rFonts w:ascii="Times New Roman" w:eastAsia="Times New Roman" w:hAnsi="Times New Roman" w:cs="Times New Roman"/>
        </w:rPr>
        <w:t>B</w:t>
      </w:r>
      <w:proofErr w:type="spellEnd"/>
      <w:r w:rsidR="004114F8" w:rsidRPr="00C458B3">
        <w:rPr>
          <w:rFonts w:ascii="Times New Roman" w:eastAsia="Times New Roman" w:hAnsi="Times New Roman" w:cs="Times New Roman"/>
        </w:rPr>
        <w:t xml:space="preserve">, </w:t>
      </w:r>
      <w:r w:rsidR="004114F8" w:rsidRPr="00C458B3">
        <w:rPr>
          <w:rFonts w:ascii="Times New Roman" w:eastAsia="Times New Roman" w:hAnsi="Times New Roman" w:cs="Times New Roman"/>
          <w:i/>
          <w:iCs/>
        </w:rPr>
        <w:t>rpo</w:t>
      </w:r>
      <w:r w:rsidR="004114F8" w:rsidRPr="00C458B3">
        <w:rPr>
          <w:rFonts w:ascii="Times New Roman" w:eastAsia="Times New Roman" w:hAnsi="Times New Roman" w:cs="Times New Roman"/>
        </w:rPr>
        <w:t xml:space="preserve">C1, and </w:t>
      </w:r>
      <w:r w:rsidR="004114F8" w:rsidRPr="00C458B3">
        <w:rPr>
          <w:rFonts w:ascii="Times New Roman" w:eastAsia="Times New Roman" w:hAnsi="Times New Roman" w:cs="Times New Roman"/>
          <w:i/>
          <w:iCs/>
        </w:rPr>
        <w:t>rpo</w:t>
      </w:r>
      <w:r w:rsidR="004114F8" w:rsidRPr="00C458B3">
        <w:rPr>
          <w:rFonts w:ascii="Times New Roman" w:eastAsia="Times New Roman" w:hAnsi="Times New Roman" w:cs="Times New Roman"/>
        </w:rPr>
        <w:t>C2</w:t>
      </w:r>
      <w:r w:rsidR="004114F8">
        <w:rPr>
          <w:rFonts w:ascii="Times New Roman" w:eastAsia="Times New Roman" w:hAnsi="Times New Roman" w:cs="Times New Roman"/>
        </w:rPr>
        <w:t xml:space="preserve">, each </w:t>
      </w:r>
      <w:r w:rsidR="00635199">
        <w:rPr>
          <w:rFonts w:ascii="Times New Roman" w:eastAsia="Times New Roman" w:hAnsi="Times New Roman" w:cs="Times New Roman"/>
        </w:rPr>
        <w:t>present</w:t>
      </w:r>
      <w:r w:rsidR="004114F8">
        <w:rPr>
          <w:rFonts w:ascii="Times New Roman" w:eastAsia="Times New Roman" w:hAnsi="Times New Roman" w:cs="Times New Roman"/>
        </w:rPr>
        <w:t xml:space="preserve"> as a single copy within the </w:t>
      </w:r>
      <w:proofErr w:type="spellStart"/>
      <w:r w:rsidR="004114F8">
        <w:rPr>
          <w:rFonts w:ascii="Times New Roman" w:eastAsia="Times New Roman" w:hAnsi="Times New Roman" w:cs="Times New Roman"/>
        </w:rPr>
        <w:t>plastome</w:t>
      </w:r>
      <w:proofErr w:type="spellEnd"/>
      <w:r w:rsidR="004114F8">
        <w:rPr>
          <w:rFonts w:ascii="Times New Roman" w:eastAsia="Times New Roman" w:hAnsi="Times New Roman" w:cs="Times New Roman"/>
        </w:rPr>
        <w:t xml:space="preserve">. All identified </w:t>
      </w:r>
      <w:proofErr w:type="spellStart"/>
      <w:r w:rsidR="004114F8" w:rsidRPr="004114F8">
        <w:rPr>
          <w:rFonts w:ascii="Times New Roman" w:eastAsia="Times New Roman" w:hAnsi="Times New Roman" w:cs="Times New Roman"/>
          <w:i/>
          <w:iCs/>
        </w:rPr>
        <w:t>rpo</w:t>
      </w:r>
      <w:proofErr w:type="spellEnd"/>
      <w:r w:rsidR="004114F8">
        <w:rPr>
          <w:rFonts w:ascii="Times New Roman" w:eastAsia="Times New Roman" w:hAnsi="Times New Roman" w:cs="Times New Roman"/>
        </w:rPr>
        <w:t xml:space="preserve"> genes were located in the large single copy (LSC) region</w:t>
      </w:r>
      <w:r w:rsidR="00635199">
        <w:rPr>
          <w:rFonts w:ascii="Times New Roman" w:eastAsia="Times New Roman" w:hAnsi="Times New Roman" w:cs="Times New Roman"/>
        </w:rPr>
        <w:t xml:space="preserve">, </w:t>
      </w:r>
      <w:r w:rsidR="004114F8">
        <w:rPr>
          <w:rFonts w:ascii="Times New Roman" w:eastAsia="Times New Roman" w:hAnsi="Times New Roman" w:cs="Times New Roman"/>
        </w:rPr>
        <w:t xml:space="preserve">consistent with the </w:t>
      </w:r>
      <w:proofErr w:type="spellStart"/>
      <w:r w:rsidR="004114F8">
        <w:rPr>
          <w:rFonts w:ascii="Times New Roman" w:eastAsia="Times New Roman" w:hAnsi="Times New Roman" w:cs="Times New Roman"/>
        </w:rPr>
        <w:t>plastome</w:t>
      </w:r>
      <w:proofErr w:type="spellEnd"/>
      <w:r w:rsidR="004114F8">
        <w:rPr>
          <w:rFonts w:ascii="Times New Roman" w:eastAsia="Times New Roman" w:hAnsi="Times New Roman" w:cs="Times New Roman"/>
        </w:rPr>
        <w:t xml:space="preserve"> organization reported in </w:t>
      </w:r>
      <w:r w:rsidR="00531003">
        <w:rPr>
          <w:rFonts w:ascii="Times New Roman" w:eastAsia="Times New Roman" w:hAnsi="Times New Roman" w:cs="Times New Roman"/>
        </w:rPr>
        <w:t>members</w:t>
      </w:r>
      <w:r w:rsidR="004114F8">
        <w:rPr>
          <w:rFonts w:ascii="Times New Roman" w:eastAsia="Times New Roman" w:hAnsi="Times New Roman" w:cs="Times New Roman"/>
        </w:rPr>
        <w:t xml:space="preserve"> of the </w:t>
      </w:r>
      <w:proofErr w:type="spellStart"/>
      <w:r w:rsidR="004114F8">
        <w:rPr>
          <w:rFonts w:ascii="Times New Roman" w:eastAsia="Times New Roman" w:hAnsi="Times New Roman" w:cs="Times New Roman"/>
        </w:rPr>
        <w:t>Poaceae</w:t>
      </w:r>
      <w:proofErr w:type="spellEnd"/>
      <w:r w:rsidR="004114F8">
        <w:rPr>
          <w:rFonts w:ascii="Times New Roman" w:eastAsia="Times New Roman" w:hAnsi="Times New Roman" w:cs="Times New Roman"/>
        </w:rPr>
        <w:t xml:space="preserve"> family </w:t>
      </w:r>
      <w:r w:rsidR="004114F8" w:rsidRPr="00EA2309">
        <w:rPr>
          <w:rFonts w:ascii="Times New Roman" w:hAnsi="Times New Roman" w:cs="Times New Roman"/>
        </w:rPr>
        <w:fldChar w:fldCharType="begin" w:fldLock="1"/>
      </w:r>
      <w:r w:rsidR="004114F8">
        <w:rPr>
          <w:rFonts w:ascii="Times New Roman" w:hAnsi="Times New Roman" w:cs="Times New Roman"/>
        </w:rPr>
        <w:instrText>ADDIN CSL_CITATION {"citationItems":[{"id":"ITEM-1","itemData":{"DOI":"10.1007/s13237-023-00464-0","ISSN":"09767975","abstract":"Millets considered as storehouse of nutrients, are C4 plants that offer a more reliable yield than other crops in low-rainfall regions. Within the millet species, comparative and reconstructed phylogenetic analysis were performed. We compared the two major millet, four minor millet and one cereal crop chloroplast genomes and obtained a complete map of the variability across the genomes. Despite variations in genome size, SSR, and the SC/IR boundary, we observed the high consistency patterns of codon bias, genome structure, and gene content. For comparison across the genome, a whole genome alignment was performed. The chloroplast genomes locally collinear blocks revealed that their gene organization and order had been well preserved. Based on the examination of the entire chloroplast genomes, phylogenetic relationships for the millet species were discovered with Oryza sativa as an outgroup using Maximum Likelihood analysis. Future breeding programmes for valuable millet and cereal crops in the Poaceae family would benefit greatly from this information.","author":[{"dropping-particle":"","family":"Sathyamurthy","given":"Dilipraj","non-dropping-particle":"","parse-names":false,"suffix":""},{"dropping-particle":"","family":"Mannu","given":"Jayakanthan","non-dropping-particle":"","parse-names":false,"suffix":""},{"dropping-particle":"","family":"Natesan","given":"Senthil","non-dropping-particle":"","parse-names":false,"suffix":""},{"dropping-particle":"","family":"Nathan","given":"Bharathi","non-dropping-particle":"","parse-names":false,"suffix":""},{"dropping-particle":"","family":"Nallusamy","given":"Saranya","non-dropping-particle":"","parse-names":false,"suffix":""},{"dropping-particle":"","family":"Narayanan","given":"Manikanda Boopathi","non-dropping-particle":"","parse-names":false,"suffix":""},{"dropping-particle":"","family":"Duraisamy","given":"Kavithamani","non-dropping-particle":"","parse-names":false,"suffix":""}],"container-title":"Nucleus (India)","id":"ITEM-1","issue":"1","issued":{"date-parts":[["2025","3","1"]]},"page":"13-24","publisher":"Springer","title":"Comparative chloroplast genome analysis of six millet species along with related Poaceae family members","type":"article-journal","volume":"68"},"uris":["http://www.mendeley.com/documents/?uuid=7d4d4875-585d-3159-8145-162c633b128c"]},{"id":"ITEM-2","itemData":{"DOI":"10.1002/jsfa.70489","ISSN":"10970010","abstract":"BACKGROUND: Bread wheat (Triticum aestivum L.) is a major global food crop, and understanding its maternal lineage and genetic diversity is essential for breeding, authentication, and evolutionary studies. Chloroplast genomes provide valuable markers for phylogenetic inference and cultivar discrimination; however, conventional plant DNA barcodes often lack sufficient resolution within the genus Triticum. This study aimed to characterize the complete chloroplast genome of the Korean wheat cultivar ‘Keumkang’ and to develop effective chloroplast-based barcode markers for improved identification of Triticum species and cultivars. RESULTS: The complete chloroplast genome of T. aestivum cv. Keumkang was assembled using PacBio HiFi reads and determined to be 135 909 bp in length, exhibiting a typical quadripartite structure. Comparative analyses of 44 Triticum and related Aegilops chloroplast genomes revealed that Keumkang shared an identical chloroplast genome structure with several Korean cultivars, indicating a common maternal origin. Phylogenomic analysis placed T. aestivum in close association with T. turgidum subsp. durum, supporting its maternal derivation from the AABB genome lineage. Nucleotide diversity analysis identified six coding sequences and 11 intergenic regions with relatively high polymorphism. Based on these regions, 17 chloroplast-specific barcode markers were developed and experimentally validated. While conventional barcodes (matK, rbcL, trnL–F) achieved only approximately 18% cultivar discrimination, the combined use of the 17 newly developed markers improved identification accuracy to 50% among the examined accessions. CONCLUSION: The complete chloroplast genome of T. aestivum cv. Keumkang provides new insights into the maternal lineage and chloroplast diversity of wheat. The newly developed set of 17 chloroplast barcode markers substantially enhances cultivar-level discrimination within the genus Triticum and represents a useful molecular tool for wheat breeding, germplasm authentication, and evolutionary studies. © 2026 The Author(s). Journal of the Science of Food and Agriculture published by John Wiley &amp; Sons Ltd on behalf of Society of Chemical Industry.","author":[{"dropping-particle":"","family":"Kim","given":"Kang Rae","non-dropping-particle":"","parse-names":false,"suffix":""},{"dropping-particle":"","family":"Choi","given":"Changhyun","non-dropping-particle":"","parse-names":false,"suffix":""},{"dropping-particle":"","family":"Kim","given":"Jung Sun","non-dropping-particle":"","parse-names":false,"suffix":""},{"dropping-particle":"","family":"Kim","given":"Myung Hee","non-dropping-particle":"","parse-names":false,"suffix":""},{"dropping-particle":"","family":"Jung","given":"Hwa Jin","non-dropping-particle":"","parse-names":false,"suffix":""},{"dropping-particle":"","family":"Jeon","given":"Da Hye","non-dropping-particle":"","parse-names":false,"suffix":""},{"dropping-particle":"","family":"Kim","given":"Jin Hyun","non-dropping-particle":"","parse-names":false,"suffix":""}],"container-title":"Journal of the Science of Food and Agriculture","id":"ITEM-2","issued":{"date-parts":[["2026"]]},"publisher":"John Wiley and Sons Ltd","title":"Complete chloroplast genome of Triticum aestivum cultivar ‘Keumkang’ from Korea (Poaceae) and comparative chloroplast genomes of the members of the Triticum genus","type":"article-journal"},"uris":["http://www.mendeley.com/documents/?uuid=5e1942dd-5f5e-36ed-be99-b522bd1af5a9"]},{"id":"ITEM-3","itemData":{"DOI":"10.1016/j.japb.2024.10.003","ISSN":"22879544","abstract":"Phyllostachys aureosulcata McClure is a resilient bamboo species that is cultivated primarily as an ornamental plant in Beijing, Henan, Jiangsu, and Zhejiang, China. In this study, we sequenced and de novo assembled its complete chloroplast genome. The size of the complete genome was 139,701 base pairs (bp), which contained a large single-copy region of 83,223 bp, a small single-copy region of 12,882 bp, and a pair of inverted repeats of 21,798 bp each. Comparative analyses with 29 other species, including 17 from the genus Phyllostachys Torr., eight from the subfamily Bambusoideae, and four from the family Poaceae, revealed that Phyllostachys has a highly conserved chloroplast genome, showing similarities with other species within the subfamily and family. All analyzed genomes contained 111 unique genes, including 30 tRNAs, 4 rRNAs, and 77 protein-coding genes. Notably, the ycf1, ycf2, and accD genes were absent/pseudogene in all species of the family Poaceae. Phylogenetic reconstruction among 70 species of Bambusoideae, representing three tribes—Arundinarie, Bambuseae, and Olyreae—confirmed the monophyly of Phyllostachys, with a sister relationship between P. aureosulcata and Phyllostachys propinqua McClure. The chloroplast genome-based phylogeny also revealed a sister relationship between the tribes Bambuseae and Olyreae, with their shared node rooted by Arundinarie. The comprehensive analysis of chloroplast genomes provides valuable insights into the comparative genomics and phylogenetics of Phyllostachys and the Bambusoideae subfamily.","author":[{"dropping-particle":"","family":"Chen","given":"Chengyu","non-dropping-particle":"","parse-names":false,"suffix":""},{"dropping-particle":"","family":"Guo","given":"Hua","non-dropping-particle":"","parse-names":false,"suffix":""},{"dropping-particle":"","family":"Abdullah","given":"","non-dropping-particle":"","parse-names":false,"suffix":""},{"dropping-particle":"","family":"Li","given":"Tianxiang","non-dropping-particle":"","parse-names":false,"suffix":""},{"dropping-particle":"","family":"Li","given":"Guohui","non-dropping-particle":"","parse-names":false,"suffix":""},{"dropping-particle":"","family":"Liu","given":"Jingjing","non-dropping-particle":"","parse-names":false,"suffix":""},{"dropping-particle":"","family":"Tian","given":"Xiaoxuan","non-dropping-particle":"","parse-names":false,"suffix":""}],"container-title":"Journal of Asia-Pacific Biodiversity","id":"ITEM-3","issue":"1","issued":{"date-parts":[["2025","3","1"]]},"page":"190-196","publisher":"National Science Museum od Korea","title":"The complete chloroplast genome of Phyllostachys aureosulcata McClure (Bambusoideae: Poaceae): Comparative genomics and phylogenetic analysis","type":"article-journal","volume":"18"},"uris":["http://www.mendeley.com/documents/?uuid=6c79f46b-7860-3dea-a215-78392bbf4511"]},{"id":"ITEM-4","itemData":{"DOI":"10.3390/plants13213006","ISSN":"22237747","abstract":"Sugarcane white leaf (SCWL) disease, caused by Candidatus Phytoplasma sacchari, poses a significant threat to sugarcane cultivation. An obligate parasite, phytoplasma is difficult to culture in laboratory conditions, making the isolation of its DNA from the massive amount of plant host DNA extremely challenging. Yet, the appropriate amount and quality of plant microbiome-derived DNA are key for high-quality DNA sequencing data. Here, a simple, cost-effective, alternative method for DNA isolation was applied using a guanidine-HCl-hydroxylated silica (GuHCl-Silica)-based method and microbiome DNA enrichment based on size-selective low-molecular-weight (LMW) DNA by PEG/NaCl precipitation. qPCR analysis revealed a significant enrichment of phytoplasma DNA in the LMW fraction. Additionally, the NEBNext Microbiome DNA enrichment kit was utilized to further enrich microbial DNA, demonstrating a remarkable increase in the relative abundance of phytoplasma DNA to host DNA. Shotgun sequencing of the isolated DNA gave high-quality data on the metagenome assembly genome (MAG) of Ca. Phytoplasma sacchari SCWL with completeness at 95.85 and 215× coverage. The results indicate that this combined approach of PEG/NaCl size selection and microbiome enrichment is effective for obtaining high-quality genomic data from phytoplasma, surpassing previous methods in efficiency and resource utilization. This low-cost method not only enhances the recovery of microbiome DNA from plant hosts but also provides a robust framework for studying plant pathogens in complex plant models.","author":[{"dropping-particle":"","family":"Lohmaneeratana","given":"Karan","non-dropping-particle":"","parse-names":false,"suffix":""},{"dropping-particle":"","family":"Gutiérrez","given":"Gabriel","non-dropping-particle":"","parse-names":false,"suffix":""},{"dropping-particle":"","family":"Thamchaipenet","given":"Arinthip","non-dropping-particle":"","parse-names":false,"suffix":""},{"dropping-particle":"","family":"Wellinger","given":"Ralf Erik","non-dropping-particle":"","parse-names":false,"suffix":""}],"container-title":"Plants","id":"ITEM-4","issue":"21","issued":{"date-parts":[["2024","11","1"]]},"publisher":"Multidisciplinary Digital Publishing Institute (MDPI)","title":"Phytoplasma DNA Enrichment from Sugarcane White Leaves for Shotgun Sequencing Improvement","type":"article-journal","volume":"13"},"uris":["http://www.mendeley.com/documents/?uuid=e0d60f72-fbf7-370e-bfc7-aab17ca2873b"]},{"id":"ITEM-5","itemData":{"DOI":"10.1002/ppp3.70056","ISSN":"2572-2611","author":[{"dropping-particle":"","family":"Li","given":"Sicheng","non-dropping-particle":"","parse-names":false,"suffix":""},{"dropping-particle":"","family":"Wang","given":"Zhen","non-dropping-particle":"","parse-names":false,"suffix":""},{"dropping-particle":"","family":"Xu","given":"Chaohua","non-dropping-particle":"","parse-names":false,"suffix":""},{"dropping-particle":"","family":"Zhang","given":"Lijun","non-dropping-particle":"","parse-names":false,"suffix":""},{"dropping-particle":"","family":"Zhang","given":"Baoqing","non-dropping-particle":"","parse-names":false,"suffix":""},{"dropping-particle":"","family":"Huang","given":"Yuxin","non-dropping-particle":"","parse-names":false,"suffix":""},{"dropping-particle":"","family":"Lu","given":"Xin","non-dropping-particle":"","parse-names":false,"suffix":""},{"dropping-particle":"","family":"Duan","given":"Weixing","non-dropping-particle":"","parse-names":false,"suffix":""},{"dropping-particle":"","family":"Yang","given":"Xiping","non-dropping-particle":"","parse-names":false,"suffix":""}],"container-title":"PLANTS, PEOPLE, PLANET","id":"ITEM-5","issue":"6","issued":{"date-parts":[["2025","11","19"]]},"page":"1834-1844","title":"Chloroplast genome diversity and phylogenetic insights of &lt;scp&gt; &lt;i&gt;Saccharum spontaneum&lt;/i&gt; &lt;/scp&gt; across Southeast Asia","type":"article-journal","volume":"7"},"uris":["http://www.mendeley.com/documents/?uuid=858e2505-849a-3879-8422-7b1bc05dc111"]}],"mendeley":{"formattedCitation":"(C. Chen et al., 2025; Kim et al., 2026; S. Li et al., 2025; Lohmaneeratana et al., 2024; Sathyamurthy et al., 2025)","manualFormatting":"(Chen et al., 2025; Kim et al., 2026; Li et al., 2025; Lohmaneeratana et al., 2024; Sathyamurthy et al., 2025)","plainTextFormattedCitation":"(C. Chen et al., 2025; Kim et al., 2026; S. Li et al., 2025; Lohmaneeratana et al., 2024; Sathyamurthy et al., 2025)","previouslyFormattedCitation":"[9, 11, 34–36]"},"properties":{"noteIndex":0},"schema":"https://github.com/citation-style-language/schema/raw/master/csl-citation.json"}</w:instrText>
      </w:r>
      <w:r w:rsidR="004114F8" w:rsidRPr="00EA2309">
        <w:rPr>
          <w:rFonts w:ascii="Times New Roman" w:hAnsi="Times New Roman" w:cs="Times New Roman"/>
        </w:rPr>
        <w:fldChar w:fldCharType="separate"/>
      </w:r>
      <w:r w:rsidR="004114F8" w:rsidRPr="00A652DE">
        <w:rPr>
          <w:rFonts w:ascii="Times New Roman" w:hAnsi="Times New Roman" w:cs="Times New Roman"/>
          <w:noProof/>
        </w:rPr>
        <w:t>(Chen et al., 2025; Kim et al., 2026; Li et al., 2025; Lohmaneeratana et al., 2024; Sathyamurthy et al., 2025)</w:t>
      </w:r>
      <w:r w:rsidR="004114F8" w:rsidRPr="00EA2309">
        <w:rPr>
          <w:rFonts w:ascii="Times New Roman" w:hAnsi="Times New Roman" w:cs="Times New Roman"/>
        </w:rPr>
        <w:fldChar w:fldCharType="end"/>
      </w:r>
      <w:r w:rsidR="004114F8">
        <w:rPr>
          <w:rFonts w:ascii="Times New Roman" w:hAnsi="Times New Roman" w:cs="Times New Roman"/>
        </w:rPr>
        <w:t xml:space="preserve">. The gene sequence, coding DNA sequence (CDS), and amino acid lengths of each </w:t>
      </w:r>
      <w:proofErr w:type="spellStart"/>
      <w:r w:rsidR="004114F8" w:rsidRPr="004114F8">
        <w:rPr>
          <w:rFonts w:ascii="Times New Roman" w:hAnsi="Times New Roman" w:cs="Times New Roman"/>
          <w:i/>
          <w:iCs/>
        </w:rPr>
        <w:t>rpo</w:t>
      </w:r>
      <w:proofErr w:type="spellEnd"/>
      <w:r w:rsidR="004114F8">
        <w:rPr>
          <w:rFonts w:ascii="Times New Roman" w:hAnsi="Times New Roman" w:cs="Times New Roman"/>
          <w:i/>
          <w:iCs/>
        </w:rPr>
        <w:t xml:space="preserve"> </w:t>
      </w:r>
      <w:r w:rsidR="004114F8">
        <w:rPr>
          <w:rFonts w:ascii="Times New Roman" w:hAnsi="Times New Roman" w:cs="Times New Roman"/>
        </w:rPr>
        <w:t xml:space="preserve">gene were </w:t>
      </w:r>
      <w:r w:rsidR="00635199">
        <w:rPr>
          <w:rFonts w:ascii="Times New Roman" w:hAnsi="Times New Roman" w:cs="Times New Roman"/>
        </w:rPr>
        <w:t>obtained</w:t>
      </w:r>
      <w:r w:rsidR="004114F8">
        <w:rPr>
          <w:rFonts w:ascii="Times New Roman" w:hAnsi="Times New Roman" w:cs="Times New Roman"/>
        </w:rPr>
        <w:t xml:space="preserve"> </w:t>
      </w:r>
      <w:r w:rsidR="00635199">
        <w:rPr>
          <w:rFonts w:ascii="Times New Roman" w:hAnsi="Times New Roman" w:cs="Times New Roman"/>
        </w:rPr>
        <w:t>from</w:t>
      </w:r>
      <w:r w:rsidR="004114F8">
        <w:rPr>
          <w:rFonts w:ascii="Times New Roman" w:hAnsi="Times New Roman" w:cs="Times New Roman"/>
        </w:rPr>
        <w:t xml:space="preserve"> genome annotation results</w:t>
      </w:r>
      <w:r w:rsidR="00635199">
        <w:rPr>
          <w:rFonts w:ascii="Times New Roman" w:hAnsi="Times New Roman" w:cs="Times New Roman"/>
        </w:rPr>
        <w:t>, with</w:t>
      </w:r>
      <w:r w:rsidR="004114F8">
        <w:rPr>
          <w:rFonts w:ascii="Times New Roman" w:hAnsi="Times New Roman" w:cs="Times New Roman"/>
        </w:rPr>
        <w:t xml:space="preserve"> detailed </w:t>
      </w:r>
      <w:r w:rsidR="00635199">
        <w:rPr>
          <w:rFonts w:ascii="Times New Roman" w:hAnsi="Times New Roman" w:cs="Times New Roman"/>
        </w:rPr>
        <w:t>characteristics</w:t>
      </w:r>
      <w:r w:rsidR="004114F8">
        <w:rPr>
          <w:rFonts w:ascii="Times New Roman" w:hAnsi="Times New Roman" w:cs="Times New Roman"/>
        </w:rPr>
        <w:t xml:space="preserve"> summarized in Table 1.</w:t>
      </w:r>
    </w:p>
    <w:p w14:paraId="0D073084" w14:textId="42F2537B" w:rsidR="00531003" w:rsidRPr="00EA2309" w:rsidRDefault="00531003" w:rsidP="00531003">
      <w:pPr>
        <w:spacing w:after="0" w:line="360" w:lineRule="auto"/>
        <w:ind w:firstLine="426"/>
        <w:jc w:val="both"/>
        <w:rPr>
          <w:rFonts w:ascii="Times New Roman" w:eastAsia="Times New Roman" w:hAnsi="Times New Roman" w:cs="Times New Roman"/>
        </w:rPr>
      </w:pPr>
      <w:r>
        <w:rPr>
          <w:rFonts w:ascii="Times New Roman" w:hAnsi="Times New Roman" w:cs="Times New Roman"/>
        </w:rPr>
        <w:lastRenderedPageBreak/>
        <w:tab/>
        <w:t xml:space="preserve">The </w:t>
      </w:r>
      <w:proofErr w:type="spellStart"/>
      <w:r w:rsidRPr="00531003">
        <w:rPr>
          <w:rFonts w:ascii="Times New Roman" w:hAnsi="Times New Roman" w:cs="Times New Roman"/>
          <w:i/>
          <w:iCs/>
        </w:rPr>
        <w:t>rpo</w:t>
      </w:r>
      <w:proofErr w:type="spellEnd"/>
      <w:r>
        <w:rPr>
          <w:rFonts w:ascii="Times New Roman" w:hAnsi="Times New Roman" w:cs="Times New Roman"/>
          <w:i/>
          <w:iCs/>
        </w:rPr>
        <w:t xml:space="preserve"> </w:t>
      </w:r>
      <w:r>
        <w:rPr>
          <w:rFonts w:ascii="Times New Roman" w:hAnsi="Times New Roman" w:cs="Times New Roman"/>
        </w:rPr>
        <w:t xml:space="preserve">genes identified in both cultivars exhibited similar gene and protein lengths, indicating structural stability within the chloroplast genome. Among them, </w:t>
      </w:r>
      <w:r w:rsidRPr="00531003">
        <w:rPr>
          <w:rFonts w:ascii="Times New Roman" w:eastAsia="Times New Roman" w:hAnsi="Times New Roman" w:cs="Times New Roman"/>
          <w:i/>
          <w:iCs/>
        </w:rPr>
        <w:t>rpo</w:t>
      </w:r>
      <w:r w:rsidRPr="004F4BD6">
        <w:rPr>
          <w:rFonts w:ascii="Times New Roman" w:eastAsia="Times New Roman" w:hAnsi="Times New Roman" w:cs="Times New Roman"/>
        </w:rPr>
        <w:t xml:space="preserve">C2 was the largest gene (4605 bp; ~1535 amino acids), whereas </w:t>
      </w:r>
      <w:proofErr w:type="spellStart"/>
      <w:r w:rsidRPr="00531003">
        <w:rPr>
          <w:rFonts w:ascii="Times New Roman" w:eastAsia="Times New Roman" w:hAnsi="Times New Roman" w:cs="Times New Roman"/>
          <w:i/>
          <w:iCs/>
        </w:rPr>
        <w:t>rpo</w:t>
      </w:r>
      <w:r w:rsidRPr="004F4BD6">
        <w:rPr>
          <w:rFonts w:ascii="Times New Roman" w:eastAsia="Times New Roman" w:hAnsi="Times New Roman" w:cs="Times New Roman"/>
        </w:rPr>
        <w:t>A</w:t>
      </w:r>
      <w:proofErr w:type="spellEnd"/>
      <w:r w:rsidRPr="004F4BD6">
        <w:rPr>
          <w:rFonts w:ascii="Times New Roman" w:eastAsia="Times New Roman" w:hAnsi="Times New Roman" w:cs="Times New Roman"/>
        </w:rPr>
        <w:t xml:space="preserve"> was the smallest (1020 bp; 339 amino acids).</w:t>
      </w:r>
      <w:r>
        <w:rPr>
          <w:rFonts w:ascii="Times New Roman" w:eastAsia="Times New Roman" w:hAnsi="Times New Roman" w:cs="Times New Roman"/>
        </w:rPr>
        <w:t xml:space="preserve"> </w:t>
      </w:r>
      <w:r w:rsidRPr="00EA2309">
        <w:rPr>
          <w:rFonts w:ascii="Times New Roman" w:eastAsia="Times New Roman" w:hAnsi="Times New Roman" w:cs="Times New Roman"/>
        </w:rPr>
        <w:t>This size distribution</w:t>
      </w:r>
      <w:r w:rsidR="006D3091">
        <w:rPr>
          <w:rFonts w:ascii="Times New Roman" w:eastAsia="Times New Roman" w:hAnsi="Times New Roman" w:cs="Times New Roman"/>
        </w:rPr>
        <w:t xml:space="preserve"> aligns with</w:t>
      </w:r>
      <w:r w:rsidRPr="00EA2309">
        <w:rPr>
          <w:rFonts w:ascii="Times New Roman" w:eastAsia="Times New Roman" w:hAnsi="Times New Roman" w:cs="Times New Roman"/>
        </w:rPr>
        <w:t xml:space="preserve"> the functional roles of the plastid-encoded RNA polymerase (PEP) subunits, in which the β'' subunit encoded by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contributes to DNA interaction during transcription, while the α subunit encoded by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is comparatively smaller and mainly involved in enzyme assembly and structural stabilization. Similar patterns have been reported in other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plastomes</w:t>
      </w:r>
      <w:proofErr w:type="spellEnd"/>
      <w:r w:rsidRPr="00EA2309">
        <w:rPr>
          <w:rFonts w:ascii="Times New Roman" w:eastAsia="Times New Roman" w:hAnsi="Times New Roman" w:cs="Times New Roman"/>
        </w:rPr>
        <w:t xml:space="preserve">, suggesting a stable structural framework of PEP-related genes in sugarcane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{"citationItems":[{"id":"ITEM-1","itemData":{"DOI":"10.1098/rstb.2019.0399","ISSN":"14712970","PMID":"32362266","abstract":"Plastid genes in higher plants are transcribed by at least two different RNA polymerases, the plastid-encoded RNA polymerase (PEP), a bacteria-like core enzyme whose subunits are encoded by plastid genes (rpoA, rpoB, rpoC1 and rpoC2), and the nuclear-encoded plastid RNA polymerase (NEP), a monomeric bacteriophage-type RNA polymerase. Both PEP and NEP enzymes are active in non-green plastids and in chloroplasts at all developmental stages. Their transcriptional activity is affected by endogenous and exogenous factors and requires a strict coordination within the plastid and with the nuclear gene expression machinery. This review focuses on the different molecular mechanisms underlying chloroplast transcription regulation and its coordination with the photosynthesis-associated nuclear genes (PhANGs) expression. Particular attention is given to the link between NEP and PEP activity and the GUN1- (Genomes Uncoupled 1) mediated chloroplast-to-nucleus retrograde communication with respect to the Δrpo adaptive response, i.e. the increased accumulation of NEP-dependent transcripts upon depletion of PEP activity, and the editing-level changes observed in NEP-dependent transcripts, including rpoB and rpoC1, in gun1 cotyledons after norflurazon or lincomycin treatment. The role of cytosolic preproteins and HSP90 chaperone as components of the GUN1-retrograde signalling pathway, when chloroplast biogenesis is inhibited in Arabidopsis cotyledons, is also discussed. This article is part of the theme issue ‘Retrograde signalling from endosymbiotic organelles’.","author":[{"dropping-particle":"","family":"Tadini","given":"Luca","non-dropping-particle":"","parse-names":false,"suffix":""},{"dropping-particle":"","family":"Jeran","given":"Nicolaj","non-dropping-particle":"","parse-names":false,"suffix":""},{"dropping-particle":"","family":"Peracchio","given":"Carlotta","non-dropping-particle":"","parse-names":false,"suffix":""},{"dropping-particle":"","family":"Masiero","given":"Simona","non-dropping-particle":"","parse-names":false,"suffix":""},{"dropping-particle":"","family":"Colombo","given":"Monica","non-dropping-particle":"","parse-names":false,"suffix":""},{"dropping-particle":"","family":"Pesaresi","given":"Paolo","non-dropping-particle":"","parse-names":false,"suffix":""}],"container-title":"Philosophical Transactions of the Royal Society B: Biological Sciences","id":"ITEM-1","issue":"1801","issued":{"date-parts":[["2020","6","22"]]},"publisher":"Royal Society Publishing","title":"The plastid transcription machinery and its coordination with the expression of nuclear genome: Plastid-encoded polymerase, nuclear-encoded polymerase and the genomes uncoupled 1-mediated retrograde communication","type":"article","volume":"375"},"uris":["http://www.mendeley.com/documents/?uuid=b4314c7d-e8ee-3c71-b2d3-e7fc3f0f240c"]},{"id":"ITEM-2","itemData":{"DOI":"10.17485/ijst/2019/v12i20/142613","ISSN":"0974-5645","author":[{"dropping-particle":"","family":"Palanivelu","given":"Peramachi","non-dropping-particle":"","parse-names":false,"suffix":""}],"container-title":"Indian Journal of Science and Technology","id":"ITEM-2","issue":"20","issued":{"date-parts":[["2019","5","1"]]},"page":"1-32","title":"Active Sites of the Multi-subunit RNA Polymerases of Eubacteria and Chloroplasts are Similar in Structure and Function","type":"article-journal","volume":"12"},"uris":["http://www.mendeley.com/documents/?uuid=fdce8bde-9113-30b3-b2c5-7f787bb4719c"]}],"mendeley":{"formattedCitation":"(Palanivelu, 2019; Tadini et al., 2020)","plainTextFormattedCitation":"(Palanivelu, 2019; Tadini et al., 2020)","previouslyFormattedCitation":"[37, 38]"},"properties":{"noteIndex":0},"schema":"https://github.com/citation-style-language/schema/raw/master/csl-citation.json"}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(Palanivelu, 2019; Tadini et al., 2020)</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w:t>
      </w:r>
    </w:p>
    <w:p w14:paraId="67DCEB34" w14:textId="3DC86391" w:rsidR="00531003" w:rsidRDefault="00531003" w:rsidP="00531003">
      <w:pPr>
        <w:spacing w:after="0" w:line="360" w:lineRule="auto"/>
        <w:ind w:firstLine="426"/>
        <w:jc w:val="both"/>
        <w:rPr>
          <w:rFonts w:ascii="Times New Roman" w:eastAsia="Times New Roman" w:hAnsi="Times New Roman" w:cs="Times New Roman"/>
        </w:rPr>
      </w:pPr>
      <w:r w:rsidRPr="00EA2309">
        <w:rPr>
          <w:rFonts w:ascii="Times New Roman" w:eastAsia="Times New Roman" w:hAnsi="Times New Roman" w:cs="Times New Roman"/>
        </w:rPr>
        <w:t xml:space="preserve">The genomic organization revealed </w:t>
      </w:r>
      <w:r w:rsidR="006D3091">
        <w:rPr>
          <w:rFonts w:ascii="Times New Roman" w:eastAsia="Times New Roman" w:hAnsi="Times New Roman" w:cs="Times New Roman"/>
        </w:rPr>
        <w:t xml:space="preserve">relatively </w:t>
      </w:r>
      <w:r w:rsidRPr="00EA2309">
        <w:rPr>
          <w:rFonts w:ascii="Times New Roman" w:eastAsia="Times New Roman" w:hAnsi="Times New Roman" w:cs="Times New Roman"/>
        </w:rPr>
        <w:t xml:space="preserve">short intergenic spacer (IGS) regions between adjacent genes, particularly 37 bp between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and 199 bp between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The proximity of these genes supports a tightly arranged gene cluster within the LSC region. </w:t>
      </w:r>
      <w:r w:rsidR="006D3091" w:rsidRPr="006D3091">
        <w:rPr>
          <w:rFonts w:ascii="Times New Roman" w:eastAsia="Times New Roman" w:hAnsi="Times New Roman" w:cs="Times New Roman"/>
        </w:rPr>
        <w:t>In many chloroplast genomes, genes are organized into operons or operon-like clusters and</w:t>
      </w:r>
      <w:r w:rsidRPr="00EA2309">
        <w:rPr>
          <w:rFonts w:ascii="Times New Roman" w:eastAsia="Times New Roman" w:hAnsi="Times New Roman" w:cs="Times New Roman"/>
        </w:rPr>
        <w:t xml:space="preserve"> transcribed as polycistronic RNAs </w:t>
      </w:r>
      <w:r w:rsidR="00161C4D">
        <w:rPr>
          <w:rFonts w:ascii="Times New Roman" w:eastAsia="Times New Roman" w:hAnsi="Times New Roman" w:cs="Times New Roman"/>
        </w:rPr>
        <w:t>before</w:t>
      </w:r>
      <w:r w:rsidRPr="00EA2309">
        <w:rPr>
          <w:rFonts w:ascii="Times New Roman" w:eastAsia="Times New Roman" w:hAnsi="Times New Roman" w:cs="Times New Roman"/>
        </w:rPr>
        <w:t xml:space="preserve"> RNA processing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{"citationItems":[{"id":"ITEM-1","itemData":{"DOI":"10.1146/annurev-arplant-042809-112242","ISSN":"15435008","PMID":"20192740","abstract":"The chloroplast genome encodes proteins required for photosynthesis, gene expression, and other essential organellar functions. Derived from a cyanobacterial ancestor, the chloroplast combines prokaryotic and eukaryotic features of gene expression and is regulated by many nucleus-encoded proteins. This review covers four major chloroplast posttranscriptional processes: RNA processing, editing, splicing, and turnover. RNA processing includes the generation of transcript 5â€ and 3' termini, as well as the cleavage of polycistronic transcripts. Editing converts specific C residues to U and often changes the amino acid that is specified by the edited codon. Chloroplasts feature introns of groups I and II, which undergo protein-facilitated cis-or trans-splicing in vivo. Each of these RNA-based processes involves proteins of the pentatricopeptide motif-containing family, which does not occur in prokaryotes. Plant-specific RNA-binding proteins may underpin the adaptation of the chloroplast to the eukaryotic context. Copyright © 2010 by Annual Reviews. All rights reserved.","author":[{"dropping-particle":"","family":"Stern","given":"David B.","non-dropping-particle":"","parse-names":false,"suffix":""},{"dropping-particle":"","family":"Goldschmidt-Clermont","given":"Michel","non-dropping-particle":"","parse-names":false,"suffix":""},{"dropping-particle":"","family":"Hanson","given":"Maureen R.","non-dropping-particle":"","parse-names":false,"suffix":""}],"container-title":"Annual Review of Plant Biology","id":"ITEM-1","issued":{"date-parts":[["2010","6","2"]]},"page":"125-155","title":"Chloroplast RNA metabolism","type":"article-journal","volume":"61"},"uris":["http://www.mendeley.com/documents/?uuid=0efcf1d3-d1e1-3526-a1f3-4ec57d1cd00e"]},{"id":"ITEM-2","itemData":{"DOI":"10.3390/f14081681","ISSN":"19994907","abstract":"Plant chloroplast (cp) gene clusters consist of genes arranged closely together on the cp genome. These genes are organized in operon structures and participate in cotranscription, typically exhibiting conservation. Broken gene clusters have been observed in gymnosperms. In order to investigate whether the substitution rates and selection pressure of associated genes are affected following the disruption of gene clusters, the cp genomes of 80 species (78 gymnosperms and 2 outgroups) were analyzed. A phylogenetic analysis was conducted using 58 shared genes to examine the evolutionary rates and selection pressure of genes associated with gene clusters and protein-coding genes in Sciadopitys verticillata. The results demonstrate that S. verticillata exhibited the highest number of rearrangements compared to the Cycas revoluta genome. Four gene clusters (rps2, psbB, rpoB, and petL clusters) in S. verticillata were disrupted, while rps2 in Callitris rhomboidea experienced disruption. Significantly increased evolutionary rates were observed in 12 out of 18 gene cluster-related genes in S. verticillata. Following disruption, S. verticillata and C. rhomboidea exhibited an increase in gene cluster-related genes, particularly rps2, and higher selection pressure on both rps2 and atpA genes compared to other species. Furthermore, among the 58 genes shared by S. verticillata, the evolutionary rates of 36 genes increased, and the selection pressure on 13 genes exceeded that of other species. These results indicate an increased substitution rate of gene clusters in S. verticillata and C. rhomboidea. The large-scale rearrangement and elevated substitution rates of the cp genome in S. verticillata were revealed. This study sheds light on the heterogeneity of cp genome evolution in gymnosperms.","author":[{"dropping-particle":"","family":"Ping","given":"Jingyao","non-dropping-particle":"","parse-names":false,"suffix":""},{"dropping-particle":"","family":"Zhong","given":"Xiaona","non-dropping-particle":"","parse-names":false,"suffix":""},{"dropping-particle":"","family":"Wang","given":"Ting","non-dropping-particle":"","parse-names":false,"suffix":""},{"dropping-particle":"","family":"Su","given":"Yingjuan","non-dropping-particle":"","parse-names":false,"suffix":""}],"container-title":"Forests","id":"ITEM-2","issue":"8","issued":{"date-parts":[["2023","8","1"]]},"publisher":"Multidisciplinary Digital Publishing Institute (MDPI)","title":"The Broken Chloroplast Gene Clusters in Gymnosperms Exhibit Elevated Substitution Rates","type":"article-journal","volume":"14"},"uris":["http://www.mendeley.com/documents/?uuid=7ca8bcf6-08a6-3a57-a47f-0344ebcde219"]}],"mendeley":{"formattedCitation":"(Ping et al., 2023; Stern et al., 2010)","plainTextFormattedCitation":"(Ping et al., 2023; Stern et al., 2010)","previouslyFormattedCitation":"[39, 40]"},"properties":{"noteIndex":0},"schema":"https://github.com/citation-style-language/schema/raw/master/csl-citation.json"}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(Ping et al., 2023; Stern et al., 2010)</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 xml:space="preserve">. Consistent with this transcriptional architecture,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encode the β, β′, and β″ subunits of the plastid-encoded RNA polymerase (PEP), respectively, which together form the catalytic core responsible for chloroplast transcription. The clustered arrangement of these functionally related genes may facilitate coordinated transcription as a polycistronic precursor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{"citationItems":[{"id":"ITEM-1","itemData":{"DOI":"10.1016/j.tplants.2025.01.010","ISSN":"13601385","PMID":"40011163","abstract":"Plant chloroplasts possess a dedicated genome (plastome) and a prokaryotic-type plastid-encoded RNA polymerase (PEP) that mediates its expression. PEP is composed of five bacteria-like core proteins and 16 nucleus-encoded PEP-associated proteins (PAPs). These are essential for PEP-driven transcription and chloroplast biogenesis, but their functions and structural arrangement in the PEP complex remained largely enigmatic. Recently, four independently determined cryogenic-electron microscopy (cryo-EM) structures of purified plant PEP complexes reported features of the prokaryotic core and the arrangement of PAPs around it, identified potential functional domains and cofactors, and described the interactions of PEP with DNA. We explore these data and critically discuss the proposed regulatory impact of PAPs on the transcription process. We further address the evolutionary implications and describe fields for future investigation.","author":[{"dropping-particle":"","family":"Ahrens","given":"Frederik M.","non-dropping-particle":"","parse-names":false,"suffix":""},{"dropping-particle":"","family":"Prado","given":"Paula F.V.","non-dropping-particle":"do","parse-names":false,"suffix":""},{"dropping-particle":"","family":"Hillen","given":"Hauke S.","non-dropping-particle":"","parse-names":false,"suffix":""},{"dropping-particle":"","family":"Pfannschmidt","given":"Thomas","non-dropping-particle":"","parse-names":false,"suffix":""}],"container-title":"Trends in Plant Science","id":"ITEM-1","issue":"7","issued":{"date-parts":[["2025","7","1"]]},"page":"712-723","publisher":"Elsevier Ltd","title":"The plastid-encoded RNA polymerase of plant chloroplasts","type":"article","volume":"30"},"uris":["http://www.mendeley.com/documents/?uuid=d5e7b78a-d168-3f71-9b50-918f55e720e3"]},{"id":"ITEM-2","itemData":{"DOI":"10.1038/s41467-024-54266-2","ISSN":"20411723","PMID":"39537621","abstract":"The plastid-encoded RNA polymerase serves as the principal transcription machinery within chloroplasts, transcribing over 80% of all primary plastid transcripts. This polymerase consists of a prokaryotic-like core enzyme known as the plastid-encoded RNA polymerase core, and is supplemented by newly evolved associated proteins known as PAPs. However, the architecture of the plastid-encoded RNA polymerase and the possible functions of PAPs remain unknown. Here, we present the cryo-electron microscopy structure of a 19-subunit plastid-encoded RNA polymerase complex derived from spinach (Spinacia oleracea). The structure shows that the plastid-encoded RNA polymerase core resembles bacterial RNA polymerase. Twelve PAPs and two additional proteins (FLN2 and pTAC18) bind at the periphery of the plastid-encoded RNA polymerase core, forming extensive interactions that may facilitate complex assembly and stability. PAPs may also protect the complex against oxidative damage and has potential functions in transcriptional regulation. This research offers a structural basis for future investigations into the functions and regulatory mechanisms governing the transcription of plastid genes.","author":[{"dropping-particle":"","family":"Wang","given":"Tongtong","non-dropping-particle":"","parse-names":false,"suffix":""},{"dropping-particle":"","family":"Wang","given":"Guang Lei","non-dropping-particle":"","parse-names":false,"suffix":""},{"dropping-particle":"","family":"Fang","given":"Ying","non-dropping-particle":"","parse-names":false,"suffix":""},{"dropping-particle":"","family":"Zhang","given":"Yi","non-dropping-particle":"","parse-names":false,"suffix":""},{"dropping-particle":"","family":"Peng","given":"Wenxin","non-dropping-particle":"","parse-names":false,"suffix":""},{"dropping-particle":"","family":"Zhou","given":"Yue","non-dropping-particle":"","parse-names":false,"suffix":""},{"dropping-particle":"","family":"Zhang","given":"Aihong","non-dropping-particle":"","parse-names":false,"suffix":""},{"dropping-particle":"","family":"Yu","given":"Long Jiang","non-dropping-particle":"","parse-names":false,"suffix":""},{"dropping-particle":"","family":"Lu","given":"Congming","non-dropping-particle":"","parse-names":false,"suffix":""}],"container-title":"Nature Communications ","id":"ITEM-2","issue":"1","issued":{"date-parts":[["2024","12","1"]]},"publisher":"Nature Research","title":"Architecture of the spinach plastid-encoded RNA polymerase","type":"article-journal","volume":"15"},"uris":["http://www.mendeley.com/documents/?uuid=564b299d-ccb8-30f7-a528-79dd13c4b37c"]},{"id":"ITEM-3","itemData":{"DOI":"10.3390/f14081681","ISSN":"19994907","abstract":"Plant chloroplast (cp) gene clusters consist of genes arranged closely together on the cp genome. These genes are organized in operon structures and participate in cotranscription, typically exhibiting conservation. Broken gene clusters have been observed in gymnosperms. In order to investigate whether the substitution rates and selection pressure of associated genes are affected following the disruption of gene clusters, the cp genomes of 80 species (78 gymnosperms and 2 outgroups) were analyzed. A phylogenetic analysis was conducted using 58 shared genes to examine the evolutionary rates and selection pressure of genes associated with gene clusters and protein-coding genes in Sciadopitys verticillata. The results demonstrate that S. verticillata exhibited the highest number of rearrangements compared to the Cycas revoluta genome. Four gene clusters (rps2, psbB, rpoB, and petL clusters) in S. verticillata were disrupted, while rps2 in Callitris rhomboidea experienced disruption. Significantly increased evolutionary rates were observed in 12 out of 18 gene cluster-related genes in S. verticillata. Following disruption, S. verticillata and C. rhomboidea exhibited an increase in gene cluster-related genes, particularly rps2, and higher selection pressure on both rps2 and atpA genes compared to other species. Furthermore, among the 58 genes shared by S. verticillata, the evolutionary rates of 36 genes increased, and the selection pressure on 13 genes exceeded that of other species. These results indicate an increased substitution rate of gene clusters in S. verticillata and C. rhomboidea. The large-scale rearrangement and elevated substitution rates of the cp genome in S. verticillata were revealed. This study sheds light on the heterogeneity of cp genome evolution in gymnosperms.","author":[{"dropping-particle":"","family":"Ping","given":"Jingyao","non-dropping-particle":"","parse-names":false,"suffix":""},{"dropping-particle":"","family":"Zhong","given":"Xiaona","non-dropping-particle":"","parse-names":false,"suffix":""},{"dropping-particle":"","family":"Wang","given":"Ting","non-dropping-particle":"","parse-names":false,"suffix":""},{"dropping-particle":"","family":"Su","given":"Yingjuan","non-dropping-particle":"","parse-names":false,"suffix":""}],"container-title":"Forests","id":"ITEM-3","issue":"8","issued":{"date-parts":[["2023","8","1"]]},"publisher":"Multidisciplinary Digital Publishing Institute (MDPI)","title":"The Broken Chloroplast Gene Clusters in Gymnosperms Exhibit Elevated Substitution Rates","type":"article-journal","volume":"14"},"uris":["http://www.mendeley.com/documents/?uuid=7ca8bcf6-08a6-3a57-a47f-0344ebcde219"]}],"mendeley":{"formattedCitation":"(Ahrens et al., 2025; Ping et al., 2023; Wang et al., 2024)","plainTextFormattedCitation":"(Ahrens et al., 2025; Ping et al., 2023; Wang et al., 2024)","previouslyFormattedCitation":"[16, 19, 40]"},"properties":{"noteIndex":0},"schema":"https://github.com/citation-style-language/schema/raw/master/csl-citation.json"}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(Ahrens et al., 2025; Ping et al., 2023; Wang et al., 2024)</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 xml:space="preserve">. However, since this inference is based solely on genomic organization, experimental validation such as transcript mapping would be required to confirm coordinated transcription. The genomic organization and short intergenic distances among the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suggest a conserved plastid transcriptional architecture in both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cultivars, reflecting the functional importance and evolutionary constraints of the PEP system in chloroplast gene expression.</w:t>
      </w:r>
    </w:p>
    <w:p w14:paraId="21380D06" w14:textId="77777777" w:rsidR="00531003" w:rsidRDefault="00531003" w:rsidP="00531003">
      <w:pPr>
        <w:spacing w:line="312" w:lineRule="auto"/>
        <w:rPr>
          <w:rFonts w:ascii="Times New Roman" w:eastAsia="Times New Roman" w:hAnsi="Times New Roman" w:cs="Times New Roman"/>
          <w:b/>
          <w:bCs/>
          <w:sz w:val="20"/>
          <w:szCs w:val="20"/>
        </w:rPr>
      </w:pPr>
    </w:p>
    <w:p w14:paraId="7E585E91" w14:textId="77777777" w:rsidR="00531003" w:rsidRPr="00EA2309" w:rsidRDefault="00531003" w:rsidP="00531003">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Gene Structure Analysis</w:t>
      </w:r>
    </w:p>
    <w:p w14:paraId="1F30D425" w14:textId="77777777" w:rsidR="00531003"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The exon–intron structure of the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was analyzed using GSDS by comparing genomic sequences with their coding DNA sequences (CDS) across the two studied cultivars, 15 additional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accessions, and one outgroup species to evaluate structural conservation among related taxa (Fig. 1). All four genes exhibited a simple intron-less structure consisting of a single exon. The gene lengths varied among the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with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measuring 1020 bp, 3228 bp, 2052 bp, and 4605 bp, respectively. This intron-less organization is commonly observed in plastid genes and reflects a conserved structural pattern in chloroplast genomes. The absence of introns may support a streamlined transcriptional process without the requirement for RNA splicing, potentially enabling efficient expression of genes involved in plastid transcription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{"citationItems":[{"id":"ITEM-1","itemData":{"DOI":"10.3389/fgene.2021.654256","ISSN":"16648021","abstract":"The structure of eukaryotic genes is generally a combination of exons interrupted by intragenic non-coding DNA regions (introns) removed by RNA splicing to generate the mature mRNA. A fraction of genes, however, comprise a single coding exon with introns in their untranslated regions or are intronless genes (IGs), lacking introns entirely. The latter code for essential proteins involved in development, growth, and cell proliferation and their expression has been proposed to be highly specialized for neuro-specific functions and linked to cancer, neuropathies, and developmental disorders. The abundant presence of introns in eukaryotic genomes is pivotal for the precise control of gene expression. Notwithstanding, IGs exempting splicing events entail a higher transcriptional fidelity, making them even more valuable for regulatory roles. This work aimed to infer the functional role and evolutionary history of IGs centered on the mouse genome. IGs consist of a subgroup of genes with one exon including coding genes, non-coding genes, and pseudogenes, which conform approximately 6% of a total of 21,527 genes. To understand their prevalence, biological relevance, and evolution, we identified and studied 1,116 IG functional proteins validating their differential expression in transcriptomic data of embryonic mouse telencephalon. Our results showed that overall expression levels of IGs are lower than those of MEGs. However, strongly up-regulated IGs include transcription factors (TFs) such as the class 3 of POU (HMG Box), Neurog1, Olig1, and BHLHe22, BHLHe23, among other essential genes including the β-cluster of protocadherins. Most striking was the finding that IG-encoded BHLH TFs fit the criteria to be classified as microproteins. Finally, predicted protein orthologs in other six genomes confirmed high conservation of IGs associated with regulating neural processes and with chromatin organization and epigenetic regulation in Vertebrata. Moreover, this study highlights that IGs are essential modulators of regulatory processes, such as the Wnt signaling pathway and biological processes as pivotal as sensory organ developing at a transcriptional and post-translational level. Overall, our results suggest that IG proteins have specialized, prevalent, and unique biological roles and that functional divergence between IGs and MEGs is likely to be the result of specific evolutionary constraints.","author":[{"dropping-particle":"","family":"Aviña-Padilla","given":"Katia","non-dropping-particle":"","parse-names":false,"suffix":""},{"dropping-particle":"","family":"Ramírez-Rafael","given":"José Antonio","non-dropping-particle":"","parse-names":false,"suffix":""},{"dropping-particle":"","family":"Herrera-Oropeza","given":"Gabriel Emilio","non-dropping-particle":"","parse-names":false,"suffix":""},{"dropping-particle":"","family":"Muley","given":"Vijaykumar Yogesh","non-dropping-particle":"","parse-names":false,"suffix":""},{"dropping-particle":"","family":"Valdivia","given":"Dulce I.","non-dropping-particle":"","parse-names":false,"suffix":""},{"dropping-particle":"","family":"Díaz-Valenzuela","given":"Erik","non-dropping-particle":"","parse-names":false,"suffix":""},{"dropping-particle":"","family":"García-García","given":"Andrés","non-dropping-particle":"","parse-names":false,"suffix":""},{"dropping-particle":"","family":"Varela-Echavarría","given":"Alfredo","non-dropping-particle":"","parse-names":false,"suffix":""},{"dropping-particle":"","family":"Hernández-Rosales","given":"Maribel","non-dropping-particle":"","parse-names":false,"suffix":""}],"container-title":"Frontiers in Genetics","id":"ITEM-1","issued":{"date-parts":[["2021","7","9"]]},"page":"1","publisher":"Frontiers Media S.A.","title":"Evolutionary Perspective and Expression Analysis of Intronless Genes Highlight the Conservation of Their Regulatory Role","type":"article-journal","volume":"12"},"uris":["http://www.mendeley.com/documents/?uuid=98ae33bb-e65f-3a4b-8b63-900f3e6c2c42"]},{"id":"ITEM-2","itemData":{"DOI":"10.1111/tpj.15088","abstract":"Eukaryotic genes can be classiﬁed into intronless (no introns), intron-poor (three or fewer introns per gene)or intron-rich. Early eukaryotic genes were mostly intron-rich, and their alternative splicing into multipletranscripts, giving rise to different proteins, might have played pivotal roles in adaptation and evolution.Interestingly, extant plant genomes contain many gene families with one or sometimes few sub-familieswith genes that are intron-poor or intronless, and it remains unknown when and how these intron-poor orintronless genes have originated and evolved, and what their possible functions are. In this study, we identi-ﬁed 33 such gene families that contained intronless and intron-poor sub-families. Intronless genes seemedto have ﬁrst emerged in early land plant evolution, while intron-poor sub-families seemed ﬁrst to haveappeared in green algae. In contrast to intron-rich genes, intronless genes in intron-poor sub-familiesoccurred later, and were subject to stronger functional constraints. Based on RNA-seq analyses in Arabidop-sis and rice, intronless or intron-poor genes in AP2, EF-hand_7, bZIP, FAD_binding_4, STE_STE11, CAMK_-CAMKL-CHK1 and C2 gene families were more likely to play a role in response to drought and salt stress,compared with intron-rich genes in the same gene families, whereas intronless genes in the B_lectin andS_locus_glycop gene family were more likely to participate in epigenetic processes and plant development.Understanding the origin and evolutionary trajectory, as well as the potential functions, of intronless andintron-poor sub-families provides further insight into plant genome evolution and the functional divergenceof genes.","author":[{"dropping-particle":"","family":"Liu","given":"Hui","non-dropping-particle":"","parse-names":false,"suffix":""},{"dropping-particle":"","family":"Lyu","given":"Hai-Meng","non-dropping-particle":"","parse-names":false,"suffix":""},{"dropping-particle":"","family":"Zhu","given":"Kaikai","non-dropping-particle":"","parse-names":false,"suffix":""},{"dropping-particle":"Van","family":"Peer","given":"Yves","non-dropping-particle":"de","parse-names":false,"suffix":""},{"dropping-particle":"","family":"Cheng","given":"Zong-Ming (Max)","non-dropping-particle":"","parse-names":false,"suffix":""}],"container-title":"The Plant Journal","id":"ITEM-2","issue":"105","issued":{"date-parts":[["2021"]]},"page":"1072-82","title":"The emergence and evolution of intron‐poor and intronless genes in intron‐rich plant gene","type":"article-journal","volume":"105"},"uris":["http://www.mendeley.com/documents/?uuid=df93313b-4075-36df-beb3-891db7920814"]}],"mendeley":{"formattedCitation":"(Aviña-Padilla et al., 2021; Liu et al., 2021)","plainTextFormattedCitation":"(Aviña-Padilla et al., 2021; Liu et al., 2021)","previouslyFormattedCitation":"[41, 42]"},"properties":{"noteIndex":0},"schema":"https://github.com/citation-style-language/schema/raw/master/csl-citation.json"}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(Aviña-Padilla et al., 2021; Liu et al., 2021)</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w:t>
      </w:r>
    </w:p>
    <w:p w14:paraId="2F473F79" w14:textId="77777777" w:rsidR="00531003" w:rsidRDefault="00531003" w:rsidP="00531003">
      <w:pPr>
        <w:spacing w:after="0" w:line="360" w:lineRule="auto"/>
        <w:jc w:val="both"/>
        <w:rPr>
          <w:rFonts w:ascii="Times New Roman" w:eastAsia="Times New Roman" w:hAnsi="Times New Roman" w:cs="Times New Roman"/>
        </w:rPr>
      </w:pPr>
    </w:p>
    <w:p w14:paraId="5B5AC8FE" w14:textId="77777777" w:rsidR="00531003" w:rsidRPr="00EA2309" w:rsidRDefault="00531003" w:rsidP="00531003">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Conserved Motif Analysis</w:t>
      </w:r>
    </w:p>
    <w:p w14:paraId="44DD8F6A" w14:textId="5E39B556" w:rsidR="00531003" w:rsidRPr="00EA2309" w:rsidRDefault="00531003" w:rsidP="00161C4D">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The sugarcane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i/>
          <w:iCs/>
        </w:rPr>
        <w:t xml:space="preserve"> </w:t>
      </w:r>
      <w:r w:rsidRPr="00EA2309">
        <w:rPr>
          <w:rFonts w:ascii="Times New Roman" w:eastAsia="Times New Roman" w:hAnsi="Times New Roman" w:cs="Times New Roman"/>
        </w:rPr>
        <w:t>proteins vary in size from 339 amino acids (</w:t>
      </w:r>
      <w:proofErr w:type="spellStart"/>
      <w:r w:rsidRPr="00531003">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to 1,535 amino acids (</w:t>
      </w:r>
      <w:r w:rsidRPr="00531003">
        <w:rPr>
          <w:rFonts w:ascii="Times New Roman" w:eastAsia="Times New Roman" w:hAnsi="Times New Roman" w:cs="Times New Roman"/>
          <w:i/>
          <w:iCs/>
        </w:rPr>
        <w:t>rpo</w:t>
      </w:r>
      <w:r w:rsidRPr="00EA2309">
        <w:rPr>
          <w:rFonts w:ascii="Times New Roman" w:eastAsia="Times New Roman" w:hAnsi="Times New Roman" w:cs="Times New Roman"/>
        </w:rPr>
        <w:t xml:space="preserve">C2), reflecting their distinct structural and functional roles within the plastid-encoded RNA polymerase (PEP) </w:t>
      </w:r>
      <w:r w:rsidRPr="00EA2309">
        <w:rPr>
          <w:rFonts w:ascii="Times New Roman" w:eastAsia="Times New Roman" w:hAnsi="Times New Roman" w:cs="Times New Roman"/>
        </w:rPr>
        <w:lastRenderedPageBreak/>
        <w:t xml:space="preserve">complex. </w:t>
      </w:r>
      <w:r w:rsidR="00161C4D" w:rsidRPr="00161C4D">
        <w:rPr>
          <w:rFonts w:ascii="Times New Roman" w:eastAsia="Times New Roman" w:hAnsi="Times New Roman" w:cs="Times New Roman"/>
        </w:rPr>
        <w:t xml:space="preserve">Analysis using the MEME Suite v5.5.7 online server revealed 30 conserved motifs across the </w:t>
      </w:r>
      <w:proofErr w:type="spellStart"/>
      <w:r w:rsidR="00161C4D" w:rsidRPr="00161C4D">
        <w:rPr>
          <w:rFonts w:ascii="Times New Roman" w:eastAsia="Times New Roman" w:hAnsi="Times New Roman" w:cs="Times New Roman"/>
          <w:i/>
          <w:iCs/>
        </w:rPr>
        <w:t>rpo</w:t>
      </w:r>
      <w:proofErr w:type="spellEnd"/>
      <w:r w:rsidR="00161C4D" w:rsidRPr="00161C4D">
        <w:rPr>
          <w:rFonts w:ascii="Times New Roman" w:eastAsia="Times New Roman" w:hAnsi="Times New Roman" w:cs="Times New Roman"/>
        </w:rPr>
        <w:t xml:space="preserve"> gene family proteins, as shown in Fig. 2, demonstrating substantial structural conservation.</w:t>
      </w:r>
      <w:r w:rsidR="00161C4D">
        <w:rPr>
          <w:rFonts w:ascii="Times New Roman" w:eastAsia="Times New Roman" w:hAnsi="Times New Roman" w:cs="Times New Roman"/>
        </w:rPr>
        <w:t xml:space="preserve"> </w:t>
      </w:r>
      <w:r w:rsidRPr="00EA2309">
        <w:rPr>
          <w:rFonts w:ascii="Times New Roman" w:eastAsia="Times New Roman" w:hAnsi="Times New Roman" w:cs="Times New Roman"/>
        </w:rPr>
        <w:t xml:space="preserve">The statistical significance of motif conservation is strongly supported by extremely low p-values. The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protein in both ‘</w:t>
      </w:r>
      <w:proofErr w:type="spellStart"/>
      <w:r w:rsidRPr="00EA2309">
        <w:rPr>
          <w:rFonts w:ascii="Times New Roman" w:eastAsia="Times New Roman" w:hAnsi="Times New Roman" w:cs="Times New Roman"/>
        </w:rPr>
        <w:t>Kidang</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Kencana</w:t>
      </w:r>
      <w:proofErr w:type="spellEnd"/>
      <w:r w:rsidRPr="00EA2309">
        <w:rPr>
          <w:rFonts w:ascii="Times New Roman" w:eastAsia="Times New Roman" w:hAnsi="Times New Roman" w:cs="Times New Roman"/>
        </w:rPr>
        <w:t>’ and ‘</w:t>
      </w:r>
      <w:proofErr w:type="spellStart"/>
      <w:r w:rsidRPr="00EA2309">
        <w:rPr>
          <w:rFonts w:ascii="Times New Roman" w:eastAsia="Times New Roman" w:hAnsi="Times New Roman" w:cs="Times New Roman"/>
        </w:rPr>
        <w:t>Bululawang</w:t>
      </w:r>
      <w:proofErr w:type="spellEnd"/>
      <w:r w:rsidRPr="00EA2309">
        <w:rPr>
          <w:rFonts w:ascii="Times New Roman" w:eastAsia="Times New Roman" w:hAnsi="Times New Roman" w:cs="Times New Roman"/>
        </w:rPr>
        <w:t xml:space="preserve">’ exhibited a p-value of 1.64 × 10⁻¹⁵⁸, which is comparable to those observed in several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spp. hybrids. Slightly lower yet still highly significant p-values (2.12 × 10⁻¹⁵⁸) were detected in species such as </w:t>
      </w:r>
      <w:r w:rsidRPr="00EA2309">
        <w:rPr>
          <w:rFonts w:ascii="Times New Roman" w:eastAsia="Times New Roman" w:hAnsi="Times New Roman" w:cs="Times New Roman"/>
          <w:i/>
          <w:iCs/>
        </w:rPr>
        <w:t xml:space="preserve">Saccharum </w:t>
      </w:r>
      <w:proofErr w:type="spellStart"/>
      <w:r w:rsidRPr="00EA2309">
        <w:rPr>
          <w:rFonts w:ascii="Times New Roman" w:eastAsia="Times New Roman" w:hAnsi="Times New Roman" w:cs="Times New Roman"/>
          <w:i/>
          <w:iCs/>
        </w:rPr>
        <w:t>spontaneum</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 xml:space="preserve">S. </w:t>
      </w:r>
      <w:proofErr w:type="spellStart"/>
      <w:r w:rsidRPr="00EA2309">
        <w:rPr>
          <w:rFonts w:ascii="Times New Roman" w:eastAsia="Times New Roman" w:hAnsi="Times New Roman" w:cs="Times New Roman"/>
          <w:i/>
          <w:iCs/>
        </w:rPr>
        <w:t>fulvum</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 xml:space="preserve">S. </w:t>
      </w:r>
      <w:proofErr w:type="spellStart"/>
      <w:r w:rsidRPr="00EA2309">
        <w:rPr>
          <w:rFonts w:ascii="Times New Roman" w:eastAsia="Times New Roman" w:hAnsi="Times New Roman" w:cs="Times New Roman"/>
          <w:i/>
          <w:iCs/>
        </w:rPr>
        <w:t>narenga</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 xml:space="preserve">S. </w:t>
      </w:r>
      <w:proofErr w:type="spellStart"/>
      <w:r w:rsidRPr="00EA2309">
        <w:rPr>
          <w:rFonts w:ascii="Times New Roman" w:eastAsia="Times New Roman" w:hAnsi="Times New Roman" w:cs="Times New Roman"/>
          <w:i/>
          <w:iCs/>
        </w:rPr>
        <w:t>barberi</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S. officinarum</w:t>
      </w:r>
      <w:r w:rsidRPr="00EA2309">
        <w:rPr>
          <w:rFonts w:ascii="Times New Roman" w:eastAsia="Times New Roman" w:hAnsi="Times New Roman" w:cs="Times New Roman"/>
        </w:rPr>
        <w:t>, and Taiwanese hybrids, suggesting strong evolutionary constraint across the genus.</w:t>
      </w:r>
    </w:p>
    <w:p w14:paraId="02D3B8DE" w14:textId="2510431D" w:rsidR="00531003" w:rsidRDefault="00531003" w:rsidP="00161C4D">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In contrast,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C2 exhibited p-values of 0.00e+0, indicating statistical significance beyond the computational precision limit of the MEME algorithm. This pattern reflects an exceptional conservation of functional motifs, consistent with their essential roles in forming the catalytic core of the plastid-encoded RNA polymerase (PEP) complex, particularly in transcriptional regulation within the chloroplast.</w:t>
      </w:r>
      <w:r w:rsidR="00161C4D">
        <w:rPr>
          <w:rFonts w:ascii="Times New Roman" w:eastAsia="Times New Roman" w:hAnsi="Times New Roman" w:cs="Times New Roman"/>
        </w:rPr>
        <w:t xml:space="preserve"> </w:t>
      </w:r>
      <w:r w:rsidR="00161C4D" w:rsidRPr="00161C4D">
        <w:rPr>
          <w:rFonts w:ascii="Times New Roman" w:eastAsia="Times New Roman" w:hAnsi="Times New Roman" w:cs="Times New Roman"/>
        </w:rPr>
        <w:t xml:space="preserve">The observed pattern indicates a remarkable preservation of functional elements, which aligns with their critical function in constructing the catalytic center of the plastid-encoded RNA polymerase (PEP) complex, especially for transcriptional control within the chloroplast. This pattern might also suggest intensely purifying selection on these genes, maintaining their functional regions throughout evolutionary </w:t>
      </w:r>
      <w:r w:rsidRPr="00EA2309">
        <w:rPr>
          <w:rFonts w:ascii="Times New Roman" w:eastAsia="Times New Roman" w:hAnsi="Times New Roman" w:cs="Times New Roman"/>
        </w:rPr>
        <w:t xml:space="preserve">timescales. This is consistent with the general pattern in protein-coding genes, where purifying selection </w:t>
      </w:r>
      <w:r w:rsidR="00161C4D">
        <w:rPr>
          <w:rFonts w:ascii="Times New Roman" w:eastAsia="Times New Roman" w:hAnsi="Times New Roman" w:cs="Times New Roman"/>
        </w:rPr>
        <w:t>eliminates</w:t>
      </w:r>
      <w:r w:rsidRPr="00EA2309">
        <w:rPr>
          <w:rFonts w:ascii="Times New Roman" w:eastAsia="Times New Roman" w:hAnsi="Times New Roman" w:cs="Times New Roman"/>
        </w:rPr>
        <w:t xml:space="preserve"> deleterious non-synonymous mutations, </w:t>
      </w:r>
      <w:r w:rsidR="00161C4D" w:rsidRPr="00161C4D">
        <w:rPr>
          <w:rFonts w:ascii="Times New Roman" w:eastAsia="Times New Roman" w:hAnsi="Times New Roman" w:cs="Times New Roman"/>
        </w:rPr>
        <w:t>thereby preserving conserved functional motifs across</w:t>
      </w:r>
      <w:r w:rsidR="00161C4D">
        <w:rPr>
          <w:rFonts w:ascii="Times New Roman" w:eastAsia="Times New Roman" w:hAnsi="Times New Roman" w:cs="Times New Roman"/>
        </w:rPr>
        <w:t xml:space="preserve"> different species</w:t>
      </w:r>
      <w:r w:rsidRPr="00EA2309">
        <w:rPr>
          <w:rFonts w:ascii="Times New Roman" w:eastAsia="Times New Roman" w:hAnsi="Times New Roman" w:cs="Times New Roman"/>
        </w:rPr>
        <w:t xml:space="preserve">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{"citationItems":[{"id":"ITEM-1","itemData":{"DOI":"10.1038/s41559-023-02268-6","ISSN":"2397334X","PMID":"38177690","abstract":"A long-standing question is to what degree genetic drift and selection drive the divergence in rare accessory gene content between closely related bacteria. Rare genes, including singletons, make up a large proportion of pangenomes (all genes in a set of genomes), but it remains unclear how many such genes are adaptive, deleterious or neutral to their host genome. Estimates of species’ effective population sizes (Ne) are positively associated with pangenome size and fluidity, which has independently been interpreted as evidence for both neutral and adaptive pangenome models. We hypothesized that pseudogenes, used as a neutral reference, could be used to distinguish these models. We find that most functional categories are depleted for rare pseudogenes when a genome encodes only a single intact copy of a gene family. In contrast, transposons are enriched in pseudogenes, suggesting they are mostly neutral or deleterious to the host genome. Thus, even if individual rare accessory genes vary in their effects on host fitness, we can confidently reject a model of entirely neutral or deleterious rare genes. We also define the ratio of singleton intact genes to singleton pseudogenes (si/sp) within a pangenome, compare this measure across 668 prokaryotic species and detect a signal consistent with the adaptive value of many rare accessory genes. Taken together, our work demonstrates that comparing with pseudogenes can improve inferences of the evolutionary forces driving pangenome variation.","author":[{"dropping-particle":"","family":"Douglas","given":"Gavin M.","non-dropping-particle":"","parse-names":false,"suffix":""},{"dropping-particle":"","family":"Shapiro","given":"B. Jesse","non-dropping-particle":"","parse-names":false,"suffix":""}],"container-title":"Nature Ecology and Evolution","id":"ITEM-1","issue":"2","issued":{"date-parts":[["2024","2","1"]]},"page":"304-314","publisher":"Nature Research","title":"Pseudogenes act as a neutral reference for detecting selection in prokaryotic pangenomes","type":"article-journal","volume":"8"},"uris":["http://www.mendeley.com/documents/?uuid=f7318374-6f98-3e32-928a-5723d064bfa1"]},{"id":"ITEM-2","itemData":{"DOI":"10.3389/fpls.2025.1675536","ISSN":"1664462X","abstract":"The study of chloroplast genome evolutionary dynamics provides critical insights into plant adaptive evolution and phylogenetic relationships. This research conducted a systematic comparative analysis of chloroplast genomes across 35 species within the Rutaceae family. All genomes displayed the typical quadripartite structure, with sizes ranging from 155 to 161 kb, GC contents between 38.17% and 38.83%, and gene counts varying from 122 to 144. Structural conservation was high across species, with variations mainly localized at the boundaries of inverted repeat (IR) regions. AT-rich mononucleotide simple sequence repeats (SSRs) were dominant and primarily distributed in non-coding regions. Collinearity analysis revealed high sequence conservation alongside lineage-specific rearrangements. Relative synonymous codon usage (RSCU) analysis revealed significant heterogeneity among species, with values ranging from 0.386 to 1.797. ENC-GC3s, GC3-GC12, and PR2 analyses indicated a marked deviation from neutral evolution. Selection pressure analysis indicated strong purifying selection (Ka/Ks &lt; 0.2) acting on photosynthetic system genes, while certain genes (e.g., matK, rpl20) exhibited signals of positive selection, highlighting adaptive evolutionary features in specific genomic regions. Phylogenetic reconstruction placed Murraya paniculata within a clade containing other Murraya species, closely related to Citrus and Clausena, reflecting morphological and biogeographic patterns. This study provides a molecular framework for taxonomic revision in Rutaceae and enhances understanding of chloroplast genome evolution in the family.","author":[{"dropping-particle":"","family":"Chen","given":"Yichao","non-dropping-particle":"","parse-names":false,"suffix":""},{"dropping-particle":"","family":"Liu","given":"Ningge","non-dropping-particle":"","parse-names":false,"suffix":""},{"dropping-particle":"","family":"Wang","given":"Hong","non-dropping-particle":"","parse-names":false,"suffix":""},{"dropping-particle":"","family":"Luo","given":"Huifeng","non-dropping-particle":"","parse-names":false,"suffix":""},{"dropping-particle":"","family":"Xie","given":"Zhiliang","non-dropping-particle":"","parse-names":false,"suffix":""},{"dropping-particle":"","family":"Yu","given":"Hongao","non-dropping-particle":"","parse-names":false,"suffix":""},{"dropping-particle":"","family":"Chang","given":"Yaojun","non-dropping-particle":"","parse-names":false,"suffix":""},{"dropping-particle":"","family":"Zheng","given":"Bosheng","non-dropping-particle":"","parse-names":false,"suffix":""},{"dropping-particle":"","family":"Zheng","given":"Xinchen","non-dropping-particle":"","parse-names":false,"suffix":""},{"dropping-particle":"","family":"Sheng","given":"Jun","non-dropping-particle":"","parse-names":false,"suffix":""},{"dropping-particle":"","family":"Jiang","given":"Yajie","non-dropping-particle":"","parse-names":false,"suffix":""},{"dropping-particle":"","family":"Ye","given":"Shuzhe","non-dropping-particle":"","parse-names":false,"suffix":""},{"dropping-particle":"","family":"Hua","given":"Yonggang","non-dropping-particle":"","parse-names":false,"suffix":""},{"dropping-particle":"","family":"Ma","given":"Haijie","non-dropping-particle":"","parse-names":false,"suffix":""},{"dropping-particle":"","family":"Li","given":"Fei","non-dropping-particle":"","parse-names":false,"suffix":""}],"container-title":"Frontiers in Plant Science","id":"ITEM-2","issued":{"date-parts":[["2025"]]},"publisher":"Frontiers Media SA","title":"Comparative chloroplast genomics of Rutaceae: structural divergence, adaptive evolution, and phylogenomic implications","type":"article-journal","volume":"16"},"uris":["http://www.mendeley.com/documents/?uuid=103dc1b2-140d-3628-84d4-7faf5162ad87"]}],"mendeley":{"formattedCitation":"(Y. Chen et al., 2025; Douglas &amp; Shapiro, 2024)","manualFormatting":"(Chen et al., 2025; Douglas &amp; Shapiro, 2024)","plainTextFormattedCitation":"(Y. Chen et al., 2025; Douglas &amp; Shapiro, 2024)","previouslyFormattedCitation":"[43, 44]"},"properties":{"noteIndex":0},"schema":"https://github.com/citation-style-language/schema/raw/master/csl-citation.json"}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(Chen et al., 2025; Douglas &amp; Shapiro, 2024)</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w:t>
      </w:r>
    </w:p>
    <w:p w14:paraId="0F67CA95" w14:textId="77777777" w:rsidR="00531003" w:rsidRPr="00EA2309" w:rsidRDefault="00531003" w:rsidP="00531003">
      <w:pPr>
        <w:spacing w:after="0" w:line="360" w:lineRule="auto"/>
        <w:jc w:val="both"/>
        <w:rPr>
          <w:rFonts w:ascii="Times New Roman" w:eastAsia="Times New Roman" w:hAnsi="Times New Roman" w:cs="Times New Roman"/>
        </w:rPr>
      </w:pPr>
    </w:p>
    <w:p w14:paraId="1BD376DF" w14:textId="77777777" w:rsidR="00531003" w:rsidRPr="00EA2309" w:rsidRDefault="00531003" w:rsidP="00531003">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Predicted 3D Protein Structure</w:t>
      </w:r>
    </w:p>
    <w:p w14:paraId="1A841118" w14:textId="77777777" w:rsidR="00531003"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The predicted three-dimensional (3D) structures of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proteins in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hybrid ‘</w:t>
      </w:r>
      <w:proofErr w:type="spellStart"/>
      <w:r w:rsidRPr="00EA2309">
        <w:rPr>
          <w:rFonts w:ascii="Times New Roman" w:eastAsia="Times New Roman" w:hAnsi="Times New Roman" w:cs="Times New Roman"/>
        </w:rPr>
        <w:t>Kidang</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Kencana</w:t>
      </w:r>
      <w:proofErr w:type="spellEnd"/>
      <w:r w:rsidRPr="00EA2309">
        <w:rPr>
          <w:rFonts w:ascii="Times New Roman" w:eastAsia="Times New Roman" w:hAnsi="Times New Roman" w:cs="Times New Roman"/>
        </w:rPr>
        <w:t>’ and ‘</w:t>
      </w:r>
      <w:proofErr w:type="spellStart"/>
      <w:r w:rsidRPr="00EA2309">
        <w:rPr>
          <w:rFonts w:ascii="Times New Roman" w:eastAsia="Times New Roman" w:hAnsi="Times New Roman" w:cs="Times New Roman"/>
        </w:rPr>
        <w:t>Bululawang</w:t>
      </w:r>
      <w:proofErr w:type="spellEnd"/>
      <w:r w:rsidRPr="00EA2309">
        <w:rPr>
          <w:rFonts w:ascii="Times New Roman" w:eastAsia="Times New Roman" w:hAnsi="Times New Roman" w:cs="Times New Roman"/>
        </w:rPr>
        <w:t xml:space="preserve">’ were generated to evaluate their structural organization and stability (Fig. 3). All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proteins exhibited well-defined folded conformations with high-confidence regions predominantly represented in blue (</w:t>
      </w:r>
      <w:proofErr w:type="spellStart"/>
      <w:r w:rsidRPr="00EA2309">
        <w:rPr>
          <w:rFonts w:ascii="Times New Roman" w:eastAsia="Times New Roman" w:hAnsi="Times New Roman" w:cs="Times New Roman"/>
        </w:rPr>
        <w:t>pLDDT</w:t>
      </w:r>
      <w:proofErr w:type="spellEnd"/>
      <w:r w:rsidRPr="00EA2309">
        <w:rPr>
          <w:rFonts w:ascii="Times New Roman" w:eastAsia="Times New Roman" w:hAnsi="Times New Roman" w:cs="Times New Roman"/>
        </w:rPr>
        <w:t xml:space="preserve"> &gt; 90), indicating reliable structural predictions. Lower-confidence regions (yellow to orange) were mainly located at the terminal ends and loop regions, suggesting intrinsic flexibility commonly observed in protein structures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{"citationItems":[{"id":"ITEM-1","itemData":{"DOI":"10.1038/s41598-025-16936-z","ISSN":"20452322","PMID":"40877400","abstract":"Uterine fibroids, though benign in nature, are burdensome tumors of the myometrium and continue to weigh heavily on the landscape of women’s health. They affect millions and yet receive a fraction of the therapeutic innovation afforded to malignant diseases. Despite their prevalence, the molecular underpinnings of fibroid pathogenesis have long been met with a blind eye in drug development. Recent insights, however, reveal G-protein-coupled receptor 10 (GPR10) as a central driver of fibroid growth, promoting cell survival through the PI3K/Akt and MAPK/ERK signaling pathways following REST repression. In this study, we present a rigorous, computationally guided approach to design small interfering RNAs (siRNAs) that silence GPR10 expression at the transcriptomic level. Beginning with a library of 275 siRNA candidates, we undertook a layered in-silico refinement process, combining thermodynamic assessment, secondary structure modeling and off-target filtration, to distill a shortlist of ten high-confidence molecules. These were subjected to structural docking against Argonaute 2, the catalytic engine of the RNA-induced silencing complex, revealing siRNA8 and siRNA12 as lead candidates distinguished by robust binding affinity, high predicted silencing efficacy, which was greater than 93.5%, and precise conformational fit. Subsequent molecular dynamics simulations under CHARMM-GUI/CHARMM36m force field, confirmed the structural stability and sustained silencing potential of the complex. Collectively, these findings identify GPR10 as a therapeutically actionable driver in fibroid biology and lay the groundwork for precision RNAi strategies targeting non-malignant, yet clinically neglected, hormone-dependent disorders.","author":[{"dropping-particle":"","family":"Sriram","given":"Srineevas","non-dropping-particle":"","parse-names":false,"suffix":""},{"dropping-particle":"","family":"Palanichamy","given":"Chandresh","non-dropping-particle":"","parse-names":false,"suffix":""},{"dropping-particle":"","family":"Subash","given":"P. T.","non-dropping-particle":"","parse-names":false,"suffix":""},{"dropping-particle":"","family":"Gupta","given":"Manshi Kumari","non-dropping-particle":"","parse-names":false,"suffix":""},{"dropping-particle":"","family":"Sudandiradoss","given":"C.","non-dropping-particle":"","parse-names":false,"suffix":""}],"container-title":"Scientific Reports","id":"ITEM-1","issue":"1","issued":{"date-parts":[["2025","12","1"]]},"publisher":"Nature Research","title":"Molecular dynamics simulations based siRNA design against GPR10 reveals stable RNAi therapeutics for hormone-dependent uterine fibroids","type":"article-journal","volume":"15"},"uris":["http://www.mendeley.com/documents/?uuid=5c7cdbeb-9e2b-3c9b-9307-af0007c89637"]},{"id":"ITEM-2","itemData":{"DOI":"10.1371/journal.pone.0320550","ISSN":"19326203","PMID":"40493574","abstract":"Single nucleotide polymorphisms (SNPs) in DNA repair genes can impair protein structure and function, contributing to disease development, including cancer. Non-synonymous SNPs (nsSNPs) in the LIG3 gene are linked to genomic instability and increased cancer risk, particularly acute myeloid leukemia (AML). This study aims to identify the most deleterious nsSNPs in the LIG3 and potential therapeutic targets for DNA repair restoration in AML. We employed different computational approaches to analyze LIG3 nsSNPs and pathogenicity. Subsequently, molecular docking, molecular dynamics simulation (MDS), gene expression and clinical validation of LIG3 were performed to evaluate ligand-binding affinities, protein stability and to identify discriminatory gene signatures. Out of the 12,191 mapped SNPs, 132 were nsSNPs located in the coding region. Among these, 18 nsSNPs were identified as detrimental including 12 destabilizing and 6 stabilizing nsSNPs. Nine cancer-associated nsSNPs, including L381R and R528C, were predicted due to their structural and functional impacts. Further analysis revealed key phosphorylation and methylation sites, such as 529S and 224R. MDS highlighted stable interactions of compounds AHP-MPC and DM-BFC with wild-type and R528C mutant LIG3 proteins, while R671G and V781M mutants showed instability. Protein-protein interaction networks and functional enrichment linked LIG3 to DNA repair pathways. Kaplan-Meier analysis associated high LIG3 expression with improved survival in breast cancer and AML, suggesting its role as a prognostic biomarker. This study emphasizes the mutation-specific effects of LIG3 nsSNPs on protein stability and ligand interactions. We recommend identifying DM-BFC to advance personalized medicine approaches for targeting deleterious variants, following in-vitro and in-vivo validation for AML treatment.","author":[{"dropping-particle":"","family":"Hossen","given":"Md Arif","non-dropping-particle":"","parse-names":false,"suffix":""},{"dropping-particle":"","family":"Jahan","given":"Umme Mim Sad","non-dropping-particle":"","parse-names":false,"suffix":""},{"dropping-particle":"","family":"Hossain","given":"Md Arju","non-dropping-particle":"","parse-names":false,"suffix":""},{"dropping-particle":"","family":"Asif","given":"Khalid Hossain","non-dropping-particle":"","parse-names":false,"suffix":""},{"dropping-particle":"","family":"Rahman","given":"Ahona","non-dropping-particle":"","parse-names":false,"suffix":""},{"dropping-particle":"","family":"Ahmed","given":"Sabbir","non-dropping-particle":"","parse-names":false,"suffix":""},{"dropping-particle":"","family":"Uddin","given":"Md Moin","non-dropping-particle":"","parse-names":false,"suffix":""},{"dropping-particle":"","family":"Amin","given":"Md Faisal","non-dropping-particle":"","parse-names":false,"suffix":""},{"dropping-particle":"","family":"Barik","given":"Muhammad Abdul","non-dropping-particle":"","parse-names":false,"suffix":""},{"dropping-particle":"","family":"Islam","given":"Mohammod Johirul","non-dropping-particle":"","parse-names":false,"suffix":""},{"dropping-particle":"","family":"Kamruzzaman","given":"Mohammad","non-dropping-particle":"","parse-names":false,"suffix":""},{"dropping-particle":"","family":"Hasnat","given":"Soharth","non-dropping-particle":"","parse-names":false,"suffix":""},{"dropping-particle":"","family":"Uddin","given":"Mohammad Nasir","non-dropping-particle":"","parse-names":false,"suffix":""},{"dropping-particle":"","family":"Islam","given":"Tofazzal","non-dropping-particle":"","parse-names":false,"suffix":""},{"dropping-particle":"","family":"Hoque","given":"M. Nazmul","non-dropping-particle":"","parse-names":false,"suffix":""}],"container-title":"PLOS ONE","id":"ITEM-2","issue":"6 June","issued":{"date-parts":[["2025","6","1"]]},"publisher":"Public Library of Science","title":"Computational investigation unveils pathogenic LIG3 non-synonymous mutations and therapeutic targets in acute myeloid leukemia","type":"article-journal","volume":"20"},"uris":["http://www.mendeley.com/documents/?uuid=85e3c9e0-224f-345d-8399-b5ffc6664a5e"]}],"mendeley":{"formattedCitation":"(Hossen et al., 2025; Sriram et al., 2025)","plainTextFormattedCitation":"(Hossen et al., 2025; Sriram et al., 2025)","previouslyFormattedCitation":"[45, 46]"},"properties":{"noteIndex":0},"schema":"https://github.com/citation-style-language/schema/raw/master/csl-citation.json"}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(Hossen et al., 2025; Sriram et al., 2025)</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 Among the four proteins,</w:t>
      </w:r>
      <w:r w:rsidRPr="00EA2309">
        <w:rPr>
          <w:rFonts w:ascii="Times New Roman" w:eastAsia="Times New Roman" w:hAnsi="Times New Roman" w:cs="Times New Roman"/>
          <w:i/>
          <w:iCs/>
        </w:rPr>
        <w:t xml:space="preserv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displayed more complex and extended architectures, consistent with their larger protein sizes and roles as core catalytic subunits of the plastid-encoded RNA polymerase (PEP). The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protein exhibited a more compact structure, reflecting its role in enzyme assembly and stabilization rather than direct catalytic activity, whereas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showed an intermediate structural complexity, supporting its function as part of the catalytic machinery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{"citationItems":[{"id":"ITEM-1","itemData":{"DOI":"10.1098/rstb.2019.0399","ISSN":"14712970","PMID":"32362266","abstract":"Plastid genes in higher plants are transcribed by at least two different RNA polymerases, the plastid-encoded RNA polymerase (PEP), a bacteria-like core enzyme whose subunits are encoded by plastid genes (rpoA, rpoB, rpoC1 and rpoC2), and the nuclear-encoded plastid RNA polymerase (NEP), a monomeric bacteriophage-type RNA polymerase. Both PEP and NEP enzymes are active in non-green plastids and in chloroplasts at all developmental stages. Their transcriptional activity is affected by endogenous and exogenous factors and requires a strict coordination within the plastid and with the nuclear gene expression machinery. This review focuses on the different molecular mechanisms underlying chloroplast transcription regulation and its coordination with the photosynthesis-associated nuclear genes (PhANGs) expression. Particular attention is given to the link between NEP and PEP activity and the GUN1- (Genomes Uncoupled 1) mediated chloroplast-to-nucleus retrograde communication with respect to the Δrpo adaptive response, i.e. the increased accumulation of NEP-dependent transcripts upon depletion of PEP activity, and the editing-level changes observed in NEP-dependent transcripts, including rpoB and rpoC1, in gun1 cotyledons after norflurazon or lincomycin treatment. The role of cytosolic preproteins and HSP90 chaperone as components of the GUN1-retrograde signalling pathway, when chloroplast biogenesis is inhibited in Arabidopsis cotyledons, is also discussed. This article is part of the theme issue ‘Retrograde signalling from endosymbiotic organelles’.","author":[{"dropping-particle":"","family":"Tadini","given":"Luca","non-dropping-particle":"","parse-names":false,"suffix":""},{"dropping-particle":"","family":"Jeran","given":"Nicolaj","non-dropping-particle":"","parse-names":false,"suffix":""},{"dropping-particle":"","family":"Peracchio","given":"Carlotta","non-dropping-particle":"","parse-names":false,"suffix":""},{"dropping-particle":"","family":"Masiero","given":"Simona","non-dropping-particle":"","parse-names":false,"suffix":""},{"dropping-particle":"","family":"Colombo","given":"Monica","non-dropping-particle":"","parse-names":false,"suffix":""},{"dropping-particle":"","family":"Pesaresi","given":"Paolo","non-dropping-particle":"","parse-names":false,"suffix":""}],"container-title":"Philosophical Transactions of the Royal Society B: Biological Sciences","id":"ITEM-1","issue":"1801","issued":{"date-parts":[["2020","6","22"]]},"publisher":"Royal Society Publishing","title":"The plastid transcription machinery and its coordination with the expression of nuclear genome: Plastid-encoded polymerase, nuclear-encoded polymerase and the genomes uncoupled 1-mediated retrograde communication","type":"article","volume":"375"},"uris":["http://www.mendeley.com/documents/?uuid=b4314c7d-e8ee-3c71-b2d3-e7fc3f0f240c"]},{"id":"ITEM-2","itemData":{"DOI":"10.17485/ijst/2019/v12i20/142613","ISSN":"0974-5645","author":[{"dropping-particle":"","family":"Palanivelu","given":"Peramachi","non-dropping-particle":"","parse-names":false,"suffix":""}],"container-title":"Indian Journal of Science and Technology","id":"ITEM-2","issue":"20","issued":{"date-parts":[["2019","5","1"]]},"page":"1-32","title":"Active Sites of the Multi-subunit RNA Polymerases of Eubacteria and Chloroplasts are Similar in Structure and Function","type":"article-journal","volume":"12"},"uris":["http://www.mendeley.com/documents/?uuid=fdce8bde-9113-30b3-b2c5-7f787bb4719c"]}],"mendeley":{"formattedCitation":"(Palanivelu, 2019; Tadini et al., 2020)","plainTextFormattedCitation":"(Palanivelu, 2019; Tadini et al., 2020)","previouslyFormattedCitation":"[37, 38]"},"properties":{"noteIndex":0},"schema":"https://github.com/citation-style-language/schema/raw/master/csl-citation.json"}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(Palanivelu, 2019; Tadini et al., 2020)</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 xml:space="preserve">. In particular, the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protein exhibited not only a more extended architecture but also predominantly light blue regions, indicating slightly lower yet still high confidence scores compared to other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i/>
          <w:iCs/>
        </w:rPr>
        <w:t xml:space="preserve"> </w:t>
      </w:r>
      <w:r w:rsidRPr="00EA2309">
        <w:rPr>
          <w:rFonts w:ascii="Times New Roman" w:eastAsia="Times New Roman" w:hAnsi="Times New Roman" w:cs="Times New Roman"/>
        </w:rPr>
        <w:t>proteins. This structural pattern is consistent with its previously described role as the β'' subunit of the plastid-encoded RNA polymerase (PEP), where a certain degree of flexibility may be required to facilitate interactions within the catalytic complex.</w:t>
      </w:r>
    </w:p>
    <w:p w14:paraId="57909584" w14:textId="77777777" w:rsidR="00531003" w:rsidRPr="00EA2309"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lastRenderedPageBreak/>
        <w:t xml:space="preserve">Comparative structural analysis based on RMSD values (Table 2) further supported the overall conservation of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proteins across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species. Most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B</w:t>
      </w:r>
      <w:proofErr w:type="spellEnd"/>
      <w:r w:rsidRPr="00EA2309">
        <w:rPr>
          <w:rFonts w:ascii="Times New Roman" w:eastAsia="Times New Roman" w:hAnsi="Times New Roman" w:cs="Times New Roman"/>
        </w:rPr>
        <w:t xml:space="preserve"> and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C1 proteins exhibited consistently low RMSD values, generally ranging from approximately 0.275 to 1.224 Å, indicating a high degree of structural similarity. The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protein also showed relatively low RMSD values in most accessions, although moderate variation was observed in several species. However, markedly higher RMSD values were observed in specific cases. Notably, </w:t>
      </w:r>
      <w:proofErr w:type="spellStart"/>
      <w:r w:rsidRPr="00EA2309">
        <w:rPr>
          <w:rFonts w:ascii="Times New Roman" w:eastAsia="Times New Roman" w:hAnsi="Times New Roman" w:cs="Times New Roman"/>
          <w:i/>
          <w:iCs/>
        </w:rPr>
        <w:t>rpo</w:t>
      </w:r>
      <w:r w:rsidRPr="00EA2309">
        <w:rPr>
          <w:rFonts w:ascii="Times New Roman" w:eastAsia="Times New Roman" w:hAnsi="Times New Roman" w:cs="Times New Roman"/>
        </w:rPr>
        <w:t>A</w:t>
      </w:r>
      <w:proofErr w:type="spellEnd"/>
      <w:r w:rsidRPr="00EA2309">
        <w:rPr>
          <w:rFonts w:ascii="Times New Roman" w:eastAsia="Times New Roman" w:hAnsi="Times New Roman" w:cs="Times New Roman"/>
        </w:rPr>
        <w:t xml:space="preserve"> exhibited extreme values of 12.583 Å in </w:t>
      </w:r>
      <w:r w:rsidRPr="00EA2309">
        <w:rPr>
          <w:rFonts w:ascii="Times New Roman" w:eastAsia="Times New Roman" w:hAnsi="Times New Roman" w:cs="Times New Roman"/>
          <w:i/>
          <w:iCs/>
        </w:rPr>
        <w:t xml:space="preserve">Saccharum </w:t>
      </w:r>
      <w:proofErr w:type="spellStart"/>
      <w:r w:rsidRPr="00EA2309">
        <w:rPr>
          <w:rFonts w:ascii="Times New Roman" w:eastAsia="Times New Roman" w:hAnsi="Times New Roman" w:cs="Times New Roman"/>
          <w:i/>
          <w:iCs/>
        </w:rPr>
        <w:t>barberi</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Kidang</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Kencana</w:t>
      </w:r>
      <w:proofErr w:type="spellEnd"/>
      <w:r w:rsidRPr="00EA2309">
        <w:rPr>
          <w:rFonts w:ascii="Times New Roman" w:eastAsia="Times New Roman" w:hAnsi="Times New Roman" w:cs="Times New Roman"/>
        </w:rPr>
        <w:t>’ comparison) and 22.966 Å in the ‘</w:t>
      </w:r>
      <w:proofErr w:type="spellStart"/>
      <w:r w:rsidRPr="00EA2309">
        <w:rPr>
          <w:rFonts w:ascii="Times New Roman" w:eastAsia="Times New Roman" w:hAnsi="Times New Roman" w:cs="Times New Roman"/>
        </w:rPr>
        <w:t>Bululawang</w:t>
      </w:r>
      <w:proofErr w:type="spellEnd"/>
      <w:r w:rsidRPr="00EA2309">
        <w:rPr>
          <w:rFonts w:ascii="Times New Roman" w:eastAsia="Times New Roman" w:hAnsi="Times New Roman" w:cs="Times New Roman"/>
        </w:rPr>
        <w:t xml:space="preserve">’ comparison, indicating substantial structural deviation. Elevated RMSD values were observed for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in comparisons with </w:t>
      </w:r>
      <w:proofErr w:type="spellStart"/>
      <w:r w:rsidRPr="00EA2309">
        <w:rPr>
          <w:rFonts w:ascii="Times New Roman" w:eastAsia="Times New Roman" w:hAnsi="Times New Roman" w:cs="Times New Roman"/>
        </w:rPr>
        <w:t>Bululawang</w:t>
      </w:r>
      <w:proofErr w:type="spellEnd"/>
      <w:r w:rsidRPr="00EA2309">
        <w:rPr>
          <w:rFonts w:ascii="Times New Roman" w:eastAsia="Times New Roman" w:hAnsi="Times New Roman" w:cs="Times New Roman"/>
        </w:rPr>
        <w:t xml:space="preserve">, including 15.357 Å in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hybrid ‘RB72454’ and 10.107 Å in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hybrid ‘SP-80-3280’. </w:t>
      </w:r>
    </w:p>
    <w:p w14:paraId="60C4D3F3" w14:textId="77777777" w:rsidR="00531003" w:rsidRPr="00A652DE" w:rsidRDefault="00531003" w:rsidP="00531003">
      <w:pPr>
        <w:spacing w:after="0" w:line="360" w:lineRule="auto"/>
        <w:ind w:firstLine="454"/>
        <w:jc w:val="both"/>
        <w:rPr>
          <w:rFonts w:ascii="Times New Roman" w:eastAsia="Times New Roman" w:hAnsi="Times New Roman" w:cs="Times New Roman"/>
          <w:lang w:val="pt-PT"/>
        </w:rPr>
      </w:pPr>
      <w:r w:rsidRPr="00EA2309">
        <w:rPr>
          <w:rFonts w:ascii="Times New Roman" w:eastAsia="Times New Roman" w:hAnsi="Times New Roman" w:cs="Times New Roman"/>
        </w:rPr>
        <w:t xml:space="preserve">These pronounced deviations are likely associated with structural variability in flexible or poorly aligned regions, particularly in larger or more complex proteins. In </w:t>
      </w:r>
      <w:r w:rsidRPr="00EA2309">
        <w:rPr>
          <w:rFonts w:ascii="Times New Roman" w:eastAsia="Times New Roman" w:hAnsi="Times New Roman" w:cs="Times New Roman"/>
          <w:i/>
          <w:iCs/>
        </w:rPr>
        <w:t>rpo</w:t>
      </w:r>
      <w:r w:rsidRPr="00EA2309">
        <w:rPr>
          <w:rFonts w:ascii="Times New Roman" w:eastAsia="Times New Roman" w:hAnsi="Times New Roman" w:cs="Times New Roman"/>
        </w:rPr>
        <w:t xml:space="preserve">C2, this pattern is consistent with its predominantly light blue confidence distribution in the predicted structures, suggesting increased flexibility and variation in domain orientation. Importantly, such high RMSD values do not necessarily indicate functional divergence, as the conserved core regions and motif architecture remain largely preserved. The occurrence of extreme RMSD values in certain species, particularly in </w:t>
      </w:r>
      <w:r w:rsidRPr="00EA2309">
        <w:rPr>
          <w:rFonts w:ascii="Times New Roman" w:eastAsia="Times New Roman" w:hAnsi="Times New Roman" w:cs="Times New Roman"/>
          <w:i/>
          <w:iCs/>
        </w:rPr>
        <w:t xml:space="preserve">S. </w:t>
      </w:r>
      <w:proofErr w:type="spellStart"/>
      <w:r w:rsidRPr="00EA2309">
        <w:rPr>
          <w:rFonts w:ascii="Times New Roman" w:eastAsia="Times New Roman" w:hAnsi="Times New Roman" w:cs="Times New Roman"/>
          <w:i/>
          <w:iCs/>
        </w:rPr>
        <w:t>barberi</w:t>
      </w:r>
      <w:proofErr w:type="spellEnd"/>
      <w:r w:rsidRPr="00EA2309">
        <w:rPr>
          <w:rFonts w:ascii="Times New Roman" w:eastAsia="Times New Roman" w:hAnsi="Times New Roman" w:cs="Times New Roman"/>
        </w:rPr>
        <w:t xml:space="preserve">, may also reflect greater evolutionary divergence relative to other </w:t>
      </w:r>
      <w:r w:rsidRPr="00EA2309">
        <w:rPr>
          <w:rFonts w:ascii="Times New Roman" w:eastAsia="Times New Roman" w:hAnsi="Times New Roman" w:cs="Times New Roman"/>
          <w:i/>
          <w:iCs/>
        </w:rPr>
        <w:t>Saccharum</w:t>
      </w:r>
      <w:r w:rsidRPr="00EA2309">
        <w:rPr>
          <w:rFonts w:ascii="Times New Roman" w:eastAsia="Times New Roman" w:hAnsi="Times New Roman" w:cs="Times New Roman"/>
        </w:rPr>
        <w:t xml:space="preserve"> accessions. The combination of low RMSD values across most proteins and localized structural deviations supports the notion that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proteins are highly conserved, with structural flexibility accommodating functional requirements within the plastid-encoded RNA polymerase (PEP) complex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{"citationItems":[{"id":"ITEM-1","itemData":{"DOI":"10.1038/s41598-025-16936-z","ISSN":"20452322","PMID":"40877400","abstract":"Uterine fibroids, though benign in nature, are burdensome tumors of the myometrium and continue to weigh heavily on the landscape of women’s health. They affect millions and yet receive a fraction of the therapeutic innovation afforded to malignant diseases. Despite their prevalence, the molecular underpinnings of fibroid pathogenesis have long been met with a blind eye in drug development. Recent insights, however, reveal G-protein-coupled receptor 10 (GPR10) as a central driver of fibroid growth, promoting cell survival through the PI3K/Akt and MAPK/ERK signaling pathways following REST repression. In this study, we present a rigorous, computationally guided approach to design small interfering RNAs (siRNAs) that silence GPR10 expression at the transcriptomic level. Beginning with a library of 275 siRNA candidates, we undertook a layered in-silico refinement process, combining thermodynamic assessment, secondary structure modeling and off-target filtration, to distill a shortlist of ten high-confidence molecules. These were subjected to structural docking against Argonaute 2, the catalytic engine of the RNA-induced silencing complex, revealing siRNA8 and siRNA12 as lead candidates distinguished by robust binding affinity, high predicted silencing efficacy, which was greater than 93.5%, and precise conformational fit. Subsequent molecular dynamics simulations under CHARMM-GUI/CHARMM36m force field, confirmed the structural stability and sustained silencing potential of the complex. Collectively, these findings identify GPR10 as a therapeutically actionable driver in fibroid biology and lay the groundwork for precision RNAi strategies targeting non-malignant, yet clinically neglected, hormone-dependent disorders.","author":[{"dropping-particle":"","family":"Sriram","given":"Srineevas","non-dropping-particle":"","parse-names":false,"suffix":""},{"dropping-particle":"","family":"Palanichamy","given":"Chandresh","non-dropping-particle":"","parse-names":false,"suffix":""},{"dropping-particle":"","family":"Subash","given":"P. T.","non-dropping-particle":"","parse-names":false,"suffix":""},{"dropping-particle":"","family":"Gupta","given":"Manshi Kumari","non-dropping-particle":"","parse-names":false,"suffix":""},{"dropping-particle":"","family":"Sudandiradoss","given":"C.","non-dropping-particle":"","parse-names":false,"suffix":""}],"container-title":"Scientific Reports","id":"ITEM-1","issue":"1","issued":{"date-parts":[["2025","12","1"]]},"publisher":"Nature Research","title":"Molecular dynamics simulations based siRNA design against GPR10 reveals stable RNAi therapeutics for hormone-dependent uterine fibroids","type":"article-journal","volume":"15"},"uris":["http://www.mendeley.com/documents/?uuid=5c7cdbeb-9e2b-3c9b-9307-af0007c89637"]},{"id":"ITEM-2","itemData":{"DOI":"10.1371/journal.pone.0320550","ISSN":"19326203","PMID":"40493574","abstract":"Single nucleotide polymorphisms (SNPs) in DNA repair genes can impair protein structure and function, contributing to disease development, including cancer. Non-synonymous SNPs (nsSNPs) in the LIG3 gene are linked to genomic instability and increased cancer risk, particularly acute myeloid leukemia (AML). This study aims to identify the most deleterious nsSNPs in the LIG3 and potential therapeutic targets for DNA repair restoration in AML. We employed different computational approaches to analyze LIG3 nsSNPs and pathogenicity. Subsequently, molecular docking, molecular dynamics simulation (MDS), gene expression and clinical validation of LIG3 were performed to evaluate ligand-binding affinities, protein stability and to identify discriminatory gene signatures. Out of the 12,191 mapped SNPs, 132 were nsSNPs located in the coding region. Among these, 18 nsSNPs were identified as detrimental including 12 destabilizing and 6 stabilizing nsSNPs. Nine cancer-associated nsSNPs, including L381R and R528C, were predicted due to their structural and functional impacts. Further analysis revealed key phosphorylation and methylation sites, such as 529S and 224R. MDS highlighted stable interactions of compounds AHP-MPC and DM-BFC with wild-type and R528C mutant LIG3 proteins, while R671G and V781M mutants showed instability. Protein-protein interaction networks and functional enrichment linked LIG3 to DNA repair pathways. Kaplan-Meier analysis associated high LIG3 expression with improved survival in breast cancer and AML, suggesting its role as a prognostic biomarker. This study emphasizes the mutation-specific effects of LIG3 nsSNPs on protein stability and ligand interactions. We recommend identifying DM-BFC to advance personalized medicine approaches for targeting deleterious variants, following in-vitro and in-vivo validation for AML treatment.","author":[{"dropping-particle":"","family":"Hossen","given":"Md Arif","non-dropping-particle":"","parse-names":false,"suffix":""},{"dropping-particle":"","family":"Jahan","given":"Umme Mim Sad","non-dropping-particle":"","parse-names":false,"suffix":""},{"dropping-particle":"","family":"Hossain","given":"Md Arju","non-dropping-particle":"","parse-names":false,"suffix":""},{"dropping-particle":"","family":"Asif","given":"Khalid Hossain","non-dropping-particle":"","parse-names":false,"suffix":""},{"dropping-particle":"","family":"Rahman","given":"Ahona","non-dropping-particle":"","parse-names":false,"suffix":""},{"dropping-particle":"","family":"Ahmed","given":"Sabbir","non-dropping-particle":"","parse-names":false,"suffix":""},{"dropping-particle":"","family":"Uddin","given":"Md Moin","non-dropping-particle":"","parse-names":false,"suffix":""},{"dropping-particle":"","family":"Amin","given":"Md Faisal","non-dropping-particle":"","parse-names":false,"suffix":""},{"dropping-particle":"","family":"Barik","given":"Muhammad Abdul","non-dropping-particle":"","parse-names":false,"suffix":""},{"dropping-particle":"","family":"Islam","given":"Mohammod Johirul","non-dropping-particle":"","parse-names":false,"suffix":""},{"dropping-particle":"","family":"Kamruzzaman","given":"Mohammad","non-dropping-particle":"","parse-names":false,"suffix":""},{"dropping-particle":"","family":"Hasnat","given":"Soharth","non-dropping-particle":"","parse-names":false,"suffix":""},{"dropping-particle":"","family":"Uddin","given":"Mohammad Nasir","non-dropping-particle":"","parse-names":false,"suffix":""},{"dropping-particle":"","family":"Islam","given":"Tofazzal","non-dropping-particle":"","parse-names":false,"suffix":""},{"dropping-particle":"","family":"Hoque","given":"M. Nazmul","non-dropping-particle":"","parse-names":false,"suffix":""}],"container-title":"PLOS ONE","id":"ITEM-2","issue":"6 June","issued":{"date-parts":[["2025","6","1"]]},"publisher":"Public Library of Science","title":"Computational investigation unveils pathogenic LIG3 non-synonymous mutations and therapeutic targets in acute myeloid leukemia","type":"article-journal","volume":"20"},"uris":["http://www.mendeley.com/documents/?uuid=85e3c9e0-224f-345d-8399-b5ffc6664a5e"]},{"id":"ITEM-3","itemData":{"DOI":"10.1111/tpj.15882","ISSN":"1365313X","PMID":"35765883","abstract":"Plastids contain their own genomes, which are transcribed by two types of RNA polymerases. One of those enzymes is a bacterial-type, multi-subunit polymerase encoded by the plastid genome. The plastid-encoded RNA polymerase (PEP) is required for efficient expression of genes encoding proteins involved in photosynthesis. Despite the importance of PEP, its DNA binding locations have not been studied on the genome-wide scale at high resolution. We established a highly specific approach to detect the genome-wide pattern of PEP binding to chloroplast DNA using plastid chromatin immunoprecipitation–sequencing (ptChIP-seq). We found that in mature Arabidopsis thaliana chloroplasts, PEP has a complex DNA binding pattern with preferential association at genes encoding rRNA, tRNA, and a subset of photosynthetic proteins. Sigma factors SIG2 and SIG6 strongly impact PEP binding to a subset of tRNA genes and have more moderate effects on PEP binding throughout the rest of the genome. PEP binding is commonly enriched on gene promoters, around transcription start sites. Finally, the levels of PEP binding to DNA are correlated with levels of RNA accumulation, which demonstrates the impact of PEP on chloroplast gene expression. Presented data are available through a publicly available Plastid Genome Visualization Tool (Plavisto) at https://plavisto.mcdb.lsa.umich.edu/.","author":[{"dropping-particle":"","family":"Palomar","given":"V. Miguel","non-dropping-particle":"","parse-names":false,"suffix":""},{"dropping-particle":"","family":"Jaksich","given":"Sarah","non-dropping-particle":"","parse-names":false,"suffix":""},{"dropping-particle":"","family":"Fujii","given":"Sho","non-dropping-particle":"","parse-names":false,"suffix":""},{"dropping-particle":"","family":"Kuciński","given":"Jan","non-dropping-particle":"","parse-names":false,"suffix":""},{"dropping-particle":"","family":"Wierzbicki","given":"Andrzej T.","non-dropping-particle":"","parse-names":false,"suffix":""}],"container-title":"Plant Journal","id":"ITEM-3","issue":"4","issued":{"date-parts":[["2022","8","1"]]},"page":"1139-1151","publisher":"John Wiley and Sons Inc","title":"High-resolution map of plastid-encoded RNA polymerase binding patterns demonstrates a major role of transcription in chloroplast gene expression","type":"article-journal","volume":"111"},"uris":["http://www.mendeley.com/documents/?uuid=904d4b64-fe97-3ab3-b8f6-951bd8dfaaa3"]},{"id":"ITEM-4","itemData":{"DOI":"10.1016/j.cell.2024.01.036","ISSN":"10974172","PMID":"38428394","abstract":"Chloroplast genes encoding photosynthesis-associated proteins are predominantly transcribed by the plastid-encoded RNA polymerase (PEP). PEP is a multi-subunit complex composed of plastid-encoded subunits similar to bacterial RNA polymerases (RNAPs) stably bound to a set of nuclear-encoded PEP-associated proteins (PAPs). PAPs are essential to PEP activity and chloroplast biogenesis, but their roles are poorly defined. Here, we present cryoelectron microscopy (cryo-EM) structures of native 21-subunit PEP and a PEP transcription elongation complex from white mustard (Sinapis alba). We identify that PAPs encase the core polymerase, forming extensive interactions that likely promote complex assembly and stability. During elongation, PAPs interact with DNA downstream of the transcription bubble and with the nascent mRNA. The models reveal details of the superoxide dismutase, lysine methyltransferase, thioredoxin, and amino acid ligase enzymes that are subunits of PEP. Collectively, these data provide a foundation for the mechanistic understanding of chloroplast transcription and its role in plant growth and adaptation.","author":[{"dropping-particle":"","family":"Vergara-Cruces","given":"Ángel","non-dropping-particle":"","parse-names":false,"suffix</w:instrText>
      </w:r>
      <w:r w:rsidRPr="00A652DE">
        <w:rPr>
          <w:rFonts w:ascii="Times New Roman" w:eastAsia="Times New Roman" w:hAnsi="Times New Roman" w:cs="Times New Roman"/>
          <w:lang w:val="pt-PT"/>
        </w:rPr>
        <w:instrText>":""},{"dropping-particle":"","family":"Pramanick","given":"Ishika","non-dropping-particle":"","parse-names":false,"suffix":""},{"dropping-particle":"","family":"Pearce","given":"David","non-dropping-particle":"","parse-names":false,"suffix":""},{"dropping-particle":"","family":"Vogirala","given":"Vinod K.","non-dropping-particle":"","parse-names":false,"suffix":""},{"dropping-particle":"","family":"Byrne","given":"Matthew J.","non-dropping-particle":"","parse-names":false,"suffix":""},{"dropping-particle":"","family":"Low","given":"Jason K.K.","non-dropping-particle":"","parse-names":false,"suffix":""},{"dropping-particle":"","family":"Webster","given":"Michael W.","non-dropping-particle":"","parse-names":false,"suffix":""}],"container-title":"Cell","id":"ITEM-4","issue":"5","issued":{"date-parts":[["2024","2","29"]]},"page":"1145-1159.e21","publisher":"Elsevier B.V.","title":"Structure of the plant plastid-encoded RNA polymerase","type":"article-journal","volume":"187"},"uris":["http://www.mendeley.com/documents/?uuid=994deefe-6f54-328e-bb78-7448aeaffe78"]}],"mendeley":{"formattedCitation":"(Hossen et al., 2025; Palomar et al., 2022; Sriram et al., 2025; Vergara-Cruces et al., 2024)","plainTextFormattedCitation":"(Hossen et al., 2025; Palomar et al., 2022; Sriram et al., 2025; Vergara-Cruces et al., 2024)","previouslyFormattedCitation":"[15, 21, 45, 46]"},"properties":{"noteIndex":0},"schema":"https://github.com/citation-style-language/schema/raw/master/csl-citation.json"}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lang w:val="pt-PT"/>
        </w:rPr>
        <w:t>(Hossen et al., 2025; Palomar et al., 2022; Sriram et al., 2025; Vergara-Cruces et al., 2024)</w:t>
      </w:r>
      <w:r w:rsidRPr="00EA2309">
        <w:rPr>
          <w:rFonts w:ascii="Times New Roman" w:eastAsia="Times New Roman" w:hAnsi="Times New Roman" w:cs="Times New Roman"/>
        </w:rPr>
        <w:fldChar w:fldCharType="end"/>
      </w:r>
      <w:r w:rsidRPr="00A652DE">
        <w:rPr>
          <w:rFonts w:ascii="Times New Roman" w:eastAsia="Times New Roman" w:hAnsi="Times New Roman" w:cs="Times New Roman"/>
          <w:lang w:val="pt-PT"/>
        </w:rPr>
        <w:t>.</w:t>
      </w:r>
    </w:p>
    <w:p w14:paraId="7A03F9CD" w14:textId="77777777" w:rsidR="00531003" w:rsidRPr="00A652DE" w:rsidRDefault="00531003" w:rsidP="00531003">
      <w:pPr>
        <w:spacing w:after="0" w:line="360" w:lineRule="auto"/>
        <w:jc w:val="both"/>
        <w:rPr>
          <w:rFonts w:ascii="Times New Roman" w:eastAsia="Times New Roman" w:hAnsi="Times New Roman" w:cs="Times New Roman"/>
          <w:lang w:val="pt-PT"/>
        </w:rPr>
      </w:pPr>
    </w:p>
    <w:p w14:paraId="0593163A" w14:textId="77777777" w:rsidR="00531003" w:rsidRPr="00EA2309" w:rsidRDefault="00531003" w:rsidP="00531003">
      <w:pPr>
        <w:spacing w:after="0" w:line="360" w:lineRule="auto"/>
        <w:rPr>
          <w:rFonts w:ascii="Times New Roman" w:eastAsia="Times New Roman" w:hAnsi="Times New Roman" w:cs="Times New Roman"/>
          <w:b/>
          <w:bCs/>
        </w:rPr>
      </w:pPr>
      <w:r w:rsidRPr="00EA2309">
        <w:rPr>
          <w:rFonts w:ascii="Times New Roman" w:eastAsia="Times New Roman" w:hAnsi="Times New Roman" w:cs="Times New Roman"/>
          <w:b/>
          <w:bCs/>
        </w:rPr>
        <w:t xml:space="preserve">Codon Usage Bias of </w:t>
      </w:r>
      <w:proofErr w:type="spellStart"/>
      <w:r w:rsidRPr="00EA2309">
        <w:rPr>
          <w:rFonts w:ascii="Times New Roman" w:eastAsia="Times New Roman" w:hAnsi="Times New Roman" w:cs="Times New Roman"/>
          <w:b/>
          <w:bCs/>
          <w:i/>
          <w:iCs/>
        </w:rPr>
        <w:t>rpo</w:t>
      </w:r>
      <w:proofErr w:type="spellEnd"/>
      <w:r w:rsidRPr="00EA2309">
        <w:rPr>
          <w:rFonts w:ascii="Times New Roman" w:eastAsia="Times New Roman" w:hAnsi="Times New Roman" w:cs="Times New Roman"/>
          <w:b/>
          <w:bCs/>
          <w:i/>
          <w:iCs/>
        </w:rPr>
        <w:t xml:space="preserve"> </w:t>
      </w:r>
      <w:r w:rsidRPr="00EA2309">
        <w:rPr>
          <w:rFonts w:ascii="Times New Roman" w:eastAsia="Times New Roman" w:hAnsi="Times New Roman" w:cs="Times New Roman"/>
          <w:b/>
          <w:bCs/>
        </w:rPr>
        <w:t>Genes</w:t>
      </w:r>
    </w:p>
    <w:p w14:paraId="76C86025" w14:textId="77777777" w:rsidR="00531003"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The comparative analysis of codon usage between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and other chloroplast genes revealed a highly consistent pattern in both cultivars, </w:t>
      </w:r>
      <w:proofErr w:type="spellStart"/>
      <w:r w:rsidRPr="00EA2309">
        <w:rPr>
          <w:rFonts w:ascii="Times New Roman" w:eastAsia="Times New Roman" w:hAnsi="Times New Roman" w:cs="Times New Roman"/>
        </w:rPr>
        <w:t>Kidang</w:t>
      </w:r>
      <w:proofErr w:type="spellEnd"/>
      <w:r w:rsidRPr="00EA2309">
        <w:rPr>
          <w:rFonts w:ascii="Times New Roman" w:eastAsia="Times New Roman" w:hAnsi="Times New Roman" w:cs="Times New Roman"/>
        </w:rPr>
        <w:t xml:space="preserve"> </w:t>
      </w:r>
      <w:proofErr w:type="spellStart"/>
      <w:r w:rsidRPr="00EA2309">
        <w:rPr>
          <w:rFonts w:ascii="Times New Roman" w:eastAsia="Times New Roman" w:hAnsi="Times New Roman" w:cs="Times New Roman"/>
        </w:rPr>
        <w:t>Kencana</w:t>
      </w:r>
      <w:proofErr w:type="spellEnd"/>
      <w:r w:rsidRPr="00EA2309">
        <w:rPr>
          <w:rFonts w:ascii="Times New Roman" w:eastAsia="Times New Roman" w:hAnsi="Times New Roman" w:cs="Times New Roman"/>
        </w:rPr>
        <w:t xml:space="preserve"> (KK) and </w:t>
      </w:r>
      <w:proofErr w:type="spellStart"/>
      <w:r w:rsidRPr="00EA2309">
        <w:rPr>
          <w:rFonts w:ascii="Times New Roman" w:eastAsia="Times New Roman" w:hAnsi="Times New Roman" w:cs="Times New Roman"/>
        </w:rPr>
        <w:t>Bululawang</w:t>
      </w:r>
      <w:proofErr w:type="spellEnd"/>
      <w:r w:rsidRPr="00EA2309">
        <w:rPr>
          <w:rFonts w:ascii="Times New Roman" w:eastAsia="Times New Roman" w:hAnsi="Times New Roman" w:cs="Times New Roman"/>
        </w:rPr>
        <w:t xml:space="preserve"> (BL) (Fig. 4). The deviation values for most codons were nearly identical, with differences generally less than 0.02, indicating that codon usage bias in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is highly conserved across cultivars.</w:t>
      </w:r>
    </w:p>
    <w:p w14:paraId="001D6AAD" w14:textId="77777777" w:rsidR="00531003" w:rsidRPr="00EA2309"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Several synonymous codon pairs exhibited opposite deviation values, indicating strong codon preference in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The lysine codons AAA and AAG displayed contrasting patterns, with AAA being overrepresented (0.07 in KK; 0.08 in BL) and AAG underrepresented (−0.07 in KK; −0.08 in BL). Similarly, the glutamine codons CAA and CAG showed opposing deviations, with CAA having a positive deviation (0.16 in both KK and BL) and CAG a negative deviation (−0.16 in both KK and BL). These consistent opposing patterns among synonymous codons suggest selective codon usage, potentially associated with tRNA availability and translational efficiency in chloroplasts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{"citationItems":[{"id":"ITEM-1","itemData":{"DOI":"10.1186/s12864-025-12498-6","ISSN":"14712164","PMID":"41593499","abstract":"Background: The Poaceae is one of the world’s most ecologically and economically important plant families, encompassing major food crops and forage grasses. Despite its agricultural significance, systematic analyses of chloroplast genome evolution across this diverse family remain limited. To understand adaptive evolution in Poaceae species and their phylogenetic relationships, analysis of codon usage and evolutionary pressure in chloroplast genomes is essential. We conducted a comprehensive comparative analysis of 48 Poaceae chloroplast genomes to elucidate codon usage mechanisms and phylogenetic relationships. Results: Our analysis revealed consistent codon usage bias across all species. Notably, 93.1% of preferred codons are A/U-ending, indicating the presence of strong compositional constraints. Chloroplast genomes ranged from 129,095 bp to 148,617 bp, with GC content ranging between 38.16% and 39.04%. The average GC content was 38.5%, with GC3 content (30.51%) significantly lower than GC1 (47.34%) and GC2 (39.64%) contents. ENC-GC3s plots, PR2 analysis, and neutrality plot analyses consistently demonstrated that natural selection, rather than mutational pressure, predominantly drives codon usage patterns. Simple sequence repeats (SSRs) analysis showed non-random distribution, with the highest density in intergenic regions (52.6%), followed by introns (28.2%) and coding sequences (19.2%). Mononucleotide and octanucleotide repeats constituted the predominant SSR types. Ka/Ks analysis revealed that 94.67% of chloroplast genes undergo purifying selection (Ka/Ks &lt; 0.5), with photosystem and ribosomal protein genes under the most stringent constraints. Phylogenetic analysis confirmed robust evolutionary relationships, with genome synteny strongly correlating with taxonomic classification. Conclusion: This study provides the most comprehensive analysis of Poaceae chloroplast genome evolution to date, revealing selection-driven codon optimization that balances functional conservation with adaptive flexibility. The predominance of purifying selection reflects the critical importance of chloroplast gene function, while SSR distribution patterns suggest roles in genome plasticity and regulatory functions. These findings deepen our understanding of grass evolution and provide valuable resources for molecular marker development, phylogenetic studies, and crop improvement programs addressing global food security challenges.","author":[{"dropping-particle":"","family":"Geng","given":"Xiaohe","non-dropping-particle":"","parse-names":false,"suffix":""},{"dropping-particle":"","family":"Xue","given":"Ying","non-dropping-particle":"","parse-names":false,"suffix":""},{"dropping-particle":"","family":"Wang","given":"Haodi","non-dropping-particle":"","parse-names":false,"suffix":""},{"dropping-particle":"","family":"Tu","given":"Hao","non-dropping-particle":"","parse-names":false,"suffix":""},{"dropping-particle":"","family":"Jing","given":"Rui","non-dropping-particle":"","parse-names":false,"suffix":""},{"dropping-particle":"","family":"Li","given":"Zixiong","non-dropping-particle":"","parse-names":false,"suffix":""},{"dropping-particle":"","family":"Gai","given":"Yunpeng","non-dropping-particle":"","parse-names":false,"suffix":""}],"container-title":"BMC Genomics","id":"ITEM-1","issue":"1","issued":{"date-parts":[["2026","12","1"]]},"publisher":"BioMed Central Ltd","title":"Comprehensive analysis of chloroplast genome evolution in Poaceae: codon usage patterns, selection pressures, and phylogenomic relationships","type":"article-journal","volume":"27"},"uris":["http://www.mendeley.com/documents/?uuid=16b959ee-fbb3-3095-b1a8-ddfd082df43f"]}],"mendeley":{"formattedCitation":"(Geng et al., 2026)","plainTextFormattedCitation":"(Geng et al., 2026)","previouslyFormattedCitation":"[47]"},"properties":{"noteIndex":0},"schema":"https://github.com/citation-style-language/schema/raw/master/csl-citation.json"}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(Geng et al., 2026)</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w:t>
      </w:r>
    </w:p>
    <w:p w14:paraId="03920C73" w14:textId="0757F374" w:rsidR="00531003" w:rsidRPr="00EA2309"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Several codons exhibited extreme deviations, indicating that codon usage in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is non-random. The arginine</w:t>
      </w:r>
      <w:r w:rsidR="00931DCC">
        <w:rPr>
          <w:rFonts w:ascii="Times New Roman" w:eastAsia="Times New Roman" w:hAnsi="Times New Roman" w:cs="Times New Roman"/>
        </w:rPr>
        <w:t xml:space="preserve"> </w:t>
      </w:r>
      <w:r w:rsidRPr="00EA2309">
        <w:rPr>
          <w:rFonts w:ascii="Times New Roman" w:eastAsia="Times New Roman" w:hAnsi="Times New Roman" w:cs="Times New Roman"/>
        </w:rPr>
        <w:t xml:space="preserve">codon CGT showed the strongest negative deviation (−0.57 in KK; −0.59 in BL), reflecting strong avoidance, whereas GCG (alanine) was highly preferred (0.36 in KK; 0.37 in BL). Glycine codons followed a similar trend, with GGA overrepresented (0.36 in KK; 0.34 in BL) and GGT underrepresented (−0.35 in both KK </w:t>
      </w:r>
      <w:r w:rsidRPr="00EA2309">
        <w:rPr>
          <w:rFonts w:ascii="Times New Roman" w:eastAsia="Times New Roman" w:hAnsi="Times New Roman" w:cs="Times New Roman"/>
        </w:rPr>
        <w:lastRenderedPageBreak/>
        <w:t>and BL). Additional codons displayed mirrored patterns: CTT (leucine) was underrepresented (−0.17 in both KK and BL) while CTG was overrepresented (0.13 in KK; 0.12 in BL), and TGC (cysteine) was preferred (0.26 in KK; 0.28 in BL) relative to TGT (−0.26 in KK; −0.28 in BL). These trends indicate strong codon-specific selection rather than random mutational bias.</w:t>
      </w:r>
    </w:p>
    <w:p w14:paraId="14F44197" w14:textId="0BA4E106" w:rsidR="00531003" w:rsidRDefault="00531003" w:rsidP="00531003">
      <w:pPr>
        <w:spacing w:after="0" w:line="360" w:lineRule="auto"/>
        <w:ind w:firstLine="454"/>
        <w:jc w:val="both"/>
        <w:rPr>
          <w:rFonts w:ascii="Times New Roman" w:eastAsia="Times New Roman" w:hAnsi="Times New Roman" w:cs="Times New Roman"/>
        </w:rPr>
      </w:pPr>
      <w:r w:rsidRPr="00EA2309">
        <w:rPr>
          <w:rFonts w:ascii="Times New Roman" w:eastAsia="Times New Roman" w:hAnsi="Times New Roman" w:cs="Times New Roman"/>
        </w:rPr>
        <w:t xml:space="preserve">Minor quantitative differences between cultivars were observed, such as AGG (0.21 in KK; 0.22 in BL) and TGC (0.26 in KK; 0.28 in BL), which are unlikely to be biologically significant. The conserved and non-random codon usage in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likely optimizes </w:t>
      </w:r>
      <w:r w:rsidR="00931DCC">
        <w:rPr>
          <w:rFonts w:ascii="Times New Roman" w:eastAsia="Times New Roman" w:hAnsi="Times New Roman" w:cs="Times New Roman"/>
        </w:rPr>
        <w:t xml:space="preserve">the </w:t>
      </w:r>
      <w:r w:rsidRPr="00EA2309">
        <w:rPr>
          <w:rFonts w:ascii="Times New Roman" w:eastAsia="Times New Roman" w:hAnsi="Times New Roman" w:cs="Times New Roman"/>
        </w:rPr>
        <w:t xml:space="preserve">translational efficiency of plastid-encoded RNA polymerase subunits, essential for chloroplast gene expression. This pronounced codon bias may reflect the critical role of </w:t>
      </w:r>
      <w:proofErr w:type="spellStart"/>
      <w:r w:rsidRPr="00EA2309">
        <w:rPr>
          <w:rFonts w:ascii="Times New Roman" w:eastAsia="Times New Roman" w:hAnsi="Times New Roman" w:cs="Times New Roman"/>
          <w:i/>
          <w:iCs/>
        </w:rPr>
        <w:t>rpo</w:t>
      </w:r>
      <w:proofErr w:type="spellEnd"/>
      <w:r w:rsidRPr="00EA2309">
        <w:rPr>
          <w:rFonts w:ascii="Times New Roman" w:eastAsia="Times New Roman" w:hAnsi="Times New Roman" w:cs="Times New Roman"/>
        </w:rPr>
        <w:t xml:space="preserve"> genes in plastid transcription, requiring high translational accuracy and efficiency. These observations suggest that translational selection is a primary driver of codon usage in these essential genes </w:t>
      </w:r>
      <w:r w:rsidRPr="00EA230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{"citationItems":[{"id":"ITEM-1","itemData":{"DOI":"10.21203/rs.3.rs-2878656/v1","abstract":"&lt;p&gt;Rhodophyta is one of the closest known relatives of green plants. Studying the codons of their genomes can provide us with a new understanding of how plants evolved from their unicellular and multicellular ancestors. Codon usage bias has been widely studied in some green plants. However, little is known about the characteristics of codon usage for green plant ancestors. Here, we have studied the codon usage patterns of all close ancestors for green plants, including four unicellular red algae and four multicellular red algae. Codon usage in almost all species is conservative. High-bias genes prefer codons ending with GC, but limited analysis indicates that it is likely to be caused by local mutation pressure. Our analysis proves that natural selection is the dominant factor for the codon usage bias of red algae in terms of translation accuracy and efficiency. It is worth noting that the selection of translation accuracy even can be found in the low-bias genes of individual species. The high-frequency codons are proven to evolve with tRNA together. Optimal codons are found to be complementary and bound to the tRNA genes with the highest copy number. Additionally, tRNA modification is found in the highly degenerate amino acids of all multicellular red algae and individual unicellular red algae. It seems that highly biased genes tend to use modified tRNA in translation. Determining optimal codons will help to design and carry out transgenic work in some economic red algae in the future, by maximizing the corresponding protein yield.&lt;/p&gt;","author":[{"dropping-particle":"","family":"Yao","given":"Huipeng","non-dropping-particle":"","parse-names":false,"suffix":""},{"dropping-particle":"","family":"Li","given":"Tingting","non-dropping-particle":"","parse-names":false,"suffix":""},{"dropping-particle":"","family":"Ma","given":"Zheng","non-dropping-particle":"","parse-names":false,"suffix":""},{"dropping-particle":"","family":"Wang","given":"Xiyuan","non-dropping-particle":"","parse-names":false,"suffix":""},{"dropping-particle":"","family":"Xu","given":"Lixiao","non-dropping-particle":"","parse-names":false,"suffix":""},{"dropping-particle":"","family":"Zhang","given":"Yuxin","non-dropping-particle":"","parse-names":false,"suffix":""},{"dropping-particle":"","family":"Cai","given":"Yi","non-dropping-particle":"","parse-names":false,"suffix":""},{"dropping-particle":"","family":"Tang","given":"Zizhong","non-dropping-particle":"","parse-names":false,"suffix":""}],"container-title":"BMC Genomics","id":"ITEM-1","issued":{"date-parts":[["2023","5","5"]]},"page":"1","title":"Patterns of Ancestral Green Plants Codon Usage Bias Revealed through Rhodophyta","type":"article-journal"},"uris":["http://www.mendeley.com/documents/?uuid=04f3eb6e-4336-3abc-b5d8-acb01f07d3ba"]},{"id":"ITEM-2","itemData":{"DOI":"10.1007/s10142-024-01316-z","ISSN":"14387948","PMID":"38429550","abstract":"Gracilariaceae is a group of marine large red algae and main source of agar with important economic and ecological value. The codon usage patterns of chloroplast genomes in 36 species from Graciliaceae show that GC range from 0.284 to 0.335, the average GC3 range from 0.135 to 0.243 and the value of ENC range from 35.098 to 42.327, which indicates these genomes are rich in AT and prefer to use codons ending with AT in these species. Nc plot, PR2 plot, neutrality plot analyses and correlation analysis indicate that these biases may be caused by multiple factors, such as natural selection and mutation pressure, but prolonged natural selection is the main driving force influencing codon usage preference. The cluster analysis and phylogenetic analysis show that the differentiation relationship of them is different and indicate that codons with weak or unbiased preferences may also play an irreplaceable role in these species’ evolution. In addition, we identified 26 common high-frequency codons and 8–18 optimal codons all ending in A/U in these 36 species. Our results will not only contribute to carrying out transgenic work in Gracilariaceae species to maximize the protein yield in the future, but also lay a theoretical foundation for further exploring systematic classification of them.","author":[{"dropping-particle":"","family":"Li","given":"Tingting","non-dropping-particle":"","parse-names":false,"suffix":""},{"dropping-particle":"","family":"Ma","given":"Zheng","non-dropping-particle":"","parse-names":false,"suffix":""},{"dropping-particle":"","family":"Ding","given":"Tiemei","non-dropping-particle":"","parse-names":false,"suffix":""},{"dropping-particle":"","family":"Yang","given":"Yanxin","non-dropping-particle":"","parse-names":false,"suffix":""},{"dropping-particle":"","family":"Wang","given":"Fei","non-dropping-particle":"","parse-names":false,"suffix":""},{"dropping-particle":"","family":"Wan","given":"Xinjing","non-dropping-particle":"","parse-names":false,"suffix":""},{"dropping-particle":"","family":"Liang","given":"Fangyun","non-dropping-particle":"","parse-names":false,"suffix":""},{"dropping-particle":"","family":"Chen","given":"Xi","non-dropping-particle":"","parse-names":false,"suffix":""},{"dropping-particle":"","family":"Yao","given":"Huipeng","non-dropping-particle":"","parse-names":false,"suffix":""}],"container-title":"Functional and Integrative Genomics","id":"ITEM-2","issue":"2","issued":{"date-parts":[["2024","4","1"]]},"publisher":"Springer Nature","title":"Codon usage bias and phylogenetic analysis of chloroplast genome in 36 gracilariaceae species","type":"article-journal","volume":"24"},"uris":["http://www.mendeley.com/documents/?uuid=7a87999f-5f31-3d19-ac60-92f8441d1478"]}],"mendeley":{"formattedCitation":"(T. Li et al., 2024; Yao et al., 2023)","manualFormatting":"(Li et al., 2024; Yao et al., 2023)","plainTextFormattedCitation":"(T. Li et al., 2024; Yao et al., 2023)","previouslyFormattedCitation":"[48, 49]"},"properties":{"noteIndex":0},"schema":"https://github.com/citation-style-language/schema/raw/master/csl-citation.json"}</w:instrText>
      </w:r>
      <w:r w:rsidRPr="00EA2309">
        <w:rPr>
          <w:rFonts w:ascii="Times New Roman" w:eastAsia="Times New Roman" w:hAnsi="Times New Roman" w:cs="Times New Roman"/>
        </w:rPr>
        <w:fldChar w:fldCharType="separate"/>
      </w:r>
      <w:r w:rsidRPr="00A652DE">
        <w:rPr>
          <w:rFonts w:ascii="Times New Roman" w:eastAsia="Times New Roman" w:hAnsi="Times New Roman" w:cs="Times New Roman"/>
          <w:noProof/>
        </w:rPr>
        <w:t>(Li et al., 2024; Yao et al., 2023)</w:t>
      </w:r>
      <w:r w:rsidRPr="00EA2309">
        <w:rPr>
          <w:rFonts w:ascii="Times New Roman" w:eastAsia="Times New Roman" w:hAnsi="Times New Roman" w:cs="Times New Roman"/>
        </w:rPr>
        <w:fldChar w:fldCharType="end"/>
      </w:r>
      <w:r w:rsidRPr="00EA2309">
        <w:rPr>
          <w:rFonts w:ascii="Times New Roman" w:eastAsia="Times New Roman" w:hAnsi="Times New Roman" w:cs="Times New Roman"/>
        </w:rPr>
        <w:t>.</w:t>
      </w:r>
    </w:p>
    <w:p w14:paraId="79850D56" w14:textId="77777777" w:rsidR="00531003" w:rsidRDefault="00531003" w:rsidP="00531003">
      <w:pPr>
        <w:spacing w:after="0" w:line="360" w:lineRule="auto"/>
        <w:jc w:val="both"/>
        <w:rPr>
          <w:rFonts w:ascii="Times New Roman" w:eastAsia="Times New Roman" w:hAnsi="Times New Roman" w:cs="Times New Roman"/>
        </w:rPr>
      </w:pPr>
    </w:p>
    <w:p w14:paraId="005DA135" w14:textId="77777777" w:rsidR="00531003" w:rsidRPr="00672E59" w:rsidRDefault="00531003" w:rsidP="00531003">
      <w:pPr>
        <w:spacing w:after="0" w:line="360" w:lineRule="auto"/>
        <w:rPr>
          <w:rFonts w:ascii="Times New Roman" w:eastAsia="Times New Roman" w:hAnsi="Times New Roman" w:cs="Times New Roman"/>
          <w:b/>
          <w:bCs/>
        </w:rPr>
      </w:pPr>
      <w:r w:rsidRPr="00672E59">
        <w:rPr>
          <w:rFonts w:ascii="Times New Roman" w:eastAsia="Times New Roman" w:hAnsi="Times New Roman" w:cs="Times New Roman"/>
          <w:b/>
          <w:bCs/>
        </w:rPr>
        <w:t xml:space="preserve">Phylogenetic Reconstruction of </w:t>
      </w:r>
      <w:proofErr w:type="spellStart"/>
      <w:r w:rsidRPr="00672E59">
        <w:rPr>
          <w:rFonts w:ascii="Times New Roman" w:eastAsia="Times New Roman" w:hAnsi="Times New Roman" w:cs="Times New Roman"/>
          <w:b/>
          <w:bCs/>
          <w:i/>
          <w:iCs/>
        </w:rPr>
        <w:t>rpo</w:t>
      </w:r>
      <w:proofErr w:type="spellEnd"/>
      <w:r w:rsidRPr="00672E59">
        <w:rPr>
          <w:rFonts w:ascii="Times New Roman" w:eastAsia="Times New Roman" w:hAnsi="Times New Roman" w:cs="Times New Roman"/>
          <w:b/>
          <w:bCs/>
        </w:rPr>
        <w:t xml:space="preserve"> Genes</w:t>
      </w:r>
    </w:p>
    <w:p w14:paraId="22FE1AFD" w14:textId="77777777" w:rsidR="00531003" w:rsidRDefault="00531003" w:rsidP="00531003">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The phylogenetic tree was constructed based on concatenated sequences of four plastid-encoded RNA polymerase genes (</w:t>
      </w:r>
      <w:proofErr w:type="spellStart"/>
      <w:r w:rsidRPr="00672E59">
        <w:rPr>
          <w:rFonts w:ascii="Times New Roman" w:eastAsia="Times New Roman" w:hAnsi="Times New Roman" w:cs="Times New Roman"/>
          <w:i/>
          <w:iCs/>
        </w:rPr>
        <w:t>rpo</w:t>
      </w:r>
      <w:r w:rsidRPr="00672E59">
        <w:rPr>
          <w:rFonts w:ascii="Times New Roman" w:eastAsia="Times New Roman" w:hAnsi="Times New Roman" w:cs="Times New Roman"/>
        </w:rPr>
        <w:t>A</w:t>
      </w:r>
      <w:proofErr w:type="spellEnd"/>
      <w:r w:rsidRPr="00672E59">
        <w:rPr>
          <w:rFonts w:ascii="Times New Roman" w:eastAsia="Times New Roman" w:hAnsi="Times New Roman" w:cs="Times New Roman"/>
        </w:rPr>
        <w:t xml:space="preserve">, </w:t>
      </w:r>
      <w:proofErr w:type="spellStart"/>
      <w:r w:rsidRPr="00672E59">
        <w:rPr>
          <w:rFonts w:ascii="Times New Roman" w:eastAsia="Times New Roman" w:hAnsi="Times New Roman" w:cs="Times New Roman"/>
          <w:i/>
          <w:iCs/>
        </w:rPr>
        <w:t>rpo</w:t>
      </w:r>
      <w:r w:rsidRPr="00672E59">
        <w:rPr>
          <w:rFonts w:ascii="Times New Roman" w:eastAsia="Times New Roman" w:hAnsi="Times New Roman" w:cs="Times New Roman"/>
        </w:rPr>
        <w:t>B</w:t>
      </w:r>
      <w:proofErr w:type="spellEnd"/>
      <w:r w:rsidRPr="00672E59">
        <w:rPr>
          <w:rFonts w:ascii="Times New Roman" w:eastAsia="Times New Roman" w:hAnsi="Times New Roman" w:cs="Times New Roman"/>
        </w:rPr>
        <w:t xml:space="preserve">, </w:t>
      </w:r>
      <w:r w:rsidRPr="00672E59">
        <w:rPr>
          <w:rFonts w:ascii="Times New Roman" w:eastAsia="Times New Roman" w:hAnsi="Times New Roman" w:cs="Times New Roman"/>
          <w:i/>
          <w:iCs/>
        </w:rPr>
        <w:t>rpo</w:t>
      </w:r>
      <w:r w:rsidRPr="00672E59">
        <w:rPr>
          <w:rFonts w:ascii="Times New Roman" w:eastAsia="Times New Roman" w:hAnsi="Times New Roman" w:cs="Times New Roman"/>
        </w:rPr>
        <w:t xml:space="preserve">C1, and </w:t>
      </w:r>
      <w:r w:rsidRPr="00672E59">
        <w:rPr>
          <w:rFonts w:ascii="Times New Roman" w:eastAsia="Times New Roman" w:hAnsi="Times New Roman" w:cs="Times New Roman"/>
          <w:i/>
          <w:iCs/>
        </w:rPr>
        <w:t>rpo</w:t>
      </w:r>
      <w:r w:rsidRPr="00672E59">
        <w:rPr>
          <w:rFonts w:ascii="Times New Roman" w:eastAsia="Times New Roman" w:hAnsi="Times New Roman" w:cs="Times New Roman"/>
        </w:rPr>
        <w:t>C2), including the two studied cultivars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hybrid ‘</w:t>
      </w:r>
      <w:proofErr w:type="spellStart"/>
      <w:r w:rsidRPr="00672E59">
        <w:rPr>
          <w:rFonts w:ascii="Times New Roman" w:eastAsia="Times New Roman" w:hAnsi="Times New Roman" w:cs="Times New Roman"/>
        </w:rPr>
        <w:t>Kidang</w:t>
      </w:r>
      <w:proofErr w:type="spellEnd"/>
      <w:r w:rsidRPr="00672E59">
        <w:rPr>
          <w:rFonts w:ascii="Times New Roman" w:eastAsia="Times New Roman" w:hAnsi="Times New Roman" w:cs="Times New Roman"/>
        </w:rPr>
        <w:t xml:space="preserve"> </w:t>
      </w:r>
      <w:proofErr w:type="spellStart"/>
      <w:r w:rsidRPr="00672E59">
        <w:rPr>
          <w:rFonts w:ascii="Times New Roman" w:eastAsia="Times New Roman" w:hAnsi="Times New Roman" w:cs="Times New Roman"/>
        </w:rPr>
        <w:t>Kencana</w:t>
      </w:r>
      <w:proofErr w:type="spellEnd"/>
      <w:r w:rsidRPr="00672E59">
        <w:rPr>
          <w:rFonts w:ascii="Times New Roman" w:eastAsia="Times New Roman" w:hAnsi="Times New Roman" w:cs="Times New Roman"/>
        </w:rPr>
        <w:t>’ and ‘</w:t>
      </w:r>
      <w:proofErr w:type="spellStart"/>
      <w:r w:rsidRPr="00672E59">
        <w:rPr>
          <w:rFonts w:ascii="Times New Roman" w:eastAsia="Times New Roman" w:hAnsi="Times New Roman" w:cs="Times New Roman"/>
        </w:rPr>
        <w:t>Bululawang</w:t>
      </w:r>
      <w:proofErr w:type="spellEnd"/>
      <w:r w:rsidRPr="00672E59">
        <w:rPr>
          <w:rFonts w:ascii="Times New Roman" w:eastAsia="Times New Roman" w:hAnsi="Times New Roman" w:cs="Times New Roman"/>
        </w:rPr>
        <w:t xml:space="preserve">’), as well as related </w:t>
      </w:r>
      <w:r w:rsidRPr="00672E59">
        <w:rPr>
          <w:rFonts w:ascii="Times New Roman" w:eastAsia="Times New Roman" w:hAnsi="Times New Roman" w:cs="Times New Roman"/>
          <w:i/>
          <w:iCs/>
        </w:rPr>
        <w:t xml:space="preserve">Saccharum </w:t>
      </w:r>
      <w:r w:rsidRPr="00672E59">
        <w:rPr>
          <w:rFonts w:ascii="Times New Roman" w:eastAsia="Times New Roman" w:hAnsi="Times New Roman" w:cs="Times New Roman"/>
        </w:rPr>
        <w:t>species and an outgroup. The tree was inferred using both Maximum Likelihood (ML) and Bayesian Inference (BI) methods, which produced a consistent topology with strong statistical support across most nodes (</w:t>
      </w:r>
      <w:r w:rsidRPr="00A652DE">
        <w:rPr>
          <w:rFonts w:ascii="Times New Roman" w:eastAsia="Times New Roman" w:hAnsi="Times New Roman" w:cs="Times New Roman"/>
        </w:rPr>
        <w:t>Fig. 5</w:t>
      </w:r>
      <w:r w:rsidRPr="00672E59">
        <w:rPr>
          <w:rFonts w:ascii="Times New Roman" w:eastAsia="Times New Roman" w:hAnsi="Times New Roman" w:cs="Times New Roman"/>
        </w:rPr>
        <w:t>).</w:t>
      </w:r>
    </w:p>
    <w:p w14:paraId="095E2040" w14:textId="77777777" w:rsidR="00531003" w:rsidRPr="00672E59" w:rsidRDefault="00531003" w:rsidP="00531003">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 xml:space="preserve">The phylogenetic tree robustly resolved all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accessions into a well-supported monophyletic clade, indicating a shared evolutionary origin of the </w:t>
      </w:r>
      <w:proofErr w:type="spellStart"/>
      <w:r w:rsidRPr="00672E59">
        <w:rPr>
          <w:rFonts w:ascii="Times New Roman" w:eastAsia="Times New Roman" w:hAnsi="Times New Roman" w:cs="Times New Roman"/>
          <w:i/>
          <w:iCs/>
        </w:rPr>
        <w:t>rpo</w:t>
      </w:r>
      <w:proofErr w:type="spellEnd"/>
      <w:r w:rsidRPr="00672E59">
        <w:rPr>
          <w:rFonts w:ascii="Times New Roman" w:eastAsia="Times New Roman" w:hAnsi="Times New Roman" w:cs="Times New Roman"/>
        </w:rPr>
        <w:t xml:space="preserve"> gene family within the genus. Within this clade, the two studied cultivars,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hybrid ‘</w:t>
      </w:r>
      <w:proofErr w:type="spellStart"/>
      <w:r w:rsidRPr="00672E59">
        <w:rPr>
          <w:rFonts w:ascii="Times New Roman" w:eastAsia="Times New Roman" w:hAnsi="Times New Roman" w:cs="Times New Roman"/>
        </w:rPr>
        <w:t>Kidang</w:t>
      </w:r>
      <w:proofErr w:type="spellEnd"/>
      <w:r w:rsidRPr="00672E59">
        <w:rPr>
          <w:rFonts w:ascii="Times New Roman" w:eastAsia="Times New Roman" w:hAnsi="Times New Roman" w:cs="Times New Roman"/>
        </w:rPr>
        <w:t xml:space="preserve"> </w:t>
      </w:r>
      <w:proofErr w:type="spellStart"/>
      <w:r w:rsidRPr="00672E59">
        <w:rPr>
          <w:rFonts w:ascii="Times New Roman" w:eastAsia="Times New Roman" w:hAnsi="Times New Roman" w:cs="Times New Roman"/>
        </w:rPr>
        <w:t>Kencana</w:t>
      </w:r>
      <w:proofErr w:type="spellEnd"/>
      <w:r w:rsidRPr="00672E59">
        <w:rPr>
          <w:rFonts w:ascii="Times New Roman" w:eastAsia="Times New Roman" w:hAnsi="Times New Roman" w:cs="Times New Roman"/>
        </w:rPr>
        <w:t>’ and ‘</w:t>
      </w:r>
      <w:proofErr w:type="spellStart"/>
      <w:r w:rsidRPr="00672E59">
        <w:rPr>
          <w:rFonts w:ascii="Times New Roman" w:eastAsia="Times New Roman" w:hAnsi="Times New Roman" w:cs="Times New Roman"/>
        </w:rPr>
        <w:t>Bululawang</w:t>
      </w:r>
      <w:proofErr w:type="spellEnd"/>
      <w:r w:rsidRPr="00672E59">
        <w:rPr>
          <w:rFonts w:ascii="Times New Roman" w:eastAsia="Times New Roman" w:hAnsi="Times New Roman" w:cs="Times New Roman"/>
        </w:rPr>
        <w:t>’, were clearly positioned within the modern hybrid lineage. Both cultivars clustered tightly with other commercial hybrids, including ‘GXASF1’, ‘</w:t>
      </w:r>
      <w:proofErr w:type="spellStart"/>
      <w:r w:rsidRPr="00672E59">
        <w:rPr>
          <w:rFonts w:ascii="Times New Roman" w:eastAsia="Times New Roman" w:hAnsi="Times New Roman" w:cs="Times New Roman"/>
        </w:rPr>
        <w:t>NCo</w:t>
      </w:r>
      <w:proofErr w:type="spellEnd"/>
      <w:r w:rsidRPr="00672E59">
        <w:rPr>
          <w:rFonts w:ascii="Times New Roman" w:eastAsia="Times New Roman" w:hAnsi="Times New Roman" w:cs="Times New Roman"/>
        </w:rPr>
        <w:t xml:space="preserve"> 310’, ‘Q155’, and ‘Q165’, forming a strongly supported subclade (ML = 100%; BI = 1.00). The short branch lengths observed within this group indicate minimal sequence divergence among hybrid accessions, reflecting a high degree of conservation in the</w:t>
      </w:r>
      <w:r w:rsidRPr="00672E59">
        <w:rPr>
          <w:rFonts w:ascii="Times New Roman" w:eastAsia="Times New Roman" w:hAnsi="Times New Roman" w:cs="Times New Roman"/>
          <w:i/>
          <w:iCs/>
        </w:rPr>
        <w:t xml:space="preserve"> </w:t>
      </w:r>
      <w:proofErr w:type="spellStart"/>
      <w:r w:rsidRPr="00672E59">
        <w:rPr>
          <w:rFonts w:ascii="Times New Roman" w:eastAsia="Times New Roman" w:hAnsi="Times New Roman" w:cs="Times New Roman"/>
          <w:i/>
          <w:iCs/>
        </w:rPr>
        <w:t>rpo</w:t>
      </w:r>
      <w:proofErr w:type="spellEnd"/>
      <w:r w:rsidRPr="00672E59">
        <w:rPr>
          <w:rFonts w:ascii="Times New Roman" w:eastAsia="Times New Roman" w:hAnsi="Times New Roman" w:cs="Times New Roman"/>
          <w:i/>
          <w:iCs/>
        </w:rPr>
        <w:t xml:space="preserve"> </w:t>
      </w:r>
      <w:r w:rsidRPr="00672E59">
        <w:rPr>
          <w:rFonts w:ascii="Times New Roman" w:eastAsia="Times New Roman" w:hAnsi="Times New Roman" w:cs="Times New Roman"/>
        </w:rPr>
        <w:t xml:space="preserve">genes. This pattern is consistent with the shared genetic background and relatively narrow diversity of modern sugarcane cultivars derived from interspecific hybridization </w:t>
      </w:r>
      <w:r w:rsidRPr="00672E5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{"citationItems":[{"id":"ITEM-1","itemData":{"DOI":"10.1007/s12355-021-01065-4","ISSN":"09740740","abstract":"Currently, genome analysis has become a routine component of molecular breeding of major crops. Today’s commercial sugarcane hybrids are the products of breeding over one hundred years with the starting clones produced by crossing two founding species (Saccharum officinarum and S. spontaneum) in India and Indonesia. Current sugarcane varieties have a highly complex and large genome with 100–130 chromosomes. Despite the complexity and size of the genome, considerable progress has recently been made in sugarcane genomics, including the sequencing of a haploid S. spontaneum, AP85-441 and sugarcane cultivar hybrids R570 and SP80-3280. AP85-441 genome is assembled to chromosome level and allele-defined. Significant progress also has been made in genetic research of important agronomic traits. Here, we outline these advances in order to provide a reference for future sugarcane genomics and genetics research.","author":[{"dropping-particle":"","family":"Wang","given":"Tianyou","non-dropping-particle":"","parse-names":false,"suffix":""},{"dropping-particle":"","family":"Fang","given":"Jingping","non-dropping-particle":"","parse-names":false,"suffix":""},{"dropping-particle":"","family":"Zhang","given":"Jisen","non-dropping-particle":"","parse-names":false,"suffix":""}],"container-title":"Sugar Tech","id":"ITEM-1","issue":"1","issued":{"date-parts":[["2022","2","1"]]},"page":"354-368","publisher":"Springer","title":"Advances in Sugarcane Genomics and Genetics","type":"article","volume":"24"},"uris":["http://www.mendeley.com/documents/?uuid=e7149de7-118b-3eee-9c11-c016744dca8b"]}],"mendeley":{"formattedCitation":"(Wang et al., 2022)","plainTextFormattedCitation":"(Wang et al., 2022)","previouslyFormattedCitation":"[50]"},"properties":{"noteIndex":0},"schema":"https://github.com/citation-style-language/schema/raw/master/csl-citation.json"}</w:instrText>
      </w:r>
      <w:r w:rsidRPr="00672E59">
        <w:rPr>
          <w:rFonts w:ascii="Times New Roman" w:eastAsia="Times New Roman" w:hAnsi="Times New Roman" w:cs="Times New Roman"/>
        </w:rPr>
        <w:fldChar w:fldCharType="separate"/>
      </w:r>
      <w:r w:rsidRPr="00A652DE">
        <w:rPr>
          <w:rFonts w:ascii="Times New Roman" w:eastAsia="Times New Roman" w:hAnsi="Times New Roman" w:cs="Times New Roman"/>
          <w:noProof/>
        </w:rPr>
        <w:t>(Wang et al., 2022)</w:t>
      </w:r>
      <w:r w:rsidRPr="00672E59">
        <w:rPr>
          <w:rFonts w:ascii="Times New Roman" w:eastAsia="Times New Roman" w:hAnsi="Times New Roman" w:cs="Times New Roman"/>
        </w:rPr>
        <w:fldChar w:fldCharType="end"/>
      </w:r>
      <w:r w:rsidRPr="00672E59">
        <w:rPr>
          <w:rFonts w:ascii="Times New Roman" w:eastAsia="Times New Roman" w:hAnsi="Times New Roman" w:cs="Times New Roman"/>
        </w:rPr>
        <w:t>.</w:t>
      </w:r>
    </w:p>
    <w:p w14:paraId="7B07EBEC" w14:textId="77777777" w:rsidR="00531003" w:rsidRPr="00672E59" w:rsidRDefault="00531003" w:rsidP="00531003">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 xml:space="preserve">Within the broader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clade, several </w:t>
      </w:r>
      <w:r w:rsidRPr="00672E59">
        <w:rPr>
          <w:rFonts w:ascii="Times New Roman" w:eastAsia="Times New Roman" w:hAnsi="Times New Roman" w:cs="Times New Roman"/>
          <w:i/>
          <w:iCs/>
        </w:rPr>
        <w:t>Saccharum officinarum</w:t>
      </w:r>
      <w:r w:rsidRPr="00672E59">
        <w:rPr>
          <w:rFonts w:ascii="Times New Roman" w:eastAsia="Times New Roman" w:hAnsi="Times New Roman" w:cs="Times New Roman"/>
        </w:rPr>
        <w:t xml:space="preserve"> accessions were positioned in close proximity to, or intermixed with, the hybrid clade. This pattern is consistent with the breeding history of modern sugarcane, in which interspecific hybrids derived from </w:t>
      </w:r>
      <w:r w:rsidRPr="00672E59">
        <w:rPr>
          <w:rFonts w:ascii="Times New Roman" w:eastAsia="Times New Roman" w:hAnsi="Times New Roman" w:cs="Times New Roman"/>
          <w:i/>
          <w:iCs/>
        </w:rPr>
        <w:t>S. officinarum</w:t>
      </w:r>
      <w:r w:rsidRPr="00672E59">
        <w:rPr>
          <w:rFonts w:ascii="Times New Roman" w:eastAsia="Times New Roman" w:hAnsi="Times New Roman" w:cs="Times New Roman"/>
        </w:rPr>
        <w:t xml:space="preserve"> and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spontaneum</w:t>
      </w:r>
      <w:proofErr w:type="spellEnd"/>
      <w:r w:rsidRPr="00672E59">
        <w:rPr>
          <w:rFonts w:ascii="Times New Roman" w:eastAsia="Times New Roman" w:hAnsi="Times New Roman" w:cs="Times New Roman"/>
        </w:rPr>
        <w:t xml:space="preserve"> have undergone repeated backcrossing to </w:t>
      </w:r>
      <w:r w:rsidRPr="00672E59">
        <w:rPr>
          <w:rFonts w:ascii="Times New Roman" w:eastAsia="Times New Roman" w:hAnsi="Times New Roman" w:cs="Times New Roman"/>
          <w:i/>
          <w:iCs/>
        </w:rPr>
        <w:t>S. officinarum</w:t>
      </w:r>
      <w:r w:rsidRPr="00672E59">
        <w:rPr>
          <w:rFonts w:ascii="Times New Roman" w:eastAsia="Times New Roman" w:hAnsi="Times New Roman" w:cs="Times New Roman"/>
        </w:rPr>
        <w:t xml:space="preserve"> to recover desirable agronomic traits. As a result, modern cultivars retain a substantial proportion of the </w:t>
      </w:r>
      <w:r w:rsidRPr="00672E59">
        <w:rPr>
          <w:rFonts w:ascii="Times New Roman" w:eastAsia="Times New Roman" w:hAnsi="Times New Roman" w:cs="Times New Roman"/>
          <w:i/>
          <w:iCs/>
        </w:rPr>
        <w:t>S. officinarum</w:t>
      </w:r>
      <w:r w:rsidRPr="00672E59">
        <w:rPr>
          <w:rFonts w:ascii="Times New Roman" w:eastAsia="Times New Roman" w:hAnsi="Times New Roman" w:cs="Times New Roman"/>
        </w:rPr>
        <w:t xml:space="preserve"> genome, which likely contributes to their close phylogenetic affinity and partial clustering within the same clade. In contrast,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spontaneum</w:t>
      </w:r>
      <w:proofErr w:type="spellEnd"/>
      <w:r w:rsidRPr="00672E59">
        <w:rPr>
          <w:rFonts w:ascii="Times New Roman" w:eastAsia="Times New Roman" w:hAnsi="Times New Roman" w:cs="Times New Roman"/>
        </w:rPr>
        <w:t xml:space="preserve"> accessions were resolved as a distinct sister clade, indicating a more divergent evolutionary lineage while remaining an important genetic contributor to hybrid cultivars. The separation between </w:t>
      </w:r>
      <w:r w:rsidRPr="00672E59">
        <w:rPr>
          <w:rFonts w:ascii="Times New Roman" w:eastAsia="Times New Roman" w:hAnsi="Times New Roman" w:cs="Times New Roman"/>
          <w:i/>
          <w:iCs/>
        </w:rPr>
        <w:t>S. officinarum</w:t>
      </w:r>
      <w:r w:rsidRPr="00672E59">
        <w:rPr>
          <w:rFonts w:ascii="Times New Roman" w:eastAsia="Times New Roman" w:hAnsi="Times New Roman" w:cs="Times New Roman"/>
        </w:rPr>
        <w:t xml:space="preserve"> and </w:t>
      </w:r>
      <w:r w:rsidRPr="00672E59">
        <w:rPr>
          <w:rFonts w:ascii="Times New Roman" w:eastAsia="Times New Roman" w:hAnsi="Times New Roman" w:cs="Times New Roman"/>
          <w:i/>
          <w:iCs/>
        </w:rPr>
        <w:t xml:space="preserve">S. </w:t>
      </w:r>
      <w:proofErr w:type="spellStart"/>
      <w:r w:rsidRPr="00672E59">
        <w:rPr>
          <w:rFonts w:ascii="Times New Roman" w:eastAsia="Times New Roman" w:hAnsi="Times New Roman" w:cs="Times New Roman"/>
          <w:i/>
          <w:iCs/>
        </w:rPr>
        <w:t>spontaneum</w:t>
      </w:r>
      <w:proofErr w:type="spellEnd"/>
      <w:r w:rsidRPr="00672E59">
        <w:rPr>
          <w:rFonts w:ascii="Times New Roman" w:eastAsia="Times New Roman" w:hAnsi="Times New Roman" w:cs="Times New Roman"/>
        </w:rPr>
        <w:t xml:space="preserve"> </w:t>
      </w:r>
      <w:r w:rsidRPr="00672E59">
        <w:rPr>
          <w:rFonts w:ascii="Times New Roman" w:eastAsia="Times New Roman" w:hAnsi="Times New Roman" w:cs="Times New Roman"/>
        </w:rPr>
        <w:lastRenderedPageBreak/>
        <w:t xml:space="preserve">lineages is supported by moderate to high node support values, suggesting clear phylogenetic differentiation despite their shared role in hybrid formation </w:t>
      </w:r>
      <w:r w:rsidRPr="00672E5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{"citationItems":[{"id":"ITEM-1","itemData":{"author":[{"dropping-particle":"","family":"Paterson","given":"","non-dropping-particle":"","parse-names":false,"suffix":""}],"editor":[{"dropping-particle":"","family":"Jorgensen A Richard","given":"","non-dropping-particle":"","parse-names":false,"suffix":""}],"id":"ITEM-1","issued":{"date-parts":[["2013"]]},"number-of-pages":"1-567","publisher":"Springer","publisher-place":"Athens, GA, USA","title":"Genomics of the Saccharinae","type":"book","volume":"11"},"uris":["http://www.mendeley.com/documents/?uuid=e4e4ac55-94e9-3a67-af2b-58c5e38f4de3"]},{"id":"ITEM-2","itemData":{"DOI":"10.1111/aab.12855","ISSN":"0003-4746","abstract":"&lt;p&gt; The modern cultivars of sugarcane ( &lt;italic&gt;Saccharum&lt;/italic&gt; spp.) are highly polyploid and accumulate aneuploidies due to their history of domestication, genetic improvement and interspecific hybrid origin involving the domesticated sweet species &lt;italic&gt;Saccharum officinarum&lt;/italic&gt; (‘noble cane’) and the wild &lt;italic&gt;Saccharum spontaneum&lt;/italic&gt; , both with an evolutionary history of polyploidy. The first hybrids were backcrossed with &lt;italic&gt;S. officinarum&lt;/italic&gt; , and selection from progenies in subsequent generations established the genetic basis of modern cultivars. &lt;italic&gt;Saccharum&lt;/italic&gt; genome complexity has inspired several molecular studies that have elucidated aspects of sugarcane genome constitution, architecture and cytogenetics. Herein, we conducted a comparative analysis of the meiotic behaviour of representatives of the parentals &lt;italic&gt;S. officinarum&lt;/italic&gt; and &lt;italic&gt;S. spontaneum&lt;/italic&gt; , and the commercial variety, SP80‐3280. &lt;italic&gt;S. officinarum&lt;/italic&gt; , an octoploid species, exhibited regular meiotic behaviour. In contrast, &lt;italic&gt;S. spontaneum&lt;/italic&gt; and SP80‐3280 exhibited several abnormalities from metaphase I to the end of division. We reported and typified, for the first time, the occurrence of peri‐ and paracentric inversions. Using in‐situ hybridisation techniques, we were able to determine how pairing association occurred at diakinesis, the origin of lagging chromosomes and, in particular, the mitotic chromosome composition of SP80‐3280. Interestingly, &lt;italic&gt;S. spontaneum&lt;/italic&gt; and recombinant chromosomes showed the most marked tendency to produce laggards in both divisions. Future attempts to advance knowledge on sugarcane genetics and genomics should take meiotic chromosome behaviour information into account. &lt;/p&gt;","author":[{"dropping-particle":"","family":"Oliveira","given":"Gleicy Kelly","non-dropping-particle":"","parse-names":false,"suffix":""},{"dropping-particle":"","family":"Soares","given":"Nina Reis","non-dropping-particle":"","parse-names":false,"suffix":""},{"dropping-particle":"","family":"Costa","given":"Zirlane Portugal","non-dropping-particle":"","parse-names":false,"suffix":""},{"dropping-particle":"","family":"Almeida","given":"Carmelice Boff","non-dropping-particle":"","parse-names":false,"suffix":""},{"dropping-particle":"","family":"Machado","given":"Raquel Moura","non-dropping-particle":"","parse-names":false,"suffix":""},{"dropping-particle":"","family":"Mesquita","given":"Amanda Teixeira","non-dropping-particle":"","parse-names":false,"suffix":""},{"dropping-particle":"","family":"Carneiro","given":"Monalisa Sampaio","non-dropping-particle":"","parse-names":false,"suffix":""},{"dropping-particle":"","family":"Forni‐Martins","given":"Eliana R.","non-dropping-particle":"","parse-names":false,"suffix":""},{"dropping-particle":"","family":"Mondin","given":"Mateus","non-dropping-particle":"","parse-names":false,"suffix":""},{"dropping-particle":"","family":"Vieira","given":"Maria Lucia Carneiro","non-dropping-particle":"","parse-names":false,"suffix":""}],"container-title":"Annals of Applied Biology","id":"ITEM-2","issue":"3","issued":{"date-parts":[["2023","11"]]},"page":"271-286","title":"Meiotic abnormalities in sugarcane ( &lt;i&gt;Saccharum&lt;/i&gt; spp.) and parental species: Evidence for peri‐ and paracentric inversions","type":"article-journal","volume":"183"},"uris":["http://www.mendeley.com/documents/?uuid=ddec63a8-5ce8-3d40-9679-6067ba1f962c"]}],"mendeley":{"formattedCitation":"(Oliveira et al., 2023; Paterson, 2013)","plainTextFormattedCitation":"(Oliveira et al., 2023; Paterson, 2013)","previouslyFormattedCitation":"[51, 52]"},"properties":{"noteIndex":0},"schema":"https://github.com/citation-style-language/schema/raw/master/csl-citation.json"}</w:instrText>
      </w:r>
      <w:r w:rsidRPr="00672E59">
        <w:rPr>
          <w:rFonts w:ascii="Times New Roman" w:eastAsia="Times New Roman" w:hAnsi="Times New Roman" w:cs="Times New Roman"/>
        </w:rPr>
        <w:fldChar w:fldCharType="separate"/>
      </w:r>
      <w:r w:rsidRPr="00A652DE">
        <w:rPr>
          <w:rFonts w:ascii="Times New Roman" w:eastAsia="Times New Roman" w:hAnsi="Times New Roman" w:cs="Times New Roman"/>
          <w:noProof/>
        </w:rPr>
        <w:t>(Oliveira et al., 2023; Paterson, 2013)</w:t>
      </w:r>
      <w:r w:rsidRPr="00672E59">
        <w:rPr>
          <w:rFonts w:ascii="Times New Roman" w:eastAsia="Times New Roman" w:hAnsi="Times New Roman" w:cs="Times New Roman"/>
        </w:rPr>
        <w:fldChar w:fldCharType="end"/>
      </w:r>
      <w:r w:rsidRPr="00672E59">
        <w:rPr>
          <w:rFonts w:ascii="Times New Roman" w:eastAsia="Times New Roman" w:hAnsi="Times New Roman" w:cs="Times New Roman"/>
        </w:rPr>
        <w:t>.</w:t>
      </w:r>
    </w:p>
    <w:p w14:paraId="79F2B12B" w14:textId="77777777" w:rsidR="00531003" w:rsidRPr="00672E59" w:rsidRDefault="00531003" w:rsidP="00531003">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 xml:space="preserve">More distantly related taxa, including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barberi</w:t>
      </w:r>
      <w:proofErr w:type="spellEnd"/>
      <w:r w:rsidRPr="00672E59">
        <w:rPr>
          <w:rFonts w:ascii="Times New Roman" w:eastAsia="Times New Roman" w:hAnsi="Times New Roman" w:cs="Times New Roman"/>
        </w:rPr>
        <w:t xml:space="preserve">,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longisetosum</w:t>
      </w:r>
      <w:proofErr w:type="spellEnd"/>
      <w:r w:rsidRPr="00672E59">
        <w:rPr>
          <w:rFonts w:ascii="Times New Roman" w:eastAsia="Times New Roman" w:hAnsi="Times New Roman" w:cs="Times New Roman"/>
        </w:rPr>
        <w:t xml:space="preserve">,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fulvum</w:t>
      </w:r>
      <w:proofErr w:type="spellEnd"/>
      <w:r w:rsidRPr="00672E59">
        <w:rPr>
          <w:rFonts w:ascii="Times New Roman" w:eastAsia="Times New Roman" w:hAnsi="Times New Roman" w:cs="Times New Roman"/>
        </w:rPr>
        <w:t xml:space="preserve">, and </w:t>
      </w:r>
      <w:r w:rsidRPr="00672E59">
        <w:rPr>
          <w:rFonts w:ascii="Times New Roman" w:eastAsia="Times New Roman" w:hAnsi="Times New Roman" w:cs="Times New Roman"/>
          <w:i/>
          <w:iCs/>
        </w:rPr>
        <w:t xml:space="preserve">Saccharum </w:t>
      </w:r>
      <w:proofErr w:type="spellStart"/>
      <w:r w:rsidRPr="00672E59">
        <w:rPr>
          <w:rFonts w:ascii="Times New Roman" w:eastAsia="Times New Roman" w:hAnsi="Times New Roman" w:cs="Times New Roman"/>
          <w:i/>
          <w:iCs/>
        </w:rPr>
        <w:t>narenga</w:t>
      </w:r>
      <w:proofErr w:type="spellEnd"/>
      <w:r w:rsidRPr="00672E59">
        <w:rPr>
          <w:rFonts w:ascii="Times New Roman" w:eastAsia="Times New Roman" w:hAnsi="Times New Roman" w:cs="Times New Roman"/>
        </w:rPr>
        <w:t xml:space="preserve">, were positioned outside the main hybrid progenitor cluster and exhibited relatively longer branch lengths, indicative of greater evolutionary divergence. Notably, </w:t>
      </w:r>
      <w:r w:rsidRPr="00672E59">
        <w:rPr>
          <w:rFonts w:ascii="Times New Roman" w:eastAsia="Times New Roman" w:hAnsi="Times New Roman" w:cs="Times New Roman"/>
          <w:i/>
          <w:iCs/>
        </w:rPr>
        <w:t xml:space="preserve">S. </w:t>
      </w:r>
      <w:proofErr w:type="spellStart"/>
      <w:r w:rsidRPr="00672E59">
        <w:rPr>
          <w:rFonts w:ascii="Times New Roman" w:eastAsia="Times New Roman" w:hAnsi="Times New Roman" w:cs="Times New Roman"/>
          <w:i/>
          <w:iCs/>
        </w:rPr>
        <w:t>barberi</w:t>
      </w:r>
      <w:proofErr w:type="spellEnd"/>
      <w:r w:rsidRPr="00672E59">
        <w:rPr>
          <w:rFonts w:ascii="Times New Roman" w:eastAsia="Times New Roman" w:hAnsi="Times New Roman" w:cs="Times New Roman"/>
        </w:rPr>
        <w:t xml:space="preserve"> displayed a markedly extended branch, consistent with the elevated structural variation observed in the RMSD analysis, particularly for the </w:t>
      </w:r>
      <w:proofErr w:type="spellStart"/>
      <w:r w:rsidRPr="00672E59">
        <w:rPr>
          <w:rFonts w:ascii="Times New Roman" w:eastAsia="Times New Roman" w:hAnsi="Times New Roman" w:cs="Times New Roman"/>
          <w:i/>
          <w:iCs/>
        </w:rPr>
        <w:t>rpo</w:t>
      </w:r>
      <w:r w:rsidRPr="00672E59">
        <w:rPr>
          <w:rFonts w:ascii="Times New Roman" w:eastAsia="Times New Roman" w:hAnsi="Times New Roman" w:cs="Times New Roman"/>
        </w:rPr>
        <w:t>A</w:t>
      </w:r>
      <w:proofErr w:type="spellEnd"/>
      <w:r w:rsidRPr="00672E59">
        <w:rPr>
          <w:rFonts w:ascii="Times New Roman" w:eastAsia="Times New Roman" w:hAnsi="Times New Roman" w:cs="Times New Roman"/>
        </w:rPr>
        <w:t xml:space="preserve"> protein. The outgroup, </w:t>
      </w:r>
      <w:r w:rsidRPr="00672E59">
        <w:rPr>
          <w:rFonts w:ascii="Times New Roman" w:eastAsia="Times New Roman" w:hAnsi="Times New Roman" w:cs="Times New Roman"/>
          <w:i/>
          <w:iCs/>
        </w:rPr>
        <w:t>Miscanthus sinensis</w:t>
      </w:r>
      <w:r w:rsidRPr="00672E59">
        <w:rPr>
          <w:rFonts w:ascii="Times New Roman" w:eastAsia="Times New Roman" w:hAnsi="Times New Roman" w:cs="Times New Roman"/>
        </w:rPr>
        <w:t xml:space="preserve">, was clearly separated from all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taxa with strong support, confirming appropriate tree rooting and the robustness of the inferred topology.</w:t>
      </w:r>
    </w:p>
    <w:p w14:paraId="6E83C950" w14:textId="77777777" w:rsidR="00531003" w:rsidRDefault="00531003" w:rsidP="00531003">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 xml:space="preserve">These results demonstrate that the </w:t>
      </w:r>
      <w:proofErr w:type="spellStart"/>
      <w:r w:rsidRPr="00672E59">
        <w:rPr>
          <w:rFonts w:ascii="Times New Roman" w:eastAsia="Times New Roman" w:hAnsi="Times New Roman" w:cs="Times New Roman"/>
          <w:i/>
          <w:iCs/>
        </w:rPr>
        <w:t>rpo</w:t>
      </w:r>
      <w:proofErr w:type="spellEnd"/>
      <w:r w:rsidRPr="00672E59">
        <w:rPr>
          <w:rFonts w:ascii="Times New Roman" w:eastAsia="Times New Roman" w:hAnsi="Times New Roman" w:cs="Times New Roman"/>
          <w:i/>
          <w:iCs/>
        </w:rPr>
        <w:t xml:space="preserve"> </w:t>
      </w:r>
      <w:r w:rsidRPr="00672E59">
        <w:rPr>
          <w:rFonts w:ascii="Times New Roman" w:eastAsia="Times New Roman" w:hAnsi="Times New Roman" w:cs="Times New Roman"/>
        </w:rPr>
        <w:t xml:space="preserve">gene family is highly conserved across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with limited sequence divergence among modern hybrids. The close phylogenetic association between ‘</w:t>
      </w:r>
      <w:proofErr w:type="spellStart"/>
      <w:r w:rsidRPr="00672E59">
        <w:rPr>
          <w:rFonts w:ascii="Times New Roman" w:eastAsia="Times New Roman" w:hAnsi="Times New Roman" w:cs="Times New Roman"/>
        </w:rPr>
        <w:t>Kidang</w:t>
      </w:r>
      <w:proofErr w:type="spellEnd"/>
      <w:r w:rsidRPr="00672E59">
        <w:rPr>
          <w:rFonts w:ascii="Times New Roman" w:eastAsia="Times New Roman" w:hAnsi="Times New Roman" w:cs="Times New Roman"/>
        </w:rPr>
        <w:t xml:space="preserve"> </w:t>
      </w:r>
      <w:proofErr w:type="spellStart"/>
      <w:r w:rsidRPr="00672E59">
        <w:rPr>
          <w:rFonts w:ascii="Times New Roman" w:eastAsia="Times New Roman" w:hAnsi="Times New Roman" w:cs="Times New Roman"/>
        </w:rPr>
        <w:t>Kencana</w:t>
      </w:r>
      <w:proofErr w:type="spellEnd"/>
      <w:r w:rsidRPr="00672E59">
        <w:rPr>
          <w:rFonts w:ascii="Times New Roman" w:eastAsia="Times New Roman" w:hAnsi="Times New Roman" w:cs="Times New Roman"/>
        </w:rPr>
        <w:t>’, ‘</w:t>
      </w:r>
      <w:proofErr w:type="spellStart"/>
      <w:r w:rsidRPr="00672E59">
        <w:rPr>
          <w:rFonts w:ascii="Times New Roman" w:eastAsia="Times New Roman" w:hAnsi="Times New Roman" w:cs="Times New Roman"/>
        </w:rPr>
        <w:t>Bululawang</w:t>
      </w:r>
      <w:proofErr w:type="spellEnd"/>
      <w:r w:rsidRPr="00672E59">
        <w:rPr>
          <w:rFonts w:ascii="Times New Roman" w:eastAsia="Times New Roman" w:hAnsi="Times New Roman" w:cs="Times New Roman"/>
        </w:rPr>
        <w:t xml:space="preserve">’, and </w:t>
      </w:r>
      <w:r w:rsidRPr="00672E59">
        <w:rPr>
          <w:rFonts w:ascii="Times New Roman" w:eastAsia="Times New Roman" w:hAnsi="Times New Roman" w:cs="Times New Roman"/>
          <w:i/>
          <w:iCs/>
        </w:rPr>
        <w:t>S. officinarum</w:t>
      </w:r>
      <w:r w:rsidRPr="00672E59">
        <w:rPr>
          <w:rFonts w:ascii="Times New Roman" w:eastAsia="Times New Roman" w:hAnsi="Times New Roman" w:cs="Times New Roman"/>
        </w:rPr>
        <w:t xml:space="preserve"> accessions reflects the impact of repeated backcrossing during sugarcane domestication, while the distinct placement of </w:t>
      </w:r>
      <w:r w:rsidRPr="00672E59">
        <w:rPr>
          <w:rFonts w:ascii="Times New Roman" w:eastAsia="Times New Roman" w:hAnsi="Times New Roman" w:cs="Times New Roman"/>
          <w:i/>
          <w:iCs/>
        </w:rPr>
        <w:t xml:space="preserve">S. </w:t>
      </w:r>
      <w:proofErr w:type="spellStart"/>
      <w:r w:rsidRPr="00672E59">
        <w:rPr>
          <w:rFonts w:ascii="Times New Roman" w:eastAsia="Times New Roman" w:hAnsi="Times New Roman" w:cs="Times New Roman"/>
          <w:i/>
          <w:iCs/>
        </w:rPr>
        <w:t>spontaneum</w:t>
      </w:r>
      <w:proofErr w:type="spellEnd"/>
      <w:r w:rsidRPr="00672E59">
        <w:rPr>
          <w:rFonts w:ascii="Times New Roman" w:eastAsia="Times New Roman" w:hAnsi="Times New Roman" w:cs="Times New Roman"/>
        </w:rPr>
        <w:t xml:space="preserve"> highlights its contribution as a genetically divergent progenitor. This overall pattern is consistent with strong purifying selection maintaining the functional integrity of </w:t>
      </w:r>
      <w:proofErr w:type="spellStart"/>
      <w:r w:rsidRPr="00672E59">
        <w:rPr>
          <w:rFonts w:ascii="Times New Roman" w:eastAsia="Times New Roman" w:hAnsi="Times New Roman" w:cs="Times New Roman"/>
          <w:i/>
          <w:iCs/>
        </w:rPr>
        <w:t>rpo</w:t>
      </w:r>
      <w:proofErr w:type="spellEnd"/>
      <w:r w:rsidRPr="00672E59">
        <w:rPr>
          <w:rFonts w:ascii="Times New Roman" w:eastAsia="Times New Roman" w:hAnsi="Times New Roman" w:cs="Times New Roman"/>
        </w:rPr>
        <w:t xml:space="preserve"> genes involved in plastid transcription </w:t>
      </w:r>
      <w:r w:rsidRPr="00672E59">
        <w:rPr>
          <w:rFonts w:ascii="Times New Roman" w:eastAsia="Times New Roman" w:hAnsi="Times New Roman" w:cs="Times New Roman"/>
        </w:rPr>
        <w:fldChar w:fldCharType="begin" w:fldLock="1"/>
      </w:r>
      <w:r>
        <w:rPr>
          <w:rFonts w:ascii="Times New Roman" w:eastAsia="Times New Roman" w:hAnsi="Times New Roman" w:cs="Times New Roman"/>
        </w:rPr>
        <w:instrText>ADDIN CSL_CITATION {"citationItems":[{"id":"ITEM-1","itemData":{"DOI":"10.1038/s41559-023-02268-6","ISSN":"2397334X","PMID":"38177690","abstract":"A long-standing question is to what degree genetic drift and selection drive the divergence in rare accessory gene content between closely related bacteria. Rare genes, including singletons, make up a large proportion of pangenomes (all genes in a set of genomes), but it remains unclear how many such genes are adaptive, deleterious or neutral to their host genome. Estimates of species’ effective population sizes (Ne) are positively associated with pangenome size and fluidity, which has independently been interpreted as evidence for both neutral and adaptive pangenome models. We hypothesized that pseudogenes, used as a neutral reference, could be used to distinguish these models. We find that most functional categories are depleted for rare pseudogenes when a genome encodes only a single intact copy of a gene family. In contrast, transposons are enriched in pseudogenes, suggesting they are mostly neutral or deleterious to the host genome. Thus, even if individual rare accessory genes vary in their effects on host fitness, we can confidently reject a model of entirely neutral or deleterious rare genes. We also define the ratio of singleton intact genes to singleton pseudogenes (si/sp) within a pangenome, compare this measure across 668 prokaryotic species and detect a signal consistent with the adaptive value of many rare accessory genes. Taken together, our work demonstrates that comparing with pseudogenes can improve inferences of the evolutionary forces driving pangenome variation.","author":[{"dropping-particle":"","family":"Douglas","given":"Gavin M.","non-dropping-particle":"","parse-names":false,"suffix":""},{"dropping-particle":"","family":"Shapiro","given":"B. Jesse","non-dropping-particle":"","parse-names":false,"suffix":""}],"container-title":"Nature Ecology and Evolution","id":"ITEM-1","issue":"2","issued":{"date-parts":[["2024","2","1"]]},"page":"304-314","publisher":"Nature Research","title":"Pseudogenes act as a neutral reference for detecting selection in prokaryotic pangenomes","type":"article-journal","volume":"8"},"uris":["http://www.mendeley.com/documents/?uuid=f7318374-6f98-3e32-928a-5723d064bfa1"]},{"id":"ITEM-2","itemData":{"DOI":"10.3389/fpls.2025.1675536","ISSN":"1664462X","abstract":"The study of chloroplast genome evolutionary dynamics provides critical insights into plant adaptive evolution and phylogenetic relationships. This research conducted a systematic comparative analysis of chloroplast genomes across 35 species within the Rutaceae family. All genomes displayed the typical quadripartite structure, with sizes ranging from 155 to 161 kb, GC contents between 38.17% and 38.83%, and gene counts varying from 122 to 144. Structural conservation was high across species, with variations mainly localized at the boundaries of inverted repeat (IR) regions. AT-rich mononucleotide simple sequence repeats (SSRs) were dominant and primarily distributed in non-coding regions. Collinearity analysis revealed high sequence conservation alongside lineage-specific rearrangements. Relative synonymous codon usage (RSCU) analysis revealed significant heterogeneity among species, with values ranging from 0.386 to 1.797. ENC-GC3s, GC3-GC12, and PR2 analyses indicated a marked deviation from neutral evolution. Selection pressure analysis indicated strong purifying selection (Ka/Ks &lt; 0.2) acting on photosynthetic system genes, while certain genes (e.g., matK, rpl20) exhibited signals of positive selection, highlighting adaptive evolutionary features in specific genomic regions. Phylogenetic reconstruction placed Murraya paniculata within a clade containing other Murraya species, closely related to Citrus and Clausena, reflecting morphological and biogeographic patterns. This study provides a molecular framework for taxonomic revision in Rutaceae and enhances understanding of chloroplast genome evolution in the family.","author":[{"dropping-particle":"","family":"Chen","given":"Yichao","non-dropping-particle":"","parse-names":false,"suffix":""},{"dropping-particle":"","family":"Liu","given":"Ningge","non-dropping-particle":"","parse-names":false,"suffix":""},{"dropping-particle":"","family":"Wang","given":"Hong","non-dropping-particle":"","parse-names":false,"suffix":""},{"dropping-particle":"","family":"Luo","given":"Huifeng","non-dropping-particle":"","parse-names":false,"suffix":""},{"dropping-particle":"","family":"Xie","given":"Zhiliang","non-dropping-particle":"","parse-names":false,"suffix":""},{"dropping-particle":"","family":"Yu","given":"Hongao","non-dropping-particle":"","parse-names":false,"suffix":""},{"dropping-particle":"","family":"Chang","given":"Yaojun","non-dropping-particle":"","parse-names":false,"suffix":""},{"dropping-particle":"","family":"Zheng","given":"Bosheng","non-dropping-particle":"","parse-names":false,"suffix":""},{"dropping-particle":"","family":"Zheng","given":"Xinchen","non-dropping-particle":"","parse-names":false,"suffix":""},{"dropping-particle":"","family":"Sheng","given":"Jun","non-dropping-particle":"","parse-names":false,"suffix":""},{"dropping-particle":"","family":"Jiang","given":"Yajie","non-dropping-particle":"","parse-names":false,"suffix":""},{"dropping-particle":"","family":"Ye","given":"Shuzhe","non-dropping-particle":"","parse-names":false,"suffix":""},{"dropping-particle":"","family":"Hua","given":"Yonggang","non-dropping-particle":"","parse-names":false,"suffix":""},{"dropping-particle":"","family":"Ma","given":"Haijie","non-dropping-particle":"","parse-names":false,"suffix":""},{"dropping-particle":"","family":"Li","given":"Fei","non-dropping-particle":"","parse-names":false,"suffix":""}],"container-title":"Frontiers in Plant Science","id":"ITEM-2","issued":{"date-parts":[["2025"]]},"publisher":"Frontiers Media SA","title":"Comparative chloroplast genomics of Rutaceae: structural divergence, adaptive evolution, and phylogenomic implications","type":"article-journal","volume":"16"},"uris":["http://www.mendeley.com/documents/?uuid=103dc1b2-140d-3628-84d4-7faf5162ad87"]}],"mendeley":{"formattedCitation":"(Y. Chen et al., 2025; Douglas &amp; Shapiro, 2024)","manualFormatting":"(Chen et al., 2025; Douglas &amp; Shapiro, 2024)","plainTextFormattedCitation":"(Y. Chen et al., 2025; Douglas &amp; Shapiro, 2024)","previouslyFormattedCitation":"[43, 44]"},"properties":{"noteIndex":0},"schema":"https://github.com/citation-style-language/schema/raw/master/csl-citation.json"}</w:instrText>
      </w:r>
      <w:r w:rsidRPr="00672E59">
        <w:rPr>
          <w:rFonts w:ascii="Times New Roman" w:eastAsia="Times New Roman" w:hAnsi="Times New Roman" w:cs="Times New Roman"/>
        </w:rPr>
        <w:fldChar w:fldCharType="separate"/>
      </w:r>
      <w:r w:rsidRPr="00A652DE">
        <w:rPr>
          <w:rFonts w:ascii="Times New Roman" w:eastAsia="Times New Roman" w:hAnsi="Times New Roman" w:cs="Times New Roman"/>
          <w:noProof/>
        </w:rPr>
        <w:t>(Chen et al., 2025; Douglas &amp; Shapiro, 2024)</w:t>
      </w:r>
      <w:r w:rsidRPr="00672E59">
        <w:rPr>
          <w:rFonts w:ascii="Times New Roman" w:eastAsia="Times New Roman" w:hAnsi="Times New Roman" w:cs="Times New Roman"/>
        </w:rPr>
        <w:fldChar w:fldCharType="end"/>
      </w:r>
      <w:r w:rsidRPr="00672E59">
        <w:rPr>
          <w:rFonts w:ascii="Times New Roman" w:eastAsia="Times New Roman" w:hAnsi="Times New Roman" w:cs="Times New Roman"/>
        </w:rPr>
        <w:t>.</w:t>
      </w:r>
    </w:p>
    <w:p w14:paraId="50CEE44B" w14:textId="77777777" w:rsidR="00531003" w:rsidRDefault="00531003" w:rsidP="00531003">
      <w:pPr>
        <w:spacing w:after="0" w:line="360" w:lineRule="auto"/>
        <w:jc w:val="both"/>
        <w:rPr>
          <w:rFonts w:ascii="Times New Roman" w:eastAsia="Times New Roman" w:hAnsi="Times New Roman" w:cs="Times New Roman"/>
        </w:rPr>
      </w:pPr>
    </w:p>
    <w:p w14:paraId="2C18F02F" w14:textId="77777777" w:rsidR="00531003" w:rsidRPr="00672E59" w:rsidRDefault="00531003" w:rsidP="00531003">
      <w:pPr>
        <w:spacing w:after="0" w:line="360" w:lineRule="auto"/>
        <w:jc w:val="both"/>
        <w:rPr>
          <w:rFonts w:ascii="Times New Roman" w:eastAsia="Times New Roman" w:hAnsi="Times New Roman" w:cs="Times New Roman"/>
          <w:b/>
          <w:bCs/>
        </w:rPr>
      </w:pPr>
      <w:r w:rsidRPr="00672E59">
        <w:rPr>
          <w:rFonts w:ascii="Times New Roman" w:eastAsia="Times New Roman" w:hAnsi="Times New Roman" w:cs="Times New Roman"/>
          <w:b/>
          <w:bCs/>
        </w:rPr>
        <w:t>C</w:t>
      </w:r>
      <w:r>
        <w:rPr>
          <w:rFonts w:ascii="Times New Roman" w:eastAsia="Times New Roman" w:hAnsi="Times New Roman" w:cs="Times New Roman"/>
          <w:b/>
          <w:bCs/>
        </w:rPr>
        <w:t>onclusion</w:t>
      </w:r>
    </w:p>
    <w:p w14:paraId="53C2F3DE" w14:textId="6C91F747" w:rsidR="00531003" w:rsidRDefault="00531003" w:rsidP="00C2161A">
      <w:pPr>
        <w:spacing w:after="0" w:line="360" w:lineRule="auto"/>
        <w:ind w:firstLine="454"/>
        <w:jc w:val="both"/>
        <w:rPr>
          <w:rFonts w:ascii="Times New Roman" w:eastAsia="Times New Roman" w:hAnsi="Times New Roman" w:cs="Times New Roman"/>
        </w:rPr>
      </w:pPr>
      <w:r w:rsidRPr="00672E59">
        <w:rPr>
          <w:rFonts w:ascii="Times New Roman" w:eastAsia="Times New Roman" w:hAnsi="Times New Roman" w:cs="Times New Roman"/>
        </w:rPr>
        <w:t xml:space="preserve">The </w:t>
      </w:r>
      <w:proofErr w:type="spellStart"/>
      <w:r w:rsidRPr="00672E59">
        <w:rPr>
          <w:rFonts w:ascii="Times New Roman" w:eastAsia="Times New Roman" w:hAnsi="Times New Roman" w:cs="Times New Roman"/>
          <w:i/>
          <w:iCs/>
        </w:rPr>
        <w:t>rpo</w:t>
      </w:r>
      <w:proofErr w:type="spellEnd"/>
      <w:r w:rsidRPr="00672E59">
        <w:rPr>
          <w:rFonts w:ascii="Times New Roman" w:eastAsia="Times New Roman" w:hAnsi="Times New Roman" w:cs="Times New Roman"/>
        </w:rPr>
        <w:t xml:space="preserve"> gene family in </w:t>
      </w:r>
      <w:r w:rsidRPr="00672E59">
        <w:rPr>
          <w:rFonts w:ascii="Times New Roman" w:eastAsia="Times New Roman" w:hAnsi="Times New Roman" w:cs="Times New Roman"/>
          <w:i/>
          <w:iCs/>
        </w:rPr>
        <w:t>Saccharum</w:t>
      </w:r>
      <w:r w:rsidRPr="00672E59">
        <w:rPr>
          <w:rFonts w:ascii="Times New Roman" w:eastAsia="Times New Roman" w:hAnsi="Times New Roman" w:cs="Times New Roman"/>
        </w:rPr>
        <w:t xml:space="preserve"> </w:t>
      </w:r>
      <w:r w:rsidR="00D2039D">
        <w:rPr>
          <w:rFonts w:ascii="Times New Roman" w:eastAsia="Times New Roman" w:hAnsi="Times New Roman" w:cs="Times New Roman"/>
        </w:rPr>
        <w:t>barely changes over time</w:t>
      </w:r>
      <w:r w:rsidRPr="00672E59">
        <w:rPr>
          <w:rFonts w:ascii="Times New Roman" w:eastAsia="Times New Roman" w:hAnsi="Times New Roman" w:cs="Times New Roman"/>
        </w:rPr>
        <w:t xml:space="preserve">, </w:t>
      </w:r>
      <w:r w:rsidR="00D00629">
        <w:rPr>
          <w:rFonts w:ascii="Times New Roman" w:eastAsia="Times New Roman" w:hAnsi="Times New Roman" w:cs="Times New Roman"/>
        </w:rPr>
        <w:t>which underscores the importance it holds regarding plastid transcription machinery</w:t>
      </w:r>
      <w:r w:rsidRPr="00672E59">
        <w:rPr>
          <w:rFonts w:ascii="Times New Roman" w:eastAsia="Times New Roman" w:hAnsi="Times New Roman" w:cs="Times New Roman"/>
        </w:rPr>
        <w:t xml:space="preserve">. The </w:t>
      </w:r>
      <w:r w:rsidR="00D00629">
        <w:rPr>
          <w:rFonts w:ascii="Times New Roman" w:eastAsia="Times New Roman" w:hAnsi="Times New Roman" w:cs="Times New Roman"/>
        </w:rPr>
        <w:t>reliability</w:t>
      </w:r>
      <w:r w:rsidRPr="00672E59">
        <w:rPr>
          <w:rFonts w:ascii="Times New Roman" w:eastAsia="Times New Roman" w:hAnsi="Times New Roman" w:cs="Times New Roman"/>
        </w:rPr>
        <w:t xml:space="preserve"> conservation across gene structure, protein architecture, and codon usage underscores the essential role of these genes in maintaining chloroplast function and photosynthetic efficiency. The limited divergence observed between the Indonesian cultivars ‘</w:t>
      </w:r>
      <w:proofErr w:type="spellStart"/>
      <w:r w:rsidRPr="00672E59">
        <w:rPr>
          <w:rFonts w:ascii="Times New Roman" w:eastAsia="Times New Roman" w:hAnsi="Times New Roman" w:cs="Times New Roman"/>
        </w:rPr>
        <w:t>Kidang</w:t>
      </w:r>
      <w:proofErr w:type="spellEnd"/>
      <w:r w:rsidRPr="00672E59">
        <w:rPr>
          <w:rFonts w:ascii="Times New Roman" w:eastAsia="Times New Roman" w:hAnsi="Times New Roman" w:cs="Times New Roman"/>
        </w:rPr>
        <w:t xml:space="preserve"> </w:t>
      </w:r>
      <w:proofErr w:type="spellStart"/>
      <w:r w:rsidRPr="00672E59">
        <w:rPr>
          <w:rFonts w:ascii="Times New Roman" w:eastAsia="Times New Roman" w:hAnsi="Times New Roman" w:cs="Times New Roman"/>
        </w:rPr>
        <w:t>Kencana</w:t>
      </w:r>
      <w:proofErr w:type="spellEnd"/>
      <w:r w:rsidRPr="00672E59">
        <w:rPr>
          <w:rFonts w:ascii="Times New Roman" w:eastAsia="Times New Roman" w:hAnsi="Times New Roman" w:cs="Times New Roman"/>
        </w:rPr>
        <w:t>’ and ‘</w:t>
      </w:r>
      <w:proofErr w:type="spellStart"/>
      <w:r w:rsidRPr="00672E59">
        <w:rPr>
          <w:rFonts w:ascii="Times New Roman" w:eastAsia="Times New Roman" w:hAnsi="Times New Roman" w:cs="Times New Roman"/>
        </w:rPr>
        <w:t>Bululawang</w:t>
      </w:r>
      <w:proofErr w:type="spellEnd"/>
      <w:r w:rsidRPr="00672E59">
        <w:rPr>
          <w:rFonts w:ascii="Times New Roman" w:eastAsia="Times New Roman" w:hAnsi="Times New Roman" w:cs="Times New Roman"/>
        </w:rPr>
        <w:t xml:space="preserve">’ further highlights the narrow genetic base of modern sugarcane hybrids shaped by intensive breeding and </w:t>
      </w:r>
      <w:r w:rsidR="00D00629">
        <w:rPr>
          <w:rFonts w:ascii="Times New Roman" w:eastAsia="Times New Roman" w:hAnsi="Times New Roman" w:cs="Times New Roman"/>
        </w:rPr>
        <w:t xml:space="preserve">continual </w:t>
      </w:r>
      <w:r w:rsidRPr="00672E59">
        <w:rPr>
          <w:rFonts w:ascii="Times New Roman" w:eastAsia="Times New Roman" w:hAnsi="Times New Roman" w:cs="Times New Roman"/>
        </w:rPr>
        <w:t xml:space="preserve">backcrossing. Notably, localized structural variability in </w:t>
      </w:r>
      <w:r w:rsidRPr="00672E59">
        <w:rPr>
          <w:rFonts w:ascii="Times New Roman" w:eastAsia="Times New Roman" w:hAnsi="Times New Roman" w:cs="Times New Roman"/>
          <w:i/>
          <w:iCs/>
        </w:rPr>
        <w:t>rpo</w:t>
      </w:r>
      <w:r w:rsidRPr="00672E59">
        <w:rPr>
          <w:rFonts w:ascii="Times New Roman" w:eastAsia="Times New Roman" w:hAnsi="Times New Roman" w:cs="Times New Roman"/>
        </w:rPr>
        <w:t xml:space="preserve">C2 </w:t>
      </w:r>
      <w:r w:rsidR="00FF6193">
        <w:rPr>
          <w:rFonts w:ascii="Times New Roman" w:eastAsia="Times New Roman" w:hAnsi="Times New Roman" w:cs="Times New Roman"/>
        </w:rPr>
        <w:t>implies</w:t>
      </w:r>
      <w:r w:rsidRPr="00672E59">
        <w:rPr>
          <w:rFonts w:ascii="Times New Roman" w:eastAsia="Times New Roman" w:hAnsi="Times New Roman" w:cs="Times New Roman"/>
        </w:rPr>
        <w:t xml:space="preserve"> that functional flexibility </w:t>
      </w:r>
      <w:r w:rsidR="00FF6193">
        <w:rPr>
          <w:rFonts w:ascii="Times New Roman" w:eastAsia="Times New Roman" w:hAnsi="Times New Roman" w:cs="Times New Roman"/>
        </w:rPr>
        <w:t xml:space="preserve">may occur in </w:t>
      </w:r>
      <w:r w:rsidR="00972E10">
        <w:rPr>
          <w:rFonts w:ascii="Times New Roman" w:eastAsia="Times New Roman" w:hAnsi="Times New Roman" w:cs="Times New Roman"/>
        </w:rPr>
        <w:t>conjunction</w:t>
      </w:r>
      <w:r w:rsidRPr="00672E59">
        <w:rPr>
          <w:rFonts w:ascii="Times New Roman" w:eastAsia="Times New Roman" w:hAnsi="Times New Roman" w:cs="Times New Roman"/>
        </w:rPr>
        <w:t xml:space="preserve"> with overall conservation, potentially facilitating inter</w:t>
      </w:r>
      <w:r w:rsidR="00FF6193">
        <w:rPr>
          <w:rFonts w:ascii="Times New Roman" w:eastAsia="Times New Roman" w:hAnsi="Times New Roman" w:cs="Times New Roman"/>
        </w:rPr>
        <w:t>play</w:t>
      </w:r>
      <w:r w:rsidRPr="00672E59">
        <w:rPr>
          <w:rFonts w:ascii="Times New Roman" w:eastAsia="Times New Roman" w:hAnsi="Times New Roman" w:cs="Times New Roman"/>
        </w:rPr>
        <w:t xml:space="preserve"> within the PEP complex. </w:t>
      </w:r>
      <w:r w:rsidR="00C2161A">
        <w:rPr>
          <w:rFonts w:ascii="Times New Roman" w:eastAsia="Times New Roman" w:hAnsi="Times New Roman" w:cs="Times New Roman"/>
        </w:rPr>
        <w:t>T</w:t>
      </w:r>
      <w:r w:rsidR="00C2161A" w:rsidRPr="00C2161A">
        <w:rPr>
          <w:rFonts w:ascii="Times New Roman" w:eastAsia="Times New Roman" w:hAnsi="Times New Roman" w:cs="Times New Roman"/>
        </w:rPr>
        <w:t xml:space="preserve">hese </w:t>
      </w:r>
      <w:r w:rsidR="00C2161A">
        <w:rPr>
          <w:rFonts w:ascii="Times New Roman" w:eastAsia="Times New Roman" w:hAnsi="Times New Roman" w:cs="Times New Roman"/>
        </w:rPr>
        <w:t>discoveries of</w:t>
      </w:r>
      <w:r w:rsidR="00C2161A" w:rsidRPr="00C2161A">
        <w:rPr>
          <w:rFonts w:ascii="Times New Roman" w:eastAsia="Times New Roman" w:hAnsi="Times New Roman" w:cs="Times New Roman"/>
        </w:rPr>
        <w:t xml:space="preserve"> </w:t>
      </w:r>
      <w:proofErr w:type="spellStart"/>
      <w:r w:rsidR="00C2161A" w:rsidRPr="00C2161A">
        <w:rPr>
          <w:rFonts w:ascii="Times New Roman" w:eastAsia="Times New Roman" w:hAnsi="Times New Roman" w:cs="Times New Roman"/>
          <w:i/>
          <w:iCs/>
        </w:rPr>
        <w:t>rpo</w:t>
      </w:r>
      <w:proofErr w:type="spellEnd"/>
      <w:r w:rsidR="00C2161A" w:rsidRPr="00C2161A">
        <w:rPr>
          <w:rFonts w:ascii="Times New Roman" w:eastAsia="Times New Roman" w:hAnsi="Times New Roman" w:cs="Times New Roman"/>
        </w:rPr>
        <w:t xml:space="preserve"> genes appear to be relatively stable components of the genome and could serve as useful markers for comparative and evolutionary studies in </w:t>
      </w:r>
      <w:r w:rsidR="00C2161A" w:rsidRPr="00C2161A">
        <w:rPr>
          <w:rFonts w:ascii="Times New Roman" w:eastAsia="Times New Roman" w:hAnsi="Times New Roman" w:cs="Times New Roman"/>
          <w:i/>
          <w:iCs/>
        </w:rPr>
        <w:t>Saccharum</w:t>
      </w:r>
      <w:r w:rsidR="00C2161A">
        <w:rPr>
          <w:rFonts w:ascii="Times New Roman" w:eastAsia="Times New Roman" w:hAnsi="Times New Roman" w:cs="Times New Roman"/>
        </w:rPr>
        <w:t>, while</w:t>
      </w:r>
      <w:r w:rsidR="00C2161A" w:rsidRPr="00C2161A">
        <w:rPr>
          <w:rFonts w:ascii="Times New Roman" w:eastAsia="Times New Roman" w:hAnsi="Times New Roman" w:cs="Times New Roman"/>
        </w:rPr>
        <w:t xml:space="preserve"> also offer</w:t>
      </w:r>
      <w:r w:rsidR="00972E10">
        <w:rPr>
          <w:rFonts w:ascii="Times New Roman" w:eastAsia="Times New Roman" w:hAnsi="Times New Roman" w:cs="Times New Roman"/>
        </w:rPr>
        <w:t>ing</w:t>
      </w:r>
      <w:r w:rsidR="00C2161A" w:rsidRPr="00C2161A">
        <w:rPr>
          <w:rFonts w:ascii="Times New Roman" w:eastAsia="Times New Roman" w:hAnsi="Times New Roman" w:cs="Times New Roman"/>
        </w:rPr>
        <w:t xml:space="preserve"> insights relevant to the improvement of locally adapted cultivars. </w:t>
      </w:r>
      <w:r w:rsidRPr="00672E59">
        <w:rPr>
          <w:rFonts w:ascii="Times New Roman" w:eastAsia="Times New Roman" w:hAnsi="Times New Roman" w:cs="Times New Roman"/>
        </w:rPr>
        <w:t xml:space="preserve">Further </w:t>
      </w:r>
      <w:r w:rsidR="00C2161A">
        <w:rPr>
          <w:rFonts w:ascii="Times New Roman" w:eastAsia="Times New Roman" w:hAnsi="Times New Roman" w:cs="Times New Roman"/>
        </w:rPr>
        <w:t>investigation</w:t>
      </w:r>
      <w:r w:rsidRPr="00672E59">
        <w:rPr>
          <w:rFonts w:ascii="Times New Roman" w:eastAsia="Times New Roman" w:hAnsi="Times New Roman" w:cs="Times New Roman"/>
        </w:rPr>
        <w:t xml:space="preserve"> in</w:t>
      </w:r>
      <w:r w:rsidR="00C2161A">
        <w:rPr>
          <w:rFonts w:ascii="Times New Roman" w:eastAsia="Times New Roman" w:hAnsi="Times New Roman" w:cs="Times New Roman"/>
        </w:rPr>
        <w:t>corporating</w:t>
      </w:r>
      <w:r w:rsidRPr="00672E59">
        <w:rPr>
          <w:rFonts w:ascii="Times New Roman" w:eastAsia="Times New Roman" w:hAnsi="Times New Roman" w:cs="Times New Roman"/>
        </w:rPr>
        <w:t xml:space="preserve"> functional validation and broader genomic datasets will be </w:t>
      </w:r>
      <w:r w:rsidR="00C2161A">
        <w:rPr>
          <w:rFonts w:ascii="Times New Roman" w:eastAsia="Times New Roman" w:hAnsi="Times New Roman" w:cs="Times New Roman"/>
        </w:rPr>
        <w:t>key</w:t>
      </w:r>
      <w:r w:rsidRPr="00672E59">
        <w:rPr>
          <w:rFonts w:ascii="Times New Roman" w:eastAsia="Times New Roman" w:hAnsi="Times New Roman" w:cs="Times New Roman"/>
        </w:rPr>
        <w:t xml:space="preserve"> to refin</w:t>
      </w:r>
      <w:r w:rsidR="00C2161A">
        <w:rPr>
          <w:rFonts w:ascii="Times New Roman" w:eastAsia="Times New Roman" w:hAnsi="Times New Roman" w:cs="Times New Roman"/>
        </w:rPr>
        <w:t>ing</w:t>
      </w:r>
      <w:r w:rsidRPr="00672E59">
        <w:rPr>
          <w:rFonts w:ascii="Times New Roman" w:eastAsia="Times New Roman" w:hAnsi="Times New Roman" w:cs="Times New Roman"/>
        </w:rPr>
        <w:t xml:space="preserve"> </w:t>
      </w:r>
      <w:r w:rsidR="00C2161A">
        <w:rPr>
          <w:rFonts w:ascii="Times New Roman" w:eastAsia="Times New Roman" w:hAnsi="Times New Roman" w:cs="Times New Roman"/>
        </w:rPr>
        <w:t>its</w:t>
      </w:r>
      <w:r w:rsidRPr="00672E59">
        <w:rPr>
          <w:rFonts w:ascii="Times New Roman" w:eastAsia="Times New Roman" w:hAnsi="Times New Roman" w:cs="Times New Roman"/>
        </w:rPr>
        <w:t xml:space="preserve"> </w:t>
      </w:r>
      <w:r w:rsidR="00C2161A">
        <w:rPr>
          <w:rFonts w:ascii="Times New Roman" w:eastAsia="Times New Roman" w:hAnsi="Times New Roman" w:cs="Times New Roman"/>
        </w:rPr>
        <w:t>role</w:t>
      </w:r>
      <w:r w:rsidRPr="00672E59">
        <w:rPr>
          <w:rFonts w:ascii="Times New Roman" w:eastAsia="Times New Roman" w:hAnsi="Times New Roman" w:cs="Times New Roman"/>
        </w:rPr>
        <w:t xml:space="preserve"> in molecular breeding strategies.</w:t>
      </w:r>
    </w:p>
    <w:p w14:paraId="4CD94DF1" w14:textId="79127FB6" w:rsidR="00531003" w:rsidRDefault="00531003" w:rsidP="00D601DE">
      <w:pPr>
        <w:spacing w:after="0" w:line="360" w:lineRule="auto"/>
        <w:jc w:val="both"/>
        <w:rPr>
          <w:rFonts w:ascii="Times New Roman" w:eastAsia="Times New Roman" w:hAnsi="Times New Roman" w:cs="Times New Roman"/>
        </w:rPr>
      </w:pPr>
    </w:p>
    <w:p w14:paraId="7BD63048" w14:textId="77777777" w:rsidR="00531003" w:rsidRPr="00672E59" w:rsidRDefault="00531003" w:rsidP="00531003">
      <w:pPr>
        <w:spacing w:after="0" w:line="360" w:lineRule="auto"/>
        <w:jc w:val="both"/>
        <w:rPr>
          <w:rFonts w:ascii="Times New Roman" w:eastAsia="Times New Roman" w:hAnsi="Times New Roman" w:cs="Times New Roman"/>
          <w:b/>
          <w:bCs/>
        </w:rPr>
      </w:pPr>
      <w:r w:rsidRPr="00672E59">
        <w:rPr>
          <w:rFonts w:ascii="Times New Roman" w:eastAsia="Times New Roman" w:hAnsi="Times New Roman" w:cs="Times New Roman"/>
          <w:b/>
          <w:bCs/>
        </w:rPr>
        <w:t>DECLARATIONS</w:t>
      </w:r>
    </w:p>
    <w:p w14:paraId="25C9FF04" w14:textId="6BED06DF" w:rsidR="00531003" w:rsidRDefault="00531003" w:rsidP="00531003">
      <w:pPr>
        <w:spacing w:after="0" w:line="360" w:lineRule="auto"/>
        <w:jc w:val="both"/>
        <w:rPr>
          <w:rFonts w:ascii="Times New Roman" w:eastAsia="Times New Roman" w:hAnsi="Times New Roman" w:cs="Times New Roman"/>
        </w:rPr>
      </w:pPr>
      <w:r w:rsidRPr="00672E59">
        <w:rPr>
          <w:rFonts w:ascii="Times New Roman" w:eastAsia="Times New Roman" w:hAnsi="Times New Roman" w:cs="Times New Roman"/>
          <w:b/>
          <w:bCs/>
        </w:rPr>
        <w:t>Funding:</w:t>
      </w:r>
      <w:r>
        <w:rPr>
          <w:rFonts w:ascii="Times New Roman" w:eastAsia="Times New Roman" w:hAnsi="Times New Roman" w:cs="Times New Roman"/>
        </w:rPr>
        <w:t xml:space="preserve"> </w:t>
      </w:r>
      <w:r w:rsidRPr="00672E59">
        <w:rPr>
          <w:rFonts w:ascii="Times New Roman" w:eastAsia="Times New Roman" w:hAnsi="Times New Roman" w:cs="Times New Roman"/>
        </w:rPr>
        <w:t>This research is funded by</w:t>
      </w:r>
      <w:r w:rsidR="00342BFF">
        <w:rPr>
          <w:rFonts w:ascii="Times New Roman" w:eastAsia="Times New Roman" w:hAnsi="Times New Roman" w:cs="Times New Roman"/>
        </w:rPr>
        <w:t xml:space="preserve"> the</w:t>
      </w:r>
      <w:r w:rsidRPr="00672E59">
        <w:rPr>
          <w:rFonts w:ascii="Times New Roman" w:eastAsia="Times New Roman" w:hAnsi="Times New Roman" w:cs="Times New Roman"/>
        </w:rPr>
        <w:t xml:space="preserve"> </w:t>
      </w:r>
      <w:r w:rsidR="00342BFF">
        <w:rPr>
          <w:rFonts w:ascii="Times New Roman" w:eastAsia="Times New Roman" w:hAnsi="Times New Roman" w:cs="Times New Roman"/>
        </w:rPr>
        <w:t xml:space="preserve">Faculty of Biology, Universitas Gadjah Mada, </w:t>
      </w:r>
      <w:r w:rsidR="00342BFF" w:rsidRPr="00672E59">
        <w:rPr>
          <w:rFonts w:ascii="Times New Roman" w:eastAsia="Times New Roman" w:hAnsi="Times New Roman" w:cs="Times New Roman"/>
        </w:rPr>
        <w:t>under</w:t>
      </w:r>
      <w:r w:rsidR="00342BFF">
        <w:rPr>
          <w:rFonts w:ascii="Times New Roman" w:eastAsia="Times New Roman" w:hAnsi="Times New Roman" w:cs="Times New Roman"/>
        </w:rPr>
        <w:t xml:space="preserve"> </w:t>
      </w:r>
      <w:r w:rsidR="00342BFF" w:rsidRPr="00672E59">
        <w:rPr>
          <w:rFonts w:ascii="Times New Roman" w:eastAsia="Times New Roman" w:hAnsi="Times New Roman" w:cs="Times New Roman"/>
        </w:rPr>
        <w:t>the International Collaborative Research and Publication Grant (No. 1629/UN1/BI.1/KSA/PT.01.03/2026)</w:t>
      </w:r>
      <w:r w:rsidR="00342BFF">
        <w:rPr>
          <w:rFonts w:ascii="Times New Roman" w:eastAsia="Times New Roman" w:hAnsi="Times New Roman" w:cs="Times New Roman"/>
        </w:rPr>
        <w:t>, and by t</w:t>
      </w:r>
      <w:r w:rsidRPr="00672E59">
        <w:rPr>
          <w:rFonts w:ascii="Times New Roman" w:eastAsia="Times New Roman" w:hAnsi="Times New Roman" w:cs="Times New Roman"/>
        </w:rPr>
        <w:t>he Directorate General of Research and Development, Ministry of Higher Education, Science, and Technology</w:t>
      </w:r>
      <w:r w:rsidR="00342BFF">
        <w:rPr>
          <w:rFonts w:ascii="Times New Roman" w:eastAsia="Times New Roman" w:hAnsi="Times New Roman" w:cs="Times New Roman"/>
        </w:rPr>
        <w:t>,</w:t>
      </w:r>
      <w:r w:rsidRPr="00672E59">
        <w:rPr>
          <w:rFonts w:ascii="Times New Roman" w:eastAsia="Times New Roman" w:hAnsi="Times New Roman" w:cs="Times New Roman"/>
        </w:rPr>
        <w:t xml:space="preserve"> under Master’s Thesis Research Grant (No: 067/C3/DT.05.00/PL/2025 and 2633/UN1/DITLIT/Dit-Lit/PT.01.03/2025</w:t>
      </w:r>
      <w:r w:rsidR="00342BFF">
        <w:rPr>
          <w:rFonts w:ascii="Times New Roman" w:eastAsia="Times New Roman" w:hAnsi="Times New Roman" w:cs="Times New Roman"/>
        </w:rPr>
        <w:t>).</w:t>
      </w:r>
    </w:p>
    <w:p w14:paraId="1CE4192D" w14:textId="77777777" w:rsidR="00AC454E" w:rsidRPr="00672E59" w:rsidRDefault="00AC454E" w:rsidP="00531003">
      <w:pPr>
        <w:spacing w:after="0" w:line="360" w:lineRule="auto"/>
        <w:jc w:val="both"/>
        <w:rPr>
          <w:rFonts w:ascii="Times New Roman" w:eastAsia="Times New Roman" w:hAnsi="Times New Roman" w:cs="Times New Roman"/>
        </w:rPr>
      </w:pPr>
    </w:p>
    <w:p w14:paraId="51491611" w14:textId="57B99ECF" w:rsidR="00531003" w:rsidRDefault="00531003" w:rsidP="00531003">
      <w:pPr>
        <w:spacing w:after="0" w:line="360" w:lineRule="auto"/>
        <w:jc w:val="both"/>
        <w:rPr>
          <w:rFonts w:ascii="Times New Roman" w:eastAsia="Times New Roman" w:hAnsi="Times New Roman" w:cs="Times New Roman"/>
        </w:rPr>
      </w:pPr>
      <w:r w:rsidRPr="00672E59">
        <w:rPr>
          <w:rFonts w:ascii="Times New Roman" w:eastAsia="Times New Roman" w:hAnsi="Times New Roman" w:cs="Times New Roman"/>
          <w:b/>
          <w:bCs/>
        </w:rPr>
        <w:lastRenderedPageBreak/>
        <w:t xml:space="preserve">Acknowledgement: </w:t>
      </w:r>
      <w:r w:rsidRPr="00672E59">
        <w:rPr>
          <w:rFonts w:ascii="Times New Roman" w:eastAsia="Times New Roman" w:hAnsi="Times New Roman" w:cs="Times New Roman"/>
        </w:rPr>
        <w:t xml:space="preserve">The authors express sincere gratitude to the head and staff of PT </w:t>
      </w:r>
      <w:proofErr w:type="spellStart"/>
      <w:r w:rsidRPr="00672E59">
        <w:rPr>
          <w:rFonts w:ascii="Times New Roman" w:eastAsia="Times New Roman" w:hAnsi="Times New Roman" w:cs="Times New Roman"/>
        </w:rPr>
        <w:t>Madubaru</w:t>
      </w:r>
      <w:proofErr w:type="spellEnd"/>
      <w:r w:rsidRPr="00672E59">
        <w:rPr>
          <w:rFonts w:ascii="Times New Roman" w:eastAsia="Times New Roman" w:hAnsi="Times New Roman" w:cs="Times New Roman"/>
        </w:rPr>
        <w:t xml:space="preserve">–PG </w:t>
      </w:r>
      <w:proofErr w:type="spellStart"/>
      <w:r w:rsidRPr="00672E59">
        <w:rPr>
          <w:rFonts w:ascii="Times New Roman" w:eastAsia="Times New Roman" w:hAnsi="Times New Roman" w:cs="Times New Roman"/>
        </w:rPr>
        <w:t>Madukismo</w:t>
      </w:r>
      <w:proofErr w:type="spellEnd"/>
      <w:r w:rsidRPr="00672E59">
        <w:rPr>
          <w:rFonts w:ascii="Times New Roman" w:eastAsia="Times New Roman" w:hAnsi="Times New Roman" w:cs="Times New Roman"/>
        </w:rPr>
        <w:t xml:space="preserve"> for their valuable collaboration and assistance throughout the research process</w:t>
      </w:r>
      <w:r w:rsidR="00EE480B">
        <w:rPr>
          <w:rFonts w:ascii="Times New Roman" w:eastAsia="Times New Roman" w:hAnsi="Times New Roman" w:cs="Times New Roman"/>
        </w:rPr>
        <w:t xml:space="preserve">, </w:t>
      </w:r>
      <w:r w:rsidR="00EE480B" w:rsidRPr="00EE480B">
        <w:rPr>
          <w:rFonts w:ascii="Times New Roman" w:eastAsia="Times New Roman" w:hAnsi="Times New Roman" w:cs="Times New Roman"/>
        </w:rPr>
        <w:t>as well as to the Laboratory of Genetics and Breeding, Faculty of Biology, Universitas Gadjah Mada, for their technical support and facilities.</w:t>
      </w:r>
    </w:p>
    <w:p w14:paraId="7BE06D4D" w14:textId="77777777" w:rsidR="00531003" w:rsidRDefault="00531003" w:rsidP="00531003">
      <w:pPr>
        <w:spacing w:after="0" w:line="360" w:lineRule="auto"/>
        <w:jc w:val="both"/>
        <w:rPr>
          <w:rFonts w:ascii="Times New Roman" w:eastAsia="Times New Roman" w:hAnsi="Times New Roman" w:cs="Times New Roman"/>
        </w:rPr>
      </w:pPr>
    </w:p>
    <w:p w14:paraId="6BCE2F16" w14:textId="77777777" w:rsidR="00531003" w:rsidRDefault="00531003" w:rsidP="00531003">
      <w:pPr>
        <w:spacing w:after="0" w:line="360" w:lineRule="auto"/>
        <w:jc w:val="both"/>
        <w:rPr>
          <w:rFonts w:ascii="Times New Roman" w:eastAsia="Times New Roman" w:hAnsi="Times New Roman" w:cs="Times New Roman"/>
        </w:rPr>
      </w:pPr>
      <w:r w:rsidRPr="00672E59">
        <w:rPr>
          <w:rFonts w:ascii="Times New Roman" w:eastAsia="Times New Roman" w:hAnsi="Times New Roman" w:cs="Times New Roman"/>
          <w:b/>
          <w:bCs/>
        </w:rPr>
        <w:t>Conflict of Interest:</w:t>
      </w:r>
      <w:r>
        <w:rPr>
          <w:rFonts w:ascii="Times New Roman" w:eastAsia="Times New Roman" w:hAnsi="Times New Roman" w:cs="Times New Roman"/>
          <w:b/>
          <w:bCs/>
        </w:rPr>
        <w:t xml:space="preserve"> </w:t>
      </w:r>
      <w:r>
        <w:rPr>
          <w:rFonts w:ascii="Times New Roman" w:eastAsia="Times New Roman" w:hAnsi="Times New Roman" w:cs="Times New Roman"/>
        </w:rPr>
        <w:t>The authors declare no conflicts of interest.</w:t>
      </w:r>
    </w:p>
    <w:p w14:paraId="5FF1529B" w14:textId="77777777" w:rsidR="00531003" w:rsidRDefault="00531003" w:rsidP="00531003">
      <w:pPr>
        <w:spacing w:after="0" w:line="360" w:lineRule="auto"/>
        <w:jc w:val="both"/>
        <w:rPr>
          <w:rFonts w:ascii="Times New Roman" w:eastAsia="Times New Roman" w:hAnsi="Times New Roman" w:cs="Times New Roman"/>
        </w:rPr>
      </w:pPr>
    </w:p>
    <w:p w14:paraId="47FAE8A3" w14:textId="77777777" w:rsidR="00531003" w:rsidRDefault="00531003" w:rsidP="00531003">
      <w:pPr>
        <w:spacing w:after="0" w:line="360" w:lineRule="auto"/>
        <w:jc w:val="both"/>
        <w:rPr>
          <w:rFonts w:ascii="Times New Roman" w:eastAsia="Times New Roman" w:hAnsi="Times New Roman" w:cs="Times New Roman"/>
        </w:rPr>
      </w:pPr>
      <w:r w:rsidRPr="00A652DE">
        <w:rPr>
          <w:rFonts w:ascii="Times New Roman" w:eastAsia="Times New Roman" w:hAnsi="Times New Roman" w:cs="Times New Roman"/>
          <w:b/>
          <w:bCs/>
        </w:rPr>
        <w:t>Data Availability:</w:t>
      </w:r>
      <w:r>
        <w:rPr>
          <w:rFonts w:ascii="Times New Roman" w:eastAsia="Times New Roman" w:hAnsi="Times New Roman" w:cs="Times New Roman"/>
        </w:rPr>
        <w:t xml:space="preserve"> </w:t>
      </w:r>
      <w:r w:rsidRPr="00A652DE">
        <w:rPr>
          <w:rFonts w:ascii="Times New Roman" w:eastAsia="Times New Roman" w:hAnsi="Times New Roman" w:cs="Times New Roman"/>
        </w:rPr>
        <w:t xml:space="preserve">All the data generated during the </w:t>
      </w:r>
      <w:r>
        <w:rPr>
          <w:rFonts w:ascii="Times New Roman" w:eastAsia="Times New Roman" w:hAnsi="Times New Roman" w:cs="Times New Roman"/>
        </w:rPr>
        <w:t>research</w:t>
      </w:r>
      <w:r w:rsidRPr="00A652DE">
        <w:rPr>
          <w:rFonts w:ascii="Times New Roman" w:eastAsia="Times New Roman" w:hAnsi="Times New Roman" w:cs="Times New Roman"/>
        </w:rPr>
        <w:t xml:space="preserve"> are present in the article.</w:t>
      </w:r>
    </w:p>
    <w:p w14:paraId="7FBB975E" w14:textId="77777777" w:rsidR="00531003" w:rsidRDefault="00531003" w:rsidP="00531003">
      <w:pPr>
        <w:spacing w:after="0" w:line="360" w:lineRule="auto"/>
        <w:jc w:val="both"/>
        <w:rPr>
          <w:rFonts w:ascii="Times New Roman" w:eastAsia="Times New Roman" w:hAnsi="Times New Roman" w:cs="Times New Roman"/>
        </w:rPr>
      </w:pPr>
    </w:p>
    <w:p w14:paraId="5AAAEF67" w14:textId="77777777" w:rsidR="00531003" w:rsidRDefault="00531003" w:rsidP="00531003">
      <w:pPr>
        <w:spacing w:after="0" w:line="360" w:lineRule="auto"/>
        <w:jc w:val="both"/>
        <w:rPr>
          <w:rFonts w:ascii="Times New Roman" w:eastAsia="Times New Roman" w:hAnsi="Times New Roman" w:cs="Times New Roman"/>
        </w:rPr>
      </w:pPr>
      <w:r w:rsidRPr="00A652DE">
        <w:rPr>
          <w:rFonts w:ascii="Times New Roman" w:eastAsia="Times New Roman" w:hAnsi="Times New Roman" w:cs="Times New Roman"/>
          <w:b/>
          <w:bCs/>
        </w:rPr>
        <w:t>Ethics Statement:</w:t>
      </w:r>
      <w:r>
        <w:rPr>
          <w:rFonts w:ascii="Times New Roman" w:eastAsia="Times New Roman" w:hAnsi="Times New Roman" w:cs="Times New Roman"/>
        </w:rPr>
        <w:t xml:space="preserve"> </w:t>
      </w:r>
      <w:r w:rsidRPr="00A652DE">
        <w:rPr>
          <w:rFonts w:ascii="Times New Roman" w:eastAsia="Times New Roman" w:hAnsi="Times New Roman" w:cs="Times New Roman"/>
        </w:rPr>
        <w:t>Ethical approval</w:t>
      </w:r>
      <w:r>
        <w:rPr>
          <w:rFonts w:ascii="Times New Roman" w:eastAsia="Times New Roman" w:hAnsi="Times New Roman" w:cs="Times New Roman"/>
        </w:rPr>
        <w:t>/statement</w:t>
      </w:r>
      <w:r w:rsidRPr="00A652DE">
        <w:rPr>
          <w:rFonts w:ascii="Times New Roman" w:eastAsia="Times New Roman" w:hAnsi="Times New Roman" w:cs="Times New Roman"/>
        </w:rPr>
        <w:t xml:space="preserve"> was not required for this </w:t>
      </w:r>
      <w:r>
        <w:rPr>
          <w:rFonts w:ascii="Times New Roman" w:eastAsia="Times New Roman" w:hAnsi="Times New Roman" w:cs="Times New Roman"/>
        </w:rPr>
        <w:t>research</w:t>
      </w:r>
      <w:r w:rsidRPr="00A652DE">
        <w:rPr>
          <w:rFonts w:ascii="Times New Roman" w:eastAsia="Times New Roman" w:hAnsi="Times New Roman" w:cs="Times New Roman"/>
        </w:rPr>
        <w:t>.</w:t>
      </w:r>
    </w:p>
    <w:p w14:paraId="6AAF1ECD" w14:textId="77777777" w:rsidR="00531003" w:rsidRDefault="00531003" w:rsidP="00531003">
      <w:pPr>
        <w:spacing w:after="0" w:line="360" w:lineRule="auto"/>
        <w:jc w:val="both"/>
        <w:rPr>
          <w:rFonts w:ascii="Times New Roman" w:eastAsia="Times New Roman" w:hAnsi="Times New Roman" w:cs="Times New Roman"/>
        </w:rPr>
      </w:pPr>
    </w:p>
    <w:p w14:paraId="5B3D9D40" w14:textId="77777777" w:rsidR="00531003" w:rsidRDefault="00531003" w:rsidP="00531003">
      <w:pPr>
        <w:spacing w:after="0" w:line="360" w:lineRule="auto"/>
        <w:jc w:val="both"/>
        <w:rPr>
          <w:rFonts w:ascii="Times New Roman" w:eastAsia="Times New Roman" w:hAnsi="Times New Roman" w:cs="Times New Roman"/>
          <w:sz w:val="20"/>
          <w:szCs w:val="20"/>
        </w:rPr>
      </w:pPr>
      <w:r w:rsidRPr="00A652DE">
        <w:rPr>
          <w:rFonts w:ascii="Times New Roman" w:eastAsia="Times New Roman" w:hAnsi="Times New Roman" w:cs="Times New Roman"/>
          <w:b/>
          <w:bCs/>
        </w:rPr>
        <w:t>Author’s Contribution:</w:t>
      </w:r>
      <w:r>
        <w:rPr>
          <w:rFonts w:ascii="Times New Roman" w:eastAsia="Times New Roman" w:hAnsi="Times New Roman" w:cs="Times New Roman"/>
        </w:rPr>
        <w:t xml:space="preserve"> TPJ</w:t>
      </w:r>
      <w:r w:rsidRPr="00A652DE">
        <w:rPr>
          <w:rFonts w:ascii="Times New Roman" w:eastAsia="Times New Roman" w:hAnsi="Times New Roman" w:cs="Times New Roman"/>
        </w:rPr>
        <w:t>: Conceptualization; Methodology; Software; Investigation; Formal Analysis; Data Curation; Writing - Original Draft; Visualization. AS</w:t>
      </w:r>
      <w:r>
        <w:rPr>
          <w:rFonts w:ascii="Times New Roman" w:eastAsia="Times New Roman" w:hAnsi="Times New Roman" w:cs="Times New Roman"/>
        </w:rPr>
        <w:t xml:space="preserve"> and DAW</w:t>
      </w:r>
      <w:r w:rsidRPr="00A652DE">
        <w:rPr>
          <w:rFonts w:ascii="Times New Roman" w:eastAsia="Times New Roman" w:hAnsi="Times New Roman" w:cs="Times New Roman"/>
        </w:rPr>
        <w:t>: Methodology; Software; Formal Analysis; Visualization</w:t>
      </w:r>
      <w:r>
        <w:rPr>
          <w:rFonts w:ascii="Times New Roman" w:eastAsia="Times New Roman" w:hAnsi="Times New Roman" w:cs="Times New Roman"/>
        </w:rPr>
        <w:t>.</w:t>
      </w:r>
      <w:r w:rsidRPr="00A652DE">
        <w:rPr>
          <w:rFonts w:ascii="Times New Roman" w:eastAsia="Times New Roman" w:hAnsi="Times New Roman" w:cs="Times New Roman"/>
        </w:rPr>
        <w:t xml:space="preserve"> KOC: Methodology; Software; Formal Analysis; Data Curation. GRA: Supervision; Funding Acquisition; Resources; Con</w:t>
      </w:r>
      <w:r>
        <w:rPr>
          <w:rFonts w:ascii="Times New Roman" w:eastAsia="Times New Roman" w:hAnsi="Times New Roman" w:cs="Times New Roman"/>
        </w:rPr>
        <w:t>c</w:t>
      </w:r>
      <w:r w:rsidRPr="00A652DE">
        <w:rPr>
          <w:rFonts w:ascii="Times New Roman" w:eastAsia="Times New Roman" w:hAnsi="Times New Roman" w:cs="Times New Roman"/>
        </w:rPr>
        <w:t>eptualization; Validation; Writing - Review &amp; Editing.</w:t>
      </w:r>
      <w:r>
        <w:rPr>
          <w:rFonts w:ascii="Times New Roman" w:eastAsia="Times New Roman" w:hAnsi="Times New Roman" w:cs="Times New Roman"/>
          <w:sz w:val="20"/>
          <w:szCs w:val="20"/>
        </w:rPr>
        <w:t xml:space="preserve"> </w:t>
      </w:r>
    </w:p>
    <w:p w14:paraId="1512E8F3" w14:textId="77777777" w:rsidR="00CE4A8B" w:rsidRDefault="00CE4A8B" w:rsidP="00434EE9">
      <w:pPr>
        <w:spacing w:after="0" w:line="360" w:lineRule="auto"/>
        <w:rPr>
          <w:rFonts w:ascii="Times New Roman" w:eastAsia="Times New Roman" w:hAnsi="Times New Roman" w:cs="Times New Roman"/>
          <w:b/>
          <w:bCs/>
        </w:rPr>
      </w:pPr>
    </w:p>
    <w:p w14:paraId="68930BDA" w14:textId="77777777" w:rsidR="00CE4A8B" w:rsidRPr="00A652DE" w:rsidRDefault="00CE4A8B" w:rsidP="00CE4A8B">
      <w:pPr>
        <w:spacing w:after="0" w:line="360" w:lineRule="auto"/>
        <w:jc w:val="both"/>
        <w:rPr>
          <w:rFonts w:ascii="Times New Roman" w:eastAsia="Times New Roman" w:hAnsi="Times New Roman" w:cs="Times New Roman"/>
          <w:b/>
          <w:bCs/>
        </w:rPr>
      </w:pPr>
      <w:r w:rsidRPr="00A652DE">
        <w:rPr>
          <w:rFonts w:ascii="Times New Roman" w:eastAsia="Times New Roman" w:hAnsi="Times New Roman" w:cs="Times New Roman"/>
          <w:b/>
          <w:bCs/>
        </w:rPr>
        <w:t>REFERENCES</w:t>
      </w:r>
    </w:p>
    <w:p w14:paraId="6C3A87B4"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Pr>
          <w:rFonts w:ascii="Times New Roman" w:eastAsia="Times New Roman" w:hAnsi="Times New Roman" w:cs="Times New Roman"/>
        </w:rPr>
        <w:fldChar w:fldCharType="begin" w:fldLock="1"/>
      </w:r>
      <w:r>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Pr="00A652DE">
        <w:rPr>
          <w:rFonts w:ascii="Times New Roman" w:hAnsi="Times New Roman" w:cs="Times New Roman"/>
          <w:noProof/>
          <w:kern w:val="0"/>
        </w:rPr>
        <w:t xml:space="preserve">Ahrens, F. M., do Prado, P. F. V., Hillen, H. S., &amp; Pfannschmidt, T. (2025). The plastid-encoded RNA polymerase of plant chloroplasts. In </w:t>
      </w:r>
      <w:r w:rsidRPr="00A652DE">
        <w:rPr>
          <w:rFonts w:ascii="Times New Roman" w:hAnsi="Times New Roman" w:cs="Times New Roman"/>
          <w:i/>
          <w:iCs/>
          <w:noProof/>
          <w:kern w:val="0"/>
        </w:rPr>
        <w:t>Trends in Plant Science</w:t>
      </w:r>
      <w:r w:rsidRPr="00A652DE">
        <w:rPr>
          <w:rFonts w:ascii="Times New Roman" w:hAnsi="Times New Roman" w:cs="Times New Roman"/>
          <w:noProof/>
          <w:kern w:val="0"/>
        </w:rPr>
        <w:t xml:space="preserve"> (Vol. 30, Number 7, pp. 712–723). Elsevier Ltd. https://doi.org/10.1016/j.tplants.2025.01.010</w:t>
      </w:r>
      <w:r>
        <w:rPr>
          <w:rFonts w:ascii="Times New Roman" w:hAnsi="Times New Roman" w:cs="Times New Roman"/>
          <w:noProof/>
          <w:kern w:val="0"/>
        </w:rPr>
        <w:t>.</w:t>
      </w:r>
    </w:p>
    <w:p w14:paraId="1C74F89B"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622AAF">
        <w:rPr>
          <w:rFonts w:ascii="Times New Roman" w:hAnsi="Times New Roman" w:cs="Times New Roman"/>
          <w:noProof/>
          <w:kern w:val="0"/>
          <w:lang w:val="pt-PT"/>
        </w:rPr>
        <w:t xml:space="preserve">Ali, N. A., Song, W., Huang, J., Wu, D., &amp; Zhao, X. (2024). </w:t>
      </w:r>
      <w:r w:rsidRPr="00A652DE">
        <w:rPr>
          <w:rFonts w:ascii="Times New Roman" w:hAnsi="Times New Roman" w:cs="Times New Roman"/>
          <w:noProof/>
          <w:kern w:val="0"/>
        </w:rPr>
        <w:t xml:space="preserve">Recent advances and biotechnological applications of RNA metabolism in plant chloroplasts and mitochondria. In </w:t>
      </w:r>
      <w:r w:rsidRPr="00A652DE">
        <w:rPr>
          <w:rFonts w:ascii="Times New Roman" w:hAnsi="Times New Roman" w:cs="Times New Roman"/>
          <w:i/>
          <w:iCs/>
          <w:noProof/>
          <w:kern w:val="0"/>
        </w:rPr>
        <w:t>Critical Reviews in Biotechnology</w:t>
      </w:r>
      <w:r w:rsidRPr="00A652DE">
        <w:rPr>
          <w:rFonts w:ascii="Times New Roman" w:hAnsi="Times New Roman" w:cs="Times New Roman"/>
          <w:noProof/>
          <w:kern w:val="0"/>
        </w:rPr>
        <w:t xml:space="preserve"> (Vol. 44, Number 8, pp. 1552–1573). Taylor and Francis Ltd. https://doi.org/10.1080/07388551.2023.2299789</w:t>
      </w:r>
      <w:r>
        <w:rPr>
          <w:rFonts w:ascii="Times New Roman" w:hAnsi="Times New Roman" w:cs="Times New Roman"/>
          <w:noProof/>
          <w:kern w:val="0"/>
        </w:rPr>
        <w:t>.</w:t>
      </w:r>
    </w:p>
    <w:p w14:paraId="4E7221A8"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Amanah, D. M., &amp; Putra, S. M. (2018). Effect of biostimulants on drought tolerance and growth of sugarcane var. Kidang Kencana at green house. </w:t>
      </w:r>
      <w:r w:rsidRPr="00A652DE">
        <w:rPr>
          <w:rFonts w:ascii="Times New Roman" w:hAnsi="Times New Roman" w:cs="Times New Roman"/>
          <w:i/>
          <w:iCs/>
          <w:noProof/>
          <w:kern w:val="0"/>
        </w:rPr>
        <w:t>E-Journal Menara Perkebunan</w:t>
      </w:r>
      <w:r w:rsidRPr="00A652DE">
        <w:rPr>
          <w:rFonts w:ascii="Times New Roman" w:hAnsi="Times New Roman" w:cs="Times New Roman"/>
          <w:noProof/>
          <w:kern w:val="0"/>
        </w:rPr>
        <w:t>, 86(1), 46–55. https://doi.org/10.22302/iribb.jur.mp.v1i1.287</w:t>
      </w:r>
      <w:r>
        <w:rPr>
          <w:rFonts w:ascii="Times New Roman" w:hAnsi="Times New Roman" w:cs="Times New Roman"/>
          <w:noProof/>
          <w:kern w:val="0"/>
        </w:rPr>
        <w:t>.</w:t>
      </w:r>
    </w:p>
    <w:p w14:paraId="0B821196"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622AAF">
        <w:rPr>
          <w:rFonts w:ascii="Times New Roman" w:hAnsi="Times New Roman" w:cs="Times New Roman"/>
          <w:noProof/>
          <w:kern w:val="0"/>
          <w:lang w:val="pt-PT"/>
        </w:rPr>
        <w:t xml:space="preserve">Aviña-Padilla, K., Ramírez-Rafael, J. A., Herrera-Oropeza, G. E., Muley, V. Y., Valdivia, D. I., Díaz-Valenzuela, E., García-García, A., Varela-Echavarría, A., &amp; Hernández-Rosales, M. (2021). </w:t>
      </w:r>
      <w:r w:rsidRPr="00A652DE">
        <w:rPr>
          <w:rFonts w:ascii="Times New Roman" w:hAnsi="Times New Roman" w:cs="Times New Roman"/>
          <w:noProof/>
          <w:kern w:val="0"/>
        </w:rPr>
        <w:t xml:space="preserve">Evolutionary Perspective and Expression Analysis of Intronless Genes Highlight the Conservation of Their Regulatory Role. </w:t>
      </w:r>
      <w:r w:rsidRPr="00A652DE">
        <w:rPr>
          <w:rFonts w:ascii="Times New Roman" w:hAnsi="Times New Roman" w:cs="Times New Roman"/>
          <w:i/>
          <w:iCs/>
          <w:noProof/>
          <w:kern w:val="0"/>
        </w:rPr>
        <w:t>Frontiers in Genetics</w:t>
      </w:r>
      <w:r w:rsidRPr="00A652DE">
        <w:rPr>
          <w:rFonts w:ascii="Times New Roman" w:hAnsi="Times New Roman" w:cs="Times New Roman"/>
          <w:noProof/>
          <w:kern w:val="0"/>
        </w:rPr>
        <w:t>, 12, 1. https://doi.org/10.3389/fgene.2021.654256</w:t>
      </w:r>
      <w:r>
        <w:rPr>
          <w:rFonts w:ascii="Times New Roman" w:hAnsi="Times New Roman" w:cs="Times New Roman"/>
          <w:noProof/>
          <w:kern w:val="0"/>
        </w:rPr>
        <w:t>.</w:t>
      </w:r>
    </w:p>
    <w:p w14:paraId="17E95C05"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Basuki, B., &amp; Sari, V. K. (2024). Specifications of Sugar Cane Varieties Based on Land Characteristic and Typology. </w:t>
      </w:r>
      <w:r w:rsidRPr="00A652DE">
        <w:rPr>
          <w:rFonts w:ascii="Times New Roman" w:hAnsi="Times New Roman" w:cs="Times New Roman"/>
          <w:i/>
          <w:iCs/>
          <w:noProof/>
          <w:kern w:val="0"/>
        </w:rPr>
        <w:t>Journal of Agricultural Engineering</w:t>
      </w:r>
      <w:r w:rsidRPr="00A652DE">
        <w:rPr>
          <w:rFonts w:ascii="Times New Roman" w:hAnsi="Times New Roman" w:cs="Times New Roman"/>
          <w:noProof/>
          <w:kern w:val="0"/>
        </w:rPr>
        <w:t>, 13(1), 132. https://doi.org/10.23960/jtep-l.v13i1.132-146</w:t>
      </w:r>
      <w:r>
        <w:rPr>
          <w:rFonts w:ascii="Times New Roman" w:hAnsi="Times New Roman" w:cs="Times New Roman"/>
          <w:noProof/>
          <w:kern w:val="0"/>
        </w:rPr>
        <w:t>.</w:t>
      </w:r>
    </w:p>
    <w:p w14:paraId="6E7BEBF4"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Börner, T., Aleynikova, A. Y., Zubo, Y. O., &amp; Kusnetsov, V. V. (2015). Chloroplast RNA polymerases: Role in chloroplast biogenesis. In </w:t>
      </w:r>
      <w:r w:rsidRPr="00A652DE">
        <w:rPr>
          <w:rFonts w:ascii="Times New Roman" w:hAnsi="Times New Roman" w:cs="Times New Roman"/>
          <w:i/>
          <w:iCs/>
          <w:noProof/>
          <w:kern w:val="0"/>
        </w:rPr>
        <w:t>Biochimica et Biophysica Acta - Bioenergetics</w:t>
      </w:r>
      <w:r w:rsidRPr="00A652DE">
        <w:rPr>
          <w:rFonts w:ascii="Times New Roman" w:hAnsi="Times New Roman" w:cs="Times New Roman"/>
          <w:noProof/>
          <w:kern w:val="0"/>
        </w:rPr>
        <w:t xml:space="preserve"> (Vol. 1847, Number 9, pp. 761–769). Elsevier B.V. https://doi.org/10.1016/j.bbabio.2015.02.004</w:t>
      </w:r>
      <w:r>
        <w:rPr>
          <w:rFonts w:ascii="Times New Roman" w:hAnsi="Times New Roman" w:cs="Times New Roman"/>
          <w:noProof/>
          <w:kern w:val="0"/>
        </w:rPr>
        <w:t>.</w:t>
      </w:r>
    </w:p>
    <w:p w14:paraId="2317DC10"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Chen, C., Guo, H., Abdullah, Li, T., Li, G., Liu, J., &amp; Tian, X. (2025). The complete chloroplast genome of </w:t>
      </w:r>
      <w:r w:rsidRPr="00A652DE">
        <w:rPr>
          <w:rFonts w:ascii="Times New Roman" w:hAnsi="Times New Roman" w:cs="Times New Roman"/>
          <w:i/>
          <w:iCs/>
          <w:noProof/>
          <w:kern w:val="0"/>
        </w:rPr>
        <w:t>Phyllostachys aureosulcata</w:t>
      </w:r>
      <w:r w:rsidRPr="00A652DE">
        <w:rPr>
          <w:rFonts w:ascii="Times New Roman" w:hAnsi="Times New Roman" w:cs="Times New Roman"/>
          <w:noProof/>
          <w:kern w:val="0"/>
        </w:rPr>
        <w:t xml:space="preserve"> McClure (Bambusoideae: Poaceae): Comparative genomics and phylogenetic </w:t>
      </w:r>
      <w:r w:rsidRPr="00A652DE">
        <w:rPr>
          <w:rFonts w:ascii="Times New Roman" w:hAnsi="Times New Roman" w:cs="Times New Roman"/>
          <w:noProof/>
          <w:kern w:val="0"/>
        </w:rPr>
        <w:lastRenderedPageBreak/>
        <w:t xml:space="preserve">analysis. </w:t>
      </w:r>
      <w:r w:rsidRPr="00A652DE">
        <w:rPr>
          <w:rFonts w:ascii="Times New Roman" w:hAnsi="Times New Roman" w:cs="Times New Roman"/>
          <w:i/>
          <w:iCs/>
          <w:noProof/>
          <w:kern w:val="0"/>
        </w:rPr>
        <w:t>Journal of Asia-Pacific Biodiversity</w:t>
      </w:r>
      <w:r w:rsidRPr="00A652DE">
        <w:rPr>
          <w:rFonts w:ascii="Times New Roman" w:hAnsi="Times New Roman" w:cs="Times New Roman"/>
          <w:noProof/>
          <w:kern w:val="0"/>
        </w:rPr>
        <w:t>, 18(1), 190–196. https://doi.org/10.1016/j.japb.2024.10.003</w:t>
      </w:r>
      <w:r>
        <w:rPr>
          <w:rFonts w:ascii="Times New Roman" w:hAnsi="Times New Roman" w:cs="Times New Roman"/>
          <w:noProof/>
          <w:kern w:val="0"/>
        </w:rPr>
        <w:t>.</w:t>
      </w:r>
    </w:p>
    <w:p w14:paraId="6562255B"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Chen, Y., Liu, N., Wang, H., Luo, H., Xie, Z., Yu, H., Chang, Y., Zheng, B., Zheng, X., Sheng, J., Jiang, Y., Ye, S., Hua, Y., Ma, H., &amp; Li, F. (2025). Comparative chloroplast genomics of Rutaceae: structural divergence, adaptive evolution, and phylogenomic implications. </w:t>
      </w:r>
      <w:r w:rsidRPr="00A652DE">
        <w:rPr>
          <w:rFonts w:ascii="Times New Roman" w:hAnsi="Times New Roman" w:cs="Times New Roman"/>
          <w:i/>
          <w:iCs/>
          <w:noProof/>
          <w:kern w:val="0"/>
        </w:rPr>
        <w:t>Frontiers in Plant Science</w:t>
      </w:r>
      <w:r w:rsidRPr="00A652DE">
        <w:rPr>
          <w:rFonts w:ascii="Times New Roman" w:hAnsi="Times New Roman" w:cs="Times New Roman"/>
          <w:noProof/>
          <w:kern w:val="0"/>
        </w:rPr>
        <w:t>, 16. https://doi.org/10.3389/fpls.2025.1675536</w:t>
      </w:r>
      <w:r>
        <w:rPr>
          <w:rFonts w:ascii="Times New Roman" w:hAnsi="Times New Roman" w:cs="Times New Roman"/>
          <w:noProof/>
          <w:kern w:val="0"/>
        </w:rPr>
        <w:t>.</w:t>
      </w:r>
    </w:p>
    <w:p w14:paraId="01400235"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Croce, R., Carmo-Silva, E., Cho, Y. B., Ermakova, M., Harbinson, J., Lawson, T., McCormick, A. J., Niyogi, K. K., Ort, D. R., Patel-Tupper, D., Pesaresi, P., Raines, C., Weber, A. P. M., &amp; Zhu, X. G. (2024). Perspectives on improving photosynthesis to increase crop yield. In </w:t>
      </w:r>
      <w:r w:rsidRPr="00A652DE">
        <w:rPr>
          <w:rFonts w:ascii="Times New Roman" w:hAnsi="Times New Roman" w:cs="Times New Roman"/>
          <w:i/>
          <w:iCs/>
          <w:noProof/>
          <w:kern w:val="0"/>
        </w:rPr>
        <w:t>Plant Cell</w:t>
      </w:r>
      <w:r w:rsidRPr="00A652DE">
        <w:rPr>
          <w:rFonts w:ascii="Times New Roman" w:hAnsi="Times New Roman" w:cs="Times New Roman"/>
          <w:noProof/>
          <w:kern w:val="0"/>
        </w:rPr>
        <w:t xml:space="preserve"> (Vol. 36, Number 10, pp. 3944–3973). American Society of Plant Biologists. https://doi.org/10.1093/plcell/koae132</w:t>
      </w:r>
      <w:r>
        <w:rPr>
          <w:rFonts w:ascii="Times New Roman" w:hAnsi="Times New Roman" w:cs="Times New Roman"/>
          <w:noProof/>
          <w:kern w:val="0"/>
        </w:rPr>
        <w:t>.</w:t>
      </w:r>
    </w:p>
    <w:p w14:paraId="0FA15F2F"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De Coster, W., &amp; Rademakers, R. (2023). NanoPack2: population-scale evaluation of long-read sequencing data. </w:t>
      </w:r>
      <w:r w:rsidRPr="00A652DE">
        <w:rPr>
          <w:rFonts w:ascii="Times New Roman" w:hAnsi="Times New Roman" w:cs="Times New Roman"/>
          <w:i/>
          <w:iCs/>
          <w:noProof/>
          <w:kern w:val="0"/>
        </w:rPr>
        <w:t>Bioinformatics</w:t>
      </w:r>
      <w:r w:rsidRPr="00A652DE">
        <w:rPr>
          <w:rFonts w:ascii="Times New Roman" w:hAnsi="Times New Roman" w:cs="Times New Roman"/>
          <w:noProof/>
          <w:kern w:val="0"/>
        </w:rPr>
        <w:t>, 39(5). https://doi.org/10.1093/bioinformatics/btad311</w:t>
      </w:r>
      <w:r>
        <w:rPr>
          <w:rFonts w:ascii="Times New Roman" w:hAnsi="Times New Roman" w:cs="Times New Roman"/>
          <w:noProof/>
          <w:kern w:val="0"/>
        </w:rPr>
        <w:t>.</w:t>
      </w:r>
    </w:p>
    <w:p w14:paraId="3CCD3CD5"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622AAF">
        <w:rPr>
          <w:rFonts w:ascii="Times New Roman" w:hAnsi="Times New Roman" w:cs="Times New Roman"/>
          <w:noProof/>
          <w:kern w:val="0"/>
        </w:rPr>
        <w:t xml:space="preserve">Desalegn, B., Kebede, E., Legesse, H., &amp; Fite, T. (2023). </w:t>
      </w:r>
      <w:r w:rsidRPr="00A652DE">
        <w:rPr>
          <w:rFonts w:ascii="Times New Roman" w:hAnsi="Times New Roman" w:cs="Times New Roman"/>
          <w:noProof/>
          <w:kern w:val="0"/>
        </w:rPr>
        <w:t xml:space="preserve">Sugarcane productivity and sugar yield improvement: Selecting variety, nitrogen fertilizer rate, and bioregulator as a first-line treatment. </w:t>
      </w:r>
      <w:r w:rsidRPr="00A652DE">
        <w:rPr>
          <w:rFonts w:ascii="Times New Roman" w:hAnsi="Times New Roman" w:cs="Times New Roman"/>
          <w:i/>
          <w:iCs/>
          <w:noProof/>
          <w:kern w:val="0"/>
        </w:rPr>
        <w:t>Heliyon</w:t>
      </w:r>
      <w:r w:rsidRPr="00A652DE">
        <w:rPr>
          <w:rFonts w:ascii="Times New Roman" w:hAnsi="Times New Roman" w:cs="Times New Roman"/>
          <w:noProof/>
          <w:kern w:val="0"/>
        </w:rPr>
        <w:t>, 9(4). https://doi.org/10.1016/j.heliyon.2023.e15520</w:t>
      </w:r>
      <w:r>
        <w:rPr>
          <w:rFonts w:ascii="Times New Roman" w:hAnsi="Times New Roman" w:cs="Times New Roman"/>
          <w:noProof/>
          <w:kern w:val="0"/>
        </w:rPr>
        <w:t>.</w:t>
      </w:r>
    </w:p>
    <w:p w14:paraId="28A3838C"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Douglas, G. M., &amp; Shapiro, B. J. (2024). Pseudogenes act as a neutral reference for detecting selection in prokaryotic pangenomes. </w:t>
      </w:r>
      <w:r w:rsidRPr="00A652DE">
        <w:rPr>
          <w:rFonts w:ascii="Times New Roman" w:hAnsi="Times New Roman" w:cs="Times New Roman"/>
          <w:i/>
          <w:iCs/>
          <w:noProof/>
          <w:kern w:val="0"/>
        </w:rPr>
        <w:t>Nature Ecology and Evolution</w:t>
      </w:r>
      <w:r w:rsidRPr="00A652DE">
        <w:rPr>
          <w:rFonts w:ascii="Times New Roman" w:hAnsi="Times New Roman" w:cs="Times New Roman"/>
          <w:noProof/>
          <w:kern w:val="0"/>
        </w:rPr>
        <w:t>, 8(2), 304–314. https://doi.org/10.1038/s41559-023-02268-6</w:t>
      </w:r>
      <w:r>
        <w:rPr>
          <w:rFonts w:ascii="Times New Roman" w:hAnsi="Times New Roman" w:cs="Times New Roman"/>
          <w:noProof/>
          <w:kern w:val="0"/>
        </w:rPr>
        <w:t>.</w:t>
      </w:r>
    </w:p>
    <w:p w14:paraId="23FA4AA8"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Evans, D. L., &amp; Joshi, S. V. (2016). Complete chloroplast genomes of </w:t>
      </w:r>
      <w:r w:rsidRPr="00A652DE">
        <w:rPr>
          <w:rFonts w:ascii="Times New Roman" w:hAnsi="Times New Roman" w:cs="Times New Roman"/>
          <w:i/>
          <w:iCs/>
          <w:noProof/>
          <w:kern w:val="0"/>
        </w:rPr>
        <w:t>Saccharum spontaneum</w:t>
      </w:r>
      <w:r w:rsidRPr="00A652DE">
        <w:rPr>
          <w:rFonts w:ascii="Times New Roman" w:hAnsi="Times New Roman" w:cs="Times New Roman"/>
          <w:noProof/>
          <w:kern w:val="0"/>
        </w:rPr>
        <w:t xml:space="preserve">, </w:t>
      </w:r>
      <w:r w:rsidRPr="00A652DE">
        <w:rPr>
          <w:rFonts w:ascii="Times New Roman" w:hAnsi="Times New Roman" w:cs="Times New Roman"/>
          <w:i/>
          <w:iCs/>
          <w:noProof/>
          <w:kern w:val="0"/>
        </w:rPr>
        <w:t>Saccharum officinarum</w:t>
      </w:r>
      <w:r w:rsidRPr="00A652DE">
        <w:rPr>
          <w:rFonts w:ascii="Times New Roman" w:hAnsi="Times New Roman" w:cs="Times New Roman"/>
          <w:noProof/>
          <w:kern w:val="0"/>
        </w:rPr>
        <w:t xml:space="preserve"> and </w:t>
      </w:r>
      <w:r w:rsidRPr="00A652DE">
        <w:rPr>
          <w:rFonts w:ascii="Times New Roman" w:hAnsi="Times New Roman" w:cs="Times New Roman"/>
          <w:i/>
          <w:iCs/>
          <w:noProof/>
          <w:kern w:val="0"/>
        </w:rPr>
        <w:t>Miscanthus floridulus</w:t>
      </w:r>
      <w:r w:rsidRPr="00A652DE">
        <w:rPr>
          <w:rFonts w:ascii="Times New Roman" w:hAnsi="Times New Roman" w:cs="Times New Roman"/>
          <w:noProof/>
          <w:kern w:val="0"/>
        </w:rPr>
        <w:t xml:space="preserve"> (Panicoideae: Andropogoneae) reveal the plastid view on sugarcane origins. </w:t>
      </w:r>
      <w:r w:rsidRPr="00A652DE">
        <w:rPr>
          <w:rFonts w:ascii="Times New Roman" w:hAnsi="Times New Roman" w:cs="Times New Roman"/>
          <w:i/>
          <w:iCs/>
          <w:noProof/>
          <w:kern w:val="0"/>
        </w:rPr>
        <w:t>Systematics and Biodiversity</w:t>
      </w:r>
      <w:r w:rsidRPr="00A652DE">
        <w:rPr>
          <w:rFonts w:ascii="Times New Roman" w:hAnsi="Times New Roman" w:cs="Times New Roman"/>
          <w:noProof/>
          <w:kern w:val="0"/>
        </w:rPr>
        <w:t>, 14(6), 548–571. https://doi.org/10.1080/14772000.2016.1197336</w:t>
      </w:r>
      <w:r>
        <w:rPr>
          <w:rFonts w:ascii="Times New Roman" w:hAnsi="Times New Roman" w:cs="Times New Roman"/>
          <w:noProof/>
          <w:kern w:val="0"/>
        </w:rPr>
        <w:t>.</w:t>
      </w:r>
    </w:p>
    <w:p w14:paraId="540EDCBB"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Geng, X., Xue, Y., Wang, H., Tu, H., Jing, R., Li, Z., &amp; Gai, Y. (2026). Comprehensive analysis of chloroplast genome evolution in Poaceae: codon usage patterns, selection pressures, and phylogenomic relationships. </w:t>
      </w:r>
      <w:r w:rsidRPr="00A652DE">
        <w:rPr>
          <w:rFonts w:ascii="Times New Roman" w:hAnsi="Times New Roman" w:cs="Times New Roman"/>
          <w:i/>
          <w:iCs/>
          <w:noProof/>
          <w:kern w:val="0"/>
        </w:rPr>
        <w:t>BMC Genomics</w:t>
      </w:r>
      <w:r w:rsidRPr="00A652DE">
        <w:rPr>
          <w:rFonts w:ascii="Times New Roman" w:hAnsi="Times New Roman" w:cs="Times New Roman"/>
          <w:noProof/>
          <w:kern w:val="0"/>
        </w:rPr>
        <w:t>, 27(1). https://doi.org/10.1186/s12864-025-12498-6</w:t>
      </w:r>
      <w:r>
        <w:rPr>
          <w:rFonts w:ascii="Times New Roman" w:hAnsi="Times New Roman" w:cs="Times New Roman"/>
          <w:noProof/>
          <w:kern w:val="0"/>
        </w:rPr>
        <w:t>.</w:t>
      </w:r>
    </w:p>
    <w:p w14:paraId="5936D9A2"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Greiner, S., Lehwark, P., &amp; Bock, R. (2019). OrganellarGenomeDRAW (OGDRAW) version 1.3.1: expanded toolkit for the graphical visualization of organellar genomes. </w:t>
      </w:r>
      <w:r w:rsidRPr="00A652DE">
        <w:rPr>
          <w:rFonts w:ascii="Times New Roman" w:hAnsi="Times New Roman" w:cs="Times New Roman"/>
          <w:i/>
          <w:iCs/>
          <w:noProof/>
          <w:kern w:val="0"/>
        </w:rPr>
        <w:t>Nucleic Acids Research</w:t>
      </w:r>
      <w:r w:rsidRPr="00A652DE">
        <w:rPr>
          <w:rFonts w:ascii="Times New Roman" w:hAnsi="Times New Roman" w:cs="Times New Roman"/>
          <w:noProof/>
          <w:kern w:val="0"/>
        </w:rPr>
        <w:t>, 47(W1), W59–W64. https://doi.org/10.1093/nar/gkz238</w:t>
      </w:r>
      <w:r>
        <w:rPr>
          <w:rFonts w:ascii="Times New Roman" w:hAnsi="Times New Roman" w:cs="Times New Roman"/>
          <w:noProof/>
          <w:kern w:val="0"/>
        </w:rPr>
        <w:t>.</w:t>
      </w:r>
    </w:p>
    <w:p w14:paraId="284804AE"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Hossen, M. A., Jahan, U. M. S., Hossain, M. A., Asif, K. H., Rahman, A., Ahmed, S., Uddin, M. M., Amin, M. F., Barik, M. A., Islam, M. J., Kamruzzaman, M., Hasnat, S., Uddin, M. N., Islam, T., &amp; Hoque, M. N. (2025). Computational investigation unveils pathogenic LIG3 non-synonymous mutations and therapeutic targets in acute myeloid leukemia. </w:t>
      </w:r>
      <w:r w:rsidRPr="00A652DE">
        <w:rPr>
          <w:rFonts w:ascii="Times New Roman" w:hAnsi="Times New Roman" w:cs="Times New Roman"/>
          <w:i/>
          <w:iCs/>
          <w:noProof/>
          <w:kern w:val="0"/>
        </w:rPr>
        <w:t>PLOS ONE</w:t>
      </w:r>
      <w:r w:rsidRPr="00A652DE">
        <w:rPr>
          <w:rFonts w:ascii="Times New Roman" w:hAnsi="Times New Roman" w:cs="Times New Roman"/>
          <w:noProof/>
          <w:kern w:val="0"/>
        </w:rPr>
        <w:t>, 20(6 June). https://doi.org/10.1371/journal.pone.0320550</w:t>
      </w:r>
      <w:r>
        <w:rPr>
          <w:rFonts w:ascii="Times New Roman" w:hAnsi="Times New Roman" w:cs="Times New Roman"/>
          <w:noProof/>
          <w:kern w:val="0"/>
        </w:rPr>
        <w:t>.</w:t>
      </w:r>
    </w:p>
    <w:p w14:paraId="6DE83F1B"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Hu, B., Jin, J., Guo, A. Y., Zhang, H., Luo, J., &amp; Gao, G. (2015). GSDS 2.0: An upgraded gene feature visualization server. </w:t>
      </w:r>
      <w:r w:rsidRPr="00A652DE">
        <w:rPr>
          <w:rFonts w:ascii="Times New Roman" w:hAnsi="Times New Roman" w:cs="Times New Roman"/>
          <w:i/>
          <w:iCs/>
          <w:noProof/>
          <w:kern w:val="0"/>
        </w:rPr>
        <w:t>Bioinformatics</w:t>
      </w:r>
      <w:r w:rsidRPr="00A652DE">
        <w:rPr>
          <w:rFonts w:ascii="Times New Roman" w:hAnsi="Times New Roman" w:cs="Times New Roman"/>
          <w:noProof/>
          <w:kern w:val="0"/>
        </w:rPr>
        <w:t>, 31(8), 1296–1297. https://doi.org/10.1093/bioinformatics/btu817</w:t>
      </w:r>
      <w:r>
        <w:rPr>
          <w:rFonts w:ascii="Times New Roman" w:hAnsi="Times New Roman" w:cs="Times New Roman"/>
          <w:noProof/>
          <w:kern w:val="0"/>
        </w:rPr>
        <w:t>.</w:t>
      </w:r>
    </w:p>
    <w:p w14:paraId="01C9DBFC"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Khan, Q., Qin, Y., Guo, D. J., Yang, L. T., Song, X. P., Xing, Y. X., &amp; Li, Y. R. (2023). A Review of the Diverse Genes and Molecules Involved in Sucrose Metabolism and Innovative Approaches to Improve Sucrose Content in Sugarcane. </w:t>
      </w:r>
      <w:r w:rsidRPr="00A652DE">
        <w:rPr>
          <w:rFonts w:ascii="Times New Roman" w:hAnsi="Times New Roman" w:cs="Times New Roman"/>
          <w:i/>
          <w:iCs/>
          <w:noProof/>
          <w:kern w:val="0"/>
        </w:rPr>
        <w:t>Agronomy</w:t>
      </w:r>
      <w:r w:rsidRPr="00A652DE">
        <w:rPr>
          <w:rFonts w:ascii="Times New Roman" w:hAnsi="Times New Roman" w:cs="Times New Roman"/>
          <w:noProof/>
          <w:kern w:val="0"/>
        </w:rPr>
        <w:t>, 13(12). https://doi.org/10.3390/agronomy13122957</w:t>
      </w:r>
      <w:r>
        <w:rPr>
          <w:rFonts w:ascii="Times New Roman" w:hAnsi="Times New Roman" w:cs="Times New Roman"/>
          <w:noProof/>
          <w:kern w:val="0"/>
        </w:rPr>
        <w:t>.</w:t>
      </w:r>
    </w:p>
    <w:p w14:paraId="3808F8B0"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Kim, K. R., Choi, C., Kim, J. S., Kim, M. H., Jung, H. J., Jeon, D. H., &amp; Kim, J. H. (2026). Complete chloroplast </w:t>
      </w:r>
      <w:r w:rsidRPr="00A652DE">
        <w:rPr>
          <w:rFonts w:ascii="Times New Roman" w:hAnsi="Times New Roman" w:cs="Times New Roman"/>
          <w:noProof/>
          <w:kern w:val="0"/>
        </w:rPr>
        <w:lastRenderedPageBreak/>
        <w:t xml:space="preserve">genome of </w:t>
      </w:r>
      <w:r>
        <w:rPr>
          <w:rFonts w:ascii="Times New Roman" w:hAnsi="Times New Roman" w:cs="Times New Roman"/>
          <w:noProof/>
          <w:kern w:val="0"/>
        </w:rPr>
        <w:t xml:space="preserve"> </w:t>
      </w:r>
      <w:r w:rsidRPr="00A652DE">
        <w:rPr>
          <w:rFonts w:ascii="Times New Roman" w:hAnsi="Times New Roman" w:cs="Times New Roman"/>
          <w:i/>
          <w:iCs/>
          <w:noProof/>
          <w:kern w:val="0"/>
        </w:rPr>
        <w:t>Triticum aestivum</w:t>
      </w:r>
      <w:r w:rsidRPr="00A652DE">
        <w:rPr>
          <w:rFonts w:ascii="Times New Roman" w:hAnsi="Times New Roman" w:cs="Times New Roman"/>
          <w:noProof/>
          <w:kern w:val="0"/>
        </w:rPr>
        <w:t xml:space="preserve"> cultivar ‘Keumkang’ from Korea (Poaceae) and comparative chloroplast genomes of the members of the </w:t>
      </w:r>
      <w:r w:rsidRPr="00A652DE">
        <w:rPr>
          <w:rFonts w:ascii="Times New Roman" w:hAnsi="Times New Roman" w:cs="Times New Roman"/>
          <w:i/>
          <w:iCs/>
          <w:noProof/>
          <w:kern w:val="0"/>
        </w:rPr>
        <w:t>Triticum</w:t>
      </w:r>
      <w:r w:rsidRPr="00A652DE">
        <w:rPr>
          <w:rFonts w:ascii="Times New Roman" w:hAnsi="Times New Roman" w:cs="Times New Roman"/>
          <w:noProof/>
          <w:kern w:val="0"/>
        </w:rPr>
        <w:t xml:space="preserve"> genus. </w:t>
      </w:r>
      <w:r w:rsidRPr="00A652DE">
        <w:rPr>
          <w:rFonts w:ascii="Times New Roman" w:hAnsi="Times New Roman" w:cs="Times New Roman"/>
          <w:i/>
          <w:iCs/>
          <w:noProof/>
          <w:kern w:val="0"/>
        </w:rPr>
        <w:t>Journal of the Science of Food and Agriculture</w:t>
      </w:r>
      <w:r w:rsidRPr="00A652DE">
        <w:rPr>
          <w:rFonts w:ascii="Times New Roman" w:hAnsi="Times New Roman" w:cs="Times New Roman"/>
          <w:noProof/>
          <w:kern w:val="0"/>
        </w:rPr>
        <w:t>. https://doi.org/10.1002/jsfa.70489</w:t>
      </w:r>
      <w:r>
        <w:rPr>
          <w:rFonts w:ascii="Times New Roman" w:hAnsi="Times New Roman" w:cs="Times New Roman"/>
          <w:noProof/>
          <w:kern w:val="0"/>
        </w:rPr>
        <w:t>.</w:t>
      </w:r>
    </w:p>
    <w:p w14:paraId="4B393CE0"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Lanfear, R., Frandsen, P. B., Wright, A. M., Senfeld, T., &amp; Calcott, B. (2017). Partitionfinder 2: New methods for selecting partitioned models of evolution for molecular and morphological phylogenetic analyses. </w:t>
      </w:r>
      <w:r w:rsidRPr="00A652DE">
        <w:rPr>
          <w:rFonts w:ascii="Times New Roman" w:hAnsi="Times New Roman" w:cs="Times New Roman"/>
          <w:i/>
          <w:iCs/>
          <w:noProof/>
          <w:kern w:val="0"/>
        </w:rPr>
        <w:t>Molecular Biology and Evolution</w:t>
      </w:r>
      <w:r w:rsidRPr="00A652DE">
        <w:rPr>
          <w:rFonts w:ascii="Times New Roman" w:hAnsi="Times New Roman" w:cs="Times New Roman"/>
          <w:noProof/>
          <w:kern w:val="0"/>
        </w:rPr>
        <w:t>, 34(3), 772–773. https://doi.org/10.1093/molbev/msw260</w:t>
      </w:r>
      <w:r>
        <w:rPr>
          <w:rFonts w:ascii="Times New Roman" w:hAnsi="Times New Roman" w:cs="Times New Roman"/>
          <w:noProof/>
          <w:kern w:val="0"/>
        </w:rPr>
        <w:t>.</w:t>
      </w:r>
    </w:p>
    <w:p w14:paraId="6DE12C0C"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Li, S., Wang, Z., Xu, C., Zhang, L., Zhang, B., Huang, Y., Lu, X., Duan, W., &amp; Yang, X. (2025). Chloroplast genome diversity and phylogenetic insights of </w:t>
      </w:r>
      <w:r w:rsidRPr="00A652DE">
        <w:rPr>
          <w:rFonts w:ascii="Times New Roman" w:hAnsi="Times New Roman" w:cs="Times New Roman"/>
          <w:i/>
          <w:iCs/>
          <w:noProof/>
          <w:kern w:val="0"/>
        </w:rPr>
        <w:t>Saccharum spontaneum</w:t>
      </w:r>
      <w:r w:rsidRPr="00A652DE">
        <w:rPr>
          <w:rFonts w:ascii="Times New Roman" w:hAnsi="Times New Roman" w:cs="Times New Roman"/>
          <w:noProof/>
          <w:kern w:val="0"/>
        </w:rPr>
        <w:t xml:space="preserve"> across Southeast Asia. </w:t>
      </w:r>
      <w:r w:rsidRPr="00A652DE">
        <w:rPr>
          <w:rFonts w:ascii="Times New Roman" w:hAnsi="Times New Roman" w:cs="Times New Roman"/>
          <w:i/>
          <w:iCs/>
          <w:noProof/>
          <w:kern w:val="0"/>
        </w:rPr>
        <w:t>PLANTS, PEOPLE, PLANET</w:t>
      </w:r>
      <w:r w:rsidRPr="00A652DE">
        <w:rPr>
          <w:rFonts w:ascii="Times New Roman" w:hAnsi="Times New Roman" w:cs="Times New Roman"/>
          <w:noProof/>
          <w:kern w:val="0"/>
        </w:rPr>
        <w:t>, 7(6), 1834–1844. https://doi.org/10.1002/ppp3.70056</w:t>
      </w:r>
      <w:r>
        <w:rPr>
          <w:rFonts w:ascii="Times New Roman" w:hAnsi="Times New Roman" w:cs="Times New Roman"/>
          <w:noProof/>
          <w:kern w:val="0"/>
        </w:rPr>
        <w:t>.</w:t>
      </w:r>
    </w:p>
    <w:p w14:paraId="7263BDEB"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Li, T., Ma, Z., Ding, T., Yang, Y., Wang, F., Wan, X., Liang, F., Chen, X., &amp; Yao, H. (2024). Codon usage bias and phylogenetic analysis of chloroplast genome in 36 gracilariaceae species. </w:t>
      </w:r>
      <w:r w:rsidRPr="00A652DE">
        <w:rPr>
          <w:rFonts w:ascii="Times New Roman" w:hAnsi="Times New Roman" w:cs="Times New Roman"/>
          <w:i/>
          <w:iCs/>
          <w:noProof/>
          <w:kern w:val="0"/>
        </w:rPr>
        <w:t>Functional and Integrative Genomics</w:t>
      </w:r>
      <w:r w:rsidRPr="00A652DE">
        <w:rPr>
          <w:rFonts w:ascii="Times New Roman" w:hAnsi="Times New Roman" w:cs="Times New Roman"/>
          <w:noProof/>
          <w:kern w:val="0"/>
        </w:rPr>
        <w:t>, 24(2). https://doi.org/10.1007/s10142-024-01316-z</w:t>
      </w:r>
      <w:r>
        <w:rPr>
          <w:rFonts w:ascii="Times New Roman" w:hAnsi="Times New Roman" w:cs="Times New Roman"/>
          <w:noProof/>
          <w:kern w:val="0"/>
        </w:rPr>
        <w:t>.</w:t>
      </w:r>
    </w:p>
    <w:p w14:paraId="7779E06C"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Liu, H., Lyu, H.-M., Zhu, K., de Peer, Y. Van, &amp; Cheng, Z.-M. (Max). (2021). The emergence and evolution of intron‐poor and intronless genes in intron‐rich plant gene. </w:t>
      </w:r>
      <w:r w:rsidRPr="00A652DE">
        <w:rPr>
          <w:rFonts w:ascii="Times New Roman" w:hAnsi="Times New Roman" w:cs="Times New Roman"/>
          <w:i/>
          <w:iCs/>
          <w:noProof/>
          <w:kern w:val="0"/>
        </w:rPr>
        <w:t>The Plant Journal</w:t>
      </w:r>
      <w:r w:rsidRPr="00A652DE">
        <w:rPr>
          <w:rFonts w:ascii="Times New Roman" w:hAnsi="Times New Roman" w:cs="Times New Roman"/>
          <w:noProof/>
          <w:kern w:val="0"/>
        </w:rPr>
        <w:t>, 105(105), 1072–1082. https://doi.org/10.1111/tpj.15088</w:t>
      </w:r>
      <w:r>
        <w:rPr>
          <w:rFonts w:ascii="Times New Roman" w:hAnsi="Times New Roman" w:cs="Times New Roman"/>
          <w:noProof/>
          <w:kern w:val="0"/>
        </w:rPr>
        <w:t>.</w:t>
      </w:r>
    </w:p>
    <w:p w14:paraId="19A3796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Lohmaneeratana, K., Gutiérrez, G., Thamchaipenet, A., &amp; Wellinger, R. E. (2024). Phytoplasma DNA Enrichment from Sugarcane White Leaves for Shotgun Sequencing Improvement. </w:t>
      </w:r>
      <w:r w:rsidRPr="00A652DE">
        <w:rPr>
          <w:rFonts w:ascii="Times New Roman" w:hAnsi="Times New Roman" w:cs="Times New Roman"/>
          <w:i/>
          <w:iCs/>
          <w:noProof/>
          <w:kern w:val="0"/>
        </w:rPr>
        <w:t>Plants</w:t>
      </w:r>
      <w:r w:rsidRPr="00A652DE">
        <w:rPr>
          <w:rFonts w:ascii="Times New Roman" w:hAnsi="Times New Roman" w:cs="Times New Roman"/>
          <w:noProof/>
          <w:kern w:val="0"/>
        </w:rPr>
        <w:t>, 13(21). https://doi.org/10.3390/plants13213006</w:t>
      </w:r>
      <w:r>
        <w:rPr>
          <w:rFonts w:ascii="Times New Roman" w:hAnsi="Times New Roman" w:cs="Times New Roman"/>
          <w:noProof/>
          <w:kern w:val="0"/>
        </w:rPr>
        <w:t>.</w:t>
      </w:r>
    </w:p>
    <w:p w14:paraId="2F757375"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Loiacono, F. V., &amp; Bock, R. (2024). An RNA polymerase that became a Swiss army knife. In </w:t>
      </w:r>
      <w:r w:rsidRPr="00A652DE">
        <w:rPr>
          <w:rFonts w:ascii="Times New Roman" w:hAnsi="Times New Roman" w:cs="Times New Roman"/>
          <w:i/>
          <w:iCs/>
          <w:noProof/>
          <w:kern w:val="0"/>
        </w:rPr>
        <w:t>Cell</w:t>
      </w:r>
      <w:r w:rsidRPr="00A652DE">
        <w:rPr>
          <w:rFonts w:ascii="Times New Roman" w:hAnsi="Times New Roman" w:cs="Times New Roman"/>
          <w:noProof/>
          <w:kern w:val="0"/>
        </w:rPr>
        <w:t xml:space="preserve"> (Vol. 187, Number 5, pp. 1106–1108). Elsevier B.V. https://doi.org/10.1016/j.cell.2024.01.044</w:t>
      </w:r>
      <w:r>
        <w:rPr>
          <w:rFonts w:ascii="Times New Roman" w:hAnsi="Times New Roman" w:cs="Times New Roman"/>
          <w:noProof/>
          <w:kern w:val="0"/>
        </w:rPr>
        <w:t>.</w:t>
      </w:r>
    </w:p>
    <w:p w14:paraId="47DB1FD4" w14:textId="77777777" w:rsidR="00CE4A8B" w:rsidRPr="00E82713"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lang w:val="pt-PT"/>
        </w:rPr>
      </w:pPr>
      <w:r w:rsidRPr="00A652DE">
        <w:rPr>
          <w:rFonts w:ascii="Times New Roman" w:hAnsi="Times New Roman" w:cs="Times New Roman"/>
          <w:noProof/>
          <w:kern w:val="0"/>
        </w:rPr>
        <w:t xml:space="preserve">Nguyen, L. T., Schmidt, H. A., Von Haeseler, A., &amp; Minh, B. Q. (2015). IQ-TREE: A fast and effective stochastic algorithm for estimating maximum-likelihood phylogenies. </w:t>
      </w:r>
      <w:r w:rsidRPr="00E82713">
        <w:rPr>
          <w:rFonts w:ascii="Times New Roman" w:hAnsi="Times New Roman" w:cs="Times New Roman"/>
          <w:i/>
          <w:iCs/>
          <w:noProof/>
          <w:kern w:val="0"/>
          <w:lang w:val="pt-PT"/>
        </w:rPr>
        <w:t>Molecular Biology and Evolution</w:t>
      </w:r>
      <w:r w:rsidRPr="00E82713">
        <w:rPr>
          <w:rFonts w:ascii="Times New Roman" w:hAnsi="Times New Roman" w:cs="Times New Roman"/>
          <w:noProof/>
          <w:kern w:val="0"/>
          <w:lang w:val="pt-PT"/>
        </w:rPr>
        <w:t>, 32(1), 268–274. https://doi.org/10.1093/molbev/msu300.</w:t>
      </w:r>
    </w:p>
    <w:p w14:paraId="3C60D711"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E82713">
        <w:rPr>
          <w:rFonts w:ascii="Times New Roman" w:hAnsi="Times New Roman" w:cs="Times New Roman"/>
          <w:noProof/>
          <w:kern w:val="0"/>
          <w:lang w:val="pt-PT"/>
        </w:rPr>
        <w:t xml:space="preserve">Oliveira, G. K., Soares, N. R., Costa, Z. P., Almeida, C. B., Machado, R. M., Mesquita, A. T., Carneiro, M. S., Forni‐Martins, E. R., Mondin, M., &amp; Vieira, M. L. C. (2023). </w:t>
      </w:r>
      <w:r w:rsidRPr="00A652DE">
        <w:rPr>
          <w:rFonts w:ascii="Times New Roman" w:hAnsi="Times New Roman" w:cs="Times New Roman"/>
          <w:noProof/>
          <w:kern w:val="0"/>
        </w:rPr>
        <w:t>Meiotic abnormalities in sugarcane (</w:t>
      </w:r>
      <w:r w:rsidRPr="00A652DE">
        <w:rPr>
          <w:rFonts w:ascii="Times New Roman" w:hAnsi="Times New Roman" w:cs="Times New Roman"/>
          <w:i/>
          <w:iCs/>
          <w:noProof/>
          <w:kern w:val="0"/>
        </w:rPr>
        <w:t>Saccharum</w:t>
      </w:r>
      <w:r w:rsidRPr="00A652DE">
        <w:rPr>
          <w:rFonts w:ascii="Times New Roman" w:hAnsi="Times New Roman" w:cs="Times New Roman"/>
          <w:noProof/>
          <w:kern w:val="0"/>
        </w:rPr>
        <w:t xml:space="preserve"> spp.) and parental species: Evidence for peri‐ and paracentric inversions. </w:t>
      </w:r>
      <w:r w:rsidRPr="00A652DE">
        <w:rPr>
          <w:rFonts w:ascii="Times New Roman" w:hAnsi="Times New Roman" w:cs="Times New Roman"/>
          <w:i/>
          <w:iCs/>
          <w:noProof/>
          <w:kern w:val="0"/>
        </w:rPr>
        <w:t>Annals of Applied Biology</w:t>
      </w:r>
      <w:r w:rsidRPr="00A652DE">
        <w:rPr>
          <w:rFonts w:ascii="Times New Roman" w:hAnsi="Times New Roman" w:cs="Times New Roman"/>
          <w:noProof/>
          <w:kern w:val="0"/>
        </w:rPr>
        <w:t>, 183(3), 271–286. https://doi.org/10.1111/aab.12855</w:t>
      </w:r>
      <w:r>
        <w:rPr>
          <w:rFonts w:ascii="Times New Roman" w:hAnsi="Times New Roman" w:cs="Times New Roman"/>
          <w:noProof/>
          <w:kern w:val="0"/>
        </w:rPr>
        <w:t>.</w:t>
      </w:r>
    </w:p>
    <w:p w14:paraId="6A2772DA" w14:textId="77777777" w:rsidR="00CE4A8B" w:rsidRPr="00E82713"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lang w:val="pt-PT"/>
        </w:rPr>
      </w:pPr>
      <w:r w:rsidRPr="00A652DE">
        <w:rPr>
          <w:rFonts w:ascii="Times New Roman" w:hAnsi="Times New Roman" w:cs="Times New Roman"/>
          <w:noProof/>
          <w:kern w:val="0"/>
        </w:rPr>
        <w:t xml:space="preserve">P3GI. (2025, January 31). </w:t>
      </w:r>
      <w:r w:rsidRPr="00E82713">
        <w:rPr>
          <w:rFonts w:ascii="Times New Roman" w:hAnsi="Times New Roman" w:cs="Times New Roman"/>
          <w:i/>
          <w:iCs/>
          <w:noProof/>
          <w:kern w:val="0"/>
          <w:lang w:val="pt-PT"/>
        </w:rPr>
        <w:t>Varietas Komersial di Indonesia</w:t>
      </w:r>
      <w:r w:rsidRPr="00E82713">
        <w:rPr>
          <w:rFonts w:ascii="Times New Roman" w:hAnsi="Times New Roman" w:cs="Times New Roman"/>
          <w:noProof/>
          <w:kern w:val="0"/>
          <w:lang w:val="pt-PT"/>
        </w:rPr>
        <w:t>.</w:t>
      </w:r>
    </w:p>
    <w:p w14:paraId="066E0092"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E82713">
        <w:rPr>
          <w:rFonts w:ascii="Times New Roman" w:hAnsi="Times New Roman" w:cs="Times New Roman"/>
          <w:noProof/>
          <w:kern w:val="0"/>
          <w:lang w:val="pt-PT"/>
        </w:rPr>
        <w:t xml:space="preserve">Palanivelu, P. (2019). </w:t>
      </w:r>
      <w:r w:rsidRPr="00A652DE">
        <w:rPr>
          <w:rFonts w:ascii="Times New Roman" w:hAnsi="Times New Roman" w:cs="Times New Roman"/>
          <w:noProof/>
          <w:kern w:val="0"/>
        </w:rPr>
        <w:t xml:space="preserve">Active Sites of the Multi-subunit RNA Polymerases of Eubacteria and Chloroplasts are Similar in Structure and Function. </w:t>
      </w:r>
      <w:r w:rsidRPr="00A652DE">
        <w:rPr>
          <w:rFonts w:ascii="Times New Roman" w:hAnsi="Times New Roman" w:cs="Times New Roman"/>
          <w:i/>
          <w:iCs/>
          <w:noProof/>
          <w:kern w:val="0"/>
        </w:rPr>
        <w:t>Indian Journal of Science and Technology</w:t>
      </w:r>
      <w:r w:rsidRPr="00A652DE">
        <w:rPr>
          <w:rFonts w:ascii="Times New Roman" w:hAnsi="Times New Roman" w:cs="Times New Roman"/>
          <w:noProof/>
          <w:kern w:val="0"/>
        </w:rPr>
        <w:t>, 12(20), 1–32. https://doi.org/10.17485/ijst/2019/v12i20/142613</w:t>
      </w:r>
      <w:r>
        <w:rPr>
          <w:rFonts w:ascii="Times New Roman" w:hAnsi="Times New Roman" w:cs="Times New Roman"/>
          <w:noProof/>
          <w:kern w:val="0"/>
        </w:rPr>
        <w:t>.</w:t>
      </w:r>
    </w:p>
    <w:p w14:paraId="45189FAE"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Palomar, V. M., Jaksich, S., Fujii, S., Kuciński, J., &amp; Wierzbicki, A. T. (2022). High-resolution map of plastid-encoded RNA polymerase binding patterns demonstrates a major role of transcription in chloroplast gene expression. </w:t>
      </w:r>
      <w:r w:rsidRPr="00A652DE">
        <w:rPr>
          <w:rFonts w:ascii="Times New Roman" w:hAnsi="Times New Roman" w:cs="Times New Roman"/>
          <w:i/>
          <w:iCs/>
          <w:noProof/>
          <w:kern w:val="0"/>
        </w:rPr>
        <w:t>Plant Journal</w:t>
      </w:r>
      <w:r w:rsidRPr="00A652DE">
        <w:rPr>
          <w:rFonts w:ascii="Times New Roman" w:hAnsi="Times New Roman" w:cs="Times New Roman"/>
          <w:noProof/>
          <w:kern w:val="0"/>
        </w:rPr>
        <w:t>, 111(4), 1139–1151. https://doi.org/10.1111/tpj.15882</w:t>
      </w:r>
      <w:r>
        <w:rPr>
          <w:rFonts w:ascii="Times New Roman" w:hAnsi="Times New Roman" w:cs="Times New Roman"/>
          <w:noProof/>
          <w:kern w:val="0"/>
        </w:rPr>
        <w:t>.</w:t>
      </w:r>
    </w:p>
    <w:p w14:paraId="5CB2AA5B" w14:textId="77777777" w:rsidR="00CE4A8B" w:rsidRPr="00E82713"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lang w:val="pt-PT"/>
        </w:rPr>
      </w:pPr>
      <w:r w:rsidRPr="00A652DE">
        <w:rPr>
          <w:rFonts w:ascii="Times New Roman" w:hAnsi="Times New Roman" w:cs="Times New Roman"/>
          <w:noProof/>
          <w:kern w:val="0"/>
        </w:rPr>
        <w:t xml:space="preserve">Paterson. (2013). </w:t>
      </w:r>
      <w:r w:rsidRPr="00A652DE">
        <w:rPr>
          <w:rFonts w:ascii="Times New Roman" w:hAnsi="Times New Roman" w:cs="Times New Roman"/>
          <w:i/>
          <w:iCs/>
          <w:noProof/>
          <w:kern w:val="0"/>
        </w:rPr>
        <w:t>Genomics of the Saccharinae</w:t>
      </w:r>
      <w:r w:rsidRPr="00A652DE">
        <w:rPr>
          <w:rFonts w:ascii="Times New Roman" w:hAnsi="Times New Roman" w:cs="Times New Roman"/>
          <w:noProof/>
          <w:kern w:val="0"/>
        </w:rPr>
        <w:t xml:space="preserve"> (Jorgensen A Richard, Ed.; Vol. 11). </w:t>
      </w:r>
      <w:r w:rsidRPr="00E82713">
        <w:rPr>
          <w:rFonts w:ascii="Times New Roman" w:hAnsi="Times New Roman" w:cs="Times New Roman"/>
          <w:noProof/>
          <w:kern w:val="0"/>
          <w:lang w:val="pt-PT"/>
        </w:rPr>
        <w:t>Springer. http://www.springer.com/series/7397.</w:t>
      </w:r>
    </w:p>
    <w:p w14:paraId="4D3E3E3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E82713">
        <w:rPr>
          <w:rFonts w:ascii="Times New Roman" w:hAnsi="Times New Roman" w:cs="Times New Roman"/>
          <w:noProof/>
          <w:kern w:val="0"/>
          <w:lang w:val="pt-PT"/>
        </w:rPr>
        <w:lastRenderedPageBreak/>
        <w:t xml:space="preserve">Perera, M. F., Peña Malavera, A. N., Henriquez, D. D., Noguera, A. S., Racedo, J., &amp; Ostengo, S. (2025). </w:t>
      </w:r>
      <w:r w:rsidRPr="00A652DE">
        <w:rPr>
          <w:rFonts w:ascii="Times New Roman" w:hAnsi="Times New Roman" w:cs="Times New Roman"/>
          <w:noProof/>
          <w:kern w:val="0"/>
        </w:rPr>
        <w:t xml:space="preserve">Sugarcane Genetic Diversity Study of Germplasm Bank and Assessment of a Core Collection. </w:t>
      </w:r>
      <w:r w:rsidRPr="00A652DE">
        <w:rPr>
          <w:rFonts w:ascii="Times New Roman" w:hAnsi="Times New Roman" w:cs="Times New Roman"/>
          <w:i/>
          <w:iCs/>
          <w:noProof/>
          <w:kern w:val="0"/>
        </w:rPr>
        <w:t>Agronomy</w:t>
      </w:r>
      <w:r w:rsidRPr="00A652DE">
        <w:rPr>
          <w:rFonts w:ascii="Times New Roman" w:hAnsi="Times New Roman" w:cs="Times New Roman"/>
          <w:noProof/>
          <w:kern w:val="0"/>
        </w:rPr>
        <w:t>, 15(11). https://doi.org/10.3390/agronomy15112638</w:t>
      </w:r>
      <w:r>
        <w:rPr>
          <w:rFonts w:ascii="Times New Roman" w:hAnsi="Times New Roman" w:cs="Times New Roman"/>
          <w:noProof/>
          <w:kern w:val="0"/>
        </w:rPr>
        <w:t>.</w:t>
      </w:r>
    </w:p>
    <w:p w14:paraId="67E5F063"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Ping, J., Zhong, X., Wang, T., &amp; Su, Y. (2023). The Broken Chloroplast Gene Clusters in Gymnosperms Exhibit Elevated Substitution Rates. </w:t>
      </w:r>
      <w:r w:rsidRPr="00A652DE">
        <w:rPr>
          <w:rFonts w:ascii="Times New Roman" w:hAnsi="Times New Roman" w:cs="Times New Roman"/>
          <w:i/>
          <w:iCs/>
          <w:noProof/>
          <w:kern w:val="0"/>
        </w:rPr>
        <w:t>Forests</w:t>
      </w:r>
      <w:r w:rsidRPr="00A652DE">
        <w:rPr>
          <w:rFonts w:ascii="Times New Roman" w:hAnsi="Times New Roman" w:cs="Times New Roman"/>
          <w:noProof/>
          <w:kern w:val="0"/>
        </w:rPr>
        <w:t>, 14(8). https://doi.org/10.3390/f14081681</w:t>
      </w:r>
      <w:r>
        <w:rPr>
          <w:rFonts w:ascii="Times New Roman" w:hAnsi="Times New Roman" w:cs="Times New Roman"/>
          <w:noProof/>
          <w:kern w:val="0"/>
        </w:rPr>
        <w:t>.</w:t>
      </w:r>
    </w:p>
    <w:p w14:paraId="7B440471"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Ronquist, F., Teslenko, M., Van Der Mark, P., Ayres, D. L., Darling, A., Höhna, S., Larget, B., Liu, L., Suchard, M. A., &amp; Huelsenbeck, J. P. (2012). Mrbayes 3.2: Efficient bayesian phylogenetic inference and model choice across a large model space. </w:t>
      </w:r>
      <w:r w:rsidRPr="00A652DE">
        <w:rPr>
          <w:rFonts w:ascii="Times New Roman" w:hAnsi="Times New Roman" w:cs="Times New Roman"/>
          <w:i/>
          <w:iCs/>
          <w:noProof/>
          <w:kern w:val="0"/>
        </w:rPr>
        <w:t>Systematic Biology</w:t>
      </w:r>
      <w:r w:rsidRPr="00A652DE">
        <w:rPr>
          <w:rFonts w:ascii="Times New Roman" w:hAnsi="Times New Roman" w:cs="Times New Roman"/>
          <w:noProof/>
          <w:kern w:val="0"/>
        </w:rPr>
        <w:t>, 61(3), 539–542. https://doi.org/10.1093/sysbio/sys029</w:t>
      </w:r>
      <w:r>
        <w:rPr>
          <w:rFonts w:ascii="Times New Roman" w:hAnsi="Times New Roman" w:cs="Times New Roman"/>
          <w:noProof/>
          <w:kern w:val="0"/>
        </w:rPr>
        <w:t>.</w:t>
      </w:r>
    </w:p>
    <w:p w14:paraId="7B6B5444"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Sathyamurthy, D., Mannu, J., Natesan, S., Nathan, B., Nallusamy, S., Narayanan, M. B., &amp; Duraisamy, K. (2025). Comparative chloroplast genome analysis of six millet species along with related Poaceae family members. </w:t>
      </w:r>
      <w:r w:rsidRPr="00A652DE">
        <w:rPr>
          <w:rFonts w:ascii="Times New Roman" w:hAnsi="Times New Roman" w:cs="Times New Roman"/>
          <w:i/>
          <w:iCs/>
          <w:noProof/>
          <w:kern w:val="0"/>
        </w:rPr>
        <w:t>Nucleus (India)</w:t>
      </w:r>
      <w:r w:rsidRPr="00A652DE">
        <w:rPr>
          <w:rFonts w:ascii="Times New Roman" w:hAnsi="Times New Roman" w:cs="Times New Roman"/>
          <w:noProof/>
          <w:kern w:val="0"/>
        </w:rPr>
        <w:t>, 68(1), 13–24. https://doi.org/10.1007/s13237-023-00464-</w:t>
      </w:r>
      <w:r>
        <w:rPr>
          <w:rFonts w:ascii="Times New Roman" w:hAnsi="Times New Roman" w:cs="Times New Roman"/>
          <w:noProof/>
          <w:kern w:val="0"/>
        </w:rPr>
        <w:t>0.</w:t>
      </w:r>
    </w:p>
    <w:p w14:paraId="5F8CA03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Sriram, S., Palanichamy, C., Subash, P. T., Gupta, M. K., &amp; Sudandiradoss, C. (2025). Molecular dynamics simulations based siRNA design against GPR10 reveals stable RNAi therapeutics for hormone-dependent uterine fibroids. </w:t>
      </w:r>
      <w:r w:rsidRPr="00A652DE">
        <w:rPr>
          <w:rFonts w:ascii="Times New Roman" w:hAnsi="Times New Roman" w:cs="Times New Roman"/>
          <w:i/>
          <w:iCs/>
          <w:noProof/>
          <w:kern w:val="0"/>
        </w:rPr>
        <w:t>Scientific Reports</w:t>
      </w:r>
      <w:r w:rsidRPr="00A652DE">
        <w:rPr>
          <w:rFonts w:ascii="Times New Roman" w:hAnsi="Times New Roman" w:cs="Times New Roman"/>
          <w:noProof/>
          <w:kern w:val="0"/>
        </w:rPr>
        <w:t>, 15(1). https://doi.org/10.1038/s41598-025-16936-z</w:t>
      </w:r>
      <w:r>
        <w:rPr>
          <w:rFonts w:ascii="Times New Roman" w:hAnsi="Times New Roman" w:cs="Times New Roman"/>
          <w:noProof/>
          <w:kern w:val="0"/>
        </w:rPr>
        <w:t>.</w:t>
      </w:r>
    </w:p>
    <w:p w14:paraId="30EB9DB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Stern, D. B., Goldschmidt-Clermont, M., &amp; Hanson, M. R. (2010). Chloroplast RNA metabolism. </w:t>
      </w:r>
      <w:r w:rsidRPr="00A652DE">
        <w:rPr>
          <w:rFonts w:ascii="Times New Roman" w:hAnsi="Times New Roman" w:cs="Times New Roman"/>
          <w:i/>
          <w:iCs/>
          <w:noProof/>
          <w:kern w:val="0"/>
        </w:rPr>
        <w:t>Annual Review of Plant Biology</w:t>
      </w:r>
      <w:r w:rsidRPr="00A652DE">
        <w:rPr>
          <w:rFonts w:ascii="Times New Roman" w:hAnsi="Times New Roman" w:cs="Times New Roman"/>
          <w:noProof/>
          <w:kern w:val="0"/>
        </w:rPr>
        <w:t>, 61, 125–155. https://doi.org/10.1146/annurev-arplant-042809-112242</w:t>
      </w:r>
      <w:r>
        <w:rPr>
          <w:rFonts w:ascii="Times New Roman" w:hAnsi="Times New Roman" w:cs="Times New Roman"/>
          <w:noProof/>
          <w:kern w:val="0"/>
        </w:rPr>
        <w:t>.</w:t>
      </w:r>
    </w:p>
    <w:p w14:paraId="5A0E9514"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Sun, Y., Li, J., Zhang, L., &amp; Lin, R. (2023). Regulation of chloroplast protein degradation. In </w:t>
      </w:r>
      <w:r w:rsidRPr="00A652DE">
        <w:rPr>
          <w:rFonts w:ascii="Times New Roman" w:hAnsi="Times New Roman" w:cs="Times New Roman"/>
          <w:i/>
          <w:iCs/>
          <w:noProof/>
          <w:kern w:val="0"/>
        </w:rPr>
        <w:t>Journal of Genetics and Genomics</w:t>
      </w:r>
      <w:r w:rsidRPr="00A652DE">
        <w:rPr>
          <w:rFonts w:ascii="Times New Roman" w:hAnsi="Times New Roman" w:cs="Times New Roman"/>
          <w:noProof/>
          <w:kern w:val="0"/>
        </w:rPr>
        <w:t xml:space="preserve"> (Vol. 50, Number 6, pp. 375–384). Institute of Genetics and Developmental Biology. https://doi.org/10.1016/j.jgg.2023.02.010</w:t>
      </w:r>
      <w:r>
        <w:rPr>
          <w:rFonts w:ascii="Times New Roman" w:hAnsi="Times New Roman" w:cs="Times New Roman"/>
          <w:noProof/>
          <w:kern w:val="0"/>
        </w:rPr>
        <w:t>.</w:t>
      </w:r>
    </w:p>
    <w:p w14:paraId="7C79F60E"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E82713">
        <w:rPr>
          <w:rFonts w:ascii="Times New Roman" w:hAnsi="Times New Roman" w:cs="Times New Roman"/>
          <w:noProof/>
          <w:kern w:val="0"/>
          <w:lang w:val="pt-PT"/>
        </w:rPr>
        <w:t xml:space="preserve">Tadini, L., Jeran, N., Peracchio, C., Masiero, S., Colombo, M., &amp; Pesaresi, P. (2020). </w:t>
      </w:r>
      <w:r w:rsidRPr="00A652DE">
        <w:rPr>
          <w:rFonts w:ascii="Times New Roman" w:hAnsi="Times New Roman" w:cs="Times New Roman"/>
          <w:noProof/>
          <w:kern w:val="0"/>
        </w:rPr>
        <w:t xml:space="preserve">The plastid transcription machinery and its coordination with the expression of nuclear genome: Plastid-encoded polymerase, nuclear-encoded polymerase and the genomes uncoupled 1-mediated retrograde communication. In </w:t>
      </w:r>
      <w:r w:rsidRPr="00A652DE">
        <w:rPr>
          <w:rFonts w:ascii="Times New Roman" w:hAnsi="Times New Roman" w:cs="Times New Roman"/>
          <w:i/>
          <w:iCs/>
          <w:noProof/>
          <w:kern w:val="0"/>
        </w:rPr>
        <w:t>Philosophical Transactions of the Royal Society B: Biological Sciences</w:t>
      </w:r>
      <w:r w:rsidRPr="00A652DE">
        <w:rPr>
          <w:rFonts w:ascii="Times New Roman" w:hAnsi="Times New Roman" w:cs="Times New Roman"/>
          <w:noProof/>
          <w:kern w:val="0"/>
        </w:rPr>
        <w:t xml:space="preserve"> (Vol. 375, Number 1801). Royal Society Publishing. https://doi.org/10.1098/rstb.2019.0399</w:t>
      </w:r>
      <w:r>
        <w:rPr>
          <w:rFonts w:ascii="Times New Roman" w:hAnsi="Times New Roman" w:cs="Times New Roman"/>
          <w:noProof/>
          <w:kern w:val="0"/>
        </w:rPr>
        <w:t>.</w:t>
      </w:r>
    </w:p>
    <w:p w14:paraId="6DE17676"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Tillich, M., Lehwark, P., Pellizzer, T., Ulbricht-Jones, E. S., Fischer, A., Bock, R., &amp; Greiner, S. (2017). GeSeq – versatile and accurate annotation of organelle genomes. </w:t>
      </w:r>
      <w:r w:rsidRPr="00A652DE">
        <w:rPr>
          <w:rFonts w:ascii="Times New Roman" w:hAnsi="Times New Roman" w:cs="Times New Roman"/>
          <w:i/>
          <w:iCs/>
          <w:noProof/>
          <w:kern w:val="0"/>
        </w:rPr>
        <w:t>Nucleic Acids Research</w:t>
      </w:r>
      <w:r w:rsidRPr="00A652DE">
        <w:rPr>
          <w:rFonts w:ascii="Times New Roman" w:hAnsi="Times New Roman" w:cs="Times New Roman"/>
          <w:noProof/>
          <w:kern w:val="0"/>
        </w:rPr>
        <w:t>, 45(W1), W6–W11. https://doi.org/10.1093/nar/gkx391</w:t>
      </w:r>
      <w:r>
        <w:rPr>
          <w:rFonts w:ascii="Times New Roman" w:hAnsi="Times New Roman" w:cs="Times New Roman"/>
          <w:noProof/>
          <w:kern w:val="0"/>
        </w:rPr>
        <w:t>.</w:t>
      </w:r>
    </w:p>
    <w:p w14:paraId="7D8A84F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Vergara-Cruces, Á., Pramanick, I., Pearce, D., Vogirala, V. K., Byrne, M. J., Low, J. K. K., &amp; Webster, M. W. (2024). Structure of the plant plastid-encoded RNA polymerase. </w:t>
      </w:r>
      <w:r w:rsidRPr="00A652DE">
        <w:rPr>
          <w:rFonts w:ascii="Times New Roman" w:hAnsi="Times New Roman" w:cs="Times New Roman"/>
          <w:i/>
          <w:iCs/>
          <w:noProof/>
          <w:kern w:val="0"/>
        </w:rPr>
        <w:t>Cell</w:t>
      </w:r>
      <w:r w:rsidRPr="00A652DE">
        <w:rPr>
          <w:rFonts w:ascii="Times New Roman" w:hAnsi="Times New Roman" w:cs="Times New Roman"/>
          <w:noProof/>
          <w:kern w:val="0"/>
        </w:rPr>
        <w:t>, 187(5), 1145-1159.e21. https://doi.org/10.1016/j.cell.2024.01.036</w:t>
      </w:r>
      <w:r>
        <w:rPr>
          <w:rFonts w:ascii="Times New Roman" w:hAnsi="Times New Roman" w:cs="Times New Roman"/>
          <w:noProof/>
          <w:kern w:val="0"/>
        </w:rPr>
        <w:t>.</w:t>
      </w:r>
    </w:p>
    <w:p w14:paraId="461C4B41"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Wang, T., Fang, J., &amp; Zhang, J. (2022). Advances in Sugarcane Genomics and Genetics. In </w:t>
      </w:r>
      <w:r w:rsidRPr="00A652DE">
        <w:rPr>
          <w:rFonts w:ascii="Times New Roman" w:hAnsi="Times New Roman" w:cs="Times New Roman"/>
          <w:i/>
          <w:iCs/>
          <w:noProof/>
          <w:kern w:val="0"/>
        </w:rPr>
        <w:t>Sugar Tech</w:t>
      </w:r>
      <w:r w:rsidRPr="00A652DE">
        <w:rPr>
          <w:rFonts w:ascii="Times New Roman" w:hAnsi="Times New Roman" w:cs="Times New Roman"/>
          <w:noProof/>
          <w:kern w:val="0"/>
        </w:rPr>
        <w:t xml:space="preserve"> (Vol. 24, Number 1, pp. 354–368). Springer. https://doi.org/10.1007/s12355-021-01065-4</w:t>
      </w:r>
      <w:r>
        <w:rPr>
          <w:rFonts w:ascii="Times New Roman" w:hAnsi="Times New Roman" w:cs="Times New Roman"/>
          <w:noProof/>
          <w:kern w:val="0"/>
        </w:rPr>
        <w:t>.</w:t>
      </w:r>
    </w:p>
    <w:p w14:paraId="467FCDC3"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Wang, T., Wang, G. L., Fang, Y., Zhang, Y., Peng, W., Zhou, Y., Zhang, A., Yu, L. J., &amp; Lu, C. (2024). Architecture of the spinach plastid-encoded RNA polymerase. </w:t>
      </w:r>
      <w:r w:rsidRPr="00A652DE">
        <w:rPr>
          <w:rFonts w:ascii="Times New Roman" w:hAnsi="Times New Roman" w:cs="Times New Roman"/>
          <w:i/>
          <w:iCs/>
          <w:noProof/>
          <w:kern w:val="0"/>
        </w:rPr>
        <w:t>Nature Communications</w:t>
      </w:r>
      <w:r w:rsidRPr="00A652DE">
        <w:rPr>
          <w:rFonts w:ascii="Times New Roman" w:hAnsi="Times New Roman" w:cs="Times New Roman"/>
          <w:noProof/>
          <w:kern w:val="0"/>
        </w:rPr>
        <w:t>, 15(1). https://doi.org/10.1038/s</w:t>
      </w:r>
      <w:r>
        <w:rPr>
          <w:rFonts w:ascii="Times New Roman" w:hAnsi="Times New Roman" w:cs="Times New Roman"/>
          <w:noProof/>
          <w:kern w:val="0"/>
        </w:rPr>
        <w:t xml:space="preserve"> </w:t>
      </w:r>
      <w:r w:rsidRPr="00A652DE">
        <w:rPr>
          <w:rFonts w:ascii="Times New Roman" w:hAnsi="Times New Roman" w:cs="Times New Roman"/>
          <w:noProof/>
          <w:kern w:val="0"/>
        </w:rPr>
        <w:t>41467-024-54266-2</w:t>
      </w:r>
      <w:r>
        <w:rPr>
          <w:rFonts w:ascii="Times New Roman" w:hAnsi="Times New Roman" w:cs="Times New Roman"/>
          <w:noProof/>
          <w:kern w:val="0"/>
        </w:rPr>
        <w:t>.</w:t>
      </w:r>
    </w:p>
    <w:p w14:paraId="300580D1"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lastRenderedPageBreak/>
        <w:t xml:space="preserve">Wick, R. R., Schultz, M. B., Zobel, J., &amp; Holt, K. E. (2015). Bandage: Interactive visualization of de novo genome assemblies. </w:t>
      </w:r>
      <w:r w:rsidRPr="00A652DE">
        <w:rPr>
          <w:rFonts w:ascii="Times New Roman" w:hAnsi="Times New Roman" w:cs="Times New Roman"/>
          <w:i/>
          <w:iCs/>
          <w:noProof/>
          <w:kern w:val="0"/>
        </w:rPr>
        <w:t>Bioinformatics</w:t>
      </w:r>
      <w:r w:rsidRPr="00A652DE">
        <w:rPr>
          <w:rFonts w:ascii="Times New Roman" w:hAnsi="Times New Roman" w:cs="Times New Roman"/>
          <w:noProof/>
          <w:kern w:val="0"/>
        </w:rPr>
        <w:t>, 31(20), 3350–3352. https://doi.org/10.1093/bioinformatics/btv383</w:t>
      </w:r>
      <w:r>
        <w:rPr>
          <w:rFonts w:ascii="Times New Roman" w:hAnsi="Times New Roman" w:cs="Times New Roman"/>
          <w:noProof/>
          <w:kern w:val="0"/>
        </w:rPr>
        <w:t>.</w:t>
      </w:r>
    </w:p>
    <w:p w14:paraId="5E2B96A2"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Widyasari, W. B., Putra, L. K., Ranomahera, M. R. R., &amp; Puspitasari, A. R. (2022). Historical Notes, Germplasm Development, and Molecular Approaches to Support Sugarcane Breeding Program in Indonesia. </w:t>
      </w:r>
      <w:r w:rsidRPr="00A652DE">
        <w:rPr>
          <w:rFonts w:ascii="Times New Roman" w:hAnsi="Times New Roman" w:cs="Times New Roman"/>
          <w:i/>
          <w:iCs/>
          <w:noProof/>
          <w:kern w:val="0"/>
        </w:rPr>
        <w:t>Sugar Tech</w:t>
      </w:r>
      <w:r w:rsidRPr="00A652DE">
        <w:rPr>
          <w:rFonts w:ascii="Times New Roman" w:hAnsi="Times New Roman" w:cs="Times New Roman"/>
          <w:noProof/>
          <w:kern w:val="0"/>
        </w:rPr>
        <w:t>, 24(1), 30–47. https://doi.org/10.1007/s12355-021-01069-0</w:t>
      </w:r>
      <w:r>
        <w:rPr>
          <w:rFonts w:ascii="Times New Roman" w:hAnsi="Times New Roman" w:cs="Times New Roman"/>
          <w:noProof/>
          <w:kern w:val="0"/>
        </w:rPr>
        <w:t>.</w:t>
      </w:r>
    </w:p>
    <w:p w14:paraId="493EB458" w14:textId="77777777" w:rsidR="00CE4A8B" w:rsidRPr="00E82713"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lang w:val="pt-PT"/>
        </w:rPr>
      </w:pPr>
      <w:r w:rsidRPr="00A652DE">
        <w:rPr>
          <w:rFonts w:ascii="Times New Roman" w:hAnsi="Times New Roman" w:cs="Times New Roman"/>
          <w:noProof/>
          <w:kern w:val="0"/>
        </w:rPr>
        <w:t xml:space="preserve">Wonok, W., Sudmoon, R., Tanee, T., Lee, S. Y., &amp; Chaveerach, A. (2023). Complete Chloroplast Genome of Four Thai Native Dioscorea Species: Structural, Comparative and Phylogenetic Analyses. </w:t>
      </w:r>
      <w:r w:rsidRPr="00E82713">
        <w:rPr>
          <w:rFonts w:ascii="Times New Roman" w:hAnsi="Times New Roman" w:cs="Times New Roman"/>
          <w:i/>
          <w:iCs/>
          <w:noProof/>
          <w:kern w:val="0"/>
          <w:lang w:val="pt-PT"/>
        </w:rPr>
        <w:t>Genes</w:t>
      </w:r>
      <w:r w:rsidRPr="00E82713">
        <w:rPr>
          <w:rFonts w:ascii="Times New Roman" w:hAnsi="Times New Roman" w:cs="Times New Roman"/>
          <w:noProof/>
          <w:kern w:val="0"/>
          <w:lang w:val="pt-PT"/>
        </w:rPr>
        <w:t>, 14(3). https://doi.org/10.3390/genes14030703.</w:t>
      </w:r>
    </w:p>
    <w:p w14:paraId="0599789A"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E82713">
        <w:rPr>
          <w:rFonts w:ascii="Times New Roman" w:hAnsi="Times New Roman" w:cs="Times New Roman"/>
          <w:noProof/>
          <w:kern w:val="0"/>
          <w:lang w:val="pt-PT"/>
        </w:rPr>
        <w:t xml:space="preserve">Wu, Q., Li, A., Zhao, P., Xia, H., Zhang, Y., &amp; Que, Y. (2024). </w:t>
      </w:r>
      <w:r w:rsidRPr="00A652DE">
        <w:rPr>
          <w:rFonts w:ascii="Times New Roman" w:hAnsi="Times New Roman" w:cs="Times New Roman"/>
          <w:noProof/>
          <w:kern w:val="0"/>
        </w:rPr>
        <w:t xml:space="preserve">Theory to practice: a success in breeding sugarcane variety YZ08–1609 known as the King of Sugar. </w:t>
      </w:r>
      <w:r w:rsidRPr="00A652DE">
        <w:rPr>
          <w:rFonts w:ascii="Times New Roman" w:hAnsi="Times New Roman" w:cs="Times New Roman"/>
          <w:i/>
          <w:iCs/>
          <w:noProof/>
          <w:kern w:val="0"/>
        </w:rPr>
        <w:t>Frontiers in Plant Science</w:t>
      </w:r>
      <w:r w:rsidRPr="00A652DE">
        <w:rPr>
          <w:rFonts w:ascii="Times New Roman" w:hAnsi="Times New Roman" w:cs="Times New Roman"/>
          <w:noProof/>
          <w:kern w:val="0"/>
        </w:rPr>
        <w:t>, 15. https://doi.org/10.3389/fpls.2024.1413108</w:t>
      </w:r>
      <w:r>
        <w:rPr>
          <w:rFonts w:ascii="Times New Roman" w:hAnsi="Times New Roman" w:cs="Times New Roman"/>
          <w:noProof/>
          <w:kern w:val="0"/>
        </w:rPr>
        <w:t>.</w:t>
      </w:r>
    </w:p>
    <w:p w14:paraId="6BB45D3F"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Xu, F., He, L., Gao, S., Su, Y., Li, F., &amp; Xu, L. (2019). Comparative analysis of two sugarcane ancestors </w:t>
      </w:r>
      <w:r w:rsidRPr="00A652DE">
        <w:rPr>
          <w:rFonts w:ascii="Times New Roman" w:hAnsi="Times New Roman" w:cs="Times New Roman"/>
          <w:i/>
          <w:iCs/>
          <w:noProof/>
          <w:kern w:val="0"/>
        </w:rPr>
        <w:t xml:space="preserve">Saccharum officinarum </w:t>
      </w:r>
      <w:r w:rsidRPr="00A652DE">
        <w:rPr>
          <w:rFonts w:ascii="Times New Roman" w:hAnsi="Times New Roman" w:cs="Times New Roman"/>
          <w:noProof/>
          <w:kern w:val="0"/>
        </w:rPr>
        <w:t xml:space="preserve">and </w:t>
      </w:r>
      <w:r w:rsidRPr="00A652DE">
        <w:rPr>
          <w:rFonts w:ascii="Times New Roman" w:hAnsi="Times New Roman" w:cs="Times New Roman"/>
          <w:i/>
          <w:iCs/>
          <w:noProof/>
          <w:kern w:val="0"/>
        </w:rPr>
        <w:t>S. spontaneum</w:t>
      </w:r>
      <w:r w:rsidRPr="00A652DE">
        <w:rPr>
          <w:rFonts w:ascii="Times New Roman" w:hAnsi="Times New Roman" w:cs="Times New Roman"/>
          <w:noProof/>
          <w:kern w:val="0"/>
        </w:rPr>
        <w:t xml:space="preserve"> based on complete chloroplast genome sequences and photosynthetic ability in cold stress. </w:t>
      </w:r>
      <w:r w:rsidRPr="00A652DE">
        <w:rPr>
          <w:rFonts w:ascii="Times New Roman" w:hAnsi="Times New Roman" w:cs="Times New Roman"/>
          <w:i/>
          <w:iCs/>
          <w:noProof/>
          <w:kern w:val="0"/>
        </w:rPr>
        <w:t>International Journal of Molecular Sciences</w:t>
      </w:r>
      <w:r w:rsidRPr="00A652DE">
        <w:rPr>
          <w:rFonts w:ascii="Times New Roman" w:hAnsi="Times New Roman" w:cs="Times New Roman"/>
          <w:noProof/>
          <w:kern w:val="0"/>
        </w:rPr>
        <w:t>, 20(15). https://doi.org/10.3390/ijms20153828</w:t>
      </w:r>
    </w:p>
    <w:p w14:paraId="016A27A9"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Yao, H., Li, T., Ma, Z., Wang, X., Xu, L., Zhang, Y., Cai, Y., &amp; Tang, Z. (2023). Patterns of Ancestral Green Plants Codon Usage Bias Revealed through Rhodophyta. </w:t>
      </w:r>
      <w:r w:rsidRPr="00A652DE">
        <w:rPr>
          <w:rFonts w:ascii="Times New Roman" w:hAnsi="Times New Roman" w:cs="Times New Roman"/>
          <w:i/>
          <w:iCs/>
          <w:noProof/>
          <w:kern w:val="0"/>
        </w:rPr>
        <w:t>BMC Genomics</w:t>
      </w:r>
      <w:r w:rsidRPr="00A652DE">
        <w:rPr>
          <w:rFonts w:ascii="Times New Roman" w:hAnsi="Times New Roman" w:cs="Times New Roman"/>
          <w:noProof/>
          <w:kern w:val="0"/>
        </w:rPr>
        <w:t>, 1. https://doi.org/10.21203/rs.3.rs-2878656/v</w:t>
      </w:r>
      <w:r>
        <w:rPr>
          <w:rFonts w:ascii="Times New Roman" w:hAnsi="Times New Roman" w:cs="Times New Roman"/>
          <w:noProof/>
          <w:kern w:val="0"/>
        </w:rPr>
        <w:t>1.</w:t>
      </w:r>
    </w:p>
    <w:p w14:paraId="608035EA"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Yu, Q. B., Huang, C., &amp; Yang, Z. N. (2014). Nuclear-encoded factors associated with the chloroplast transcription machinery of higher plants. In </w:t>
      </w:r>
      <w:r w:rsidRPr="00A652DE">
        <w:rPr>
          <w:rFonts w:ascii="Times New Roman" w:hAnsi="Times New Roman" w:cs="Times New Roman"/>
          <w:i/>
          <w:iCs/>
          <w:noProof/>
          <w:kern w:val="0"/>
        </w:rPr>
        <w:t>Frontiers in Plant Science</w:t>
      </w:r>
      <w:r w:rsidRPr="00A652DE">
        <w:rPr>
          <w:rFonts w:ascii="Times New Roman" w:hAnsi="Times New Roman" w:cs="Times New Roman"/>
          <w:noProof/>
          <w:kern w:val="0"/>
        </w:rPr>
        <w:t xml:space="preserve"> (Vol. 5, Number JUL). https://doi.org/10.3389/fpls.2014.00316</w:t>
      </w:r>
      <w:r>
        <w:rPr>
          <w:rFonts w:ascii="Times New Roman" w:hAnsi="Times New Roman" w:cs="Times New Roman"/>
          <w:noProof/>
          <w:kern w:val="0"/>
        </w:rPr>
        <w:t>.</w:t>
      </w:r>
    </w:p>
    <w:p w14:paraId="31A142B4"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kern w:val="0"/>
        </w:rPr>
      </w:pPr>
      <w:r w:rsidRPr="00A652DE">
        <w:rPr>
          <w:rFonts w:ascii="Times New Roman" w:hAnsi="Times New Roman" w:cs="Times New Roman"/>
          <w:noProof/>
          <w:kern w:val="0"/>
        </w:rPr>
        <w:t xml:space="preserve">Zhang, C., Li, W., Wu, Y., Li, S., Hua, B., &amp; Sun, H. (2025). Chloroplast Functionality at the Interface of Growth, Defense, and Genetic Innovation: A Multi-Omics and Technological Perspective. In </w:t>
      </w:r>
      <w:r w:rsidRPr="00A652DE">
        <w:rPr>
          <w:rFonts w:ascii="Times New Roman" w:hAnsi="Times New Roman" w:cs="Times New Roman"/>
          <w:i/>
          <w:iCs/>
          <w:noProof/>
          <w:kern w:val="0"/>
        </w:rPr>
        <w:t>Plants</w:t>
      </w:r>
      <w:r w:rsidRPr="00A652DE">
        <w:rPr>
          <w:rFonts w:ascii="Times New Roman" w:hAnsi="Times New Roman" w:cs="Times New Roman"/>
          <w:noProof/>
          <w:kern w:val="0"/>
        </w:rPr>
        <w:t xml:space="preserve"> (Vol. 14, Number 6). Multidisciplinary Digital Publishing Institute (MDPI). https://doi.org/10.3390/plants14060978</w:t>
      </w:r>
      <w:r>
        <w:rPr>
          <w:rFonts w:ascii="Times New Roman" w:hAnsi="Times New Roman" w:cs="Times New Roman"/>
          <w:noProof/>
          <w:kern w:val="0"/>
        </w:rPr>
        <w:t>.</w:t>
      </w:r>
    </w:p>
    <w:p w14:paraId="1288B987" w14:textId="77777777" w:rsidR="00CE4A8B" w:rsidRPr="00A652DE" w:rsidRDefault="00CE4A8B" w:rsidP="00CE4A8B">
      <w:pPr>
        <w:widowControl w:val="0"/>
        <w:autoSpaceDE w:val="0"/>
        <w:autoSpaceDN w:val="0"/>
        <w:adjustRightInd w:val="0"/>
        <w:spacing w:after="0" w:line="360" w:lineRule="auto"/>
        <w:ind w:left="480" w:hanging="480"/>
        <w:jc w:val="both"/>
        <w:rPr>
          <w:rFonts w:ascii="Times New Roman" w:hAnsi="Times New Roman" w:cs="Times New Roman"/>
          <w:noProof/>
        </w:rPr>
      </w:pPr>
      <w:r w:rsidRPr="00A652DE">
        <w:rPr>
          <w:rFonts w:ascii="Times New Roman" w:hAnsi="Times New Roman" w:cs="Times New Roman"/>
          <w:noProof/>
          <w:kern w:val="0"/>
        </w:rPr>
        <w:t xml:space="preserve">Zhou, Y., Mihail, E. S., Luo, Z., Sood, S., Islam, M. S., &amp; Wang, J. (2025). Exploring Morphological, Transcriptomic, and Metabolomic Differences Between Two Sister Lines with Contrasting Resistance to Orange Rust Disease in Sugarcane. </w:t>
      </w:r>
      <w:r w:rsidRPr="00A652DE">
        <w:rPr>
          <w:rFonts w:ascii="Times New Roman" w:hAnsi="Times New Roman" w:cs="Times New Roman"/>
          <w:i/>
          <w:iCs/>
          <w:noProof/>
          <w:kern w:val="0"/>
        </w:rPr>
        <w:t>International Journal of Molecular Sciences</w:t>
      </w:r>
      <w:r w:rsidRPr="00A652DE">
        <w:rPr>
          <w:rFonts w:ascii="Times New Roman" w:hAnsi="Times New Roman" w:cs="Times New Roman"/>
          <w:noProof/>
          <w:kern w:val="0"/>
        </w:rPr>
        <w:t>, 26(8). https://doi.org/10.3390/ijms26083490</w:t>
      </w:r>
      <w:r>
        <w:rPr>
          <w:rFonts w:ascii="Times New Roman" w:hAnsi="Times New Roman" w:cs="Times New Roman"/>
          <w:noProof/>
          <w:kern w:val="0"/>
        </w:rPr>
        <w:t>.</w:t>
      </w:r>
    </w:p>
    <w:p w14:paraId="2242241F" w14:textId="77777777" w:rsidR="00CE4A8B" w:rsidRPr="00727C2A" w:rsidRDefault="00CE4A8B" w:rsidP="00CE4A8B">
      <w:pPr>
        <w:spacing w:after="0" w:line="360" w:lineRule="auto"/>
        <w:jc w:val="both"/>
        <w:rPr>
          <w:rFonts w:ascii="Times New Roman" w:hAnsi="Times New Roman" w:cs="Times New Roman"/>
        </w:rPr>
      </w:pPr>
      <w:r>
        <w:rPr>
          <w:rFonts w:ascii="Times New Roman" w:eastAsia="Times New Roman" w:hAnsi="Times New Roman" w:cs="Times New Roman"/>
        </w:rPr>
        <w:fldChar w:fldCharType="end"/>
      </w:r>
    </w:p>
    <w:p w14:paraId="5E7075F4" w14:textId="77777777" w:rsidR="00CE4A8B" w:rsidRDefault="00CE4A8B" w:rsidP="00CE4A8B">
      <w:pPr>
        <w:spacing w:after="0" w:line="360" w:lineRule="auto"/>
        <w:jc w:val="both"/>
        <w:rPr>
          <w:rFonts w:ascii="Times New Roman" w:hAnsi="Times New Roman" w:cs="Times New Roman"/>
        </w:rPr>
      </w:pPr>
    </w:p>
    <w:p w14:paraId="1B69F06D" w14:textId="77777777" w:rsidR="00CE4A8B" w:rsidRDefault="00CE4A8B" w:rsidP="00CE4A8B">
      <w:pPr>
        <w:spacing w:after="0" w:line="360" w:lineRule="auto"/>
        <w:jc w:val="both"/>
        <w:rPr>
          <w:rFonts w:ascii="Times New Roman" w:hAnsi="Times New Roman" w:cs="Times New Roman"/>
        </w:rPr>
      </w:pPr>
    </w:p>
    <w:p w14:paraId="4A3956D2" w14:textId="77777777" w:rsidR="00CE4A8B" w:rsidRDefault="00CE4A8B" w:rsidP="00CE4A8B">
      <w:pPr>
        <w:spacing w:after="0" w:line="360" w:lineRule="auto"/>
        <w:jc w:val="both"/>
        <w:rPr>
          <w:rFonts w:ascii="Times New Roman" w:hAnsi="Times New Roman" w:cs="Times New Roman"/>
        </w:rPr>
      </w:pPr>
    </w:p>
    <w:p w14:paraId="14C48C3C" w14:textId="77777777" w:rsidR="00CE4A8B" w:rsidRDefault="00CE4A8B" w:rsidP="00CE4A8B">
      <w:pPr>
        <w:spacing w:after="0" w:line="360" w:lineRule="auto"/>
        <w:jc w:val="both"/>
        <w:rPr>
          <w:rFonts w:ascii="Times New Roman" w:hAnsi="Times New Roman" w:cs="Times New Roman"/>
        </w:rPr>
      </w:pPr>
    </w:p>
    <w:p w14:paraId="53449A62" w14:textId="77777777" w:rsidR="00CE4A8B" w:rsidRDefault="00CE4A8B" w:rsidP="00CE4A8B">
      <w:pPr>
        <w:spacing w:after="0" w:line="360" w:lineRule="auto"/>
        <w:jc w:val="both"/>
        <w:rPr>
          <w:rFonts w:ascii="Times New Roman" w:hAnsi="Times New Roman" w:cs="Times New Roman"/>
        </w:rPr>
      </w:pPr>
    </w:p>
    <w:p w14:paraId="09E39179" w14:textId="77777777" w:rsidR="00CE4A8B" w:rsidRDefault="00CE4A8B" w:rsidP="00CE4A8B">
      <w:pPr>
        <w:spacing w:after="0" w:line="360" w:lineRule="auto"/>
        <w:jc w:val="both"/>
        <w:rPr>
          <w:rFonts w:ascii="Times New Roman" w:hAnsi="Times New Roman" w:cs="Times New Roman"/>
        </w:rPr>
      </w:pPr>
    </w:p>
    <w:p w14:paraId="7A5089B3" w14:textId="77777777" w:rsidR="00CE4A8B" w:rsidRDefault="00CE4A8B" w:rsidP="00CE4A8B">
      <w:pPr>
        <w:spacing w:after="0" w:line="360" w:lineRule="auto"/>
        <w:jc w:val="both"/>
        <w:rPr>
          <w:rFonts w:ascii="Times New Roman" w:hAnsi="Times New Roman" w:cs="Times New Roman"/>
        </w:rPr>
      </w:pPr>
    </w:p>
    <w:p w14:paraId="725E7680" w14:textId="77777777" w:rsidR="00CE4A8B" w:rsidRDefault="00CE4A8B" w:rsidP="00CE4A8B">
      <w:pPr>
        <w:spacing w:after="0" w:line="360" w:lineRule="auto"/>
        <w:jc w:val="both"/>
        <w:rPr>
          <w:rFonts w:ascii="Times New Roman" w:hAnsi="Times New Roman" w:cs="Times New Roman"/>
          <w:b/>
          <w:bCs/>
        </w:rPr>
      </w:pPr>
      <w:r w:rsidRPr="00A652DE">
        <w:rPr>
          <w:rFonts w:ascii="Times New Roman" w:hAnsi="Times New Roman" w:cs="Times New Roman"/>
          <w:b/>
          <w:bCs/>
        </w:rPr>
        <w:lastRenderedPageBreak/>
        <w:t>Tables</w:t>
      </w:r>
    </w:p>
    <w:p w14:paraId="2CF5128C" w14:textId="77777777" w:rsidR="00CE4A8B" w:rsidRPr="00A652DE" w:rsidRDefault="00CE4A8B" w:rsidP="00CE4A8B">
      <w:pPr>
        <w:spacing w:after="0" w:line="240" w:lineRule="auto"/>
        <w:rPr>
          <w:rFonts w:ascii="Times New Roman" w:hAnsi="Times New Roman" w:cs="Times New Roman"/>
        </w:rPr>
      </w:pPr>
      <w:r w:rsidRPr="00A652DE">
        <w:rPr>
          <w:rFonts w:ascii="Times New Roman" w:eastAsia="Times New Roman" w:hAnsi="Times New Roman" w:cs="Times New Roman"/>
          <w:b/>
          <w:bCs/>
        </w:rPr>
        <w:t>Table 1</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 xml:space="preserve">Basic features of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genes identified in the chloroplast genomes of </w:t>
      </w:r>
      <w:r w:rsidRPr="00A652DE">
        <w:rPr>
          <w:rFonts w:ascii="Times New Roman" w:hAnsi="Times New Roman" w:cs="Times New Roman"/>
          <w:i/>
          <w:iCs/>
        </w:rPr>
        <w:t xml:space="preserve">Saccharum </w:t>
      </w:r>
      <w:r w:rsidRPr="00A652DE">
        <w:rPr>
          <w:rFonts w:ascii="Times New Roman" w:hAnsi="Times New Roman" w:cs="Times New Roman"/>
        </w:rPr>
        <w:t>hybrid ‘</w:t>
      </w:r>
      <w:proofErr w:type="spellStart"/>
      <w:r w:rsidRPr="00A652DE">
        <w:rPr>
          <w:rFonts w:ascii="Times New Roman" w:hAnsi="Times New Roman" w:cs="Times New Roman"/>
        </w:rPr>
        <w:t>Kidang</w:t>
      </w:r>
      <w:proofErr w:type="spellEnd"/>
      <w:r w:rsidRPr="00A652DE">
        <w:rPr>
          <w:rFonts w:ascii="Times New Roman" w:hAnsi="Times New Roman" w:cs="Times New Roman"/>
        </w:rPr>
        <w:t xml:space="preserve"> </w:t>
      </w:r>
      <w:proofErr w:type="spellStart"/>
      <w:r w:rsidRPr="00A652DE">
        <w:rPr>
          <w:rFonts w:ascii="Times New Roman" w:hAnsi="Times New Roman" w:cs="Times New Roman"/>
        </w:rPr>
        <w:t>Kencana</w:t>
      </w:r>
      <w:proofErr w:type="spellEnd"/>
      <w:r w:rsidRPr="00A652DE">
        <w:rPr>
          <w:rFonts w:ascii="Times New Roman" w:hAnsi="Times New Roman" w:cs="Times New Roman"/>
        </w:rPr>
        <w:t>’ and ‘</w:t>
      </w:r>
      <w:proofErr w:type="spellStart"/>
      <w:r w:rsidRPr="00A652DE">
        <w:rPr>
          <w:rFonts w:ascii="Times New Roman" w:hAnsi="Times New Roman" w:cs="Times New Roman"/>
        </w:rPr>
        <w:t>Bululawang</w:t>
      </w:r>
      <w:proofErr w:type="spellEnd"/>
      <w:r w:rsidRPr="00A652DE">
        <w:rPr>
          <w:rFonts w:ascii="Times New Roman" w:hAnsi="Times New Roman" w:cs="Times New Roman"/>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83"/>
        <w:gridCol w:w="1058"/>
        <w:gridCol w:w="1255"/>
        <w:gridCol w:w="1211"/>
        <w:gridCol w:w="1211"/>
        <w:gridCol w:w="1216"/>
        <w:gridCol w:w="1545"/>
      </w:tblGrid>
      <w:tr w:rsidR="00CE4A8B" w:rsidRPr="00A652DE" w14:paraId="230761CF" w14:textId="77777777" w:rsidTr="003E4F56">
        <w:tc>
          <w:tcPr>
            <w:tcW w:w="2127" w:type="dxa"/>
            <w:tcBorders>
              <w:top w:val="single" w:sz="4" w:space="0" w:color="auto"/>
              <w:bottom w:val="single" w:sz="4" w:space="0" w:color="auto"/>
            </w:tcBorders>
            <w:vAlign w:val="center"/>
          </w:tcPr>
          <w:p w14:paraId="50D55D0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Sugarcane cultivar</w:t>
            </w:r>
          </w:p>
        </w:tc>
        <w:tc>
          <w:tcPr>
            <w:tcW w:w="1199" w:type="dxa"/>
            <w:tcBorders>
              <w:top w:val="single" w:sz="4" w:space="0" w:color="auto"/>
              <w:bottom w:val="single" w:sz="4" w:space="0" w:color="auto"/>
            </w:tcBorders>
            <w:vAlign w:val="center"/>
          </w:tcPr>
          <w:p w14:paraId="245F8D8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Gene</w:t>
            </w:r>
          </w:p>
        </w:tc>
        <w:tc>
          <w:tcPr>
            <w:tcW w:w="1069" w:type="dxa"/>
            <w:tcBorders>
              <w:top w:val="single" w:sz="4" w:space="0" w:color="auto"/>
              <w:bottom w:val="single" w:sz="4" w:space="0" w:color="auto"/>
            </w:tcBorders>
            <w:vAlign w:val="center"/>
          </w:tcPr>
          <w:p w14:paraId="00C5F4D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Start (bp)</w:t>
            </w:r>
          </w:p>
        </w:tc>
        <w:tc>
          <w:tcPr>
            <w:tcW w:w="1275" w:type="dxa"/>
            <w:tcBorders>
              <w:top w:val="single" w:sz="4" w:space="0" w:color="auto"/>
              <w:bottom w:val="single" w:sz="4" w:space="0" w:color="auto"/>
            </w:tcBorders>
            <w:vAlign w:val="center"/>
          </w:tcPr>
          <w:p w14:paraId="454E08A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End</w:t>
            </w:r>
          </w:p>
          <w:p w14:paraId="5DAE21B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(bp)</w:t>
            </w:r>
          </w:p>
        </w:tc>
        <w:tc>
          <w:tcPr>
            <w:tcW w:w="1225" w:type="dxa"/>
            <w:tcBorders>
              <w:top w:val="single" w:sz="4" w:space="0" w:color="auto"/>
              <w:bottom w:val="single" w:sz="4" w:space="0" w:color="auto"/>
            </w:tcBorders>
            <w:vAlign w:val="center"/>
          </w:tcPr>
          <w:p w14:paraId="7C50603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Gene Length (bp)</w:t>
            </w:r>
          </w:p>
        </w:tc>
        <w:tc>
          <w:tcPr>
            <w:tcW w:w="1225" w:type="dxa"/>
            <w:tcBorders>
              <w:top w:val="single" w:sz="4" w:space="0" w:color="auto"/>
              <w:bottom w:val="single" w:sz="4" w:space="0" w:color="auto"/>
            </w:tcBorders>
            <w:vAlign w:val="center"/>
          </w:tcPr>
          <w:p w14:paraId="3289008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CDS Length</w:t>
            </w:r>
          </w:p>
          <w:p w14:paraId="4CE69C0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(bp)</w:t>
            </w:r>
          </w:p>
        </w:tc>
        <w:tc>
          <w:tcPr>
            <w:tcW w:w="1230" w:type="dxa"/>
            <w:tcBorders>
              <w:top w:val="single" w:sz="4" w:space="0" w:color="auto"/>
              <w:bottom w:val="single" w:sz="4" w:space="0" w:color="auto"/>
            </w:tcBorders>
            <w:vAlign w:val="center"/>
          </w:tcPr>
          <w:p w14:paraId="45FD8A7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Protein Length (aa)</w:t>
            </w:r>
          </w:p>
        </w:tc>
        <w:tc>
          <w:tcPr>
            <w:tcW w:w="1565" w:type="dxa"/>
            <w:tcBorders>
              <w:top w:val="single" w:sz="4" w:space="0" w:color="auto"/>
              <w:bottom w:val="single" w:sz="4" w:space="0" w:color="auto"/>
            </w:tcBorders>
            <w:vAlign w:val="center"/>
          </w:tcPr>
          <w:p w14:paraId="2AB5FF14" w14:textId="77777777" w:rsidR="00CE4A8B" w:rsidRPr="00A652DE" w:rsidRDefault="00CE4A8B" w:rsidP="003E4F56">
            <w:pPr>
              <w:jc w:val="cente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sz w:val="24"/>
                <w:szCs w:val="24"/>
              </w:rPr>
              <w:t>Plastome</w:t>
            </w:r>
            <w:proofErr w:type="spellEnd"/>
            <w:r w:rsidRPr="00A652DE">
              <w:rPr>
                <w:rFonts w:ascii="Times New Roman" w:eastAsia="Times New Roman" w:hAnsi="Times New Roman" w:cs="Times New Roman"/>
                <w:sz w:val="24"/>
                <w:szCs w:val="24"/>
              </w:rPr>
              <w:t xml:space="preserve"> Region</w:t>
            </w:r>
          </w:p>
        </w:tc>
      </w:tr>
      <w:tr w:rsidR="00CE4A8B" w:rsidRPr="00A652DE" w14:paraId="72ADFB2B" w14:textId="77777777" w:rsidTr="003E4F56">
        <w:tc>
          <w:tcPr>
            <w:tcW w:w="2127" w:type="dxa"/>
            <w:vMerge w:val="restart"/>
            <w:tcBorders>
              <w:top w:val="single" w:sz="4" w:space="0" w:color="auto"/>
            </w:tcBorders>
            <w:vAlign w:val="center"/>
          </w:tcPr>
          <w:p w14:paraId="6D3FF6DF" w14:textId="77777777" w:rsidR="00CE4A8B" w:rsidRPr="00A652DE" w:rsidRDefault="00CE4A8B" w:rsidP="003E4F56">
            <w:pP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sz w:val="24"/>
                <w:szCs w:val="24"/>
              </w:rPr>
              <w:t>Kidang</w:t>
            </w:r>
            <w:proofErr w:type="spellEnd"/>
            <w:r w:rsidRPr="00A652DE">
              <w:rPr>
                <w:rFonts w:ascii="Times New Roman" w:eastAsia="Times New Roman" w:hAnsi="Times New Roman" w:cs="Times New Roman"/>
                <w:sz w:val="24"/>
                <w:szCs w:val="24"/>
              </w:rPr>
              <w:t xml:space="preserve"> </w:t>
            </w:r>
            <w:proofErr w:type="spellStart"/>
            <w:r w:rsidRPr="00A652DE">
              <w:rPr>
                <w:rFonts w:ascii="Times New Roman" w:eastAsia="Times New Roman" w:hAnsi="Times New Roman" w:cs="Times New Roman"/>
                <w:sz w:val="24"/>
                <w:szCs w:val="24"/>
              </w:rPr>
              <w:t>Kencana</w:t>
            </w:r>
            <w:proofErr w:type="spellEnd"/>
          </w:p>
        </w:tc>
        <w:tc>
          <w:tcPr>
            <w:tcW w:w="1199" w:type="dxa"/>
            <w:tcBorders>
              <w:top w:val="single" w:sz="4" w:space="0" w:color="auto"/>
              <w:bottom w:val="single" w:sz="4" w:space="0" w:color="auto"/>
            </w:tcBorders>
          </w:tcPr>
          <w:p w14:paraId="49EEBD73" w14:textId="77777777" w:rsidR="00CE4A8B" w:rsidRPr="00A652DE" w:rsidRDefault="00CE4A8B" w:rsidP="003E4F56">
            <w:pPr>
              <w:jc w:val="cente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A</w:t>
            </w:r>
            <w:proofErr w:type="spellEnd"/>
          </w:p>
        </w:tc>
        <w:tc>
          <w:tcPr>
            <w:tcW w:w="1069" w:type="dxa"/>
            <w:tcBorders>
              <w:top w:val="single" w:sz="4" w:space="0" w:color="auto"/>
              <w:bottom w:val="single" w:sz="4" w:space="0" w:color="auto"/>
            </w:tcBorders>
          </w:tcPr>
          <w:p w14:paraId="66E6C91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76817</w:t>
            </w:r>
          </w:p>
        </w:tc>
        <w:tc>
          <w:tcPr>
            <w:tcW w:w="1275" w:type="dxa"/>
            <w:tcBorders>
              <w:top w:val="single" w:sz="4" w:space="0" w:color="auto"/>
              <w:bottom w:val="single" w:sz="4" w:space="0" w:color="auto"/>
            </w:tcBorders>
          </w:tcPr>
          <w:p w14:paraId="3EBDF2F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77836</w:t>
            </w:r>
          </w:p>
        </w:tc>
        <w:tc>
          <w:tcPr>
            <w:tcW w:w="1225" w:type="dxa"/>
            <w:tcBorders>
              <w:top w:val="single" w:sz="4" w:space="0" w:color="auto"/>
              <w:bottom w:val="single" w:sz="4" w:space="0" w:color="auto"/>
            </w:tcBorders>
          </w:tcPr>
          <w:p w14:paraId="181EC5A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1020</w:t>
            </w:r>
          </w:p>
        </w:tc>
        <w:tc>
          <w:tcPr>
            <w:tcW w:w="1225" w:type="dxa"/>
            <w:tcBorders>
              <w:top w:val="single" w:sz="4" w:space="0" w:color="auto"/>
              <w:bottom w:val="single" w:sz="4" w:space="0" w:color="auto"/>
            </w:tcBorders>
          </w:tcPr>
          <w:p w14:paraId="6F90411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1020</w:t>
            </w:r>
          </w:p>
        </w:tc>
        <w:tc>
          <w:tcPr>
            <w:tcW w:w="1230" w:type="dxa"/>
            <w:tcBorders>
              <w:top w:val="single" w:sz="4" w:space="0" w:color="auto"/>
              <w:bottom w:val="single" w:sz="4" w:space="0" w:color="auto"/>
            </w:tcBorders>
          </w:tcPr>
          <w:p w14:paraId="0C1D475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339</w:t>
            </w:r>
          </w:p>
        </w:tc>
        <w:tc>
          <w:tcPr>
            <w:tcW w:w="1565" w:type="dxa"/>
            <w:tcBorders>
              <w:top w:val="single" w:sz="4" w:space="0" w:color="auto"/>
              <w:bottom w:val="single" w:sz="4" w:space="0" w:color="auto"/>
            </w:tcBorders>
          </w:tcPr>
          <w:p w14:paraId="5A470C4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0F160636" w14:textId="77777777" w:rsidTr="003E4F56">
        <w:tc>
          <w:tcPr>
            <w:tcW w:w="2127" w:type="dxa"/>
            <w:vMerge/>
            <w:vAlign w:val="center"/>
          </w:tcPr>
          <w:p w14:paraId="17898D7F"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bottom w:val="single" w:sz="4" w:space="0" w:color="auto"/>
            </w:tcBorders>
          </w:tcPr>
          <w:p w14:paraId="1305F1C5" w14:textId="77777777" w:rsidR="00CE4A8B" w:rsidRPr="00A652DE" w:rsidRDefault="00CE4A8B" w:rsidP="003E4F56">
            <w:pPr>
              <w:jc w:val="cente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B</w:t>
            </w:r>
            <w:proofErr w:type="spellEnd"/>
          </w:p>
        </w:tc>
        <w:tc>
          <w:tcPr>
            <w:tcW w:w="1069" w:type="dxa"/>
            <w:tcBorders>
              <w:top w:val="single" w:sz="4" w:space="0" w:color="auto"/>
              <w:bottom w:val="single" w:sz="4" w:space="0" w:color="auto"/>
            </w:tcBorders>
          </w:tcPr>
          <w:p w14:paraId="6618C19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21918</w:t>
            </w:r>
          </w:p>
        </w:tc>
        <w:tc>
          <w:tcPr>
            <w:tcW w:w="1275" w:type="dxa"/>
            <w:tcBorders>
              <w:top w:val="single" w:sz="4" w:space="0" w:color="auto"/>
              <w:bottom w:val="single" w:sz="4" w:space="0" w:color="auto"/>
            </w:tcBorders>
          </w:tcPr>
          <w:p w14:paraId="5EC8CD4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25145</w:t>
            </w:r>
          </w:p>
        </w:tc>
        <w:tc>
          <w:tcPr>
            <w:tcW w:w="1225" w:type="dxa"/>
            <w:tcBorders>
              <w:top w:val="single" w:sz="4" w:space="0" w:color="auto"/>
              <w:bottom w:val="single" w:sz="4" w:space="0" w:color="auto"/>
            </w:tcBorders>
          </w:tcPr>
          <w:p w14:paraId="5878C2F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3228</w:t>
            </w:r>
          </w:p>
        </w:tc>
        <w:tc>
          <w:tcPr>
            <w:tcW w:w="1225" w:type="dxa"/>
            <w:tcBorders>
              <w:top w:val="single" w:sz="4" w:space="0" w:color="auto"/>
              <w:bottom w:val="single" w:sz="4" w:space="0" w:color="auto"/>
            </w:tcBorders>
          </w:tcPr>
          <w:p w14:paraId="2BDC35D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3228</w:t>
            </w:r>
          </w:p>
        </w:tc>
        <w:tc>
          <w:tcPr>
            <w:tcW w:w="1230" w:type="dxa"/>
            <w:tcBorders>
              <w:top w:val="single" w:sz="4" w:space="0" w:color="auto"/>
              <w:bottom w:val="single" w:sz="4" w:space="0" w:color="auto"/>
            </w:tcBorders>
          </w:tcPr>
          <w:p w14:paraId="3A0AC7E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1075</w:t>
            </w:r>
          </w:p>
        </w:tc>
        <w:tc>
          <w:tcPr>
            <w:tcW w:w="1565" w:type="dxa"/>
            <w:tcBorders>
              <w:top w:val="single" w:sz="4" w:space="0" w:color="auto"/>
              <w:bottom w:val="single" w:sz="4" w:space="0" w:color="auto"/>
            </w:tcBorders>
          </w:tcPr>
          <w:p w14:paraId="4AA3F5B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6A826D52" w14:textId="77777777" w:rsidTr="003E4F56">
        <w:tc>
          <w:tcPr>
            <w:tcW w:w="2127" w:type="dxa"/>
            <w:vMerge/>
            <w:vAlign w:val="center"/>
          </w:tcPr>
          <w:p w14:paraId="5AF8F6D8"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bottom w:val="single" w:sz="4" w:space="0" w:color="auto"/>
            </w:tcBorders>
          </w:tcPr>
          <w:p w14:paraId="1C22A34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C1</w:t>
            </w:r>
          </w:p>
        </w:tc>
        <w:tc>
          <w:tcPr>
            <w:tcW w:w="1069" w:type="dxa"/>
            <w:tcBorders>
              <w:top w:val="single" w:sz="4" w:space="0" w:color="auto"/>
              <w:bottom w:val="single" w:sz="4" w:space="0" w:color="auto"/>
            </w:tcBorders>
          </w:tcPr>
          <w:p w14:paraId="77DE6FF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25183</w:t>
            </w:r>
          </w:p>
        </w:tc>
        <w:tc>
          <w:tcPr>
            <w:tcW w:w="1275" w:type="dxa"/>
            <w:tcBorders>
              <w:top w:val="single" w:sz="4" w:space="0" w:color="auto"/>
              <w:bottom w:val="single" w:sz="4" w:space="0" w:color="auto"/>
            </w:tcBorders>
          </w:tcPr>
          <w:p w14:paraId="2B7B72F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27234</w:t>
            </w:r>
          </w:p>
        </w:tc>
        <w:tc>
          <w:tcPr>
            <w:tcW w:w="1225" w:type="dxa"/>
            <w:tcBorders>
              <w:top w:val="single" w:sz="4" w:space="0" w:color="auto"/>
              <w:bottom w:val="single" w:sz="4" w:space="0" w:color="auto"/>
            </w:tcBorders>
          </w:tcPr>
          <w:p w14:paraId="39F7165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2052</w:t>
            </w:r>
          </w:p>
        </w:tc>
        <w:tc>
          <w:tcPr>
            <w:tcW w:w="1225" w:type="dxa"/>
            <w:tcBorders>
              <w:top w:val="single" w:sz="4" w:space="0" w:color="auto"/>
              <w:bottom w:val="single" w:sz="4" w:space="0" w:color="auto"/>
            </w:tcBorders>
          </w:tcPr>
          <w:p w14:paraId="572218C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2052</w:t>
            </w:r>
          </w:p>
        </w:tc>
        <w:tc>
          <w:tcPr>
            <w:tcW w:w="1230" w:type="dxa"/>
            <w:tcBorders>
              <w:top w:val="single" w:sz="4" w:space="0" w:color="auto"/>
              <w:bottom w:val="single" w:sz="4" w:space="0" w:color="auto"/>
            </w:tcBorders>
          </w:tcPr>
          <w:p w14:paraId="521D2AB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683</w:t>
            </w:r>
          </w:p>
        </w:tc>
        <w:tc>
          <w:tcPr>
            <w:tcW w:w="1565" w:type="dxa"/>
            <w:tcBorders>
              <w:top w:val="single" w:sz="4" w:space="0" w:color="auto"/>
              <w:bottom w:val="single" w:sz="4" w:space="0" w:color="auto"/>
            </w:tcBorders>
          </w:tcPr>
          <w:p w14:paraId="43FD611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0291E13E" w14:textId="77777777" w:rsidTr="003E4F56">
        <w:tc>
          <w:tcPr>
            <w:tcW w:w="2127" w:type="dxa"/>
            <w:vMerge/>
            <w:tcBorders>
              <w:bottom w:val="single" w:sz="4" w:space="0" w:color="auto"/>
            </w:tcBorders>
            <w:vAlign w:val="center"/>
          </w:tcPr>
          <w:p w14:paraId="28A8C4F2"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bottom w:val="single" w:sz="4" w:space="0" w:color="auto"/>
            </w:tcBorders>
          </w:tcPr>
          <w:p w14:paraId="6D984FC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C2</w:t>
            </w:r>
          </w:p>
        </w:tc>
        <w:tc>
          <w:tcPr>
            <w:tcW w:w="1069" w:type="dxa"/>
            <w:tcBorders>
              <w:top w:val="single" w:sz="4" w:space="0" w:color="auto"/>
              <w:bottom w:val="single" w:sz="4" w:space="0" w:color="auto"/>
            </w:tcBorders>
          </w:tcPr>
          <w:p w14:paraId="073A6E2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27434</w:t>
            </w:r>
          </w:p>
        </w:tc>
        <w:tc>
          <w:tcPr>
            <w:tcW w:w="1275" w:type="dxa"/>
            <w:tcBorders>
              <w:top w:val="single" w:sz="4" w:space="0" w:color="auto"/>
              <w:bottom w:val="single" w:sz="4" w:space="0" w:color="auto"/>
            </w:tcBorders>
          </w:tcPr>
          <w:p w14:paraId="67A0794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32038</w:t>
            </w:r>
          </w:p>
        </w:tc>
        <w:tc>
          <w:tcPr>
            <w:tcW w:w="1225" w:type="dxa"/>
            <w:tcBorders>
              <w:top w:val="single" w:sz="4" w:space="0" w:color="auto"/>
              <w:bottom w:val="single" w:sz="4" w:space="0" w:color="auto"/>
            </w:tcBorders>
          </w:tcPr>
          <w:p w14:paraId="1258771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4605</w:t>
            </w:r>
          </w:p>
        </w:tc>
        <w:tc>
          <w:tcPr>
            <w:tcW w:w="1225" w:type="dxa"/>
            <w:tcBorders>
              <w:top w:val="single" w:sz="4" w:space="0" w:color="auto"/>
              <w:bottom w:val="single" w:sz="4" w:space="0" w:color="auto"/>
            </w:tcBorders>
          </w:tcPr>
          <w:p w14:paraId="66DDD4A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4605</w:t>
            </w:r>
          </w:p>
        </w:tc>
        <w:tc>
          <w:tcPr>
            <w:tcW w:w="1230" w:type="dxa"/>
            <w:tcBorders>
              <w:top w:val="single" w:sz="4" w:space="0" w:color="auto"/>
              <w:bottom w:val="single" w:sz="4" w:space="0" w:color="auto"/>
            </w:tcBorders>
          </w:tcPr>
          <w:p w14:paraId="6734951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1535</w:t>
            </w:r>
          </w:p>
        </w:tc>
        <w:tc>
          <w:tcPr>
            <w:tcW w:w="1565" w:type="dxa"/>
            <w:tcBorders>
              <w:top w:val="single" w:sz="4" w:space="0" w:color="auto"/>
              <w:bottom w:val="single" w:sz="4" w:space="0" w:color="auto"/>
            </w:tcBorders>
          </w:tcPr>
          <w:p w14:paraId="6749501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5BD6E7EE" w14:textId="77777777" w:rsidTr="003E4F56">
        <w:tc>
          <w:tcPr>
            <w:tcW w:w="2127" w:type="dxa"/>
            <w:vMerge w:val="restart"/>
            <w:tcBorders>
              <w:top w:val="single" w:sz="4" w:space="0" w:color="auto"/>
            </w:tcBorders>
            <w:vAlign w:val="center"/>
          </w:tcPr>
          <w:p w14:paraId="317AB010" w14:textId="77777777" w:rsidR="00CE4A8B" w:rsidRPr="00A652DE" w:rsidRDefault="00CE4A8B" w:rsidP="003E4F56">
            <w:pP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sz w:val="24"/>
                <w:szCs w:val="24"/>
              </w:rPr>
              <w:t>Bululawang</w:t>
            </w:r>
            <w:proofErr w:type="spellEnd"/>
          </w:p>
        </w:tc>
        <w:tc>
          <w:tcPr>
            <w:tcW w:w="1199" w:type="dxa"/>
            <w:tcBorders>
              <w:top w:val="single" w:sz="4" w:space="0" w:color="auto"/>
              <w:bottom w:val="single" w:sz="4" w:space="0" w:color="auto"/>
            </w:tcBorders>
          </w:tcPr>
          <w:p w14:paraId="4AC1138E" w14:textId="77777777" w:rsidR="00CE4A8B" w:rsidRPr="00A652DE" w:rsidRDefault="00CE4A8B" w:rsidP="003E4F56">
            <w:pPr>
              <w:jc w:val="cente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A</w:t>
            </w:r>
            <w:proofErr w:type="spellEnd"/>
          </w:p>
        </w:tc>
        <w:tc>
          <w:tcPr>
            <w:tcW w:w="1069" w:type="dxa"/>
            <w:tcBorders>
              <w:top w:val="single" w:sz="4" w:space="0" w:color="auto"/>
              <w:bottom w:val="single" w:sz="4" w:space="0" w:color="auto"/>
            </w:tcBorders>
          </w:tcPr>
          <w:p w14:paraId="6C1812D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5205</w:t>
            </w:r>
          </w:p>
        </w:tc>
        <w:tc>
          <w:tcPr>
            <w:tcW w:w="1275" w:type="dxa"/>
            <w:tcBorders>
              <w:top w:val="single" w:sz="4" w:space="0" w:color="auto"/>
              <w:bottom w:val="single" w:sz="4" w:space="0" w:color="auto"/>
            </w:tcBorders>
          </w:tcPr>
          <w:p w14:paraId="72979D4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6224</w:t>
            </w:r>
          </w:p>
        </w:tc>
        <w:tc>
          <w:tcPr>
            <w:tcW w:w="1225" w:type="dxa"/>
            <w:tcBorders>
              <w:top w:val="single" w:sz="4" w:space="0" w:color="auto"/>
              <w:bottom w:val="single" w:sz="4" w:space="0" w:color="auto"/>
            </w:tcBorders>
          </w:tcPr>
          <w:p w14:paraId="3D7A225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1020</w:t>
            </w:r>
          </w:p>
        </w:tc>
        <w:tc>
          <w:tcPr>
            <w:tcW w:w="1225" w:type="dxa"/>
            <w:tcBorders>
              <w:top w:val="single" w:sz="4" w:space="0" w:color="auto"/>
              <w:bottom w:val="single" w:sz="4" w:space="0" w:color="auto"/>
            </w:tcBorders>
          </w:tcPr>
          <w:p w14:paraId="1183F9D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1020</w:t>
            </w:r>
          </w:p>
        </w:tc>
        <w:tc>
          <w:tcPr>
            <w:tcW w:w="1230" w:type="dxa"/>
            <w:tcBorders>
              <w:top w:val="single" w:sz="4" w:space="0" w:color="auto"/>
              <w:bottom w:val="single" w:sz="4" w:space="0" w:color="auto"/>
            </w:tcBorders>
          </w:tcPr>
          <w:p w14:paraId="0F1544B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339</w:t>
            </w:r>
          </w:p>
        </w:tc>
        <w:tc>
          <w:tcPr>
            <w:tcW w:w="1565" w:type="dxa"/>
            <w:tcBorders>
              <w:top w:val="single" w:sz="4" w:space="0" w:color="auto"/>
              <w:bottom w:val="single" w:sz="4" w:space="0" w:color="auto"/>
            </w:tcBorders>
          </w:tcPr>
          <w:p w14:paraId="3DFADC0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14DBC8B6" w14:textId="77777777" w:rsidTr="003E4F56">
        <w:tc>
          <w:tcPr>
            <w:tcW w:w="2127" w:type="dxa"/>
            <w:vMerge/>
          </w:tcPr>
          <w:p w14:paraId="5E8C7FEF"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tcBorders>
          </w:tcPr>
          <w:p w14:paraId="4F14D1EF" w14:textId="77777777" w:rsidR="00CE4A8B" w:rsidRPr="00A652DE" w:rsidRDefault="00CE4A8B" w:rsidP="003E4F56">
            <w:pPr>
              <w:jc w:val="center"/>
              <w:rPr>
                <w:rFonts w:ascii="Times New Roman" w:eastAsia="Times New Roman" w:hAnsi="Times New Roman" w:cs="Times New Roman"/>
                <w:sz w:val="24"/>
                <w:szCs w:val="24"/>
              </w:rPr>
            </w:pPr>
            <w:proofErr w:type="spellStart"/>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B</w:t>
            </w:r>
            <w:proofErr w:type="spellEnd"/>
          </w:p>
        </w:tc>
        <w:tc>
          <w:tcPr>
            <w:tcW w:w="1069" w:type="dxa"/>
            <w:tcBorders>
              <w:top w:val="single" w:sz="4" w:space="0" w:color="auto"/>
              <w:bottom w:val="single" w:sz="4" w:space="0" w:color="auto"/>
            </w:tcBorders>
          </w:tcPr>
          <w:p w14:paraId="6CC69D0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57900</w:t>
            </w:r>
          </w:p>
        </w:tc>
        <w:tc>
          <w:tcPr>
            <w:tcW w:w="1275" w:type="dxa"/>
            <w:tcBorders>
              <w:top w:val="single" w:sz="4" w:space="0" w:color="auto"/>
              <w:bottom w:val="single" w:sz="4" w:space="0" w:color="auto"/>
            </w:tcBorders>
          </w:tcPr>
          <w:p w14:paraId="1A841D1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61127</w:t>
            </w:r>
          </w:p>
        </w:tc>
        <w:tc>
          <w:tcPr>
            <w:tcW w:w="1225" w:type="dxa"/>
            <w:tcBorders>
              <w:top w:val="single" w:sz="4" w:space="0" w:color="auto"/>
            </w:tcBorders>
          </w:tcPr>
          <w:p w14:paraId="595DEBA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3228</w:t>
            </w:r>
          </w:p>
        </w:tc>
        <w:tc>
          <w:tcPr>
            <w:tcW w:w="1225" w:type="dxa"/>
            <w:tcBorders>
              <w:top w:val="single" w:sz="4" w:space="0" w:color="auto"/>
            </w:tcBorders>
          </w:tcPr>
          <w:p w14:paraId="0325504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3228</w:t>
            </w:r>
          </w:p>
        </w:tc>
        <w:tc>
          <w:tcPr>
            <w:tcW w:w="1230" w:type="dxa"/>
            <w:tcBorders>
              <w:top w:val="single" w:sz="4" w:space="0" w:color="auto"/>
            </w:tcBorders>
          </w:tcPr>
          <w:p w14:paraId="4984ECD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1075</w:t>
            </w:r>
          </w:p>
        </w:tc>
        <w:tc>
          <w:tcPr>
            <w:tcW w:w="1565" w:type="dxa"/>
            <w:tcBorders>
              <w:top w:val="single" w:sz="4" w:space="0" w:color="auto"/>
            </w:tcBorders>
          </w:tcPr>
          <w:p w14:paraId="0B7EA71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281DBF61" w14:textId="77777777" w:rsidTr="003E4F56">
        <w:tc>
          <w:tcPr>
            <w:tcW w:w="2127" w:type="dxa"/>
            <w:vMerge/>
          </w:tcPr>
          <w:p w14:paraId="4EAFB4ED"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bottom w:val="single" w:sz="4" w:space="0" w:color="auto"/>
            </w:tcBorders>
          </w:tcPr>
          <w:p w14:paraId="45BCB48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C1</w:t>
            </w:r>
          </w:p>
        </w:tc>
        <w:tc>
          <w:tcPr>
            <w:tcW w:w="1069" w:type="dxa"/>
            <w:tcBorders>
              <w:top w:val="single" w:sz="4" w:space="0" w:color="auto"/>
              <w:bottom w:val="single" w:sz="4" w:space="0" w:color="auto"/>
            </w:tcBorders>
          </w:tcPr>
          <w:p w14:paraId="73665D0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55811</w:t>
            </w:r>
          </w:p>
        </w:tc>
        <w:tc>
          <w:tcPr>
            <w:tcW w:w="1275" w:type="dxa"/>
            <w:tcBorders>
              <w:top w:val="single" w:sz="4" w:space="0" w:color="auto"/>
              <w:bottom w:val="single" w:sz="4" w:space="0" w:color="auto"/>
            </w:tcBorders>
          </w:tcPr>
          <w:p w14:paraId="390AF7E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57862</w:t>
            </w:r>
          </w:p>
        </w:tc>
        <w:tc>
          <w:tcPr>
            <w:tcW w:w="1225" w:type="dxa"/>
            <w:tcBorders>
              <w:top w:val="single" w:sz="4" w:space="0" w:color="auto"/>
              <w:bottom w:val="single" w:sz="4" w:space="0" w:color="auto"/>
            </w:tcBorders>
          </w:tcPr>
          <w:p w14:paraId="74D4712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2052</w:t>
            </w:r>
          </w:p>
        </w:tc>
        <w:tc>
          <w:tcPr>
            <w:tcW w:w="1225" w:type="dxa"/>
            <w:tcBorders>
              <w:top w:val="single" w:sz="4" w:space="0" w:color="auto"/>
              <w:bottom w:val="single" w:sz="4" w:space="0" w:color="auto"/>
            </w:tcBorders>
          </w:tcPr>
          <w:p w14:paraId="15055C5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2052</w:t>
            </w:r>
          </w:p>
        </w:tc>
        <w:tc>
          <w:tcPr>
            <w:tcW w:w="1230" w:type="dxa"/>
            <w:tcBorders>
              <w:top w:val="single" w:sz="4" w:space="0" w:color="auto"/>
              <w:bottom w:val="single" w:sz="4" w:space="0" w:color="auto"/>
            </w:tcBorders>
          </w:tcPr>
          <w:p w14:paraId="09B3CBE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683</w:t>
            </w:r>
          </w:p>
        </w:tc>
        <w:tc>
          <w:tcPr>
            <w:tcW w:w="1565" w:type="dxa"/>
            <w:tcBorders>
              <w:top w:val="single" w:sz="4" w:space="0" w:color="auto"/>
              <w:bottom w:val="single" w:sz="4" w:space="0" w:color="auto"/>
            </w:tcBorders>
          </w:tcPr>
          <w:p w14:paraId="51A0FD2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r w:rsidR="00CE4A8B" w:rsidRPr="00A652DE" w14:paraId="445101EC" w14:textId="77777777" w:rsidTr="003E4F56">
        <w:tc>
          <w:tcPr>
            <w:tcW w:w="2127" w:type="dxa"/>
            <w:vMerge/>
          </w:tcPr>
          <w:p w14:paraId="1843B4C6" w14:textId="77777777" w:rsidR="00CE4A8B" w:rsidRPr="00A652DE" w:rsidRDefault="00CE4A8B" w:rsidP="003E4F56">
            <w:pPr>
              <w:rPr>
                <w:rFonts w:ascii="Times New Roman" w:eastAsia="Times New Roman" w:hAnsi="Times New Roman" w:cs="Times New Roman"/>
                <w:sz w:val="24"/>
                <w:szCs w:val="24"/>
              </w:rPr>
            </w:pPr>
          </w:p>
        </w:tc>
        <w:tc>
          <w:tcPr>
            <w:tcW w:w="1199" w:type="dxa"/>
            <w:tcBorders>
              <w:top w:val="single" w:sz="4" w:space="0" w:color="auto"/>
            </w:tcBorders>
          </w:tcPr>
          <w:p w14:paraId="787ABCC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rpo</w:t>
            </w:r>
            <w:r w:rsidRPr="00A652DE">
              <w:rPr>
                <w:rFonts w:ascii="Times New Roman" w:eastAsia="Times New Roman" w:hAnsi="Times New Roman" w:cs="Times New Roman"/>
                <w:sz w:val="24"/>
                <w:szCs w:val="24"/>
              </w:rPr>
              <w:t>C2</w:t>
            </w:r>
          </w:p>
        </w:tc>
        <w:tc>
          <w:tcPr>
            <w:tcW w:w="1069" w:type="dxa"/>
            <w:tcBorders>
              <w:top w:val="single" w:sz="4" w:space="0" w:color="auto"/>
              <w:bottom w:val="single" w:sz="4" w:space="0" w:color="auto"/>
            </w:tcBorders>
          </w:tcPr>
          <w:p w14:paraId="17AA49D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51007</w:t>
            </w:r>
          </w:p>
        </w:tc>
        <w:tc>
          <w:tcPr>
            <w:tcW w:w="1275" w:type="dxa"/>
            <w:tcBorders>
              <w:top w:val="single" w:sz="4" w:space="0" w:color="auto"/>
              <w:bottom w:val="single" w:sz="4" w:space="0" w:color="auto"/>
            </w:tcBorders>
          </w:tcPr>
          <w:p w14:paraId="7ADF5B4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55611</w:t>
            </w:r>
          </w:p>
        </w:tc>
        <w:tc>
          <w:tcPr>
            <w:tcW w:w="1225" w:type="dxa"/>
            <w:tcBorders>
              <w:top w:val="single" w:sz="4" w:space="0" w:color="auto"/>
            </w:tcBorders>
          </w:tcPr>
          <w:p w14:paraId="65BE7A8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4605</w:t>
            </w:r>
          </w:p>
        </w:tc>
        <w:tc>
          <w:tcPr>
            <w:tcW w:w="1225" w:type="dxa"/>
            <w:tcBorders>
              <w:top w:val="single" w:sz="4" w:space="0" w:color="auto"/>
            </w:tcBorders>
          </w:tcPr>
          <w:p w14:paraId="576F7A1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4605</w:t>
            </w:r>
          </w:p>
        </w:tc>
        <w:tc>
          <w:tcPr>
            <w:tcW w:w="1230" w:type="dxa"/>
            <w:tcBorders>
              <w:top w:val="single" w:sz="4" w:space="0" w:color="auto"/>
            </w:tcBorders>
          </w:tcPr>
          <w:p w14:paraId="6AAA9CA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1535</w:t>
            </w:r>
          </w:p>
        </w:tc>
        <w:tc>
          <w:tcPr>
            <w:tcW w:w="1565" w:type="dxa"/>
            <w:tcBorders>
              <w:top w:val="single" w:sz="4" w:space="0" w:color="auto"/>
            </w:tcBorders>
          </w:tcPr>
          <w:p w14:paraId="2E49125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LSC</w:t>
            </w:r>
          </w:p>
        </w:tc>
      </w:tr>
    </w:tbl>
    <w:p w14:paraId="72C399AA" w14:textId="77777777" w:rsidR="00CE4A8B" w:rsidRDefault="00CE4A8B" w:rsidP="00CE4A8B">
      <w:pPr>
        <w:spacing w:after="0" w:line="360" w:lineRule="auto"/>
        <w:jc w:val="both"/>
        <w:rPr>
          <w:rFonts w:ascii="Times New Roman" w:hAnsi="Times New Roman" w:cs="Times New Roman"/>
          <w:b/>
          <w:bCs/>
        </w:rPr>
      </w:pPr>
    </w:p>
    <w:p w14:paraId="54EB1447" w14:textId="77777777" w:rsidR="00CE4A8B" w:rsidRPr="00A652DE" w:rsidRDefault="00CE4A8B" w:rsidP="00CE4A8B">
      <w:pPr>
        <w:spacing w:after="0" w:line="240" w:lineRule="auto"/>
        <w:jc w:val="both"/>
        <w:rPr>
          <w:rFonts w:ascii="Times New Roman" w:eastAsia="Times New Roman" w:hAnsi="Times New Roman" w:cs="Times New Roman"/>
          <w:b/>
          <w:bCs/>
        </w:rPr>
      </w:pPr>
      <w:r w:rsidRPr="00A652DE">
        <w:rPr>
          <w:rFonts w:ascii="Times New Roman" w:eastAsia="Times New Roman" w:hAnsi="Times New Roman" w:cs="Times New Roman"/>
          <w:b/>
          <w:bCs/>
        </w:rPr>
        <w:t>Table 2</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 xml:space="preserve">Comparative root mean square deviation (RMSD) values of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proteins among </w:t>
      </w:r>
      <w:r w:rsidRPr="00A652DE">
        <w:rPr>
          <w:rFonts w:ascii="Times New Roman" w:eastAsia="Times New Roman" w:hAnsi="Times New Roman" w:cs="Times New Roman"/>
          <w:i/>
          <w:iCs/>
        </w:rPr>
        <w:t>Saccharum</w:t>
      </w:r>
      <w:r w:rsidRPr="00A652DE">
        <w:rPr>
          <w:rFonts w:ascii="Times New Roman" w:eastAsia="Times New Roman" w:hAnsi="Times New Roman" w:cs="Times New Roman"/>
        </w:rPr>
        <w:t xml:space="preserve"> species and selected outgroup (Å).</w:t>
      </w:r>
    </w:p>
    <w:tbl>
      <w:tblPr>
        <w:tblStyle w:val="TableGrid"/>
        <w:tblW w:w="11765" w:type="dxa"/>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2"/>
        <w:gridCol w:w="876"/>
        <w:gridCol w:w="990"/>
        <w:gridCol w:w="1274"/>
        <w:gridCol w:w="849"/>
        <w:gridCol w:w="876"/>
        <w:gridCol w:w="756"/>
        <w:gridCol w:w="843"/>
        <w:gridCol w:w="1069"/>
      </w:tblGrid>
      <w:tr w:rsidR="00CE4A8B" w:rsidRPr="00A652DE" w14:paraId="4E34DB23" w14:textId="77777777" w:rsidTr="003E4F56">
        <w:tc>
          <w:tcPr>
            <w:tcW w:w="4232" w:type="dxa"/>
            <w:tcBorders>
              <w:bottom w:val="nil"/>
            </w:tcBorders>
          </w:tcPr>
          <w:p w14:paraId="5975DC0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Species</w:t>
            </w:r>
          </w:p>
        </w:tc>
        <w:tc>
          <w:tcPr>
            <w:tcW w:w="3985" w:type="dxa"/>
            <w:gridSpan w:val="4"/>
            <w:tcBorders>
              <w:top w:val="single" w:sz="4" w:space="0" w:color="auto"/>
              <w:bottom w:val="single" w:sz="4" w:space="0" w:color="auto"/>
            </w:tcBorders>
          </w:tcPr>
          <w:p w14:paraId="19860801" w14:textId="77777777" w:rsidR="00CE4A8B" w:rsidRPr="00A652DE" w:rsidRDefault="00CE4A8B" w:rsidP="003E4F56">
            <w:pPr>
              <w:jc w:val="center"/>
              <w:rPr>
                <w:rFonts w:ascii="Times New Roman" w:eastAsia="Times New Roman" w:hAnsi="Times New Roman" w:cs="Times New Roman"/>
                <w:b/>
                <w:bCs/>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w:t>
            </w:r>
            <w:proofErr w:type="spellStart"/>
            <w:r w:rsidRPr="00A652DE">
              <w:rPr>
                <w:rFonts w:ascii="Times New Roman" w:eastAsia="Times New Roman" w:hAnsi="Times New Roman" w:cs="Times New Roman"/>
                <w:sz w:val="24"/>
                <w:szCs w:val="24"/>
              </w:rPr>
              <w:t>Kidang</w:t>
            </w:r>
            <w:proofErr w:type="spellEnd"/>
            <w:r w:rsidRPr="00A652DE">
              <w:rPr>
                <w:rFonts w:ascii="Times New Roman" w:eastAsia="Times New Roman" w:hAnsi="Times New Roman" w:cs="Times New Roman"/>
                <w:sz w:val="24"/>
                <w:szCs w:val="24"/>
              </w:rPr>
              <w:t xml:space="preserve"> </w:t>
            </w:r>
            <w:proofErr w:type="spellStart"/>
            <w:r w:rsidRPr="00A652DE">
              <w:rPr>
                <w:rFonts w:ascii="Times New Roman" w:eastAsia="Times New Roman" w:hAnsi="Times New Roman" w:cs="Times New Roman"/>
                <w:sz w:val="24"/>
                <w:szCs w:val="24"/>
              </w:rPr>
              <w:t>Kencana</w:t>
            </w:r>
            <w:proofErr w:type="spellEnd"/>
            <w:r w:rsidRPr="00A652DE">
              <w:rPr>
                <w:rFonts w:ascii="Times New Roman" w:eastAsia="Times New Roman" w:hAnsi="Times New Roman" w:cs="Times New Roman"/>
                <w:sz w:val="24"/>
                <w:szCs w:val="24"/>
              </w:rPr>
              <w:t>’</w:t>
            </w:r>
          </w:p>
        </w:tc>
        <w:tc>
          <w:tcPr>
            <w:tcW w:w="3544" w:type="dxa"/>
            <w:gridSpan w:val="4"/>
            <w:tcBorders>
              <w:top w:val="single" w:sz="4" w:space="0" w:color="auto"/>
              <w:bottom w:val="single" w:sz="4" w:space="0" w:color="auto"/>
            </w:tcBorders>
          </w:tcPr>
          <w:p w14:paraId="45EDC895" w14:textId="77777777" w:rsidR="00CE4A8B" w:rsidRPr="00A652DE" w:rsidRDefault="00CE4A8B" w:rsidP="003E4F56">
            <w:pPr>
              <w:jc w:val="center"/>
              <w:rPr>
                <w:rFonts w:ascii="Times New Roman" w:eastAsia="Times New Roman" w:hAnsi="Times New Roman" w:cs="Times New Roman"/>
                <w:b/>
                <w:bCs/>
                <w:sz w:val="24"/>
                <w:szCs w:val="24"/>
              </w:rPr>
            </w:pPr>
            <w:r w:rsidRPr="00A652DE">
              <w:rPr>
                <w:rFonts w:ascii="Times New Roman" w:eastAsia="Times New Roman" w:hAnsi="Times New Roman" w:cs="Times New Roman"/>
                <w:i/>
                <w:iCs/>
                <w:sz w:val="24"/>
                <w:szCs w:val="24"/>
              </w:rPr>
              <w:t>Saccharum</w:t>
            </w:r>
            <w:r w:rsidRPr="00A652DE">
              <w:rPr>
                <w:rFonts w:ascii="Times New Roman" w:eastAsia="Times New Roman" w:hAnsi="Times New Roman" w:cs="Times New Roman"/>
                <w:sz w:val="24"/>
                <w:szCs w:val="24"/>
              </w:rPr>
              <w:t xml:space="preserve"> hybrid ‘</w:t>
            </w:r>
            <w:proofErr w:type="spellStart"/>
            <w:r w:rsidRPr="00A652DE">
              <w:rPr>
                <w:rFonts w:ascii="Times New Roman" w:eastAsia="Times New Roman" w:hAnsi="Times New Roman" w:cs="Times New Roman"/>
                <w:sz w:val="24"/>
                <w:szCs w:val="24"/>
              </w:rPr>
              <w:t>Bululawang</w:t>
            </w:r>
            <w:proofErr w:type="spellEnd"/>
            <w:r w:rsidRPr="00A652DE">
              <w:rPr>
                <w:rFonts w:ascii="Times New Roman" w:eastAsia="Times New Roman" w:hAnsi="Times New Roman" w:cs="Times New Roman"/>
                <w:sz w:val="24"/>
                <w:szCs w:val="24"/>
              </w:rPr>
              <w:t>’</w:t>
            </w:r>
          </w:p>
        </w:tc>
      </w:tr>
      <w:tr w:rsidR="00CE4A8B" w:rsidRPr="00A652DE" w14:paraId="79E18355" w14:textId="77777777" w:rsidTr="003E4F56">
        <w:tc>
          <w:tcPr>
            <w:tcW w:w="4232" w:type="dxa"/>
            <w:tcBorders>
              <w:top w:val="nil"/>
              <w:bottom w:val="single" w:sz="4" w:space="0" w:color="auto"/>
            </w:tcBorders>
          </w:tcPr>
          <w:p w14:paraId="5CC7B3D7" w14:textId="77777777" w:rsidR="00CE4A8B" w:rsidRPr="00A652DE" w:rsidRDefault="00CE4A8B" w:rsidP="003E4F56">
            <w:pPr>
              <w:rPr>
                <w:rFonts w:ascii="Times New Roman" w:eastAsia="Times New Roman" w:hAnsi="Times New Roman" w:cs="Times New Roman"/>
                <w:sz w:val="24"/>
                <w:szCs w:val="24"/>
              </w:rPr>
            </w:pPr>
          </w:p>
        </w:tc>
        <w:tc>
          <w:tcPr>
            <w:tcW w:w="876" w:type="dxa"/>
            <w:tcBorders>
              <w:top w:val="single" w:sz="4" w:space="0" w:color="auto"/>
              <w:bottom w:val="single" w:sz="4" w:space="0" w:color="auto"/>
            </w:tcBorders>
          </w:tcPr>
          <w:p w14:paraId="744B2F0C" w14:textId="77777777" w:rsidR="00CE4A8B" w:rsidRPr="00A652DE" w:rsidRDefault="00CE4A8B" w:rsidP="003E4F56">
            <w:pPr>
              <w:jc w:val="center"/>
              <w:rPr>
                <w:rFonts w:ascii="Times New Roman" w:eastAsia="Times New Roman" w:hAnsi="Times New Roman" w:cs="Times New Roman"/>
                <w:b/>
                <w:bCs/>
                <w:i/>
                <w:iCs/>
                <w:sz w:val="24"/>
                <w:szCs w:val="24"/>
              </w:rPr>
            </w:pPr>
            <w:proofErr w:type="spellStart"/>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A</w:t>
            </w:r>
            <w:proofErr w:type="spellEnd"/>
          </w:p>
        </w:tc>
        <w:tc>
          <w:tcPr>
            <w:tcW w:w="990" w:type="dxa"/>
            <w:tcBorders>
              <w:top w:val="single" w:sz="4" w:space="0" w:color="auto"/>
              <w:bottom w:val="single" w:sz="4" w:space="0" w:color="auto"/>
            </w:tcBorders>
          </w:tcPr>
          <w:p w14:paraId="0358C770" w14:textId="77777777" w:rsidR="00CE4A8B" w:rsidRPr="00A652DE" w:rsidRDefault="00CE4A8B" w:rsidP="003E4F56">
            <w:pPr>
              <w:jc w:val="center"/>
              <w:rPr>
                <w:rFonts w:ascii="Times New Roman" w:eastAsia="Times New Roman" w:hAnsi="Times New Roman" w:cs="Times New Roman"/>
                <w:b/>
                <w:bCs/>
                <w:i/>
                <w:iCs/>
                <w:sz w:val="24"/>
                <w:szCs w:val="24"/>
              </w:rPr>
            </w:pPr>
            <w:proofErr w:type="spellStart"/>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B</w:t>
            </w:r>
            <w:proofErr w:type="spellEnd"/>
          </w:p>
        </w:tc>
        <w:tc>
          <w:tcPr>
            <w:tcW w:w="1274" w:type="dxa"/>
            <w:tcBorders>
              <w:top w:val="single" w:sz="4" w:space="0" w:color="auto"/>
              <w:bottom w:val="single" w:sz="4" w:space="0" w:color="auto"/>
            </w:tcBorders>
          </w:tcPr>
          <w:p w14:paraId="7FE7D2B3" w14:textId="77777777" w:rsidR="00CE4A8B" w:rsidRPr="00A652DE" w:rsidRDefault="00CE4A8B" w:rsidP="003E4F56">
            <w:pPr>
              <w:jc w:val="center"/>
              <w:rPr>
                <w:rFonts w:ascii="Times New Roman" w:eastAsia="Times New Roman" w:hAnsi="Times New Roman" w:cs="Times New Roman"/>
                <w:b/>
                <w:bCs/>
                <w:i/>
                <w:iCs/>
                <w:sz w:val="24"/>
                <w:szCs w:val="24"/>
              </w:rPr>
            </w:pPr>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C1</w:t>
            </w:r>
          </w:p>
        </w:tc>
        <w:tc>
          <w:tcPr>
            <w:tcW w:w="849" w:type="dxa"/>
            <w:tcBorders>
              <w:top w:val="single" w:sz="4" w:space="0" w:color="auto"/>
              <w:bottom w:val="single" w:sz="4" w:space="0" w:color="auto"/>
            </w:tcBorders>
          </w:tcPr>
          <w:p w14:paraId="7B8B1403" w14:textId="77777777" w:rsidR="00CE4A8B" w:rsidRPr="00A652DE" w:rsidRDefault="00CE4A8B" w:rsidP="003E4F56">
            <w:pPr>
              <w:jc w:val="center"/>
              <w:rPr>
                <w:rFonts w:ascii="Times New Roman" w:eastAsia="Times New Roman" w:hAnsi="Times New Roman" w:cs="Times New Roman"/>
                <w:b/>
                <w:bCs/>
                <w:i/>
                <w:iCs/>
                <w:sz w:val="24"/>
                <w:szCs w:val="24"/>
              </w:rPr>
            </w:pPr>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C2</w:t>
            </w:r>
          </w:p>
        </w:tc>
        <w:tc>
          <w:tcPr>
            <w:tcW w:w="876" w:type="dxa"/>
            <w:tcBorders>
              <w:top w:val="single" w:sz="4" w:space="0" w:color="auto"/>
              <w:bottom w:val="single" w:sz="4" w:space="0" w:color="auto"/>
            </w:tcBorders>
          </w:tcPr>
          <w:p w14:paraId="218BA204" w14:textId="77777777" w:rsidR="00CE4A8B" w:rsidRPr="00A652DE" w:rsidRDefault="00CE4A8B" w:rsidP="003E4F56">
            <w:pPr>
              <w:jc w:val="center"/>
              <w:rPr>
                <w:rFonts w:ascii="Times New Roman" w:eastAsia="Times New Roman" w:hAnsi="Times New Roman" w:cs="Times New Roman"/>
                <w:b/>
                <w:bCs/>
                <w:i/>
                <w:iCs/>
                <w:sz w:val="24"/>
                <w:szCs w:val="24"/>
              </w:rPr>
            </w:pPr>
            <w:proofErr w:type="spellStart"/>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A</w:t>
            </w:r>
            <w:proofErr w:type="spellEnd"/>
          </w:p>
        </w:tc>
        <w:tc>
          <w:tcPr>
            <w:tcW w:w="756" w:type="dxa"/>
            <w:tcBorders>
              <w:top w:val="single" w:sz="4" w:space="0" w:color="auto"/>
              <w:bottom w:val="single" w:sz="4" w:space="0" w:color="auto"/>
            </w:tcBorders>
          </w:tcPr>
          <w:p w14:paraId="04D32EBA" w14:textId="77777777" w:rsidR="00CE4A8B" w:rsidRPr="00A652DE" w:rsidRDefault="00CE4A8B" w:rsidP="003E4F56">
            <w:pPr>
              <w:jc w:val="center"/>
              <w:rPr>
                <w:rFonts w:ascii="Times New Roman" w:eastAsia="Times New Roman" w:hAnsi="Times New Roman" w:cs="Times New Roman"/>
                <w:b/>
                <w:bCs/>
                <w:i/>
                <w:iCs/>
                <w:sz w:val="24"/>
                <w:szCs w:val="24"/>
              </w:rPr>
            </w:pPr>
            <w:proofErr w:type="spellStart"/>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B</w:t>
            </w:r>
            <w:proofErr w:type="spellEnd"/>
          </w:p>
        </w:tc>
        <w:tc>
          <w:tcPr>
            <w:tcW w:w="843" w:type="dxa"/>
            <w:tcBorders>
              <w:top w:val="single" w:sz="4" w:space="0" w:color="auto"/>
              <w:bottom w:val="single" w:sz="4" w:space="0" w:color="auto"/>
            </w:tcBorders>
          </w:tcPr>
          <w:p w14:paraId="34B43CAF" w14:textId="77777777" w:rsidR="00CE4A8B" w:rsidRPr="00A652DE" w:rsidRDefault="00CE4A8B" w:rsidP="003E4F56">
            <w:pPr>
              <w:jc w:val="center"/>
              <w:rPr>
                <w:rFonts w:ascii="Times New Roman" w:eastAsia="Times New Roman" w:hAnsi="Times New Roman" w:cs="Times New Roman"/>
                <w:b/>
                <w:bCs/>
                <w:i/>
                <w:iCs/>
                <w:sz w:val="24"/>
                <w:szCs w:val="24"/>
              </w:rPr>
            </w:pPr>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C1</w:t>
            </w:r>
          </w:p>
        </w:tc>
        <w:tc>
          <w:tcPr>
            <w:tcW w:w="1069" w:type="dxa"/>
            <w:tcBorders>
              <w:top w:val="single" w:sz="4" w:space="0" w:color="auto"/>
              <w:bottom w:val="single" w:sz="4" w:space="0" w:color="auto"/>
            </w:tcBorders>
          </w:tcPr>
          <w:p w14:paraId="0188D860" w14:textId="77777777" w:rsidR="00CE4A8B" w:rsidRPr="00A652DE" w:rsidRDefault="00CE4A8B" w:rsidP="003E4F56">
            <w:pPr>
              <w:jc w:val="center"/>
              <w:rPr>
                <w:rFonts w:ascii="Times New Roman" w:eastAsia="Times New Roman" w:hAnsi="Times New Roman" w:cs="Times New Roman"/>
                <w:b/>
                <w:bCs/>
                <w:i/>
                <w:iCs/>
                <w:sz w:val="24"/>
                <w:szCs w:val="24"/>
              </w:rPr>
            </w:pPr>
            <w:r w:rsidRPr="00A652DE">
              <w:rPr>
                <w:rFonts w:ascii="Times New Roman" w:eastAsia="Times New Roman" w:hAnsi="Times New Roman" w:cs="Times New Roman"/>
                <w:b/>
                <w:bCs/>
                <w:i/>
                <w:iCs/>
                <w:sz w:val="24"/>
                <w:szCs w:val="24"/>
              </w:rPr>
              <w:t>rpo</w:t>
            </w:r>
            <w:r w:rsidRPr="00A652DE">
              <w:rPr>
                <w:rFonts w:ascii="Times New Roman" w:eastAsia="Times New Roman" w:hAnsi="Times New Roman" w:cs="Times New Roman"/>
                <w:b/>
                <w:bCs/>
                <w:sz w:val="24"/>
                <w:szCs w:val="24"/>
              </w:rPr>
              <w:t>C2</w:t>
            </w:r>
          </w:p>
        </w:tc>
      </w:tr>
      <w:tr w:rsidR="00CE4A8B" w:rsidRPr="00A652DE" w14:paraId="0D792284" w14:textId="77777777" w:rsidTr="003E4F56">
        <w:tc>
          <w:tcPr>
            <w:tcW w:w="4232" w:type="dxa"/>
            <w:tcBorders>
              <w:top w:val="single" w:sz="4" w:space="0" w:color="auto"/>
              <w:bottom w:val="single" w:sz="4" w:space="0" w:color="auto"/>
            </w:tcBorders>
          </w:tcPr>
          <w:p w14:paraId="5B785761"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Saccharum officinarum</w:t>
            </w:r>
            <w:r w:rsidRPr="00A652DE">
              <w:rPr>
                <w:rFonts w:ascii="Times New Roman" w:eastAsia="Times New Roman" w:hAnsi="Times New Roman" w:cs="Times New Roman"/>
                <w:sz w:val="24"/>
                <w:szCs w:val="24"/>
              </w:rPr>
              <w:t xml:space="preserve"> ‘IJ76-514’</w:t>
            </w:r>
          </w:p>
        </w:tc>
        <w:tc>
          <w:tcPr>
            <w:tcW w:w="876" w:type="dxa"/>
            <w:tcBorders>
              <w:top w:val="single" w:sz="4" w:space="0" w:color="auto"/>
              <w:bottom w:val="single" w:sz="4" w:space="0" w:color="auto"/>
            </w:tcBorders>
          </w:tcPr>
          <w:p w14:paraId="32BD013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0.922</w:t>
            </w:r>
          </w:p>
        </w:tc>
        <w:tc>
          <w:tcPr>
            <w:tcW w:w="990" w:type="dxa"/>
            <w:tcBorders>
              <w:top w:val="single" w:sz="4" w:space="0" w:color="auto"/>
              <w:bottom w:val="single" w:sz="4" w:space="0" w:color="auto"/>
            </w:tcBorders>
          </w:tcPr>
          <w:p w14:paraId="17E4D18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0.370</w:t>
            </w:r>
          </w:p>
        </w:tc>
        <w:tc>
          <w:tcPr>
            <w:tcW w:w="1274" w:type="dxa"/>
            <w:tcBorders>
              <w:top w:val="single" w:sz="4" w:space="0" w:color="auto"/>
              <w:bottom w:val="single" w:sz="4" w:space="0" w:color="auto"/>
            </w:tcBorders>
          </w:tcPr>
          <w:p w14:paraId="40462DF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0.642</w:t>
            </w:r>
          </w:p>
        </w:tc>
        <w:tc>
          <w:tcPr>
            <w:tcW w:w="849" w:type="dxa"/>
            <w:tcBorders>
              <w:top w:val="single" w:sz="4" w:space="0" w:color="auto"/>
              <w:bottom w:val="single" w:sz="4" w:space="0" w:color="auto"/>
            </w:tcBorders>
          </w:tcPr>
          <w:p w14:paraId="5F5EFA8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4.902</w:t>
            </w:r>
          </w:p>
        </w:tc>
        <w:tc>
          <w:tcPr>
            <w:tcW w:w="876" w:type="dxa"/>
            <w:tcBorders>
              <w:top w:val="single" w:sz="4" w:space="0" w:color="auto"/>
              <w:bottom w:val="single" w:sz="4" w:space="0" w:color="auto"/>
            </w:tcBorders>
          </w:tcPr>
          <w:p w14:paraId="59BD1E8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0.506</w:t>
            </w:r>
          </w:p>
        </w:tc>
        <w:tc>
          <w:tcPr>
            <w:tcW w:w="756" w:type="dxa"/>
            <w:tcBorders>
              <w:top w:val="single" w:sz="4" w:space="0" w:color="auto"/>
              <w:bottom w:val="single" w:sz="4" w:space="0" w:color="auto"/>
            </w:tcBorders>
          </w:tcPr>
          <w:p w14:paraId="4748D79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0.310</w:t>
            </w:r>
          </w:p>
        </w:tc>
        <w:tc>
          <w:tcPr>
            <w:tcW w:w="843" w:type="dxa"/>
            <w:tcBorders>
              <w:top w:val="single" w:sz="4" w:space="0" w:color="auto"/>
              <w:bottom w:val="single" w:sz="4" w:space="0" w:color="auto"/>
            </w:tcBorders>
          </w:tcPr>
          <w:p w14:paraId="50839EA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1.224</w:t>
            </w:r>
          </w:p>
        </w:tc>
        <w:tc>
          <w:tcPr>
            <w:tcW w:w="1069" w:type="dxa"/>
            <w:tcBorders>
              <w:top w:val="single" w:sz="4" w:space="0" w:color="auto"/>
              <w:bottom w:val="single" w:sz="4" w:space="0" w:color="auto"/>
            </w:tcBorders>
          </w:tcPr>
          <w:p w14:paraId="646B8FD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3.824</w:t>
            </w:r>
          </w:p>
        </w:tc>
      </w:tr>
      <w:tr w:rsidR="00CE4A8B" w:rsidRPr="00A652DE" w14:paraId="2EFC0475" w14:textId="77777777" w:rsidTr="003E4F56">
        <w:tc>
          <w:tcPr>
            <w:tcW w:w="4232" w:type="dxa"/>
            <w:tcBorders>
              <w:top w:val="single" w:sz="4" w:space="0" w:color="auto"/>
              <w:bottom w:val="single" w:sz="4" w:space="0" w:color="auto"/>
            </w:tcBorders>
          </w:tcPr>
          <w:p w14:paraId="7B2DD068"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officinarum </w:t>
            </w:r>
            <w:r w:rsidRPr="00A652DE">
              <w:rPr>
                <w:rFonts w:ascii="Times New Roman" w:eastAsia="Times New Roman" w:hAnsi="Times New Roman" w:cs="Times New Roman"/>
                <w:sz w:val="24"/>
                <w:szCs w:val="24"/>
              </w:rPr>
              <w:t>‘Badila’</w:t>
            </w:r>
          </w:p>
        </w:tc>
        <w:tc>
          <w:tcPr>
            <w:tcW w:w="876" w:type="dxa"/>
            <w:tcBorders>
              <w:top w:val="single" w:sz="4" w:space="0" w:color="auto"/>
              <w:bottom w:val="single" w:sz="4" w:space="0" w:color="auto"/>
            </w:tcBorders>
          </w:tcPr>
          <w:p w14:paraId="27A1174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0.567</w:t>
            </w:r>
          </w:p>
        </w:tc>
        <w:tc>
          <w:tcPr>
            <w:tcW w:w="990" w:type="dxa"/>
            <w:tcBorders>
              <w:top w:val="single" w:sz="4" w:space="0" w:color="auto"/>
              <w:bottom w:val="single" w:sz="4" w:space="0" w:color="auto"/>
            </w:tcBorders>
          </w:tcPr>
          <w:p w14:paraId="6A079FA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0.434</w:t>
            </w:r>
          </w:p>
        </w:tc>
        <w:tc>
          <w:tcPr>
            <w:tcW w:w="1274" w:type="dxa"/>
            <w:tcBorders>
              <w:top w:val="single" w:sz="4" w:space="0" w:color="auto"/>
              <w:bottom w:val="single" w:sz="4" w:space="0" w:color="auto"/>
            </w:tcBorders>
          </w:tcPr>
          <w:p w14:paraId="4184390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0.500</w:t>
            </w:r>
          </w:p>
        </w:tc>
        <w:tc>
          <w:tcPr>
            <w:tcW w:w="849" w:type="dxa"/>
            <w:tcBorders>
              <w:top w:val="single" w:sz="4" w:space="0" w:color="auto"/>
              <w:bottom w:val="single" w:sz="4" w:space="0" w:color="auto"/>
            </w:tcBorders>
          </w:tcPr>
          <w:p w14:paraId="088CDBA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4.141</w:t>
            </w:r>
          </w:p>
        </w:tc>
        <w:tc>
          <w:tcPr>
            <w:tcW w:w="876" w:type="dxa"/>
            <w:tcBorders>
              <w:top w:val="single" w:sz="4" w:space="0" w:color="auto"/>
              <w:bottom w:val="single" w:sz="4" w:space="0" w:color="auto"/>
            </w:tcBorders>
          </w:tcPr>
          <w:p w14:paraId="1ED4215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0.472</w:t>
            </w:r>
          </w:p>
        </w:tc>
        <w:tc>
          <w:tcPr>
            <w:tcW w:w="756" w:type="dxa"/>
            <w:tcBorders>
              <w:top w:val="single" w:sz="4" w:space="0" w:color="auto"/>
              <w:bottom w:val="single" w:sz="4" w:space="0" w:color="auto"/>
            </w:tcBorders>
          </w:tcPr>
          <w:p w14:paraId="4B0ECD0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0.300</w:t>
            </w:r>
          </w:p>
        </w:tc>
        <w:tc>
          <w:tcPr>
            <w:tcW w:w="843" w:type="dxa"/>
            <w:tcBorders>
              <w:top w:val="single" w:sz="4" w:space="0" w:color="auto"/>
              <w:bottom w:val="single" w:sz="4" w:space="0" w:color="auto"/>
            </w:tcBorders>
          </w:tcPr>
          <w:p w14:paraId="11DBA27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0.642</w:t>
            </w:r>
          </w:p>
        </w:tc>
        <w:tc>
          <w:tcPr>
            <w:tcW w:w="1069" w:type="dxa"/>
            <w:tcBorders>
              <w:top w:val="single" w:sz="4" w:space="0" w:color="auto"/>
              <w:bottom w:val="single" w:sz="4" w:space="0" w:color="auto"/>
            </w:tcBorders>
          </w:tcPr>
          <w:p w14:paraId="31F56A4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4.992</w:t>
            </w:r>
          </w:p>
        </w:tc>
      </w:tr>
      <w:tr w:rsidR="00CE4A8B" w:rsidRPr="00A652DE" w14:paraId="01A230AA" w14:textId="77777777" w:rsidTr="003E4F56">
        <w:tc>
          <w:tcPr>
            <w:tcW w:w="4232" w:type="dxa"/>
            <w:tcBorders>
              <w:top w:val="single" w:sz="4" w:space="0" w:color="auto"/>
              <w:bottom w:val="single" w:sz="4" w:space="0" w:color="auto"/>
            </w:tcBorders>
          </w:tcPr>
          <w:p w14:paraId="1543D958"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officinarum </w:t>
            </w:r>
            <w:r w:rsidRPr="00A652DE">
              <w:rPr>
                <w:rFonts w:ascii="Times New Roman" w:eastAsia="Times New Roman" w:hAnsi="Times New Roman" w:cs="Times New Roman"/>
                <w:sz w:val="24"/>
                <w:szCs w:val="24"/>
              </w:rPr>
              <w:t>‘GT35’</w:t>
            </w:r>
          </w:p>
        </w:tc>
        <w:tc>
          <w:tcPr>
            <w:tcW w:w="876" w:type="dxa"/>
            <w:tcBorders>
              <w:top w:val="single" w:sz="4" w:space="0" w:color="auto"/>
              <w:bottom w:val="single" w:sz="4" w:space="0" w:color="auto"/>
            </w:tcBorders>
          </w:tcPr>
          <w:p w14:paraId="66F5BA7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0.473</w:t>
            </w:r>
          </w:p>
        </w:tc>
        <w:tc>
          <w:tcPr>
            <w:tcW w:w="990" w:type="dxa"/>
            <w:tcBorders>
              <w:top w:val="single" w:sz="4" w:space="0" w:color="auto"/>
              <w:bottom w:val="single" w:sz="4" w:space="0" w:color="auto"/>
            </w:tcBorders>
          </w:tcPr>
          <w:p w14:paraId="7BFF5B9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0.320</w:t>
            </w:r>
          </w:p>
        </w:tc>
        <w:tc>
          <w:tcPr>
            <w:tcW w:w="1274" w:type="dxa"/>
            <w:tcBorders>
              <w:top w:val="single" w:sz="4" w:space="0" w:color="auto"/>
              <w:bottom w:val="single" w:sz="4" w:space="0" w:color="auto"/>
            </w:tcBorders>
          </w:tcPr>
          <w:p w14:paraId="0E69B36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0.348</w:t>
            </w:r>
          </w:p>
        </w:tc>
        <w:tc>
          <w:tcPr>
            <w:tcW w:w="849" w:type="dxa"/>
            <w:tcBorders>
              <w:top w:val="single" w:sz="4" w:space="0" w:color="auto"/>
              <w:bottom w:val="single" w:sz="4" w:space="0" w:color="auto"/>
            </w:tcBorders>
          </w:tcPr>
          <w:p w14:paraId="08155B4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4.792</w:t>
            </w:r>
          </w:p>
        </w:tc>
        <w:tc>
          <w:tcPr>
            <w:tcW w:w="876" w:type="dxa"/>
            <w:tcBorders>
              <w:top w:val="single" w:sz="4" w:space="0" w:color="auto"/>
              <w:bottom w:val="single" w:sz="4" w:space="0" w:color="auto"/>
            </w:tcBorders>
          </w:tcPr>
          <w:p w14:paraId="365C78B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0.298</w:t>
            </w:r>
          </w:p>
        </w:tc>
        <w:tc>
          <w:tcPr>
            <w:tcW w:w="756" w:type="dxa"/>
            <w:tcBorders>
              <w:top w:val="single" w:sz="4" w:space="0" w:color="auto"/>
              <w:bottom w:val="single" w:sz="4" w:space="0" w:color="auto"/>
            </w:tcBorders>
          </w:tcPr>
          <w:p w14:paraId="14907D0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0.378</w:t>
            </w:r>
          </w:p>
        </w:tc>
        <w:tc>
          <w:tcPr>
            <w:tcW w:w="843" w:type="dxa"/>
            <w:tcBorders>
              <w:top w:val="single" w:sz="4" w:space="0" w:color="auto"/>
              <w:bottom w:val="single" w:sz="4" w:space="0" w:color="auto"/>
            </w:tcBorders>
          </w:tcPr>
          <w:p w14:paraId="0618EF8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0.690</w:t>
            </w:r>
          </w:p>
        </w:tc>
        <w:tc>
          <w:tcPr>
            <w:tcW w:w="1069" w:type="dxa"/>
            <w:tcBorders>
              <w:top w:val="single" w:sz="4" w:space="0" w:color="auto"/>
              <w:bottom w:val="single" w:sz="4" w:space="0" w:color="auto"/>
            </w:tcBorders>
          </w:tcPr>
          <w:p w14:paraId="05AAB9A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4.059</w:t>
            </w:r>
          </w:p>
        </w:tc>
      </w:tr>
      <w:tr w:rsidR="00CE4A8B" w:rsidRPr="00A652DE" w14:paraId="2CF50EE1" w14:textId="77777777" w:rsidTr="003E4F56">
        <w:tc>
          <w:tcPr>
            <w:tcW w:w="4232" w:type="dxa"/>
            <w:tcBorders>
              <w:top w:val="single" w:sz="4" w:space="0" w:color="auto"/>
              <w:bottom w:val="single" w:sz="4" w:space="0" w:color="auto"/>
            </w:tcBorders>
          </w:tcPr>
          <w:p w14:paraId="4631A52D"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‘RB72454’</w:t>
            </w:r>
          </w:p>
        </w:tc>
        <w:tc>
          <w:tcPr>
            <w:tcW w:w="876" w:type="dxa"/>
            <w:tcBorders>
              <w:top w:val="single" w:sz="4" w:space="0" w:color="auto"/>
              <w:bottom w:val="single" w:sz="4" w:space="0" w:color="auto"/>
            </w:tcBorders>
          </w:tcPr>
          <w:p w14:paraId="799A8AC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0.534</w:t>
            </w:r>
          </w:p>
        </w:tc>
        <w:tc>
          <w:tcPr>
            <w:tcW w:w="990" w:type="dxa"/>
            <w:tcBorders>
              <w:top w:val="single" w:sz="4" w:space="0" w:color="auto"/>
              <w:bottom w:val="single" w:sz="4" w:space="0" w:color="auto"/>
            </w:tcBorders>
          </w:tcPr>
          <w:p w14:paraId="38CA30D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0.306</w:t>
            </w:r>
          </w:p>
        </w:tc>
        <w:tc>
          <w:tcPr>
            <w:tcW w:w="1274" w:type="dxa"/>
            <w:tcBorders>
              <w:top w:val="single" w:sz="4" w:space="0" w:color="auto"/>
              <w:bottom w:val="single" w:sz="4" w:space="0" w:color="auto"/>
            </w:tcBorders>
          </w:tcPr>
          <w:p w14:paraId="3FC12F7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0.456</w:t>
            </w:r>
          </w:p>
        </w:tc>
        <w:tc>
          <w:tcPr>
            <w:tcW w:w="849" w:type="dxa"/>
            <w:tcBorders>
              <w:top w:val="single" w:sz="4" w:space="0" w:color="auto"/>
              <w:bottom w:val="single" w:sz="4" w:space="0" w:color="auto"/>
            </w:tcBorders>
          </w:tcPr>
          <w:p w14:paraId="7147471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8.293</w:t>
            </w:r>
          </w:p>
        </w:tc>
        <w:tc>
          <w:tcPr>
            <w:tcW w:w="876" w:type="dxa"/>
            <w:tcBorders>
              <w:top w:val="single" w:sz="4" w:space="0" w:color="auto"/>
              <w:bottom w:val="single" w:sz="4" w:space="0" w:color="auto"/>
            </w:tcBorders>
          </w:tcPr>
          <w:p w14:paraId="567E38A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0.639</w:t>
            </w:r>
          </w:p>
        </w:tc>
        <w:tc>
          <w:tcPr>
            <w:tcW w:w="756" w:type="dxa"/>
            <w:tcBorders>
              <w:top w:val="single" w:sz="4" w:space="0" w:color="auto"/>
              <w:bottom w:val="single" w:sz="4" w:space="0" w:color="auto"/>
            </w:tcBorders>
          </w:tcPr>
          <w:p w14:paraId="43506B0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0.285</w:t>
            </w:r>
          </w:p>
        </w:tc>
        <w:tc>
          <w:tcPr>
            <w:tcW w:w="843" w:type="dxa"/>
            <w:tcBorders>
              <w:top w:val="single" w:sz="4" w:space="0" w:color="auto"/>
              <w:bottom w:val="single" w:sz="4" w:space="0" w:color="auto"/>
            </w:tcBorders>
          </w:tcPr>
          <w:p w14:paraId="7F260DB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0.651</w:t>
            </w:r>
          </w:p>
        </w:tc>
        <w:tc>
          <w:tcPr>
            <w:tcW w:w="1069" w:type="dxa"/>
            <w:tcBorders>
              <w:top w:val="single" w:sz="4" w:space="0" w:color="auto"/>
              <w:bottom w:val="single" w:sz="4" w:space="0" w:color="auto"/>
            </w:tcBorders>
          </w:tcPr>
          <w:p w14:paraId="71E9AF4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15.357</w:t>
            </w:r>
          </w:p>
        </w:tc>
      </w:tr>
      <w:tr w:rsidR="00CE4A8B" w:rsidRPr="00A652DE" w14:paraId="6F69AAA1" w14:textId="77777777" w:rsidTr="003E4F56">
        <w:tc>
          <w:tcPr>
            <w:tcW w:w="4232" w:type="dxa"/>
            <w:tcBorders>
              <w:top w:val="single" w:sz="4" w:space="0" w:color="auto"/>
              <w:bottom w:val="single" w:sz="4" w:space="0" w:color="auto"/>
            </w:tcBorders>
          </w:tcPr>
          <w:p w14:paraId="5048A57B"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‘Q165’</w:t>
            </w:r>
          </w:p>
        </w:tc>
        <w:tc>
          <w:tcPr>
            <w:tcW w:w="876" w:type="dxa"/>
            <w:tcBorders>
              <w:top w:val="single" w:sz="4" w:space="0" w:color="auto"/>
              <w:bottom w:val="single" w:sz="4" w:space="0" w:color="auto"/>
            </w:tcBorders>
          </w:tcPr>
          <w:p w14:paraId="0E012E1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0.995</w:t>
            </w:r>
          </w:p>
        </w:tc>
        <w:tc>
          <w:tcPr>
            <w:tcW w:w="990" w:type="dxa"/>
            <w:tcBorders>
              <w:top w:val="single" w:sz="4" w:space="0" w:color="auto"/>
              <w:bottom w:val="single" w:sz="4" w:space="0" w:color="auto"/>
            </w:tcBorders>
          </w:tcPr>
          <w:p w14:paraId="5E50CF2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0.419</w:t>
            </w:r>
          </w:p>
        </w:tc>
        <w:tc>
          <w:tcPr>
            <w:tcW w:w="1274" w:type="dxa"/>
            <w:tcBorders>
              <w:top w:val="single" w:sz="4" w:space="0" w:color="auto"/>
              <w:bottom w:val="single" w:sz="4" w:space="0" w:color="auto"/>
            </w:tcBorders>
          </w:tcPr>
          <w:p w14:paraId="5D275BD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0.694</w:t>
            </w:r>
          </w:p>
        </w:tc>
        <w:tc>
          <w:tcPr>
            <w:tcW w:w="849" w:type="dxa"/>
            <w:tcBorders>
              <w:top w:val="single" w:sz="4" w:space="0" w:color="auto"/>
              <w:bottom w:val="single" w:sz="4" w:space="0" w:color="auto"/>
            </w:tcBorders>
          </w:tcPr>
          <w:p w14:paraId="49FA1C3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4.484</w:t>
            </w:r>
          </w:p>
        </w:tc>
        <w:tc>
          <w:tcPr>
            <w:tcW w:w="876" w:type="dxa"/>
            <w:tcBorders>
              <w:top w:val="single" w:sz="4" w:space="0" w:color="auto"/>
              <w:bottom w:val="single" w:sz="4" w:space="0" w:color="auto"/>
            </w:tcBorders>
          </w:tcPr>
          <w:p w14:paraId="1B1877A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2.060</w:t>
            </w:r>
          </w:p>
        </w:tc>
        <w:tc>
          <w:tcPr>
            <w:tcW w:w="756" w:type="dxa"/>
            <w:tcBorders>
              <w:top w:val="single" w:sz="4" w:space="0" w:color="auto"/>
              <w:bottom w:val="single" w:sz="4" w:space="0" w:color="auto"/>
            </w:tcBorders>
          </w:tcPr>
          <w:p w14:paraId="14B2A160"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0.367</w:t>
            </w:r>
          </w:p>
        </w:tc>
        <w:tc>
          <w:tcPr>
            <w:tcW w:w="843" w:type="dxa"/>
            <w:tcBorders>
              <w:top w:val="single" w:sz="4" w:space="0" w:color="auto"/>
              <w:bottom w:val="single" w:sz="4" w:space="0" w:color="auto"/>
            </w:tcBorders>
          </w:tcPr>
          <w:p w14:paraId="23E5AEB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1.034</w:t>
            </w:r>
          </w:p>
        </w:tc>
        <w:tc>
          <w:tcPr>
            <w:tcW w:w="1069" w:type="dxa"/>
            <w:tcBorders>
              <w:top w:val="single" w:sz="4" w:space="0" w:color="auto"/>
              <w:bottom w:val="single" w:sz="4" w:space="0" w:color="auto"/>
            </w:tcBorders>
          </w:tcPr>
          <w:p w14:paraId="3D6BE62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8.788</w:t>
            </w:r>
          </w:p>
        </w:tc>
      </w:tr>
      <w:tr w:rsidR="00CE4A8B" w:rsidRPr="00A652DE" w14:paraId="2CEF5A1A" w14:textId="77777777" w:rsidTr="003E4F56">
        <w:tc>
          <w:tcPr>
            <w:tcW w:w="4232" w:type="dxa"/>
            <w:tcBorders>
              <w:top w:val="single" w:sz="4" w:space="0" w:color="auto"/>
              <w:bottom w:val="single" w:sz="4" w:space="0" w:color="auto"/>
            </w:tcBorders>
          </w:tcPr>
          <w:p w14:paraId="43C3C65E"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‘Q155’</w:t>
            </w:r>
          </w:p>
        </w:tc>
        <w:tc>
          <w:tcPr>
            <w:tcW w:w="876" w:type="dxa"/>
            <w:tcBorders>
              <w:top w:val="single" w:sz="4" w:space="0" w:color="auto"/>
              <w:bottom w:val="single" w:sz="4" w:space="0" w:color="auto"/>
            </w:tcBorders>
          </w:tcPr>
          <w:p w14:paraId="489DE2E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0.698</w:t>
            </w:r>
          </w:p>
        </w:tc>
        <w:tc>
          <w:tcPr>
            <w:tcW w:w="990" w:type="dxa"/>
            <w:tcBorders>
              <w:top w:val="single" w:sz="4" w:space="0" w:color="auto"/>
              <w:bottom w:val="single" w:sz="4" w:space="0" w:color="auto"/>
            </w:tcBorders>
          </w:tcPr>
          <w:p w14:paraId="6C17BC0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0.358</w:t>
            </w:r>
          </w:p>
        </w:tc>
        <w:tc>
          <w:tcPr>
            <w:tcW w:w="1274" w:type="dxa"/>
            <w:tcBorders>
              <w:top w:val="single" w:sz="4" w:space="0" w:color="auto"/>
              <w:bottom w:val="single" w:sz="4" w:space="0" w:color="auto"/>
            </w:tcBorders>
          </w:tcPr>
          <w:p w14:paraId="6595EE4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0.487</w:t>
            </w:r>
          </w:p>
        </w:tc>
        <w:tc>
          <w:tcPr>
            <w:tcW w:w="849" w:type="dxa"/>
            <w:tcBorders>
              <w:top w:val="single" w:sz="4" w:space="0" w:color="auto"/>
              <w:bottom w:val="single" w:sz="4" w:space="0" w:color="auto"/>
            </w:tcBorders>
          </w:tcPr>
          <w:p w14:paraId="43E3E70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3.144</w:t>
            </w:r>
          </w:p>
        </w:tc>
        <w:tc>
          <w:tcPr>
            <w:tcW w:w="876" w:type="dxa"/>
            <w:tcBorders>
              <w:top w:val="single" w:sz="4" w:space="0" w:color="auto"/>
              <w:bottom w:val="single" w:sz="4" w:space="0" w:color="auto"/>
            </w:tcBorders>
          </w:tcPr>
          <w:p w14:paraId="1921BB7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1.189</w:t>
            </w:r>
          </w:p>
        </w:tc>
        <w:tc>
          <w:tcPr>
            <w:tcW w:w="756" w:type="dxa"/>
            <w:tcBorders>
              <w:top w:val="single" w:sz="4" w:space="0" w:color="auto"/>
              <w:bottom w:val="single" w:sz="4" w:space="0" w:color="auto"/>
            </w:tcBorders>
          </w:tcPr>
          <w:p w14:paraId="3E21EDF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0.351</w:t>
            </w:r>
          </w:p>
        </w:tc>
        <w:tc>
          <w:tcPr>
            <w:tcW w:w="843" w:type="dxa"/>
            <w:tcBorders>
              <w:top w:val="single" w:sz="4" w:space="0" w:color="auto"/>
              <w:bottom w:val="single" w:sz="4" w:space="0" w:color="auto"/>
            </w:tcBorders>
          </w:tcPr>
          <w:p w14:paraId="36B2205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0.854</w:t>
            </w:r>
          </w:p>
        </w:tc>
        <w:tc>
          <w:tcPr>
            <w:tcW w:w="1069" w:type="dxa"/>
            <w:tcBorders>
              <w:top w:val="single" w:sz="4" w:space="0" w:color="auto"/>
              <w:bottom w:val="single" w:sz="4" w:space="0" w:color="auto"/>
            </w:tcBorders>
          </w:tcPr>
          <w:p w14:paraId="6A8FE27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6.406</w:t>
            </w:r>
          </w:p>
        </w:tc>
      </w:tr>
      <w:tr w:rsidR="00CE4A8B" w:rsidRPr="00A652DE" w14:paraId="5F7AEF1F" w14:textId="77777777" w:rsidTr="003E4F56">
        <w:tc>
          <w:tcPr>
            <w:tcW w:w="4232" w:type="dxa"/>
            <w:tcBorders>
              <w:top w:val="single" w:sz="4" w:space="0" w:color="auto"/>
              <w:bottom w:val="single" w:sz="4" w:space="0" w:color="auto"/>
            </w:tcBorders>
          </w:tcPr>
          <w:p w14:paraId="756068BD"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‘GXASF1’</w:t>
            </w:r>
          </w:p>
        </w:tc>
        <w:tc>
          <w:tcPr>
            <w:tcW w:w="876" w:type="dxa"/>
            <w:tcBorders>
              <w:top w:val="single" w:sz="4" w:space="0" w:color="auto"/>
              <w:bottom w:val="single" w:sz="4" w:space="0" w:color="auto"/>
            </w:tcBorders>
          </w:tcPr>
          <w:p w14:paraId="0E9F1DF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1.049</w:t>
            </w:r>
          </w:p>
        </w:tc>
        <w:tc>
          <w:tcPr>
            <w:tcW w:w="990" w:type="dxa"/>
            <w:tcBorders>
              <w:top w:val="single" w:sz="4" w:space="0" w:color="auto"/>
              <w:bottom w:val="single" w:sz="4" w:space="0" w:color="auto"/>
            </w:tcBorders>
          </w:tcPr>
          <w:p w14:paraId="094C3CA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0.327</w:t>
            </w:r>
          </w:p>
        </w:tc>
        <w:tc>
          <w:tcPr>
            <w:tcW w:w="1274" w:type="dxa"/>
            <w:tcBorders>
              <w:top w:val="single" w:sz="4" w:space="0" w:color="auto"/>
              <w:bottom w:val="single" w:sz="4" w:space="0" w:color="auto"/>
            </w:tcBorders>
          </w:tcPr>
          <w:p w14:paraId="4CBFC2E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0.421</w:t>
            </w:r>
          </w:p>
        </w:tc>
        <w:tc>
          <w:tcPr>
            <w:tcW w:w="849" w:type="dxa"/>
            <w:tcBorders>
              <w:top w:val="single" w:sz="4" w:space="0" w:color="auto"/>
              <w:bottom w:val="single" w:sz="4" w:space="0" w:color="auto"/>
            </w:tcBorders>
          </w:tcPr>
          <w:p w14:paraId="73A5423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3.819</w:t>
            </w:r>
          </w:p>
        </w:tc>
        <w:tc>
          <w:tcPr>
            <w:tcW w:w="876" w:type="dxa"/>
            <w:tcBorders>
              <w:top w:val="single" w:sz="4" w:space="0" w:color="auto"/>
              <w:bottom w:val="single" w:sz="4" w:space="0" w:color="auto"/>
            </w:tcBorders>
          </w:tcPr>
          <w:p w14:paraId="25EAA64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1.333</w:t>
            </w:r>
          </w:p>
        </w:tc>
        <w:tc>
          <w:tcPr>
            <w:tcW w:w="756" w:type="dxa"/>
            <w:tcBorders>
              <w:top w:val="single" w:sz="4" w:space="0" w:color="auto"/>
              <w:bottom w:val="single" w:sz="4" w:space="0" w:color="auto"/>
            </w:tcBorders>
          </w:tcPr>
          <w:p w14:paraId="35F8D6C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0.346</w:t>
            </w:r>
          </w:p>
        </w:tc>
        <w:tc>
          <w:tcPr>
            <w:tcW w:w="843" w:type="dxa"/>
            <w:tcBorders>
              <w:top w:val="single" w:sz="4" w:space="0" w:color="auto"/>
              <w:bottom w:val="single" w:sz="4" w:space="0" w:color="auto"/>
            </w:tcBorders>
          </w:tcPr>
          <w:p w14:paraId="2653FE2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0.668</w:t>
            </w:r>
          </w:p>
        </w:tc>
        <w:tc>
          <w:tcPr>
            <w:tcW w:w="1069" w:type="dxa"/>
            <w:tcBorders>
              <w:top w:val="single" w:sz="4" w:space="0" w:color="auto"/>
              <w:bottom w:val="single" w:sz="4" w:space="0" w:color="auto"/>
            </w:tcBorders>
          </w:tcPr>
          <w:p w14:paraId="7F4A466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5.039</w:t>
            </w:r>
          </w:p>
        </w:tc>
      </w:tr>
      <w:tr w:rsidR="00CE4A8B" w:rsidRPr="00A652DE" w14:paraId="78684ADE" w14:textId="77777777" w:rsidTr="003E4F56">
        <w:tc>
          <w:tcPr>
            <w:tcW w:w="4232" w:type="dxa"/>
            <w:tcBorders>
              <w:top w:val="single" w:sz="4" w:space="0" w:color="auto"/>
              <w:bottom w:val="single" w:sz="4" w:space="0" w:color="auto"/>
            </w:tcBorders>
          </w:tcPr>
          <w:p w14:paraId="0A346A15"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‘SP-80-3280’</w:t>
            </w:r>
          </w:p>
        </w:tc>
        <w:tc>
          <w:tcPr>
            <w:tcW w:w="876" w:type="dxa"/>
            <w:tcBorders>
              <w:top w:val="single" w:sz="4" w:space="0" w:color="auto"/>
              <w:bottom w:val="single" w:sz="4" w:space="0" w:color="auto"/>
            </w:tcBorders>
          </w:tcPr>
          <w:p w14:paraId="17D657B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4.463</w:t>
            </w:r>
          </w:p>
        </w:tc>
        <w:tc>
          <w:tcPr>
            <w:tcW w:w="990" w:type="dxa"/>
            <w:tcBorders>
              <w:top w:val="single" w:sz="4" w:space="0" w:color="auto"/>
              <w:bottom w:val="single" w:sz="4" w:space="0" w:color="auto"/>
            </w:tcBorders>
          </w:tcPr>
          <w:p w14:paraId="14F0924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0.382</w:t>
            </w:r>
          </w:p>
        </w:tc>
        <w:tc>
          <w:tcPr>
            <w:tcW w:w="1274" w:type="dxa"/>
            <w:tcBorders>
              <w:top w:val="single" w:sz="4" w:space="0" w:color="auto"/>
              <w:bottom w:val="single" w:sz="4" w:space="0" w:color="auto"/>
            </w:tcBorders>
          </w:tcPr>
          <w:p w14:paraId="6C2966F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0.450</w:t>
            </w:r>
          </w:p>
        </w:tc>
        <w:tc>
          <w:tcPr>
            <w:tcW w:w="849" w:type="dxa"/>
            <w:tcBorders>
              <w:top w:val="single" w:sz="4" w:space="0" w:color="auto"/>
              <w:bottom w:val="single" w:sz="4" w:space="0" w:color="auto"/>
            </w:tcBorders>
          </w:tcPr>
          <w:p w14:paraId="0B61020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3.997</w:t>
            </w:r>
          </w:p>
        </w:tc>
        <w:tc>
          <w:tcPr>
            <w:tcW w:w="876" w:type="dxa"/>
            <w:tcBorders>
              <w:top w:val="single" w:sz="4" w:space="0" w:color="auto"/>
              <w:bottom w:val="single" w:sz="4" w:space="0" w:color="auto"/>
            </w:tcBorders>
          </w:tcPr>
          <w:p w14:paraId="2396B13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3.109</w:t>
            </w:r>
          </w:p>
        </w:tc>
        <w:tc>
          <w:tcPr>
            <w:tcW w:w="756" w:type="dxa"/>
            <w:tcBorders>
              <w:top w:val="single" w:sz="4" w:space="0" w:color="auto"/>
              <w:bottom w:val="single" w:sz="4" w:space="0" w:color="auto"/>
            </w:tcBorders>
          </w:tcPr>
          <w:p w14:paraId="67193E1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0.343</w:t>
            </w:r>
          </w:p>
        </w:tc>
        <w:tc>
          <w:tcPr>
            <w:tcW w:w="843" w:type="dxa"/>
            <w:tcBorders>
              <w:top w:val="single" w:sz="4" w:space="0" w:color="auto"/>
              <w:bottom w:val="single" w:sz="4" w:space="0" w:color="auto"/>
            </w:tcBorders>
          </w:tcPr>
          <w:p w14:paraId="4E6F80D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0.814</w:t>
            </w:r>
          </w:p>
        </w:tc>
        <w:tc>
          <w:tcPr>
            <w:tcW w:w="1069" w:type="dxa"/>
            <w:tcBorders>
              <w:top w:val="single" w:sz="4" w:space="0" w:color="auto"/>
              <w:bottom w:val="single" w:sz="4" w:space="0" w:color="auto"/>
            </w:tcBorders>
          </w:tcPr>
          <w:p w14:paraId="26ADE64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10.107</w:t>
            </w:r>
          </w:p>
        </w:tc>
      </w:tr>
      <w:tr w:rsidR="00CE4A8B" w:rsidRPr="00A652DE" w14:paraId="692A2EF1" w14:textId="77777777" w:rsidTr="003E4F56">
        <w:tc>
          <w:tcPr>
            <w:tcW w:w="4232" w:type="dxa"/>
            <w:tcBorders>
              <w:top w:val="single" w:sz="4" w:space="0" w:color="auto"/>
              <w:bottom w:val="single" w:sz="4" w:space="0" w:color="auto"/>
            </w:tcBorders>
          </w:tcPr>
          <w:p w14:paraId="540D2A5F"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r w:rsidRPr="00A652DE">
              <w:rPr>
                <w:rFonts w:ascii="Times New Roman" w:eastAsia="Times New Roman" w:hAnsi="Times New Roman" w:cs="Times New Roman"/>
                <w:sz w:val="24"/>
                <w:szCs w:val="24"/>
              </w:rPr>
              <w:t>hybrid ‘</w:t>
            </w:r>
            <w:proofErr w:type="spellStart"/>
            <w:r w:rsidRPr="00A652DE">
              <w:rPr>
                <w:rFonts w:ascii="Times New Roman" w:eastAsia="Times New Roman" w:hAnsi="Times New Roman" w:cs="Times New Roman"/>
                <w:sz w:val="24"/>
                <w:szCs w:val="24"/>
              </w:rPr>
              <w:t>NCo</w:t>
            </w:r>
            <w:proofErr w:type="spellEnd"/>
            <w:r w:rsidRPr="00A652DE">
              <w:rPr>
                <w:rFonts w:ascii="Times New Roman" w:eastAsia="Times New Roman" w:hAnsi="Times New Roman" w:cs="Times New Roman"/>
                <w:sz w:val="24"/>
                <w:szCs w:val="24"/>
              </w:rPr>
              <w:t xml:space="preserve"> 310’</w:t>
            </w:r>
          </w:p>
        </w:tc>
        <w:tc>
          <w:tcPr>
            <w:tcW w:w="876" w:type="dxa"/>
            <w:tcBorders>
              <w:top w:val="single" w:sz="4" w:space="0" w:color="auto"/>
              <w:bottom w:val="single" w:sz="4" w:space="0" w:color="auto"/>
            </w:tcBorders>
          </w:tcPr>
          <w:p w14:paraId="181F64F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0.373</w:t>
            </w:r>
          </w:p>
        </w:tc>
        <w:tc>
          <w:tcPr>
            <w:tcW w:w="990" w:type="dxa"/>
            <w:tcBorders>
              <w:top w:val="single" w:sz="4" w:space="0" w:color="auto"/>
              <w:bottom w:val="single" w:sz="4" w:space="0" w:color="auto"/>
            </w:tcBorders>
          </w:tcPr>
          <w:p w14:paraId="077030A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0.297</w:t>
            </w:r>
          </w:p>
        </w:tc>
        <w:tc>
          <w:tcPr>
            <w:tcW w:w="1274" w:type="dxa"/>
            <w:tcBorders>
              <w:top w:val="single" w:sz="4" w:space="0" w:color="auto"/>
              <w:bottom w:val="single" w:sz="4" w:space="0" w:color="auto"/>
            </w:tcBorders>
          </w:tcPr>
          <w:p w14:paraId="7606DB2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0.449</w:t>
            </w:r>
          </w:p>
        </w:tc>
        <w:tc>
          <w:tcPr>
            <w:tcW w:w="849" w:type="dxa"/>
            <w:tcBorders>
              <w:top w:val="single" w:sz="4" w:space="0" w:color="auto"/>
              <w:bottom w:val="single" w:sz="4" w:space="0" w:color="auto"/>
            </w:tcBorders>
          </w:tcPr>
          <w:p w14:paraId="0012E76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6.532</w:t>
            </w:r>
          </w:p>
        </w:tc>
        <w:tc>
          <w:tcPr>
            <w:tcW w:w="876" w:type="dxa"/>
            <w:tcBorders>
              <w:top w:val="single" w:sz="4" w:space="0" w:color="auto"/>
              <w:bottom w:val="single" w:sz="4" w:space="0" w:color="auto"/>
            </w:tcBorders>
          </w:tcPr>
          <w:p w14:paraId="7044FC2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0.387</w:t>
            </w:r>
          </w:p>
        </w:tc>
        <w:tc>
          <w:tcPr>
            <w:tcW w:w="756" w:type="dxa"/>
            <w:tcBorders>
              <w:top w:val="single" w:sz="4" w:space="0" w:color="auto"/>
              <w:bottom w:val="single" w:sz="4" w:space="0" w:color="auto"/>
            </w:tcBorders>
          </w:tcPr>
          <w:p w14:paraId="218AC09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0.278</w:t>
            </w:r>
          </w:p>
        </w:tc>
        <w:tc>
          <w:tcPr>
            <w:tcW w:w="843" w:type="dxa"/>
            <w:tcBorders>
              <w:top w:val="single" w:sz="4" w:space="0" w:color="auto"/>
              <w:bottom w:val="single" w:sz="4" w:space="0" w:color="auto"/>
            </w:tcBorders>
          </w:tcPr>
          <w:p w14:paraId="630BF0C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0.951</w:t>
            </w:r>
          </w:p>
        </w:tc>
        <w:tc>
          <w:tcPr>
            <w:tcW w:w="1069" w:type="dxa"/>
            <w:tcBorders>
              <w:top w:val="single" w:sz="4" w:space="0" w:color="auto"/>
              <w:bottom w:val="single" w:sz="4" w:space="0" w:color="auto"/>
            </w:tcBorders>
          </w:tcPr>
          <w:p w14:paraId="5C20961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3.350</w:t>
            </w:r>
          </w:p>
        </w:tc>
      </w:tr>
      <w:tr w:rsidR="00CE4A8B" w:rsidRPr="00A652DE" w14:paraId="21354A9F" w14:textId="77777777" w:rsidTr="003E4F56">
        <w:tc>
          <w:tcPr>
            <w:tcW w:w="4232" w:type="dxa"/>
            <w:tcBorders>
              <w:top w:val="single" w:sz="4" w:space="0" w:color="auto"/>
              <w:bottom w:val="single" w:sz="4" w:space="0" w:color="auto"/>
            </w:tcBorders>
          </w:tcPr>
          <w:p w14:paraId="1257BDCD"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spontaneum</w:t>
            </w:r>
            <w:proofErr w:type="spellEnd"/>
            <w:r w:rsidRPr="00A652DE">
              <w:rPr>
                <w:rFonts w:ascii="Times New Roman" w:eastAsia="Times New Roman" w:hAnsi="Times New Roman" w:cs="Times New Roman"/>
                <w:i/>
                <w:iCs/>
                <w:sz w:val="24"/>
                <w:szCs w:val="24"/>
              </w:rPr>
              <w:t xml:space="preserve"> </w:t>
            </w:r>
            <w:r w:rsidRPr="00A652DE">
              <w:rPr>
                <w:rFonts w:ascii="Times New Roman" w:eastAsia="Times New Roman" w:hAnsi="Times New Roman" w:cs="Times New Roman"/>
                <w:sz w:val="24"/>
                <w:szCs w:val="24"/>
              </w:rPr>
              <w:t>‘SES205A’</w:t>
            </w:r>
          </w:p>
        </w:tc>
        <w:tc>
          <w:tcPr>
            <w:tcW w:w="876" w:type="dxa"/>
            <w:tcBorders>
              <w:top w:val="single" w:sz="4" w:space="0" w:color="auto"/>
              <w:bottom w:val="single" w:sz="4" w:space="0" w:color="auto"/>
            </w:tcBorders>
          </w:tcPr>
          <w:p w14:paraId="4B192AA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0.781</w:t>
            </w:r>
          </w:p>
        </w:tc>
        <w:tc>
          <w:tcPr>
            <w:tcW w:w="990" w:type="dxa"/>
            <w:tcBorders>
              <w:top w:val="single" w:sz="4" w:space="0" w:color="auto"/>
              <w:bottom w:val="single" w:sz="4" w:space="0" w:color="auto"/>
            </w:tcBorders>
          </w:tcPr>
          <w:p w14:paraId="1F871A7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0.342</w:t>
            </w:r>
          </w:p>
        </w:tc>
        <w:tc>
          <w:tcPr>
            <w:tcW w:w="1274" w:type="dxa"/>
            <w:tcBorders>
              <w:top w:val="single" w:sz="4" w:space="0" w:color="auto"/>
              <w:bottom w:val="single" w:sz="4" w:space="0" w:color="auto"/>
            </w:tcBorders>
          </w:tcPr>
          <w:p w14:paraId="1D0E5AF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0.404</w:t>
            </w:r>
          </w:p>
        </w:tc>
        <w:tc>
          <w:tcPr>
            <w:tcW w:w="849" w:type="dxa"/>
            <w:tcBorders>
              <w:top w:val="single" w:sz="4" w:space="0" w:color="auto"/>
              <w:bottom w:val="single" w:sz="4" w:space="0" w:color="auto"/>
            </w:tcBorders>
          </w:tcPr>
          <w:p w14:paraId="4AC4572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3.516</w:t>
            </w:r>
          </w:p>
        </w:tc>
        <w:tc>
          <w:tcPr>
            <w:tcW w:w="876" w:type="dxa"/>
            <w:tcBorders>
              <w:top w:val="single" w:sz="4" w:space="0" w:color="auto"/>
              <w:bottom w:val="single" w:sz="4" w:space="0" w:color="auto"/>
            </w:tcBorders>
          </w:tcPr>
          <w:p w14:paraId="6950271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1.319</w:t>
            </w:r>
          </w:p>
        </w:tc>
        <w:tc>
          <w:tcPr>
            <w:tcW w:w="756" w:type="dxa"/>
            <w:tcBorders>
              <w:top w:val="single" w:sz="4" w:space="0" w:color="auto"/>
              <w:bottom w:val="single" w:sz="4" w:space="0" w:color="auto"/>
            </w:tcBorders>
          </w:tcPr>
          <w:p w14:paraId="42F898D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0.396</w:t>
            </w:r>
          </w:p>
        </w:tc>
        <w:tc>
          <w:tcPr>
            <w:tcW w:w="843" w:type="dxa"/>
            <w:tcBorders>
              <w:top w:val="single" w:sz="4" w:space="0" w:color="auto"/>
              <w:bottom w:val="single" w:sz="4" w:space="0" w:color="auto"/>
            </w:tcBorders>
          </w:tcPr>
          <w:p w14:paraId="560C30C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0.888</w:t>
            </w:r>
          </w:p>
        </w:tc>
        <w:tc>
          <w:tcPr>
            <w:tcW w:w="1069" w:type="dxa"/>
            <w:tcBorders>
              <w:top w:val="single" w:sz="4" w:space="0" w:color="auto"/>
              <w:bottom w:val="single" w:sz="4" w:space="0" w:color="auto"/>
            </w:tcBorders>
          </w:tcPr>
          <w:p w14:paraId="2CB7C60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7.348</w:t>
            </w:r>
          </w:p>
        </w:tc>
      </w:tr>
      <w:tr w:rsidR="00CE4A8B" w:rsidRPr="00A652DE" w14:paraId="4829C460" w14:textId="77777777" w:rsidTr="003E4F56">
        <w:tc>
          <w:tcPr>
            <w:tcW w:w="4232" w:type="dxa"/>
            <w:tcBorders>
              <w:top w:val="single" w:sz="4" w:space="0" w:color="auto"/>
              <w:bottom w:val="single" w:sz="4" w:space="0" w:color="auto"/>
            </w:tcBorders>
          </w:tcPr>
          <w:p w14:paraId="147C7933"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spontaneum</w:t>
            </w:r>
            <w:proofErr w:type="spellEnd"/>
            <w:r w:rsidRPr="00A652DE">
              <w:rPr>
                <w:rFonts w:ascii="Times New Roman" w:eastAsia="Times New Roman" w:hAnsi="Times New Roman" w:cs="Times New Roman"/>
                <w:i/>
                <w:iCs/>
                <w:sz w:val="24"/>
                <w:szCs w:val="24"/>
              </w:rPr>
              <w:t xml:space="preserve"> </w:t>
            </w:r>
            <w:r w:rsidRPr="00A652DE">
              <w:rPr>
                <w:rFonts w:ascii="Times New Roman" w:eastAsia="Times New Roman" w:hAnsi="Times New Roman" w:cs="Times New Roman"/>
                <w:sz w:val="24"/>
                <w:szCs w:val="24"/>
              </w:rPr>
              <w:t xml:space="preserve">isolate </w:t>
            </w:r>
            <w:proofErr w:type="spellStart"/>
            <w:r w:rsidRPr="00A652DE">
              <w:rPr>
                <w:rFonts w:ascii="Times New Roman" w:eastAsia="Times New Roman" w:hAnsi="Times New Roman" w:cs="Times New Roman"/>
                <w:sz w:val="24"/>
                <w:szCs w:val="24"/>
              </w:rPr>
              <w:t>Taiwansp</w:t>
            </w:r>
            <w:proofErr w:type="spellEnd"/>
          </w:p>
        </w:tc>
        <w:tc>
          <w:tcPr>
            <w:tcW w:w="876" w:type="dxa"/>
            <w:tcBorders>
              <w:top w:val="single" w:sz="4" w:space="0" w:color="auto"/>
              <w:bottom w:val="single" w:sz="4" w:space="0" w:color="auto"/>
            </w:tcBorders>
          </w:tcPr>
          <w:p w14:paraId="06425F4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2.977</w:t>
            </w:r>
          </w:p>
        </w:tc>
        <w:tc>
          <w:tcPr>
            <w:tcW w:w="990" w:type="dxa"/>
            <w:tcBorders>
              <w:top w:val="single" w:sz="4" w:space="0" w:color="auto"/>
              <w:bottom w:val="single" w:sz="4" w:space="0" w:color="auto"/>
            </w:tcBorders>
          </w:tcPr>
          <w:p w14:paraId="3B4E517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0.451</w:t>
            </w:r>
          </w:p>
        </w:tc>
        <w:tc>
          <w:tcPr>
            <w:tcW w:w="1274" w:type="dxa"/>
            <w:tcBorders>
              <w:top w:val="single" w:sz="4" w:space="0" w:color="auto"/>
              <w:bottom w:val="single" w:sz="4" w:space="0" w:color="auto"/>
            </w:tcBorders>
          </w:tcPr>
          <w:p w14:paraId="4698ACF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0.441</w:t>
            </w:r>
          </w:p>
        </w:tc>
        <w:tc>
          <w:tcPr>
            <w:tcW w:w="849" w:type="dxa"/>
            <w:tcBorders>
              <w:top w:val="single" w:sz="4" w:space="0" w:color="auto"/>
              <w:bottom w:val="single" w:sz="4" w:space="0" w:color="auto"/>
            </w:tcBorders>
          </w:tcPr>
          <w:p w14:paraId="6A30F61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3.421</w:t>
            </w:r>
          </w:p>
        </w:tc>
        <w:tc>
          <w:tcPr>
            <w:tcW w:w="876" w:type="dxa"/>
            <w:tcBorders>
              <w:top w:val="single" w:sz="4" w:space="0" w:color="auto"/>
              <w:bottom w:val="single" w:sz="4" w:space="0" w:color="auto"/>
            </w:tcBorders>
          </w:tcPr>
          <w:p w14:paraId="735DD98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0.801</w:t>
            </w:r>
          </w:p>
        </w:tc>
        <w:tc>
          <w:tcPr>
            <w:tcW w:w="756" w:type="dxa"/>
            <w:tcBorders>
              <w:top w:val="single" w:sz="4" w:space="0" w:color="auto"/>
              <w:bottom w:val="single" w:sz="4" w:space="0" w:color="auto"/>
            </w:tcBorders>
          </w:tcPr>
          <w:p w14:paraId="726FC01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0.301</w:t>
            </w:r>
          </w:p>
        </w:tc>
        <w:tc>
          <w:tcPr>
            <w:tcW w:w="843" w:type="dxa"/>
            <w:tcBorders>
              <w:top w:val="single" w:sz="4" w:space="0" w:color="auto"/>
              <w:bottom w:val="single" w:sz="4" w:space="0" w:color="auto"/>
            </w:tcBorders>
          </w:tcPr>
          <w:p w14:paraId="4429832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0.384</w:t>
            </w:r>
          </w:p>
        </w:tc>
        <w:tc>
          <w:tcPr>
            <w:tcW w:w="1069" w:type="dxa"/>
            <w:tcBorders>
              <w:top w:val="single" w:sz="4" w:space="0" w:color="auto"/>
              <w:bottom w:val="single" w:sz="4" w:space="0" w:color="auto"/>
            </w:tcBorders>
          </w:tcPr>
          <w:p w14:paraId="079A5E8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4.413</w:t>
            </w:r>
          </w:p>
        </w:tc>
      </w:tr>
      <w:tr w:rsidR="00CE4A8B" w:rsidRPr="00A652DE" w14:paraId="19AFF5CE" w14:textId="77777777" w:rsidTr="003E4F56">
        <w:tc>
          <w:tcPr>
            <w:tcW w:w="4232" w:type="dxa"/>
            <w:tcBorders>
              <w:top w:val="single" w:sz="4" w:space="0" w:color="auto"/>
              <w:bottom w:val="single" w:sz="4" w:space="0" w:color="auto"/>
            </w:tcBorders>
          </w:tcPr>
          <w:p w14:paraId="055F7477" w14:textId="77777777" w:rsidR="00CE4A8B" w:rsidRPr="00A652DE" w:rsidRDefault="00CE4A8B" w:rsidP="003E4F56">
            <w:pPr>
              <w:rPr>
                <w:rFonts w:ascii="Times New Roman" w:eastAsia="Times New Roman" w:hAnsi="Times New Roman" w:cs="Times New Roman"/>
                <w:i/>
                <w:iCs/>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spontaneum</w:t>
            </w:r>
            <w:proofErr w:type="spellEnd"/>
          </w:p>
        </w:tc>
        <w:tc>
          <w:tcPr>
            <w:tcW w:w="876" w:type="dxa"/>
            <w:tcBorders>
              <w:top w:val="single" w:sz="4" w:space="0" w:color="auto"/>
              <w:bottom w:val="single" w:sz="4" w:space="0" w:color="auto"/>
            </w:tcBorders>
          </w:tcPr>
          <w:p w14:paraId="3A03A7B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0.446</w:t>
            </w:r>
          </w:p>
        </w:tc>
        <w:tc>
          <w:tcPr>
            <w:tcW w:w="990" w:type="dxa"/>
            <w:tcBorders>
              <w:top w:val="single" w:sz="4" w:space="0" w:color="auto"/>
              <w:bottom w:val="single" w:sz="4" w:space="0" w:color="auto"/>
            </w:tcBorders>
          </w:tcPr>
          <w:p w14:paraId="3944D61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0.367</w:t>
            </w:r>
          </w:p>
        </w:tc>
        <w:tc>
          <w:tcPr>
            <w:tcW w:w="1274" w:type="dxa"/>
            <w:tcBorders>
              <w:top w:val="single" w:sz="4" w:space="0" w:color="auto"/>
              <w:bottom w:val="single" w:sz="4" w:space="0" w:color="auto"/>
            </w:tcBorders>
          </w:tcPr>
          <w:p w14:paraId="20D6115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0.386</w:t>
            </w:r>
          </w:p>
        </w:tc>
        <w:tc>
          <w:tcPr>
            <w:tcW w:w="849" w:type="dxa"/>
            <w:tcBorders>
              <w:top w:val="single" w:sz="4" w:space="0" w:color="auto"/>
              <w:bottom w:val="single" w:sz="4" w:space="0" w:color="auto"/>
            </w:tcBorders>
          </w:tcPr>
          <w:p w14:paraId="4F63058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3.787</w:t>
            </w:r>
          </w:p>
        </w:tc>
        <w:tc>
          <w:tcPr>
            <w:tcW w:w="876" w:type="dxa"/>
            <w:tcBorders>
              <w:top w:val="single" w:sz="4" w:space="0" w:color="auto"/>
              <w:bottom w:val="single" w:sz="4" w:space="0" w:color="auto"/>
            </w:tcBorders>
          </w:tcPr>
          <w:p w14:paraId="24D8C3B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0.833</w:t>
            </w:r>
          </w:p>
        </w:tc>
        <w:tc>
          <w:tcPr>
            <w:tcW w:w="756" w:type="dxa"/>
            <w:tcBorders>
              <w:top w:val="single" w:sz="4" w:space="0" w:color="auto"/>
              <w:bottom w:val="single" w:sz="4" w:space="0" w:color="auto"/>
            </w:tcBorders>
          </w:tcPr>
          <w:p w14:paraId="2ADA41D7"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0.275</w:t>
            </w:r>
          </w:p>
        </w:tc>
        <w:tc>
          <w:tcPr>
            <w:tcW w:w="843" w:type="dxa"/>
            <w:tcBorders>
              <w:top w:val="single" w:sz="4" w:space="0" w:color="auto"/>
              <w:bottom w:val="single" w:sz="4" w:space="0" w:color="auto"/>
            </w:tcBorders>
          </w:tcPr>
          <w:p w14:paraId="121CAB9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0.631</w:t>
            </w:r>
          </w:p>
        </w:tc>
        <w:tc>
          <w:tcPr>
            <w:tcW w:w="1069" w:type="dxa"/>
            <w:tcBorders>
              <w:top w:val="single" w:sz="4" w:space="0" w:color="auto"/>
              <w:bottom w:val="single" w:sz="4" w:space="0" w:color="auto"/>
            </w:tcBorders>
          </w:tcPr>
          <w:p w14:paraId="70EEF16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6.376</w:t>
            </w:r>
          </w:p>
        </w:tc>
      </w:tr>
      <w:tr w:rsidR="00CE4A8B" w:rsidRPr="00A652DE" w14:paraId="2AC43192" w14:textId="77777777" w:rsidTr="003E4F56">
        <w:tc>
          <w:tcPr>
            <w:tcW w:w="4232" w:type="dxa"/>
            <w:tcBorders>
              <w:top w:val="single" w:sz="4" w:space="0" w:color="auto"/>
              <w:bottom w:val="single" w:sz="4" w:space="0" w:color="auto"/>
            </w:tcBorders>
          </w:tcPr>
          <w:p w14:paraId="0E759D35" w14:textId="77777777" w:rsidR="00CE4A8B" w:rsidRPr="00A652DE" w:rsidRDefault="00CE4A8B" w:rsidP="003E4F56">
            <w:pPr>
              <w:rPr>
                <w:rFonts w:ascii="Times New Roman" w:eastAsia="Times New Roman" w:hAnsi="Times New Roman" w:cs="Times New Roman"/>
                <w:i/>
                <w:iCs/>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fulvum</w:t>
            </w:r>
            <w:proofErr w:type="spellEnd"/>
          </w:p>
        </w:tc>
        <w:tc>
          <w:tcPr>
            <w:tcW w:w="876" w:type="dxa"/>
            <w:tcBorders>
              <w:top w:val="single" w:sz="4" w:space="0" w:color="auto"/>
              <w:bottom w:val="single" w:sz="4" w:space="0" w:color="auto"/>
            </w:tcBorders>
          </w:tcPr>
          <w:p w14:paraId="511CA4A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0.686</w:t>
            </w:r>
          </w:p>
        </w:tc>
        <w:tc>
          <w:tcPr>
            <w:tcW w:w="990" w:type="dxa"/>
            <w:tcBorders>
              <w:top w:val="single" w:sz="4" w:space="0" w:color="auto"/>
              <w:bottom w:val="single" w:sz="4" w:space="0" w:color="auto"/>
            </w:tcBorders>
          </w:tcPr>
          <w:p w14:paraId="52E5E04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0.333</w:t>
            </w:r>
          </w:p>
        </w:tc>
        <w:tc>
          <w:tcPr>
            <w:tcW w:w="1274" w:type="dxa"/>
            <w:tcBorders>
              <w:top w:val="single" w:sz="4" w:space="0" w:color="auto"/>
              <w:bottom w:val="single" w:sz="4" w:space="0" w:color="auto"/>
            </w:tcBorders>
          </w:tcPr>
          <w:p w14:paraId="57D8F6E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0.349</w:t>
            </w:r>
          </w:p>
        </w:tc>
        <w:tc>
          <w:tcPr>
            <w:tcW w:w="849" w:type="dxa"/>
            <w:tcBorders>
              <w:top w:val="single" w:sz="4" w:space="0" w:color="auto"/>
              <w:bottom w:val="single" w:sz="4" w:space="0" w:color="auto"/>
            </w:tcBorders>
          </w:tcPr>
          <w:p w14:paraId="3985CFB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3.648</w:t>
            </w:r>
          </w:p>
        </w:tc>
        <w:tc>
          <w:tcPr>
            <w:tcW w:w="876" w:type="dxa"/>
            <w:tcBorders>
              <w:top w:val="single" w:sz="4" w:space="0" w:color="auto"/>
              <w:bottom w:val="single" w:sz="4" w:space="0" w:color="auto"/>
            </w:tcBorders>
          </w:tcPr>
          <w:p w14:paraId="5D7E95B7"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1.069</w:t>
            </w:r>
          </w:p>
        </w:tc>
        <w:tc>
          <w:tcPr>
            <w:tcW w:w="756" w:type="dxa"/>
            <w:tcBorders>
              <w:top w:val="single" w:sz="4" w:space="0" w:color="auto"/>
              <w:bottom w:val="single" w:sz="4" w:space="0" w:color="auto"/>
            </w:tcBorders>
          </w:tcPr>
          <w:p w14:paraId="5C427F7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0.315</w:t>
            </w:r>
          </w:p>
        </w:tc>
        <w:tc>
          <w:tcPr>
            <w:tcW w:w="843" w:type="dxa"/>
            <w:tcBorders>
              <w:top w:val="single" w:sz="4" w:space="0" w:color="auto"/>
              <w:bottom w:val="single" w:sz="4" w:space="0" w:color="auto"/>
            </w:tcBorders>
          </w:tcPr>
          <w:p w14:paraId="7E201CD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0.726</w:t>
            </w:r>
          </w:p>
        </w:tc>
        <w:tc>
          <w:tcPr>
            <w:tcW w:w="1069" w:type="dxa"/>
            <w:tcBorders>
              <w:top w:val="single" w:sz="4" w:space="0" w:color="auto"/>
              <w:bottom w:val="single" w:sz="4" w:space="0" w:color="auto"/>
            </w:tcBorders>
          </w:tcPr>
          <w:p w14:paraId="30FE670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5.269</w:t>
            </w:r>
          </w:p>
        </w:tc>
      </w:tr>
      <w:tr w:rsidR="00CE4A8B" w:rsidRPr="00A652DE" w14:paraId="0BFCA135" w14:textId="77777777" w:rsidTr="003E4F56">
        <w:tc>
          <w:tcPr>
            <w:tcW w:w="4232" w:type="dxa"/>
            <w:tcBorders>
              <w:top w:val="single" w:sz="4" w:space="0" w:color="auto"/>
              <w:bottom w:val="single" w:sz="4" w:space="0" w:color="auto"/>
            </w:tcBorders>
          </w:tcPr>
          <w:p w14:paraId="43AE6B55" w14:textId="77777777" w:rsidR="00CE4A8B" w:rsidRPr="00A652DE" w:rsidRDefault="00CE4A8B" w:rsidP="003E4F56">
            <w:pPr>
              <w:rPr>
                <w:rFonts w:ascii="Times New Roman" w:eastAsia="Times New Roman" w:hAnsi="Times New Roman" w:cs="Times New Roman"/>
                <w:i/>
                <w:iCs/>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longisetosum</w:t>
            </w:r>
            <w:proofErr w:type="spellEnd"/>
          </w:p>
        </w:tc>
        <w:tc>
          <w:tcPr>
            <w:tcW w:w="876" w:type="dxa"/>
            <w:tcBorders>
              <w:top w:val="single" w:sz="4" w:space="0" w:color="auto"/>
              <w:bottom w:val="single" w:sz="4" w:space="0" w:color="auto"/>
            </w:tcBorders>
          </w:tcPr>
          <w:p w14:paraId="155865B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0.685</w:t>
            </w:r>
          </w:p>
        </w:tc>
        <w:tc>
          <w:tcPr>
            <w:tcW w:w="990" w:type="dxa"/>
            <w:tcBorders>
              <w:top w:val="single" w:sz="4" w:space="0" w:color="auto"/>
              <w:bottom w:val="single" w:sz="4" w:space="0" w:color="auto"/>
            </w:tcBorders>
          </w:tcPr>
          <w:p w14:paraId="7B41C13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0.379</w:t>
            </w:r>
          </w:p>
        </w:tc>
        <w:tc>
          <w:tcPr>
            <w:tcW w:w="1274" w:type="dxa"/>
            <w:tcBorders>
              <w:top w:val="single" w:sz="4" w:space="0" w:color="auto"/>
              <w:bottom w:val="single" w:sz="4" w:space="0" w:color="auto"/>
            </w:tcBorders>
          </w:tcPr>
          <w:p w14:paraId="249D4DBE"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0.541</w:t>
            </w:r>
          </w:p>
        </w:tc>
        <w:tc>
          <w:tcPr>
            <w:tcW w:w="849" w:type="dxa"/>
            <w:tcBorders>
              <w:top w:val="single" w:sz="4" w:space="0" w:color="auto"/>
              <w:bottom w:val="single" w:sz="4" w:space="0" w:color="auto"/>
            </w:tcBorders>
          </w:tcPr>
          <w:p w14:paraId="41BC3CE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4.168</w:t>
            </w:r>
          </w:p>
        </w:tc>
        <w:tc>
          <w:tcPr>
            <w:tcW w:w="876" w:type="dxa"/>
            <w:tcBorders>
              <w:top w:val="single" w:sz="4" w:space="0" w:color="auto"/>
              <w:bottom w:val="single" w:sz="4" w:space="0" w:color="auto"/>
            </w:tcBorders>
          </w:tcPr>
          <w:p w14:paraId="6D7848D2"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1.806</w:t>
            </w:r>
          </w:p>
        </w:tc>
        <w:tc>
          <w:tcPr>
            <w:tcW w:w="756" w:type="dxa"/>
            <w:tcBorders>
              <w:top w:val="single" w:sz="4" w:space="0" w:color="auto"/>
              <w:bottom w:val="single" w:sz="4" w:space="0" w:color="auto"/>
            </w:tcBorders>
          </w:tcPr>
          <w:p w14:paraId="3A8E8C4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0.329</w:t>
            </w:r>
          </w:p>
        </w:tc>
        <w:tc>
          <w:tcPr>
            <w:tcW w:w="843" w:type="dxa"/>
            <w:tcBorders>
              <w:top w:val="single" w:sz="4" w:space="0" w:color="auto"/>
              <w:bottom w:val="single" w:sz="4" w:space="0" w:color="auto"/>
            </w:tcBorders>
          </w:tcPr>
          <w:p w14:paraId="09A7B67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0.736</w:t>
            </w:r>
          </w:p>
        </w:tc>
        <w:tc>
          <w:tcPr>
            <w:tcW w:w="1069" w:type="dxa"/>
            <w:tcBorders>
              <w:top w:val="single" w:sz="4" w:space="0" w:color="auto"/>
              <w:bottom w:val="single" w:sz="4" w:space="0" w:color="auto"/>
            </w:tcBorders>
          </w:tcPr>
          <w:p w14:paraId="020EC733"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8.073</w:t>
            </w:r>
          </w:p>
        </w:tc>
      </w:tr>
      <w:tr w:rsidR="00CE4A8B" w:rsidRPr="00A652DE" w14:paraId="27193FAF" w14:textId="77777777" w:rsidTr="003E4F56">
        <w:tc>
          <w:tcPr>
            <w:tcW w:w="4232" w:type="dxa"/>
            <w:tcBorders>
              <w:top w:val="single" w:sz="4" w:space="0" w:color="auto"/>
              <w:bottom w:val="single" w:sz="4" w:space="0" w:color="auto"/>
            </w:tcBorders>
          </w:tcPr>
          <w:p w14:paraId="75C13223" w14:textId="77777777" w:rsidR="00CE4A8B" w:rsidRPr="00A652DE" w:rsidRDefault="00CE4A8B" w:rsidP="003E4F56">
            <w:pPr>
              <w:rPr>
                <w:rFonts w:ascii="Times New Roman" w:eastAsia="Times New Roman" w:hAnsi="Times New Roman" w:cs="Times New Roman"/>
                <w:i/>
                <w:iCs/>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barberi</w:t>
            </w:r>
            <w:proofErr w:type="spellEnd"/>
          </w:p>
        </w:tc>
        <w:tc>
          <w:tcPr>
            <w:tcW w:w="876" w:type="dxa"/>
            <w:tcBorders>
              <w:top w:val="single" w:sz="4" w:space="0" w:color="auto"/>
              <w:bottom w:val="single" w:sz="4" w:space="0" w:color="auto"/>
            </w:tcBorders>
          </w:tcPr>
          <w:p w14:paraId="0FAD6F4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12.583</w:t>
            </w:r>
          </w:p>
        </w:tc>
        <w:tc>
          <w:tcPr>
            <w:tcW w:w="990" w:type="dxa"/>
            <w:tcBorders>
              <w:top w:val="single" w:sz="4" w:space="0" w:color="auto"/>
              <w:bottom w:val="single" w:sz="4" w:space="0" w:color="auto"/>
            </w:tcBorders>
          </w:tcPr>
          <w:p w14:paraId="0B92CA31"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0.393</w:t>
            </w:r>
          </w:p>
        </w:tc>
        <w:tc>
          <w:tcPr>
            <w:tcW w:w="1274" w:type="dxa"/>
            <w:tcBorders>
              <w:top w:val="single" w:sz="4" w:space="0" w:color="auto"/>
              <w:bottom w:val="single" w:sz="4" w:space="0" w:color="auto"/>
            </w:tcBorders>
          </w:tcPr>
          <w:p w14:paraId="196373A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0.420</w:t>
            </w:r>
          </w:p>
        </w:tc>
        <w:tc>
          <w:tcPr>
            <w:tcW w:w="849" w:type="dxa"/>
            <w:tcBorders>
              <w:top w:val="single" w:sz="4" w:space="0" w:color="auto"/>
              <w:bottom w:val="single" w:sz="4" w:space="0" w:color="auto"/>
            </w:tcBorders>
          </w:tcPr>
          <w:p w14:paraId="1758637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5.567</w:t>
            </w:r>
          </w:p>
        </w:tc>
        <w:tc>
          <w:tcPr>
            <w:tcW w:w="876" w:type="dxa"/>
            <w:tcBorders>
              <w:top w:val="single" w:sz="4" w:space="0" w:color="auto"/>
              <w:bottom w:val="single" w:sz="4" w:space="0" w:color="auto"/>
            </w:tcBorders>
          </w:tcPr>
          <w:p w14:paraId="34ECED5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22.966</w:t>
            </w:r>
          </w:p>
        </w:tc>
        <w:tc>
          <w:tcPr>
            <w:tcW w:w="756" w:type="dxa"/>
            <w:tcBorders>
              <w:top w:val="single" w:sz="4" w:space="0" w:color="auto"/>
              <w:bottom w:val="single" w:sz="4" w:space="0" w:color="auto"/>
            </w:tcBorders>
          </w:tcPr>
          <w:p w14:paraId="0059773A"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0.414</w:t>
            </w:r>
          </w:p>
        </w:tc>
        <w:tc>
          <w:tcPr>
            <w:tcW w:w="843" w:type="dxa"/>
            <w:tcBorders>
              <w:top w:val="single" w:sz="4" w:space="0" w:color="auto"/>
              <w:bottom w:val="single" w:sz="4" w:space="0" w:color="auto"/>
            </w:tcBorders>
          </w:tcPr>
          <w:p w14:paraId="033F990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0.753</w:t>
            </w:r>
          </w:p>
        </w:tc>
        <w:tc>
          <w:tcPr>
            <w:tcW w:w="1069" w:type="dxa"/>
            <w:tcBorders>
              <w:top w:val="single" w:sz="4" w:space="0" w:color="auto"/>
              <w:bottom w:val="single" w:sz="4" w:space="0" w:color="auto"/>
            </w:tcBorders>
          </w:tcPr>
          <w:p w14:paraId="39DE7AC9"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4.753</w:t>
            </w:r>
          </w:p>
        </w:tc>
      </w:tr>
      <w:tr w:rsidR="00CE4A8B" w:rsidRPr="00A652DE" w14:paraId="35AED86D" w14:textId="77777777" w:rsidTr="003E4F56">
        <w:tc>
          <w:tcPr>
            <w:tcW w:w="4232" w:type="dxa"/>
            <w:tcBorders>
              <w:top w:val="single" w:sz="4" w:space="0" w:color="auto"/>
              <w:bottom w:val="single" w:sz="4" w:space="0" w:color="auto"/>
            </w:tcBorders>
          </w:tcPr>
          <w:p w14:paraId="0EACEBDA" w14:textId="77777777" w:rsidR="00CE4A8B" w:rsidRPr="00A652DE" w:rsidRDefault="00CE4A8B" w:rsidP="003E4F56">
            <w:pPr>
              <w:rPr>
                <w:rFonts w:ascii="Times New Roman" w:eastAsia="Times New Roman" w:hAnsi="Times New Roman" w:cs="Times New Roman"/>
                <w:i/>
                <w:iCs/>
                <w:sz w:val="24"/>
                <w:szCs w:val="24"/>
              </w:rPr>
            </w:pPr>
            <w:r w:rsidRPr="00A652DE">
              <w:rPr>
                <w:rFonts w:ascii="Times New Roman" w:eastAsia="Times New Roman" w:hAnsi="Times New Roman" w:cs="Times New Roman"/>
                <w:i/>
                <w:iCs/>
                <w:sz w:val="24"/>
                <w:szCs w:val="24"/>
              </w:rPr>
              <w:t xml:space="preserve">Saccharum </w:t>
            </w:r>
            <w:proofErr w:type="spellStart"/>
            <w:r w:rsidRPr="00A652DE">
              <w:rPr>
                <w:rFonts w:ascii="Times New Roman" w:eastAsia="Times New Roman" w:hAnsi="Times New Roman" w:cs="Times New Roman"/>
                <w:i/>
                <w:iCs/>
                <w:sz w:val="24"/>
                <w:szCs w:val="24"/>
              </w:rPr>
              <w:t>narenga</w:t>
            </w:r>
            <w:proofErr w:type="spellEnd"/>
          </w:p>
        </w:tc>
        <w:tc>
          <w:tcPr>
            <w:tcW w:w="876" w:type="dxa"/>
            <w:tcBorders>
              <w:top w:val="single" w:sz="4" w:space="0" w:color="auto"/>
              <w:bottom w:val="single" w:sz="4" w:space="0" w:color="auto"/>
            </w:tcBorders>
          </w:tcPr>
          <w:p w14:paraId="1AE0C46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3.134</w:t>
            </w:r>
          </w:p>
        </w:tc>
        <w:tc>
          <w:tcPr>
            <w:tcW w:w="990" w:type="dxa"/>
            <w:tcBorders>
              <w:top w:val="single" w:sz="4" w:space="0" w:color="auto"/>
              <w:bottom w:val="single" w:sz="4" w:space="0" w:color="auto"/>
            </w:tcBorders>
          </w:tcPr>
          <w:p w14:paraId="3BDBF58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0.346</w:t>
            </w:r>
          </w:p>
        </w:tc>
        <w:tc>
          <w:tcPr>
            <w:tcW w:w="1274" w:type="dxa"/>
            <w:tcBorders>
              <w:top w:val="single" w:sz="4" w:space="0" w:color="auto"/>
              <w:bottom w:val="single" w:sz="4" w:space="0" w:color="auto"/>
            </w:tcBorders>
          </w:tcPr>
          <w:p w14:paraId="0066AF1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0.866</w:t>
            </w:r>
          </w:p>
        </w:tc>
        <w:tc>
          <w:tcPr>
            <w:tcW w:w="849" w:type="dxa"/>
            <w:tcBorders>
              <w:top w:val="single" w:sz="4" w:space="0" w:color="auto"/>
              <w:bottom w:val="single" w:sz="4" w:space="0" w:color="auto"/>
            </w:tcBorders>
          </w:tcPr>
          <w:p w14:paraId="7E57823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6.541</w:t>
            </w:r>
          </w:p>
        </w:tc>
        <w:tc>
          <w:tcPr>
            <w:tcW w:w="876" w:type="dxa"/>
            <w:tcBorders>
              <w:top w:val="single" w:sz="4" w:space="0" w:color="auto"/>
              <w:bottom w:val="single" w:sz="4" w:space="0" w:color="auto"/>
            </w:tcBorders>
          </w:tcPr>
          <w:p w14:paraId="7E2B1354"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0.677</w:t>
            </w:r>
          </w:p>
        </w:tc>
        <w:tc>
          <w:tcPr>
            <w:tcW w:w="756" w:type="dxa"/>
            <w:tcBorders>
              <w:top w:val="single" w:sz="4" w:space="0" w:color="auto"/>
              <w:bottom w:val="single" w:sz="4" w:space="0" w:color="auto"/>
            </w:tcBorders>
          </w:tcPr>
          <w:p w14:paraId="55917147"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0.339</w:t>
            </w:r>
          </w:p>
        </w:tc>
        <w:tc>
          <w:tcPr>
            <w:tcW w:w="843" w:type="dxa"/>
            <w:tcBorders>
              <w:top w:val="single" w:sz="4" w:space="0" w:color="auto"/>
              <w:bottom w:val="single" w:sz="4" w:space="0" w:color="auto"/>
            </w:tcBorders>
          </w:tcPr>
          <w:p w14:paraId="47B3A30F"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0.527</w:t>
            </w:r>
          </w:p>
        </w:tc>
        <w:tc>
          <w:tcPr>
            <w:tcW w:w="1069" w:type="dxa"/>
            <w:tcBorders>
              <w:top w:val="single" w:sz="4" w:space="0" w:color="auto"/>
              <w:bottom w:val="single" w:sz="4" w:space="0" w:color="auto"/>
            </w:tcBorders>
          </w:tcPr>
          <w:p w14:paraId="5183505D"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6.167</w:t>
            </w:r>
          </w:p>
        </w:tc>
      </w:tr>
      <w:tr w:rsidR="00CE4A8B" w:rsidRPr="00A652DE" w14:paraId="01042D92" w14:textId="77777777" w:rsidTr="003E4F56">
        <w:tc>
          <w:tcPr>
            <w:tcW w:w="4232" w:type="dxa"/>
            <w:tcBorders>
              <w:top w:val="single" w:sz="4" w:space="0" w:color="auto"/>
            </w:tcBorders>
          </w:tcPr>
          <w:p w14:paraId="0FB1A2DF" w14:textId="77777777" w:rsidR="00CE4A8B" w:rsidRPr="00A652DE" w:rsidRDefault="00CE4A8B" w:rsidP="003E4F56">
            <w:pPr>
              <w:rPr>
                <w:rFonts w:ascii="Times New Roman" w:eastAsia="Times New Roman" w:hAnsi="Times New Roman" w:cs="Times New Roman"/>
                <w:sz w:val="24"/>
                <w:szCs w:val="24"/>
              </w:rPr>
            </w:pPr>
            <w:r w:rsidRPr="00A652DE">
              <w:rPr>
                <w:rFonts w:ascii="Times New Roman" w:eastAsia="Times New Roman" w:hAnsi="Times New Roman" w:cs="Times New Roman"/>
                <w:i/>
                <w:iCs/>
                <w:sz w:val="24"/>
                <w:szCs w:val="24"/>
              </w:rPr>
              <w:t xml:space="preserve">Miscanthus sinensis </w:t>
            </w:r>
            <w:r w:rsidRPr="00A652DE">
              <w:rPr>
                <w:rFonts w:ascii="Times New Roman" w:eastAsia="Times New Roman" w:hAnsi="Times New Roman" w:cs="Times New Roman"/>
                <w:sz w:val="24"/>
                <w:szCs w:val="24"/>
              </w:rPr>
              <w:t>‘Gold Bar’</w:t>
            </w:r>
          </w:p>
        </w:tc>
        <w:tc>
          <w:tcPr>
            <w:tcW w:w="876" w:type="dxa"/>
            <w:tcBorders>
              <w:top w:val="single" w:sz="4" w:space="0" w:color="auto"/>
            </w:tcBorders>
          </w:tcPr>
          <w:p w14:paraId="2CC1ED4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0.785</w:t>
            </w:r>
          </w:p>
        </w:tc>
        <w:tc>
          <w:tcPr>
            <w:tcW w:w="990" w:type="dxa"/>
            <w:tcBorders>
              <w:top w:val="single" w:sz="4" w:space="0" w:color="auto"/>
            </w:tcBorders>
          </w:tcPr>
          <w:p w14:paraId="26B7787C"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0.478</w:t>
            </w:r>
          </w:p>
        </w:tc>
        <w:tc>
          <w:tcPr>
            <w:tcW w:w="1274" w:type="dxa"/>
            <w:tcBorders>
              <w:top w:val="single" w:sz="4" w:space="0" w:color="auto"/>
            </w:tcBorders>
          </w:tcPr>
          <w:p w14:paraId="6795E46B"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0.606</w:t>
            </w:r>
          </w:p>
        </w:tc>
        <w:tc>
          <w:tcPr>
            <w:tcW w:w="849" w:type="dxa"/>
            <w:tcBorders>
              <w:top w:val="single" w:sz="4" w:space="0" w:color="auto"/>
            </w:tcBorders>
          </w:tcPr>
          <w:p w14:paraId="7C68BFA0"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6.218</w:t>
            </w:r>
          </w:p>
        </w:tc>
        <w:tc>
          <w:tcPr>
            <w:tcW w:w="876" w:type="dxa"/>
            <w:tcBorders>
              <w:top w:val="single" w:sz="4" w:space="0" w:color="auto"/>
            </w:tcBorders>
          </w:tcPr>
          <w:p w14:paraId="598C466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0.337</w:t>
            </w:r>
          </w:p>
        </w:tc>
        <w:tc>
          <w:tcPr>
            <w:tcW w:w="756" w:type="dxa"/>
            <w:tcBorders>
              <w:top w:val="single" w:sz="4" w:space="0" w:color="auto"/>
            </w:tcBorders>
          </w:tcPr>
          <w:p w14:paraId="757598D5"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0.366</w:t>
            </w:r>
          </w:p>
        </w:tc>
        <w:tc>
          <w:tcPr>
            <w:tcW w:w="843" w:type="dxa"/>
            <w:tcBorders>
              <w:top w:val="single" w:sz="4" w:space="0" w:color="auto"/>
            </w:tcBorders>
          </w:tcPr>
          <w:p w14:paraId="3B752528"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0.917</w:t>
            </w:r>
          </w:p>
        </w:tc>
        <w:tc>
          <w:tcPr>
            <w:tcW w:w="1069" w:type="dxa"/>
            <w:tcBorders>
              <w:top w:val="single" w:sz="4" w:space="0" w:color="auto"/>
            </w:tcBorders>
          </w:tcPr>
          <w:p w14:paraId="181F3A16" w14:textId="77777777" w:rsidR="00CE4A8B" w:rsidRPr="00A652DE" w:rsidRDefault="00CE4A8B" w:rsidP="003E4F56">
            <w:pPr>
              <w:jc w:val="center"/>
              <w:rPr>
                <w:rFonts w:ascii="Times New Roman" w:eastAsia="Times New Roman" w:hAnsi="Times New Roman" w:cs="Times New Roman"/>
                <w:sz w:val="24"/>
                <w:szCs w:val="24"/>
              </w:rPr>
            </w:pPr>
            <w:r w:rsidRPr="00A652DE">
              <w:rPr>
                <w:rFonts w:ascii="Times New Roman" w:eastAsia="Times New Roman" w:hAnsi="Times New Roman" w:cs="Times New Roman"/>
                <w:sz w:val="24"/>
                <w:szCs w:val="24"/>
              </w:rPr>
              <w:t>7.640</w:t>
            </w:r>
          </w:p>
        </w:tc>
      </w:tr>
    </w:tbl>
    <w:p w14:paraId="1854E9C5" w14:textId="77777777" w:rsidR="00CE4A8B" w:rsidRDefault="00CE4A8B" w:rsidP="00CE4A8B">
      <w:pPr>
        <w:spacing w:after="0" w:line="240" w:lineRule="auto"/>
        <w:jc w:val="both"/>
        <w:rPr>
          <w:rFonts w:ascii="Times New Roman" w:hAnsi="Times New Roman" w:cs="Times New Roman"/>
          <w:b/>
          <w:bCs/>
        </w:rPr>
      </w:pPr>
    </w:p>
    <w:p w14:paraId="0C98F919" w14:textId="77777777" w:rsidR="00CE4A8B" w:rsidRDefault="00CE4A8B" w:rsidP="00CE4A8B">
      <w:pPr>
        <w:spacing w:after="0" w:line="240" w:lineRule="auto"/>
        <w:jc w:val="both"/>
        <w:rPr>
          <w:rFonts w:ascii="Times New Roman" w:hAnsi="Times New Roman" w:cs="Times New Roman"/>
          <w:b/>
          <w:bCs/>
        </w:rPr>
      </w:pPr>
    </w:p>
    <w:p w14:paraId="6398DA7B" w14:textId="77777777" w:rsidR="00CE4A8B" w:rsidRDefault="00CE4A8B" w:rsidP="00CE4A8B">
      <w:pPr>
        <w:spacing w:after="0" w:line="240" w:lineRule="auto"/>
        <w:jc w:val="both"/>
        <w:rPr>
          <w:rFonts w:ascii="Times New Roman" w:hAnsi="Times New Roman" w:cs="Times New Roman"/>
          <w:b/>
          <w:bCs/>
        </w:rPr>
      </w:pPr>
    </w:p>
    <w:p w14:paraId="7A02912F" w14:textId="77777777" w:rsidR="00CE4A8B" w:rsidRDefault="00CE4A8B" w:rsidP="00CE4A8B">
      <w:pPr>
        <w:spacing w:after="0" w:line="240" w:lineRule="auto"/>
        <w:jc w:val="both"/>
        <w:rPr>
          <w:rFonts w:ascii="Times New Roman" w:hAnsi="Times New Roman" w:cs="Times New Roman"/>
          <w:b/>
          <w:bCs/>
        </w:rPr>
      </w:pPr>
    </w:p>
    <w:p w14:paraId="4F88C131" w14:textId="77777777" w:rsidR="00CE4A8B" w:rsidRDefault="00CE4A8B" w:rsidP="00CE4A8B">
      <w:pPr>
        <w:spacing w:after="0" w:line="240" w:lineRule="auto"/>
        <w:jc w:val="both"/>
        <w:rPr>
          <w:rFonts w:ascii="Times New Roman" w:hAnsi="Times New Roman" w:cs="Times New Roman"/>
          <w:b/>
          <w:bCs/>
        </w:rPr>
      </w:pPr>
    </w:p>
    <w:p w14:paraId="4C685E39" w14:textId="77777777" w:rsidR="00CE4A8B" w:rsidRDefault="00CE4A8B" w:rsidP="00CE4A8B">
      <w:pPr>
        <w:spacing w:after="0" w:line="240" w:lineRule="auto"/>
        <w:jc w:val="both"/>
        <w:rPr>
          <w:rFonts w:ascii="Times New Roman" w:hAnsi="Times New Roman" w:cs="Times New Roman"/>
          <w:b/>
          <w:bCs/>
        </w:rPr>
      </w:pPr>
    </w:p>
    <w:p w14:paraId="5AF3A059" w14:textId="77777777" w:rsidR="00CE4A8B" w:rsidRDefault="00CE4A8B" w:rsidP="00CE4A8B">
      <w:pPr>
        <w:spacing w:after="0" w:line="240" w:lineRule="auto"/>
        <w:jc w:val="both"/>
        <w:rPr>
          <w:rFonts w:ascii="Times New Roman" w:hAnsi="Times New Roman" w:cs="Times New Roman"/>
          <w:b/>
          <w:bCs/>
        </w:rPr>
      </w:pPr>
    </w:p>
    <w:p w14:paraId="4F5B68E6" w14:textId="77777777" w:rsidR="00CE4A8B" w:rsidRDefault="00CE4A8B" w:rsidP="00CE4A8B">
      <w:pPr>
        <w:spacing w:after="0" w:line="240" w:lineRule="auto"/>
        <w:jc w:val="both"/>
        <w:rPr>
          <w:rFonts w:ascii="Times New Roman" w:hAnsi="Times New Roman" w:cs="Times New Roman"/>
          <w:b/>
          <w:bCs/>
        </w:rPr>
      </w:pPr>
    </w:p>
    <w:p w14:paraId="00D40EFC" w14:textId="77777777" w:rsidR="00CE4A8B" w:rsidRDefault="00CE4A8B" w:rsidP="00CE4A8B">
      <w:pPr>
        <w:spacing w:after="0" w:line="240" w:lineRule="auto"/>
        <w:jc w:val="both"/>
        <w:rPr>
          <w:rFonts w:ascii="Times New Roman" w:hAnsi="Times New Roman" w:cs="Times New Roman"/>
          <w:b/>
          <w:bCs/>
        </w:rPr>
      </w:pPr>
    </w:p>
    <w:p w14:paraId="624F7B56" w14:textId="77777777" w:rsidR="00CE4A8B" w:rsidRDefault="00CE4A8B" w:rsidP="00CE4A8B">
      <w:pPr>
        <w:spacing w:after="0" w:line="240" w:lineRule="auto"/>
        <w:jc w:val="both"/>
        <w:rPr>
          <w:rFonts w:ascii="Times New Roman" w:hAnsi="Times New Roman" w:cs="Times New Roman"/>
          <w:b/>
          <w:bCs/>
        </w:rPr>
      </w:pPr>
    </w:p>
    <w:p w14:paraId="1E3B8F60" w14:textId="77777777" w:rsidR="00CE4A8B" w:rsidRDefault="00CE4A8B" w:rsidP="00CE4A8B">
      <w:pPr>
        <w:spacing w:after="0" w:line="240" w:lineRule="auto"/>
        <w:jc w:val="both"/>
        <w:rPr>
          <w:rFonts w:ascii="Times New Roman" w:hAnsi="Times New Roman" w:cs="Times New Roman"/>
          <w:b/>
          <w:bCs/>
        </w:rPr>
      </w:pPr>
    </w:p>
    <w:p w14:paraId="6DF821DA" w14:textId="77777777" w:rsidR="00CE4A8B" w:rsidRDefault="00CE4A8B" w:rsidP="00CE4A8B">
      <w:pPr>
        <w:spacing w:after="0" w:line="240" w:lineRule="auto"/>
        <w:jc w:val="both"/>
        <w:rPr>
          <w:rFonts w:ascii="Times New Roman" w:hAnsi="Times New Roman" w:cs="Times New Roman"/>
          <w:b/>
          <w:bCs/>
        </w:rPr>
      </w:pPr>
    </w:p>
    <w:p w14:paraId="63378913" w14:textId="77777777" w:rsidR="00CE4A8B" w:rsidRDefault="00CE4A8B" w:rsidP="00CE4A8B">
      <w:pPr>
        <w:spacing w:after="0" w:line="240" w:lineRule="auto"/>
        <w:jc w:val="both"/>
        <w:rPr>
          <w:rFonts w:ascii="Times New Roman" w:hAnsi="Times New Roman" w:cs="Times New Roman"/>
          <w:b/>
          <w:bCs/>
        </w:rPr>
      </w:pPr>
    </w:p>
    <w:p w14:paraId="649298DC" w14:textId="77777777" w:rsidR="00CE4A8B" w:rsidRDefault="00CE4A8B" w:rsidP="00CE4A8B">
      <w:pPr>
        <w:spacing w:after="0" w:line="240" w:lineRule="auto"/>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1F407BA6" wp14:editId="07D43F90">
            <wp:extent cx="6639896" cy="8131629"/>
            <wp:effectExtent l="0" t="0" r="8890" b="3175"/>
            <wp:docPr id="473664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64311" name="Picture 473664311"/>
                    <pic:cNvPicPr/>
                  </pic:nvPicPr>
                  <pic:blipFill rotWithShape="1">
                    <a:blip r:embed="rId15"/>
                    <a:srcRect l="926" t="3522" b="1005"/>
                    <a:stretch>
                      <a:fillRect/>
                    </a:stretch>
                  </pic:blipFill>
                  <pic:spPr bwMode="auto">
                    <a:xfrm>
                      <a:off x="0" y="0"/>
                      <a:ext cx="6644934" cy="8137799"/>
                    </a:xfrm>
                    <a:prstGeom prst="rect">
                      <a:avLst/>
                    </a:prstGeom>
                    <a:ln>
                      <a:noFill/>
                    </a:ln>
                    <a:extLst>
                      <a:ext uri="{53640926-AAD7-44D8-BBD7-CCE9431645EC}">
                        <a14:shadowObscured xmlns:a14="http://schemas.microsoft.com/office/drawing/2010/main"/>
                      </a:ext>
                    </a:extLst>
                  </pic:spPr>
                </pic:pic>
              </a:graphicData>
            </a:graphic>
          </wp:inline>
        </w:drawing>
      </w:r>
    </w:p>
    <w:p w14:paraId="66FF0C88" w14:textId="77777777" w:rsidR="00CE4A8B" w:rsidRDefault="00CE4A8B" w:rsidP="00CE4A8B">
      <w:pPr>
        <w:spacing w:after="0" w:line="240" w:lineRule="auto"/>
        <w:jc w:val="both"/>
        <w:rPr>
          <w:rFonts w:ascii="Times New Roman" w:eastAsia="Times New Roman" w:hAnsi="Times New Roman" w:cs="Times New Roman"/>
        </w:rPr>
      </w:pPr>
      <w:r w:rsidRPr="00A652DE">
        <w:rPr>
          <w:rFonts w:ascii="Times New Roman" w:eastAsia="Times New Roman" w:hAnsi="Times New Roman" w:cs="Times New Roman"/>
          <w:b/>
          <w:bCs/>
        </w:rPr>
        <w:t>Fig</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1</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 xml:space="preserve">Gene structure of the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i/>
          <w:iCs/>
        </w:rPr>
        <w:t xml:space="preserve"> </w:t>
      </w:r>
      <w:r w:rsidRPr="00A652DE">
        <w:rPr>
          <w:rFonts w:ascii="Times New Roman" w:eastAsia="Times New Roman" w:hAnsi="Times New Roman" w:cs="Times New Roman"/>
        </w:rPr>
        <w:t xml:space="preserve">genes. The structure of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genes was visualized using the online tool GSDS by submitting their genomic and CDS sequences. The yellow boxes indicate exons (coding sequences) and horizontal scale represents gene length in base pairs (bp).</w:t>
      </w:r>
    </w:p>
    <w:p w14:paraId="6190AABA" w14:textId="77777777" w:rsidR="00CE4A8B" w:rsidRPr="00A652DE" w:rsidRDefault="00CE4A8B" w:rsidP="00CE4A8B">
      <w:pPr>
        <w:spacing w:after="0" w:line="240"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49729E3" wp14:editId="662EDA9B">
            <wp:extent cx="3961994" cy="8466899"/>
            <wp:effectExtent l="0" t="0" r="635" b="0"/>
            <wp:docPr id="6552800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80059" name="Picture 655280059"/>
                    <pic:cNvPicPr/>
                  </pic:nvPicPr>
                  <pic:blipFill>
                    <a:blip r:embed="rId16"/>
                    <a:stretch>
                      <a:fillRect/>
                    </a:stretch>
                  </pic:blipFill>
                  <pic:spPr>
                    <a:xfrm>
                      <a:off x="0" y="0"/>
                      <a:ext cx="3964425" cy="8472094"/>
                    </a:xfrm>
                    <a:prstGeom prst="rect">
                      <a:avLst/>
                    </a:prstGeom>
                  </pic:spPr>
                </pic:pic>
              </a:graphicData>
            </a:graphic>
          </wp:inline>
        </w:drawing>
      </w:r>
    </w:p>
    <w:p w14:paraId="05F27BF0" w14:textId="77777777" w:rsidR="00CE4A8B" w:rsidRDefault="00CE4A8B" w:rsidP="00CE4A8B">
      <w:pPr>
        <w:spacing w:after="0" w:line="240" w:lineRule="auto"/>
        <w:rPr>
          <w:rFonts w:ascii="Times New Roman" w:eastAsia="Times New Roman" w:hAnsi="Times New Roman" w:cs="Times New Roman"/>
        </w:rPr>
      </w:pPr>
      <w:r w:rsidRPr="00A652DE">
        <w:rPr>
          <w:rFonts w:ascii="Times New Roman" w:eastAsia="Times New Roman" w:hAnsi="Times New Roman" w:cs="Times New Roman"/>
          <w:b/>
          <w:bCs/>
        </w:rPr>
        <w:t>Fig</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2</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gene family protein motifs. Thirty motifs were detected in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proteins using online MEME tool. (A) Motifs and (B) motif sequences.</w:t>
      </w:r>
    </w:p>
    <w:p w14:paraId="42895BE9" w14:textId="77777777" w:rsidR="00CE4A8B" w:rsidRDefault="00CE4A8B" w:rsidP="00CE4A8B">
      <w:pPr>
        <w:spacing w:after="0" w:line="24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E8550F0" wp14:editId="4B7EDEDA">
            <wp:extent cx="7028121" cy="4990622"/>
            <wp:effectExtent l="0" t="0" r="1905" b="635"/>
            <wp:docPr id="3887235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23541" name="Picture 388723541"/>
                    <pic:cNvPicPr/>
                  </pic:nvPicPr>
                  <pic:blipFill rotWithShape="1">
                    <a:blip r:embed="rId17"/>
                    <a:srcRect l="10175" r="10611"/>
                    <a:stretch>
                      <a:fillRect/>
                    </a:stretch>
                  </pic:blipFill>
                  <pic:spPr bwMode="auto">
                    <a:xfrm>
                      <a:off x="0" y="0"/>
                      <a:ext cx="7047993" cy="5004733"/>
                    </a:xfrm>
                    <a:prstGeom prst="rect">
                      <a:avLst/>
                    </a:prstGeom>
                    <a:ln>
                      <a:noFill/>
                    </a:ln>
                    <a:extLst>
                      <a:ext uri="{53640926-AAD7-44D8-BBD7-CCE9431645EC}">
                        <a14:shadowObscured xmlns:a14="http://schemas.microsoft.com/office/drawing/2010/main"/>
                      </a:ext>
                    </a:extLst>
                  </pic:spPr>
                </pic:pic>
              </a:graphicData>
            </a:graphic>
          </wp:inline>
        </w:drawing>
      </w:r>
    </w:p>
    <w:p w14:paraId="2A97DC8D" w14:textId="77777777" w:rsidR="00CE4A8B" w:rsidRDefault="00CE4A8B" w:rsidP="00CE4A8B">
      <w:pPr>
        <w:spacing w:after="0" w:line="312" w:lineRule="auto"/>
        <w:jc w:val="both"/>
        <w:rPr>
          <w:rFonts w:ascii="Times New Roman" w:eastAsia="Times New Roman" w:hAnsi="Times New Roman" w:cs="Times New Roman"/>
        </w:rPr>
      </w:pPr>
      <w:r w:rsidRPr="00A652DE">
        <w:rPr>
          <w:rFonts w:ascii="Times New Roman" w:eastAsia="Times New Roman" w:hAnsi="Times New Roman" w:cs="Times New Roman"/>
          <w:b/>
          <w:bCs/>
        </w:rPr>
        <w:t>Fig</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3</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 xml:space="preserve">Predicted 3D structures of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proteins in </w:t>
      </w:r>
      <w:r w:rsidRPr="00A652DE">
        <w:rPr>
          <w:rFonts w:ascii="Times New Roman" w:eastAsia="Times New Roman" w:hAnsi="Times New Roman" w:cs="Times New Roman"/>
          <w:i/>
          <w:iCs/>
        </w:rPr>
        <w:t>Saccharum</w:t>
      </w:r>
      <w:r w:rsidRPr="00A652DE">
        <w:rPr>
          <w:rFonts w:ascii="Times New Roman" w:eastAsia="Times New Roman" w:hAnsi="Times New Roman" w:cs="Times New Roman"/>
        </w:rPr>
        <w:t xml:space="preserve"> hybrid ‘</w:t>
      </w:r>
      <w:proofErr w:type="spellStart"/>
      <w:r w:rsidRPr="00A652DE">
        <w:rPr>
          <w:rFonts w:ascii="Times New Roman" w:eastAsia="Times New Roman" w:hAnsi="Times New Roman" w:cs="Times New Roman"/>
        </w:rPr>
        <w:t>Kidang</w:t>
      </w:r>
      <w:proofErr w:type="spellEnd"/>
      <w:r w:rsidRPr="00A652DE">
        <w:rPr>
          <w:rFonts w:ascii="Times New Roman" w:eastAsia="Times New Roman" w:hAnsi="Times New Roman" w:cs="Times New Roman"/>
        </w:rPr>
        <w:t xml:space="preserve"> </w:t>
      </w:r>
      <w:proofErr w:type="spellStart"/>
      <w:r w:rsidRPr="00A652DE">
        <w:rPr>
          <w:rFonts w:ascii="Times New Roman" w:eastAsia="Times New Roman" w:hAnsi="Times New Roman" w:cs="Times New Roman"/>
        </w:rPr>
        <w:t>Kencana</w:t>
      </w:r>
      <w:proofErr w:type="spellEnd"/>
      <w:r w:rsidRPr="00A652DE">
        <w:rPr>
          <w:rFonts w:ascii="Times New Roman" w:eastAsia="Times New Roman" w:hAnsi="Times New Roman" w:cs="Times New Roman"/>
        </w:rPr>
        <w:t>’ and ‘</w:t>
      </w:r>
      <w:proofErr w:type="spellStart"/>
      <w:r w:rsidRPr="00A652DE">
        <w:rPr>
          <w:rFonts w:ascii="Times New Roman" w:eastAsia="Times New Roman" w:hAnsi="Times New Roman" w:cs="Times New Roman"/>
        </w:rPr>
        <w:t>Bululawang</w:t>
      </w:r>
      <w:proofErr w:type="spellEnd"/>
      <w:r w:rsidRPr="00A652DE">
        <w:rPr>
          <w:rFonts w:ascii="Times New Roman" w:eastAsia="Times New Roman" w:hAnsi="Times New Roman" w:cs="Times New Roman"/>
        </w:rPr>
        <w:t>’.</w:t>
      </w:r>
    </w:p>
    <w:p w14:paraId="1EF4DE13" w14:textId="77777777" w:rsidR="00CE4A8B" w:rsidRDefault="00CE4A8B" w:rsidP="00CE4A8B">
      <w:pPr>
        <w:spacing w:after="0" w:line="312" w:lineRule="auto"/>
        <w:jc w:val="both"/>
        <w:rPr>
          <w:rFonts w:ascii="Times New Roman" w:eastAsia="Times New Roman" w:hAnsi="Times New Roman" w:cs="Times New Roman"/>
        </w:rPr>
      </w:pPr>
    </w:p>
    <w:p w14:paraId="32F83201" w14:textId="77777777" w:rsidR="00CE4A8B" w:rsidRDefault="00CE4A8B" w:rsidP="00CE4A8B">
      <w:pPr>
        <w:spacing w:after="0" w:line="312" w:lineRule="auto"/>
        <w:jc w:val="both"/>
        <w:rPr>
          <w:rFonts w:ascii="Times New Roman" w:eastAsia="Times New Roman" w:hAnsi="Times New Roman" w:cs="Times New Roman"/>
        </w:rPr>
      </w:pPr>
    </w:p>
    <w:p w14:paraId="76A3258E" w14:textId="77777777" w:rsidR="00CE4A8B" w:rsidRDefault="00CE4A8B" w:rsidP="00CE4A8B">
      <w:pPr>
        <w:spacing w:after="0" w:line="312" w:lineRule="auto"/>
        <w:jc w:val="both"/>
        <w:rPr>
          <w:rFonts w:ascii="Times New Roman" w:eastAsia="Times New Roman" w:hAnsi="Times New Roman" w:cs="Times New Roman"/>
        </w:rPr>
      </w:pPr>
    </w:p>
    <w:p w14:paraId="6BE4A694" w14:textId="77777777" w:rsidR="00CE4A8B" w:rsidRDefault="00CE4A8B" w:rsidP="00CE4A8B">
      <w:pPr>
        <w:spacing w:after="0" w:line="312" w:lineRule="auto"/>
        <w:jc w:val="both"/>
        <w:rPr>
          <w:rFonts w:ascii="Times New Roman" w:eastAsia="Times New Roman" w:hAnsi="Times New Roman" w:cs="Times New Roman"/>
        </w:rPr>
      </w:pPr>
    </w:p>
    <w:p w14:paraId="3DD76E7B" w14:textId="77777777" w:rsidR="00CE4A8B" w:rsidRDefault="00CE4A8B" w:rsidP="00CE4A8B">
      <w:pPr>
        <w:spacing w:after="0" w:line="312" w:lineRule="auto"/>
        <w:jc w:val="both"/>
        <w:rPr>
          <w:rFonts w:ascii="Times New Roman" w:eastAsia="Times New Roman" w:hAnsi="Times New Roman" w:cs="Times New Roman"/>
        </w:rPr>
      </w:pPr>
    </w:p>
    <w:p w14:paraId="0CB6421F" w14:textId="77777777" w:rsidR="00CE4A8B" w:rsidRDefault="00CE4A8B" w:rsidP="00CE4A8B">
      <w:pPr>
        <w:spacing w:after="0" w:line="312" w:lineRule="auto"/>
        <w:jc w:val="both"/>
        <w:rPr>
          <w:rFonts w:ascii="Times New Roman" w:eastAsia="Times New Roman" w:hAnsi="Times New Roman" w:cs="Times New Roman"/>
        </w:rPr>
      </w:pPr>
    </w:p>
    <w:p w14:paraId="47136625" w14:textId="77777777" w:rsidR="00CE4A8B" w:rsidRDefault="00CE4A8B" w:rsidP="00CE4A8B">
      <w:pPr>
        <w:spacing w:after="0" w:line="312" w:lineRule="auto"/>
        <w:jc w:val="both"/>
        <w:rPr>
          <w:rFonts w:ascii="Times New Roman" w:eastAsia="Times New Roman" w:hAnsi="Times New Roman" w:cs="Times New Roman"/>
        </w:rPr>
      </w:pPr>
    </w:p>
    <w:p w14:paraId="4E426CD6" w14:textId="77777777" w:rsidR="00CE4A8B" w:rsidRDefault="00CE4A8B" w:rsidP="00CE4A8B">
      <w:pPr>
        <w:spacing w:after="0" w:line="312" w:lineRule="auto"/>
        <w:jc w:val="both"/>
        <w:rPr>
          <w:rFonts w:ascii="Times New Roman" w:eastAsia="Times New Roman" w:hAnsi="Times New Roman" w:cs="Times New Roman"/>
        </w:rPr>
      </w:pPr>
    </w:p>
    <w:p w14:paraId="65562DF3" w14:textId="77777777" w:rsidR="00CE4A8B" w:rsidRDefault="00CE4A8B" w:rsidP="00CE4A8B">
      <w:pPr>
        <w:spacing w:after="0" w:line="312" w:lineRule="auto"/>
        <w:jc w:val="both"/>
        <w:rPr>
          <w:rFonts w:ascii="Times New Roman" w:eastAsia="Times New Roman" w:hAnsi="Times New Roman" w:cs="Times New Roman"/>
        </w:rPr>
      </w:pPr>
    </w:p>
    <w:p w14:paraId="362DA5CF" w14:textId="77777777" w:rsidR="00CE4A8B" w:rsidRDefault="00CE4A8B" w:rsidP="00CE4A8B">
      <w:pPr>
        <w:spacing w:after="0" w:line="312" w:lineRule="auto"/>
        <w:jc w:val="both"/>
        <w:rPr>
          <w:rFonts w:ascii="Times New Roman" w:eastAsia="Times New Roman" w:hAnsi="Times New Roman" w:cs="Times New Roman"/>
        </w:rPr>
      </w:pPr>
    </w:p>
    <w:p w14:paraId="103ECA92" w14:textId="77777777" w:rsidR="00CE4A8B" w:rsidRDefault="00CE4A8B" w:rsidP="00CE4A8B">
      <w:pPr>
        <w:spacing w:after="0" w:line="312" w:lineRule="auto"/>
        <w:jc w:val="both"/>
        <w:rPr>
          <w:rFonts w:ascii="Times New Roman" w:eastAsia="Times New Roman" w:hAnsi="Times New Roman" w:cs="Times New Roman"/>
        </w:rPr>
      </w:pPr>
    </w:p>
    <w:p w14:paraId="53EE0ABF" w14:textId="77777777" w:rsidR="00CE4A8B" w:rsidRDefault="00CE4A8B" w:rsidP="00CE4A8B">
      <w:pPr>
        <w:spacing w:after="0" w:line="312" w:lineRule="auto"/>
        <w:jc w:val="both"/>
        <w:rPr>
          <w:rFonts w:ascii="Times New Roman" w:eastAsia="Times New Roman" w:hAnsi="Times New Roman" w:cs="Times New Roman"/>
        </w:rPr>
      </w:pPr>
    </w:p>
    <w:p w14:paraId="6E1F14B4" w14:textId="77777777" w:rsidR="00CE4A8B" w:rsidRDefault="00CE4A8B" w:rsidP="00CE4A8B">
      <w:pPr>
        <w:spacing w:after="0" w:line="312" w:lineRule="auto"/>
        <w:jc w:val="both"/>
        <w:rPr>
          <w:rFonts w:ascii="Times New Roman" w:eastAsia="Times New Roman" w:hAnsi="Times New Roman" w:cs="Times New Roman"/>
        </w:rPr>
      </w:pPr>
    </w:p>
    <w:p w14:paraId="396A3CFF" w14:textId="77777777" w:rsidR="00CE4A8B" w:rsidRDefault="00CE4A8B" w:rsidP="00CE4A8B">
      <w:pPr>
        <w:spacing w:after="0" w:line="312" w:lineRule="auto"/>
        <w:jc w:val="both"/>
        <w:rPr>
          <w:rFonts w:ascii="Times New Roman" w:eastAsia="Times New Roman" w:hAnsi="Times New Roman" w:cs="Times New Roman"/>
        </w:rPr>
      </w:pPr>
    </w:p>
    <w:p w14:paraId="3BB2C300" w14:textId="77777777" w:rsidR="00CE4A8B" w:rsidRDefault="00CE4A8B" w:rsidP="00CE4A8B">
      <w:pPr>
        <w:spacing w:after="0" w:line="312" w:lineRule="auto"/>
        <w:jc w:val="both"/>
        <w:rPr>
          <w:rFonts w:ascii="Times New Roman" w:eastAsia="Times New Roman" w:hAnsi="Times New Roman" w:cs="Times New Roman"/>
        </w:rPr>
      </w:pPr>
    </w:p>
    <w:p w14:paraId="53EFB1F6" w14:textId="77777777" w:rsidR="00CE4A8B" w:rsidRDefault="00CE4A8B" w:rsidP="00CE4A8B">
      <w:pPr>
        <w:spacing w:after="0" w:line="312" w:lineRule="auto"/>
        <w:jc w:val="both"/>
        <w:rPr>
          <w:rFonts w:ascii="Times New Roman" w:eastAsia="Times New Roman" w:hAnsi="Times New Roman" w:cs="Times New Roman"/>
        </w:rPr>
      </w:pPr>
    </w:p>
    <w:p w14:paraId="2D8B17D7" w14:textId="77777777" w:rsidR="00CE4A8B" w:rsidRPr="00A652DE" w:rsidRDefault="00CE4A8B" w:rsidP="00CE4A8B">
      <w:pPr>
        <w:spacing w:after="0" w:line="312" w:lineRule="auto"/>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D383EF7" wp14:editId="51D4678A">
            <wp:extent cx="5377286" cy="8325293"/>
            <wp:effectExtent l="0" t="0" r="0" b="0"/>
            <wp:docPr id="9535562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56241" name="Picture 953556241"/>
                    <pic:cNvPicPr/>
                  </pic:nvPicPr>
                  <pic:blipFill>
                    <a:blip r:embed="rId18"/>
                    <a:stretch>
                      <a:fillRect/>
                    </a:stretch>
                  </pic:blipFill>
                  <pic:spPr>
                    <a:xfrm>
                      <a:off x="0" y="0"/>
                      <a:ext cx="5380546" cy="8330340"/>
                    </a:xfrm>
                    <a:prstGeom prst="rect">
                      <a:avLst/>
                    </a:prstGeom>
                  </pic:spPr>
                </pic:pic>
              </a:graphicData>
            </a:graphic>
          </wp:inline>
        </w:drawing>
      </w:r>
    </w:p>
    <w:p w14:paraId="4C1E550B" w14:textId="77777777" w:rsidR="00CE4A8B" w:rsidRPr="00A652DE" w:rsidRDefault="00CE4A8B" w:rsidP="00CE4A8B">
      <w:pPr>
        <w:spacing w:after="0" w:line="240" w:lineRule="auto"/>
        <w:jc w:val="both"/>
        <w:rPr>
          <w:rFonts w:ascii="Times New Roman" w:eastAsia="Times New Roman" w:hAnsi="Times New Roman" w:cs="Times New Roman"/>
        </w:rPr>
      </w:pPr>
      <w:r w:rsidRPr="00A652DE">
        <w:rPr>
          <w:rFonts w:ascii="Times New Roman" w:eastAsia="Times New Roman" w:hAnsi="Times New Roman" w:cs="Times New Roman"/>
          <w:b/>
          <w:bCs/>
        </w:rPr>
        <w:t>Fi</w:t>
      </w:r>
      <w:r>
        <w:rPr>
          <w:rFonts w:ascii="Times New Roman" w:eastAsia="Times New Roman" w:hAnsi="Times New Roman" w:cs="Times New Roman"/>
          <w:b/>
          <w:bCs/>
        </w:rPr>
        <w:t>g.</w:t>
      </w:r>
      <w:r w:rsidRPr="00A652DE">
        <w:rPr>
          <w:rFonts w:ascii="Times New Roman" w:eastAsia="Times New Roman" w:hAnsi="Times New Roman" w:cs="Times New Roman"/>
          <w:b/>
          <w:bCs/>
        </w:rPr>
        <w:t xml:space="preserve"> 4</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Comparative codon usage bias of</w:t>
      </w:r>
      <w:r w:rsidRPr="00A652DE">
        <w:rPr>
          <w:rFonts w:ascii="Times New Roman" w:eastAsia="Times New Roman" w:hAnsi="Times New Roman" w:cs="Times New Roman"/>
          <w:i/>
          <w:iCs/>
        </w:rPr>
        <w:t xml:space="preserve">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genes vs other chloroplast genes in </w:t>
      </w:r>
      <w:r w:rsidRPr="00A652DE">
        <w:rPr>
          <w:rFonts w:ascii="Times New Roman" w:eastAsia="Times New Roman" w:hAnsi="Times New Roman" w:cs="Times New Roman"/>
          <w:i/>
          <w:iCs/>
        </w:rPr>
        <w:t>Saccharum</w:t>
      </w:r>
      <w:r w:rsidRPr="00A652DE">
        <w:rPr>
          <w:rFonts w:ascii="Times New Roman" w:eastAsia="Times New Roman" w:hAnsi="Times New Roman" w:cs="Times New Roman"/>
        </w:rPr>
        <w:t xml:space="preserve"> hybrid ‘</w:t>
      </w:r>
      <w:proofErr w:type="spellStart"/>
      <w:r w:rsidRPr="00A652DE">
        <w:rPr>
          <w:rFonts w:ascii="Times New Roman" w:eastAsia="Times New Roman" w:hAnsi="Times New Roman" w:cs="Times New Roman"/>
        </w:rPr>
        <w:t>Kidang</w:t>
      </w:r>
      <w:proofErr w:type="spellEnd"/>
      <w:r w:rsidRPr="00A652DE">
        <w:rPr>
          <w:rFonts w:ascii="Times New Roman" w:eastAsia="Times New Roman" w:hAnsi="Times New Roman" w:cs="Times New Roman"/>
        </w:rPr>
        <w:t xml:space="preserve"> </w:t>
      </w:r>
      <w:proofErr w:type="spellStart"/>
      <w:r w:rsidRPr="00A652DE">
        <w:rPr>
          <w:rFonts w:ascii="Times New Roman" w:eastAsia="Times New Roman" w:hAnsi="Times New Roman" w:cs="Times New Roman"/>
        </w:rPr>
        <w:t>Kencana</w:t>
      </w:r>
      <w:proofErr w:type="spellEnd"/>
      <w:r w:rsidRPr="00A652DE">
        <w:rPr>
          <w:rFonts w:ascii="Times New Roman" w:eastAsia="Times New Roman" w:hAnsi="Times New Roman" w:cs="Times New Roman"/>
        </w:rPr>
        <w:t>’ and ‘</w:t>
      </w:r>
      <w:proofErr w:type="spellStart"/>
      <w:r w:rsidRPr="00A652DE">
        <w:rPr>
          <w:rFonts w:ascii="Times New Roman" w:eastAsia="Times New Roman" w:hAnsi="Times New Roman" w:cs="Times New Roman"/>
        </w:rPr>
        <w:t>Bululawang</w:t>
      </w:r>
      <w:proofErr w:type="spellEnd"/>
      <w:r w:rsidRPr="00A652DE">
        <w:rPr>
          <w:rFonts w:ascii="Times New Roman" w:eastAsia="Times New Roman" w:hAnsi="Times New Roman" w:cs="Times New Roman"/>
        </w:rPr>
        <w:t>’.</w:t>
      </w:r>
    </w:p>
    <w:p w14:paraId="42B15AD7" w14:textId="77777777" w:rsidR="00CE4A8B" w:rsidRDefault="00CE4A8B" w:rsidP="00CE4A8B">
      <w:pPr>
        <w:spacing w:after="0" w:line="240" w:lineRule="auto"/>
        <w:jc w:val="both"/>
        <w:rPr>
          <w:rFonts w:ascii="Times New Roman" w:hAnsi="Times New Roman" w:cs="Times New Roman"/>
          <w:b/>
          <w:bCs/>
        </w:rPr>
      </w:pPr>
      <w:r>
        <w:rPr>
          <w:rFonts w:ascii="Times New Roman" w:hAnsi="Times New Roman" w:cs="Times New Roman"/>
          <w:b/>
          <w:bCs/>
          <w:noProof/>
        </w:rPr>
        <w:lastRenderedPageBreak/>
        <w:drawing>
          <wp:inline distT="0" distB="0" distL="0" distR="0" wp14:anchorId="5C9502DB" wp14:editId="6A489F01">
            <wp:extent cx="7049386" cy="4932661"/>
            <wp:effectExtent l="0" t="0" r="0" b="1905"/>
            <wp:docPr id="11915465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59937" cy="4940044"/>
                    </a:xfrm>
                    <a:prstGeom prst="rect">
                      <a:avLst/>
                    </a:prstGeom>
                    <a:noFill/>
                    <a:ln>
                      <a:noFill/>
                    </a:ln>
                  </pic:spPr>
                </pic:pic>
              </a:graphicData>
            </a:graphic>
          </wp:inline>
        </w:drawing>
      </w:r>
    </w:p>
    <w:p w14:paraId="28F6CDC3" w14:textId="77777777" w:rsidR="00CE4A8B" w:rsidRPr="00A652DE" w:rsidRDefault="00CE4A8B" w:rsidP="00CE4A8B">
      <w:pPr>
        <w:spacing w:after="0" w:line="240" w:lineRule="auto"/>
        <w:jc w:val="both"/>
        <w:rPr>
          <w:rFonts w:ascii="Times New Roman" w:eastAsia="Times New Roman" w:hAnsi="Times New Roman" w:cs="Times New Roman"/>
        </w:rPr>
      </w:pPr>
      <w:r w:rsidRPr="00A652DE">
        <w:rPr>
          <w:rFonts w:ascii="Times New Roman" w:eastAsia="Times New Roman" w:hAnsi="Times New Roman" w:cs="Times New Roman"/>
          <w:b/>
          <w:bCs/>
        </w:rPr>
        <w:t>Fig</w:t>
      </w:r>
      <w:r>
        <w:rPr>
          <w:rFonts w:ascii="Times New Roman" w:eastAsia="Times New Roman" w:hAnsi="Times New Roman" w:cs="Times New Roman"/>
          <w:b/>
          <w:bCs/>
        </w:rPr>
        <w:t xml:space="preserve">. </w:t>
      </w:r>
      <w:r w:rsidRPr="00A652DE">
        <w:rPr>
          <w:rFonts w:ascii="Times New Roman" w:eastAsia="Times New Roman" w:hAnsi="Times New Roman" w:cs="Times New Roman"/>
          <w:b/>
          <w:bCs/>
        </w:rPr>
        <w:t>5</w:t>
      </w:r>
      <w:r>
        <w:rPr>
          <w:rFonts w:ascii="Times New Roman" w:eastAsia="Times New Roman" w:hAnsi="Times New Roman" w:cs="Times New Roman"/>
          <w:b/>
          <w:bCs/>
        </w:rPr>
        <w:t>:</w:t>
      </w:r>
      <w:r w:rsidRPr="00A652DE">
        <w:rPr>
          <w:rFonts w:ascii="Times New Roman" w:eastAsia="Times New Roman" w:hAnsi="Times New Roman" w:cs="Times New Roman"/>
          <w:b/>
          <w:bCs/>
        </w:rPr>
        <w:t xml:space="preserve"> </w:t>
      </w:r>
      <w:r w:rsidRPr="00A652DE">
        <w:rPr>
          <w:rFonts w:ascii="Times New Roman" w:eastAsia="Times New Roman" w:hAnsi="Times New Roman" w:cs="Times New Roman"/>
        </w:rPr>
        <w:t xml:space="preserve">Phylogenetic reconstruction of the </w:t>
      </w:r>
      <w:proofErr w:type="spellStart"/>
      <w:r w:rsidRPr="00A652DE">
        <w:rPr>
          <w:rFonts w:ascii="Times New Roman" w:eastAsia="Times New Roman" w:hAnsi="Times New Roman" w:cs="Times New Roman"/>
          <w:i/>
          <w:iCs/>
        </w:rPr>
        <w:t>rpo</w:t>
      </w:r>
      <w:proofErr w:type="spellEnd"/>
      <w:r w:rsidRPr="00A652DE">
        <w:rPr>
          <w:rFonts w:ascii="Times New Roman" w:eastAsia="Times New Roman" w:hAnsi="Times New Roman" w:cs="Times New Roman"/>
        </w:rPr>
        <w:t xml:space="preserve"> gene family in </w:t>
      </w:r>
      <w:r w:rsidRPr="00A652DE">
        <w:rPr>
          <w:rFonts w:ascii="Times New Roman" w:eastAsia="Times New Roman" w:hAnsi="Times New Roman" w:cs="Times New Roman"/>
          <w:i/>
          <w:iCs/>
        </w:rPr>
        <w:t>Saccharum</w:t>
      </w:r>
      <w:r w:rsidRPr="00A652DE">
        <w:rPr>
          <w:rFonts w:ascii="Times New Roman" w:eastAsia="Times New Roman" w:hAnsi="Times New Roman" w:cs="Times New Roman"/>
        </w:rPr>
        <w:t xml:space="preserve"> hybrid ‘</w:t>
      </w:r>
      <w:proofErr w:type="spellStart"/>
      <w:r w:rsidRPr="00A652DE">
        <w:rPr>
          <w:rFonts w:ascii="Times New Roman" w:eastAsia="Times New Roman" w:hAnsi="Times New Roman" w:cs="Times New Roman"/>
        </w:rPr>
        <w:t>Kidang</w:t>
      </w:r>
      <w:proofErr w:type="spellEnd"/>
      <w:r w:rsidRPr="00A652DE">
        <w:rPr>
          <w:rFonts w:ascii="Times New Roman" w:eastAsia="Times New Roman" w:hAnsi="Times New Roman" w:cs="Times New Roman"/>
        </w:rPr>
        <w:t xml:space="preserve"> </w:t>
      </w:r>
      <w:proofErr w:type="spellStart"/>
      <w:r w:rsidRPr="00A652DE">
        <w:rPr>
          <w:rFonts w:ascii="Times New Roman" w:eastAsia="Times New Roman" w:hAnsi="Times New Roman" w:cs="Times New Roman"/>
        </w:rPr>
        <w:t>Kencana</w:t>
      </w:r>
      <w:proofErr w:type="spellEnd"/>
      <w:r w:rsidRPr="00A652DE">
        <w:rPr>
          <w:rFonts w:ascii="Times New Roman" w:eastAsia="Times New Roman" w:hAnsi="Times New Roman" w:cs="Times New Roman"/>
        </w:rPr>
        <w:t>’ and ‘</w:t>
      </w:r>
      <w:proofErr w:type="spellStart"/>
      <w:r w:rsidRPr="00A652DE">
        <w:rPr>
          <w:rFonts w:ascii="Times New Roman" w:eastAsia="Times New Roman" w:hAnsi="Times New Roman" w:cs="Times New Roman"/>
        </w:rPr>
        <w:t>Bululawang</w:t>
      </w:r>
      <w:proofErr w:type="spellEnd"/>
      <w:r w:rsidRPr="00A652DE">
        <w:rPr>
          <w:rFonts w:ascii="Times New Roman" w:eastAsia="Times New Roman" w:hAnsi="Times New Roman" w:cs="Times New Roman"/>
        </w:rPr>
        <w:t xml:space="preserve">’, including related </w:t>
      </w:r>
      <w:r w:rsidRPr="00A652DE">
        <w:rPr>
          <w:rFonts w:ascii="Times New Roman" w:eastAsia="Times New Roman" w:hAnsi="Times New Roman" w:cs="Times New Roman"/>
          <w:i/>
          <w:iCs/>
        </w:rPr>
        <w:t xml:space="preserve">Saccharum </w:t>
      </w:r>
      <w:r w:rsidRPr="00A652DE">
        <w:rPr>
          <w:rFonts w:ascii="Times New Roman" w:eastAsia="Times New Roman" w:hAnsi="Times New Roman" w:cs="Times New Roman"/>
        </w:rPr>
        <w:t>species and an outgroup, inferred using Maximum Likelihood (ML) and Bayesian Inference (BI) methods. Node support values are presented as ML bootstrap percentages followed by BI posterior probabilities (ML/BI).</w:t>
      </w:r>
    </w:p>
    <w:p w14:paraId="35764EBB" w14:textId="77777777" w:rsidR="00CE4A8B" w:rsidRPr="00EA2309" w:rsidRDefault="00CE4A8B" w:rsidP="00434EE9">
      <w:pPr>
        <w:spacing w:after="0" w:line="360" w:lineRule="auto"/>
        <w:rPr>
          <w:rFonts w:ascii="Times New Roman" w:eastAsia="Times New Roman" w:hAnsi="Times New Roman" w:cs="Times New Roman"/>
          <w:b/>
          <w:bCs/>
        </w:rPr>
      </w:pPr>
    </w:p>
    <w:p w14:paraId="5644C2E8" w14:textId="77777777" w:rsidR="00434EE9" w:rsidRDefault="00434EE9" w:rsidP="00D07021">
      <w:pPr>
        <w:spacing w:after="0" w:line="360" w:lineRule="auto"/>
        <w:jc w:val="both"/>
        <w:rPr>
          <w:rFonts w:ascii="Times New Roman" w:hAnsi="Times New Roman" w:cs="Times New Roman"/>
        </w:rPr>
      </w:pPr>
    </w:p>
    <w:p w14:paraId="4791817D" w14:textId="77777777" w:rsidR="00434EE9" w:rsidRDefault="00434EE9" w:rsidP="00D07021">
      <w:pPr>
        <w:spacing w:after="0" w:line="360" w:lineRule="auto"/>
        <w:jc w:val="both"/>
        <w:rPr>
          <w:rFonts w:ascii="Times New Roman" w:hAnsi="Times New Roman" w:cs="Times New Roman"/>
        </w:rPr>
      </w:pPr>
    </w:p>
    <w:p w14:paraId="2BA2285A" w14:textId="77777777" w:rsidR="00434EE9" w:rsidRPr="001476CE" w:rsidRDefault="00434EE9" w:rsidP="00D07021">
      <w:pPr>
        <w:spacing w:after="0" w:line="360" w:lineRule="auto"/>
        <w:jc w:val="both"/>
        <w:rPr>
          <w:rFonts w:ascii="Times New Roman" w:hAnsi="Times New Roman" w:cs="Times New Roman"/>
        </w:rPr>
      </w:pPr>
    </w:p>
    <w:sectPr w:rsidR="00434EE9" w:rsidRPr="001476CE" w:rsidSect="003048CF">
      <w:footerReference w:type="default" r:id="rId20"/>
      <w:pgSz w:w="11906" w:h="16838" w:code="9"/>
      <w:pgMar w:top="567" w:right="567" w:bottom="567" w:left="56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72FB" w14:textId="77777777" w:rsidR="007D5F59" w:rsidRDefault="007D5F59" w:rsidP="00774E22">
      <w:pPr>
        <w:spacing w:after="0" w:line="240" w:lineRule="auto"/>
      </w:pPr>
      <w:r>
        <w:separator/>
      </w:r>
    </w:p>
  </w:endnote>
  <w:endnote w:type="continuationSeparator" w:id="0">
    <w:p w14:paraId="559154AA" w14:textId="77777777" w:rsidR="007D5F59" w:rsidRDefault="007D5F59" w:rsidP="0077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66697533"/>
      <w:docPartObj>
        <w:docPartGallery w:val="Page Numbers (Bottom of Page)"/>
        <w:docPartUnique/>
      </w:docPartObj>
    </w:sdtPr>
    <w:sdtEndPr>
      <w:rPr>
        <w:noProof/>
      </w:rPr>
    </w:sdtEndPr>
    <w:sdtContent>
      <w:p w14:paraId="484E1592" w14:textId="36933D41" w:rsidR="00774E22" w:rsidRPr="00774E22" w:rsidRDefault="00774E22">
        <w:pPr>
          <w:pStyle w:val="Footer"/>
          <w:jc w:val="right"/>
          <w:rPr>
            <w:rFonts w:ascii="Times New Roman" w:hAnsi="Times New Roman" w:cs="Times New Roman"/>
          </w:rPr>
        </w:pPr>
        <w:r w:rsidRPr="00774E22">
          <w:rPr>
            <w:rFonts w:ascii="Times New Roman" w:hAnsi="Times New Roman" w:cs="Times New Roman"/>
          </w:rPr>
          <w:fldChar w:fldCharType="begin"/>
        </w:r>
        <w:r w:rsidRPr="00774E22">
          <w:rPr>
            <w:rFonts w:ascii="Times New Roman" w:hAnsi="Times New Roman" w:cs="Times New Roman"/>
          </w:rPr>
          <w:instrText xml:space="preserve"> PAGE   \* MERGEFORMAT </w:instrText>
        </w:r>
        <w:r w:rsidRPr="00774E22">
          <w:rPr>
            <w:rFonts w:ascii="Times New Roman" w:hAnsi="Times New Roman" w:cs="Times New Roman"/>
          </w:rPr>
          <w:fldChar w:fldCharType="separate"/>
        </w:r>
        <w:r w:rsidRPr="00774E22">
          <w:rPr>
            <w:rFonts w:ascii="Times New Roman" w:hAnsi="Times New Roman" w:cs="Times New Roman"/>
            <w:noProof/>
          </w:rPr>
          <w:t>2</w:t>
        </w:r>
        <w:r w:rsidRPr="00774E22">
          <w:rPr>
            <w:rFonts w:ascii="Times New Roman" w:hAnsi="Times New Roman" w:cs="Times New Roman"/>
            <w:noProof/>
          </w:rPr>
          <w:fldChar w:fldCharType="end"/>
        </w:r>
      </w:p>
    </w:sdtContent>
  </w:sdt>
  <w:p w14:paraId="684CB7BF" w14:textId="77777777" w:rsidR="00774E22" w:rsidRDefault="0077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AD49C" w14:textId="77777777" w:rsidR="007D5F59" w:rsidRDefault="007D5F59" w:rsidP="00774E22">
      <w:pPr>
        <w:spacing w:after="0" w:line="240" w:lineRule="auto"/>
      </w:pPr>
      <w:r>
        <w:separator/>
      </w:r>
    </w:p>
  </w:footnote>
  <w:footnote w:type="continuationSeparator" w:id="0">
    <w:p w14:paraId="4BBF5DBB" w14:textId="77777777" w:rsidR="007D5F59" w:rsidRDefault="007D5F59" w:rsidP="00774E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021"/>
    <w:rsid w:val="00037DF5"/>
    <w:rsid w:val="00052151"/>
    <w:rsid w:val="00072BC8"/>
    <w:rsid w:val="00082F86"/>
    <w:rsid w:val="00097BB5"/>
    <w:rsid w:val="000F50DE"/>
    <w:rsid w:val="00130506"/>
    <w:rsid w:val="001476CE"/>
    <w:rsid w:val="00161C4D"/>
    <w:rsid w:val="001D3A08"/>
    <w:rsid w:val="001D5DAC"/>
    <w:rsid w:val="00262E96"/>
    <w:rsid w:val="002D58B2"/>
    <w:rsid w:val="002E44CF"/>
    <w:rsid w:val="003048CF"/>
    <w:rsid w:val="00342BFF"/>
    <w:rsid w:val="00355A8E"/>
    <w:rsid w:val="00384CB7"/>
    <w:rsid w:val="003A3750"/>
    <w:rsid w:val="003C57D7"/>
    <w:rsid w:val="004114F8"/>
    <w:rsid w:val="00434EE9"/>
    <w:rsid w:val="00455024"/>
    <w:rsid w:val="004A0D03"/>
    <w:rsid w:val="004A7DAB"/>
    <w:rsid w:val="00531003"/>
    <w:rsid w:val="00536EE5"/>
    <w:rsid w:val="0055602D"/>
    <w:rsid w:val="00572E1F"/>
    <w:rsid w:val="0057789A"/>
    <w:rsid w:val="005D4EEB"/>
    <w:rsid w:val="00622AAF"/>
    <w:rsid w:val="00635199"/>
    <w:rsid w:val="0069441B"/>
    <w:rsid w:val="006D3091"/>
    <w:rsid w:val="0074275E"/>
    <w:rsid w:val="00774E22"/>
    <w:rsid w:val="007C0EB6"/>
    <w:rsid w:val="007D188F"/>
    <w:rsid w:val="007D5F59"/>
    <w:rsid w:val="007E0EFD"/>
    <w:rsid w:val="007E3A22"/>
    <w:rsid w:val="008043E8"/>
    <w:rsid w:val="00805184"/>
    <w:rsid w:val="00806EE8"/>
    <w:rsid w:val="0085439A"/>
    <w:rsid w:val="008567AE"/>
    <w:rsid w:val="0086267C"/>
    <w:rsid w:val="00870707"/>
    <w:rsid w:val="008B27B8"/>
    <w:rsid w:val="008D54BA"/>
    <w:rsid w:val="008F5332"/>
    <w:rsid w:val="009003D7"/>
    <w:rsid w:val="00902208"/>
    <w:rsid w:val="00915635"/>
    <w:rsid w:val="009275DD"/>
    <w:rsid w:val="00931DCC"/>
    <w:rsid w:val="0095052F"/>
    <w:rsid w:val="00972E10"/>
    <w:rsid w:val="00AA55AE"/>
    <w:rsid w:val="00AB1331"/>
    <w:rsid w:val="00AC454E"/>
    <w:rsid w:val="00AC49C7"/>
    <w:rsid w:val="00AF2C7D"/>
    <w:rsid w:val="00B46382"/>
    <w:rsid w:val="00B619CA"/>
    <w:rsid w:val="00BA0E2C"/>
    <w:rsid w:val="00BD13E4"/>
    <w:rsid w:val="00C015AC"/>
    <w:rsid w:val="00C2161A"/>
    <w:rsid w:val="00C24518"/>
    <w:rsid w:val="00CC139B"/>
    <w:rsid w:val="00CE4A8B"/>
    <w:rsid w:val="00CF7DE0"/>
    <w:rsid w:val="00D00629"/>
    <w:rsid w:val="00D07021"/>
    <w:rsid w:val="00D2039D"/>
    <w:rsid w:val="00D26BAD"/>
    <w:rsid w:val="00D52EC6"/>
    <w:rsid w:val="00D601DE"/>
    <w:rsid w:val="00D73981"/>
    <w:rsid w:val="00D86124"/>
    <w:rsid w:val="00DA174A"/>
    <w:rsid w:val="00DA4508"/>
    <w:rsid w:val="00DC1B50"/>
    <w:rsid w:val="00E00DC5"/>
    <w:rsid w:val="00E146F1"/>
    <w:rsid w:val="00E373D9"/>
    <w:rsid w:val="00E90D1A"/>
    <w:rsid w:val="00E96AE9"/>
    <w:rsid w:val="00EB23FE"/>
    <w:rsid w:val="00EB4DCC"/>
    <w:rsid w:val="00ED1F9D"/>
    <w:rsid w:val="00EE480B"/>
    <w:rsid w:val="00EE75AC"/>
    <w:rsid w:val="00F61AFC"/>
    <w:rsid w:val="00F87509"/>
    <w:rsid w:val="00FD0DF0"/>
    <w:rsid w:val="00FF6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78E58"/>
  <w15:chartTrackingRefBased/>
  <w15:docId w15:val="{1ABD15E5-D4DF-46BC-907A-07C78848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0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70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0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0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70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70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0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0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0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0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70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70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70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70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7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021"/>
    <w:rPr>
      <w:rFonts w:eastAsiaTheme="majorEastAsia" w:cstheme="majorBidi"/>
      <w:color w:val="272727" w:themeColor="text1" w:themeTint="D8"/>
    </w:rPr>
  </w:style>
  <w:style w:type="paragraph" w:styleId="Title">
    <w:name w:val="Title"/>
    <w:basedOn w:val="Normal"/>
    <w:next w:val="Normal"/>
    <w:link w:val="TitleChar"/>
    <w:uiPriority w:val="10"/>
    <w:qFormat/>
    <w:rsid w:val="00D070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0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021"/>
    <w:pPr>
      <w:spacing w:before="160"/>
      <w:jc w:val="center"/>
    </w:pPr>
    <w:rPr>
      <w:i/>
      <w:iCs/>
      <w:color w:val="404040" w:themeColor="text1" w:themeTint="BF"/>
    </w:rPr>
  </w:style>
  <w:style w:type="character" w:customStyle="1" w:styleId="QuoteChar">
    <w:name w:val="Quote Char"/>
    <w:basedOn w:val="DefaultParagraphFont"/>
    <w:link w:val="Quote"/>
    <w:uiPriority w:val="29"/>
    <w:rsid w:val="00D07021"/>
    <w:rPr>
      <w:i/>
      <w:iCs/>
      <w:color w:val="404040" w:themeColor="text1" w:themeTint="BF"/>
    </w:rPr>
  </w:style>
  <w:style w:type="paragraph" w:styleId="ListParagraph">
    <w:name w:val="List Paragraph"/>
    <w:basedOn w:val="Normal"/>
    <w:uiPriority w:val="34"/>
    <w:qFormat/>
    <w:rsid w:val="00D07021"/>
    <w:pPr>
      <w:ind w:left="720"/>
      <w:contextualSpacing/>
    </w:pPr>
  </w:style>
  <w:style w:type="character" w:styleId="IntenseEmphasis">
    <w:name w:val="Intense Emphasis"/>
    <w:basedOn w:val="DefaultParagraphFont"/>
    <w:uiPriority w:val="21"/>
    <w:qFormat/>
    <w:rsid w:val="00D07021"/>
    <w:rPr>
      <w:i/>
      <w:iCs/>
      <w:color w:val="2F5496" w:themeColor="accent1" w:themeShade="BF"/>
    </w:rPr>
  </w:style>
  <w:style w:type="paragraph" w:styleId="IntenseQuote">
    <w:name w:val="Intense Quote"/>
    <w:basedOn w:val="Normal"/>
    <w:next w:val="Normal"/>
    <w:link w:val="IntenseQuoteChar"/>
    <w:uiPriority w:val="30"/>
    <w:qFormat/>
    <w:rsid w:val="00D070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021"/>
    <w:rPr>
      <w:i/>
      <w:iCs/>
      <w:color w:val="2F5496" w:themeColor="accent1" w:themeShade="BF"/>
    </w:rPr>
  </w:style>
  <w:style w:type="character" w:styleId="IntenseReference">
    <w:name w:val="Intense Reference"/>
    <w:basedOn w:val="DefaultParagraphFont"/>
    <w:uiPriority w:val="32"/>
    <w:qFormat/>
    <w:rsid w:val="00D07021"/>
    <w:rPr>
      <w:b/>
      <w:bCs/>
      <w:smallCaps/>
      <w:color w:val="2F5496" w:themeColor="accent1" w:themeShade="BF"/>
      <w:spacing w:val="5"/>
    </w:rPr>
  </w:style>
  <w:style w:type="character" w:styleId="Hyperlink">
    <w:name w:val="Hyperlink"/>
    <w:basedOn w:val="DefaultParagraphFont"/>
    <w:uiPriority w:val="99"/>
    <w:unhideWhenUsed/>
    <w:rsid w:val="00D07021"/>
    <w:rPr>
      <w:color w:val="0563C1" w:themeColor="hyperlink"/>
      <w:u w:val="single"/>
    </w:rPr>
  </w:style>
  <w:style w:type="character" w:styleId="UnresolvedMention">
    <w:name w:val="Unresolved Mention"/>
    <w:basedOn w:val="DefaultParagraphFont"/>
    <w:uiPriority w:val="99"/>
    <w:semiHidden/>
    <w:unhideWhenUsed/>
    <w:rsid w:val="00D07021"/>
    <w:rPr>
      <w:color w:val="605E5C"/>
      <w:shd w:val="clear" w:color="auto" w:fill="E1DFDD"/>
    </w:rPr>
  </w:style>
  <w:style w:type="character" w:styleId="LineNumber">
    <w:name w:val="line number"/>
    <w:basedOn w:val="DefaultParagraphFont"/>
    <w:uiPriority w:val="99"/>
    <w:semiHidden/>
    <w:unhideWhenUsed/>
    <w:rsid w:val="00D07021"/>
  </w:style>
  <w:style w:type="paragraph" w:styleId="Header">
    <w:name w:val="header"/>
    <w:basedOn w:val="Normal"/>
    <w:link w:val="HeaderChar"/>
    <w:uiPriority w:val="99"/>
    <w:unhideWhenUsed/>
    <w:rsid w:val="00774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E22"/>
  </w:style>
  <w:style w:type="paragraph" w:styleId="Footer">
    <w:name w:val="footer"/>
    <w:basedOn w:val="Normal"/>
    <w:link w:val="FooterChar"/>
    <w:uiPriority w:val="99"/>
    <w:unhideWhenUsed/>
    <w:rsid w:val="00774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E22"/>
  </w:style>
  <w:style w:type="table" w:styleId="TableGrid">
    <w:name w:val="Table Grid"/>
    <w:basedOn w:val="TableNormal"/>
    <w:uiPriority w:val="39"/>
    <w:rsid w:val="00CE4A8B"/>
    <w:pPr>
      <w:spacing w:after="0" w:line="240" w:lineRule="auto"/>
    </w:pPr>
    <w:rPr>
      <w:rFonts w:ascii="Angsana New" w:eastAsia="Angsana New" w:hAnsi="Angsana New" w:cs="Angsana New"/>
      <w:kern w:val="0"/>
      <w:sz w:val="32"/>
      <w:szCs w:val="3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3854-882X" TargetMode="External"/><Relationship Id="rId13" Type="http://schemas.openxmlformats.org/officeDocument/2006/relationships/hyperlink" Target="https://alphafoldserver.com" TargetMode="External"/><Relationship Id="rId18" Type="http://schemas.openxmlformats.org/officeDocument/2006/relationships/image" Target="media/image4.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ganies_riza@ugm.ac.id" TargetMode="External"/><Relationship Id="rId12" Type="http://schemas.openxmlformats.org/officeDocument/2006/relationships/hyperlink" Target="https://www.ncbi.nlm.nih.gov/nuccore" TargetMode="External"/><Relationship Id="rId1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2.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github.com/Wenfei-Xian/TIPP" TargetMode="External"/><Relationship Id="rId5" Type="http://schemas.openxmlformats.org/officeDocument/2006/relationships/footnotes" Target="footnotes.xml"/><Relationship Id="rId15" Type="http://schemas.openxmlformats.org/officeDocument/2006/relationships/image" Target="media/image1.jpg"/><Relationship Id="rId10" Type="http://schemas.openxmlformats.org/officeDocument/2006/relationships/hyperlink" Target="https://orcid.org/0000-0002-4380-598X"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orcid.org/0009-0009-5605-7464" TargetMode="External"/><Relationship Id="rId14" Type="http://schemas.openxmlformats.org/officeDocument/2006/relationships/hyperlink" Target="https://meme-suite.org/meme/tools/mem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11670-54EF-4698-A9D8-BF83C729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39271</Words>
  <Characters>223845</Characters>
  <Application>Microsoft Office Word</Application>
  <DocSecurity>0</DocSecurity>
  <Lines>1865</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tiara.putria2103</dc:creator>
  <cp:keywords/>
  <dc:description/>
  <cp:lastModifiedBy>Tiara Putria Judith</cp:lastModifiedBy>
  <cp:revision>5</cp:revision>
  <dcterms:created xsi:type="dcterms:W3CDTF">2026-06-15T01:01:00Z</dcterms:created>
  <dcterms:modified xsi:type="dcterms:W3CDTF">2026-06-15T01:11:00Z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65dddbd7-1ec0-4fba-82c7-2d55675328c1</vt:lpwstr>
  </property>
</Properties>
</file>