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2365A" w14:textId="349C8D20" w:rsidR="00BF7B99" w:rsidRPr="000F6083" w:rsidRDefault="00E7612F" w:rsidP="000F6083">
      <w:pPr>
        <w:autoSpaceDE w:val="0"/>
        <w:autoSpaceDN w:val="0"/>
        <w:adjustRightInd w:val="0"/>
        <w:spacing w:after="0" w:line="480" w:lineRule="auto"/>
        <w:jc w:val="both"/>
        <w:rPr>
          <w:rFonts w:asciiTheme="majorBidi" w:hAnsiTheme="majorBidi" w:cstheme="majorBidi"/>
          <w:b/>
          <w:sz w:val="24"/>
          <w:szCs w:val="24"/>
        </w:rPr>
      </w:pPr>
      <w:r w:rsidRPr="000F6083">
        <w:rPr>
          <w:rFonts w:asciiTheme="majorBidi" w:hAnsiTheme="majorBidi" w:cstheme="majorBidi"/>
          <w:b/>
          <w:sz w:val="24"/>
          <w:szCs w:val="24"/>
        </w:rPr>
        <w:t>Radiog</w:t>
      </w:r>
      <w:r w:rsidR="008F639B" w:rsidRPr="000F6083">
        <w:rPr>
          <w:rFonts w:asciiTheme="majorBidi" w:hAnsiTheme="majorBidi" w:cstheme="majorBidi"/>
          <w:b/>
          <w:sz w:val="24"/>
          <w:szCs w:val="24"/>
        </w:rPr>
        <w:t>raphical</w:t>
      </w:r>
      <w:r w:rsidRPr="000F6083">
        <w:rPr>
          <w:rFonts w:asciiTheme="majorBidi" w:hAnsiTheme="majorBidi" w:cstheme="majorBidi"/>
          <w:b/>
          <w:sz w:val="24"/>
          <w:szCs w:val="24"/>
        </w:rPr>
        <w:t xml:space="preserve"> and Biomechanical </w:t>
      </w:r>
      <w:r w:rsidR="00F71FE5" w:rsidRPr="000F6083">
        <w:rPr>
          <w:rFonts w:asciiTheme="majorBidi" w:hAnsiTheme="majorBidi" w:cstheme="majorBidi"/>
          <w:b/>
          <w:sz w:val="24"/>
          <w:szCs w:val="24"/>
        </w:rPr>
        <w:t>Evaluation</w:t>
      </w:r>
      <w:r w:rsidRPr="000F6083">
        <w:rPr>
          <w:rFonts w:asciiTheme="majorBidi" w:hAnsiTheme="majorBidi" w:cstheme="majorBidi"/>
          <w:b/>
          <w:sz w:val="24"/>
          <w:szCs w:val="24"/>
        </w:rPr>
        <w:t xml:space="preserve"> of Autologous Platelet and Fibrin</w:t>
      </w:r>
      <w:r w:rsidR="007B6D66" w:rsidRPr="000F6083">
        <w:rPr>
          <w:rFonts w:asciiTheme="majorBidi" w:hAnsiTheme="majorBidi" w:cstheme="majorBidi"/>
          <w:b/>
          <w:sz w:val="24"/>
          <w:szCs w:val="24"/>
        </w:rPr>
        <w:t xml:space="preserve"> </w:t>
      </w:r>
      <w:r w:rsidR="006A6DFC" w:rsidRPr="000F6083">
        <w:rPr>
          <w:rFonts w:asciiTheme="majorBidi" w:hAnsiTheme="majorBidi" w:cstheme="majorBidi"/>
          <w:b/>
          <w:sz w:val="24"/>
          <w:szCs w:val="24"/>
        </w:rPr>
        <w:t xml:space="preserve">Plasma </w:t>
      </w:r>
      <w:r w:rsidRPr="000F6083">
        <w:rPr>
          <w:rFonts w:asciiTheme="majorBidi" w:hAnsiTheme="majorBidi" w:cstheme="majorBidi"/>
          <w:b/>
          <w:sz w:val="24"/>
          <w:szCs w:val="24"/>
        </w:rPr>
        <w:t>Derivatives in Bone Regeneration in Rabbit</w:t>
      </w:r>
      <w:r w:rsidR="007B6D66" w:rsidRPr="000F6083">
        <w:rPr>
          <w:rFonts w:asciiTheme="majorBidi" w:hAnsiTheme="majorBidi" w:cstheme="majorBidi"/>
          <w:b/>
          <w:sz w:val="24"/>
          <w:szCs w:val="24"/>
        </w:rPr>
        <w:t xml:space="preserve"> </w:t>
      </w:r>
      <w:r w:rsidR="006A6DFC" w:rsidRPr="000F6083">
        <w:rPr>
          <w:rFonts w:asciiTheme="majorBidi" w:hAnsiTheme="majorBidi" w:cstheme="majorBidi"/>
          <w:b/>
          <w:sz w:val="24"/>
          <w:szCs w:val="24"/>
        </w:rPr>
        <w:t xml:space="preserve">Model </w:t>
      </w:r>
    </w:p>
    <w:p w14:paraId="6DBC0C0F" w14:textId="77777777" w:rsidR="00E7612F" w:rsidRPr="000F6083" w:rsidRDefault="00E7612F" w:rsidP="000F6083">
      <w:pPr>
        <w:autoSpaceDE w:val="0"/>
        <w:autoSpaceDN w:val="0"/>
        <w:adjustRightInd w:val="0"/>
        <w:spacing w:after="0" w:line="480" w:lineRule="auto"/>
        <w:jc w:val="both"/>
        <w:rPr>
          <w:rFonts w:asciiTheme="majorBidi" w:hAnsiTheme="majorBidi" w:cstheme="majorBidi"/>
          <w:b/>
          <w:sz w:val="24"/>
          <w:szCs w:val="24"/>
        </w:rPr>
      </w:pPr>
    </w:p>
    <w:p w14:paraId="622794E8" w14:textId="181033F6" w:rsidR="006E2A6D" w:rsidRPr="000F6083" w:rsidRDefault="006E2A6D" w:rsidP="000F6083">
      <w:pPr>
        <w:autoSpaceDE w:val="0"/>
        <w:autoSpaceDN w:val="0"/>
        <w:adjustRightInd w:val="0"/>
        <w:spacing w:after="0" w:line="480" w:lineRule="auto"/>
        <w:jc w:val="both"/>
        <w:rPr>
          <w:rFonts w:asciiTheme="majorBidi" w:hAnsiTheme="majorBidi" w:cstheme="majorBidi"/>
          <w:sz w:val="24"/>
          <w:szCs w:val="24"/>
        </w:rPr>
      </w:pPr>
      <w:r w:rsidRPr="000F6083">
        <w:rPr>
          <w:rFonts w:asciiTheme="majorBidi" w:hAnsiTheme="majorBidi" w:cstheme="majorBidi"/>
          <w:sz w:val="24"/>
          <w:szCs w:val="24"/>
        </w:rPr>
        <w:t>Nura Abubakar</w:t>
      </w:r>
      <w:r w:rsidR="00343F74" w:rsidRPr="000F6083">
        <w:rPr>
          <w:rFonts w:asciiTheme="majorBidi" w:hAnsiTheme="majorBidi" w:cstheme="majorBidi"/>
          <w:sz w:val="24"/>
          <w:szCs w:val="24"/>
          <w:vertAlign w:val="superscript"/>
        </w:rPr>
        <w:t>1</w:t>
      </w:r>
      <w:r w:rsidRPr="000F6083">
        <w:rPr>
          <w:rFonts w:asciiTheme="majorBidi" w:hAnsiTheme="majorBidi" w:cstheme="majorBidi"/>
          <w:sz w:val="24"/>
          <w:szCs w:val="24"/>
        </w:rPr>
        <w:t xml:space="preserve">, </w:t>
      </w:r>
      <w:r w:rsidR="003745DD" w:rsidRPr="000F6083">
        <w:rPr>
          <w:rFonts w:asciiTheme="majorBidi" w:hAnsiTheme="majorBidi" w:cstheme="majorBidi"/>
          <w:sz w:val="24"/>
          <w:szCs w:val="24"/>
        </w:rPr>
        <w:t>Abubakar Sadiq Yakubu</w:t>
      </w:r>
      <w:r w:rsidR="003745DD" w:rsidRPr="000F6083">
        <w:rPr>
          <w:rFonts w:asciiTheme="majorBidi" w:hAnsiTheme="majorBidi" w:cstheme="majorBidi"/>
          <w:sz w:val="24"/>
          <w:szCs w:val="24"/>
          <w:vertAlign w:val="superscript"/>
        </w:rPr>
        <w:t>1</w:t>
      </w:r>
      <w:r w:rsidR="003745DD" w:rsidRPr="000F6083">
        <w:rPr>
          <w:rFonts w:asciiTheme="majorBidi" w:hAnsiTheme="majorBidi" w:cstheme="majorBidi"/>
          <w:sz w:val="24"/>
          <w:szCs w:val="24"/>
        </w:rPr>
        <w:t>,</w:t>
      </w:r>
      <w:r w:rsidR="003745DD" w:rsidRPr="000F6083">
        <w:rPr>
          <w:rFonts w:asciiTheme="majorBidi" w:hAnsiTheme="majorBidi" w:cstheme="majorBidi"/>
          <w:sz w:val="24"/>
          <w:szCs w:val="24"/>
          <w:vertAlign w:val="superscript"/>
        </w:rPr>
        <w:t xml:space="preserve"> </w:t>
      </w:r>
      <w:r w:rsidRPr="000F6083">
        <w:rPr>
          <w:rFonts w:asciiTheme="majorBidi" w:hAnsiTheme="majorBidi" w:cstheme="majorBidi"/>
          <w:sz w:val="24"/>
          <w:szCs w:val="24"/>
        </w:rPr>
        <w:t>E</w:t>
      </w:r>
      <w:r w:rsidR="00F71FE5" w:rsidRPr="000F6083">
        <w:rPr>
          <w:rFonts w:asciiTheme="majorBidi" w:hAnsiTheme="majorBidi" w:cstheme="majorBidi"/>
          <w:sz w:val="24"/>
          <w:szCs w:val="24"/>
        </w:rPr>
        <w:t xml:space="preserve">kaete </w:t>
      </w:r>
      <w:r w:rsidRPr="000F6083">
        <w:rPr>
          <w:rFonts w:asciiTheme="majorBidi" w:hAnsiTheme="majorBidi" w:cstheme="majorBidi"/>
          <w:sz w:val="24"/>
          <w:szCs w:val="24"/>
        </w:rPr>
        <w:t>I</w:t>
      </w:r>
      <w:r w:rsidR="00F71FE5" w:rsidRPr="000F6083">
        <w:rPr>
          <w:rFonts w:asciiTheme="majorBidi" w:hAnsiTheme="majorBidi" w:cstheme="majorBidi"/>
          <w:sz w:val="24"/>
          <w:szCs w:val="24"/>
        </w:rPr>
        <w:t>me</w:t>
      </w:r>
      <w:r w:rsidRPr="000F6083">
        <w:rPr>
          <w:rFonts w:asciiTheme="majorBidi" w:hAnsiTheme="majorBidi" w:cstheme="majorBidi"/>
          <w:sz w:val="24"/>
          <w:szCs w:val="24"/>
        </w:rPr>
        <w:t xml:space="preserve"> Oviawe</w:t>
      </w:r>
      <w:r w:rsidR="00402651" w:rsidRPr="000F6083">
        <w:rPr>
          <w:rFonts w:asciiTheme="majorBidi" w:hAnsiTheme="majorBidi" w:cstheme="majorBidi"/>
          <w:sz w:val="24"/>
          <w:szCs w:val="24"/>
          <w:vertAlign w:val="superscript"/>
        </w:rPr>
        <w:t>1</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Yusha’u</w:t>
      </w:r>
      <w:proofErr w:type="spellEnd"/>
      <w:r w:rsidRPr="000F6083">
        <w:rPr>
          <w:rFonts w:asciiTheme="majorBidi" w:hAnsiTheme="majorBidi" w:cstheme="majorBidi"/>
          <w:sz w:val="24"/>
          <w:szCs w:val="24"/>
        </w:rPr>
        <w:t xml:space="preserve"> Shuaibu Baraya</w:t>
      </w:r>
      <w:r w:rsidRPr="000F6083">
        <w:rPr>
          <w:rFonts w:asciiTheme="majorBidi" w:hAnsiTheme="majorBidi" w:cstheme="majorBidi"/>
          <w:sz w:val="24"/>
          <w:szCs w:val="24"/>
          <w:vertAlign w:val="superscript"/>
        </w:rPr>
        <w:t>2</w:t>
      </w:r>
      <w:r w:rsidRPr="000F6083">
        <w:rPr>
          <w:rFonts w:asciiTheme="majorBidi" w:hAnsiTheme="majorBidi" w:cstheme="majorBidi"/>
          <w:sz w:val="24"/>
          <w:szCs w:val="24"/>
        </w:rPr>
        <w:t>, Abubakar Adamu Abdul</w:t>
      </w:r>
      <w:r w:rsidR="003D1BAF" w:rsidRPr="000F6083">
        <w:rPr>
          <w:rFonts w:asciiTheme="majorBidi" w:hAnsiTheme="majorBidi" w:cstheme="majorBidi"/>
          <w:sz w:val="24"/>
          <w:szCs w:val="24"/>
          <w:vertAlign w:val="superscript"/>
        </w:rPr>
        <w:t>3</w:t>
      </w:r>
      <w:r w:rsidR="00360294" w:rsidRPr="000F6083">
        <w:rPr>
          <w:rFonts w:asciiTheme="majorBidi" w:hAnsiTheme="majorBidi" w:cstheme="majorBidi"/>
          <w:sz w:val="24"/>
          <w:szCs w:val="24"/>
          <w:vertAlign w:val="superscript"/>
        </w:rPr>
        <w:t>,1</w:t>
      </w:r>
      <w:r w:rsidR="00300C1D" w:rsidRPr="000F6083">
        <w:rPr>
          <w:rFonts w:asciiTheme="majorBidi" w:hAnsiTheme="majorBidi" w:cstheme="majorBidi"/>
          <w:sz w:val="24"/>
          <w:szCs w:val="24"/>
        </w:rPr>
        <w:t>, Salisu Buhari</w:t>
      </w:r>
      <w:r w:rsidR="00300C1D" w:rsidRPr="000F6083">
        <w:rPr>
          <w:rFonts w:asciiTheme="majorBidi" w:hAnsiTheme="majorBidi" w:cstheme="majorBidi"/>
          <w:sz w:val="24"/>
          <w:szCs w:val="24"/>
          <w:vertAlign w:val="superscript"/>
        </w:rPr>
        <w:t>1</w:t>
      </w:r>
      <w:r w:rsidR="00300C1D" w:rsidRPr="000F6083">
        <w:rPr>
          <w:rFonts w:asciiTheme="majorBidi" w:hAnsiTheme="majorBidi" w:cstheme="majorBidi"/>
          <w:sz w:val="24"/>
          <w:szCs w:val="24"/>
        </w:rPr>
        <w:t>,</w:t>
      </w:r>
      <w:r w:rsidR="00402651" w:rsidRPr="000F6083">
        <w:rPr>
          <w:rFonts w:asciiTheme="majorBidi" w:hAnsiTheme="majorBidi" w:cstheme="majorBidi"/>
          <w:sz w:val="24"/>
          <w:szCs w:val="24"/>
        </w:rPr>
        <w:t xml:space="preserve"> </w:t>
      </w:r>
      <w:r w:rsidRPr="000F6083">
        <w:rPr>
          <w:rFonts w:asciiTheme="majorBidi" w:hAnsiTheme="majorBidi" w:cstheme="majorBidi"/>
          <w:sz w:val="24"/>
          <w:szCs w:val="24"/>
        </w:rPr>
        <w:t>Zainab Hamisu</w:t>
      </w:r>
      <w:r w:rsidRPr="000F6083">
        <w:rPr>
          <w:rFonts w:asciiTheme="majorBidi" w:hAnsiTheme="majorBidi" w:cstheme="majorBidi"/>
          <w:sz w:val="24"/>
          <w:szCs w:val="24"/>
          <w:vertAlign w:val="superscript"/>
        </w:rPr>
        <w:t>1</w:t>
      </w:r>
      <w:r w:rsidRPr="000F6083">
        <w:rPr>
          <w:rFonts w:asciiTheme="majorBidi" w:hAnsiTheme="majorBidi" w:cstheme="majorBidi"/>
          <w:sz w:val="24"/>
          <w:szCs w:val="24"/>
        </w:rPr>
        <w:t>, Amina M. Danmato</w:t>
      </w:r>
      <w:r w:rsidRPr="000F6083">
        <w:rPr>
          <w:rFonts w:asciiTheme="majorBidi" w:hAnsiTheme="majorBidi" w:cstheme="majorBidi"/>
          <w:sz w:val="24"/>
          <w:szCs w:val="24"/>
          <w:vertAlign w:val="superscript"/>
        </w:rPr>
        <w:t>1</w:t>
      </w:r>
      <w:r w:rsidRPr="000F6083">
        <w:rPr>
          <w:rFonts w:asciiTheme="majorBidi" w:hAnsiTheme="majorBidi" w:cstheme="majorBidi"/>
          <w:sz w:val="24"/>
          <w:szCs w:val="24"/>
        </w:rPr>
        <w:t>, A</w:t>
      </w:r>
      <w:r w:rsidR="008F639B" w:rsidRPr="000F6083">
        <w:rPr>
          <w:rFonts w:asciiTheme="majorBidi" w:hAnsiTheme="majorBidi" w:cstheme="majorBidi"/>
          <w:sz w:val="24"/>
          <w:szCs w:val="24"/>
        </w:rPr>
        <w:t xml:space="preserve">bdullahi </w:t>
      </w:r>
      <w:proofErr w:type="spellStart"/>
      <w:r w:rsidRPr="000F6083">
        <w:rPr>
          <w:rFonts w:asciiTheme="majorBidi" w:hAnsiTheme="majorBidi" w:cstheme="majorBidi"/>
          <w:sz w:val="24"/>
          <w:szCs w:val="24"/>
        </w:rPr>
        <w:t>A</w:t>
      </w:r>
      <w:r w:rsidR="008F639B" w:rsidRPr="000F6083">
        <w:rPr>
          <w:rFonts w:asciiTheme="majorBidi" w:hAnsiTheme="majorBidi" w:cstheme="majorBidi"/>
          <w:sz w:val="24"/>
          <w:szCs w:val="24"/>
        </w:rPr>
        <w:t>bdullahi</w:t>
      </w:r>
      <w:proofErr w:type="spellEnd"/>
      <w:r w:rsidRPr="000F6083">
        <w:rPr>
          <w:rFonts w:asciiTheme="majorBidi" w:hAnsiTheme="majorBidi" w:cstheme="majorBidi"/>
          <w:sz w:val="24"/>
          <w:szCs w:val="24"/>
        </w:rPr>
        <w:t xml:space="preserve"> Raji</w:t>
      </w:r>
      <w:r w:rsidRPr="000F6083">
        <w:rPr>
          <w:rFonts w:asciiTheme="majorBidi" w:hAnsiTheme="majorBidi" w:cstheme="majorBidi"/>
          <w:sz w:val="24"/>
          <w:szCs w:val="24"/>
          <w:vertAlign w:val="superscript"/>
        </w:rPr>
        <w:t>2</w:t>
      </w:r>
      <w:r w:rsidR="00C07C33" w:rsidRPr="000F6083">
        <w:rPr>
          <w:rFonts w:asciiTheme="majorBidi" w:hAnsiTheme="majorBidi" w:cstheme="majorBidi"/>
          <w:sz w:val="24"/>
          <w:szCs w:val="24"/>
          <w:vertAlign w:val="superscript"/>
        </w:rPr>
        <w:t>,4</w:t>
      </w:r>
      <w:r w:rsidRPr="000F6083">
        <w:rPr>
          <w:rFonts w:asciiTheme="majorBidi" w:hAnsiTheme="majorBidi" w:cstheme="majorBidi"/>
          <w:sz w:val="24"/>
          <w:szCs w:val="24"/>
        </w:rPr>
        <w:t>, A</w:t>
      </w:r>
      <w:r w:rsidR="008F639B" w:rsidRPr="000F6083">
        <w:rPr>
          <w:rFonts w:asciiTheme="majorBidi" w:hAnsiTheme="majorBidi" w:cstheme="majorBidi"/>
          <w:sz w:val="24"/>
          <w:szCs w:val="24"/>
        </w:rPr>
        <w:t xml:space="preserve">bubakar </w:t>
      </w:r>
      <w:r w:rsidRPr="000F6083">
        <w:rPr>
          <w:rFonts w:asciiTheme="majorBidi" w:hAnsiTheme="majorBidi" w:cstheme="majorBidi"/>
          <w:sz w:val="24"/>
          <w:szCs w:val="24"/>
        </w:rPr>
        <w:t>H</w:t>
      </w:r>
      <w:r w:rsidR="008F639B" w:rsidRPr="000F6083">
        <w:rPr>
          <w:rFonts w:asciiTheme="majorBidi" w:hAnsiTheme="majorBidi" w:cstheme="majorBidi"/>
          <w:sz w:val="24"/>
          <w:szCs w:val="24"/>
        </w:rPr>
        <w:t>assan</w:t>
      </w:r>
      <w:r w:rsidRPr="000F6083">
        <w:rPr>
          <w:rFonts w:asciiTheme="majorBidi" w:hAnsiTheme="majorBidi" w:cstheme="majorBidi"/>
          <w:sz w:val="24"/>
          <w:szCs w:val="24"/>
        </w:rPr>
        <w:t xml:space="preserve"> Bodinga</w:t>
      </w:r>
      <w:r w:rsidRPr="000F6083">
        <w:rPr>
          <w:rFonts w:asciiTheme="majorBidi" w:hAnsiTheme="majorBidi" w:cstheme="majorBidi"/>
          <w:sz w:val="24"/>
          <w:szCs w:val="24"/>
          <w:vertAlign w:val="superscript"/>
        </w:rPr>
        <w:t>1</w:t>
      </w:r>
      <w:r w:rsidRPr="000F6083">
        <w:rPr>
          <w:rFonts w:asciiTheme="majorBidi" w:hAnsiTheme="majorBidi" w:cstheme="majorBidi"/>
          <w:sz w:val="24"/>
          <w:szCs w:val="24"/>
        </w:rPr>
        <w:t xml:space="preserve"> and Umar Salisu Ahmad</w:t>
      </w:r>
      <w:r w:rsidRPr="000F6083">
        <w:rPr>
          <w:rFonts w:asciiTheme="majorBidi" w:hAnsiTheme="majorBidi" w:cstheme="majorBidi"/>
          <w:sz w:val="24"/>
          <w:szCs w:val="24"/>
          <w:vertAlign w:val="superscript"/>
        </w:rPr>
        <w:t>1</w:t>
      </w:r>
      <w:r w:rsidRPr="000F6083">
        <w:rPr>
          <w:rFonts w:asciiTheme="majorBidi" w:hAnsiTheme="majorBidi" w:cstheme="majorBidi"/>
          <w:sz w:val="24"/>
          <w:szCs w:val="24"/>
        </w:rPr>
        <w:t xml:space="preserve">. </w:t>
      </w:r>
    </w:p>
    <w:p w14:paraId="2388730E" w14:textId="77777777" w:rsidR="00C07C33" w:rsidRPr="000F6083" w:rsidRDefault="00C07C33" w:rsidP="000F6083">
      <w:pPr>
        <w:autoSpaceDE w:val="0"/>
        <w:autoSpaceDN w:val="0"/>
        <w:adjustRightInd w:val="0"/>
        <w:spacing w:after="0" w:line="480" w:lineRule="auto"/>
        <w:jc w:val="both"/>
        <w:rPr>
          <w:rFonts w:asciiTheme="majorBidi" w:hAnsiTheme="majorBidi" w:cstheme="majorBidi"/>
          <w:bCs/>
          <w:sz w:val="24"/>
          <w:szCs w:val="24"/>
        </w:rPr>
      </w:pPr>
    </w:p>
    <w:p w14:paraId="44B2B3B5" w14:textId="77777777" w:rsidR="006E2A6D" w:rsidRPr="000F6083" w:rsidRDefault="006E2A6D" w:rsidP="000F6083">
      <w:pPr>
        <w:autoSpaceDE w:val="0"/>
        <w:autoSpaceDN w:val="0"/>
        <w:adjustRightInd w:val="0"/>
        <w:spacing w:after="0"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1. Department of </w:t>
      </w:r>
      <w:r w:rsidR="00360294" w:rsidRPr="000F6083">
        <w:rPr>
          <w:rFonts w:asciiTheme="majorBidi" w:hAnsiTheme="majorBidi" w:cstheme="majorBidi"/>
          <w:bCs/>
          <w:sz w:val="24"/>
          <w:szCs w:val="24"/>
        </w:rPr>
        <w:t xml:space="preserve">Veterinary </w:t>
      </w:r>
      <w:r w:rsidRPr="000F6083">
        <w:rPr>
          <w:rFonts w:asciiTheme="majorBidi" w:hAnsiTheme="majorBidi" w:cstheme="majorBidi"/>
          <w:bCs/>
          <w:sz w:val="24"/>
          <w:szCs w:val="24"/>
        </w:rPr>
        <w:t xml:space="preserve">Surgery and Radiology, </w:t>
      </w:r>
      <w:proofErr w:type="spellStart"/>
      <w:r w:rsidRPr="000F6083">
        <w:rPr>
          <w:rFonts w:asciiTheme="majorBidi" w:hAnsiTheme="majorBidi" w:cstheme="majorBidi"/>
          <w:bCs/>
          <w:sz w:val="24"/>
          <w:szCs w:val="24"/>
        </w:rPr>
        <w:t>Usmanu</w:t>
      </w:r>
      <w:proofErr w:type="spellEnd"/>
      <w:r w:rsidRPr="000F6083">
        <w:rPr>
          <w:rFonts w:asciiTheme="majorBidi" w:hAnsiTheme="majorBidi" w:cstheme="majorBidi"/>
          <w:bCs/>
          <w:sz w:val="24"/>
          <w:szCs w:val="24"/>
        </w:rPr>
        <w:t xml:space="preserve"> Danfodiyo University, Sokoto, Nigeria.</w:t>
      </w:r>
    </w:p>
    <w:p w14:paraId="16A4F582" w14:textId="77777777" w:rsidR="00C07C33" w:rsidRPr="000F6083" w:rsidRDefault="00C07C33" w:rsidP="000F6083">
      <w:pPr>
        <w:autoSpaceDE w:val="0"/>
        <w:autoSpaceDN w:val="0"/>
        <w:adjustRightInd w:val="0"/>
        <w:spacing w:after="0" w:line="480" w:lineRule="auto"/>
        <w:jc w:val="both"/>
        <w:rPr>
          <w:rFonts w:asciiTheme="majorBidi" w:hAnsiTheme="majorBidi" w:cstheme="majorBidi"/>
          <w:bCs/>
          <w:sz w:val="24"/>
          <w:szCs w:val="24"/>
        </w:rPr>
      </w:pPr>
    </w:p>
    <w:p w14:paraId="516B2C08" w14:textId="77777777" w:rsidR="006E2A6D" w:rsidRPr="000F6083" w:rsidRDefault="006E2A6D" w:rsidP="000F6083">
      <w:pPr>
        <w:autoSpaceDE w:val="0"/>
        <w:autoSpaceDN w:val="0"/>
        <w:adjustRightInd w:val="0"/>
        <w:spacing w:after="0"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2. Department of </w:t>
      </w:r>
      <w:r w:rsidR="00360294" w:rsidRPr="000F6083">
        <w:rPr>
          <w:rFonts w:asciiTheme="majorBidi" w:hAnsiTheme="majorBidi" w:cstheme="majorBidi"/>
          <w:bCs/>
          <w:sz w:val="24"/>
          <w:szCs w:val="24"/>
        </w:rPr>
        <w:t xml:space="preserve">Veterinary </w:t>
      </w:r>
      <w:r w:rsidRPr="000F6083">
        <w:rPr>
          <w:rFonts w:asciiTheme="majorBidi" w:hAnsiTheme="majorBidi" w:cstheme="majorBidi"/>
          <w:bCs/>
          <w:sz w:val="24"/>
          <w:szCs w:val="24"/>
        </w:rPr>
        <w:t xml:space="preserve">Pathology, </w:t>
      </w:r>
      <w:proofErr w:type="spellStart"/>
      <w:r w:rsidRPr="000F6083">
        <w:rPr>
          <w:rFonts w:asciiTheme="majorBidi" w:hAnsiTheme="majorBidi" w:cstheme="majorBidi"/>
          <w:bCs/>
          <w:sz w:val="24"/>
          <w:szCs w:val="24"/>
        </w:rPr>
        <w:t>Usmanu</w:t>
      </w:r>
      <w:proofErr w:type="spellEnd"/>
      <w:r w:rsidRPr="000F6083">
        <w:rPr>
          <w:rFonts w:asciiTheme="majorBidi" w:hAnsiTheme="majorBidi" w:cstheme="majorBidi"/>
          <w:bCs/>
          <w:sz w:val="24"/>
          <w:szCs w:val="24"/>
        </w:rPr>
        <w:t xml:space="preserve"> Danfodiyo University, Sokoto, Nigeria.</w:t>
      </w:r>
    </w:p>
    <w:p w14:paraId="17850467" w14:textId="77777777" w:rsidR="00C07C33" w:rsidRPr="000F6083" w:rsidRDefault="00C07C33" w:rsidP="000F6083">
      <w:pPr>
        <w:spacing w:line="480" w:lineRule="auto"/>
        <w:jc w:val="both"/>
        <w:rPr>
          <w:rFonts w:asciiTheme="majorBidi" w:hAnsiTheme="majorBidi" w:cstheme="majorBidi"/>
          <w:bCs/>
          <w:sz w:val="24"/>
          <w:szCs w:val="24"/>
        </w:rPr>
      </w:pPr>
    </w:p>
    <w:p w14:paraId="6506A08F" w14:textId="77777777" w:rsidR="00C07C33" w:rsidRPr="000F6083" w:rsidRDefault="003D1BAF" w:rsidP="000F6083">
      <w:pPr>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3. Department of Veterinary Medicine, Collage of Applied and Health Sciences, </w:t>
      </w:r>
      <w:proofErr w:type="spellStart"/>
      <w:r w:rsidRPr="000F6083">
        <w:rPr>
          <w:rFonts w:asciiTheme="majorBidi" w:hAnsiTheme="majorBidi" w:cstheme="majorBidi"/>
          <w:bCs/>
          <w:sz w:val="24"/>
          <w:szCs w:val="24"/>
        </w:rPr>
        <w:t>A’Sharqiyah</w:t>
      </w:r>
      <w:proofErr w:type="spellEnd"/>
      <w:r w:rsidRPr="000F6083">
        <w:rPr>
          <w:rFonts w:asciiTheme="majorBidi" w:hAnsiTheme="majorBidi" w:cstheme="majorBidi"/>
          <w:bCs/>
          <w:sz w:val="24"/>
          <w:szCs w:val="24"/>
        </w:rPr>
        <w:t xml:space="preserve"> University, Sultanate of Oman.</w:t>
      </w:r>
    </w:p>
    <w:p w14:paraId="4A4A702E" w14:textId="77777777" w:rsidR="00C07C33" w:rsidRPr="000F6083" w:rsidRDefault="00C07C33" w:rsidP="000F6083">
      <w:pPr>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4. </w:t>
      </w:r>
      <w:r w:rsidRPr="000F6083">
        <w:rPr>
          <w:rFonts w:asciiTheme="majorBidi" w:eastAsia="Times New Roman" w:hAnsiTheme="majorBidi" w:cstheme="majorBidi"/>
          <w:color w:val="242021"/>
          <w:sz w:val="24"/>
          <w:szCs w:val="24"/>
          <w:lang w:eastAsia="en-GB"/>
        </w:rPr>
        <w:t xml:space="preserve">Department of Veterinary Paraclinical Studies, Faculty of Veterinary Medicine, Universiti Malaysia Kelantan, </w:t>
      </w:r>
      <w:proofErr w:type="spellStart"/>
      <w:r w:rsidRPr="000F6083">
        <w:rPr>
          <w:rFonts w:asciiTheme="majorBidi" w:eastAsia="Times New Roman" w:hAnsiTheme="majorBidi" w:cstheme="majorBidi"/>
          <w:color w:val="242021"/>
          <w:sz w:val="24"/>
          <w:szCs w:val="24"/>
          <w:lang w:eastAsia="en-GB"/>
        </w:rPr>
        <w:t>Pengkalan</w:t>
      </w:r>
      <w:proofErr w:type="spellEnd"/>
      <w:r w:rsidRPr="000F6083">
        <w:rPr>
          <w:rFonts w:asciiTheme="majorBidi" w:eastAsia="Times New Roman" w:hAnsiTheme="majorBidi" w:cstheme="majorBidi"/>
          <w:color w:val="242021"/>
          <w:sz w:val="24"/>
          <w:szCs w:val="24"/>
          <w:lang w:eastAsia="en-GB"/>
        </w:rPr>
        <w:t xml:space="preserve"> Chepa, 16100 Kota Bharu, Kelantan, Malaysia</w:t>
      </w:r>
    </w:p>
    <w:p w14:paraId="3964803B" w14:textId="77777777" w:rsidR="003D1BAF" w:rsidRPr="000F6083" w:rsidRDefault="003D1BAF" w:rsidP="000F6083">
      <w:pPr>
        <w:autoSpaceDE w:val="0"/>
        <w:autoSpaceDN w:val="0"/>
        <w:adjustRightInd w:val="0"/>
        <w:spacing w:after="0" w:line="480" w:lineRule="auto"/>
        <w:jc w:val="both"/>
        <w:rPr>
          <w:rFonts w:asciiTheme="majorBidi" w:hAnsiTheme="majorBidi" w:cstheme="majorBidi"/>
          <w:bCs/>
          <w:sz w:val="24"/>
          <w:szCs w:val="24"/>
        </w:rPr>
      </w:pPr>
    </w:p>
    <w:p w14:paraId="5F982941" w14:textId="77777777" w:rsidR="00BF7B99" w:rsidRPr="000F6083" w:rsidRDefault="00E2478F" w:rsidP="000F6083">
      <w:pPr>
        <w:spacing w:line="480" w:lineRule="auto"/>
        <w:jc w:val="both"/>
        <w:rPr>
          <w:rFonts w:asciiTheme="majorBidi" w:hAnsiTheme="majorBidi" w:cstheme="majorBidi"/>
          <w:sz w:val="24"/>
          <w:szCs w:val="24"/>
        </w:rPr>
      </w:pPr>
      <w:r w:rsidRPr="000F6083">
        <w:rPr>
          <w:rFonts w:asciiTheme="majorBidi" w:hAnsiTheme="majorBidi" w:cstheme="majorBidi"/>
          <w:b/>
          <w:bCs/>
          <w:sz w:val="24"/>
          <w:szCs w:val="24"/>
        </w:rPr>
        <w:t>*Corresponding author email</w:t>
      </w:r>
      <w:r w:rsidR="008F639B" w:rsidRPr="000F6083">
        <w:rPr>
          <w:rFonts w:asciiTheme="majorBidi" w:hAnsiTheme="majorBidi" w:cstheme="majorBidi"/>
          <w:b/>
          <w:bCs/>
          <w:sz w:val="24"/>
          <w:szCs w:val="24"/>
        </w:rPr>
        <w:t xml:space="preserve">: </w:t>
      </w:r>
      <w:r w:rsidR="008F639B" w:rsidRPr="000F6083">
        <w:rPr>
          <w:rFonts w:asciiTheme="majorBidi" w:hAnsiTheme="majorBidi" w:cstheme="majorBidi"/>
          <w:bCs/>
          <w:sz w:val="24"/>
          <w:szCs w:val="24"/>
        </w:rPr>
        <w:t>adamu.abubakar@asu.edu.om</w:t>
      </w:r>
    </w:p>
    <w:p w14:paraId="6320441A" w14:textId="7B18B11E" w:rsidR="00716417" w:rsidRPr="000F6083" w:rsidRDefault="00983997"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Style w:val="Strong"/>
          <w:rFonts w:asciiTheme="majorBidi" w:hAnsiTheme="majorBidi" w:cstheme="majorBidi"/>
          <w:sz w:val="24"/>
          <w:szCs w:val="24"/>
        </w:rPr>
        <w:t>Abstract</w:t>
      </w:r>
      <w:r w:rsidRPr="000F6083">
        <w:rPr>
          <w:rFonts w:asciiTheme="majorBidi" w:hAnsiTheme="majorBidi" w:cstheme="majorBidi"/>
          <w:sz w:val="24"/>
          <w:szCs w:val="24"/>
        </w:rPr>
        <w:br/>
        <w:t xml:space="preserve">Bone defects resulting from trauma, infection, or </w:t>
      </w:r>
      <w:r w:rsidR="007B6D66" w:rsidRPr="000F6083">
        <w:rPr>
          <w:rFonts w:asciiTheme="majorBidi" w:hAnsiTheme="majorBidi" w:cstheme="majorBidi"/>
          <w:sz w:val="24"/>
          <w:szCs w:val="24"/>
        </w:rPr>
        <w:t xml:space="preserve">complication of </w:t>
      </w:r>
      <w:r w:rsidRPr="000F6083">
        <w:rPr>
          <w:rFonts w:asciiTheme="majorBidi" w:hAnsiTheme="majorBidi" w:cstheme="majorBidi"/>
          <w:sz w:val="24"/>
          <w:szCs w:val="24"/>
        </w:rPr>
        <w:t xml:space="preserve">surgery remain a significant clinical challenge, particularly in cases where healing is delayed or incomplete. Regenerative medicine has introduced platelet derivatives such as Platelet-Rich Plasma (PRP) and Platelet-Rich </w:t>
      </w:r>
      <w:r w:rsidRPr="000F6083">
        <w:rPr>
          <w:rFonts w:asciiTheme="majorBidi" w:hAnsiTheme="majorBidi" w:cstheme="majorBidi"/>
          <w:sz w:val="24"/>
          <w:szCs w:val="24"/>
        </w:rPr>
        <w:lastRenderedPageBreak/>
        <w:t>Fibrin (PRF) as adjuncts to accelerate bone repair by harnessing growth factors and biological scaffolds. This stu</w:t>
      </w:r>
      <w:r w:rsidR="007B6D66" w:rsidRPr="000F6083">
        <w:rPr>
          <w:rFonts w:asciiTheme="majorBidi" w:hAnsiTheme="majorBidi" w:cstheme="majorBidi"/>
          <w:sz w:val="24"/>
          <w:szCs w:val="24"/>
        </w:rPr>
        <w:t>dy investigated the radiographical</w:t>
      </w:r>
      <w:r w:rsidRPr="000F6083">
        <w:rPr>
          <w:rFonts w:asciiTheme="majorBidi" w:hAnsiTheme="majorBidi" w:cstheme="majorBidi"/>
          <w:sz w:val="24"/>
          <w:szCs w:val="24"/>
        </w:rPr>
        <w:t xml:space="preserve"> and biomechanical effects of PRP, PRF, and their combination on the healing of critical-sized ulna defects in rabbits. Twenty-eight adult New Zealand White rabbits were randomly allocated into four groups: PRP-treated, PRF-treated, PRP+PRF combination, and untreated controls. Standardized radiographic assessments were conducted at weeks 0, 4, 8, and 12, while biomechanical strength was evaluated </w:t>
      </w:r>
      <w:r w:rsidR="00BB62B4" w:rsidRPr="000F6083">
        <w:rPr>
          <w:rFonts w:asciiTheme="majorBidi" w:hAnsiTheme="majorBidi" w:cstheme="majorBidi"/>
          <w:sz w:val="24"/>
          <w:szCs w:val="24"/>
        </w:rPr>
        <w:t>using</w:t>
      </w:r>
      <w:r w:rsidRPr="000F6083">
        <w:rPr>
          <w:rFonts w:asciiTheme="majorBidi" w:hAnsiTheme="majorBidi" w:cstheme="majorBidi"/>
          <w:sz w:val="24"/>
          <w:szCs w:val="24"/>
        </w:rPr>
        <w:t xml:space="preserve"> Vickers hardness testing at week 12. Radiographs demonstrated progressive callus formation and defect bridging in all treated groups, with the PRF and PRP+PRF groups showing earlier and more consistent cortical remodeling compared to PRP or controls. Biomechanical analysis revealed significantly higher hardness values in the PRF (145.5 ± 2.43 HV) and PRP+PRF (158.2 ± 5.95 HV) groups compared to PRP (129.3 ± 5.47 HV) and controls (118.3 ± 1.53 HV), with the PRP+PRF group achieving the greatest mineralization (p &lt; 0.001). These findings highlight the superior role of PRF, either alone or combined with PRP in enhancing bone regeneration</w:t>
      </w:r>
      <w:r w:rsidR="00380A07" w:rsidRPr="000F6083">
        <w:rPr>
          <w:rFonts w:asciiTheme="majorBidi" w:hAnsiTheme="majorBidi" w:cstheme="majorBidi"/>
          <w:sz w:val="24"/>
          <w:szCs w:val="24"/>
        </w:rPr>
        <w:t xml:space="preserve"> and fracture healing</w:t>
      </w:r>
      <w:r w:rsidRPr="000F6083">
        <w:rPr>
          <w:rFonts w:asciiTheme="majorBidi" w:hAnsiTheme="majorBidi" w:cstheme="majorBidi"/>
          <w:sz w:val="24"/>
          <w:szCs w:val="24"/>
        </w:rPr>
        <w:t xml:space="preserve">. </w:t>
      </w:r>
      <w:r w:rsidR="00716417" w:rsidRPr="000F6083">
        <w:rPr>
          <w:rFonts w:asciiTheme="majorBidi" w:eastAsia="Times New Roman" w:hAnsiTheme="majorBidi" w:cstheme="majorBidi"/>
          <w:color w:val="0A0A0A"/>
          <w:sz w:val="24"/>
          <w:szCs w:val="24"/>
        </w:rPr>
        <w:t>In conclusion, both the radiographic and biomechanical assessments suggest that PRF, particularly in combination with PRP, offers a more effective strategy for enhancing bone regeneration in orthopedic applications. The early advantage demonstrated by PRF, driven by its superior and sustained release of bioactive factors, provides compelling evidence of its potency during the critical early stages of healing. </w:t>
      </w:r>
    </w:p>
    <w:p w14:paraId="4A7FA889" w14:textId="5640CF1F" w:rsidR="00983997" w:rsidRPr="000F6083" w:rsidRDefault="00983997" w:rsidP="000F6083">
      <w:pPr>
        <w:pStyle w:val="NormalWeb"/>
        <w:spacing w:line="480" w:lineRule="auto"/>
        <w:jc w:val="both"/>
        <w:rPr>
          <w:rFonts w:asciiTheme="majorBidi" w:hAnsiTheme="majorBidi" w:cstheme="majorBidi"/>
        </w:rPr>
      </w:pPr>
      <w:r w:rsidRPr="000F6083">
        <w:rPr>
          <w:rStyle w:val="Strong"/>
          <w:rFonts w:asciiTheme="majorBidi" w:eastAsia="Calibri" w:hAnsiTheme="majorBidi" w:cstheme="majorBidi"/>
        </w:rPr>
        <w:t>Keywords:</w:t>
      </w:r>
      <w:r w:rsidRPr="000F6083">
        <w:rPr>
          <w:rFonts w:asciiTheme="majorBidi" w:hAnsiTheme="majorBidi" w:cstheme="majorBidi"/>
        </w:rPr>
        <w:t xml:space="preserve"> Bone regeneration, Platelet-rich plasma (PRP), Platelet-rich fibrin (PRF), Critical-sized </w:t>
      </w:r>
      <w:r w:rsidR="00DA73C7" w:rsidRPr="000F6083">
        <w:rPr>
          <w:rFonts w:asciiTheme="majorBidi" w:hAnsiTheme="majorBidi" w:cstheme="majorBidi"/>
        </w:rPr>
        <w:t xml:space="preserve">bone </w:t>
      </w:r>
      <w:r w:rsidRPr="000F6083">
        <w:rPr>
          <w:rFonts w:asciiTheme="majorBidi" w:hAnsiTheme="majorBidi" w:cstheme="majorBidi"/>
        </w:rPr>
        <w:t>defect, Biomechanical strength</w:t>
      </w:r>
    </w:p>
    <w:p w14:paraId="1E715C6C" w14:textId="77777777" w:rsidR="00983997" w:rsidRPr="000F6083" w:rsidRDefault="00983997" w:rsidP="000F6083">
      <w:pPr>
        <w:spacing w:line="480" w:lineRule="auto"/>
        <w:jc w:val="both"/>
        <w:rPr>
          <w:rFonts w:asciiTheme="majorBidi" w:hAnsiTheme="majorBidi" w:cstheme="majorBidi"/>
          <w:b/>
          <w:bCs/>
          <w:sz w:val="24"/>
          <w:szCs w:val="24"/>
        </w:rPr>
      </w:pPr>
    </w:p>
    <w:p w14:paraId="112901C1" w14:textId="77777777" w:rsidR="00DA73C7" w:rsidRPr="000F6083" w:rsidRDefault="00DA73C7" w:rsidP="000F6083">
      <w:pPr>
        <w:spacing w:line="480" w:lineRule="auto"/>
        <w:jc w:val="both"/>
        <w:rPr>
          <w:rFonts w:asciiTheme="majorBidi" w:hAnsiTheme="majorBidi" w:cstheme="majorBidi"/>
          <w:b/>
          <w:bCs/>
          <w:sz w:val="24"/>
          <w:szCs w:val="24"/>
        </w:rPr>
      </w:pPr>
    </w:p>
    <w:p w14:paraId="7DF36E1A" w14:textId="77777777" w:rsidR="00F47B4B" w:rsidRPr="000F6083" w:rsidRDefault="00F47B4B"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lastRenderedPageBreak/>
        <w:t>Introduction</w:t>
      </w:r>
    </w:p>
    <w:p w14:paraId="2003080A" w14:textId="4C4C693E" w:rsidR="004A4DCF" w:rsidRPr="000F6083" w:rsidRDefault="00716417"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Musculoskeletal conditions continue to be one of the primary causes of pain, disability, and poor quality of life globally, imposing a substantial liability on healthcare systems (Cieza et al., 2021; Liu et al., 2022).</w:t>
      </w:r>
      <w:r w:rsidR="00DA73C7" w:rsidRPr="000F6083">
        <w:rPr>
          <w:rFonts w:asciiTheme="majorBidi" w:eastAsia="Times New Roman" w:hAnsiTheme="majorBidi" w:cstheme="majorBidi"/>
          <w:color w:val="0A0A0A"/>
          <w:sz w:val="24"/>
          <w:szCs w:val="24"/>
        </w:rPr>
        <w:t xml:space="preserve"> </w:t>
      </w:r>
      <w:r w:rsidR="004A4DCF" w:rsidRPr="000F6083">
        <w:rPr>
          <w:rFonts w:asciiTheme="majorBidi" w:eastAsia="Times New Roman" w:hAnsiTheme="majorBidi" w:cstheme="majorBidi"/>
          <w:color w:val="0A0A0A"/>
          <w:sz w:val="24"/>
          <w:szCs w:val="24"/>
        </w:rPr>
        <w:t>Among these, bone fractures and defects pose a particular challenge, with a significant number experiencing delayed healing or non-union despite advancements in surgical techniques and implant technologies (Bell et al., 2016</w:t>
      </w:r>
      <w:r w:rsidR="00E01BF2" w:rsidRPr="000F6083">
        <w:rPr>
          <w:rFonts w:asciiTheme="majorBidi" w:eastAsia="Times New Roman" w:hAnsiTheme="majorBidi" w:cstheme="majorBidi"/>
          <w:color w:val="0A0A0A"/>
          <w:sz w:val="24"/>
          <w:szCs w:val="24"/>
        </w:rPr>
        <w:t xml:space="preserve">; </w:t>
      </w:r>
      <w:r w:rsidR="00E01BF2" w:rsidRPr="000F6083">
        <w:rPr>
          <w:rFonts w:asciiTheme="majorBidi" w:hAnsiTheme="majorBidi" w:cstheme="majorBidi"/>
          <w:sz w:val="24"/>
          <w:szCs w:val="24"/>
        </w:rPr>
        <w:t>Bowers and Anderson, 2024</w:t>
      </w:r>
      <w:r w:rsidR="004A4DCF" w:rsidRPr="000F6083">
        <w:rPr>
          <w:rFonts w:asciiTheme="majorBidi" w:eastAsia="Times New Roman" w:hAnsiTheme="majorBidi" w:cstheme="majorBidi"/>
          <w:color w:val="0A0A0A"/>
          <w:sz w:val="24"/>
          <w:szCs w:val="24"/>
        </w:rPr>
        <w:t>). This delay significantly increases healthcare costs due to prolonged hospital stays, repeat surgeries, and extended rehabilita</w:t>
      </w:r>
      <w:r w:rsidR="003C2451" w:rsidRPr="000F6083">
        <w:rPr>
          <w:rFonts w:asciiTheme="majorBidi" w:eastAsia="Times New Roman" w:hAnsiTheme="majorBidi" w:cstheme="majorBidi"/>
          <w:color w:val="0A0A0A"/>
          <w:sz w:val="24"/>
          <w:szCs w:val="24"/>
        </w:rPr>
        <w:t>tion periods (</w:t>
      </w:r>
      <w:r w:rsidR="005B6B49" w:rsidRPr="000F6083">
        <w:rPr>
          <w:rFonts w:asciiTheme="majorBidi" w:eastAsia="Times New Roman" w:hAnsiTheme="majorBidi" w:cstheme="majorBidi"/>
          <w:color w:val="0A0A0A"/>
          <w:sz w:val="24"/>
          <w:szCs w:val="24"/>
        </w:rPr>
        <w:t xml:space="preserve">Lidgren, 2003; </w:t>
      </w:r>
      <w:r w:rsidR="003C2451" w:rsidRPr="000F6083">
        <w:rPr>
          <w:rFonts w:asciiTheme="majorBidi" w:eastAsia="Times New Roman" w:hAnsiTheme="majorBidi" w:cstheme="majorBidi"/>
          <w:color w:val="0A0A0A"/>
          <w:sz w:val="24"/>
          <w:szCs w:val="24"/>
        </w:rPr>
        <w:t>Bell et al., 2016</w:t>
      </w:r>
      <w:r w:rsidR="004A4DCF" w:rsidRPr="000F6083">
        <w:rPr>
          <w:rFonts w:asciiTheme="majorBidi" w:eastAsia="Times New Roman" w:hAnsiTheme="majorBidi" w:cstheme="majorBidi"/>
          <w:color w:val="0A0A0A"/>
          <w:sz w:val="24"/>
          <w:szCs w:val="24"/>
        </w:rPr>
        <w:t>).</w:t>
      </w:r>
      <w:r w:rsidR="00DA73C7" w:rsidRPr="000F6083">
        <w:rPr>
          <w:rFonts w:asciiTheme="majorBidi" w:eastAsia="Times New Roman" w:hAnsiTheme="majorBidi" w:cstheme="majorBidi"/>
          <w:color w:val="0A0A0A"/>
          <w:sz w:val="24"/>
          <w:szCs w:val="24"/>
        </w:rPr>
        <w:t xml:space="preserve"> </w:t>
      </w:r>
      <w:r w:rsidR="00723D68" w:rsidRPr="000F6083">
        <w:rPr>
          <w:rFonts w:asciiTheme="majorBidi" w:eastAsia="Times New Roman" w:hAnsiTheme="majorBidi" w:cstheme="majorBidi"/>
          <w:color w:val="0A0A0A"/>
          <w:sz w:val="24"/>
          <w:szCs w:val="24"/>
        </w:rPr>
        <w:t>Bone healing is a highly coordinated process involving three crucial phases: inflammation, repair (hard callus formation), and remodeling (Einhorn &amp; Clement, 2012; Marsell &amp; Einhorn, 2011).</w:t>
      </w:r>
      <w:r w:rsidR="00DA73C7" w:rsidRPr="000F6083">
        <w:rPr>
          <w:rFonts w:asciiTheme="majorBidi" w:eastAsia="Times New Roman" w:hAnsiTheme="majorBidi" w:cstheme="majorBidi"/>
          <w:color w:val="0A0A0A"/>
          <w:sz w:val="24"/>
          <w:szCs w:val="24"/>
        </w:rPr>
        <w:t xml:space="preserve"> </w:t>
      </w:r>
      <w:r w:rsidR="004A4DCF" w:rsidRPr="000F6083">
        <w:rPr>
          <w:rFonts w:asciiTheme="majorBidi" w:eastAsia="Times New Roman" w:hAnsiTheme="majorBidi" w:cstheme="majorBidi"/>
          <w:color w:val="0A0A0A"/>
          <w:sz w:val="24"/>
          <w:szCs w:val="24"/>
        </w:rPr>
        <w:t xml:space="preserve">Each stage depends on a complex interplay of signaling molecules, cytokines, and growth factors. </w:t>
      </w:r>
      <w:r w:rsidR="00DA73C7" w:rsidRPr="000F6083">
        <w:rPr>
          <w:rFonts w:asciiTheme="majorBidi" w:eastAsia="Times New Roman" w:hAnsiTheme="majorBidi" w:cstheme="majorBidi"/>
          <w:color w:val="0A0A0A"/>
          <w:sz w:val="24"/>
          <w:szCs w:val="24"/>
        </w:rPr>
        <w:t>Early</w:t>
      </w:r>
      <w:r w:rsidR="004A4DCF" w:rsidRPr="000F6083">
        <w:rPr>
          <w:rFonts w:asciiTheme="majorBidi" w:eastAsia="Times New Roman" w:hAnsiTheme="majorBidi" w:cstheme="majorBidi"/>
          <w:color w:val="0A0A0A"/>
          <w:sz w:val="24"/>
          <w:szCs w:val="24"/>
        </w:rPr>
        <w:t xml:space="preserve"> inflammatory mediators such as Interleukin-1 (IL-1), Tumor Necrosis Factor-alpha (TNF-α), and Interleukin-6 (IL-6) have been shown to play vital roles in initiating the cascade of bone regeneration (</w:t>
      </w:r>
      <w:r w:rsidR="00745AD1" w:rsidRPr="000F6083">
        <w:rPr>
          <w:rFonts w:asciiTheme="majorBidi" w:eastAsia="Times New Roman" w:hAnsiTheme="majorBidi" w:cstheme="majorBidi"/>
          <w:color w:val="0A0A0A"/>
          <w:sz w:val="24"/>
          <w:szCs w:val="24"/>
        </w:rPr>
        <w:t xml:space="preserve">Pape et al., 2010; Kaiser et al., 2018; </w:t>
      </w:r>
      <w:r w:rsidR="00B84CC0" w:rsidRPr="000F6083">
        <w:rPr>
          <w:rFonts w:asciiTheme="majorBidi" w:eastAsia="Times New Roman" w:hAnsiTheme="majorBidi" w:cstheme="majorBidi"/>
          <w:color w:val="0A0A0A"/>
          <w:sz w:val="24"/>
          <w:szCs w:val="24"/>
        </w:rPr>
        <w:t>Sun</w:t>
      </w:r>
      <w:r w:rsidR="004A4DCF" w:rsidRPr="000F6083">
        <w:rPr>
          <w:rFonts w:asciiTheme="majorBidi" w:eastAsia="Times New Roman" w:hAnsiTheme="majorBidi" w:cstheme="majorBidi"/>
          <w:color w:val="0A0A0A"/>
          <w:sz w:val="24"/>
          <w:szCs w:val="24"/>
        </w:rPr>
        <w:t xml:space="preserve"> et al., 20</w:t>
      </w:r>
      <w:r w:rsidR="00B84CC0" w:rsidRPr="000F6083">
        <w:rPr>
          <w:rFonts w:asciiTheme="majorBidi" w:eastAsia="Times New Roman" w:hAnsiTheme="majorBidi" w:cstheme="majorBidi"/>
          <w:color w:val="0A0A0A"/>
          <w:sz w:val="24"/>
          <w:szCs w:val="24"/>
        </w:rPr>
        <w:t>26</w:t>
      </w:r>
      <w:r w:rsidR="004A4DCF" w:rsidRPr="000F6083">
        <w:rPr>
          <w:rFonts w:asciiTheme="majorBidi" w:eastAsia="Times New Roman" w:hAnsiTheme="majorBidi" w:cstheme="majorBidi"/>
          <w:color w:val="0A0A0A"/>
          <w:sz w:val="24"/>
          <w:szCs w:val="24"/>
        </w:rPr>
        <w:t xml:space="preserve">). These cytokines </w:t>
      </w:r>
      <w:r w:rsidR="00874ED3" w:rsidRPr="000F6083">
        <w:rPr>
          <w:rFonts w:asciiTheme="majorBidi" w:eastAsia="Times New Roman" w:hAnsiTheme="majorBidi" w:cstheme="majorBidi"/>
          <w:color w:val="0A0A0A"/>
          <w:sz w:val="24"/>
          <w:szCs w:val="24"/>
        </w:rPr>
        <w:t>involved in</w:t>
      </w:r>
      <w:r w:rsidR="004A4DCF" w:rsidRPr="000F6083">
        <w:rPr>
          <w:rFonts w:asciiTheme="majorBidi" w:eastAsia="Times New Roman" w:hAnsiTheme="majorBidi" w:cstheme="majorBidi"/>
          <w:color w:val="0A0A0A"/>
          <w:sz w:val="24"/>
          <w:szCs w:val="24"/>
        </w:rPr>
        <w:t xml:space="preserve"> </w:t>
      </w:r>
      <w:r w:rsidR="00874ED3" w:rsidRPr="000F6083">
        <w:rPr>
          <w:rFonts w:asciiTheme="majorBidi" w:eastAsia="Times New Roman" w:hAnsiTheme="majorBidi" w:cstheme="majorBidi"/>
          <w:color w:val="0A0A0A"/>
          <w:sz w:val="24"/>
          <w:szCs w:val="24"/>
        </w:rPr>
        <w:t>controlling the</w:t>
      </w:r>
      <w:r w:rsidR="004A4DCF" w:rsidRPr="000F6083">
        <w:rPr>
          <w:rFonts w:asciiTheme="majorBidi" w:eastAsia="Times New Roman" w:hAnsiTheme="majorBidi" w:cstheme="majorBidi"/>
          <w:color w:val="0A0A0A"/>
          <w:sz w:val="24"/>
          <w:szCs w:val="24"/>
        </w:rPr>
        <w:t xml:space="preserve"> immune cell recruitment </w:t>
      </w:r>
      <w:r w:rsidR="00874ED3" w:rsidRPr="000F6083">
        <w:rPr>
          <w:rFonts w:asciiTheme="majorBidi" w:eastAsia="Times New Roman" w:hAnsiTheme="majorBidi" w:cstheme="majorBidi"/>
          <w:color w:val="0A0A0A"/>
          <w:sz w:val="24"/>
          <w:szCs w:val="24"/>
        </w:rPr>
        <w:t xml:space="preserve">as well </w:t>
      </w:r>
      <w:r w:rsidR="004A4DCF" w:rsidRPr="000F6083">
        <w:rPr>
          <w:rFonts w:asciiTheme="majorBidi" w:eastAsia="Times New Roman" w:hAnsiTheme="majorBidi" w:cstheme="majorBidi"/>
          <w:color w:val="0A0A0A"/>
          <w:sz w:val="24"/>
          <w:szCs w:val="24"/>
        </w:rPr>
        <w:t>also</w:t>
      </w:r>
      <w:r w:rsidR="00874ED3" w:rsidRPr="000F6083">
        <w:rPr>
          <w:rFonts w:asciiTheme="majorBidi" w:eastAsia="Times New Roman" w:hAnsiTheme="majorBidi" w:cstheme="majorBidi"/>
          <w:color w:val="0A0A0A"/>
          <w:sz w:val="24"/>
          <w:szCs w:val="24"/>
        </w:rPr>
        <w:t xml:space="preserve">, the </w:t>
      </w:r>
      <w:r w:rsidR="004A4DCF" w:rsidRPr="000F6083">
        <w:rPr>
          <w:rFonts w:asciiTheme="majorBidi" w:eastAsia="Times New Roman" w:hAnsiTheme="majorBidi" w:cstheme="majorBidi"/>
          <w:color w:val="0A0A0A"/>
          <w:sz w:val="24"/>
          <w:szCs w:val="24"/>
        </w:rPr>
        <w:t>stimulat</w:t>
      </w:r>
      <w:r w:rsidR="00874ED3" w:rsidRPr="000F6083">
        <w:rPr>
          <w:rFonts w:asciiTheme="majorBidi" w:eastAsia="Times New Roman" w:hAnsiTheme="majorBidi" w:cstheme="majorBidi"/>
          <w:color w:val="0A0A0A"/>
          <w:sz w:val="24"/>
          <w:szCs w:val="24"/>
        </w:rPr>
        <w:t>ion of</w:t>
      </w:r>
      <w:r w:rsidR="004A4DCF" w:rsidRPr="000F6083">
        <w:rPr>
          <w:rFonts w:asciiTheme="majorBidi" w:eastAsia="Times New Roman" w:hAnsiTheme="majorBidi" w:cstheme="majorBidi"/>
          <w:color w:val="0A0A0A"/>
          <w:sz w:val="24"/>
          <w:szCs w:val="24"/>
        </w:rPr>
        <w:t xml:space="preserve"> the differentiation of osteoblasts and mesenchymal stem cells (L</w:t>
      </w:r>
      <w:r w:rsidR="00ED435C" w:rsidRPr="000F6083">
        <w:rPr>
          <w:rFonts w:asciiTheme="majorBidi" w:eastAsia="Times New Roman" w:hAnsiTheme="majorBidi" w:cstheme="majorBidi"/>
          <w:color w:val="0A0A0A"/>
          <w:sz w:val="24"/>
          <w:szCs w:val="24"/>
        </w:rPr>
        <w:t>e</w:t>
      </w:r>
      <w:r w:rsidR="004A4DCF" w:rsidRPr="000F6083">
        <w:rPr>
          <w:rFonts w:asciiTheme="majorBidi" w:eastAsia="Times New Roman" w:hAnsiTheme="majorBidi" w:cstheme="majorBidi"/>
          <w:color w:val="0A0A0A"/>
          <w:sz w:val="24"/>
          <w:szCs w:val="24"/>
        </w:rPr>
        <w:t>e et al., 2010</w:t>
      </w:r>
      <w:r w:rsidR="00ED504F" w:rsidRPr="000F6083">
        <w:rPr>
          <w:rFonts w:asciiTheme="majorBidi" w:eastAsia="Times New Roman" w:hAnsiTheme="majorBidi" w:cstheme="majorBidi"/>
          <w:color w:val="0A0A0A"/>
          <w:sz w:val="24"/>
          <w:szCs w:val="24"/>
        </w:rPr>
        <w:t>; Oryan et al., 2017</w:t>
      </w:r>
      <w:r w:rsidR="004A4DCF" w:rsidRPr="000F6083">
        <w:rPr>
          <w:rFonts w:asciiTheme="majorBidi" w:eastAsia="Times New Roman" w:hAnsiTheme="majorBidi" w:cstheme="majorBidi"/>
          <w:color w:val="0A0A0A"/>
          <w:sz w:val="24"/>
          <w:szCs w:val="24"/>
        </w:rPr>
        <w:t>). </w:t>
      </w:r>
    </w:p>
    <w:p w14:paraId="2F581A10" w14:textId="757E6C10" w:rsidR="004A4DCF" w:rsidRPr="000F6083" w:rsidRDefault="004A4DCF"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Advances in regenerative medicine have introduced platelet-derived biomaterials, such as Platelet-Rich Plasma (PRP) and Platelet-Rich Fibrin (PRF), as novel adjuncts to hasten bone healing</w:t>
      </w:r>
      <w:r w:rsidR="00DD7480">
        <w:rPr>
          <w:rFonts w:asciiTheme="majorBidi" w:eastAsia="Times New Roman" w:hAnsiTheme="majorBidi" w:cstheme="majorBidi"/>
          <w:color w:val="0A0A0A"/>
          <w:sz w:val="24"/>
          <w:szCs w:val="24"/>
        </w:rPr>
        <w:t xml:space="preserve"> (</w:t>
      </w:r>
      <w:r w:rsidR="00DD7480" w:rsidRPr="00797224">
        <w:rPr>
          <w:rFonts w:asciiTheme="majorBidi" w:hAnsiTheme="majorBidi" w:cstheme="majorBidi"/>
          <w:sz w:val="24"/>
          <w:szCs w:val="24"/>
        </w:rPr>
        <w:t>Goswami</w:t>
      </w:r>
      <w:r w:rsidR="00DD7480">
        <w:rPr>
          <w:rFonts w:asciiTheme="majorBidi" w:hAnsiTheme="majorBidi" w:cstheme="majorBidi"/>
          <w:sz w:val="24"/>
          <w:szCs w:val="24"/>
        </w:rPr>
        <w:t xml:space="preserve"> et al., 2024</w:t>
      </w:r>
      <w:r w:rsidR="00DD7480">
        <w:rPr>
          <w:rFonts w:asciiTheme="majorBidi" w:eastAsia="Times New Roman" w:hAnsiTheme="majorBidi" w:cstheme="majorBidi"/>
          <w:color w:val="0A0A0A"/>
          <w:sz w:val="24"/>
          <w:szCs w:val="24"/>
        </w:rPr>
        <w:t>)</w:t>
      </w:r>
      <w:r w:rsidRPr="000F6083">
        <w:rPr>
          <w:rFonts w:asciiTheme="majorBidi" w:eastAsia="Times New Roman" w:hAnsiTheme="majorBidi" w:cstheme="majorBidi"/>
          <w:color w:val="0A0A0A"/>
          <w:sz w:val="24"/>
          <w:szCs w:val="24"/>
        </w:rPr>
        <w:t xml:space="preserve">. </w:t>
      </w:r>
      <w:r w:rsidR="00907DA7" w:rsidRPr="000F6083">
        <w:rPr>
          <w:rFonts w:asciiTheme="majorBidi" w:hAnsiTheme="majorBidi" w:cstheme="majorBidi"/>
          <w:sz w:val="24"/>
          <w:szCs w:val="24"/>
        </w:rPr>
        <w:t>PRP has been reported to be rich in platelets and growth factors, including </w:t>
      </w:r>
      <w:r w:rsidR="00907DA7" w:rsidRPr="000F6083">
        <w:rPr>
          <w:rFonts w:asciiTheme="majorBidi" w:hAnsiTheme="majorBidi" w:cstheme="majorBidi"/>
          <w:color w:val="0A0A0A"/>
          <w:sz w:val="24"/>
          <w:szCs w:val="24"/>
          <w:shd w:val="clear" w:color="auto" w:fill="FFFFFF"/>
        </w:rPr>
        <w:t>platelet-derived growth factor (PDGF)</w:t>
      </w:r>
      <w:r w:rsidR="00907DA7" w:rsidRPr="000F6083">
        <w:rPr>
          <w:rStyle w:val="t286pc"/>
          <w:rFonts w:asciiTheme="majorBidi" w:hAnsiTheme="majorBidi" w:cstheme="majorBidi"/>
          <w:color w:val="0A0A0A"/>
          <w:sz w:val="24"/>
          <w:szCs w:val="24"/>
          <w:shd w:val="clear" w:color="auto" w:fill="FFFFFF"/>
        </w:rPr>
        <w:t>, transforming growth factor-beta (TGF-β), and insulin-like growth factor-1 (IGF-1), which are effective in augmenting angiogenesis, osteoblastic proliferation, and matrix formation (</w:t>
      </w:r>
      <w:r w:rsidR="001D2ACF" w:rsidRPr="000F6083">
        <w:rPr>
          <w:rFonts w:asciiTheme="majorBidi" w:eastAsia="Times New Roman" w:hAnsiTheme="majorBidi" w:cstheme="majorBidi"/>
          <w:color w:val="0A0A0A"/>
          <w:sz w:val="24"/>
          <w:szCs w:val="24"/>
        </w:rPr>
        <w:t xml:space="preserve">Foster et al., 2009; </w:t>
      </w:r>
      <w:r w:rsidR="00907DA7" w:rsidRPr="000F6083">
        <w:rPr>
          <w:rStyle w:val="t286pc"/>
          <w:rFonts w:asciiTheme="majorBidi" w:hAnsiTheme="majorBidi" w:cstheme="majorBidi"/>
          <w:color w:val="0A0A0A"/>
          <w:sz w:val="24"/>
          <w:szCs w:val="24"/>
          <w:shd w:val="clear" w:color="auto" w:fill="FFFFFF"/>
        </w:rPr>
        <w:t>Liu et al., 2022</w:t>
      </w:r>
      <w:r w:rsidRPr="000F6083">
        <w:rPr>
          <w:rFonts w:asciiTheme="majorBidi" w:eastAsia="Times New Roman" w:hAnsiTheme="majorBidi" w:cstheme="majorBidi"/>
          <w:color w:val="0A0A0A"/>
          <w:sz w:val="24"/>
          <w:szCs w:val="24"/>
        </w:rPr>
        <w:t xml:space="preserve">). Upon activation, PRP </w:t>
      </w:r>
      <w:r w:rsidRPr="000F6083">
        <w:rPr>
          <w:rFonts w:asciiTheme="majorBidi" w:eastAsia="Times New Roman" w:hAnsiTheme="majorBidi" w:cstheme="majorBidi"/>
          <w:color w:val="0A0A0A"/>
          <w:sz w:val="24"/>
          <w:szCs w:val="24"/>
        </w:rPr>
        <w:lastRenderedPageBreak/>
        <w:t>releases a burst of cytokines and growth factors that modulate the inflammatory phase and stimulate bone tissu</w:t>
      </w:r>
      <w:r w:rsidR="00874ED3" w:rsidRPr="000F6083">
        <w:rPr>
          <w:rFonts w:asciiTheme="majorBidi" w:eastAsia="Times New Roman" w:hAnsiTheme="majorBidi" w:cstheme="majorBidi"/>
          <w:color w:val="0A0A0A"/>
          <w:sz w:val="24"/>
          <w:szCs w:val="24"/>
        </w:rPr>
        <w:t>e repair (</w:t>
      </w:r>
      <w:proofErr w:type="spellStart"/>
      <w:r w:rsidR="00874ED3" w:rsidRPr="000F6083">
        <w:rPr>
          <w:rFonts w:asciiTheme="majorBidi" w:eastAsia="Times New Roman" w:hAnsiTheme="majorBidi" w:cstheme="majorBidi"/>
          <w:color w:val="0A0A0A"/>
          <w:sz w:val="24"/>
          <w:szCs w:val="24"/>
        </w:rPr>
        <w:t>Alsousou</w:t>
      </w:r>
      <w:proofErr w:type="spellEnd"/>
      <w:r w:rsidR="00874ED3" w:rsidRPr="000F6083">
        <w:rPr>
          <w:rFonts w:asciiTheme="majorBidi" w:eastAsia="Times New Roman" w:hAnsiTheme="majorBidi" w:cstheme="majorBidi"/>
          <w:color w:val="0A0A0A"/>
          <w:sz w:val="24"/>
          <w:szCs w:val="24"/>
        </w:rPr>
        <w:t xml:space="preserve"> et al., 2009</w:t>
      </w:r>
      <w:r w:rsidR="002C13B4" w:rsidRPr="000F6083">
        <w:rPr>
          <w:rFonts w:asciiTheme="majorBidi" w:eastAsia="Times New Roman" w:hAnsiTheme="majorBidi" w:cstheme="majorBidi"/>
          <w:color w:val="0A0A0A"/>
          <w:sz w:val="24"/>
          <w:szCs w:val="24"/>
        </w:rPr>
        <w:t xml:space="preserve">; </w:t>
      </w:r>
      <w:r w:rsidR="002C13B4" w:rsidRPr="000F6083">
        <w:rPr>
          <w:rFonts w:asciiTheme="majorBidi" w:hAnsiTheme="majorBidi" w:cstheme="majorBidi"/>
          <w:sz w:val="24"/>
          <w:szCs w:val="24"/>
        </w:rPr>
        <w:t>Penteado et al., 2013</w:t>
      </w:r>
      <w:r w:rsidRPr="000F6083">
        <w:rPr>
          <w:rFonts w:asciiTheme="majorBidi" w:eastAsia="Times New Roman" w:hAnsiTheme="majorBidi" w:cstheme="majorBidi"/>
          <w:color w:val="0A0A0A"/>
          <w:sz w:val="24"/>
          <w:szCs w:val="24"/>
        </w:rPr>
        <w:t>). </w:t>
      </w:r>
    </w:p>
    <w:p w14:paraId="61EC94A7" w14:textId="0769EC2D" w:rsidR="004A4DCF" w:rsidRPr="000F6083" w:rsidRDefault="004A4DCF"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Whereas PRP is primarily known for its rapid release of growth factors, PRF provides a fibrin matrix that supports sustained release and acts as a scaffold for cellular migration and attachment (Ehrenfest et al., 2009). This slow degradation of PRF supports long-term tissue regeneration and allows for the recruitment of progenitor cells to the injury site. Unlike PRP, PRF preparation does not require anticoagulants, thereby simplifying its clinical application and reducing the risk of contamination (</w:t>
      </w:r>
      <w:r w:rsidR="005E333F" w:rsidRPr="000F6083">
        <w:rPr>
          <w:rFonts w:asciiTheme="majorBidi" w:eastAsia="Times New Roman" w:hAnsiTheme="majorBidi" w:cstheme="majorBidi"/>
          <w:color w:val="0A0A0A"/>
          <w:sz w:val="24"/>
          <w:szCs w:val="24"/>
        </w:rPr>
        <w:t>Ehrenfest</w:t>
      </w:r>
      <w:r w:rsidR="00F11EFD" w:rsidRPr="000F6083">
        <w:rPr>
          <w:rFonts w:asciiTheme="majorBidi" w:eastAsia="Times New Roman" w:hAnsiTheme="majorBidi" w:cstheme="majorBidi"/>
          <w:color w:val="0A0A0A"/>
          <w:sz w:val="24"/>
          <w:szCs w:val="24"/>
        </w:rPr>
        <w:t xml:space="preserve"> et al., 2009; </w:t>
      </w:r>
      <w:r w:rsidR="00A0597B" w:rsidRPr="000F6083">
        <w:rPr>
          <w:rFonts w:asciiTheme="majorBidi" w:hAnsiTheme="majorBidi" w:cstheme="majorBidi"/>
          <w:color w:val="0A0A0A"/>
          <w:sz w:val="24"/>
          <w:szCs w:val="24"/>
          <w:shd w:val="clear" w:color="auto" w:fill="FFFFFF"/>
        </w:rPr>
        <w:t>Borie et al., 2015</w:t>
      </w:r>
      <w:r w:rsidRPr="000F6083">
        <w:rPr>
          <w:rFonts w:asciiTheme="majorBidi" w:eastAsia="Times New Roman" w:hAnsiTheme="majorBidi" w:cstheme="majorBidi"/>
          <w:color w:val="0A0A0A"/>
          <w:sz w:val="24"/>
          <w:szCs w:val="24"/>
        </w:rPr>
        <w:t>). </w:t>
      </w:r>
    </w:p>
    <w:p w14:paraId="4C0FB763" w14:textId="22C5DA4F" w:rsidR="004A4DCF" w:rsidRPr="000F6083" w:rsidRDefault="004A4DCF"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 xml:space="preserve">Despite the individual advantages of PRP and PRF, there is a growing interest in combining both to leverage their complementary properties. PRP’s immediate bioactivity and PRF’s </w:t>
      </w:r>
      <w:r w:rsidR="00F11EFD" w:rsidRPr="000F6083">
        <w:rPr>
          <w:rFonts w:asciiTheme="majorBidi" w:eastAsia="Times New Roman" w:hAnsiTheme="majorBidi" w:cstheme="majorBidi"/>
          <w:color w:val="0A0A0A"/>
          <w:sz w:val="24"/>
          <w:szCs w:val="24"/>
        </w:rPr>
        <w:t>extended-release</w:t>
      </w:r>
      <w:r w:rsidRPr="000F6083">
        <w:rPr>
          <w:rFonts w:asciiTheme="majorBidi" w:eastAsia="Times New Roman" w:hAnsiTheme="majorBidi" w:cstheme="majorBidi"/>
          <w:color w:val="0A0A0A"/>
          <w:sz w:val="24"/>
          <w:szCs w:val="24"/>
        </w:rPr>
        <w:t xml:space="preserve"> profile may produce a synergistic effect that enhances bone regeneration more effectively than either agent alone. However, studies comparing the isolated and combined effects of PRP and PRF, particularly using radiological and biomechanical assessments, remain limited (Ehrenfest et al., 2009). This is especially true for critical-sized bone defects, where natural healing is often inadequate without intervention. </w:t>
      </w:r>
    </w:p>
    <w:p w14:paraId="11FB4050" w14:textId="77777777" w:rsidR="004A4DCF" w:rsidRPr="000F6083" w:rsidRDefault="004A4DCF"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The present study addresses this gap by evaluating the comparative and combined effects of PRP and PRF on bone regeneration in a rabbit model of critical ulna defect. This research aims to provide foundational insights into the clinical utility of these biomaterials for enhancing long bone healing. </w:t>
      </w:r>
    </w:p>
    <w:p w14:paraId="6CD1A9E7" w14:textId="77777777" w:rsidR="00F11EFD" w:rsidRPr="000F6083" w:rsidRDefault="00F11EFD" w:rsidP="000F6083">
      <w:pPr>
        <w:spacing w:line="480" w:lineRule="auto"/>
        <w:jc w:val="both"/>
        <w:rPr>
          <w:rFonts w:asciiTheme="majorBidi" w:hAnsiTheme="majorBidi" w:cstheme="majorBidi"/>
          <w:b/>
          <w:bCs/>
          <w:sz w:val="24"/>
          <w:szCs w:val="24"/>
        </w:rPr>
      </w:pPr>
    </w:p>
    <w:p w14:paraId="09EA81AB" w14:textId="77777777" w:rsidR="00F11EFD" w:rsidRPr="000F6083" w:rsidRDefault="00F11EFD" w:rsidP="000F6083">
      <w:pPr>
        <w:spacing w:line="480" w:lineRule="auto"/>
        <w:jc w:val="both"/>
        <w:rPr>
          <w:rFonts w:asciiTheme="majorBidi" w:hAnsiTheme="majorBidi" w:cstheme="majorBidi"/>
          <w:b/>
          <w:bCs/>
          <w:sz w:val="24"/>
          <w:szCs w:val="24"/>
        </w:rPr>
      </w:pPr>
    </w:p>
    <w:p w14:paraId="6EDEED64" w14:textId="15697642" w:rsidR="00F47B4B" w:rsidRPr="000F6083" w:rsidRDefault="00F47B4B"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lastRenderedPageBreak/>
        <w:t>Materials and Methods</w:t>
      </w:r>
    </w:p>
    <w:p w14:paraId="7945F53C" w14:textId="77777777" w:rsidR="004F5898" w:rsidRPr="000F6083" w:rsidRDefault="004F5898"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Study Design and Animals</w:t>
      </w:r>
    </w:p>
    <w:p w14:paraId="5BAC95DA" w14:textId="6CBD0D92" w:rsidR="00B71007" w:rsidRPr="000F6083" w:rsidRDefault="004F5898" w:rsidP="000F6083">
      <w:pPr>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This experimental study was conducted using twenty-eight adult New Zealand White rabbits, each weighing between 2.5 and 3.5 kg and age</w:t>
      </w:r>
      <w:r w:rsidR="000C7BE3" w:rsidRPr="000F6083">
        <w:rPr>
          <w:rFonts w:asciiTheme="majorBidi" w:hAnsiTheme="majorBidi" w:cstheme="majorBidi"/>
          <w:bCs/>
          <w:sz w:val="24"/>
          <w:szCs w:val="24"/>
        </w:rPr>
        <w:t xml:space="preserve"> range of </w:t>
      </w:r>
      <w:r w:rsidRPr="000F6083">
        <w:rPr>
          <w:rFonts w:asciiTheme="majorBidi" w:hAnsiTheme="majorBidi" w:cstheme="majorBidi"/>
          <w:bCs/>
          <w:sz w:val="24"/>
          <w:szCs w:val="24"/>
        </w:rPr>
        <w:t>5</w:t>
      </w:r>
      <w:r w:rsidR="000C7BE3" w:rsidRPr="000F6083">
        <w:rPr>
          <w:rFonts w:asciiTheme="majorBidi" w:hAnsiTheme="majorBidi" w:cstheme="majorBidi"/>
          <w:bCs/>
          <w:sz w:val="24"/>
          <w:szCs w:val="24"/>
        </w:rPr>
        <w:t>-</w:t>
      </w:r>
      <w:r w:rsidRPr="000F6083">
        <w:rPr>
          <w:rFonts w:asciiTheme="majorBidi" w:hAnsiTheme="majorBidi" w:cstheme="majorBidi"/>
          <w:bCs/>
          <w:sz w:val="24"/>
          <w:szCs w:val="24"/>
        </w:rPr>
        <w:t xml:space="preserve">6 months. </w:t>
      </w:r>
      <w:r w:rsidR="00031237" w:rsidRPr="000F6083">
        <w:rPr>
          <w:rFonts w:asciiTheme="majorBidi" w:hAnsiTheme="majorBidi" w:cstheme="majorBidi"/>
          <w:bCs/>
          <w:sz w:val="24"/>
          <w:szCs w:val="24"/>
        </w:rPr>
        <w:t xml:space="preserve">The rabbits were acquired from the Animal Resource Facility of the Faculty of Veterinary Medicine, </w:t>
      </w:r>
      <w:proofErr w:type="spellStart"/>
      <w:r w:rsidR="00031237" w:rsidRPr="000F6083">
        <w:rPr>
          <w:rFonts w:asciiTheme="majorBidi" w:hAnsiTheme="majorBidi" w:cstheme="majorBidi"/>
          <w:bCs/>
          <w:sz w:val="24"/>
          <w:szCs w:val="24"/>
        </w:rPr>
        <w:t>Usmanu</w:t>
      </w:r>
      <w:proofErr w:type="spellEnd"/>
      <w:r w:rsidR="00031237" w:rsidRPr="000F6083">
        <w:rPr>
          <w:rFonts w:asciiTheme="majorBidi" w:hAnsiTheme="majorBidi" w:cstheme="majorBidi"/>
          <w:bCs/>
          <w:sz w:val="24"/>
          <w:szCs w:val="24"/>
        </w:rPr>
        <w:t xml:space="preserve"> Danfodiyo University, Sokoto. </w:t>
      </w:r>
      <w:r w:rsidRPr="000F6083">
        <w:rPr>
          <w:rFonts w:asciiTheme="majorBidi" w:hAnsiTheme="majorBidi" w:cstheme="majorBidi"/>
          <w:bCs/>
          <w:sz w:val="24"/>
          <w:szCs w:val="24"/>
        </w:rPr>
        <w:t xml:space="preserve">All animals were apparently healthy and acclimatized for two weeks prior to the experiment. Procedures were performed in accordance with institutional animal care </w:t>
      </w:r>
      <w:r w:rsidR="00031237" w:rsidRPr="000F6083">
        <w:rPr>
          <w:rFonts w:asciiTheme="majorBidi" w:hAnsiTheme="majorBidi" w:cstheme="majorBidi"/>
          <w:bCs/>
          <w:sz w:val="24"/>
          <w:szCs w:val="24"/>
        </w:rPr>
        <w:t xml:space="preserve">and used committee </w:t>
      </w:r>
      <w:r w:rsidRPr="000F6083">
        <w:rPr>
          <w:rFonts w:asciiTheme="majorBidi" w:hAnsiTheme="majorBidi" w:cstheme="majorBidi"/>
          <w:bCs/>
          <w:sz w:val="24"/>
          <w:szCs w:val="24"/>
        </w:rPr>
        <w:t xml:space="preserve">guidelines and with ethical approval from the Faculty of Veterinary Medicine, </w:t>
      </w:r>
      <w:proofErr w:type="spellStart"/>
      <w:r w:rsidRPr="000F6083">
        <w:rPr>
          <w:rFonts w:asciiTheme="majorBidi" w:hAnsiTheme="majorBidi" w:cstheme="majorBidi"/>
          <w:bCs/>
          <w:sz w:val="24"/>
          <w:szCs w:val="24"/>
        </w:rPr>
        <w:t>Usmanu</w:t>
      </w:r>
      <w:proofErr w:type="spellEnd"/>
      <w:r w:rsidRPr="000F6083">
        <w:rPr>
          <w:rFonts w:asciiTheme="majorBidi" w:hAnsiTheme="majorBidi" w:cstheme="majorBidi"/>
          <w:bCs/>
          <w:sz w:val="24"/>
          <w:szCs w:val="24"/>
        </w:rPr>
        <w:t xml:space="preserve"> Danfodiyo University, Sokoto, Nigeria</w:t>
      </w:r>
      <w:r w:rsidR="00723D68" w:rsidRPr="000F6083">
        <w:rPr>
          <w:rFonts w:asciiTheme="majorBidi" w:hAnsiTheme="majorBidi" w:cstheme="majorBidi"/>
          <w:bCs/>
          <w:sz w:val="24"/>
          <w:szCs w:val="24"/>
        </w:rPr>
        <w:t xml:space="preserve"> with the approval number UDUS/IACUC/2025/R08</w:t>
      </w:r>
      <w:r w:rsidRPr="000F6083">
        <w:rPr>
          <w:rFonts w:asciiTheme="majorBidi" w:hAnsiTheme="majorBidi" w:cstheme="majorBidi"/>
          <w:bCs/>
          <w:sz w:val="24"/>
          <w:szCs w:val="24"/>
        </w:rPr>
        <w:t>. The rabbits were randomly assigned into four equal groups (n = 7</w:t>
      </w:r>
      <w:r w:rsidR="000C7BE3" w:rsidRPr="000F6083">
        <w:rPr>
          <w:rFonts w:asciiTheme="majorBidi" w:hAnsiTheme="majorBidi" w:cstheme="majorBidi"/>
          <w:bCs/>
          <w:sz w:val="24"/>
          <w:szCs w:val="24"/>
        </w:rPr>
        <w:t>)</w:t>
      </w:r>
      <w:r w:rsidRPr="000F6083">
        <w:rPr>
          <w:rFonts w:asciiTheme="majorBidi" w:hAnsiTheme="majorBidi" w:cstheme="majorBidi"/>
          <w:bCs/>
          <w:sz w:val="24"/>
          <w:szCs w:val="24"/>
        </w:rPr>
        <w:t xml:space="preserve"> per group: Group A (PRP-treated), Group B (PRF-treated), Group C (PRP + PRF combination), and Group D (control</w:t>
      </w:r>
      <w:r w:rsidR="000C7BE3" w:rsidRPr="000F6083">
        <w:rPr>
          <w:rFonts w:asciiTheme="majorBidi" w:hAnsiTheme="majorBidi" w:cstheme="majorBidi"/>
          <w:bCs/>
          <w:sz w:val="24"/>
          <w:szCs w:val="24"/>
        </w:rPr>
        <w:t>; untreated</w:t>
      </w:r>
      <w:r w:rsidRPr="000F6083">
        <w:rPr>
          <w:rFonts w:asciiTheme="majorBidi" w:hAnsiTheme="majorBidi" w:cstheme="majorBidi"/>
          <w:bCs/>
          <w:sz w:val="24"/>
          <w:szCs w:val="24"/>
        </w:rPr>
        <w:t>).</w:t>
      </w:r>
    </w:p>
    <w:p w14:paraId="06FDBFBD" w14:textId="77777777" w:rsidR="004F5898" w:rsidRPr="000F6083" w:rsidRDefault="004F5898"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Preparation of Platelet-Rich Plasma (PRP) and Platelet-Rich Fibrin (PRF)</w:t>
      </w:r>
    </w:p>
    <w:p w14:paraId="4FB16C95" w14:textId="2F9CDAE6" w:rsidR="004F5898" w:rsidRPr="000F6083" w:rsidRDefault="004F5898" w:rsidP="000F6083">
      <w:pPr>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For </w:t>
      </w:r>
      <w:r w:rsidR="00031237" w:rsidRPr="000F6083">
        <w:rPr>
          <w:rFonts w:asciiTheme="majorBidi" w:hAnsiTheme="majorBidi" w:cstheme="majorBidi"/>
          <w:bCs/>
          <w:sz w:val="24"/>
          <w:szCs w:val="24"/>
        </w:rPr>
        <w:t xml:space="preserve">the </w:t>
      </w:r>
      <w:r w:rsidRPr="000F6083">
        <w:rPr>
          <w:rFonts w:asciiTheme="majorBidi" w:hAnsiTheme="majorBidi" w:cstheme="majorBidi"/>
          <w:bCs/>
          <w:sz w:val="24"/>
          <w:szCs w:val="24"/>
        </w:rPr>
        <w:t>PRP preparation, approximately 10 mL of whole blood was drawn from each rabbit’s auricular vein into sterile tubes containing 3.8% sodium citrate</w:t>
      </w:r>
      <w:r w:rsidR="00031237" w:rsidRPr="000F6083">
        <w:rPr>
          <w:rFonts w:asciiTheme="majorBidi" w:hAnsiTheme="majorBidi" w:cstheme="majorBidi"/>
          <w:bCs/>
          <w:sz w:val="24"/>
          <w:szCs w:val="24"/>
        </w:rPr>
        <w:t xml:space="preserve"> (</w:t>
      </w:r>
      <w:r w:rsidR="00907DA7" w:rsidRPr="000F6083">
        <w:rPr>
          <w:rFonts w:asciiTheme="majorBidi" w:hAnsiTheme="majorBidi" w:cstheme="majorBidi"/>
          <w:sz w:val="24"/>
          <w:szCs w:val="24"/>
        </w:rPr>
        <w:t>Chengdu Rich Science Industry Co., Ltd., Chengdu, China</w:t>
      </w:r>
      <w:r w:rsidR="00031237" w:rsidRPr="000F6083">
        <w:rPr>
          <w:rFonts w:asciiTheme="majorBidi" w:hAnsiTheme="majorBidi" w:cstheme="majorBidi"/>
          <w:bCs/>
          <w:sz w:val="24"/>
          <w:szCs w:val="24"/>
        </w:rPr>
        <w:t>)</w:t>
      </w:r>
      <w:r w:rsidRPr="000F6083">
        <w:rPr>
          <w:rFonts w:asciiTheme="majorBidi" w:hAnsiTheme="majorBidi" w:cstheme="majorBidi"/>
          <w:bCs/>
          <w:sz w:val="24"/>
          <w:szCs w:val="24"/>
        </w:rPr>
        <w:t>. A two-step centrifugation method was employed</w:t>
      </w:r>
      <w:r w:rsidR="00EB5023" w:rsidRPr="000F6083">
        <w:rPr>
          <w:rFonts w:asciiTheme="majorBidi" w:hAnsiTheme="majorBidi" w:cstheme="majorBidi"/>
          <w:bCs/>
          <w:sz w:val="24"/>
          <w:szCs w:val="24"/>
        </w:rPr>
        <w:t xml:space="preserve"> according to standard procedure described by </w:t>
      </w:r>
      <w:proofErr w:type="spellStart"/>
      <w:r w:rsidR="00EB5023" w:rsidRPr="000F6083">
        <w:rPr>
          <w:rFonts w:asciiTheme="majorBidi" w:hAnsiTheme="majorBidi" w:cstheme="majorBidi"/>
          <w:bCs/>
          <w:sz w:val="24"/>
          <w:szCs w:val="24"/>
        </w:rPr>
        <w:t>Dhurat</w:t>
      </w:r>
      <w:proofErr w:type="spellEnd"/>
      <w:r w:rsidR="00EB5023" w:rsidRPr="000F6083">
        <w:rPr>
          <w:rFonts w:asciiTheme="majorBidi" w:hAnsiTheme="majorBidi" w:cstheme="majorBidi"/>
          <w:bCs/>
          <w:sz w:val="24"/>
          <w:szCs w:val="24"/>
        </w:rPr>
        <w:t xml:space="preserve"> and Sukesh, (2014)</w:t>
      </w:r>
      <w:r w:rsidR="005B6B49" w:rsidRPr="000F6083">
        <w:rPr>
          <w:rFonts w:asciiTheme="majorBidi" w:hAnsiTheme="majorBidi" w:cstheme="majorBidi"/>
          <w:bCs/>
          <w:sz w:val="24"/>
          <w:szCs w:val="24"/>
        </w:rPr>
        <w:t xml:space="preserve">; </w:t>
      </w:r>
      <w:proofErr w:type="spellStart"/>
      <w:r w:rsidR="005B6B49" w:rsidRPr="000F6083">
        <w:rPr>
          <w:rFonts w:asciiTheme="majorBidi" w:hAnsiTheme="majorBidi" w:cstheme="majorBidi"/>
          <w:sz w:val="24"/>
          <w:szCs w:val="24"/>
        </w:rPr>
        <w:t>Reksodiputro</w:t>
      </w:r>
      <w:proofErr w:type="spellEnd"/>
      <w:r w:rsidR="005B6B49" w:rsidRPr="000F6083">
        <w:rPr>
          <w:rFonts w:asciiTheme="majorBidi" w:hAnsiTheme="majorBidi" w:cstheme="majorBidi"/>
          <w:sz w:val="24"/>
          <w:szCs w:val="24"/>
        </w:rPr>
        <w:t xml:space="preserve"> et al., (2021)</w:t>
      </w:r>
      <w:r w:rsidRPr="000F6083">
        <w:rPr>
          <w:rFonts w:asciiTheme="majorBidi" w:hAnsiTheme="majorBidi" w:cstheme="majorBidi"/>
          <w:bCs/>
          <w:sz w:val="24"/>
          <w:szCs w:val="24"/>
        </w:rPr>
        <w:t xml:space="preserve">: the first spin at 1600 rpm for 10 minutes separated the plasma, which was collected and centrifuged again at 3000 rpm for 10 minutes to concentrate the platelets. The resulting PRP fraction was extracted and activated with 10% calcium chloride </w:t>
      </w:r>
      <w:r w:rsidR="00BF23E1" w:rsidRPr="000F6083">
        <w:rPr>
          <w:rFonts w:asciiTheme="majorBidi" w:hAnsiTheme="majorBidi" w:cstheme="majorBidi"/>
          <w:sz w:val="24"/>
          <w:szCs w:val="24"/>
        </w:rPr>
        <w:t xml:space="preserve">(Hebei </w:t>
      </w:r>
      <w:proofErr w:type="spellStart"/>
      <w:r w:rsidR="00BF23E1" w:rsidRPr="000F6083">
        <w:rPr>
          <w:rFonts w:asciiTheme="majorBidi" w:hAnsiTheme="majorBidi" w:cstheme="majorBidi"/>
          <w:sz w:val="24"/>
          <w:szCs w:val="24"/>
        </w:rPr>
        <w:t>Huachen</w:t>
      </w:r>
      <w:proofErr w:type="spellEnd"/>
      <w:r w:rsidR="00BF23E1" w:rsidRPr="000F6083">
        <w:rPr>
          <w:rFonts w:asciiTheme="majorBidi" w:hAnsiTheme="majorBidi" w:cstheme="majorBidi"/>
          <w:sz w:val="24"/>
          <w:szCs w:val="24"/>
        </w:rPr>
        <w:t xml:space="preserve"> Pharmaceutical Group Co., Ltd., </w:t>
      </w:r>
      <w:proofErr w:type="spellStart"/>
      <w:r w:rsidR="00BF23E1" w:rsidRPr="000F6083">
        <w:rPr>
          <w:rFonts w:asciiTheme="majorBidi" w:hAnsiTheme="majorBidi" w:cstheme="majorBidi"/>
          <w:sz w:val="24"/>
          <w:szCs w:val="24"/>
        </w:rPr>
        <w:t>Cangzhou</w:t>
      </w:r>
      <w:proofErr w:type="spellEnd"/>
      <w:r w:rsidR="00BF23E1" w:rsidRPr="000F6083">
        <w:rPr>
          <w:rFonts w:asciiTheme="majorBidi" w:hAnsiTheme="majorBidi" w:cstheme="majorBidi"/>
          <w:sz w:val="24"/>
          <w:szCs w:val="24"/>
        </w:rPr>
        <w:t xml:space="preserve">, Hebei, China) </w:t>
      </w:r>
      <w:r w:rsidRPr="000F6083">
        <w:rPr>
          <w:rFonts w:asciiTheme="majorBidi" w:hAnsiTheme="majorBidi" w:cstheme="majorBidi"/>
          <w:bCs/>
          <w:sz w:val="24"/>
          <w:szCs w:val="24"/>
        </w:rPr>
        <w:t xml:space="preserve">immediately before use. For </w:t>
      </w:r>
      <w:r w:rsidR="00D1283D" w:rsidRPr="000F6083">
        <w:rPr>
          <w:rFonts w:asciiTheme="majorBidi" w:hAnsiTheme="majorBidi" w:cstheme="majorBidi"/>
          <w:bCs/>
          <w:sz w:val="24"/>
          <w:szCs w:val="24"/>
        </w:rPr>
        <w:t xml:space="preserve">the </w:t>
      </w:r>
      <w:r w:rsidRPr="000F6083">
        <w:rPr>
          <w:rFonts w:asciiTheme="majorBidi" w:hAnsiTheme="majorBidi" w:cstheme="majorBidi"/>
          <w:bCs/>
          <w:sz w:val="24"/>
          <w:szCs w:val="24"/>
        </w:rPr>
        <w:t xml:space="preserve">PRF, 10 mL of whole blood was collected into plain sterile glass tubes without anticoagulant and immediately centrifuged at 3000 </w:t>
      </w:r>
      <w:r w:rsidRPr="000F6083">
        <w:rPr>
          <w:rFonts w:asciiTheme="majorBidi" w:hAnsiTheme="majorBidi" w:cstheme="majorBidi"/>
          <w:bCs/>
          <w:sz w:val="24"/>
          <w:szCs w:val="24"/>
        </w:rPr>
        <w:lastRenderedPageBreak/>
        <w:t xml:space="preserve">rpm for 10 minutes following </w:t>
      </w:r>
      <w:proofErr w:type="spellStart"/>
      <w:r w:rsidRPr="000F6083">
        <w:rPr>
          <w:rFonts w:asciiTheme="majorBidi" w:hAnsiTheme="majorBidi" w:cstheme="majorBidi"/>
          <w:bCs/>
          <w:sz w:val="24"/>
          <w:szCs w:val="24"/>
        </w:rPr>
        <w:t>Choukroun’s</w:t>
      </w:r>
      <w:proofErr w:type="spellEnd"/>
      <w:r w:rsidRPr="000F6083">
        <w:rPr>
          <w:rFonts w:asciiTheme="majorBidi" w:hAnsiTheme="majorBidi" w:cstheme="majorBidi"/>
          <w:bCs/>
          <w:sz w:val="24"/>
          <w:szCs w:val="24"/>
        </w:rPr>
        <w:t xml:space="preserve"> method. The PRF clot was then harvested from the middle layer, situated between the red blood cell layer and the acellular plasma.</w:t>
      </w:r>
    </w:p>
    <w:p w14:paraId="649F6F70" w14:textId="77777777" w:rsidR="004F5898" w:rsidRPr="000F6083" w:rsidRDefault="004F5898"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Surgical Procedure and Postoperative Management</w:t>
      </w:r>
    </w:p>
    <w:p w14:paraId="5382F753" w14:textId="4EDB6C57" w:rsidR="00B048A5" w:rsidRPr="000F6083" w:rsidRDefault="004F5898" w:rsidP="000F6083">
      <w:pPr>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Under general anesthesia induced by </w:t>
      </w:r>
      <w:r w:rsidR="00D1283D" w:rsidRPr="000F6083">
        <w:rPr>
          <w:rFonts w:asciiTheme="majorBidi" w:hAnsiTheme="majorBidi" w:cstheme="majorBidi"/>
          <w:bCs/>
          <w:sz w:val="24"/>
          <w:szCs w:val="24"/>
        </w:rPr>
        <w:t xml:space="preserve">using combination of </w:t>
      </w:r>
      <w:r w:rsidRPr="000F6083">
        <w:rPr>
          <w:rFonts w:asciiTheme="majorBidi" w:hAnsiTheme="majorBidi" w:cstheme="majorBidi"/>
          <w:bCs/>
          <w:sz w:val="24"/>
          <w:szCs w:val="24"/>
        </w:rPr>
        <w:t xml:space="preserve">xylazine </w:t>
      </w:r>
      <w:r w:rsidR="00BF23E1" w:rsidRPr="000F6083">
        <w:rPr>
          <w:rFonts w:asciiTheme="majorBidi" w:hAnsiTheme="majorBidi" w:cstheme="majorBidi"/>
          <w:bCs/>
          <w:sz w:val="24"/>
          <w:szCs w:val="24"/>
        </w:rPr>
        <w:t>(</w:t>
      </w:r>
      <w:r w:rsidR="00BF23E1" w:rsidRPr="000F6083">
        <w:rPr>
          <w:rFonts w:asciiTheme="majorBidi" w:hAnsiTheme="majorBidi" w:cstheme="majorBidi"/>
          <w:sz w:val="24"/>
          <w:szCs w:val="24"/>
        </w:rPr>
        <w:t xml:space="preserve">Bela-Pharm, </w:t>
      </w:r>
      <w:proofErr w:type="spellStart"/>
      <w:r w:rsidR="00BF23E1" w:rsidRPr="000F6083">
        <w:rPr>
          <w:rFonts w:asciiTheme="majorBidi" w:hAnsiTheme="majorBidi" w:cstheme="majorBidi"/>
          <w:sz w:val="24"/>
          <w:szCs w:val="24"/>
        </w:rPr>
        <w:t>Vechta</w:t>
      </w:r>
      <w:proofErr w:type="spellEnd"/>
      <w:r w:rsidR="00BF23E1" w:rsidRPr="000F6083">
        <w:rPr>
          <w:rFonts w:asciiTheme="majorBidi" w:hAnsiTheme="majorBidi" w:cstheme="majorBidi"/>
          <w:sz w:val="24"/>
          <w:szCs w:val="24"/>
        </w:rPr>
        <w:t>, Germany)</w:t>
      </w:r>
      <w:r w:rsidR="00BF23E1" w:rsidRPr="000F6083">
        <w:rPr>
          <w:rFonts w:asciiTheme="majorBidi" w:hAnsiTheme="majorBidi" w:cstheme="majorBidi"/>
          <w:bCs/>
          <w:sz w:val="24"/>
          <w:szCs w:val="24"/>
        </w:rPr>
        <w:t xml:space="preserve"> </w:t>
      </w:r>
      <w:r w:rsidRPr="000F6083">
        <w:rPr>
          <w:rFonts w:asciiTheme="majorBidi" w:hAnsiTheme="majorBidi" w:cstheme="majorBidi"/>
          <w:bCs/>
          <w:sz w:val="24"/>
          <w:szCs w:val="24"/>
        </w:rPr>
        <w:t>(1 mg/kg IM) and ketamine</w:t>
      </w:r>
      <w:r w:rsidR="00BF23E1" w:rsidRPr="000F6083">
        <w:rPr>
          <w:rFonts w:asciiTheme="majorBidi" w:hAnsiTheme="majorBidi" w:cstheme="majorBidi"/>
          <w:bCs/>
          <w:sz w:val="24"/>
          <w:szCs w:val="24"/>
        </w:rPr>
        <w:t xml:space="preserve"> (</w:t>
      </w:r>
      <w:proofErr w:type="spellStart"/>
      <w:r w:rsidR="00BF23E1" w:rsidRPr="000F6083">
        <w:rPr>
          <w:rFonts w:asciiTheme="majorBidi" w:hAnsiTheme="majorBidi" w:cstheme="majorBidi"/>
          <w:sz w:val="24"/>
          <w:szCs w:val="24"/>
        </w:rPr>
        <w:t>Vedco</w:t>
      </w:r>
      <w:proofErr w:type="spellEnd"/>
      <w:r w:rsidR="00BF23E1" w:rsidRPr="000F6083">
        <w:rPr>
          <w:rFonts w:asciiTheme="majorBidi" w:hAnsiTheme="majorBidi" w:cstheme="majorBidi"/>
          <w:sz w:val="24"/>
          <w:szCs w:val="24"/>
        </w:rPr>
        <w:t xml:space="preserve"> Inc., St. Joseph, MO, USA)</w:t>
      </w:r>
      <w:r w:rsidRPr="000F6083">
        <w:rPr>
          <w:rFonts w:asciiTheme="majorBidi" w:hAnsiTheme="majorBidi" w:cstheme="majorBidi"/>
          <w:bCs/>
          <w:sz w:val="24"/>
          <w:szCs w:val="24"/>
        </w:rPr>
        <w:t xml:space="preserve"> (35 mg/kg IM), the right radius and ulna of each rabbit were </w:t>
      </w:r>
      <w:r w:rsidR="00D1283D" w:rsidRPr="000F6083">
        <w:rPr>
          <w:rFonts w:asciiTheme="majorBidi" w:hAnsiTheme="majorBidi" w:cstheme="majorBidi"/>
          <w:bCs/>
          <w:sz w:val="24"/>
          <w:szCs w:val="24"/>
        </w:rPr>
        <w:t xml:space="preserve">clipped and </w:t>
      </w:r>
      <w:r w:rsidRPr="000F6083">
        <w:rPr>
          <w:rFonts w:asciiTheme="majorBidi" w:hAnsiTheme="majorBidi" w:cstheme="majorBidi"/>
          <w:bCs/>
          <w:sz w:val="24"/>
          <w:szCs w:val="24"/>
        </w:rPr>
        <w:t xml:space="preserve">aseptically prepared. </w:t>
      </w:r>
      <w:r w:rsidR="00D1283D" w:rsidRPr="000F6083">
        <w:rPr>
          <w:rFonts w:asciiTheme="majorBidi" w:hAnsiTheme="majorBidi" w:cstheme="majorBidi"/>
          <w:bCs/>
          <w:sz w:val="24"/>
          <w:szCs w:val="24"/>
        </w:rPr>
        <w:t>The radius and ulna bones were surgically exposed as described by</w:t>
      </w:r>
      <w:r w:rsidR="00BF23E1" w:rsidRPr="000F6083">
        <w:rPr>
          <w:rFonts w:asciiTheme="majorBidi" w:hAnsiTheme="majorBidi" w:cstheme="majorBidi"/>
          <w:bCs/>
          <w:sz w:val="24"/>
          <w:szCs w:val="24"/>
        </w:rPr>
        <w:t xml:space="preserve"> Hak </w:t>
      </w:r>
      <w:r w:rsidR="00194830" w:rsidRPr="000F6083">
        <w:rPr>
          <w:rFonts w:asciiTheme="majorBidi" w:hAnsiTheme="majorBidi" w:cstheme="majorBidi"/>
          <w:bCs/>
          <w:sz w:val="24"/>
          <w:szCs w:val="24"/>
        </w:rPr>
        <w:t>(</w:t>
      </w:r>
      <w:r w:rsidR="00BF23E1" w:rsidRPr="000F6083">
        <w:rPr>
          <w:rFonts w:asciiTheme="majorBidi" w:hAnsiTheme="majorBidi" w:cstheme="majorBidi"/>
          <w:bCs/>
          <w:sz w:val="24"/>
          <w:szCs w:val="24"/>
        </w:rPr>
        <w:t>2014</w:t>
      </w:r>
      <w:proofErr w:type="gramStart"/>
      <w:r w:rsidR="00194830" w:rsidRPr="000F6083">
        <w:rPr>
          <w:rFonts w:asciiTheme="majorBidi" w:hAnsiTheme="majorBidi" w:cstheme="majorBidi"/>
          <w:bCs/>
          <w:sz w:val="24"/>
          <w:szCs w:val="24"/>
        </w:rPr>
        <w:t>),</w:t>
      </w:r>
      <w:proofErr w:type="gramEnd"/>
      <w:r w:rsidRPr="000F6083">
        <w:rPr>
          <w:rFonts w:asciiTheme="majorBidi" w:hAnsiTheme="majorBidi" w:cstheme="majorBidi"/>
          <w:bCs/>
          <w:sz w:val="24"/>
          <w:szCs w:val="24"/>
        </w:rPr>
        <w:t xml:space="preserve"> </w:t>
      </w:r>
      <w:r w:rsidR="00194830" w:rsidRPr="000F6083">
        <w:rPr>
          <w:rFonts w:asciiTheme="majorBidi" w:hAnsiTheme="majorBidi" w:cstheme="majorBidi"/>
          <w:bCs/>
          <w:sz w:val="24"/>
          <w:szCs w:val="24"/>
        </w:rPr>
        <w:t>a</w:t>
      </w:r>
      <w:r w:rsidR="00BF23E1" w:rsidRPr="000F6083">
        <w:rPr>
          <w:rFonts w:asciiTheme="majorBidi" w:hAnsiTheme="majorBidi" w:cstheme="majorBidi"/>
          <w:bCs/>
          <w:sz w:val="24"/>
          <w:szCs w:val="24"/>
        </w:rPr>
        <w:t xml:space="preserve"> </w:t>
      </w:r>
      <w:r w:rsidRPr="000F6083">
        <w:rPr>
          <w:rFonts w:asciiTheme="majorBidi" w:hAnsiTheme="majorBidi" w:cstheme="majorBidi"/>
          <w:bCs/>
          <w:sz w:val="24"/>
          <w:szCs w:val="24"/>
        </w:rPr>
        <w:t>1</w:t>
      </w:r>
      <w:r w:rsidR="000E1196" w:rsidRPr="000F6083">
        <w:rPr>
          <w:rFonts w:asciiTheme="majorBidi" w:hAnsiTheme="majorBidi" w:cstheme="majorBidi"/>
          <w:bCs/>
          <w:sz w:val="24"/>
          <w:szCs w:val="24"/>
        </w:rPr>
        <w:t>5</w:t>
      </w:r>
      <w:r w:rsidRPr="000F6083">
        <w:rPr>
          <w:rFonts w:asciiTheme="majorBidi" w:hAnsiTheme="majorBidi" w:cstheme="majorBidi"/>
          <w:bCs/>
          <w:sz w:val="24"/>
          <w:szCs w:val="24"/>
        </w:rPr>
        <w:t xml:space="preserve">-mm critical-sized defect was created at the mid-diaphyseal ulna using a dental burr under constant saline irrigation. In Group A, the defect was filled with </w:t>
      </w:r>
      <w:r w:rsidR="000E1196" w:rsidRPr="000F6083">
        <w:rPr>
          <w:rFonts w:asciiTheme="majorBidi" w:hAnsiTheme="majorBidi" w:cstheme="majorBidi"/>
          <w:bCs/>
          <w:sz w:val="24"/>
          <w:szCs w:val="24"/>
        </w:rPr>
        <w:t xml:space="preserve">0.75 mL </w:t>
      </w:r>
      <w:r w:rsidRPr="000F6083">
        <w:rPr>
          <w:rFonts w:asciiTheme="majorBidi" w:hAnsiTheme="majorBidi" w:cstheme="majorBidi"/>
          <w:bCs/>
          <w:sz w:val="24"/>
          <w:szCs w:val="24"/>
        </w:rPr>
        <w:t xml:space="preserve">autologous PRP. In Group B, </w:t>
      </w:r>
      <w:r w:rsidR="000E1196" w:rsidRPr="000F6083">
        <w:rPr>
          <w:rFonts w:asciiTheme="majorBidi" w:hAnsiTheme="majorBidi" w:cstheme="majorBidi"/>
          <w:bCs/>
          <w:sz w:val="24"/>
          <w:szCs w:val="24"/>
        </w:rPr>
        <w:t xml:space="preserve">a 15mm </w:t>
      </w:r>
      <w:r w:rsidRPr="000F6083">
        <w:rPr>
          <w:rFonts w:asciiTheme="majorBidi" w:hAnsiTheme="majorBidi" w:cstheme="majorBidi"/>
          <w:bCs/>
          <w:sz w:val="24"/>
          <w:szCs w:val="24"/>
        </w:rPr>
        <w:t xml:space="preserve">PRF clot was inserted into the defect. In Group C, a mixture of </w:t>
      </w:r>
      <w:r w:rsidR="000E1196" w:rsidRPr="000F6083">
        <w:rPr>
          <w:rFonts w:asciiTheme="majorBidi" w:hAnsiTheme="majorBidi" w:cstheme="majorBidi"/>
          <w:bCs/>
          <w:sz w:val="24"/>
          <w:szCs w:val="24"/>
        </w:rPr>
        <w:t xml:space="preserve">0.5 </w:t>
      </w:r>
      <w:r w:rsidRPr="000F6083">
        <w:rPr>
          <w:rFonts w:asciiTheme="majorBidi" w:hAnsiTheme="majorBidi" w:cstheme="majorBidi"/>
          <w:bCs/>
          <w:sz w:val="24"/>
          <w:szCs w:val="24"/>
        </w:rPr>
        <w:t xml:space="preserve">PRP and </w:t>
      </w:r>
      <w:r w:rsidR="000E1196" w:rsidRPr="000F6083">
        <w:rPr>
          <w:rFonts w:asciiTheme="majorBidi" w:hAnsiTheme="majorBidi" w:cstheme="majorBidi"/>
          <w:bCs/>
          <w:sz w:val="24"/>
          <w:szCs w:val="24"/>
        </w:rPr>
        <w:t xml:space="preserve">10mm </w:t>
      </w:r>
      <w:r w:rsidRPr="000F6083">
        <w:rPr>
          <w:rFonts w:asciiTheme="majorBidi" w:hAnsiTheme="majorBidi" w:cstheme="majorBidi"/>
          <w:bCs/>
          <w:sz w:val="24"/>
          <w:szCs w:val="24"/>
        </w:rPr>
        <w:t>PRF w</w:t>
      </w:r>
      <w:r w:rsidR="000E1196" w:rsidRPr="000F6083">
        <w:rPr>
          <w:rFonts w:asciiTheme="majorBidi" w:hAnsiTheme="majorBidi" w:cstheme="majorBidi"/>
          <w:bCs/>
          <w:sz w:val="24"/>
          <w:szCs w:val="24"/>
        </w:rPr>
        <w:t>ere</w:t>
      </w:r>
      <w:r w:rsidRPr="000F6083">
        <w:rPr>
          <w:rFonts w:asciiTheme="majorBidi" w:hAnsiTheme="majorBidi" w:cstheme="majorBidi"/>
          <w:bCs/>
          <w:sz w:val="24"/>
          <w:szCs w:val="24"/>
        </w:rPr>
        <w:t xml:space="preserve"> implanted, while in Group D, the defect was left untreated. </w:t>
      </w:r>
      <w:r w:rsidR="00983997" w:rsidRPr="000F6083">
        <w:rPr>
          <w:rFonts w:asciiTheme="majorBidi" w:hAnsiTheme="majorBidi" w:cstheme="majorBidi"/>
          <w:bCs/>
          <w:sz w:val="24"/>
          <w:szCs w:val="24"/>
        </w:rPr>
        <w:t>T</w:t>
      </w:r>
      <w:r w:rsidRPr="000F6083">
        <w:rPr>
          <w:rFonts w:asciiTheme="majorBidi" w:hAnsiTheme="majorBidi" w:cstheme="majorBidi"/>
          <w:bCs/>
          <w:sz w:val="24"/>
          <w:szCs w:val="24"/>
        </w:rPr>
        <w:t>he wounds were closed in layers. Postoperative care included intramuscular administration of amoxicillin (10 mg/kg) for 5 days and diclofenac (0.2 mg/kg) for 3 days. Rabbits were housed individually and monitored daily for signs of infection or pain.</w:t>
      </w:r>
      <w:r w:rsidR="00983997" w:rsidRPr="000F6083">
        <w:rPr>
          <w:rFonts w:asciiTheme="majorBidi" w:hAnsiTheme="majorBidi" w:cstheme="majorBidi"/>
          <w:bCs/>
          <w:sz w:val="24"/>
          <w:szCs w:val="24"/>
        </w:rPr>
        <w:t xml:space="preserve">  </w:t>
      </w:r>
    </w:p>
    <w:p w14:paraId="62570A9C" w14:textId="77777777" w:rsidR="00F47B4B" w:rsidRPr="000F6083" w:rsidRDefault="00F47B4B"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Radiological Evaluation</w:t>
      </w:r>
    </w:p>
    <w:p w14:paraId="256A5F51" w14:textId="34921CAE" w:rsidR="009D4F8B" w:rsidRPr="000F6083" w:rsidRDefault="009D4F8B"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 xml:space="preserve">Standard cranio-caudal and lateral radiographic views were taken at 0, 4, 8, and 12 weeks post-operative, using a digital radiography system (Shimadzu </w:t>
      </w:r>
      <w:proofErr w:type="spellStart"/>
      <w:r w:rsidRPr="000F6083">
        <w:rPr>
          <w:rFonts w:asciiTheme="majorBidi" w:hAnsiTheme="majorBidi" w:cstheme="majorBidi"/>
          <w:sz w:val="24"/>
          <w:szCs w:val="24"/>
        </w:rPr>
        <w:t>MobileDaRt</w:t>
      </w:r>
      <w:proofErr w:type="spellEnd"/>
      <w:r w:rsidRPr="000F6083">
        <w:rPr>
          <w:rFonts w:asciiTheme="majorBidi" w:hAnsiTheme="majorBidi" w:cstheme="majorBidi"/>
          <w:sz w:val="24"/>
          <w:szCs w:val="24"/>
        </w:rPr>
        <w:t xml:space="preserve"> Evolution MX8, Shimadzu Corp., Kyoto, Japan). Bone healing was assessed based on callus formation, defect bridging, and cortical continuity using a semi-quantitative scoring system as described by Oryan </w:t>
      </w:r>
      <w:r w:rsidR="00FA767D" w:rsidRPr="000F6083">
        <w:rPr>
          <w:rFonts w:asciiTheme="majorBidi" w:hAnsiTheme="majorBidi" w:cstheme="majorBidi"/>
          <w:sz w:val="24"/>
          <w:szCs w:val="24"/>
        </w:rPr>
        <w:t xml:space="preserve">et al., </w:t>
      </w:r>
      <w:r w:rsidRPr="000F6083">
        <w:rPr>
          <w:rFonts w:asciiTheme="majorBidi" w:hAnsiTheme="majorBidi" w:cstheme="majorBidi"/>
          <w:sz w:val="24"/>
          <w:szCs w:val="24"/>
        </w:rPr>
        <w:t>(2015)</w:t>
      </w:r>
      <w:r w:rsidR="00B04CBF" w:rsidRPr="000F6083">
        <w:rPr>
          <w:rFonts w:asciiTheme="majorBidi" w:hAnsiTheme="majorBidi" w:cstheme="majorBidi"/>
          <w:sz w:val="24"/>
          <w:szCs w:val="24"/>
        </w:rPr>
        <w:t>; Liu et al., (2022)</w:t>
      </w:r>
      <w:r w:rsidRPr="000F6083">
        <w:rPr>
          <w:rFonts w:asciiTheme="majorBidi" w:hAnsiTheme="majorBidi" w:cstheme="majorBidi"/>
          <w:sz w:val="24"/>
          <w:szCs w:val="24"/>
        </w:rPr>
        <w:t xml:space="preserve">. </w:t>
      </w:r>
    </w:p>
    <w:p w14:paraId="46E8BFFB" w14:textId="790D9AF7" w:rsidR="001133BA" w:rsidRPr="000F6083" w:rsidRDefault="001133BA"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The semi-quantitative radiographic scores obtained from the assessment of callus formation, defect bridging, and cortical continuity were expressed as mean ± standard deviation (Mean ± SD) for each treatment group at weeks 4, 8, and 12 post-</w:t>
      </w:r>
      <w:r w:rsidR="00194830" w:rsidRPr="000F6083">
        <w:rPr>
          <w:rFonts w:asciiTheme="majorBidi" w:hAnsiTheme="majorBidi" w:cstheme="majorBidi"/>
          <w:sz w:val="24"/>
          <w:szCs w:val="24"/>
        </w:rPr>
        <w:t>surgeries</w:t>
      </w:r>
      <w:r w:rsidRPr="000F6083">
        <w:rPr>
          <w:rFonts w:asciiTheme="majorBidi" w:hAnsiTheme="majorBidi" w:cstheme="majorBidi"/>
          <w:sz w:val="24"/>
          <w:szCs w:val="24"/>
        </w:rPr>
        <w:t xml:space="preserve">. </w:t>
      </w:r>
    </w:p>
    <w:p w14:paraId="20390D9A" w14:textId="77777777" w:rsidR="00CC0DD6" w:rsidRPr="000F6083" w:rsidRDefault="00CC0DD6" w:rsidP="000F6083">
      <w:pPr>
        <w:spacing w:line="480" w:lineRule="auto"/>
        <w:jc w:val="both"/>
        <w:rPr>
          <w:rFonts w:asciiTheme="majorBidi" w:hAnsiTheme="majorBidi" w:cstheme="majorBidi"/>
          <w:b/>
          <w:bCs/>
          <w:sz w:val="24"/>
          <w:szCs w:val="24"/>
        </w:rPr>
      </w:pPr>
    </w:p>
    <w:p w14:paraId="35CBAEC4" w14:textId="41060D4D" w:rsidR="00F47B4B" w:rsidRPr="000F6083" w:rsidRDefault="00F47B4B" w:rsidP="000F6083">
      <w:pPr>
        <w:spacing w:line="480" w:lineRule="auto"/>
        <w:jc w:val="both"/>
        <w:rPr>
          <w:rFonts w:asciiTheme="majorBidi" w:hAnsiTheme="majorBidi" w:cstheme="majorBidi"/>
          <w:sz w:val="24"/>
          <w:szCs w:val="24"/>
        </w:rPr>
      </w:pPr>
      <w:r w:rsidRPr="000F6083">
        <w:rPr>
          <w:rFonts w:asciiTheme="majorBidi" w:hAnsiTheme="majorBidi" w:cstheme="majorBidi"/>
          <w:b/>
          <w:bCs/>
          <w:sz w:val="24"/>
          <w:szCs w:val="24"/>
        </w:rPr>
        <w:t>Biomechanical Testing</w:t>
      </w:r>
    </w:p>
    <w:p w14:paraId="0C787581" w14:textId="030AF35D" w:rsidR="004055E8" w:rsidRPr="000F6083" w:rsidRDefault="004055E8"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At 12 weeks post-operation, the animals were humanely euthanized using an overdose of pentobarbital sodium administered via the intraperitoneal (IP) route, in accordance with standard euthanasia protocols as described by the American Veterinary Medical Association (AVMA) Guidelines for the Euthanasia of Animals: 2020 Edition</w:t>
      </w:r>
      <w:r w:rsidR="009D4F8B" w:rsidRPr="000F6083">
        <w:rPr>
          <w:rFonts w:asciiTheme="majorBidi" w:hAnsiTheme="majorBidi" w:cstheme="majorBidi"/>
          <w:sz w:val="24"/>
          <w:szCs w:val="24"/>
        </w:rPr>
        <w:t>.</w:t>
      </w:r>
      <w:r w:rsidR="00123B2A" w:rsidRPr="000F6083">
        <w:rPr>
          <w:rFonts w:asciiTheme="majorBidi" w:hAnsiTheme="majorBidi" w:cstheme="majorBidi"/>
          <w:sz w:val="24"/>
          <w:szCs w:val="24"/>
        </w:rPr>
        <w:t xml:space="preserve"> </w:t>
      </w:r>
      <w:r w:rsidR="00E721C9" w:rsidRPr="000F6083">
        <w:rPr>
          <w:rFonts w:asciiTheme="majorBidi" w:hAnsiTheme="majorBidi" w:cstheme="majorBidi"/>
          <w:sz w:val="24"/>
          <w:szCs w:val="24"/>
        </w:rPr>
        <w:t>Following euthanasia, the ulna bones were carefully harvested, and all surrounding soft tissues and muscle mass were meticulously removed.</w:t>
      </w:r>
      <w:r w:rsidR="00123B2A" w:rsidRPr="000F6083">
        <w:rPr>
          <w:rFonts w:asciiTheme="majorBidi" w:hAnsiTheme="majorBidi" w:cstheme="majorBidi"/>
          <w:sz w:val="24"/>
          <w:szCs w:val="24"/>
        </w:rPr>
        <w:t xml:space="preserve"> </w:t>
      </w:r>
      <w:r w:rsidRPr="000F6083">
        <w:rPr>
          <w:rFonts w:asciiTheme="majorBidi" w:hAnsiTheme="majorBidi" w:cstheme="majorBidi"/>
          <w:sz w:val="24"/>
          <w:szCs w:val="24"/>
        </w:rPr>
        <w:t xml:space="preserve">Biomechanical evaluation of the regenerated bone was performed using a Vickers microhardness test with a calibrated digital microhardness tester. The test was conducted following standard procedures described by </w:t>
      </w:r>
      <w:r w:rsidR="00123B2A" w:rsidRPr="000F6083">
        <w:rPr>
          <w:rFonts w:asciiTheme="majorBidi" w:hAnsiTheme="majorBidi" w:cstheme="majorBidi"/>
          <w:sz w:val="24"/>
          <w:szCs w:val="24"/>
        </w:rPr>
        <w:t>(</w:t>
      </w:r>
      <w:r w:rsidRPr="000F6083">
        <w:rPr>
          <w:rFonts w:asciiTheme="majorBidi" w:hAnsiTheme="majorBidi" w:cstheme="majorBidi"/>
          <w:sz w:val="24"/>
          <w:szCs w:val="24"/>
        </w:rPr>
        <w:t>ASTM E384-22</w:t>
      </w:r>
      <w:r w:rsidR="00123B2A" w:rsidRPr="000F6083">
        <w:rPr>
          <w:rFonts w:asciiTheme="majorBidi" w:hAnsiTheme="majorBidi" w:cstheme="majorBidi"/>
          <w:sz w:val="24"/>
          <w:szCs w:val="24"/>
        </w:rPr>
        <w:t>)</w:t>
      </w:r>
      <w:r w:rsidRPr="000F6083">
        <w:rPr>
          <w:rFonts w:asciiTheme="majorBidi" w:hAnsiTheme="majorBidi" w:cstheme="majorBidi"/>
          <w:sz w:val="24"/>
          <w:szCs w:val="24"/>
        </w:rPr>
        <w:t xml:space="preserve"> to determine the Vickers Hardness Number (VHN). Indentations were made using a diamond pyramid indenter with a load of 50 gf and a dwell time of 15 s to assess the resistance to plastic deformation, reflecting the local mineralization and tissue maturity of the healed bone. </w:t>
      </w:r>
    </w:p>
    <w:p w14:paraId="04FFCD3C" w14:textId="4F550A49" w:rsidR="00E721C9" w:rsidRPr="000F6083" w:rsidRDefault="00E721C9" w:rsidP="000F6083">
      <w:pPr>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Data Analysis</w:t>
      </w:r>
    </w:p>
    <w:p w14:paraId="64713044" w14:textId="056D6B2F" w:rsidR="00E721C9" w:rsidRPr="000F6083" w:rsidRDefault="00E721C9"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Semi-quantitative radiographic scores generated from the assessment of callus formation, defect bridging, and cortical continuity were expressed as mean ± standard deviation (Mean ± SD) for each group at the respective time points. Comparisons among the four experimental groups (PRP, PRF, PRP+PRF, and control) were performed to evaluate differences in the progression of bone healing.</w:t>
      </w:r>
      <w:r w:rsidR="00123B2A" w:rsidRPr="000F6083">
        <w:rPr>
          <w:rFonts w:asciiTheme="majorBidi" w:hAnsiTheme="majorBidi" w:cstheme="majorBidi"/>
          <w:sz w:val="24"/>
          <w:szCs w:val="24"/>
        </w:rPr>
        <w:t xml:space="preserve"> The radiographic healing scores were compared among the groups at each time point to evaluate treatment-related differences in bone regeneration, as well as within groups over time to assess healing progression. Statistical analysis was performed using appropriate repeated-measures or generalized linear mixed-model approach to account for the effects of treatment and </w:t>
      </w:r>
      <w:r w:rsidR="00123B2A" w:rsidRPr="000F6083">
        <w:rPr>
          <w:rFonts w:asciiTheme="majorBidi" w:hAnsiTheme="majorBidi" w:cstheme="majorBidi"/>
          <w:sz w:val="24"/>
          <w:szCs w:val="24"/>
        </w:rPr>
        <w:lastRenderedPageBreak/>
        <w:t xml:space="preserve">time. Where significant overall differences were detected, post-hoc multiple comparisons were conducted to identify specific group differences. This approach allowed objective comparison of the extent and rate of bone regeneration among PRP, PRF, PRP+PRF, and control groups over the experimental period.  </w:t>
      </w:r>
    </w:p>
    <w:p w14:paraId="179278F9" w14:textId="7D3F820B" w:rsidR="00CC0DD6" w:rsidRPr="000F6083" w:rsidRDefault="00E721C9"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Biomechanical test data obtained from three-point bending analysis were also expressed as mean ± standard deviation, with corresponding minimum and maximum values calculated for each group. These parameters were compared across the four groups to determine treatment-related differences in bone strength and mineralization.</w:t>
      </w:r>
      <w:r w:rsidR="00300105" w:rsidRPr="000F6083">
        <w:rPr>
          <w:rFonts w:asciiTheme="majorBidi" w:hAnsiTheme="majorBidi" w:cstheme="majorBidi"/>
          <w:sz w:val="24"/>
          <w:szCs w:val="24"/>
        </w:rPr>
        <w:t xml:space="preserve"> </w:t>
      </w:r>
      <w:r w:rsidR="004055E8" w:rsidRPr="000F6083">
        <w:rPr>
          <w:rFonts w:asciiTheme="majorBidi" w:hAnsiTheme="majorBidi" w:cstheme="majorBidi"/>
          <w:sz w:val="24"/>
          <w:szCs w:val="24"/>
        </w:rPr>
        <w:t>Statistical analysis was carried out using one-way analysis of variance (ANOVA) to assess differences among groups. When significant differences were detected, Tukey’s post-hoc multiple comparison test was applied to identify specific intergroup differences. Statistical significance was set at p &lt; 0.05. All analyses were performed using SPSS version 29.0 (IBM Corp., Armonk, NY, USA).</w:t>
      </w:r>
      <w:r w:rsidR="00CC0DD6" w:rsidRPr="000F6083">
        <w:rPr>
          <w:rFonts w:asciiTheme="majorBidi" w:hAnsiTheme="majorBidi" w:cstheme="majorBidi"/>
          <w:sz w:val="24"/>
          <w:szCs w:val="24"/>
        </w:rPr>
        <w:t xml:space="preserve"> </w:t>
      </w:r>
    </w:p>
    <w:p w14:paraId="71A314B5" w14:textId="1082807C" w:rsidR="00461C8F" w:rsidRPr="000F6083" w:rsidRDefault="00E721C9" w:rsidP="000F6083">
      <w:pPr>
        <w:spacing w:line="480" w:lineRule="auto"/>
        <w:jc w:val="both"/>
        <w:rPr>
          <w:rFonts w:asciiTheme="majorBidi" w:hAnsiTheme="majorBidi" w:cstheme="majorBidi"/>
          <w:sz w:val="24"/>
          <w:szCs w:val="24"/>
        </w:rPr>
      </w:pPr>
      <w:r w:rsidRPr="000F6083">
        <w:rPr>
          <w:rFonts w:asciiTheme="majorBidi" w:hAnsiTheme="majorBidi" w:cstheme="majorBidi"/>
          <w:vanish/>
          <w:sz w:val="24"/>
          <w:szCs w:val="24"/>
        </w:rPr>
        <w:t>Top of Form</w:t>
      </w:r>
    </w:p>
    <w:p w14:paraId="75856E0A" w14:textId="77777777" w:rsidR="00461C8F" w:rsidRPr="000F6083" w:rsidRDefault="00461C8F" w:rsidP="000F6083">
      <w:pPr>
        <w:spacing w:line="480" w:lineRule="auto"/>
        <w:jc w:val="both"/>
        <w:rPr>
          <w:rFonts w:asciiTheme="majorBidi" w:hAnsiTheme="majorBidi" w:cstheme="majorBidi"/>
          <w:vanish/>
          <w:sz w:val="24"/>
          <w:szCs w:val="24"/>
        </w:rPr>
      </w:pPr>
    </w:p>
    <w:p w14:paraId="3AAB6EE4" w14:textId="77777777" w:rsidR="00E721C9" w:rsidRPr="000F6083" w:rsidRDefault="00E721C9" w:rsidP="000F6083">
      <w:pPr>
        <w:spacing w:line="480" w:lineRule="auto"/>
        <w:jc w:val="both"/>
        <w:rPr>
          <w:rFonts w:asciiTheme="majorBidi" w:hAnsiTheme="majorBidi" w:cstheme="majorBidi"/>
          <w:vanish/>
          <w:sz w:val="24"/>
          <w:szCs w:val="24"/>
        </w:rPr>
      </w:pPr>
      <w:r w:rsidRPr="000F6083">
        <w:rPr>
          <w:rFonts w:asciiTheme="majorBidi" w:hAnsiTheme="majorBidi" w:cstheme="majorBidi"/>
          <w:vanish/>
          <w:sz w:val="24"/>
          <w:szCs w:val="24"/>
        </w:rPr>
        <w:t>Bottom of Form</w:t>
      </w:r>
    </w:p>
    <w:p w14:paraId="244099BD" w14:textId="77777777" w:rsidR="00730B44" w:rsidRPr="000F6083" w:rsidRDefault="004F5898" w:rsidP="000F6083">
      <w:pPr>
        <w:spacing w:line="480" w:lineRule="auto"/>
        <w:jc w:val="both"/>
        <w:rPr>
          <w:rFonts w:asciiTheme="majorBidi" w:hAnsiTheme="majorBidi" w:cstheme="majorBidi"/>
          <w:b/>
          <w:sz w:val="24"/>
          <w:szCs w:val="24"/>
        </w:rPr>
      </w:pPr>
      <w:r w:rsidRPr="000F6083">
        <w:rPr>
          <w:rFonts w:asciiTheme="majorBidi" w:hAnsiTheme="majorBidi" w:cstheme="majorBidi"/>
          <w:b/>
          <w:sz w:val="24"/>
          <w:szCs w:val="24"/>
        </w:rPr>
        <w:t>RESULTS</w:t>
      </w:r>
    </w:p>
    <w:p w14:paraId="5D56B7E8" w14:textId="3472DDCA" w:rsidR="00B048A5" w:rsidRPr="000F6083" w:rsidRDefault="00B048A5" w:rsidP="000F6083">
      <w:pPr>
        <w:spacing w:before="100" w:beforeAutospacing="1" w:after="100" w:afterAutospacing="1" w:line="480" w:lineRule="auto"/>
        <w:jc w:val="both"/>
        <w:outlineLvl w:val="2"/>
        <w:rPr>
          <w:rFonts w:asciiTheme="majorBidi" w:eastAsia="Times New Roman" w:hAnsiTheme="majorBidi" w:cstheme="majorBidi"/>
          <w:b/>
          <w:bCs/>
          <w:sz w:val="24"/>
          <w:szCs w:val="24"/>
        </w:rPr>
      </w:pPr>
      <w:r w:rsidRPr="000F6083">
        <w:rPr>
          <w:rFonts w:asciiTheme="majorBidi" w:eastAsia="Times New Roman" w:hAnsiTheme="majorBidi" w:cstheme="majorBidi"/>
          <w:b/>
          <w:bCs/>
          <w:sz w:val="24"/>
          <w:szCs w:val="24"/>
        </w:rPr>
        <w:t xml:space="preserve">Radiographic </w:t>
      </w:r>
      <w:r w:rsidR="00CC0DD6" w:rsidRPr="000F6083">
        <w:rPr>
          <w:rFonts w:asciiTheme="majorBidi" w:eastAsia="Times New Roman" w:hAnsiTheme="majorBidi" w:cstheme="majorBidi"/>
          <w:b/>
          <w:bCs/>
          <w:sz w:val="24"/>
          <w:szCs w:val="24"/>
        </w:rPr>
        <w:t xml:space="preserve">healing assessment </w:t>
      </w:r>
    </w:p>
    <w:p w14:paraId="6F81A256" w14:textId="18318F78" w:rsidR="00A54F64" w:rsidRPr="000F6083" w:rsidRDefault="00A54F64" w:rsidP="000F6083">
      <w:pPr>
        <w:spacing w:before="100" w:beforeAutospacing="1" w:after="100" w:afterAutospacing="1" w:line="480" w:lineRule="auto"/>
        <w:jc w:val="both"/>
        <w:rPr>
          <w:rFonts w:asciiTheme="majorBidi" w:eastAsia="Times New Roman" w:hAnsiTheme="majorBidi" w:cstheme="majorBidi"/>
          <w:sz w:val="24"/>
          <w:szCs w:val="24"/>
        </w:rPr>
      </w:pPr>
      <w:r w:rsidRPr="000F6083">
        <w:rPr>
          <w:rFonts w:asciiTheme="majorBidi" w:eastAsia="Times New Roman" w:hAnsiTheme="majorBidi" w:cstheme="majorBidi"/>
          <w:sz w:val="24"/>
          <w:szCs w:val="24"/>
        </w:rPr>
        <w:t>Radiographic evaluation demonstrated progressive bone healing across all groups, although the rate and extent of regeneration varied with treatment. At week 0, all groups showed a sharply defined critical-sized ulna defect with no evidence of periosteal reaction or callus formation, confirming uniform defect creation (Plate 1). No statistically significant differences were observed among groups at baseline (p &gt; 0.05).</w:t>
      </w:r>
    </w:p>
    <w:p w14:paraId="5B3DBFFE" w14:textId="10018764" w:rsidR="00A54F64" w:rsidRPr="000F6083" w:rsidRDefault="00A54F64" w:rsidP="000F6083">
      <w:pPr>
        <w:spacing w:before="100" w:beforeAutospacing="1" w:after="100" w:afterAutospacing="1" w:line="480" w:lineRule="auto"/>
        <w:jc w:val="both"/>
        <w:rPr>
          <w:rFonts w:asciiTheme="majorBidi" w:eastAsia="Times New Roman" w:hAnsiTheme="majorBidi" w:cstheme="majorBidi"/>
          <w:sz w:val="24"/>
          <w:szCs w:val="24"/>
        </w:rPr>
      </w:pPr>
      <w:r w:rsidRPr="000F6083">
        <w:rPr>
          <w:rFonts w:asciiTheme="majorBidi" w:eastAsia="Times New Roman" w:hAnsiTheme="majorBidi" w:cstheme="majorBidi"/>
          <w:sz w:val="24"/>
          <w:szCs w:val="24"/>
        </w:rPr>
        <w:lastRenderedPageBreak/>
        <w:t>By week 4, early differences in healing became evident. Group A (PRP) exhibited faint periosteal reaction and early callus formation. Group B (PRF) showed more advanced healing with visible partial cortical bridging and denser callus formation. Group C (PRP+PRF) demonstrated early periosteal activity and callus formation comparable to PRF. In contrast, Group D (control) showed minimal to no periosteal response, with clearly demarcated defect margins (Plate 1). Radiographic scores in the PRF and PRP+PRF groups were significantly higher than those of the PRP and control groups (p &lt; 0.05), while all treated groups scored significantly higher than the control (p &lt; 0.001)</w:t>
      </w:r>
      <w:r w:rsidR="002F428D" w:rsidRPr="000F6083">
        <w:rPr>
          <w:rFonts w:asciiTheme="majorBidi" w:eastAsia="Times New Roman" w:hAnsiTheme="majorBidi" w:cstheme="majorBidi"/>
          <w:sz w:val="24"/>
          <w:szCs w:val="24"/>
        </w:rPr>
        <w:t>; table 1</w:t>
      </w:r>
      <w:r w:rsidRPr="000F6083">
        <w:rPr>
          <w:rFonts w:asciiTheme="majorBidi" w:eastAsia="Times New Roman" w:hAnsiTheme="majorBidi" w:cstheme="majorBidi"/>
          <w:sz w:val="24"/>
          <w:szCs w:val="24"/>
        </w:rPr>
        <w:t>.</w:t>
      </w:r>
    </w:p>
    <w:p w14:paraId="6FC23F2F" w14:textId="3EB75A24" w:rsidR="00CC0DD6" w:rsidRPr="000F6083" w:rsidRDefault="00CC0DD6" w:rsidP="000F6083">
      <w:pPr>
        <w:spacing w:after="0"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Table 1: Radiographic healing scores at 4, 8, and 12 weeks post-operation</w:t>
      </w:r>
    </w:p>
    <w:tbl>
      <w:tblPr>
        <w:tblStyle w:val="GridTable4-Accent3"/>
        <w:tblpPr w:leftFromText="180" w:rightFromText="180" w:vertAnchor="text" w:tblpY="894"/>
        <w:tblW w:w="9634" w:type="dxa"/>
        <w:tblLook w:val="04A0" w:firstRow="1" w:lastRow="0" w:firstColumn="1" w:lastColumn="0" w:noHBand="0" w:noVBand="1"/>
      </w:tblPr>
      <w:tblGrid>
        <w:gridCol w:w="2947"/>
        <w:gridCol w:w="907"/>
        <w:gridCol w:w="1927"/>
        <w:gridCol w:w="1927"/>
        <w:gridCol w:w="1926"/>
      </w:tblGrid>
      <w:tr w:rsidR="00CC0DD6" w:rsidRPr="000F6083" w14:paraId="48418357" w14:textId="77777777" w:rsidTr="00F10D1D">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947" w:type="dxa"/>
            <w:hideMark/>
          </w:tcPr>
          <w:p w14:paraId="09FED075"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Group</w:t>
            </w:r>
          </w:p>
        </w:tc>
        <w:tc>
          <w:tcPr>
            <w:tcW w:w="907" w:type="dxa"/>
            <w:hideMark/>
          </w:tcPr>
          <w:p w14:paraId="0F8FDF04" w14:textId="025C7502" w:rsidR="00CC0DD6" w:rsidRPr="000F6083" w:rsidRDefault="000F7214" w:rsidP="000F6083">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N=28</w:t>
            </w:r>
          </w:p>
        </w:tc>
        <w:tc>
          <w:tcPr>
            <w:tcW w:w="1927" w:type="dxa"/>
            <w:hideMark/>
          </w:tcPr>
          <w:p w14:paraId="1D6B4D02" w14:textId="77777777" w:rsidR="00CC0DD6" w:rsidRPr="000F6083" w:rsidRDefault="00CC0DD6" w:rsidP="000F6083">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Week 4</w:t>
            </w:r>
          </w:p>
        </w:tc>
        <w:tc>
          <w:tcPr>
            <w:tcW w:w="1927" w:type="dxa"/>
            <w:hideMark/>
          </w:tcPr>
          <w:p w14:paraId="3876142D" w14:textId="77777777" w:rsidR="00CC0DD6" w:rsidRPr="000F6083" w:rsidRDefault="00CC0DD6" w:rsidP="000F6083">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Week 8</w:t>
            </w:r>
          </w:p>
        </w:tc>
        <w:tc>
          <w:tcPr>
            <w:tcW w:w="1926" w:type="dxa"/>
            <w:hideMark/>
          </w:tcPr>
          <w:p w14:paraId="24F0E302" w14:textId="77777777" w:rsidR="00CC0DD6" w:rsidRPr="000F6083" w:rsidRDefault="00CC0DD6" w:rsidP="000F6083">
            <w:pPr>
              <w:spacing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Week 12</w:t>
            </w:r>
          </w:p>
        </w:tc>
      </w:tr>
      <w:tr w:rsidR="00CC0DD6" w:rsidRPr="000F6083" w14:paraId="2C378559" w14:textId="77777777" w:rsidTr="000F7214">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2947" w:type="dxa"/>
            <w:hideMark/>
          </w:tcPr>
          <w:p w14:paraId="1458829D"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Group A (PRP)</w:t>
            </w:r>
          </w:p>
        </w:tc>
        <w:tc>
          <w:tcPr>
            <w:tcW w:w="907" w:type="dxa"/>
            <w:hideMark/>
          </w:tcPr>
          <w:p w14:paraId="22978AFE"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7</w:t>
            </w:r>
          </w:p>
        </w:tc>
        <w:tc>
          <w:tcPr>
            <w:tcW w:w="1927" w:type="dxa"/>
            <w:hideMark/>
          </w:tcPr>
          <w:p w14:paraId="2ABBF077"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2.1 ± 0.4*</w:t>
            </w:r>
          </w:p>
        </w:tc>
        <w:tc>
          <w:tcPr>
            <w:tcW w:w="1927" w:type="dxa"/>
            <w:hideMark/>
          </w:tcPr>
          <w:p w14:paraId="0704D5EF"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4.8 ± 0.6*</w:t>
            </w:r>
          </w:p>
        </w:tc>
        <w:tc>
          <w:tcPr>
            <w:tcW w:w="1926" w:type="dxa"/>
            <w:hideMark/>
          </w:tcPr>
          <w:p w14:paraId="5F8FD6FD"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7.5 ± 0.8*</w:t>
            </w:r>
          </w:p>
        </w:tc>
      </w:tr>
      <w:tr w:rsidR="00CC0DD6" w:rsidRPr="000F6083" w14:paraId="134EBB6A" w14:textId="77777777" w:rsidTr="000F7214">
        <w:trPr>
          <w:trHeight w:val="562"/>
        </w:trPr>
        <w:tc>
          <w:tcPr>
            <w:cnfStyle w:val="001000000000" w:firstRow="0" w:lastRow="0" w:firstColumn="1" w:lastColumn="0" w:oddVBand="0" w:evenVBand="0" w:oddHBand="0" w:evenHBand="0" w:firstRowFirstColumn="0" w:firstRowLastColumn="0" w:lastRowFirstColumn="0" w:lastRowLastColumn="0"/>
            <w:tcW w:w="2947" w:type="dxa"/>
            <w:hideMark/>
          </w:tcPr>
          <w:p w14:paraId="69036E36"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Group B (PRF)</w:t>
            </w:r>
          </w:p>
        </w:tc>
        <w:tc>
          <w:tcPr>
            <w:tcW w:w="907" w:type="dxa"/>
            <w:hideMark/>
          </w:tcPr>
          <w:p w14:paraId="43A80760"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7</w:t>
            </w:r>
          </w:p>
        </w:tc>
        <w:tc>
          <w:tcPr>
            <w:tcW w:w="1927" w:type="dxa"/>
            <w:hideMark/>
          </w:tcPr>
          <w:p w14:paraId="202FCE16"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2.8 ± 0.5*</w:t>
            </w:r>
          </w:p>
        </w:tc>
        <w:tc>
          <w:tcPr>
            <w:tcW w:w="1927" w:type="dxa"/>
            <w:hideMark/>
          </w:tcPr>
          <w:p w14:paraId="6501DE28"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5.5 ± 0.7*</w:t>
            </w:r>
          </w:p>
        </w:tc>
        <w:tc>
          <w:tcPr>
            <w:tcW w:w="1926" w:type="dxa"/>
            <w:hideMark/>
          </w:tcPr>
          <w:p w14:paraId="13B49F44"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8.8 ± 0.9*</w:t>
            </w:r>
          </w:p>
        </w:tc>
      </w:tr>
      <w:tr w:rsidR="00CC0DD6" w:rsidRPr="000F6083" w14:paraId="5B1C17D2" w14:textId="77777777" w:rsidTr="000F7214">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2947" w:type="dxa"/>
            <w:hideMark/>
          </w:tcPr>
          <w:p w14:paraId="4E787E77"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Group C</w:t>
            </w:r>
          </w:p>
          <w:p w14:paraId="7F987477"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 xml:space="preserve"> (Combination)</w:t>
            </w:r>
          </w:p>
        </w:tc>
        <w:tc>
          <w:tcPr>
            <w:tcW w:w="907" w:type="dxa"/>
            <w:hideMark/>
          </w:tcPr>
          <w:p w14:paraId="16B90640"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7</w:t>
            </w:r>
          </w:p>
        </w:tc>
        <w:tc>
          <w:tcPr>
            <w:tcW w:w="1927" w:type="dxa"/>
            <w:hideMark/>
          </w:tcPr>
          <w:p w14:paraId="53317308"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4.2 ± 0.6**</w:t>
            </w:r>
          </w:p>
        </w:tc>
        <w:tc>
          <w:tcPr>
            <w:tcW w:w="1927" w:type="dxa"/>
            <w:hideMark/>
          </w:tcPr>
          <w:p w14:paraId="2B16D313"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7.9 ± 0.8**</w:t>
            </w:r>
          </w:p>
        </w:tc>
        <w:tc>
          <w:tcPr>
            <w:tcW w:w="1926" w:type="dxa"/>
            <w:hideMark/>
          </w:tcPr>
          <w:p w14:paraId="25AC3939" w14:textId="77777777" w:rsidR="00CC0DD6" w:rsidRPr="000F6083" w:rsidRDefault="00CC0DD6" w:rsidP="000F6083">
            <w:pPr>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10.5 ± 1.1**</w:t>
            </w:r>
          </w:p>
        </w:tc>
      </w:tr>
      <w:tr w:rsidR="00CC0DD6" w:rsidRPr="000F6083" w14:paraId="5ACD39EE" w14:textId="77777777" w:rsidTr="000F7214">
        <w:trPr>
          <w:trHeight w:val="564"/>
        </w:trPr>
        <w:tc>
          <w:tcPr>
            <w:cnfStyle w:val="001000000000" w:firstRow="0" w:lastRow="0" w:firstColumn="1" w:lastColumn="0" w:oddVBand="0" w:evenVBand="0" w:oddHBand="0" w:evenHBand="0" w:firstRowFirstColumn="0" w:firstRowLastColumn="0" w:lastRowFirstColumn="0" w:lastRowLastColumn="0"/>
            <w:tcW w:w="2947" w:type="dxa"/>
            <w:hideMark/>
          </w:tcPr>
          <w:p w14:paraId="5FCAC481"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Group D</w:t>
            </w:r>
          </w:p>
          <w:p w14:paraId="00E17451" w14:textId="77777777" w:rsidR="00CC0DD6" w:rsidRPr="000F6083" w:rsidRDefault="00CC0DD6" w:rsidP="000F6083">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 xml:space="preserve"> (Control)</w:t>
            </w:r>
          </w:p>
        </w:tc>
        <w:tc>
          <w:tcPr>
            <w:tcW w:w="907" w:type="dxa"/>
            <w:hideMark/>
          </w:tcPr>
          <w:p w14:paraId="6437E6AB"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7</w:t>
            </w:r>
          </w:p>
        </w:tc>
        <w:tc>
          <w:tcPr>
            <w:tcW w:w="1927" w:type="dxa"/>
            <w:hideMark/>
          </w:tcPr>
          <w:p w14:paraId="4F992482"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0.8 ± 0.2</w:t>
            </w:r>
          </w:p>
        </w:tc>
        <w:tc>
          <w:tcPr>
            <w:tcW w:w="1927" w:type="dxa"/>
            <w:hideMark/>
          </w:tcPr>
          <w:p w14:paraId="411A743B"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1.5 ± 0.3</w:t>
            </w:r>
          </w:p>
        </w:tc>
        <w:tc>
          <w:tcPr>
            <w:tcW w:w="1926" w:type="dxa"/>
            <w:hideMark/>
          </w:tcPr>
          <w:p w14:paraId="2EE9CF94" w14:textId="77777777" w:rsidR="00CC0DD6" w:rsidRPr="000F6083" w:rsidRDefault="00CC0DD6" w:rsidP="000F6083">
            <w:pPr>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b/>
                <w:bCs/>
                <w:sz w:val="24"/>
                <w:szCs w:val="24"/>
              </w:rPr>
              <w:t>2.4 ± 0.5</w:t>
            </w:r>
          </w:p>
        </w:tc>
      </w:tr>
    </w:tbl>
    <w:p w14:paraId="0E343F26" w14:textId="77777777" w:rsidR="00CC0DD6" w:rsidRPr="000F6083" w:rsidRDefault="00CC0DD6" w:rsidP="000F6083">
      <w:pPr>
        <w:spacing w:line="480" w:lineRule="auto"/>
        <w:jc w:val="both"/>
        <w:rPr>
          <w:rFonts w:asciiTheme="majorBidi" w:hAnsiTheme="majorBidi" w:cstheme="majorBidi"/>
          <w:b/>
          <w:bCs/>
          <w:sz w:val="24"/>
          <w:szCs w:val="24"/>
        </w:rPr>
      </w:pPr>
    </w:p>
    <w:p w14:paraId="112AF9D0" w14:textId="5AC619CE" w:rsidR="00CC0DD6" w:rsidRPr="000F6083" w:rsidRDefault="009741E5" w:rsidP="000F6083">
      <w:pPr>
        <w:spacing w:before="100" w:beforeAutospacing="1" w:after="100" w:afterAutospacing="1" w:line="480" w:lineRule="auto"/>
        <w:jc w:val="both"/>
        <w:rPr>
          <w:rFonts w:asciiTheme="majorBidi" w:eastAsia="Times New Roman" w:hAnsiTheme="majorBidi" w:cstheme="majorBidi"/>
          <w:sz w:val="24"/>
          <w:szCs w:val="24"/>
        </w:rPr>
      </w:pPr>
      <w:r w:rsidRPr="000F6083">
        <w:rPr>
          <w:rFonts w:asciiTheme="majorBidi" w:hAnsiTheme="majorBidi" w:cstheme="majorBidi"/>
          <w:sz w:val="24"/>
          <w:szCs w:val="24"/>
        </w:rPr>
        <w:t>Differences were considered statistically significant at p &lt; 0.05, in the table, symbols (*, **, and ***) indicate statistically significant differences relative to the control group or among treatment groups, with higher scores reflecting improved radiographic bone healing.</w:t>
      </w:r>
    </w:p>
    <w:p w14:paraId="6AFB62B1" w14:textId="7484FC82" w:rsidR="00A54F64" w:rsidRPr="000F6083" w:rsidRDefault="00A54F64" w:rsidP="000F6083">
      <w:pPr>
        <w:spacing w:before="100" w:beforeAutospacing="1" w:after="100" w:afterAutospacing="1" w:line="480" w:lineRule="auto"/>
        <w:jc w:val="both"/>
        <w:rPr>
          <w:rFonts w:asciiTheme="majorBidi" w:eastAsia="Times New Roman" w:hAnsiTheme="majorBidi" w:cstheme="majorBidi"/>
          <w:sz w:val="24"/>
          <w:szCs w:val="24"/>
        </w:rPr>
      </w:pPr>
      <w:r w:rsidRPr="000F6083">
        <w:rPr>
          <w:rFonts w:asciiTheme="majorBidi" w:eastAsia="Times New Roman" w:hAnsiTheme="majorBidi" w:cstheme="majorBidi"/>
          <w:sz w:val="24"/>
          <w:szCs w:val="24"/>
        </w:rPr>
        <w:lastRenderedPageBreak/>
        <w:t>At week 8, healing progressed further in the treated groups</w:t>
      </w:r>
      <w:r w:rsidR="009741E5" w:rsidRPr="000F6083">
        <w:rPr>
          <w:rFonts w:asciiTheme="majorBidi" w:eastAsia="Times New Roman" w:hAnsiTheme="majorBidi" w:cstheme="majorBidi"/>
          <w:sz w:val="24"/>
          <w:szCs w:val="24"/>
        </w:rPr>
        <w:t xml:space="preserve"> (table 1)</w:t>
      </w:r>
      <w:r w:rsidRPr="000F6083">
        <w:rPr>
          <w:rFonts w:asciiTheme="majorBidi" w:eastAsia="Times New Roman" w:hAnsiTheme="majorBidi" w:cstheme="majorBidi"/>
          <w:sz w:val="24"/>
          <w:szCs w:val="24"/>
        </w:rPr>
        <w:t>. The PRP group displayed partial cortical bridging with moderate callus development. Both PRF and PRP+PRF groups exhibited marked cortical bridging and increased callus density, indicating more advanced bone regeneration. The control group showed only faint callus formation without effective bridging (Plate 1). Radiographic scores for PRF and PRP+PRF were significantly higher than those of PRP (p &lt; 0.05) and the control group (p &lt; 0.001), while PRP also differed significantly from the control (p &lt; 0.05)</w:t>
      </w:r>
      <w:r w:rsidR="009741E5" w:rsidRPr="000F6083">
        <w:rPr>
          <w:rFonts w:asciiTheme="majorBidi" w:eastAsia="Times New Roman" w:hAnsiTheme="majorBidi" w:cstheme="majorBidi"/>
          <w:sz w:val="24"/>
          <w:szCs w:val="24"/>
        </w:rPr>
        <w:t xml:space="preserve"> (table 1)</w:t>
      </w:r>
      <w:r w:rsidRPr="000F6083">
        <w:rPr>
          <w:rFonts w:asciiTheme="majorBidi" w:eastAsia="Times New Roman" w:hAnsiTheme="majorBidi" w:cstheme="majorBidi"/>
          <w:sz w:val="24"/>
          <w:szCs w:val="24"/>
        </w:rPr>
        <w:t>.</w:t>
      </w:r>
    </w:p>
    <w:p w14:paraId="2C00FD8D" w14:textId="3C4841DE" w:rsidR="00A54F64" w:rsidRPr="000F6083" w:rsidRDefault="00A54F64" w:rsidP="000F6083">
      <w:pPr>
        <w:spacing w:before="100" w:beforeAutospacing="1" w:after="100" w:afterAutospacing="1" w:line="480" w:lineRule="auto"/>
        <w:jc w:val="both"/>
        <w:rPr>
          <w:rFonts w:asciiTheme="majorBidi" w:eastAsia="Times New Roman" w:hAnsiTheme="majorBidi" w:cstheme="majorBidi"/>
          <w:sz w:val="24"/>
          <w:szCs w:val="24"/>
        </w:rPr>
      </w:pPr>
      <w:r w:rsidRPr="000F6083">
        <w:rPr>
          <w:rFonts w:asciiTheme="majorBidi" w:eastAsia="Times New Roman" w:hAnsiTheme="majorBidi" w:cstheme="majorBidi"/>
          <w:sz w:val="24"/>
          <w:szCs w:val="24"/>
        </w:rPr>
        <w:t>By week 12, near-complete cortical continuity was observed in the PRP group, reflecting steady but moderate healing. Complete cortical continuity was evident in both PRF and PRP+PRF groups, whereas the control group demonstrated only partial bridging with persistent defect gaps. Radiographic scores were highest (Plate 1) in the PRF and PRP+PRF groups and were significantly greater than those of the PRP and control groups (p &lt; 0.001). No statistically significant difference was detected between the PRF and PRP+PRF groups at this time point (p &gt; 0.05)</w:t>
      </w:r>
      <w:r w:rsidR="009741E5" w:rsidRPr="000F6083">
        <w:rPr>
          <w:rFonts w:asciiTheme="majorBidi" w:eastAsia="Times New Roman" w:hAnsiTheme="majorBidi" w:cstheme="majorBidi"/>
          <w:sz w:val="24"/>
          <w:szCs w:val="24"/>
        </w:rPr>
        <w:t xml:space="preserve"> (table 1)</w:t>
      </w:r>
      <w:r w:rsidRPr="000F6083">
        <w:rPr>
          <w:rFonts w:asciiTheme="majorBidi" w:eastAsia="Times New Roman" w:hAnsiTheme="majorBidi" w:cstheme="majorBidi"/>
          <w:sz w:val="24"/>
          <w:szCs w:val="24"/>
        </w:rPr>
        <w:t>.</w:t>
      </w:r>
    </w:p>
    <w:p w14:paraId="58E2BD7B" w14:textId="77777777" w:rsidR="009741E5" w:rsidRPr="000F6083" w:rsidRDefault="009741E5" w:rsidP="000F6083">
      <w:pPr>
        <w:spacing w:before="100" w:beforeAutospacing="1" w:after="100" w:afterAutospacing="1" w:line="480" w:lineRule="auto"/>
        <w:jc w:val="both"/>
        <w:rPr>
          <w:rFonts w:asciiTheme="majorBidi" w:eastAsia="Times New Roman" w:hAnsiTheme="majorBidi" w:cstheme="majorBidi"/>
          <w:sz w:val="24"/>
          <w:szCs w:val="24"/>
        </w:rPr>
      </w:pPr>
    </w:p>
    <w:p w14:paraId="428E1A7B" w14:textId="0CB19C82" w:rsidR="004C1359" w:rsidRPr="000F6083" w:rsidRDefault="004C1359" w:rsidP="000F6083">
      <w:pPr>
        <w:pStyle w:val="NormalWeb"/>
        <w:spacing w:line="480" w:lineRule="auto"/>
        <w:jc w:val="both"/>
        <w:rPr>
          <w:rFonts w:asciiTheme="majorBidi" w:hAnsiTheme="majorBidi" w:cstheme="majorBidi"/>
        </w:rPr>
      </w:pPr>
      <w:r w:rsidRPr="000F6083">
        <w:rPr>
          <w:rFonts w:asciiTheme="majorBidi" w:hAnsiTheme="majorBidi" w:cstheme="majorBidi"/>
        </w:rPr>
        <w:lastRenderedPageBreak/>
        <w:t xml:space="preserve">                      </w:t>
      </w:r>
      <w:r w:rsidRPr="000F6083">
        <w:rPr>
          <w:rFonts w:asciiTheme="majorBidi" w:hAnsiTheme="majorBidi" w:cstheme="majorBidi"/>
          <w:noProof/>
        </w:rPr>
        <w:drawing>
          <wp:inline distT="0" distB="0" distL="0" distR="0" wp14:anchorId="11746316" wp14:editId="390A0082">
            <wp:extent cx="4541122" cy="4808220"/>
            <wp:effectExtent l="0" t="0" r="0" b="0"/>
            <wp:docPr id="829864129" name="Picture 7"/>
            <wp:cNvGraphicFramePr/>
            <a:graphic xmlns:a="http://schemas.openxmlformats.org/drawingml/2006/main">
              <a:graphicData uri="http://schemas.openxmlformats.org/drawingml/2006/picture">
                <pic:pic xmlns:pic="http://schemas.openxmlformats.org/drawingml/2006/picture">
                  <pic:nvPicPr>
                    <pic:cNvPr id="8" name="Picture 7"/>
                    <pic:cNvPicPr/>
                  </pic:nvPicPr>
                  <pic:blipFill rotWithShape="1">
                    <a:blip r:embed="rId8"/>
                    <a:srcRect l="23205" t="22564" r="45000" b="12706"/>
                    <a:stretch/>
                  </pic:blipFill>
                  <pic:spPr bwMode="auto">
                    <a:xfrm>
                      <a:off x="0" y="0"/>
                      <a:ext cx="4545414" cy="4812765"/>
                    </a:xfrm>
                    <a:prstGeom prst="rect">
                      <a:avLst/>
                    </a:prstGeom>
                    <a:ln>
                      <a:noFill/>
                    </a:ln>
                    <a:extLst>
                      <a:ext uri="{53640926-AAD7-44D8-BBD7-CCE9431645EC}">
                        <a14:shadowObscured xmlns:a14="http://schemas.microsoft.com/office/drawing/2010/main"/>
                      </a:ext>
                    </a:extLst>
                  </pic:spPr>
                </pic:pic>
              </a:graphicData>
            </a:graphic>
          </wp:inline>
        </w:drawing>
      </w:r>
    </w:p>
    <w:p w14:paraId="5881A30C" w14:textId="2C44286F" w:rsidR="00A54F64" w:rsidRPr="000F6083" w:rsidRDefault="00A54F64" w:rsidP="000F6083">
      <w:pPr>
        <w:spacing w:line="480" w:lineRule="auto"/>
        <w:jc w:val="both"/>
        <w:rPr>
          <w:rFonts w:asciiTheme="majorBidi" w:hAnsiTheme="majorBidi" w:cstheme="majorBidi"/>
          <w:sz w:val="24"/>
          <w:szCs w:val="24"/>
        </w:rPr>
      </w:pPr>
      <w:r w:rsidRPr="000F6083">
        <w:rPr>
          <w:rFonts w:asciiTheme="majorBidi" w:hAnsiTheme="majorBidi" w:cstheme="majorBidi"/>
          <w:b/>
          <w:bCs/>
          <w:sz w:val="24"/>
          <w:szCs w:val="24"/>
        </w:rPr>
        <w:t>Plate 1: Radiographic assessment of the healing of critical ulna defects in groups A (PRP), B (PRF), C (PRP+PRF), and D (Control) at weeks 0, 4, 8, and 12.</w:t>
      </w:r>
    </w:p>
    <w:p w14:paraId="2BDC8A64" w14:textId="77777777" w:rsidR="009741E5" w:rsidRPr="000F6083" w:rsidRDefault="009741E5" w:rsidP="000F6083">
      <w:pPr>
        <w:tabs>
          <w:tab w:val="left" w:pos="1956"/>
        </w:tabs>
        <w:spacing w:line="480" w:lineRule="auto"/>
        <w:jc w:val="both"/>
        <w:rPr>
          <w:rFonts w:asciiTheme="majorBidi" w:hAnsiTheme="majorBidi" w:cstheme="majorBidi"/>
          <w:b/>
          <w:bCs/>
          <w:sz w:val="24"/>
          <w:szCs w:val="24"/>
        </w:rPr>
      </w:pPr>
    </w:p>
    <w:p w14:paraId="58D5FBEA" w14:textId="5A6D3D7B" w:rsidR="004F5898" w:rsidRPr="000F6083" w:rsidRDefault="004F5898" w:rsidP="000F6083">
      <w:pPr>
        <w:tabs>
          <w:tab w:val="left" w:pos="1956"/>
        </w:tabs>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t xml:space="preserve">Biomechanical </w:t>
      </w:r>
      <w:r w:rsidR="0027096E" w:rsidRPr="000F6083">
        <w:rPr>
          <w:rFonts w:asciiTheme="majorBidi" w:hAnsiTheme="majorBidi" w:cstheme="majorBidi"/>
          <w:b/>
          <w:bCs/>
          <w:sz w:val="24"/>
          <w:szCs w:val="24"/>
        </w:rPr>
        <w:t>strength</w:t>
      </w:r>
    </w:p>
    <w:p w14:paraId="242E125B" w14:textId="63EA03C9" w:rsidR="004F5898" w:rsidRPr="000F6083" w:rsidRDefault="004F5898" w:rsidP="000F6083">
      <w:pPr>
        <w:tabs>
          <w:tab w:val="left" w:pos="1956"/>
        </w:tabs>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At 12</w:t>
      </w:r>
      <w:r w:rsidR="0027096E" w:rsidRPr="000F6083">
        <w:rPr>
          <w:rFonts w:asciiTheme="majorBidi" w:hAnsiTheme="majorBidi" w:cstheme="majorBidi"/>
          <w:bCs/>
          <w:sz w:val="24"/>
          <w:szCs w:val="24"/>
        </w:rPr>
        <w:t>-</w:t>
      </w:r>
      <w:r w:rsidRPr="000F6083">
        <w:rPr>
          <w:rFonts w:asciiTheme="majorBidi" w:hAnsiTheme="majorBidi" w:cstheme="majorBidi"/>
          <w:bCs/>
          <w:sz w:val="24"/>
          <w:szCs w:val="24"/>
        </w:rPr>
        <w:t xml:space="preserve">week post-surgery, Vickers hardness testing was performed to evaluate the degree of bone mineralization across the different experimental groups. The control group (Group D) recorded the lowest mean hardness value at 118.3 ±1.53, with a narrow range of 117–120 HV. This suggested poor and consistently low mineralization in untreated defects. In contrast, Group A (treated with </w:t>
      </w:r>
      <w:r w:rsidRPr="000F6083">
        <w:rPr>
          <w:rFonts w:asciiTheme="majorBidi" w:hAnsiTheme="majorBidi" w:cstheme="majorBidi"/>
          <w:bCs/>
          <w:sz w:val="24"/>
          <w:szCs w:val="24"/>
        </w:rPr>
        <w:lastRenderedPageBreak/>
        <w:t>PRP</w:t>
      </w:r>
      <w:r w:rsidR="0027096E" w:rsidRPr="000F6083">
        <w:rPr>
          <w:rFonts w:asciiTheme="majorBidi" w:hAnsiTheme="majorBidi" w:cstheme="majorBidi"/>
          <w:bCs/>
          <w:sz w:val="24"/>
          <w:szCs w:val="24"/>
        </w:rPr>
        <w:t xml:space="preserve"> alone</w:t>
      </w:r>
      <w:r w:rsidRPr="000F6083">
        <w:rPr>
          <w:rFonts w:asciiTheme="majorBidi" w:hAnsiTheme="majorBidi" w:cstheme="majorBidi"/>
          <w:bCs/>
          <w:sz w:val="24"/>
          <w:szCs w:val="24"/>
        </w:rPr>
        <w:t>) demonstrated a moderate improvement, with a mean hardness value of 129.3 ±5.47 and a broader range of 123–136 HV, reflecting more variable mineralization outcomes</w:t>
      </w:r>
      <w:r w:rsidR="00B87A82" w:rsidRPr="000F6083">
        <w:rPr>
          <w:rFonts w:asciiTheme="majorBidi" w:hAnsiTheme="majorBidi" w:cstheme="majorBidi"/>
          <w:bCs/>
          <w:sz w:val="24"/>
          <w:szCs w:val="24"/>
        </w:rPr>
        <w:t xml:space="preserve"> </w:t>
      </w:r>
      <w:r w:rsidR="00B87A82" w:rsidRPr="000F6083">
        <w:rPr>
          <w:rFonts w:asciiTheme="majorBidi" w:eastAsia="Times New Roman" w:hAnsiTheme="majorBidi" w:cstheme="majorBidi"/>
          <w:sz w:val="24"/>
          <w:szCs w:val="24"/>
        </w:rPr>
        <w:t>(table 2)</w:t>
      </w:r>
      <w:r w:rsidRPr="000F6083">
        <w:rPr>
          <w:rFonts w:asciiTheme="majorBidi" w:hAnsiTheme="majorBidi" w:cstheme="majorBidi"/>
          <w:bCs/>
          <w:sz w:val="24"/>
          <w:szCs w:val="24"/>
        </w:rPr>
        <w:t>.</w:t>
      </w:r>
    </w:p>
    <w:p w14:paraId="1682F870" w14:textId="0CDA92D5" w:rsidR="004F5898" w:rsidRPr="000F6083" w:rsidRDefault="004F5898" w:rsidP="000F6083">
      <w:pPr>
        <w:tabs>
          <w:tab w:val="left" w:pos="1956"/>
        </w:tabs>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Group B (PRF-treated</w:t>
      </w:r>
      <w:r w:rsidR="0027096E" w:rsidRPr="000F6083">
        <w:rPr>
          <w:rFonts w:asciiTheme="majorBidi" w:hAnsiTheme="majorBidi" w:cstheme="majorBidi"/>
          <w:bCs/>
          <w:sz w:val="24"/>
          <w:szCs w:val="24"/>
        </w:rPr>
        <w:t xml:space="preserve"> alone</w:t>
      </w:r>
      <w:r w:rsidRPr="000F6083">
        <w:rPr>
          <w:rFonts w:asciiTheme="majorBidi" w:hAnsiTheme="majorBidi" w:cstheme="majorBidi"/>
          <w:bCs/>
          <w:sz w:val="24"/>
          <w:szCs w:val="24"/>
        </w:rPr>
        <w:t>) exhibited a significantly higher mean hardness of 145.5 ±2.43, with a tighter range of 142–149 HV, indicating a more consistent and elevated level of bone mineralization. Group C (PRP+PRF) recorded the highest hardness values, with a mean of 158.2±5.95 and a range of 151–165 HV, clearly reflecting the most advanced mineralization among all groups</w:t>
      </w:r>
      <w:r w:rsidR="00B87A82" w:rsidRPr="000F6083">
        <w:rPr>
          <w:rFonts w:asciiTheme="majorBidi" w:hAnsiTheme="majorBidi" w:cstheme="majorBidi"/>
          <w:bCs/>
          <w:sz w:val="24"/>
          <w:szCs w:val="24"/>
        </w:rPr>
        <w:t xml:space="preserve"> </w:t>
      </w:r>
      <w:r w:rsidR="00B87A82" w:rsidRPr="000F6083">
        <w:rPr>
          <w:rFonts w:asciiTheme="majorBidi" w:eastAsia="Times New Roman" w:hAnsiTheme="majorBidi" w:cstheme="majorBidi"/>
          <w:sz w:val="24"/>
          <w:szCs w:val="24"/>
        </w:rPr>
        <w:t>(table 2)</w:t>
      </w:r>
      <w:r w:rsidRPr="000F6083">
        <w:rPr>
          <w:rFonts w:asciiTheme="majorBidi" w:hAnsiTheme="majorBidi" w:cstheme="majorBidi"/>
          <w:bCs/>
          <w:sz w:val="24"/>
          <w:szCs w:val="24"/>
        </w:rPr>
        <w:t>.</w:t>
      </w:r>
    </w:p>
    <w:p w14:paraId="3F50F090" w14:textId="4BACEC98" w:rsidR="004F5898" w:rsidRPr="000F6083" w:rsidRDefault="004F5898" w:rsidP="000F6083">
      <w:pPr>
        <w:tabs>
          <w:tab w:val="left" w:pos="1956"/>
        </w:tabs>
        <w:spacing w:line="480" w:lineRule="auto"/>
        <w:jc w:val="both"/>
        <w:rPr>
          <w:rFonts w:asciiTheme="majorBidi" w:hAnsiTheme="majorBidi" w:cstheme="majorBidi"/>
          <w:bCs/>
          <w:sz w:val="24"/>
          <w:szCs w:val="24"/>
        </w:rPr>
      </w:pPr>
      <w:r w:rsidRPr="000F6083">
        <w:rPr>
          <w:rFonts w:asciiTheme="majorBidi" w:hAnsiTheme="majorBidi" w:cstheme="majorBidi"/>
          <w:bCs/>
          <w:sz w:val="24"/>
          <w:szCs w:val="24"/>
        </w:rPr>
        <w:t xml:space="preserve">Statistical analysis using Welch’s one-way ANOVA showed that the observed differences in hardness values among the groups were </w:t>
      </w:r>
      <w:r w:rsidR="003B016B" w:rsidRPr="000F6083">
        <w:rPr>
          <w:rFonts w:asciiTheme="majorBidi" w:hAnsiTheme="majorBidi" w:cstheme="majorBidi"/>
          <w:bCs/>
          <w:sz w:val="24"/>
          <w:szCs w:val="24"/>
        </w:rPr>
        <w:t>significant p</w:t>
      </w:r>
      <w:r w:rsidRPr="000F6083">
        <w:rPr>
          <w:rFonts w:asciiTheme="majorBidi" w:hAnsiTheme="majorBidi" w:cstheme="majorBidi"/>
          <w:bCs/>
          <w:sz w:val="24"/>
          <w:szCs w:val="24"/>
        </w:rPr>
        <w:t xml:space="preserve"> = 0.001. Post hoc analysis using the Tukey test revealed significant differences in mean hardness between Group C and Group D (p &lt; 0.001), and between Group C and Group A (p &lt; 0.001), indicating that the combination of PRP and PRF significantly enhanced bone hardness relative to both the untreated control and PRP alone. A borderline non-significant difference was observed between Group C and Group B (p = 0.065), suggesting that PRP+PRF may offer a marginal improvement over PRF alone. Furthermore, Group B showed a significantly higher hardness than the control (p &lt; 0.001) and was moderately higher than Group A (p = 0.022). However, the difference between Group A and Group D was not significant (p = 0.114), indicating that PRP alone did not markedly improve bone hardness compared to the untreated group.</w:t>
      </w:r>
    </w:p>
    <w:p w14:paraId="11EC8E1F" w14:textId="77777777" w:rsidR="00B87A82" w:rsidRPr="000F6083" w:rsidRDefault="00B87A82" w:rsidP="000F6083">
      <w:pPr>
        <w:tabs>
          <w:tab w:val="left" w:pos="1956"/>
        </w:tabs>
        <w:spacing w:line="480" w:lineRule="auto"/>
        <w:jc w:val="both"/>
        <w:rPr>
          <w:rFonts w:asciiTheme="majorBidi" w:hAnsiTheme="majorBidi" w:cstheme="majorBidi"/>
          <w:bCs/>
          <w:sz w:val="24"/>
          <w:szCs w:val="24"/>
        </w:rPr>
      </w:pPr>
    </w:p>
    <w:p w14:paraId="66D8A0E0" w14:textId="77777777" w:rsidR="00B87A82" w:rsidRPr="000F6083" w:rsidRDefault="00B87A82" w:rsidP="000F6083">
      <w:pPr>
        <w:tabs>
          <w:tab w:val="left" w:pos="1956"/>
        </w:tabs>
        <w:spacing w:line="480" w:lineRule="auto"/>
        <w:jc w:val="both"/>
        <w:rPr>
          <w:rFonts w:asciiTheme="majorBidi" w:hAnsiTheme="majorBidi" w:cstheme="majorBidi"/>
          <w:bCs/>
          <w:sz w:val="24"/>
          <w:szCs w:val="24"/>
        </w:rPr>
      </w:pPr>
    </w:p>
    <w:p w14:paraId="204B1C80" w14:textId="77777777" w:rsidR="00B87A82" w:rsidRPr="000F6083" w:rsidRDefault="00B87A82" w:rsidP="000F6083">
      <w:pPr>
        <w:tabs>
          <w:tab w:val="left" w:pos="1956"/>
        </w:tabs>
        <w:spacing w:line="480" w:lineRule="auto"/>
        <w:jc w:val="both"/>
        <w:rPr>
          <w:rFonts w:asciiTheme="majorBidi" w:hAnsiTheme="majorBidi" w:cstheme="majorBidi"/>
          <w:bCs/>
          <w:sz w:val="24"/>
          <w:szCs w:val="24"/>
        </w:rPr>
      </w:pPr>
    </w:p>
    <w:p w14:paraId="1F2996F6" w14:textId="3F017BB8" w:rsidR="004F5898" w:rsidRPr="000F6083" w:rsidRDefault="0029142F" w:rsidP="000F6083">
      <w:pPr>
        <w:tabs>
          <w:tab w:val="left" w:pos="1956"/>
        </w:tabs>
        <w:spacing w:line="480" w:lineRule="auto"/>
        <w:jc w:val="both"/>
        <w:rPr>
          <w:rFonts w:asciiTheme="majorBidi" w:hAnsiTheme="majorBidi" w:cstheme="majorBidi"/>
          <w:b/>
          <w:bCs/>
          <w:sz w:val="24"/>
          <w:szCs w:val="24"/>
        </w:rPr>
      </w:pPr>
      <w:r w:rsidRPr="000F6083">
        <w:rPr>
          <w:rFonts w:asciiTheme="majorBidi" w:hAnsiTheme="majorBidi" w:cstheme="majorBidi"/>
          <w:b/>
          <w:bCs/>
          <w:sz w:val="24"/>
          <w:szCs w:val="24"/>
        </w:rPr>
        <w:lastRenderedPageBreak/>
        <w:t>Table</w:t>
      </w:r>
      <w:r w:rsidR="00461C8F" w:rsidRPr="000F6083">
        <w:rPr>
          <w:rFonts w:asciiTheme="majorBidi" w:hAnsiTheme="majorBidi" w:cstheme="majorBidi"/>
          <w:b/>
          <w:bCs/>
          <w:sz w:val="24"/>
          <w:szCs w:val="24"/>
        </w:rPr>
        <w:t xml:space="preserve"> 2</w:t>
      </w:r>
      <w:r w:rsidRPr="000F6083">
        <w:rPr>
          <w:rFonts w:asciiTheme="majorBidi" w:hAnsiTheme="majorBidi" w:cstheme="majorBidi"/>
          <w:b/>
          <w:bCs/>
          <w:sz w:val="24"/>
          <w:szCs w:val="24"/>
        </w:rPr>
        <w:t xml:space="preserve">: </w:t>
      </w:r>
      <w:r w:rsidR="00461C8F" w:rsidRPr="000F6083">
        <w:rPr>
          <w:rFonts w:asciiTheme="majorBidi" w:hAnsiTheme="majorBidi" w:cstheme="majorBidi"/>
          <w:b/>
          <w:bCs/>
          <w:sz w:val="24"/>
          <w:szCs w:val="24"/>
        </w:rPr>
        <w:t>Biomechanical evaluation of bone mineralization using Vickers hardness (HV) at 12 weeks post-operation</w:t>
      </w:r>
    </w:p>
    <w:tbl>
      <w:tblPr>
        <w:tblStyle w:val="LightShading-Accent3"/>
        <w:tblW w:w="0" w:type="auto"/>
        <w:tblLayout w:type="fixed"/>
        <w:tblLook w:val="04A0" w:firstRow="1" w:lastRow="0" w:firstColumn="1" w:lastColumn="0" w:noHBand="0" w:noVBand="1"/>
      </w:tblPr>
      <w:tblGrid>
        <w:gridCol w:w="977"/>
        <w:gridCol w:w="1440"/>
        <w:gridCol w:w="2070"/>
        <w:gridCol w:w="1170"/>
        <w:gridCol w:w="1260"/>
        <w:gridCol w:w="2610"/>
      </w:tblGrid>
      <w:tr w:rsidR="004F5898" w:rsidRPr="000F6083" w14:paraId="6CC756FC" w14:textId="77777777" w:rsidTr="004A4D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hideMark/>
          </w:tcPr>
          <w:p w14:paraId="19911C42" w14:textId="77777777" w:rsidR="004F5898" w:rsidRPr="000F6083" w:rsidRDefault="004F5898" w:rsidP="000F6083">
            <w:pPr>
              <w:tabs>
                <w:tab w:val="left" w:pos="1956"/>
              </w:tabs>
              <w:spacing w:after="200" w:line="480" w:lineRule="auto"/>
              <w:jc w:val="both"/>
              <w:rPr>
                <w:rFonts w:asciiTheme="majorBidi" w:hAnsiTheme="majorBidi" w:cstheme="majorBidi"/>
                <w:color w:val="FFFFFF" w:themeColor="background1"/>
                <w:sz w:val="24"/>
                <w:szCs w:val="24"/>
              </w:rPr>
            </w:pPr>
            <w:r w:rsidRPr="000F6083">
              <w:rPr>
                <w:rFonts w:asciiTheme="majorBidi" w:hAnsiTheme="majorBidi" w:cstheme="majorBidi"/>
                <w:sz w:val="24"/>
                <w:szCs w:val="24"/>
              </w:rPr>
              <w:t>Group</w:t>
            </w:r>
          </w:p>
        </w:tc>
        <w:tc>
          <w:tcPr>
            <w:tcW w:w="1440" w:type="dxa"/>
            <w:hideMark/>
          </w:tcPr>
          <w:p w14:paraId="6EF5CEFD" w14:textId="77777777" w:rsidR="004F5898" w:rsidRPr="000F6083" w:rsidRDefault="004F5898" w:rsidP="000F6083">
            <w:pPr>
              <w:tabs>
                <w:tab w:val="left" w:pos="1956"/>
              </w:tabs>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0F6083">
              <w:rPr>
                <w:rFonts w:asciiTheme="majorBidi" w:hAnsiTheme="majorBidi" w:cstheme="majorBidi"/>
                <w:sz w:val="24"/>
                <w:szCs w:val="24"/>
              </w:rPr>
              <w:t>Treatment</w:t>
            </w:r>
          </w:p>
        </w:tc>
        <w:tc>
          <w:tcPr>
            <w:tcW w:w="2070" w:type="dxa"/>
            <w:hideMark/>
          </w:tcPr>
          <w:p w14:paraId="6712B6E5" w14:textId="77777777" w:rsidR="004F5898" w:rsidRPr="000F6083" w:rsidRDefault="004F5898" w:rsidP="000F6083">
            <w:pPr>
              <w:tabs>
                <w:tab w:val="left" w:pos="1956"/>
              </w:tabs>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0F6083">
              <w:rPr>
                <w:rFonts w:asciiTheme="majorBidi" w:hAnsiTheme="majorBidi" w:cstheme="majorBidi"/>
                <w:sz w:val="24"/>
                <w:szCs w:val="24"/>
              </w:rPr>
              <w:t>Mean ± SD (HV)</w:t>
            </w:r>
          </w:p>
        </w:tc>
        <w:tc>
          <w:tcPr>
            <w:tcW w:w="1170" w:type="dxa"/>
            <w:hideMark/>
          </w:tcPr>
          <w:p w14:paraId="53FF5A1D" w14:textId="77777777" w:rsidR="004F5898" w:rsidRPr="000F6083" w:rsidRDefault="004F5898" w:rsidP="000F6083">
            <w:pPr>
              <w:tabs>
                <w:tab w:val="left" w:pos="1956"/>
              </w:tabs>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0F6083">
              <w:rPr>
                <w:rFonts w:asciiTheme="majorBidi" w:hAnsiTheme="majorBidi" w:cstheme="majorBidi"/>
                <w:sz w:val="24"/>
                <w:szCs w:val="24"/>
              </w:rPr>
              <w:t>Min HV</w:t>
            </w:r>
          </w:p>
        </w:tc>
        <w:tc>
          <w:tcPr>
            <w:tcW w:w="1260" w:type="dxa"/>
            <w:hideMark/>
          </w:tcPr>
          <w:p w14:paraId="0630EC18" w14:textId="77777777" w:rsidR="004F5898" w:rsidRPr="000F6083" w:rsidRDefault="004F5898" w:rsidP="000F6083">
            <w:pPr>
              <w:tabs>
                <w:tab w:val="left" w:pos="1956"/>
              </w:tabs>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0F6083">
              <w:rPr>
                <w:rFonts w:asciiTheme="majorBidi" w:hAnsiTheme="majorBidi" w:cstheme="majorBidi"/>
                <w:sz w:val="24"/>
                <w:szCs w:val="24"/>
              </w:rPr>
              <w:t>Max HV</w:t>
            </w:r>
          </w:p>
        </w:tc>
        <w:tc>
          <w:tcPr>
            <w:tcW w:w="2610" w:type="dxa"/>
            <w:hideMark/>
          </w:tcPr>
          <w:p w14:paraId="1DDE1B3B" w14:textId="77777777" w:rsidR="004F5898" w:rsidRPr="000F6083" w:rsidRDefault="004F5898" w:rsidP="000F6083">
            <w:pPr>
              <w:tabs>
                <w:tab w:val="left" w:pos="1956"/>
              </w:tabs>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FFFFFF" w:themeColor="background1"/>
                <w:sz w:val="24"/>
                <w:szCs w:val="24"/>
              </w:rPr>
            </w:pPr>
            <w:r w:rsidRPr="000F6083">
              <w:rPr>
                <w:rFonts w:asciiTheme="majorBidi" w:hAnsiTheme="majorBidi" w:cstheme="majorBidi"/>
                <w:sz w:val="24"/>
                <w:szCs w:val="24"/>
              </w:rPr>
              <w:t>Mineralization Trend</w:t>
            </w:r>
          </w:p>
        </w:tc>
      </w:tr>
      <w:tr w:rsidR="004F5898" w:rsidRPr="000F6083" w14:paraId="698C5F6C" w14:textId="77777777" w:rsidTr="004F5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hideMark/>
          </w:tcPr>
          <w:p w14:paraId="3660F65C" w14:textId="77777777" w:rsidR="004F5898" w:rsidRPr="000F6083" w:rsidRDefault="004F5898" w:rsidP="000F6083">
            <w:pPr>
              <w:tabs>
                <w:tab w:val="left" w:pos="1956"/>
              </w:tabs>
              <w:spacing w:line="480" w:lineRule="auto"/>
              <w:jc w:val="both"/>
              <w:rPr>
                <w:rFonts w:asciiTheme="majorBidi" w:hAnsiTheme="majorBidi" w:cstheme="majorBidi"/>
                <w:sz w:val="24"/>
                <w:szCs w:val="24"/>
              </w:rPr>
            </w:pPr>
            <w:r w:rsidRPr="000F6083">
              <w:rPr>
                <w:rFonts w:asciiTheme="majorBidi" w:hAnsiTheme="majorBidi" w:cstheme="majorBidi"/>
                <w:sz w:val="24"/>
                <w:szCs w:val="24"/>
              </w:rPr>
              <w:t>D</w:t>
            </w:r>
          </w:p>
        </w:tc>
        <w:tc>
          <w:tcPr>
            <w:tcW w:w="1440" w:type="dxa"/>
            <w:hideMark/>
          </w:tcPr>
          <w:p w14:paraId="40D80828"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Control</w:t>
            </w:r>
          </w:p>
        </w:tc>
        <w:tc>
          <w:tcPr>
            <w:tcW w:w="2070" w:type="dxa"/>
            <w:hideMark/>
          </w:tcPr>
          <w:p w14:paraId="3ABDAD1D"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118.3 ± 1.53</w:t>
            </w:r>
          </w:p>
        </w:tc>
        <w:tc>
          <w:tcPr>
            <w:tcW w:w="1170" w:type="dxa"/>
            <w:hideMark/>
          </w:tcPr>
          <w:p w14:paraId="19A70F6C"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117</w:t>
            </w:r>
          </w:p>
        </w:tc>
        <w:tc>
          <w:tcPr>
            <w:tcW w:w="1260" w:type="dxa"/>
            <w:hideMark/>
          </w:tcPr>
          <w:p w14:paraId="39076C90"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120</w:t>
            </w:r>
          </w:p>
        </w:tc>
        <w:tc>
          <w:tcPr>
            <w:tcW w:w="2610" w:type="dxa"/>
            <w:hideMark/>
          </w:tcPr>
          <w:p w14:paraId="6CDCB158"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Predominantly Low</w:t>
            </w:r>
          </w:p>
        </w:tc>
      </w:tr>
      <w:tr w:rsidR="004F5898" w:rsidRPr="000F6083" w14:paraId="0DF43BBA" w14:textId="77777777" w:rsidTr="00134B82">
        <w:trPr>
          <w:trHeight w:val="747"/>
        </w:trPr>
        <w:tc>
          <w:tcPr>
            <w:cnfStyle w:val="001000000000" w:firstRow="0" w:lastRow="0" w:firstColumn="1" w:lastColumn="0" w:oddVBand="0" w:evenVBand="0" w:oddHBand="0" w:evenHBand="0" w:firstRowFirstColumn="0" w:firstRowLastColumn="0" w:lastRowFirstColumn="0" w:lastRowLastColumn="0"/>
            <w:tcW w:w="977" w:type="dxa"/>
            <w:hideMark/>
          </w:tcPr>
          <w:p w14:paraId="4935A626" w14:textId="77777777" w:rsidR="004F5898" w:rsidRPr="000F6083" w:rsidRDefault="004F5898" w:rsidP="000F6083">
            <w:pPr>
              <w:tabs>
                <w:tab w:val="left" w:pos="1956"/>
              </w:tabs>
              <w:spacing w:line="480" w:lineRule="auto"/>
              <w:jc w:val="both"/>
              <w:rPr>
                <w:rFonts w:asciiTheme="majorBidi" w:hAnsiTheme="majorBidi" w:cstheme="majorBidi"/>
                <w:sz w:val="24"/>
                <w:szCs w:val="24"/>
              </w:rPr>
            </w:pPr>
            <w:r w:rsidRPr="000F6083">
              <w:rPr>
                <w:rFonts w:asciiTheme="majorBidi" w:hAnsiTheme="majorBidi" w:cstheme="majorBidi"/>
                <w:sz w:val="24"/>
                <w:szCs w:val="24"/>
              </w:rPr>
              <w:t>A</w:t>
            </w:r>
          </w:p>
        </w:tc>
        <w:tc>
          <w:tcPr>
            <w:tcW w:w="1440" w:type="dxa"/>
            <w:hideMark/>
          </w:tcPr>
          <w:p w14:paraId="2A33D992"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PRP</w:t>
            </w:r>
          </w:p>
        </w:tc>
        <w:tc>
          <w:tcPr>
            <w:tcW w:w="2070" w:type="dxa"/>
            <w:hideMark/>
          </w:tcPr>
          <w:p w14:paraId="222E80BF"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129.3 ± 5.47</w:t>
            </w:r>
          </w:p>
        </w:tc>
        <w:tc>
          <w:tcPr>
            <w:tcW w:w="1170" w:type="dxa"/>
            <w:hideMark/>
          </w:tcPr>
          <w:p w14:paraId="6D0DD688"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123</w:t>
            </w:r>
          </w:p>
        </w:tc>
        <w:tc>
          <w:tcPr>
            <w:tcW w:w="1260" w:type="dxa"/>
            <w:hideMark/>
          </w:tcPr>
          <w:p w14:paraId="46EC139F"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136</w:t>
            </w:r>
          </w:p>
        </w:tc>
        <w:tc>
          <w:tcPr>
            <w:tcW w:w="2610" w:type="dxa"/>
            <w:hideMark/>
          </w:tcPr>
          <w:p w14:paraId="69B98A1C" w14:textId="6ADB64B2"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proofErr w:type="gramStart"/>
            <w:r w:rsidRPr="000F6083">
              <w:rPr>
                <w:rFonts w:asciiTheme="majorBidi" w:hAnsiTheme="majorBidi" w:cstheme="majorBidi"/>
                <w:sz w:val="24"/>
                <w:szCs w:val="24"/>
              </w:rPr>
              <w:t>Moderate(</w:t>
            </w:r>
            <w:proofErr w:type="gramEnd"/>
            <w:r w:rsidRPr="000F6083">
              <w:rPr>
                <w:rFonts w:asciiTheme="majorBidi" w:hAnsiTheme="majorBidi" w:cstheme="majorBidi"/>
                <w:sz w:val="24"/>
                <w:szCs w:val="24"/>
              </w:rPr>
              <w:t>minimal Low)</w:t>
            </w:r>
          </w:p>
        </w:tc>
      </w:tr>
      <w:tr w:rsidR="004F5898" w:rsidRPr="000F6083" w14:paraId="7DDF7D94" w14:textId="77777777" w:rsidTr="004F58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 w:type="dxa"/>
            <w:hideMark/>
          </w:tcPr>
          <w:p w14:paraId="6DA40318" w14:textId="77777777" w:rsidR="004F5898" w:rsidRPr="000F6083" w:rsidRDefault="004F5898" w:rsidP="000F6083">
            <w:pPr>
              <w:tabs>
                <w:tab w:val="left" w:pos="1956"/>
              </w:tabs>
              <w:spacing w:line="480" w:lineRule="auto"/>
              <w:jc w:val="both"/>
              <w:rPr>
                <w:rFonts w:asciiTheme="majorBidi" w:hAnsiTheme="majorBidi" w:cstheme="majorBidi"/>
                <w:sz w:val="24"/>
                <w:szCs w:val="24"/>
              </w:rPr>
            </w:pPr>
            <w:r w:rsidRPr="000F6083">
              <w:rPr>
                <w:rFonts w:asciiTheme="majorBidi" w:hAnsiTheme="majorBidi" w:cstheme="majorBidi"/>
                <w:sz w:val="24"/>
                <w:szCs w:val="24"/>
              </w:rPr>
              <w:t>B</w:t>
            </w:r>
          </w:p>
        </w:tc>
        <w:tc>
          <w:tcPr>
            <w:tcW w:w="1440" w:type="dxa"/>
            <w:hideMark/>
          </w:tcPr>
          <w:p w14:paraId="48179638"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PRF</w:t>
            </w:r>
          </w:p>
        </w:tc>
        <w:tc>
          <w:tcPr>
            <w:tcW w:w="2070" w:type="dxa"/>
            <w:hideMark/>
          </w:tcPr>
          <w:p w14:paraId="4BEACEC4"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145.5 ± 2.43</w:t>
            </w:r>
          </w:p>
        </w:tc>
        <w:tc>
          <w:tcPr>
            <w:tcW w:w="1170" w:type="dxa"/>
            <w:hideMark/>
          </w:tcPr>
          <w:p w14:paraId="0A0B08AD"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142</w:t>
            </w:r>
          </w:p>
        </w:tc>
        <w:tc>
          <w:tcPr>
            <w:tcW w:w="1260" w:type="dxa"/>
            <w:hideMark/>
          </w:tcPr>
          <w:p w14:paraId="645895A9"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149</w:t>
            </w:r>
          </w:p>
        </w:tc>
        <w:tc>
          <w:tcPr>
            <w:tcW w:w="2610" w:type="dxa"/>
            <w:hideMark/>
          </w:tcPr>
          <w:p w14:paraId="357252CE" w14:textId="77777777" w:rsidR="004F5898" w:rsidRPr="000F6083" w:rsidRDefault="004F5898" w:rsidP="000F6083">
            <w:pPr>
              <w:tabs>
                <w:tab w:val="left" w:pos="1956"/>
              </w:tabs>
              <w:spacing w:line="480"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Good (consistent)</w:t>
            </w:r>
          </w:p>
        </w:tc>
      </w:tr>
      <w:tr w:rsidR="004F5898" w:rsidRPr="000F6083" w14:paraId="47400DE3" w14:textId="77777777" w:rsidTr="004A4DCF">
        <w:tc>
          <w:tcPr>
            <w:cnfStyle w:val="001000000000" w:firstRow="0" w:lastRow="0" w:firstColumn="1" w:lastColumn="0" w:oddVBand="0" w:evenVBand="0" w:oddHBand="0" w:evenHBand="0" w:firstRowFirstColumn="0" w:firstRowLastColumn="0" w:lastRowFirstColumn="0" w:lastRowLastColumn="0"/>
            <w:tcW w:w="977" w:type="dxa"/>
            <w:hideMark/>
          </w:tcPr>
          <w:p w14:paraId="01E18151" w14:textId="77777777" w:rsidR="004F5898" w:rsidRPr="000F6083" w:rsidRDefault="004F5898" w:rsidP="000F6083">
            <w:pPr>
              <w:tabs>
                <w:tab w:val="left" w:pos="1956"/>
              </w:tabs>
              <w:spacing w:line="480" w:lineRule="auto"/>
              <w:jc w:val="both"/>
              <w:rPr>
                <w:rFonts w:asciiTheme="majorBidi" w:hAnsiTheme="majorBidi" w:cstheme="majorBidi"/>
                <w:sz w:val="24"/>
                <w:szCs w:val="24"/>
              </w:rPr>
            </w:pPr>
            <w:r w:rsidRPr="000F6083">
              <w:rPr>
                <w:rFonts w:asciiTheme="majorBidi" w:hAnsiTheme="majorBidi" w:cstheme="majorBidi"/>
                <w:sz w:val="24"/>
                <w:szCs w:val="24"/>
              </w:rPr>
              <w:t>C</w:t>
            </w:r>
          </w:p>
        </w:tc>
        <w:tc>
          <w:tcPr>
            <w:tcW w:w="1440" w:type="dxa"/>
            <w:hideMark/>
          </w:tcPr>
          <w:p w14:paraId="432ABF4A"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PRP+PRF</w:t>
            </w:r>
          </w:p>
        </w:tc>
        <w:tc>
          <w:tcPr>
            <w:tcW w:w="2070" w:type="dxa"/>
            <w:hideMark/>
          </w:tcPr>
          <w:p w14:paraId="59F962EF"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158.2 ± 5.95</w:t>
            </w:r>
          </w:p>
        </w:tc>
        <w:tc>
          <w:tcPr>
            <w:tcW w:w="1170" w:type="dxa"/>
            <w:hideMark/>
          </w:tcPr>
          <w:p w14:paraId="4F554EA1"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151</w:t>
            </w:r>
          </w:p>
        </w:tc>
        <w:tc>
          <w:tcPr>
            <w:tcW w:w="1260" w:type="dxa"/>
            <w:hideMark/>
          </w:tcPr>
          <w:p w14:paraId="16B64E3B"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165</w:t>
            </w:r>
          </w:p>
        </w:tc>
        <w:tc>
          <w:tcPr>
            <w:tcW w:w="2610" w:type="dxa"/>
            <w:hideMark/>
          </w:tcPr>
          <w:p w14:paraId="6AE3FBCE" w14:textId="77777777" w:rsidR="004F5898" w:rsidRPr="000F6083" w:rsidRDefault="004F5898" w:rsidP="000F6083">
            <w:pPr>
              <w:tabs>
                <w:tab w:val="left" w:pos="1956"/>
              </w:tabs>
              <w:spacing w:line="480"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0F6083">
              <w:rPr>
                <w:rFonts w:asciiTheme="majorBidi" w:hAnsiTheme="majorBidi" w:cstheme="majorBidi"/>
                <w:sz w:val="24"/>
                <w:szCs w:val="24"/>
              </w:rPr>
              <w:t>High (optimal)</w:t>
            </w:r>
          </w:p>
        </w:tc>
      </w:tr>
    </w:tbl>
    <w:p w14:paraId="7F61A7A2" w14:textId="77777777" w:rsidR="004F5898" w:rsidRPr="000F6083" w:rsidRDefault="004F5898" w:rsidP="000F6083">
      <w:pPr>
        <w:tabs>
          <w:tab w:val="left" w:pos="1956"/>
        </w:tabs>
        <w:spacing w:line="480" w:lineRule="auto"/>
        <w:jc w:val="both"/>
        <w:rPr>
          <w:rFonts w:asciiTheme="majorBidi" w:hAnsiTheme="majorBidi" w:cstheme="majorBidi"/>
          <w:sz w:val="24"/>
          <w:szCs w:val="24"/>
        </w:rPr>
      </w:pPr>
    </w:p>
    <w:p w14:paraId="37511B48" w14:textId="77777777" w:rsidR="009862CD" w:rsidRPr="000F6083" w:rsidRDefault="009862CD" w:rsidP="000F6083">
      <w:pPr>
        <w:spacing w:line="480" w:lineRule="auto"/>
        <w:jc w:val="both"/>
        <w:rPr>
          <w:rFonts w:asciiTheme="majorBidi" w:hAnsiTheme="majorBidi" w:cstheme="majorBidi"/>
          <w:b/>
          <w:sz w:val="24"/>
          <w:szCs w:val="24"/>
        </w:rPr>
      </w:pPr>
      <w:r w:rsidRPr="000F6083">
        <w:rPr>
          <w:rFonts w:asciiTheme="majorBidi" w:hAnsiTheme="majorBidi" w:cstheme="majorBidi"/>
          <w:b/>
          <w:sz w:val="24"/>
          <w:szCs w:val="24"/>
        </w:rPr>
        <w:t>Discussion</w:t>
      </w:r>
    </w:p>
    <w:p w14:paraId="3D906C54" w14:textId="24228554"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Radiographic assessment is a crucial method for monitoring the non-invasive progression of bone regeneration over time, providing valuable insight into the efficacy of different therapeutic approaches. This study found that while all treated groups demonstrated signs of progressive bone regeneration, the rate and extent of healing varied significantly between treatments. These findings are consistent with established principles that platelet-derived growth factors positively influence osteogenesis (</w:t>
      </w:r>
      <w:proofErr w:type="spellStart"/>
      <w:r w:rsidRPr="000F6083">
        <w:rPr>
          <w:rFonts w:asciiTheme="majorBidi" w:eastAsia="Times New Roman" w:hAnsiTheme="majorBidi" w:cstheme="majorBidi"/>
          <w:color w:val="0A0A0A"/>
          <w:sz w:val="24"/>
          <w:szCs w:val="24"/>
        </w:rPr>
        <w:t>Nurden</w:t>
      </w:r>
      <w:proofErr w:type="spellEnd"/>
      <w:r w:rsidRPr="000F6083">
        <w:rPr>
          <w:rFonts w:asciiTheme="majorBidi" w:eastAsia="Times New Roman" w:hAnsiTheme="majorBidi" w:cstheme="majorBidi"/>
          <w:color w:val="0A0A0A"/>
          <w:sz w:val="24"/>
          <w:szCs w:val="24"/>
        </w:rPr>
        <w:t>, 2018), </w:t>
      </w:r>
    </w:p>
    <w:p w14:paraId="68989DD1" w14:textId="27296E0D"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 xml:space="preserve">Initially, defects in the PRP-treated group showed gradual but modest healing, with faint callus visible at week 4 that progressed to near-complete cortical continuity by week 12. This aligns with a moderate enhancement of bone regeneration over time. This outcome is consistent with previous studies, such as those by </w:t>
      </w:r>
      <w:proofErr w:type="spellStart"/>
      <w:r w:rsidR="004305E8" w:rsidRPr="000F6083">
        <w:rPr>
          <w:rFonts w:asciiTheme="majorBidi" w:hAnsiTheme="majorBidi" w:cstheme="majorBidi"/>
          <w:sz w:val="24"/>
          <w:szCs w:val="24"/>
        </w:rPr>
        <w:t>Törün</w:t>
      </w:r>
      <w:proofErr w:type="spellEnd"/>
      <w:r w:rsidRPr="000F6083">
        <w:rPr>
          <w:rFonts w:asciiTheme="majorBidi" w:eastAsia="Times New Roman" w:hAnsiTheme="majorBidi" w:cstheme="majorBidi"/>
          <w:color w:val="0A0A0A"/>
          <w:sz w:val="24"/>
          <w:szCs w:val="24"/>
        </w:rPr>
        <w:t xml:space="preserve"> et al. (20</w:t>
      </w:r>
      <w:r w:rsidR="004305E8" w:rsidRPr="000F6083">
        <w:rPr>
          <w:rFonts w:asciiTheme="majorBidi" w:eastAsia="Times New Roman" w:hAnsiTheme="majorBidi" w:cstheme="majorBidi"/>
          <w:color w:val="0A0A0A"/>
          <w:sz w:val="24"/>
          <w:szCs w:val="24"/>
        </w:rPr>
        <w:t>25</w:t>
      </w:r>
      <w:r w:rsidRPr="000F6083">
        <w:rPr>
          <w:rFonts w:asciiTheme="majorBidi" w:eastAsia="Times New Roman" w:hAnsiTheme="majorBidi" w:cstheme="majorBidi"/>
          <w:color w:val="0A0A0A"/>
          <w:sz w:val="24"/>
          <w:szCs w:val="24"/>
        </w:rPr>
        <w:t xml:space="preserve">) in rabbit </w:t>
      </w:r>
      <w:r w:rsidR="00134B82" w:rsidRPr="000F6083">
        <w:rPr>
          <w:rFonts w:asciiTheme="majorBidi" w:eastAsia="Times New Roman" w:hAnsiTheme="majorBidi" w:cstheme="majorBidi"/>
          <w:color w:val="0A0A0A"/>
          <w:sz w:val="24"/>
          <w:szCs w:val="24"/>
        </w:rPr>
        <w:t>calvaria</w:t>
      </w:r>
      <w:r w:rsidRPr="000F6083">
        <w:rPr>
          <w:rFonts w:asciiTheme="majorBidi" w:eastAsia="Times New Roman" w:hAnsiTheme="majorBidi" w:cstheme="majorBidi"/>
          <w:color w:val="0A0A0A"/>
          <w:sz w:val="24"/>
          <w:szCs w:val="24"/>
        </w:rPr>
        <w:t xml:space="preserve"> defects, which noted that PRP stimulates bone repair but often with less pronounced or sustained effects compared to other </w:t>
      </w:r>
      <w:r w:rsidRPr="000F6083">
        <w:rPr>
          <w:rFonts w:asciiTheme="majorBidi" w:eastAsia="Times New Roman" w:hAnsiTheme="majorBidi" w:cstheme="majorBidi"/>
          <w:color w:val="0A0A0A"/>
          <w:sz w:val="24"/>
          <w:szCs w:val="24"/>
        </w:rPr>
        <w:lastRenderedPageBreak/>
        <w:t>treatments. The transient nature of PRP's growth factor release is a likely explanation for these moderate outcomes, as highlighted by Ehrenfest et al. (2009).</w:t>
      </w:r>
    </w:p>
    <w:p w14:paraId="41EB49D2" w14:textId="034E3059"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 xml:space="preserve">In contrast, the PRF-treated group demonstrated more advanced and accelerated healing. Early periosteal activity and callus formation were evident by week 4, progressing to dense </w:t>
      </w:r>
      <w:r w:rsidR="00134B82" w:rsidRPr="000F6083">
        <w:rPr>
          <w:rFonts w:asciiTheme="majorBidi" w:eastAsia="Times New Roman" w:hAnsiTheme="majorBidi" w:cstheme="majorBidi"/>
          <w:color w:val="0A0A0A"/>
          <w:sz w:val="24"/>
          <w:szCs w:val="24"/>
        </w:rPr>
        <w:t xml:space="preserve">bone gap </w:t>
      </w:r>
      <w:r w:rsidRPr="000F6083">
        <w:rPr>
          <w:rFonts w:asciiTheme="majorBidi" w:eastAsia="Times New Roman" w:hAnsiTheme="majorBidi" w:cstheme="majorBidi"/>
          <w:color w:val="0A0A0A"/>
          <w:sz w:val="24"/>
          <w:szCs w:val="24"/>
        </w:rPr>
        <w:t xml:space="preserve">bridging at week 8 and complete cortical remodeling by week 12. This superior radiographic performance is supported by a wealth of literature </w:t>
      </w:r>
      <w:r w:rsidR="00134B82" w:rsidRPr="000F6083">
        <w:rPr>
          <w:rFonts w:asciiTheme="majorBidi" w:eastAsia="Times New Roman" w:hAnsiTheme="majorBidi" w:cstheme="majorBidi"/>
          <w:color w:val="0A0A0A"/>
          <w:sz w:val="24"/>
          <w:szCs w:val="24"/>
        </w:rPr>
        <w:t xml:space="preserve">as reported by </w:t>
      </w:r>
      <w:proofErr w:type="spellStart"/>
      <w:r w:rsidR="0066646E">
        <w:rPr>
          <w:rFonts w:asciiTheme="majorBidi" w:eastAsia="Times New Roman" w:hAnsiTheme="majorBidi" w:cstheme="majorBidi"/>
          <w:color w:val="0A0A0A"/>
          <w:sz w:val="24"/>
          <w:szCs w:val="24"/>
        </w:rPr>
        <w:t>Hidajat</w:t>
      </w:r>
      <w:proofErr w:type="spellEnd"/>
      <w:r w:rsidRPr="000F6083">
        <w:rPr>
          <w:rFonts w:asciiTheme="majorBidi" w:eastAsia="Times New Roman" w:hAnsiTheme="majorBidi" w:cstheme="majorBidi"/>
          <w:color w:val="0A0A0A"/>
          <w:sz w:val="24"/>
          <w:szCs w:val="24"/>
        </w:rPr>
        <w:t xml:space="preserve"> et al. (202</w:t>
      </w:r>
      <w:r w:rsidR="0066646E">
        <w:rPr>
          <w:rFonts w:asciiTheme="majorBidi" w:eastAsia="Times New Roman" w:hAnsiTheme="majorBidi" w:cstheme="majorBidi"/>
          <w:color w:val="0A0A0A"/>
          <w:sz w:val="24"/>
          <w:szCs w:val="24"/>
        </w:rPr>
        <w:t>0</w:t>
      </w:r>
      <w:r w:rsidRPr="000F6083">
        <w:rPr>
          <w:rFonts w:asciiTheme="majorBidi" w:eastAsia="Times New Roman" w:hAnsiTheme="majorBidi" w:cstheme="majorBidi"/>
          <w:color w:val="0A0A0A"/>
          <w:sz w:val="24"/>
          <w:szCs w:val="24"/>
        </w:rPr>
        <w:t xml:space="preserve">), in a long bone defect model, and </w:t>
      </w:r>
      <w:proofErr w:type="spellStart"/>
      <w:r w:rsidR="004305E8" w:rsidRPr="000F6083">
        <w:rPr>
          <w:rFonts w:asciiTheme="majorBidi" w:hAnsiTheme="majorBidi" w:cstheme="majorBidi"/>
          <w:sz w:val="24"/>
          <w:szCs w:val="24"/>
        </w:rPr>
        <w:t>Törün</w:t>
      </w:r>
      <w:proofErr w:type="spellEnd"/>
      <w:r w:rsidRPr="000F6083">
        <w:rPr>
          <w:rFonts w:asciiTheme="majorBidi" w:eastAsia="Times New Roman" w:hAnsiTheme="majorBidi" w:cstheme="majorBidi"/>
          <w:color w:val="0A0A0A"/>
          <w:sz w:val="24"/>
          <w:szCs w:val="24"/>
        </w:rPr>
        <w:t xml:space="preserve"> et al. (20</w:t>
      </w:r>
      <w:r w:rsidR="004305E8" w:rsidRPr="000F6083">
        <w:rPr>
          <w:rFonts w:asciiTheme="majorBidi" w:eastAsia="Times New Roman" w:hAnsiTheme="majorBidi" w:cstheme="majorBidi"/>
          <w:color w:val="0A0A0A"/>
          <w:sz w:val="24"/>
          <w:szCs w:val="24"/>
        </w:rPr>
        <w:t>25</w:t>
      </w:r>
      <w:r w:rsidRPr="000F6083">
        <w:rPr>
          <w:rFonts w:asciiTheme="majorBidi" w:eastAsia="Times New Roman" w:hAnsiTheme="majorBidi" w:cstheme="majorBidi"/>
          <w:color w:val="0A0A0A"/>
          <w:sz w:val="24"/>
          <w:szCs w:val="24"/>
        </w:rPr>
        <w:t xml:space="preserve">), in calvaria defects, both reported higher radiographic healing scores with PRF than with PRP or control groups. The sustained release of growth factors from PRF's fibrin matrix, which also acts as a biological scaffold, is believed to be the key factor enhancing early mineralized callus formation (Ehrenfest et al., 2009). Clinical evidence further corroborates </w:t>
      </w:r>
      <w:proofErr w:type="gramStart"/>
      <w:r w:rsidRPr="000F6083">
        <w:rPr>
          <w:rFonts w:asciiTheme="majorBidi" w:eastAsia="Times New Roman" w:hAnsiTheme="majorBidi" w:cstheme="majorBidi"/>
          <w:color w:val="0A0A0A"/>
          <w:sz w:val="24"/>
          <w:szCs w:val="24"/>
        </w:rPr>
        <w:t>this,</w:t>
      </w:r>
      <w:proofErr w:type="gramEnd"/>
      <w:r w:rsidRPr="000F6083">
        <w:rPr>
          <w:rFonts w:asciiTheme="majorBidi" w:eastAsia="Times New Roman" w:hAnsiTheme="majorBidi" w:cstheme="majorBidi"/>
          <w:color w:val="0A0A0A"/>
          <w:sz w:val="24"/>
          <w:szCs w:val="24"/>
        </w:rPr>
        <w:t xml:space="preserve"> with studies showing PRF improves radiographic bone density around implants (</w:t>
      </w:r>
      <w:r w:rsidR="002C13B4" w:rsidRPr="000F6083">
        <w:rPr>
          <w:rFonts w:asciiTheme="majorBidi" w:hAnsiTheme="majorBidi" w:cstheme="majorBidi"/>
          <w:sz w:val="24"/>
          <w:szCs w:val="24"/>
        </w:rPr>
        <w:t>Al-</w:t>
      </w:r>
      <w:proofErr w:type="spellStart"/>
      <w:r w:rsidR="002C13B4" w:rsidRPr="000F6083">
        <w:rPr>
          <w:rFonts w:asciiTheme="majorBidi" w:hAnsiTheme="majorBidi" w:cstheme="majorBidi"/>
          <w:sz w:val="24"/>
          <w:szCs w:val="24"/>
        </w:rPr>
        <w:t>Khawlani</w:t>
      </w:r>
      <w:proofErr w:type="spellEnd"/>
      <w:r w:rsidRPr="000F6083">
        <w:rPr>
          <w:rFonts w:asciiTheme="majorBidi" w:eastAsia="Times New Roman" w:hAnsiTheme="majorBidi" w:cstheme="majorBidi"/>
          <w:color w:val="0A0A0A"/>
          <w:sz w:val="24"/>
          <w:szCs w:val="24"/>
        </w:rPr>
        <w:t xml:space="preserve"> et al., 201</w:t>
      </w:r>
      <w:r w:rsidR="002C13B4" w:rsidRPr="000F6083">
        <w:rPr>
          <w:rFonts w:asciiTheme="majorBidi" w:eastAsia="Times New Roman" w:hAnsiTheme="majorBidi" w:cstheme="majorBidi"/>
          <w:color w:val="0A0A0A"/>
          <w:sz w:val="24"/>
          <w:szCs w:val="24"/>
        </w:rPr>
        <w:t>4</w:t>
      </w:r>
      <w:r w:rsidRPr="000F6083">
        <w:rPr>
          <w:rFonts w:asciiTheme="majorBidi" w:eastAsia="Times New Roman" w:hAnsiTheme="majorBidi" w:cstheme="majorBidi"/>
          <w:color w:val="0A0A0A"/>
          <w:sz w:val="24"/>
          <w:szCs w:val="24"/>
        </w:rPr>
        <w:t>). </w:t>
      </w:r>
    </w:p>
    <w:p w14:paraId="7A7BD088" w14:textId="44491B2F"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 xml:space="preserve">The combined PRP+PRF group also demonstrated strong regenerative effects, with early and sustained healing comparable to the PRF-only group. While the combination accelerated healing compared to PRP alone, it did not significantly outperform PRF at any stage. This aligns with findings from </w:t>
      </w:r>
      <w:proofErr w:type="spellStart"/>
      <w:r w:rsidR="004305E8" w:rsidRPr="000F6083">
        <w:rPr>
          <w:rFonts w:asciiTheme="majorBidi" w:hAnsiTheme="majorBidi" w:cstheme="majorBidi"/>
          <w:sz w:val="24"/>
          <w:szCs w:val="24"/>
        </w:rPr>
        <w:t>Törün</w:t>
      </w:r>
      <w:proofErr w:type="spellEnd"/>
      <w:r w:rsidRPr="000F6083">
        <w:rPr>
          <w:rFonts w:asciiTheme="majorBidi" w:eastAsia="Times New Roman" w:hAnsiTheme="majorBidi" w:cstheme="majorBidi"/>
          <w:color w:val="0A0A0A"/>
          <w:sz w:val="24"/>
          <w:szCs w:val="24"/>
        </w:rPr>
        <w:t xml:space="preserve"> et al. (20</w:t>
      </w:r>
      <w:r w:rsidR="004305E8" w:rsidRPr="000F6083">
        <w:rPr>
          <w:rFonts w:asciiTheme="majorBidi" w:eastAsia="Times New Roman" w:hAnsiTheme="majorBidi" w:cstheme="majorBidi"/>
          <w:color w:val="0A0A0A"/>
          <w:sz w:val="24"/>
          <w:szCs w:val="24"/>
        </w:rPr>
        <w:t>25</w:t>
      </w:r>
      <w:r w:rsidRPr="000F6083">
        <w:rPr>
          <w:rFonts w:asciiTheme="majorBidi" w:eastAsia="Times New Roman" w:hAnsiTheme="majorBidi" w:cstheme="majorBidi"/>
          <w:color w:val="0A0A0A"/>
          <w:sz w:val="24"/>
          <w:szCs w:val="24"/>
        </w:rPr>
        <w:t xml:space="preserve">), who found no additional benefit from combining platelet concentrates beyond that provided by PRF alone in their model. As Ehrenfest et al. (2009) have suggested, the significant biological overlap between PRP and PRF may limit a truly synergistic effect. However, the superior early radiographic healing of the combination group compared to PRP alone echoes findings by </w:t>
      </w:r>
      <w:proofErr w:type="spellStart"/>
      <w:r w:rsidR="00245C48" w:rsidRPr="000F6083">
        <w:rPr>
          <w:rFonts w:asciiTheme="majorBidi" w:hAnsiTheme="majorBidi" w:cstheme="majorBidi"/>
          <w:sz w:val="24"/>
          <w:szCs w:val="24"/>
        </w:rPr>
        <w:t>Pullishery</w:t>
      </w:r>
      <w:proofErr w:type="spellEnd"/>
      <w:r w:rsidRPr="000F6083">
        <w:rPr>
          <w:rFonts w:asciiTheme="majorBidi" w:eastAsia="Times New Roman" w:hAnsiTheme="majorBidi" w:cstheme="majorBidi"/>
          <w:color w:val="0A0A0A"/>
          <w:sz w:val="24"/>
          <w:szCs w:val="24"/>
        </w:rPr>
        <w:t xml:space="preserve"> et al. (20</w:t>
      </w:r>
      <w:r w:rsidR="00245C48" w:rsidRPr="000F6083">
        <w:rPr>
          <w:rFonts w:asciiTheme="majorBidi" w:eastAsia="Times New Roman" w:hAnsiTheme="majorBidi" w:cstheme="majorBidi"/>
          <w:color w:val="0A0A0A"/>
          <w:sz w:val="24"/>
          <w:szCs w:val="24"/>
        </w:rPr>
        <w:t>24</w:t>
      </w:r>
      <w:r w:rsidRPr="000F6083">
        <w:rPr>
          <w:rFonts w:asciiTheme="majorBidi" w:eastAsia="Times New Roman" w:hAnsiTheme="majorBidi" w:cstheme="majorBidi"/>
          <w:color w:val="0A0A0A"/>
          <w:sz w:val="24"/>
          <w:szCs w:val="24"/>
        </w:rPr>
        <w:t>), who observed enhanced radiographic bone density with combined therapies during early healing stages. </w:t>
      </w:r>
    </w:p>
    <w:p w14:paraId="7AFBEA0A" w14:textId="4BA06724"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lastRenderedPageBreak/>
        <w:t xml:space="preserve">As expected, the untreated control group exhibited delayed and incomplete bone healing, confirming the critical-sized nature of the defect. Radiographs showed minimal healing progression throughout the observation period, consistent with findings from </w:t>
      </w:r>
      <w:proofErr w:type="spellStart"/>
      <w:r w:rsidR="00B76238" w:rsidRPr="000F6083">
        <w:rPr>
          <w:rFonts w:asciiTheme="majorBidi" w:hAnsiTheme="majorBidi" w:cstheme="majorBidi"/>
          <w:color w:val="212121"/>
          <w:sz w:val="24"/>
          <w:szCs w:val="24"/>
          <w:shd w:val="clear" w:color="auto" w:fill="FFFFFF"/>
        </w:rPr>
        <w:t>Nurden</w:t>
      </w:r>
      <w:proofErr w:type="spellEnd"/>
      <w:r w:rsidR="00B76238" w:rsidRPr="000F6083">
        <w:rPr>
          <w:rFonts w:asciiTheme="majorBidi" w:hAnsiTheme="majorBidi" w:cstheme="majorBidi"/>
          <w:color w:val="212121"/>
          <w:sz w:val="24"/>
          <w:szCs w:val="24"/>
          <w:shd w:val="clear" w:color="auto" w:fill="FFFFFF"/>
        </w:rPr>
        <w:t xml:space="preserve"> </w:t>
      </w:r>
      <w:r w:rsidR="00B76238" w:rsidRPr="000F6083">
        <w:rPr>
          <w:rFonts w:asciiTheme="majorBidi" w:eastAsia="Times New Roman" w:hAnsiTheme="majorBidi" w:cstheme="majorBidi"/>
          <w:color w:val="0A0A0A"/>
          <w:sz w:val="24"/>
          <w:szCs w:val="24"/>
        </w:rPr>
        <w:t>(2018</w:t>
      </w:r>
      <w:r w:rsidRPr="000F6083">
        <w:rPr>
          <w:rFonts w:asciiTheme="majorBidi" w:eastAsia="Times New Roman" w:hAnsiTheme="majorBidi" w:cstheme="majorBidi"/>
          <w:color w:val="0A0A0A"/>
          <w:sz w:val="24"/>
          <w:szCs w:val="24"/>
        </w:rPr>
        <w:t>) in similar animal models. This underscores the necessity of biological augmentation to achieve union in such defects.</w:t>
      </w:r>
    </w:p>
    <w:p w14:paraId="2D4E6C8F" w14:textId="67C22558"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 xml:space="preserve">The results of the hardness test (HV) further substantiate these radiographic observations, revealing statistically significant differences in bone regeneration quality among treatment groups (p = 0.001). This indicated that the type of platelet </w:t>
      </w:r>
      <w:r w:rsidR="00515980" w:rsidRPr="000F6083">
        <w:rPr>
          <w:rFonts w:asciiTheme="majorBidi" w:eastAsia="Times New Roman" w:hAnsiTheme="majorBidi" w:cstheme="majorBidi"/>
          <w:color w:val="0A0A0A"/>
          <w:sz w:val="24"/>
          <w:szCs w:val="24"/>
        </w:rPr>
        <w:t>concentrates</w:t>
      </w:r>
      <w:r w:rsidRPr="000F6083">
        <w:rPr>
          <w:rFonts w:asciiTheme="majorBidi" w:eastAsia="Times New Roman" w:hAnsiTheme="majorBidi" w:cstheme="majorBidi"/>
          <w:color w:val="0A0A0A"/>
          <w:sz w:val="24"/>
          <w:szCs w:val="24"/>
        </w:rPr>
        <w:t xml:space="preserve"> significantly influenced the mechanical strength of the newly formed bone. Post hoc Tukey’s test showed that the combination group (PRP+PRF) had the highest mean hardness (158 ± 7), significantly greater than both the PRP-treated group (p &lt; 0.001) and the control group (p &lt; 0.001). The PRF-treated group also exhibited significantly higher hardness than PRP (p = 0.022) and the control group (p &lt; 0.001). In contrast, no significant difference was observed between the PRP and control groups (p = 0.114), suggesting that PRP alone did not significantly enhance mechanical strength within the study period. </w:t>
      </w:r>
    </w:p>
    <w:p w14:paraId="34A76538" w14:textId="74F22731"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These findings consistently highlight the superior mechanical properties achieved with combined PRP+PRF, supporting a synergistic interaction between the two platelet concentrates. This aligns with studies that reported enhanced biomechanical strength when PRP was combined with scaffolds (</w:t>
      </w:r>
      <w:r w:rsidR="00B531B0" w:rsidRPr="000F6083">
        <w:rPr>
          <w:rFonts w:asciiTheme="majorBidi" w:eastAsia="Times New Roman" w:hAnsiTheme="majorBidi" w:cstheme="majorBidi"/>
          <w:sz w:val="24"/>
          <w:szCs w:val="24"/>
        </w:rPr>
        <w:t>Oryan et al., 2012</w:t>
      </w:r>
      <w:r w:rsidRPr="000F6083">
        <w:rPr>
          <w:rFonts w:asciiTheme="majorBidi" w:eastAsia="Times New Roman" w:hAnsiTheme="majorBidi" w:cstheme="majorBidi"/>
          <w:color w:val="0A0A0A"/>
          <w:sz w:val="24"/>
          <w:szCs w:val="24"/>
        </w:rPr>
        <w:t>) or other bioactive materia</w:t>
      </w:r>
      <w:r w:rsidR="002952C2" w:rsidRPr="000F6083">
        <w:rPr>
          <w:rFonts w:asciiTheme="majorBidi" w:eastAsia="Times New Roman" w:hAnsiTheme="majorBidi" w:cstheme="majorBidi"/>
          <w:color w:val="0A0A0A"/>
          <w:sz w:val="24"/>
          <w:szCs w:val="24"/>
        </w:rPr>
        <w:t>ls</w:t>
      </w:r>
      <w:r w:rsidRPr="000F6083">
        <w:rPr>
          <w:rFonts w:asciiTheme="majorBidi" w:eastAsia="Times New Roman" w:hAnsiTheme="majorBidi" w:cstheme="majorBidi"/>
          <w:color w:val="0A0A0A"/>
          <w:sz w:val="24"/>
          <w:szCs w:val="24"/>
        </w:rPr>
        <w:t xml:space="preserve">, suggesting that combining growth factors and scaffold properties is key to improved outcomes. </w:t>
      </w:r>
      <w:r w:rsidR="0082681E" w:rsidRPr="000F6083">
        <w:rPr>
          <w:rFonts w:asciiTheme="majorBidi" w:eastAsia="Times New Roman" w:hAnsiTheme="majorBidi" w:cstheme="majorBidi"/>
          <w:color w:val="0A0A0A"/>
          <w:sz w:val="24"/>
          <w:szCs w:val="24"/>
        </w:rPr>
        <w:t>The lack of a significant improvement with PRP over the control group reinforces the observation that PRP's accelerated early healing effects may not be sustained long-term unless paired with an appropriate scaffold (</w:t>
      </w:r>
      <w:proofErr w:type="spellStart"/>
      <w:r w:rsidR="0082681E" w:rsidRPr="000F6083">
        <w:rPr>
          <w:rFonts w:asciiTheme="majorBidi" w:eastAsia="Times New Roman" w:hAnsiTheme="majorBidi" w:cstheme="majorBidi"/>
          <w:color w:val="0A0A0A"/>
          <w:sz w:val="24"/>
          <w:szCs w:val="24"/>
        </w:rPr>
        <w:t>Ghaffarpasand</w:t>
      </w:r>
      <w:proofErr w:type="spellEnd"/>
      <w:r w:rsidR="0082681E" w:rsidRPr="000F6083">
        <w:rPr>
          <w:rFonts w:asciiTheme="majorBidi" w:eastAsia="Times New Roman" w:hAnsiTheme="majorBidi" w:cstheme="majorBidi"/>
          <w:color w:val="0A0A0A"/>
          <w:sz w:val="24"/>
          <w:szCs w:val="24"/>
        </w:rPr>
        <w:t xml:space="preserve"> et al., 20</w:t>
      </w:r>
      <w:r w:rsidR="005E333F" w:rsidRPr="000F6083">
        <w:rPr>
          <w:rFonts w:asciiTheme="majorBidi" w:eastAsia="Times New Roman" w:hAnsiTheme="majorBidi" w:cstheme="majorBidi"/>
          <w:color w:val="0A0A0A"/>
          <w:sz w:val="24"/>
          <w:szCs w:val="24"/>
        </w:rPr>
        <w:t>16</w:t>
      </w:r>
      <w:r w:rsidR="0082681E" w:rsidRPr="000F6083">
        <w:rPr>
          <w:rFonts w:asciiTheme="majorBidi" w:eastAsia="Times New Roman" w:hAnsiTheme="majorBidi" w:cstheme="majorBidi"/>
          <w:color w:val="0A0A0A"/>
          <w:sz w:val="24"/>
          <w:szCs w:val="24"/>
        </w:rPr>
        <w:t>)</w:t>
      </w:r>
      <w:r w:rsidR="00515980" w:rsidRPr="000F6083">
        <w:rPr>
          <w:rFonts w:asciiTheme="majorBidi" w:eastAsia="Times New Roman" w:hAnsiTheme="majorBidi" w:cstheme="majorBidi"/>
          <w:color w:val="0A0A0A"/>
          <w:sz w:val="24"/>
          <w:szCs w:val="24"/>
        </w:rPr>
        <w:t>.</w:t>
      </w:r>
    </w:p>
    <w:p w14:paraId="14E2E2D3" w14:textId="77777777"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lastRenderedPageBreak/>
        <w:t>PRF’s distinct advantage over PRP can be attributed to its slow and steady release of growth factors from its fibrin matrix, as well as its role as a biological scaffold. This promotes osteoprogenitor cell recruitment and differentiation, leading to more organized and mineralized bone formation (</w:t>
      </w:r>
      <w:proofErr w:type="spellStart"/>
      <w:r w:rsidRPr="000F6083">
        <w:rPr>
          <w:rFonts w:asciiTheme="majorBidi" w:eastAsia="Times New Roman" w:hAnsiTheme="majorBidi" w:cstheme="majorBidi"/>
          <w:color w:val="0A0A0A"/>
          <w:sz w:val="24"/>
          <w:szCs w:val="24"/>
        </w:rPr>
        <w:t>Choukroun</w:t>
      </w:r>
      <w:proofErr w:type="spellEnd"/>
      <w:r w:rsidRPr="000F6083">
        <w:rPr>
          <w:rFonts w:asciiTheme="majorBidi" w:eastAsia="Times New Roman" w:hAnsiTheme="majorBidi" w:cstheme="majorBidi"/>
          <w:color w:val="0A0A0A"/>
          <w:sz w:val="24"/>
          <w:szCs w:val="24"/>
        </w:rPr>
        <w:t xml:space="preserve"> et al., 2006). </w:t>
      </w:r>
    </w:p>
    <w:p w14:paraId="5F246515" w14:textId="048FB1A7"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Overall, the significant improvements in bone hardness in the PRF and PRP+PRF groups, along with the lack of enhancement in the PRP group compared to control, underscore PRF’s critical role in improving biomechanical bone regeneration quality. These findings strongly align with the conclusions of Shafiei-</w:t>
      </w:r>
      <w:proofErr w:type="spellStart"/>
      <w:r w:rsidRPr="000F6083">
        <w:rPr>
          <w:rFonts w:asciiTheme="majorBidi" w:eastAsia="Times New Roman" w:hAnsiTheme="majorBidi" w:cstheme="majorBidi"/>
          <w:color w:val="0A0A0A"/>
          <w:sz w:val="24"/>
          <w:szCs w:val="24"/>
        </w:rPr>
        <w:t>Sarvestani</w:t>
      </w:r>
      <w:proofErr w:type="spellEnd"/>
      <w:r w:rsidRPr="000F6083">
        <w:rPr>
          <w:rFonts w:asciiTheme="majorBidi" w:eastAsia="Times New Roman" w:hAnsiTheme="majorBidi" w:cstheme="majorBidi"/>
          <w:color w:val="0A0A0A"/>
          <w:sz w:val="24"/>
          <w:szCs w:val="24"/>
        </w:rPr>
        <w:t xml:space="preserve"> et al. (201</w:t>
      </w:r>
      <w:r w:rsidR="00777C06" w:rsidRPr="000F6083">
        <w:rPr>
          <w:rFonts w:asciiTheme="majorBidi" w:eastAsia="Times New Roman" w:hAnsiTheme="majorBidi" w:cstheme="majorBidi"/>
          <w:color w:val="0A0A0A"/>
          <w:sz w:val="24"/>
          <w:szCs w:val="24"/>
        </w:rPr>
        <w:t>5</w:t>
      </w:r>
      <w:r w:rsidRPr="000F6083">
        <w:rPr>
          <w:rFonts w:asciiTheme="majorBidi" w:eastAsia="Times New Roman" w:hAnsiTheme="majorBidi" w:cstheme="majorBidi"/>
          <w:color w:val="0A0A0A"/>
          <w:sz w:val="24"/>
          <w:szCs w:val="24"/>
        </w:rPr>
        <w:t>)</w:t>
      </w:r>
      <w:r w:rsidR="00777C06" w:rsidRPr="000F6083">
        <w:rPr>
          <w:rFonts w:asciiTheme="majorBidi" w:eastAsia="Times New Roman" w:hAnsiTheme="majorBidi" w:cstheme="majorBidi"/>
          <w:color w:val="0A0A0A"/>
          <w:sz w:val="24"/>
          <w:szCs w:val="24"/>
        </w:rPr>
        <w:t>; Bacevich et al., (2024); Elsayed et al., (2025)</w:t>
      </w:r>
      <w:r w:rsidRPr="000F6083">
        <w:rPr>
          <w:rFonts w:asciiTheme="majorBidi" w:eastAsia="Times New Roman" w:hAnsiTheme="majorBidi" w:cstheme="majorBidi"/>
          <w:color w:val="0A0A0A"/>
          <w:sz w:val="24"/>
          <w:szCs w:val="24"/>
        </w:rPr>
        <w:t>, who emphasized that combined platelet derivative use can yield superior histological and mechanical bone repair outcomes.</w:t>
      </w:r>
    </w:p>
    <w:p w14:paraId="1246CBD2" w14:textId="77777777" w:rsidR="00F05A50" w:rsidRPr="000F6083" w:rsidRDefault="00F05A50" w:rsidP="000F6083">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In conclusion, both the radiographic and biomechanical assessments suggest that PRF, particularly in combination with PRP, offers a more effective strategy for enhancing bone regeneration in orthopedic applications. The early advantage demonstrated by PRF, driven by its superior and sustained release of bioactive factors, provides compelling evidence of its potency during the critical early stages of healing. </w:t>
      </w:r>
    </w:p>
    <w:p w14:paraId="53BAC485" w14:textId="77777777" w:rsidR="00F76AA7" w:rsidRPr="000F6083" w:rsidRDefault="00F76AA7" w:rsidP="000F6083">
      <w:pPr>
        <w:shd w:val="clear" w:color="auto" w:fill="FFFFFF"/>
        <w:spacing w:line="480" w:lineRule="auto"/>
        <w:jc w:val="both"/>
        <w:rPr>
          <w:rFonts w:asciiTheme="majorBidi" w:eastAsia="Times New Roman" w:hAnsiTheme="majorBidi" w:cstheme="majorBidi"/>
          <w:b/>
          <w:color w:val="0A0A0A"/>
          <w:sz w:val="24"/>
          <w:szCs w:val="24"/>
        </w:rPr>
      </w:pPr>
    </w:p>
    <w:p w14:paraId="038921B3" w14:textId="77777777" w:rsidR="000F6083" w:rsidRDefault="000F6083" w:rsidP="000F6083">
      <w:pPr>
        <w:shd w:val="clear" w:color="auto" w:fill="FFFFFF"/>
        <w:spacing w:line="480" w:lineRule="auto"/>
        <w:jc w:val="both"/>
        <w:rPr>
          <w:rFonts w:asciiTheme="majorBidi" w:eastAsia="Times New Roman" w:hAnsiTheme="majorBidi" w:cstheme="majorBidi"/>
          <w:b/>
          <w:color w:val="0A0A0A"/>
          <w:sz w:val="24"/>
          <w:szCs w:val="24"/>
        </w:rPr>
      </w:pPr>
    </w:p>
    <w:p w14:paraId="4C80914E" w14:textId="77777777" w:rsidR="000F6083" w:rsidRDefault="000F6083" w:rsidP="000F6083">
      <w:pPr>
        <w:shd w:val="clear" w:color="auto" w:fill="FFFFFF"/>
        <w:spacing w:line="480" w:lineRule="auto"/>
        <w:jc w:val="both"/>
        <w:rPr>
          <w:rFonts w:asciiTheme="majorBidi" w:eastAsia="Times New Roman" w:hAnsiTheme="majorBidi" w:cstheme="majorBidi"/>
          <w:b/>
          <w:color w:val="0A0A0A"/>
          <w:sz w:val="24"/>
          <w:szCs w:val="24"/>
        </w:rPr>
      </w:pPr>
    </w:p>
    <w:p w14:paraId="51BA45FE" w14:textId="77777777" w:rsidR="000F6083" w:rsidRDefault="000F6083" w:rsidP="000F6083">
      <w:pPr>
        <w:shd w:val="clear" w:color="auto" w:fill="FFFFFF"/>
        <w:spacing w:line="480" w:lineRule="auto"/>
        <w:jc w:val="both"/>
        <w:rPr>
          <w:rFonts w:asciiTheme="majorBidi" w:eastAsia="Times New Roman" w:hAnsiTheme="majorBidi" w:cstheme="majorBidi"/>
          <w:b/>
          <w:color w:val="0A0A0A"/>
          <w:sz w:val="24"/>
          <w:szCs w:val="24"/>
        </w:rPr>
      </w:pPr>
    </w:p>
    <w:p w14:paraId="08E48B97" w14:textId="77777777" w:rsidR="000F6083" w:rsidRDefault="000F6083" w:rsidP="000F6083">
      <w:pPr>
        <w:shd w:val="clear" w:color="auto" w:fill="FFFFFF"/>
        <w:spacing w:line="480" w:lineRule="auto"/>
        <w:jc w:val="both"/>
        <w:rPr>
          <w:rFonts w:asciiTheme="majorBidi" w:eastAsia="Times New Roman" w:hAnsiTheme="majorBidi" w:cstheme="majorBidi"/>
          <w:b/>
          <w:color w:val="0A0A0A"/>
          <w:sz w:val="24"/>
          <w:szCs w:val="24"/>
        </w:rPr>
      </w:pPr>
    </w:p>
    <w:p w14:paraId="1A9874A2" w14:textId="77777777" w:rsidR="000F6083" w:rsidRDefault="000F6083" w:rsidP="000F6083">
      <w:pPr>
        <w:shd w:val="clear" w:color="auto" w:fill="FFFFFF"/>
        <w:spacing w:line="480" w:lineRule="auto"/>
        <w:jc w:val="both"/>
        <w:rPr>
          <w:rFonts w:asciiTheme="majorBidi" w:eastAsia="Times New Roman" w:hAnsiTheme="majorBidi" w:cstheme="majorBidi"/>
          <w:b/>
          <w:color w:val="0A0A0A"/>
          <w:sz w:val="24"/>
          <w:szCs w:val="24"/>
        </w:rPr>
      </w:pPr>
    </w:p>
    <w:p w14:paraId="4105EE10" w14:textId="76FE7341" w:rsidR="00F05A50" w:rsidRPr="000F6083" w:rsidRDefault="00F05A50" w:rsidP="000F6083">
      <w:pPr>
        <w:shd w:val="clear" w:color="auto" w:fill="FFFFFF"/>
        <w:spacing w:line="480" w:lineRule="auto"/>
        <w:jc w:val="both"/>
        <w:rPr>
          <w:rFonts w:asciiTheme="majorBidi" w:eastAsia="Times New Roman" w:hAnsiTheme="majorBidi" w:cstheme="majorBidi"/>
          <w:b/>
          <w:color w:val="0A0A0A"/>
          <w:sz w:val="24"/>
          <w:szCs w:val="24"/>
        </w:rPr>
      </w:pPr>
      <w:r w:rsidRPr="000F6083">
        <w:rPr>
          <w:rFonts w:asciiTheme="majorBidi" w:eastAsia="Times New Roman" w:hAnsiTheme="majorBidi" w:cstheme="majorBidi"/>
          <w:b/>
          <w:color w:val="0A0A0A"/>
          <w:sz w:val="24"/>
          <w:szCs w:val="24"/>
        </w:rPr>
        <w:lastRenderedPageBreak/>
        <w:t>References</w:t>
      </w:r>
    </w:p>
    <w:p w14:paraId="7CDE18C7" w14:textId="27E40C28" w:rsidR="00DB231F" w:rsidRPr="000F6083" w:rsidRDefault="00DB231F" w:rsidP="00DB231F">
      <w:pPr>
        <w:spacing w:line="480" w:lineRule="auto"/>
        <w:jc w:val="both"/>
        <w:rPr>
          <w:rFonts w:asciiTheme="majorBidi" w:hAnsiTheme="majorBidi" w:cstheme="majorBidi"/>
          <w:sz w:val="24"/>
          <w:szCs w:val="24"/>
        </w:rPr>
      </w:pPr>
      <w:r w:rsidRPr="000F6083">
        <w:rPr>
          <w:rFonts w:asciiTheme="majorBidi" w:hAnsiTheme="majorBidi" w:cstheme="majorBidi"/>
          <w:sz w:val="24"/>
          <w:szCs w:val="24"/>
        </w:rPr>
        <w:t>Al-</w:t>
      </w:r>
      <w:proofErr w:type="spellStart"/>
      <w:r w:rsidRPr="000F6083">
        <w:rPr>
          <w:rFonts w:asciiTheme="majorBidi" w:hAnsiTheme="majorBidi" w:cstheme="majorBidi"/>
          <w:sz w:val="24"/>
          <w:szCs w:val="24"/>
        </w:rPr>
        <w:t>Khawlani</w:t>
      </w:r>
      <w:proofErr w:type="spellEnd"/>
      <w:r w:rsidRPr="000F6083">
        <w:rPr>
          <w:rFonts w:asciiTheme="majorBidi" w:hAnsiTheme="majorBidi" w:cstheme="majorBidi"/>
          <w:sz w:val="24"/>
          <w:szCs w:val="24"/>
        </w:rPr>
        <w:t>, E., Adly, O.</w:t>
      </w:r>
      <w:r>
        <w:rPr>
          <w:rFonts w:asciiTheme="majorBidi" w:hAnsiTheme="majorBidi" w:cstheme="majorBidi"/>
          <w:sz w:val="24"/>
          <w:szCs w:val="24"/>
        </w:rPr>
        <w:t xml:space="preserve"> </w:t>
      </w:r>
      <w:r w:rsidRPr="000F6083">
        <w:rPr>
          <w:rFonts w:asciiTheme="majorBidi" w:hAnsiTheme="majorBidi" w:cstheme="majorBidi"/>
          <w:sz w:val="24"/>
          <w:szCs w:val="24"/>
        </w:rPr>
        <w:t>A., Ahmed, A.</w:t>
      </w:r>
      <w:r>
        <w:rPr>
          <w:rFonts w:asciiTheme="majorBidi" w:hAnsiTheme="majorBidi" w:cstheme="majorBidi"/>
          <w:sz w:val="24"/>
          <w:szCs w:val="24"/>
        </w:rPr>
        <w:t xml:space="preserve"> </w:t>
      </w:r>
      <w:r w:rsidRPr="000F6083">
        <w:rPr>
          <w:rFonts w:asciiTheme="majorBidi" w:hAnsiTheme="majorBidi" w:cstheme="majorBidi"/>
          <w:sz w:val="24"/>
          <w:szCs w:val="24"/>
        </w:rPr>
        <w:t>S., El-</w:t>
      </w:r>
      <w:proofErr w:type="spellStart"/>
      <w:r w:rsidRPr="000F6083">
        <w:rPr>
          <w:rFonts w:asciiTheme="majorBidi" w:hAnsiTheme="majorBidi" w:cstheme="majorBidi"/>
          <w:sz w:val="24"/>
          <w:szCs w:val="24"/>
        </w:rPr>
        <w:t>Desouky</w:t>
      </w:r>
      <w:proofErr w:type="spellEnd"/>
      <w:r w:rsidRPr="000F6083">
        <w:rPr>
          <w:rFonts w:asciiTheme="majorBidi" w:hAnsiTheme="majorBidi" w:cstheme="majorBidi"/>
          <w:sz w:val="24"/>
          <w:szCs w:val="24"/>
        </w:rPr>
        <w:t>, G.</w:t>
      </w:r>
      <w:r>
        <w:rPr>
          <w:rFonts w:asciiTheme="majorBidi" w:hAnsiTheme="majorBidi" w:cstheme="majorBidi"/>
          <w:sz w:val="24"/>
          <w:szCs w:val="24"/>
        </w:rPr>
        <w:t xml:space="preserve"> </w:t>
      </w:r>
      <w:r w:rsidRPr="000F6083">
        <w:rPr>
          <w:rFonts w:asciiTheme="majorBidi" w:hAnsiTheme="majorBidi" w:cstheme="majorBidi"/>
          <w:sz w:val="24"/>
          <w:szCs w:val="24"/>
        </w:rPr>
        <w:t>G.</w:t>
      </w:r>
      <w:r>
        <w:rPr>
          <w:rFonts w:asciiTheme="majorBidi" w:hAnsiTheme="majorBidi" w:cstheme="majorBidi"/>
          <w:sz w:val="24"/>
          <w:szCs w:val="24"/>
        </w:rPr>
        <w:t xml:space="preserve"> </w:t>
      </w:r>
      <w:r w:rsidRPr="000F6083">
        <w:rPr>
          <w:rFonts w:asciiTheme="majorBidi" w:hAnsiTheme="majorBidi" w:cstheme="majorBidi"/>
          <w:sz w:val="24"/>
          <w:szCs w:val="24"/>
        </w:rPr>
        <w:t>E.</w:t>
      </w:r>
      <w:r>
        <w:rPr>
          <w:rFonts w:asciiTheme="majorBidi" w:hAnsiTheme="majorBidi" w:cstheme="majorBidi"/>
          <w:sz w:val="24"/>
          <w:szCs w:val="24"/>
        </w:rPr>
        <w:t xml:space="preserve"> </w:t>
      </w:r>
      <w:r w:rsidRPr="000F6083">
        <w:rPr>
          <w:rFonts w:asciiTheme="majorBidi" w:hAnsiTheme="majorBidi" w:cstheme="majorBidi"/>
          <w:sz w:val="24"/>
          <w:szCs w:val="24"/>
        </w:rPr>
        <w:t>D., Abass, A.</w:t>
      </w:r>
      <w:r>
        <w:rPr>
          <w:rFonts w:asciiTheme="majorBidi" w:hAnsiTheme="majorBidi" w:cstheme="majorBidi"/>
          <w:sz w:val="24"/>
          <w:szCs w:val="24"/>
        </w:rPr>
        <w:t xml:space="preserve"> </w:t>
      </w:r>
      <w:r w:rsidRPr="000F6083">
        <w:rPr>
          <w:rFonts w:asciiTheme="majorBidi" w:hAnsiTheme="majorBidi" w:cstheme="majorBidi"/>
          <w:sz w:val="24"/>
          <w:szCs w:val="24"/>
        </w:rPr>
        <w:t xml:space="preserve">H. </w:t>
      </w:r>
      <w:proofErr w:type="gramStart"/>
      <w:r>
        <w:rPr>
          <w:rFonts w:asciiTheme="majorBidi" w:hAnsiTheme="majorBidi" w:cstheme="majorBidi"/>
          <w:sz w:val="24"/>
          <w:szCs w:val="24"/>
        </w:rPr>
        <w:t>&amp;</w:t>
      </w:r>
      <w:r w:rsidRPr="000F6083">
        <w:rPr>
          <w:rFonts w:asciiTheme="majorBidi" w:hAnsiTheme="majorBidi" w:cstheme="majorBidi"/>
          <w:sz w:val="24"/>
          <w:szCs w:val="24"/>
        </w:rPr>
        <w:t xml:space="preserve"> </w:t>
      </w:r>
      <w:r>
        <w:rPr>
          <w:rFonts w:asciiTheme="majorBidi" w:hAnsiTheme="majorBidi" w:cstheme="majorBidi"/>
          <w:sz w:val="24"/>
          <w:szCs w:val="24"/>
        </w:rPr>
        <w:tab/>
      </w:r>
      <w:proofErr w:type="spellStart"/>
      <w:r w:rsidRPr="000F6083">
        <w:rPr>
          <w:rFonts w:asciiTheme="majorBidi" w:hAnsiTheme="majorBidi" w:cstheme="majorBidi"/>
          <w:sz w:val="24"/>
          <w:szCs w:val="24"/>
        </w:rPr>
        <w:t>Abdelmabood</w:t>
      </w:r>
      <w:proofErr w:type="spellEnd"/>
      <w:proofErr w:type="gramEnd"/>
      <w:r w:rsidRPr="000F6083">
        <w:rPr>
          <w:rFonts w:asciiTheme="majorBidi" w:hAnsiTheme="majorBidi" w:cstheme="majorBidi"/>
          <w:sz w:val="24"/>
          <w:szCs w:val="24"/>
        </w:rPr>
        <w:t>, A.</w:t>
      </w:r>
      <w:r>
        <w:rPr>
          <w:rFonts w:asciiTheme="majorBidi" w:hAnsiTheme="majorBidi" w:cstheme="majorBidi"/>
          <w:sz w:val="24"/>
          <w:szCs w:val="24"/>
        </w:rPr>
        <w:t xml:space="preserve"> </w:t>
      </w:r>
      <w:r w:rsidRPr="000F6083">
        <w:rPr>
          <w:rFonts w:asciiTheme="majorBidi" w:hAnsiTheme="majorBidi" w:cstheme="majorBidi"/>
          <w:sz w:val="24"/>
          <w:szCs w:val="24"/>
        </w:rPr>
        <w:t xml:space="preserve">A. (2014). Evaluation of platelet-rich fibrin versus platelet-rich plasma </w:t>
      </w:r>
      <w:r>
        <w:rPr>
          <w:rFonts w:asciiTheme="majorBidi" w:hAnsiTheme="majorBidi" w:cstheme="majorBidi"/>
          <w:sz w:val="24"/>
          <w:szCs w:val="24"/>
        </w:rPr>
        <w:tab/>
      </w:r>
      <w:r w:rsidRPr="000F6083">
        <w:rPr>
          <w:rFonts w:asciiTheme="majorBidi" w:hAnsiTheme="majorBidi" w:cstheme="majorBidi"/>
          <w:sz w:val="24"/>
          <w:szCs w:val="24"/>
        </w:rPr>
        <w:t>on the outcome of mandibular fracture: a comparative study. </w:t>
      </w:r>
      <w:r w:rsidRPr="007218F5">
        <w:rPr>
          <w:rFonts w:asciiTheme="majorBidi" w:hAnsiTheme="majorBidi" w:cstheme="majorBidi"/>
          <w:sz w:val="24"/>
          <w:szCs w:val="24"/>
        </w:rPr>
        <w:t xml:space="preserve">Egyptian Journal of Oral and </w:t>
      </w:r>
      <w:r>
        <w:rPr>
          <w:rFonts w:asciiTheme="majorBidi" w:hAnsiTheme="majorBidi" w:cstheme="majorBidi"/>
          <w:sz w:val="24"/>
          <w:szCs w:val="24"/>
        </w:rPr>
        <w:tab/>
      </w:r>
      <w:r w:rsidRPr="007218F5">
        <w:rPr>
          <w:rFonts w:asciiTheme="majorBidi" w:hAnsiTheme="majorBidi" w:cstheme="majorBidi"/>
          <w:sz w:val="24"/>
          <w:szCs w:val="24"/>
        </w:rPr>
        <w:t>Maxillofacial Surgery,</w:t>
      </w:r>
      <w:r w:rsidRPr="000F6083">
        <w:rPr>
          <w:rFonts w:asciiTheme="majorBidi" w:hAnsiTheme="majorBidi" w:cstheme="majorBidi"/>
          <w:sz w:val="24"/>
          <w:szCs w:val="24"/>
        </w:rPr>
        <w:t> 5(3), 96-102.</w:t>
      </w:r>
      <w:r>
        <w:rPr>
          <w:rFonts w:asciiTheme="majorBidi" w:hAnsiTheme="majorBidi" w:cstheme="majorBidi"/>
          <w:sz w:val="24"/>
          <w:szCs w:val="24"/>
        </w:rPr>
        <w:t xml:space="preserve"> </w:t>
      </w:r>
      <w:r w:rsidRPr="007218F5">
        <w:rPr>
          <w:rFonts w:asciiTheme="majorBidi" w:hAnsiTheme="majorBidi" w:cstheme="majorBidi"/>
          <w:sz w:val="24"/>
          <w:szCs w:val="24"/>
        </w:rPr>
        <w:t> </w:t>
      </w:r>
      <w:r w:rsidRPr="007218F5">
        <w:rPr>
          <w:rFonts w:asciiTheme="majorBidi" w:hAnsiTheme="majorBidi" w:cstheme="majorBidi"/>
          <w:i/>
          <w:iCs/>
          <w:sz w:val="24"/>
          <w:szCs w:val="24"/>
        </w:rPr>
        <w:t>DOI: </w:t>
      </w:r>
      <w:r w:rsidRPr="007218F5">
        <w:rPr>
          <w:rFonts w:asciiTheme="majorBidi" w:hAnsiTheme="majorBidi" w:cstheme="majorBidi"/>
          <w:sz w:val="24"/>
          <w:szCs w:val="24"/>
        </w:rPr>
        <w:t>10.1097/01.OMX.0000452513.09455.7e</w:t>
      </w:r>
    </w:p>
    <w:p w14:paraId="6F697969" w14:textId="2FEED70C" w:rsidR="00DB231F" w:rsidRPr="000F6083" w:rsidRDefault="00DB231F" w:rsidP="00DB231F">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Alsousou, J., Thompson, M., Hulley, P., Noble, A., and Willett, K. (2009). The biology of platelet-</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 xml:space="preserve">rich plasma and its application in trauma and </w:t>
      </w:r>
      <w:proofErr w:type="spellStart"/>
      <w:r w:rsidRPr="000F6083">
        <w:rPr>
          <w:rFonts w:asciiTheme="majorBidi" w:eastAsia="Times New Roman" w:hAnsiTheme="majorBidi" w:cstheme="majorBidi"/>
          <w:color w:val="0A0A0A"/>
          <w:sz w:val="24"/>
          <w:szCs w:val="24"/>
        </w:rPr>
        <w:t>orthopaedic</w:t>
      </w:r>
      <w:proofErr w:type="spellEnd"/>
      <w:r w:rsidRPr="000F6083">
        <w:rPr>
          <w:rFonts w:asciiTheme="majorBidi" w:eastAsia="Times New Roman" w:hAnsiTheme="majorBidi" w:cstheme="majorBidi"/>
          <w:color w:val="0A0A0A"/>
          <w:sz w:val="24"/>
          <w:szCs w:val="24"/>
        </w:rPr>
        <w:t xml:space="preserve"> surgery: A review of the </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literature. </w:t>
      </w:r>
      <w:r w:rsidRPr="007218F5">
        <w:rPr>
          <w:rFonts w:asciiTheme="majorBidi" w:eastAsia="Times New Roman" w:hAnsiTheme="majorBidi" w:cstheme="majorBidi"/>
          <w:color w:val="0A0A0A"/>
          <w:sz w:val="24"/>
          <w:szCs w:val="24"/>
        </w:rPr>
        <w:t>Journal of Bone and Joint Surgery. British Volume, 91</w:t>
      </w:r>
      <w:r w:rsidRPr="000F6083">
        <w:rPr>
          <w:rFonts w:asciiTheme="majorBidi" w:eastAsia="Times New Roman" w:hAnsiTheme="majorBidi" w:cstheme="majorBidi"/>
          <w:color w:val="0A0A0A"/>
          <w:sz w:val="24"/>
          <w:szCs w:val="24"/>
        </w:rPr>
        <w:t xml:space="preserve">(8), 987–996. </w:t>
      </w:r>
      <w:r>
        <w:rPr>
          <w:rFonts w:asciiTheme="majorBidi" w:eastAsia="Times New Roman" w:hAnsiTheme="majorBidi" w:cstheme="majorBidi"/>
          <w:color w:val="0A0A0A"/>
          <w:sz w:val="24"/>
          <w:szCs w:val="24"/>
        </w:rPr>
        <w:tab/>
      </w:r>
      <w:r w:rsidRPr="000F6083">
        <w:rPr>
          <w:rFonts w:asciiTheme="majorBidi" w:hAnsiTheme="majorBidi" w:cstheme="majorBidi"/>
          <w:color w:val="232323"/>
          <w:sz w:val="24"/>
          <w:szCs w:val="24"/>
          <w:shd w:val="clear" w:color="auto" w:fill="FFFFFF"/>
        </w:rPr>
        <w:t>https://doi.org/10.1302/0301-620X.91B8.22546</w:t>
      </w:r>
      <w:r w:rsidRPr="000F6083">
        <w:rPr>
          <w:rFonts w:asciiTheme="majorBidi" w:eastAsia="Times New Roman" w:hAnsiTheme="majorBidi" w:cstheme="majorBidi"/>
          <w:color w:val="0A0A0A"/>
          <w:sz w:val="24"/>
          <w:szCs w:val="24"/>
        </w:rPr>
        <w:t> </w:t>
      </w:r>
    </w:p>
    <w:p w14:paraId="3C63995F" w14:textId="15C5FEE4" w:rsidR="00DB231F" w:rsidRPr="007218F5" w:rsidRDefault="00DB231F" w:rsidP="00DB231F">
      <w:pPr>
        <w:spacing w:line="480" w:lineRule="auto"/>
        <w:rPr>
          <w:rFonts w:asciiTheme="majorBidi" w:hAnsiTheme="majorBidi" w:cstheme="majorBidi"/>
          <w:sz w:val="24"/>
          <w:szCs w:val="24"/>
          <w:lang w:val="en-GB"/>
        </w:rPr>
      </w:pPr>
      <w:r w:rsidRPr="000F6083">
        <w:rPr>
          <w:rFonts w:asciiTheme="majorBidi" w:hAnsiTheme="majorBidi" w:cstheme="majorBidi"/>
          <w:sz w:val="24"/>
          <w:szCs w:val="24"/>
        </w:rPr>
        <w:t>Bacevich, B.</w:t>
      </w:r>
      <w:r>
        <w:rPr>
          <w:rFonts w:asciiTheme="majorBidi" w:hAnsiTheme="majorBidi" w:cstheme="majorBidi"/>
          <w:sz w:val="24"/>
          <w:szCs w:val="24"/>
        </w:rPr>
        <w:t xml:space="preserve"> </w:t>
      </w:r>
      <w:r w:rsidRPr="000F6083">
        <w:rPr>
          <w:rFonts w:asciiTheme="majorBidi" w:hAnsiTheme="majorBidi" w:cstheme="majorBidi"/>
          <w:sz w:val="24"/>
          <w:szCs w:val="24"/>
        </w:rPr>
        <w:t>M., Smith, R.</w:t>
      </w:r>
      <w:r>
        <w:rPr>
          <w:rFonts w:asciiTheme="majorBidi" w:hAnsiTheme="majorBidi" w:cstheme="majorBidi"/>
          <w:sz w:val="24"/>
          <w:szCs w:val="24"/>
        </w:rPr>
        <w:t xml:space="preserve"> </w:t>
      </w:r>
      <w:r w:rsidRPr="000F6083">
        <w:rPr>
          <w:rFonts w:asciiTheme="majorBidi" w:hAnsiTheme="majorBidi" w:cstheme="majorBidi"/>
          <w:sz w:val="24"/>
          <w:szCs w:val="24"/>
        </w:rPr>
        <w:t>D.</w:t>
      </w:r>
      <w:r>
        <w:rPr>
          <w:rFonts w:asciiTheme="majorBidi" w:hAnsiTheme="majorBidi" w:cstheme="majorBidi"/>
          <w:sz w:val="24"/>
          <w:szCs w:val="24"/>
        </w:rPr>
        <w:t xml:space="preserve"> </w:t>
      </w:r>
      <w:r w:rsidRPr="000F6083">
        <w:rPr>
          <w:rFonts w:asciiTheme="majorBidi" w:hAnsiTheme="majorBidi" w:cstheme="majorBidi"/>
          <w:sz w:val="24"/>
          <w:szCs w:val="24"/>
        </w:rPr>
        <w:t>J., Reihl, A.</w:t>
      </w:r>
      <w:r>
        <w:rPr>
          <w:rFonts w:asciiTheme="majorBidi" w:hAnsiTheme="majorBidi" w:cstheme="majorBidi"/>
          <w:sz w:val="24"/>
          <w:szCs w:val="24"/>
        </w:rPr>
        <w:t xml:space="preserve"> </w:t>
      </w:r>
      <w:r w:rsidRPr="000F6083">
        <w:rPr>
          <w:rFonts w:asciiTheme="majorBidi" w:hAnsiTheme="majorBidi" w:cstheme="majorBidi"/>
          <w:sz w:val="24"/>
          <w:szCs w:val="24"/>
        </w:rPr>
        <w:t>M., Mazzocca, A.</w:t>
      </w:r>
      <w:r>
        <w:rPr>
          <w:rFonts w:asciiTheme="majorBidi" w:hAnsiTheme="majorBidi" w:cstheme="majorBidi"/>
          <w:sz w:val="24"/>
          <w:szCs w:val="24"/>
        </w:rPr>
        <w:t xml:space="preserve"> </w:t>
      </w:r>
      <w:r w:rsidRPr="000F6083">
        <w:rPr>
          <w:rFonts w:asciiTheme="majorBidi" w:hAnsiTheme="majorBidi" w:cstheme="majorBidi"/>
          <w:sz w:val="24"/>
          <w:szCs w:val="24"/>
        </w:rPr>
        <w:t xml:space="preserve">D. </w:t>
      </w:r>
      <w:r>
        <w:rPr>
          <w:rFonts w:asciiTheme="majorBidi" w:hAnsiTheme="majorBidi" w:cstheme="majorBidi"/>
          <w:sz w:val="24"/>
          <w:szCs w:val="24"/>
        </w:rPr>
        <w:t>&amp;</w:t>
      </w:r>
      <w:r w:rsidRPr="000F6083">
        <w:rPr>
          <w:rFonts w:asciiTheme="majorBidi" w:hAnsiTheme="majorBidi" w:cstheme="majorBidi"/>
          <w:sz w:val="24"/>
          <w:szCs w:val="24"/>
        </w:rPr>
        <w:t xml:space="preserve"> Hutchinson, I.</w:t>
      </w:r>
      <w:r>
        <w:rPr>
          <w:rFonts w:asciiTheme="majorBidi" w:hAnsiTheme="majorBidi" w:cstheme="majorBidi"/>
          <w:sz w:val="24"/>
          <w:szCs w:val="24"/>
        </w:rPr>
        <w:t xml:space="preserve"> </w:t>
      </w:r>
      <w:r w:rsidRPr="000F6083">
        <w:rPr>
          <w:rFonts w:asciiTheme="majorBidi" w:hAnsiTheme="majorBidi" w:cstheme="majorBidi"/>
          <w:sz w:val="24"/>
          <w:szCs w:val="24"/>
        </w:rPr>
        <w:t xml:space="preserve">D., (2024). </w:t>
      </w:r>
      <w:r>
        <w:rPr>
          <w:rFonts w:asciiTheme="majorBidi" w:hAnsiTheme="majorBidi" w:cstheme="majorBidi"/>
          <w:sz w:val="24"/>
          <w:szCs w:val="24"/>
        </w:rPr>
        <w:tab/>
      </w:r>
      <w:r w:rsidRPr="000F6083">
        <w:rPr>
          <w:rFonts w:asciiTheme="majorBidi" w:hAnsiTheme="majorBidi" w:cstheme="majorBidi"/>
          <w:sz w:val="24"/>
          <w:szCs w:val="24"/>
        </w:rPr>
        <w:t>Advances with platelet-rich plasma for bone healing. </w:t>
      </w:r>
      <w:r w:rsidRPr="007218F5">
        <w:rPr>
          <w:rFonts w:asciiTheme="majorBidi" w:hAnsiTheme="majorBidi" w:cstheme="majorBidi"/>
          <w:sz w:val="24"/>
          <w:szCs w:val="24"/>
        </w:rPr>
        <w:t>Biologics: Targets and Therapy,</w:t>
      </w:r>
      <w:r w:rsidRPr="000F6083">
        <w:rPr>
          <w:rFonts w:asciiTheme="majorBidi" w:hAnsiTheme="majorBidi" w:cstheme="majorBidi"/>
          <w:sz w:val="24"/>
          <w:szCs w:val="24"/>
        </w:rPr>
        <w:t xml:space="preserve"> 29-</w:t>
      </w:r>
      <w:r>
        <w:rPr>
          <w:rFonts w:asciiTheme="majorBidi" w:hAnsiTheme="majorBidi" w:cstheme="majorBidi"/>
          <w:sz w:val="24"/>
          <w:szCs w:val="24"/>
        </w:rPr>
        <w:tab/>
      </w:r>
      <w:r w:rsidRPr="000F6083">
        <w:rPr>
          <w:rFonts w:asciiTheme="majorBidi" w:hAnsiTheme="majorBidi" w:cstheme="majorBidi"/>
          <w:sz w:val="24"/>
          <w:szCs w:val="24"/>
        </w:rPr>
        <w:t>59.</w:t>
      </w:r>
      <w:r>
        <w:rPr>
          <w:rFonts w:asciiTheme="majorBidi" w:hAnsiTheme="majorBidi" w:cstheme="majorBidi"/>
          <w:sz w:val="24"/>
          <w:szCs w:val="24"/>
        </w:rPr>
        <w:t xml:space="preserve"> </w:t>
      </w:r>
      <w:r w:rsidRPr="007218F5">
        <w:rPr>
          <w:rFonts w:asciiTheme="majorBidi" w:hAnsiTheme="majorBidi" w:cstheme="majorBidi"/>
          <w:sz w:val="24"/>
          <w:szCs w:val="24"/>
          <w:lang w:val="en-GB"/>
        </w:rPr>
        <w:t> DOI: </w:t>
      </w:r>
      <w:hyperlink r:id="rId9" w:tgtFrame="_blank" w:history="1">
        <w:r w:rsidRPr="007218F5">
          <w:rPr>
            <w:rStyle w:val="Hyperlink"/>
            <w:rFonts w:asciiTheme="majorBidi" w:hAnsiTheme="majorBidi" w:cstheme="majorBidi"/>
            <w:sz w:val="24"/>
            <w:szCs w:val="24"/>
            <w:lang w:val="en-GB"/>
          </w:rPr>
          <w:t>10.2147/BTT.S290341</w:t>
        </w:r>
      </w:hyperlink>
    </w:p>
    <w:p w14:paraId="53FF9E76" w14:textId="5ACDF877" w:rsidR="00DB231F" w:rsidRPr="000F6083" w:rsidRDefault="00DB231F" w:rsidP="00DB231F">
      <w:pPr>
        <w:shd w:val="clear" w:color="auto" w:fill="FFFFFF"/>
        <w:spacing w:after="240" w:line="480" w:lineRule="auto"/>
        <w:jc w:val="both"/>
        <w:rPr>
          <w:rFonts w:asciiTheme="majorBidi" w:eastAsia="Times New Roman" w:hAnsiTheme="majorBidi" w:cstheme="majorBidi"/>
          <w:color w:val="0A0A0A"/>
          <w:sz w:val="24"/>
          <w:szCs w:val="24"/>
        </w:rPr>
      </w:pPr>
      <w:r w:rsidRPr="000F6083">
        <w:rPr>
          <w:rFonts w:asciiTheme="majorBidi" w:hAnsiTheme="majorBidi" w:cstheme="majorBidi"/>
          <w:color w:val="0A0A0A"/>
          <w:sz w:val="24"/>
          <w:szCs w:val="24"/>
          <w:shd w:val="clear" w:color="auto" w:fill="FFFFFF"/>
        </w:rPr>
        <w:t>Bell, A., Templeman, D.</w:t>
      </w:r>
      <w:r>
        <w:rPr>
          <w:rFonts w:asciiTheme="majorBidi" w:hAnsiTheme="majorBidi" w:cstheme="majorBidi"/>
          <w:color w:val="0A0A0A"/>
          <w:sz w:val="24"/>
          <w:szCs w:val="24"/>
          <w:shd w:val="clear" w:color="auto" w:fill="FFFFFF"/>
        </w:rPr>
        <w:t xml:space="preserve"> &amp;</w:t>
      </w:r>
      <w:r w:rsidRPr="000F6083">
        <w:rPr>
          <w:rFonts w:asciiTheme="majorBidi" w:hAnsiTheme="majorBidi" w:cstheme="majorBidi"/>
          <w:color w:val="0A0A0A"/>
          <w:sz w:val="24"/>
          <w:szCs w:val="24"/>
          <w:shd w:val="clear" w:color="auto" w:fill="FFFFFF"/>
        </w:rPr>
        <w:t xml:space="preserve"> Weinlein, J. C. (2016). Nonunion of the Femur and Tibia: An </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Update. </w:t>
      </w:r>
      <w:r w:rsidRPr="007218F5">
        <w:rPr>
          <w:rStyle w:val="Emphasis"/>
          <w:rFonts w:asciiTheme="majorBidi" w:hAnsiTheme="majorBidi" w:cstheme="majorBidi"/>
          <w:i w:val="0"/>
          <w:iCs w:val="0"/>
          <w:color w:val="0A0A0A"/>
          <w:sz w:val="24"/>
          <w:szCs w:val="24"/>
          <w:shd w:val="clear" w:color="auto" w:fill="FFFFFF"/>
        </w:rPr>
        <w:t>Orthopedic Clinics of North America, 47</w:t>
      </w:r>
      <w:r w:rsidRPr="000F6083">
        <w:rPr>
          <w:rFonts w:asciiTheme="majorBidi" w:hAnsiTheme="majorBidi" w:cstheme="majorBidi"/>
          <w:color w:val="0A0A0A"/>
          <w:sz w:val="24"/>
          <w:szCs w:val="24"/>
          <w:shd w:val="clear" w:color="auto" w:fill="FFFFFF"/>
        </w:rPr>
        <w:t>(2), 365</w:t>
      </w:r>
      <w:r>
        <w:rPr>
          <w:rFonts w:asciiTheme="majorBidi" w:hAnsiTheme="majorBidi" w:cstheme="majorBidi"/>
          <w:color w:val="0A0A0A"/>
          <w:sz w:val="24"/>
          <w:szCs w:val="24"/>
          <w:shd w:val="clear" w:color="auto" w:fill="FFFFFF"/>
        </w:rPr>
        <w:t>-</w:t>
      </w:r>
      <w:r w:rsidRPr="000F6083">
        <w:rPr>
          <w:rFonts w:asciiTheme="majorBidi" w:hAnsiTheme="majorBidi" w:cstheme="majorBidi"/>
          <w:color w:val="0A0A0A"/>
          <w:sz w:val="24"/>
          <w:szCs w:val="24"/>
          <w:shd w:val="clear" w:color="auto" w:fill="FFFFFF"/>
        </w:rPr>
        <w:t xml:space="preserve">375. </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https://doi.org/</w:t>
      </w:r>
      <w:r w:rsidRPr="000F6083">
        <w:rPr>
          <w:rFonts w:asciiTheme="majorBidi" w:eastAsia="Times New Roman" w:hAnsiTheme="majorBidi" w:cstheme="majorBidi"/>
          <w:color w:val="0A0A0A"/>
          <w:sz w:val="24"/>
          <w:szCs w:val="24"/>
        </w:rPr>
        <w:t>10.1016/j.ocl.2015.09.010</w:t>
      </w:r>
    </w:p>
    <w:p w14:paraId="106F039D" w14:textId="24DDEF42" w:rsidR="00DB231F" w:rsidRPr="000F6083" w:rsidRDefault="00DB231F" w:rsidP="00DB231F">
      <w:pPr>
        <w:shd w:val="clear" w:color="auto" w:fill="FFFFFF"/>
        <w:spacing w:after="240" w:line="480" w:lineRule="auto"/>
        <w:jc w:val="both"/>
        <w:rPr>
          <w:rFonts w:asciiTheme="majorBidi" w:eastAsia="Times New Roman" w:hAnsiTheme="majorBidi" w:cstheme="majorBidi"/>
          <w:color w:val="0A0A0A"/>
          <w:sz w:val="24"/>
          <w:szCs w:val="24"/>
        </w:rPr>
      </w:pPr>
      <w:r w:rsidRPr="000F6083">
        <w:rPr>
          <w:rFonts w:asciiTheme="majorBidi" w:hAnsiTheme="majorBidi" w:cstheme="majorBidi"/>
          <w:color w:val="56595E"/>
          <w:sz w:val="24"/>
          <w:szCs w:val="24"/>
          <w:shd w:val="clear" w:color="auto" w:fill="FFFFFF"/>
        </w:rPr>
        <w:t xml:space="preserve">Borie, E., </w:t>
      </w:r>
      <w:proofErr w:type="spellStart"/>
      <w:r w:rsidRPr="000F6083">
        <w:rPr>
          <w:rFonts w:asciiTheme="majorBidi" w:hAnsiTheme="majorBidi" w:cstheme="majorBidi"/>
          <w:color w:val="56595E"/>
          <w:sz w:val="24"/>
          <w:szCs w:val="24"/>
          <w:shd w:val="clear" w:color="auto" w:fill="FFFFFF"/>
        </w:rPr>
        <w:t>Oliví</w:t>
      </w:r>
      <w:proofErr w:type="spellEnd"/>
      <w:r w:rsidRPr="000F6083">
        <w:rPr>
          <w:rFonts w:asciiTheme="majorBidi" w:hAnsiTheme="majorBidi" w:cstheme="majorBidi"/>
          <w:color w:val="56595E"/>
          <w:sz w:val="24"/>
          <w:szCs w:val="24"/>
          <w:shd w:val="clear" w:color="auto" w:fill="FFFFFF"/>
        </w:rPr>
        <w:t>, D. G., Orsi, I. A., Garlet, K., Weber, B., Beltrán, V.</w:t>
      </w:r>
      <w:r>
        <w:rPr>
          <w:rFonts w:asciiTheme="majorBidi" w:hAnsiTheme="majorBidi" w:cstheme="majorBidi"/>
          <w:color w:val="56595E"/>
          <w:sz w:val="24"/>
          <w:szCs w:val="24"/>
          <w:shd w:val="clear" w:color="auto" w:fill="FFFFFF"/>
        </w:rPr>
        <w:t xml:space="preserve"> &amp; </w:t>
      </w:r>
      <w:r w:rsidRPr="000F6083">
        <w:rPr>
          <w:rFonts w:asciiTheme="majorBidi" w:hAnsiTheme="majorBidi" w:cstheme="majorBidi"/>
          <w:color w:val="56595E"/>
          <w:sz w:val="24"/>
          <w:szCs w:val="24"/>
          <w:shd w:val="clear" w:color="auto" w:fill="FFFFFF"/>
        </w:rPr>
        <w:t>Fuentes, R. (2015). Platelet-</w:t>
      </w:r>
      <w:r>
        <w:rPr>
          <w:rFonts w:asciiTheme="majorBidi" w:hAnsiTheme="majorBidi" w:cstheme="majorBidi"/>
          <w:color w:val="56595E"/>
          <w:sz w:val="24"/>
          <w:szCs w:val="24"/>
          <w:shd w:val="clear" w:color="auto" w:fill="FFFFFF"/>
        </w:rPr>
        <w:tab/>
      </w:r>
      <w:r w:rsidRPr="000F6083">
        <w:rPr>
          <w:rFonts w:asciiTheme="majorBidi" w:hAnsiTheme="majorBidi" w:cstheme="majorBidi"/>
          <w:color w:val="56595E"/>
          <w:sz w:val="24"/>
          <w:szCs w:val="24"/>
          <w:shd w:val="clear" w:color="auto" w:fill="FFFFFF"/>
        </w:rPr>
        <w:t>rich fibrin application in dentistry: A literature review. </w:t>
      </w:r>
      <w:r w:rsidRPr="007218F5">
        <w:rPr>
          <w:rStyle w:val="Emphasis"/>
          <w:rFonts w:asciiTheme="majorBidi" w:hAnsiTheme="majorBidi" w:cstheme="majorBidi"/>
          <w:i w:val="0"/>
          <w:iCs w:val="0"/>
          <w:color w:val="56595E"/>
          <w:sz w:val="24"/>
          <w:szCs w:val="24"/>
          <w:shd w:val="clear" w:color="auto" w:fill="FFFFFF"/>
        </w:rPr>
        <w:t xml:space="preserve">International Journal of Clinical and </w:t>
      </w:r>
      <w:r>
        <w:rPr>
          <w:rStyle w:val="Emphasis"/>
          <w:rFonts w:asciiTheme="majorBidi" w:hAnsiTheme="majorBidi" w:cstheme="majorBidi"/>
          <w:i w:val="0"/>
          <w:iCs w:val="0"/>
          <w:color w:val="56595E"/>
          <w:sz w:val="24"/>
          <w:szCs w:val="24"/>
          <w:shd w:val="clear" w:color="auto" w:fill="FFFFFF"/>
        </w:rPr>
        <w:tab/>
      </w:r>
      <w:r w:rsidRPr="007218F5">
        <w:rPr>
          <w:rStyle w:val="Emphasis"/>
          <w:rFonts w:asciiTheme="majorBidi" w:hAnsiTheme="majorBidi" w:cstheme="majorBidi"/>
          <w:i w:val="0"/>
          <w:iCs w:val="0"/>
          <w:color w:val="56595E"/>
          <w:sz w:val="24"/>
          <w:szCs w:val="24"/>
          <w:shd w:val="clear" w:color="auto" w:fill="FFFFFF"/>
        </w:rPr>
        <w:t>Experimental Medicine, 8</w:t>
      </w:r>
      <w:r w:rsidRPr="000F6083">
        <w:rPr>
          <w:rFonts w:asciiTheme="majorBidi" w:hAnsiTheme="majorBidi" w:cstheme="majorBidi"/>
          <w:color w:val="56595E"/>
          <w:sz w:val="24"/>
          <w:szCs w:val="24"/>
          <w:shd w:val="clear" w:color="auto" w:fill="FFFFFF"/>
        </w:rPr>
        <w:t>(5), 7922–7929.</w:t>
      </w:r>
      <w:r w:rsidRPr="000F6083">
        <w:rPr>
          <w:rFonts w:asciiTheme="majorBidi" w:eastAsia="Times New Roman" w:hAnsiTheme="majorBidi" w:cstheme="majorBidi"/>
          <w:color w:val="0A0A0A"/>
          <w:sz w:val="24"/>
          <w:szCs w:val="24"/>
        </w:rPr>
        <w:t> </w:t>
      </w:r>
    </w:p>
    <w:p w14:paraId="0DEA6359" w14:textId="12938D47" w:rsidR="00DB231F" w:rsidRPr="000753AE" w:rsidRDefault="00DB231F" w:rsidP="00DB231F">
      <w:pPr>
        <w:spacing w:line="480" w:lineRule="auto"/>
        <w:jc w:val="both"/>
        <w:rPr>
          <w:rFonts w:asciiTheme="majorBidi" w:hAnsiTheme="majorBidi" w:cstheme="majorBidi"/>
          <w:sz w:val="24"/>
          <w:szCs w:val="24"/>
          <w:lang w:val="en-GB"/>
        </w:rPr>
      </w:pPr>
      <w:r w:rsidRPr="000F6083">
        <w:rPr>
          <w:rFonts w:asciiTheme="majorBidi" w:hAnsiTheme="majorBidi" w:cstheme="majorBidi"/>
          <w:sz w:val="24"/>
          <w:szCs w:val="24"/>
        </w:rPr>
        <w:t>Bowers, K.</w:t>
      </w:r>
      <w:r>
        <w:rPr>
          <w:rFonts w:asciiTheme="majorBidi" w:hAnsiTheme="majorBidi" w:cstheme="majorBidi"/>
          <w:sz w:val="24"/>
          <w:szCs w:val="24"/>
        </w:rPr>
        <w:t xml:space="preserve"> </w:t>
      </w:r>
      <w:r w:rsidRPr="000F6083">
        <w:rPr>
          <w:rFonts w:asciiTheme="majorBidi" w:hAnsiTheme="majorBidi" w:cstheme="majorBidi"/>
          <w:sz w:val="24"/>
          <w:szCs w:val="24"/>
        </w:rPr>
        <w:t xml:space="preserve">M. </w:t>
      </w:r>
      <w:r>
        <w:rPr>
          <w:rFonts w:asciiTheme="majorBidi" w:hAnsiTheme="majorBidi" w:cstheme="majorBidi"/>
          <w:sz w:val="24"/>
          <w:szCs w:val="24"/>
        </w:rPr>
        <w:t>&amp;</w:t>
      </w:r>
      <w:r w:rsidRPr="000F6083">
        <w:rPr>
          <w:rFonts w:asciiTheme="majorBidi" w:hAnsiTheme="majorBidi" w:cstheme="majorBidi"/>
          <w:sz w:val="24"/>
          <w:szCs w:val="24"/>
        </w:rPr>
        <w:t xml:space="preserve"> Anderson, D.</w:t>
      </w:r>
      <w:r>
        <w:rPr>
          <w:rFonts w:asciiTheme="majorBidi" w:hAnsiTheme="majorBidi" w:cstheme="majorBidi"/>
          <w:sz w:val="24"/>
          <w:szCs w:val="24"/>
        </w:rPr>
        <w:t xml:space="preserve"> </w:t>
      </w:r>
      <w:r w:rsidRPr="000F6083">
        <w:rPr>
          <w:rFonts w:asciiTheme="majorBidi" w:hAnsiTheme="majorBidi" w:cstheme="majorBidi"/>
          <w:sz w:val="24"/>
          <w:szCs w:val="24"/>
        </w:rPr>
        <w:t>E., (2024). Delayed union and nonunion: current concepts</w:t>
      </w:r>
      <w:proofErr w:type="gramStart"/>
      <w:r w:rsidRPr="000F6083">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prevention</w:t>
      </w:r>
      <w:proofErr w:type="gramEnd"/>
      <w:r w:rsidRPr="000F6083">
        <w:rPr>
          <w:rFonts w:asciiTheme="majorBidi" w:hAnsiTheme="majorBidi" w:cstheme="majorBidi"/>
          <w:sz w:val="24"/>
          <w:szCs w:val="24"/>
        </w:rPr>
        <w:t>, and correction: a review. </w:t>
      </w:r>
      <w:r w:rsidRPr="000753AE">
        <w:rPr>
          <w:rFonts w:asciiTheme="majorBidi" w:hAnsiTheme="majorBidi" w:cstheme="majorBidi"/>
          <w:sz w:val="24"/>
          <w:szCs w:val="24"/>
        </w:rPr>
        <w:t>Bioengineering,</w:t>
      </w:r>
      <w:r w:rsidRPr="000F6083">
        <w:rPr>
          <w:rFonts w:asciiTheme="majorBidi" w:hAnsiTheme="majorBidi" w:cstheme="majorBidi"/>
          <w:sz w:val="24"/>
          <w:szCs w:val="24"/>
        </w:rPr>
        <w:t> 11(6), 525.</w:t>
      </w:r>
      <w:r>
        <w:rPr>
          <w:rFonts w:asciiTheme="majorBidi" w:hAnsiTheme="majorBidi" w:cstheme="majorBidi"/>
          <w:sz w:val="24"/>
          <w:szCs w:val="24"/>
        </w:rPr>
        <w:t xml:space="preserve"> </w:t>
      </w:r>
      <w:r>
        <w:rPr>
          <w:rFonts w:asciiTheme="majorBidi" w:hAnsiTheme="majorBidi" w:cstheme="majorBidi"/>
          <w:sz w:val="24"/>
          <w:szCs w:val="24"/>
          <w:lang w:val="en-GB"/>
        </w:rPr>
        <w:t xml:space="preserve"> </w:t>
      </w:r>
      <w:r>
        <w:rPr>
          <w:rFonts w:asciiTheme="majorBidi" w:hAnsiTheme="majorBidi" w:cstheme="majorBidi"/>
          <w:sz w:val="24"/>
          <w:szCs w:val="24"/>
          <w:lang w:val="en-GB"/>
        </w:rPr>
        <w:tab/>
      </w:r>
      <w:r w:rsidRPr="000753AE">
        <w:rPr>
          <w:rFonts w:asciiTheme="majorBidi" w:hAnsiTheme="majorBidi" w:cstheme="majorBidi"/>
          <w:sz w:val="24"/>
          <w:szCs w:val="24"/>
          <w:lang w:val="en-GB"/>
        </w:rPr>
        <w:t>DOI: </w:t>
      </w:r>
      <w:hyperlink r:id="rId10" w:tgtFrame="_blank" w:history="1">
        <w:r w:rsidRPr="000753AE">
          <w:rPr>
            <w:rStyle w:val="Hyperlink"/>
            <w:rFonts w:asciiTheme="majorBidi" w:hAnsiTheme="majorBidi" w:cstheme="majorBidi"/>
            <w:sz w:val="24"/>
            <w:szCs w:val="24"/>
            <w:lang w:val="en-GB"/>
          </w:rPr>
          <w:t>10.3390/bioengineering11060525</w:t>
        </w:r>
      </w:hyperlink>
    </w:p>
    <w:p w14:paraId="73F2017B" w14:textId="5A3C1BFC" w:rsidR="00DB231F" w:rsidRPr="000F6083" w:rsidRDefault="00DB231F" w:rsidP="00DB231F">
      <w:pPr>
        <w:spacing w:before="100" w:beforeAutospacing="1" w:after="100" w:afterAutospacing="1" w:line="480" w:lineRule="auto"/>
        <w:jc w:val="both"/>
        <w:rPr>
          <w:rFonts w:asciiTheme="majorBidi" w:hAnsiTheme="majorBidi" w:cstheme="majorBidi"/>
          <w:color w:val="0A0A0A"/>
          <w:sz w:val="24"/>
          <w:szCs w:val="24"/>
          <w:shd w:val="clear" w:color="auto" w:fill="FFFFFF"/>
        </w:rPr>
      </w:pPr>
      <w:proofErr w:type="spellStart"/>
      <w:r w:rsidRPr="000F6083">
        <w:rPr>
          <w:rFonts w:asciiTheme="majorBidi" w:hAnsiTheme="majorBidi" w:cstheme="majorBidi"/>
          <w:color w:val="0A0A0A"/>
          <w:sz w:val="24"/>
          <w:szCs w:val="24"/>
          <w:shd w:val="clear" w:color="auto" w:fill="FFFFFF"/>
        </w:rPr>
        <w:lastRenderedPageBreak/>
        <w:t>Choukroun</w:t>
      </w:r>
      <w:proofErr w:type="spellEnd"/>
      <w:r w:rsidRPr="000F6083">
        <w:rPr>
          <w:rFonts w:asciiTheme="majorBidi" w:hAnsiTheme="majorBidi" w:cstheme="majorBidi"/>
          <w:color w:val="0A0A0A"/>
          <w:sz w:val="24"/>
          <w:szCs w:val="24"/>
          <w:shd w:val="clear" w:color="auto" w:fill="FFFFFF"/>
        </w:rPr>
        <w:t xml:space="preserve">, J., Diss, A., </w:t>
      </w:r>
      <w:proofErr w:type="spellStart"/>
      <w:r w:rsidRPr="000F6083">
        <w:rPr>
          <w:rFonts w:asciiTheme="majorBidi" w:hAnsiTheme="majorBidi" w:cstheme="majorBidi"/>
          <w:color w:val="0A0A0A"/>
          <w:sz w:val="24"/>
          <w:szCs w:val="24"/>
          <w:shd w:val="clear" w:color="auto" w:fill="FFFFFF"/>
        </w:rPr>
        <w:t>Simonpieri</w:t>
      </w:r>
      <w:proofErr w:type="spellEnd"/>
      <w:r w:rsidRPr="000F6083">
        <w:rPr>
          <w:rFonts w:asciiTheme="majorBidi" w:hAnsiTheme="majorBidi" w:cstheme="majorBidi"/>
          <w:color w:val="0A0A0A"/>
          <w:sz w:val="24"/>
          <w:szCs w:val="24"/>
          <w:shd w:val="clear" w:color="auto" w:fill="FFFFFF"/>
        </w:rPr>
        <w:t>, A., Girard, M.</w:t>
      </w:r>
      <w:r>
        <w:rPr>
          <w:rFonts w:asciiTheme="majorBidi" w:hAnsiTheme="majorBidi" w:cstheme="majorBidi"/>
          <w:color w:val="0A0A0A"/>
          <w:sz w:val="24"/>
          <w:szCs w:val="24"/>
          <w:shd w:val="clear" w:color="auto" w:fill="FFFFFF"/>
        </w:rPr>
        <w:t xml:space="preserve"> </w:t>
      </w:r>
      <w:r w:rsidRPr="000F6083">
        <w:rPr>
          <w:rFonts w:asciiTheme="majorBidi" w:hAnsiTheme="majorBidi" w:cstheme="majorBidi"/>
          <w:color w:val="0A0A0A"/>
          <w:sz w:val="24"/>
          <w:szCs w:val="24"/>
          <w:shd w:val="clear" w:color="auto" w:fill="FFFFFF"/>
        </w:rPr>
        <w:t xml:space="preserve">O., Schoeffler, C., Dohan, S. L., Dohan, A. J. </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J., M</w:t>
      </w:r>
      <w:proofErr w:type="spellStart"/>
      <w:r w:rsidRPr="000F6083">
        <w:rPr>
          <w:rFonts w:asciiTheme="majorBidi" w:hAnsiTheme="majorBidi" w:cstheme="majorBidi"/>
          <w:color w:val="0A0A0A"/>
          <w:sz w:val="24"/>
          <w:szCs w:val="24"/>
          <w:shd w:val="clear" w:color="auto" w:fill="FFFFFF"/>
        </w:rPr>
        <w:t>ouhyi</w:t>
      </w:r>
      <w:proofErr w:type="spellEnd"/>
      <w:r w:rsidRPr="000F6083">
        <w:rPr>
          <w:rFonts w:asciiTheme="majorBidi" w:hAnsiTheme="majorBidi" w:cstheme="majorBidi"/>
          <w:color w:val="0A0A0A"/>
          <w:sz w:val="24"/>
          <w:szCs w:val="24"/>
          <w:shd w:val="clear" w:color="auto" w:fill="FFFFFF"/>
        </w:rPr>
        <w:t>, J.</w:t>
      </w:r>
      <w:r>
        <w:rPr>
          <w:rFonts w:asciiTheme="majorBidi" w:hAnsiTheme="majorBidi" w:cstheme="majorBidi"/>
          <w:color w:val="0A0A0A"/>
          <w:sz w:val="24"/>
          <w:szCs w:val="24"/>
          <w:shd w:val="clear" w:color="auto" w:fill="FFFFFF"/>
        </w:rPr>
        <w:t xml:space="preserve"> &amp; </w:t>
      </w:r>
      <w:r w:rsidRPr="000F6083">
        <w:rPr>
          <w:rFonts w:asciiTheme="majorBidi" w:hAnsiTheme="majorBidi" w:cstheme="majorBidi"/>
          <w:color w:val="0A0A0A"/>
          <w:sz w:val="24"/>
          <w:szCs w:val="24"/>
          <w:shd w:val="clear" w:color="auto" w:fill="FFFFFF"/>
        </w:rPr>
        <w:t xml:space="preserve">Dohan, D. M. (2006). Platelet-rich fibrin (PRF): a second-generation </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platelet concentrate. Part IV: clinical effects on tissue healing. </w:t>
      </w:r>
      <w:r w:rsidRPr="000F6083">
        <w:rPr>
          <w:rStyle w:val="Emphasis"/>
          <w:rFonts w:asciiTheme="majorBidi" w:hAnsiTheme="majorBidi" w:cstheme="majorBidi"/>
          <w:color w:val="0A0A0A"/>
          <w:sz w:val="24"/>
          <w:szCs w:val="24"/>
          <w:shd w:val="clear" w:color="auto" w:fill="FFFFFF"/>
        </w:rPr>
        <w:t xml:space="preserve">Oral Surgery, </w:t>
      </w:r>
      <w:r w:rsidRPr="000753AE">
        <w:rPr>
          <w:rStyle w:val="Emphasis"/>
          <w:rFonts w:asciiTheme="majorBidi" w:hAnsiTheme="majorBidi" w:cstheme="majorBidi"/>
          <w:i w:val="0"/>
          <w:iCs w:val="0"/>
          <w:color w:val="0A0A0A"/>
          <w:sz w:val="24"/>
          <w:szCs w:val="24"/>
          <w:shd w:val="clear" w:color="auto" w:fill="FFFFFF"/>
        </w:rPr>
        <w:t xml:space="preserve">Oral </w:t>
      </w:r>
      <w:r>
        <w:rPr>
          <w:rStyle w:val="Emphasis"/>
          <w:rFonts w:asciiTheme="majorBidi" w:hAnsiTheme="majorBidi" w:cstheme="majorBidi"/>
          <w:i w:val="0"/>
          <w:iCs w:val="0"/>
          <w:color w:val="0A0A0A"/>
          <w:sz w:val="24"/>
          <w:szCs w:val="24"/>
          <w:shd w:val="clear" w:color="auto" w:fill="FFFFFF"/>
        </w:rPr>
        <w:tab/>
      </w:r>
      <w:r w:rsidRPr="000753AE">
        <w:rPr>
          <w:rStyle w:val="Emphasis"/>
          <w:rFonts w:asciiTheme="majorBidi" w:hAnsiTheme="majorBidi" w:cstheme="majorBidi"/>
          <w:i w:val="0"/>
          <w:iCs w:val="0"/>
          <w:color w:val="0A0A0A"/>
          <w:sz w:val="24"/>
          <w:szCs w:val="24"/>
          <w:shd w:val="clear" w:color="auto" w:fill="FFFFFF"/>
        </w:rPr>
        <w:t>Medicine, Oral Pathology, Oral Radiology, and Endodontology, 10</w:t>
      </w:r>
      <w:r w:rsidRPr="005D12C6">
        <w:rPr>
          <w:rFonts w:asciiTheme="majorBidi" w:hAnsiTheme="majorBidi" w:cstheme="majorBidi"/>
          <w:color w:val="0A0A0A"/>
          <w:sz w:val="24"/>
          <w:szCs w:val="24"/>
          <w:shd w:val="clear" w:color="auto" w:fill="FFFFFF"/>
        </w:rPr>
        <w:t>(3),</w:t>
      </w:r>
      <w:r w:rsidRPr="000F6083">
        <w:rPr>
          <w:rFonts w:asciiTheme="majorBidi" w:hAnsiTheme="majorBidi" w:cstheme="majorBidi"/>
          <w:color w:val="0A0A0A"/>
          <w:sz w:val="24"/>
          <w:szCs w:val="24"/>
          <w:shd w:val="clear" w:color="auto" w:fill="FFFFFF"/>
        </w:rPr>
        <w:t xml:space="preserve"> e56–</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e60. </w:t>
      </w:r>
      <w:hyperlink r:id="rId11" w:history="1">
        <w:r w:rsidRPr="000F6083">
          <w:rPr>
            <w:rStyle w:val="Hyperlink"/>
            <w:rFonts w:asciiTheme="majorBidi" w:hAnsiTheme="majorBidi" w:cstheme="majorBidi"/>
            <w:sz w:val="24"/>
            <w:szCs w:val="24"/>
            <w:shd w:val="clear" w:color="auto" w:fill="FFFFFF"/>
          </w:rPr>
          <w:t>https://doi.org/10.1016/j.tripleo.2005.07.011</w:t>
        </w:r>
      </w:hyperlink>
    </w:p>
    <w:p w14:paraId="262FB5B6" w14:textId="5B1C19F5" w:rsidR="00DB231F" w:rsidRPr="005D12C6" w:rsidRDefault="00DB231F" w:rsidP="00DB231F">
      <w:pPr>
        <w:shd w:val="clear" w:color="auto" w:fill="FFFFFF"/>
        <w:spacing w:after="240" w:line="480" w:lineRule="auto"/>
        <w:jc w:val="both"/>
        <w:rPr>
          <w:rFonts w:asciiTheme="majorBidi" w:eastAsia="Times New Roman" w:hAnsiTheme="majorBidi" w:cstheme="majorBidi"/>
          <w:color w:val="0A0A0A"/>
          <w:sz w:val="24"/>
          <w:szCs w:val="24"/>
          <w:lang w:val="en-GB"/>
        </w:rPr>
      </w:pPr>
      <w:r w:rsidRPr="000F6083">
        <w:rPr>
          <w:rFonts w:asciiTheme="majorBidi" w:eastAsia="Times New Roman" w:hAnsiTheme="majorBidi" w:cstheme="majorBidi"/>
          <w:color w:val="0A0A0A"/>
          <w:sz w:val="24"/>
          <w:szCs w:val="24"/>
        </w:rPr>
        <w:t xml:space="preserve">Cieza, A., Causey, K., Kamenov, K., Boerma, T., Chatterji, S. &amp; </w:t>
      </w:r>
      <w:proofErr w:type="spellStart"/>
      <w:r w:rsidRPr="000F6083">
        <w:rPr>
          <w:rFonts w:asciiTheme="majorBidi" w:eastAsia="Times New Roman" w:hAnsiTheme="majorBidi" w:cstheme="majorBidi"/>
          <w:color w:val="0A0A0A"/>
          <w:sz w:val="24"/>
          <w:szCs w:val="24"/>
        </w:rPr>
        <w:t>Tangcharoensathien</w:t>
      </w:r>
      <w:proofErr w:type="spellEnd"/>
      <w:r w:rsidRPr="000F6083">
        <w:rPr>
          <w:rFonts w:asciiTheme="majorBidi" w:eastAsia="Times New Roman" w:hAnsiTheme="majorBidi" w:cstheme="majorBidi"/>
          <w:color w:val="0A0A0A"/>
          <w:sz w:val="24"/>
          <w:szCs w:val="24"/>
        </w:rPr>
        <w:t xml:space="preserve">, V. (2021). </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 xml:space="preserve">Global estimates of the need for rehabilitation based on the Global Burden of Disease study </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 xml:space="preserve">2019: a systematic analysis for the Global Burden of Disease Rehabilitation </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Collaboration. </w:t>
      </w:r>
      <w:r w:rsidRPr="005D12C6">
        <w:rPr>
          <w:rFonts w:asciiTheme="majorBidi" w:eastAsia="Times New Roman" w:hAnsiTheme="majorBidi" w:cstheme="majorBidi"/>
          <w:color w:val="0A0A0A"/>
          <w:sz w:val="24"/>
          <w:szCs w:val="24"/>
        </w:rPr>
        <w:t>The Lancet, 396</w:t>
      </w:r>
      <w:r w:rsidRPr="000F6083">
        <w:rPr>
          <w:rFonts w:asciiTheme="majorBidi" w:eastAsia="Times New Roman" w:hAnsiTheme="majorBidi" w:cstheme="majorBidi"/>
          <w:color w:val="0A0A0A"/>
          <w:sz w:val="24"/>
          <w:szCs w:val="24"/>
        </w:rPr>
        <w:t>(10267), 2008-2017.</w:t>
      </w:r>
      <w:r>
        <w:rPr>
          <w:rFonts w:asciiTheme="majorBidi" w:eastAsia="Times New Roman" w:hAnsiTheme="majorBidi" w:cstheme="majorBidi"/>
          <w:color w:val="0A0A0A"/>
          <w:sz w:val="24"/>
          <w:szCs w:val="24"/>
        </w:rPr>
        <w:t xml:space="preserve"> </w:t>
      </w:r>
      <w:r w:rsidRPr="005D12C6">
        <w:rPr>
          <w:rFonts w:asciiTheme="majorBidi" w:eastAsia="Times New Roman" w:hAnsiTheme="majorBidi" w:cstheme="majorBidi"/>
          <w:color w:val="0A0A0A"/>
          <w:sz w:val="24"/>
          <w:szCs w:val="24"/>
          <w:lang w:val="en-GB"/>
        </w:rPr>
        <w:t>DOI: </w:t>
      </w:r>
      <w:hyperlink r:id="rId12" w:tgtFrame="_blank" w:history="1">
        <w:r w:rsidRPr="005D12C6">
          <w:rPr>
            <w:rStyle w:val="Hyperlink"/>
            <w:rFonts w:asciiTheme="majorBidi" w:eastAsia="Times New Roman" w:hAnsiTheme="majorBidi" w:cstheme="majorBidi"/>
            <w:sz w:val="24"/>
            <w:szCs w:val="24"/>
            <w:lang w:val="en-GB"/>
          </w:rPr>
          <w:t>10.1016/S0140-</w:t>
        </w:r>
        <w:r>
          <w:rPr>
            <w:rStyle w:val="Hyperlink"/>
            <w:rFonts w:asciiTheme="majorBidi" w:eastAsia="Times New Roman" w:hAnsiTheme="majorBidi" w:cstheme="majorBidi"/>
            <w:sz w:val="24"/>
            <w:szCs w:val="24"/>
            <w:lang w:val="en-GB"/>
          </w:rPr>
          <w:tab/>
        </w:r>
        <w:r w:rsidRPr="005D12C6">
          <w:rPr>
            <w:rStyle w:val="Hyperlink"/>
            <w:rFonts w:asciiTheme="majorBidi" w:eastAsia="Times New Roman" w:hAnsiTheme="majorBidi" w:cstheme="majorBidi"/>
            <w:sz w:val="24"/>
            <w:szCs w:val="24"/>
            <w:lang w:val="en-GB"/>
          </w:rPr>
          <w:t>6736(20)32340-0</w:t>
        </w:r>
      </w:hyperlink>
    </w:p>
    <w:p w14:paraId="0F5ABB7F" w14:textId="78B8AD13" w:rsidR="00DB231F" w:rsidRPr="007D4BF4" w:rsidRDefault="00DB231F" w:rsidP="00DB231F">
      <w:pPr>
        <w:spacing w:before="100" w:beforeAutospacing="1" w:after="100" w:afterAutospacing="1" w:line="480" w:lineRule="auto"/>
        <w:jc w:val="both"/>
        <w:rPr>
          <w:rFonts w:asciiTheme="majorBidi" w:eastAsia="Times New Roman" w:hAnsiTheme="majorBidi" w:cstheme="majorBidi"/>
          <w:sz w:val="24"/>
          <w:szCs w:val="24"/>
          <w:lang w:val="en-GB"/>
        </w:rPr>
      </w:pPr>
      <w:proofErr w:type="spellStart"/>
      <w:r w:rsidRPr="000F6083">
        <w:rPr>
          <w:rFonts w:asciiTheme="majorBidi" w:eastAsia="Times New Roman" w:hAnsiTheme="majorBidi" w:cstheme="majorBidi"/>
          <w:sz w:val="24"/>
          <w:szCs w:val="24"/>
        </w:rPr>
        <w:t>Dhurat</w:t>
      </w:r>
      <w:proofErr w:type="spellEnd"/>
      <w:r w:rsidRPr="000F6083">
        <w:rPr>
          <w:rFonts w:asciiTheme="majorBidi" w:eastAsia="Times New Roman" w:hAnsiTheme="majorBidi" w:cstheme="majorBidi"/>
          <w:sz w:val="24"/>
          <w:szCs w:val="24"/>
        </w:rPr>
        <w:t>, R.</w:t>
      </w:r>
      <w:r>
        <w:rPr>
          <w:rFonts w:asciiTheme="majorBidi" w:eastAsia="Times New Roman" w:hAnsiTheme="majorBidi" w:cstheme="majorBidi"/>
          <w:sz w:val="24"/>
          <w:szCs w:val="24"/>
        </w:rPr>
        <w:t xml:space="preserve"> &amp;</w:t>
      </w:r>
      <w:r w:rsidRPr="000F6083" w:rsidDel="0025525B">
        <w:rPr>
          <w:rFonts w:asciiTheme="majorBidi" w:eastAsia="Times New Roman" w:hAnsiTheme="majorBidi" w:cstheme="majorBidi"/>
          <w:sz w:val="24"/>
          <w:szCs w:val="24"/>
        </w:rPr>
        <w:t xml:space="preserve"> </w:t>
      </w:r>
      <w:r w:rsidRPr="000F6083">
        <w:rPr>
          <w:rFonts w:asciiTheme="majorBidi" w:eastAsia="Times New Roman" w:hAnsiTheme="majorBidi" w:cstheme="majorBidi"/>
          <w:sz w:val="24"/>
          <w:szCs w:val="24"/>
        </w:rPr>
        <w:t>Sukesh, M. S. (2014). Principles and methods of preparation of platelet-rich plasma</w:t>
      </w:r>
      <w:proofErr w:type="gramStart"/>
      <w:r w:rsidRPr="000F6083">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b/>
      </w:r>
      <w:r w:rsidRPr="000F6083">
        <w:rPr>
          <w:rFonts w:asciiTheme="majorBidi" w:eastAsia="Times New Roman" w:hAnsiTheme="majorBidi" w:cstheme="majorBidi"/>
          <w:sz w:val="24"/>
          <w:szCs w:val="24"/>
        </w:rPr>
        <w:t>A</w:t>
      </w:r>
      <w:proofErr w:type="gramEnd"/>
      <w:r w:rsidRPr="000F6083">
        <w:rPr>
          <w:rFonts w:asciiTheme="majorBidi" w:eastAsia="Times New Roman" w:hAnsiTheme="majorBidi" w:cstheme="majorBidi"/>
          <w:sz w:val="24"/>
          <w:szCs w:val="24"/>
        </w:rPr>
        <w:t xml:space="preserve"> review and author’s perspective. </w:t>
      </w:r>
      <w:r w:rsidRPr="005D12C6">
        <w:rPr>
          <w:rFonts w:asciiTheme="majorBidi" w:eastAsia="Times New Roman" w:hAnsiTheme="majorBidi" w:cstheme="majorBidi"/>
          <w:sz w:val="24"/>
          <w:szCs w:val="24"/>
        </w:rPr>
        <w:t>Journal of Cutaneous and Aesthetic Surgery, 7</w:t>
      </w:r>
      <w:r w:rsidRPr="000F6083">
        <w:rPr>
          <w:rFonts w:asciiTheme="majorBidi" w:eastAsia="Times New Roman" w:hAnsiTheme="majorBidi" w:cstheme="majorBidi"/>
          <w:sz w:val="24"/>
          <w:szCs w:val="24"/>
        </w:rPr>
        <w:t>(4), 189</w:t>
      </w:r>
      <w:r>
        <w:rPr>
          <w:rFonts w:asciiTheme="majorBidi" w:eastAsia="Times New Roman" w:hAnsiTheme="majorBidi" w:cstheme="majorBidi"/>
          <w:sz w:val="24"/>
          <w:szCs w:val="24"/>
        </w:rPr>
        <w:t>-</w:t>
      </w:r>
      <w:r>
        <w:rPr>
          <w:rFonts w:asciiTheme="majorBidi" w:eastAsia="Times New Roman" w:hAnsiTheme="majorBidi" w:cstheme="majorBidi"/>
          <w:sz w:val="24"/>
          <w:szCs w:val="24"/>
        </w:rPr>
        <w:tab/>
      </w:r>
      <w:r w:rsidRPr="000F6083">
        <w:rPr>
          <w:rFonts w:asciiTheme="majorBidi" w:eastAsia="Times New Roman" w:hAnsiTheme="majorBidi" w:cstheme="majorBidi"/>
          <w:sz w:val="24"/>
          <w:szCs w:val="24"/>
        </w:rPr>
        <w:t xml:space="preserve">197. </w:t>
      </w:r>
      <w:r w:rsidRPr="007D4BF4">
        <w:rPr>
          <w:rFonts w:asciiTheme="majorBidi" w:eastAsia="Times New Roman" w:hAnsiTheme="majorBidi" w:cstheme="majorBidi"/>
          <w:sz w:val="24"/>
          <w:szCs w:val="24"/>
          <w:lang w:val="en-GB"/>
        </w:rPr>
        <w:t>DOI: </w:t>
      </w:r>
      <w:hyperlink r:id="rId13" w:tgtFrame="_blank" w:history="1">
        <w:r w:rsidRPr="007D4BF4">
          <w:rPr>
            <w:rStyle w:val="Hyperlink"/>
            <w:rFonts w:asciiTheme="majorBidi" w:eastAsia="Times New Roman" w:hAnsiTheme="majorBidi" w:cstheme="majorBidi"/>
            <w:sz w:val="24"/>
            <w:szCs w:val="24"/>
            <w:lang w:val="en-GB"/>
          </w:rPr>
          <w:t>10.4103/0974-2077.150734</w:t>
        </w:r>
      </w:hyperlink>
    </w:p>
    <w:p w14:paraId="26D7A957" w14:textId="30CA2DDB" w:rsidR="00DB231F" w:rsidRPr="000F6083" w:rsidRDefault="00DB231F" w:rsidP="00DB231F">
      <w:pPr>
        <w:spacing w:line="480" w:lineRule="auto"/>
        <w:rPr>
          <w:rFonts w:asciiTheme="majorBidi" w:hAnsiTheme="majorBidi" w:cstheme="majorBidi"/>
          <w:sz w:val="24"/>
          <w:szCs w:val="24"/>
        </w:rPr>
      </w:pPr>
      <w:r w:rsidRPr="000F6083">
        <w:rPr>
          <w:rFonts w:asciiTheme="majorBidi" w:hAnsiTheme="majorBidi" w:cstheme="majorBidi"/>
          <w:sz w:val="24"/>
          <w:szCs w:val="24"/>
        </w:rPr>
        <w:t>Ehrenfest, D.</w:t>
      </w:r>
      <w:r>
        <w:rPr>
          <w:rFonts w:asciiTheme="majorBidi" w:hAnsiTheme="majorBidi" w:cstheme="majorBidi"/>
          <w:sz w:val="24"/>
          <w:szCs w:val="24"/>
        </w:rPr>
        <w:t xml:space="preserve"> </w:t>
      </w:r>
      <w:r w:rsidRPr="000F6083">
        <w:rPr>
          <w:rFonts w:asciiTheme="majorBidi" w:hAnsiTheme="majorBidi" w:cstheme="majorBidi"/>
          <w:sz w:val="24"/>
          <w:szCs w:val="24"/>
        </w:rPr>
        <w:t>M.</w:t>
      </w:r>
      <w:r>
        <w:rPr>
          <w:rFonts w:asciiTheme="majorBidi" w:hAnsiTheme="majorBidi" w:cstheme="majorBidi"/>
          <w:sz w:val="24"/>
          <w:szCs w:val="24"/>
        </w:rPr>
        <w:t xml:space="preserve"> </w:t>
      </w:r>
      <w:r w:rsidRPr="000F6083">
        <w:rPr>
          <w:rFonts w:asciiTheme="majorBidi" w:hAnsiTheme="majorBidi" w:cstheme="majorBidi"/>
          <w:sz w:val="24"/>
          <w:szCs w:val="24"/>
        </w:rPr>
        <w:t xml:space="preserve">D., Rasmusson, L. </w:t>
      </w:r>
      <w:r>
        <w:rPr>
          <w:rFonts w:asciiTheme="majorBidi" w:hAnsiTheme="majorBidi" w:cstheme="majorBidi"/>
          <w:sz w:val="24"/>
          <w:szCs w:val="24"/>
        </w:rPr>
        <w:t>&amp;</w:t>
      </w:r>
      <w:r w:rsidRPr="000F6083">
        <w:rPr>
          <w:rFonts w:asciiTheme="majorBidi" w:hAnsiTheme="majorBidi" w:cstheme="majorBidi"/>
          <w:sz w:val="24"/>
          <w:szCs w:val="24"/>
        </w:rPr>
        <w:t xml:space="preserve"> Albrektsson, T. (2009). Classification of platelet </w:t>
      </w:r>
      <w:r>
        <w:rPr>
          <w:rFonts w:asciiTheme="majorBidi" w:hAnsiTheme="majorBidi" w:cstheme="majorBidi"/>
          <w:sz w:val="24"/>
          <w:szCs w:val="24"/>
        </w:rPr>
        <w:tab/>
      </w:r>
      <w:r w:rsidRPr="000F6083">
        <w:rPr>
          <w:rFonts w:asciiTheme="majorBidi" w:hAnsiTheme="majorBidi" w:cstheme="majorBidi"/>
          <w:sz w:val="24"/>
          <w:szCs w:val="24"/>
        </w:rPr>
        <w:t xml:space="preserve">concentrates: from pure platelet-rich plasma (P-PRP) to leucocyte-and platelet-rich </w:t>
      </w:r>
      <w:proofErr w:type="gramStart"/>
      <w:r w:rsidRPr="000F6083">
        <w:rPr>
          <w:rFonts w:asciiTheme="majorBidi" w:hAnsiTheme="majorBidi" w:cstheme="majorBidi"/>
          <w:sz w:val="24"/>
          <w:szCs w:val="24"/>
        </w:rPr>
        <w:t xml:space="preserve">fibrin </w:t>
      </w:r>
      <w:r>
        <w:rPr>
          <w:rFonts w:asciiTheme="majorBidi" w:hAnsiTheme="majorBidi" w:cstheme="majorBidi"/>
          <w:sz w:val="24"/>
          <w:szCs w:val="24"/>
        </w:rPr>
        <w:tab/>
      </w:r>
      <w:r w:rsidRPr="000F6083">
        <w:rPr>
          <w:rFonts w:asciiTheme="majorBidi" w:hAnsiTheme="majorBidi" w:cstheme="majorBidi"/>
          <w:sz w:val="24"/>
          <w:szCs w:val="24"/>
        </w:rPr>
        <w:t>(</w:t>
      </w:r>
      <w:proofErr w:type="gramEnd"/>
      <w:r w:rsidRPr="000F6083">
        <w:rPr>
          <w:rFonts w:asciiTheme="majorBidi" w:hAnsiTheme="majorBidi" w:cstheme="majorBidi"/>
          <w:sz w:val="24"/>
          <w:szCs w:val="24"/>
        </w:rPr>
        <w:t>L-PRF). </w:t>
      </w:r>
      <w:r w:rsidRPr="007D4BF4">
        <w:rPr>
          <w:rFonts w:asciiTheme="majorBidi" w:hAnsiTheme="majorBidi" w:cstheme="majorBidi"/>
          <w:sz w:val="24"/>
          <w:szCs w:val="24"/>
        </w:rPr>
        <w:t>Trends in biotechnology,</w:t>
      </w:r>
      <w:r w:rsidRPr="000F6083">
        <w:rPr>
          <w:rFonts w:asciiTheme="majorBidi" w:hAnsiTheme="majorBidi" w:cstheme="majorBidi"/>
          <w:sz w:val="24"/>
          <w:szCs w:val="24"/>
        </w:rPr>
        <w:t> 27(3), 158-167.</w:t>
      </w:r>
      <w:r>
        <w:rPr>
          <w:rFonts w:asciiTheme="majorBidi" w:hAnsiTheme="majorBidi" w:cstheme="majorBidi"/>
          <w:sz w:val="24"/>
          <w:szCs w:val="24"/>
        </w:rPr>
        <w:t xml:space="preserve"> </w:t>
      </w:r>
      <w:r>
        <w:rPr>
          <w:rFonts w:asciiTheme="majorBidi" w:hAnsiTheme="majorBidi" w:cstheme="majorBidi"/>
          <w:sz w:val="24"/>
          <w:szCs w:val="24"/>
        </w:rPr>
        <w:tab/>
      </w:r>
      <w:hyperlink r:id="rId14" w:history="1">
        <w:r w:rsidRPr="00C245B5">
          <w:rPr>
            <w:rStyle w:val="Hyperlink"/>
            <w:rFonts w:asciiTheme="majorBidi" w:hAnsiTheme="majorBidi" w:cstheme="majorBidi"/>
            <w:sz w:val="24"/>
            <w:szCs w:val="24"/>
          </w:rPr>
          <w:t>https://doi.org/10.1016/j.tibtech.2008.11.009</w:t>
        </w:r>
      </w:hyperlink>
    </w:p>
    <w:p w14:paraId="3A883CE8" w14:textId="443B96D3" w:rsidR="00DB231F" w:rsidRPr="000F6083" w:rsidRDefault="00DB231F" w:rsidP="00DB231F">
      <w:pPr>
        <w:shd w:val="clear" w:color="auto" w:fill="FFFFFF"/>
        <w:spacing w:after="240"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Einhorn, T. A. &amp; Clement, D. A. (2012). The biology of fracture healing. In </w:t>
      </w:r>
      <w:proofErr w:type="spellStart"/>
      <w:r w:rsidRPr="000F6083">
        <w:rPr>
          <w:rFonts w:asciiTheme="majorBidi" w:eastAsia="Times New Roman" w:hAnsiTheme="majorBidi" w:cstheme="majorBidi"/>
          <w:i/>
          <w:iCs/>
          <w:color w:val="0A0A0A"/>
          <w:sz w:val="24"/>
          <w:szCs w:val="24"/>
        </w:rPr>
        <w:t>Orthopaedic</w:t>
      </w:r>
      <w:proofErr w:type="spellEnd"/>
      <w:r w:rsidRPr="000F6083">
        <w:rPr>
          <w:rFonts w:asciiTheme="majorBidi" w:eastAsia="Times New Roman" w:hAnsiTheme="majorBidi" w:cstheme="majorBidi"/>
          <w:i/>
          <w:iCs/>
          <w:color w:val="0A0A0A"/>
          <w:sz w:val="24"/>
          <w:szCs w:val="24"/>
        </w:rPr>
        <w:t xml:space="preserve"> Basic </w:t>
      </w:r>
      <w:r>
        <w:rPr>
          <w:rFonts w:asciiTheme="majorBidi" w:eastAsia="Times New Roman" w:hAnsiTheme="majorBidi" w:cstheme="majorBidi"/>
          <w:i/>
          <w:iCs/>
          <w:color w:val="0A0A0A"/>
          <w:sz w:val="24"/>
          <w:szCs w:val="24"/>
        </w:rPr>
        <w:tab/>
      </w:r>
      <w:r w:rsidRPr="000F6083">
        <w:rPr>
          <w:rFonts w:asciiTheme="majorBidi" w:eastAsia="Times New Roman" w:hAnsiTheme="majorBidi" w:cstheme="majorBidi"/>
          <w:i/>
          <w:iCs/>
          <w:color w:val="0A0A0A"/>
          <w:sz w:val="24"/>
          <w:szCs w:val="24"/>
        </w:rPr>
        <w:t>Science: Foundations of Clinical Practice</w:t>
      </w:r>
      <w:r w:rsidRPr="000F6083">
        <w:rPr>
          <w:rFonts w:asciiTheme="majorBidi" w:eastAsia="Times New Roman" w:hAnsiTheme="majorBidi" w:cstheme="majorBidi"/>
          <w:color w:val="0A0A0A"/>
          <w:sz w:val="24"/>
          <w:szCs w:val="24"/>
        </w:rPr>
        <w:t xml:space="preserve">, 3rd Ed. American Academy of </w:t>
      </w:r>
      <w:proofErr w:type="spellStart"/>
      <w:r w:rsidRPr="000F6083">
        <w:rPr>
          <w:rFonts w:asciiTheme="majorBidi" w:eastAsia="Times New Roman" w:hAnsiTheme="majorBidi" w:cstheme="majorBidi"/>
          <w:color w:val="0A0A0A"/>
          <w:sz w:val="24"/>
          <w:szCs w:val="24"/>
        </w:rPr>
        <w:t>Orthopaedic</w:t>
      </w:r>
      <w:proofErr w:type="spellEnd"/>
      <w:r w:rsidRPr="000F6083">
        <w:rPr>
          <w:rFonts w:asciiTheme="majorBidi" w:eastAsia="Times New Roman" w:hAnsiTheme="majorBidi" w:cstheme="majorBidi"/>
          <w:color w:val="0A0A0A"/>
          <w:sz w:val="24"/>
          <w:szCs w:val="24"/>
        </w:rPr>
        <w:t xml:space="preserve"> </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Surgeons, Rosemont, IL</w:t>
      </w:r>
      <w:r>
        <w:rPr>
          <w:rFonts w:asciiTheme="majorBidi" w:eastAsia="Times New Roman" w:hAnsiTheme="majorBidi" w:cstheme="majorBidi"/>
          <w:color w:val="0A0A0A"/>
          <w:sz w:val="24"/>
          <w:szCs w:val="24"/>
        </w:rPr>
        <w:t>.</w:t>
      </w:r>
      <w:r w:rsidRPr="000F6083">
        <w:rPr>
          <w:rFonts w:asciiTheme="majorBidi" w:eastAsia="Times New Roman" w:hAnsiTheme="majorBidi" w:cstheme="majorBidi"/>
          <w:color w:val="0A0A0A"/>
          <w:sz w:val="24"/>
          <w:szCs w:val="24"/>
        </w:rPr>
        <w:t xml:space="preserve"> </w:t>
      </w:r>
      <w:r>
        <w:rPr>
          <w:rFonts w:asciiTheme="majorBidi" w:eastAsia="Times New Roman" w:hAnsiTheme="majorBidi" w:cstheme="majorBidi"/>
          <w:color w:val="0A0A0A"/>
          <w:sz w:val="24"/>
          <w:szCs w:val="24"/>
        </w:rPr>
        <w:t xml:space="preserve">Pp. </w:t>
      </w:r>
      <w:r w:rsidRPr="000F6083">
        <w:rPr>
          <w:rFonts w:asciiTheme="majorBidi" w:eastAsia="Times New Roman" w:hAnsiTheme="majorBidi" w:cstheme="majorBidi"/>
          <w:color w:val="0A0A0A"/>
          <w:sz w:val="24"/>
          <w:szCs w:val="24"/>
        </w:rPr>
        <w:t>421</w:t>
      </w:r>
      <w:r>
        <w:rPr>
          <w:rFonts w:asciiTheme="majorBidi" w:eastAsia="Times New Roman" w:hAnsiTheme="majorBidi" w:cstheme="majorBidi"/>
          <w:color w:val="0A0A0A"/>
          <w:sz w:val="24"/>
          <w:szCs w:val="24"/>
        </w:rPr>
        <w:t>-</w:t>
      </w:r>
      <w:r w:rsidRPr="000F6083">
        <w:rPr>
          <w:rFonts w:asciiTheme="majorBidi" w:eastAsia="Times New Roman" w:hAnsiTheme="majorBidi" w:cstheme="majorBidi"/>
          <w:color w:val="0A0A0A"/>
          <w:sz w:val="24"/>
          <w:szCs w:val="24"/>
        </w:rPr>
        <w:t>432.</w:t>
      </w:r>
    </w:p>
    <w:p w14:paraId="17956301" w14:textId="59FC7655" w:rsidR="00DB231F" w:rsidRPr="000F6083" w:rsidRDefault="00DB231F" w:rsidP="00DB231F">
      <w:pPr>
        <w:spacing w:line="480" w:lineRule="auto"/>
        <w:rPr>
          <w:rFonts w:asciiTheme="majorBidi" w:hAnsiTheme="majorBidi" w:cstheme="majorBidi"/>
          <w:sz w:val="24"/>
          <w:szCs w:val="24"/>
        </w:rPr>
      </w:pPr>
      <w:r w:rsidRPr="000F6083">
        <w:rPr>
          <w:rFonts w:asciiTheme="majorBidi" w:hAnsiTheme="majorBidi" w:cstheme="majorBidi"/>
          <w:sz w:val="24"/>
          <w:szCs w:val="24"/>
        </w:rPr>
        <w:lastRenderedPageBreak/>
        <w:t xml:space="preserve">Elsayed, A., </w:t>
      </w:r>
      <w:proofErr w:type="spellStart"/>
      <w:r w:rsidRPr="000F6083">
        <w:rPr>
          <w:rFonts w:asciiTheme="majorBidi" w:hAnsiTheme="majorBidi" w:cstheme="majorBidi"/>
          <w:sz w:val="24"/>
          <w:szCs w:val="24"/>
        </w:rPr>
        <w:t>Ghazy</w:t>
      </w:r>
      <w:proofErr w:type="spellEnd"/>
      <w:r w:rsidRPr="000F6083">
        <w:rPr>
          <w:rFonts w:asciiTheme="majorBidi" w:hAnsiTheme="majorBidi" w:cstheme="majorBidi"/>
          <w:sz w:val="24"/>
          <w:szCs w:val="24"/>
        </w:rPr>
        <w:t>, A., Sobhy, A., Abdelkawi, M., Hanafy, N.</w:t>
      </w:r>
      <w:r>
        <w:rPr>
          <w:rFonts w:asciiTheme="majorBidi" w:hAnsiTheme="majorBidi" w:cstheme="majorBidi"/>
          <w:sz w:val="24"/>
          <w:szCs w:val="24"/>
        </w:rPr>
        <w:t xml:space="preserve"> </w:t>
      </w:r>
      <w:r w:rsidRPr="000F6083">
        <w:rPr>
          <w:rFonts w:asciiTheme="majorBidi" w:hAnsiTheme="majorBidi" w:cstheme="majorBidi"/>
          <w:sz w:val="24"/>
          <w:szCs w:val="24"/>
        </w:rPr>
        <w:t>A., Baker, N.</w:t>
      </w:r>
      <w:r>
        <w:rPr>
          <w:rFonts w:asciiTheme="majorBidi" w:hAnsiTheme="majorBidi" w:cstheme="majorBidi"/>
          <w:sz w:val="24"/>
          <w:szCs w:val="24"/>
        </w:rPr>
        <w:t xml:space="preserve"> </w:t>
      </w:r>
      <w:r w:rsidRPr="000F6083">
        <w:rPr>
          <w:rFonts w:asciiTheme="majorBidi" w:hAnsiTheme="majorBidi" w:cstheme="majorBidi"/>
          <w:sz w:val="24"/>
          <w:szCs w:val="24"/>
        </w:rPr>
        <w:t xml:space="preserve">M., </w:t>
      </w:r>
      <w:proofErr w:type="spellStart"/>
      <w:r w:rsidRPr="000F6083">
        <w:rPr>
          <w:rFonts w:asciiTheme="majorBidi" w:hAnsiTheme="majorBidi" w:cstheme="majorBidi"/>
          <w:sz w:val="24"/>
          <w:szCs w:val="24"/>
        </w:rPr>
        <w:t>Elkammar</w:t>
      </w:r>
      <w:proofErr w:type="spellEnd"/>
      <w:r w:rsidRPr="000F6083">
        <w:rPr>
          <w:rFonts w:asciiTheme="majorBidi" w:hAnsiTheme="majorBidi" w:cstheme="majorBidi"/>
          <w:sz w:val="24"/>
          <w:szCs w:val="24"/>
        </w:rPr>
        <w:t>, M.</w:t>
      </w:r>
      <w:r>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 xml:space="preserve">H. </w:t>
      </w:r>
      <w:r>
        <w:rPr>
          <w:rFonts w:asciiTheme="majorBidi" w:hAnsiTheme="majorBidi" w:cstheme="majorBidi"/>
          <w:sz w:val="24"/>
          <w:szCs w:val="24"/>
        </w:rPr>
        <w:t>&amp;</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ElKhamary</w:t>
      </w:r>
      <w:proofErr w:type="spellEnd"/>
      <w:r w:rsidRPr="000F6083">
        <w:rPr>
          <w:rFonts w:asciiTheme="majorBidi" w:hAnsiTheme="majorBidi" w:cstheme="majorBidi"/>
          <w:sz w:val="24"/>
          <w:szCs w:val="24"/>
        </w:rPr>
        <w:t xml:space="preserve">, A.N. (2025). Effects of Nano-Hydroxyapatite, Advanced Platelet-Rich </w:t>
      </w:r>
      <w:r>
        <w:rPr>
          <w:rFonts w:asciiTheme="majorBidi" w:hAnsiTheme="majorBidi" w:cstheme="majorBidi"/>
          <w:sz w:val="24"/>
          <w:szCs w:val="24"/>
        </w:rPr>
        <w:tab/>
      </w:r>
      <w:r w:rsidRPr="000F6083">
        <w:rPr>
          <w:rFonts w:asciiTheme="majorBidi" w:hAnsiTheme="majorBidi" w:cstheme="majorBidi"/>
          <w:sz w:val="24"/>
          <w:szCs w:val="24"/>
        </w:rPr>
        <w:t>Fibrin, and their Combination on Bone Regeneration in Dogs. </w:t>
      </w:r>
      <w:r w:rsidRPr="00736799">
        <w:rPr>
          <w:rFonts w:asciiTheme="majorBidi" w:hAnsiTheme="majorBidi" w:cstheme="majorBidi"/>
          <w:sz w:val="24"/>
          <w:szCs w:val="24"/>
        </w:rPr>
        <w:t xml:space="preserve">Alexandria Journal of </w:t>
      </w:r>
      <w:r>
        <w:rPr>
          <w:rFonts w:asciiTheme="majorBidi" w:hAnsiTheme="majorBidi" w:cstheme="majorBidi"/>
          <w:sz w:val="24"/>
          <w:szCs w:val="24"/>
        </w:rPr>
        <w:tab/>
      </w:r>
      <w:r w:rsidRPr="00736799">
        <w:rPr>
          <w:rFonts w:asciiTheme="majorBidi" w:hAnsiTheme="majorBidi" w:cstheme="majorBidi"/>
          <w:sz w:val="24"/>
          <w:szCs w:val="24"/>
        </w:rPr>
        <w:t>Veterinary Sciences,</w:t>
      </w:r>
      <w:r w:rsidRPr="000F6083">
        <w:rPr>
          <w:rFonts w:asciiTheme="majorBidi" w:hAnsiTheme="majorBidi" w:cstheme="majorBidi"/>
          <w:sz w:val="24"/>
          <w:szCs w:val="24"/>
        </w:rPr>
        <w:t> 87, 211.</w:t>
      </w:r>
      <w:r>
        <w:rPr>
          <w:rFonts w:asciiTheme="majorBidi" w:hAnsiTheme="majorBidi" w:cstheme="majorBidi"/>
          <w:sz w:val="24"/>
          <w:szCs w:val="24"/>
        </w:rPr>
        <w:t xml:space="preserve"> </w:t>
      </w:r>
      <w:r w:rsidRPr="00736799">
        <w:rPr>
          <w:rFonts w:asciiTheme="majorBidi" w:hAnsiTheme="majorBidi" w:cstheme="majorBidi"/>
          <w:sz w:val="24"/>
          <w:szCs w:val="24"/>
        </w:rPr>
        <w:t>DOI: 10.5455/ajvs.263828</w:t>
      </w:r>
    </w:p>
    <w:p w14:paraId="5903E538" w14:textId="36BA8D8C" w:rsidR="00DB231F" w:rsidRPr="000F6083" w:rsidRDefault="00DB231F" w:rsidP="00DB231F">
      <w:pPr>
        <w:spacing w:before="100" w:beforeAutospacing="1" w:after="100" w:afterAutospacing="1" w:line="480" w:lineRule="auto"/>
        <w:jc w:val="both"/>
        <w:rPr>
          <w:rFonts w:asciiTheme="majorBidi" w:eastAsia="Times New Roman" w:hAnsiTheme="majorBidi" w:cstheme="majorBidi"/>
          <w:sz w:val="24"/>
          <w:szCs w:val="24"/>
        </w:rPr>
      </w:pPr>
      <w:r w:rsidRPr="000F6083">
        <w:rPr>
          <w:rFonts w:asciiTheme="majorBidi" w:eastAsia="Times New Roman" w:hAnsiTheme="majorBidi" w:cstheme="majorBidi"/>
          <w:sz w:val="24"/>
          <w:szCs w:val="24"/>
        </w:rPr>
        <w:t xml:space="preserve">Foster, T. E., Puskas, B. L., Mandelbaum, B. R., Gerhardt, M. B. </w:t>
      </w:r>
      <w:r>
        <w:rPr>
          <w:rFonts w:asciiTheme="majorBidi" w:eastAsia="Times New Roman" w:hAnsiTheme="majorBidi" w:cstheme="majorBidi"/>
          <w:sz w:val="24"/>
          <w:szCs w:val="24"/>
        </w:rPr>
        <w:t>&amp;</w:t>
      </w:r>
      <w:r w:rsidRPr="000F6083">
        <w:rPr>
          <w:rFonts w:asciiTheme="majorBidi" w:eastAsia="Times New Roman" w:hAnsiTheme="majorBidi" w:cstheme="majorBidi"/>
          <w:sz w:val="24"/>
          <w:szCs w:val="24"/>
        </w:rPr>
        <w:t xml:space="preserve"> Rodeo, S. A. (2009). Platelet-</w:t>
      </w:r>
      <w:r>
        <w:rPr>
          <w:rFonts w:asciiTheme="majorBidi" w:eastAsia="Times New Roman" w:hAnsiTheme="majorBidi" w:cstheme="majorBidi"/>
          <w:sz w:val="24"/>
          <w:szCs w:val="24"/>
        </w:rPr>
        <w:tab/>
      </w:r>
      <w:r w:rsidRPr="000F6083">
        <w:rPr>
          <w:rFonts w:asciiTheme="majorBidi" w:eastAsia="Times New Roman" w:hAnsiTheme="majorBidi" w:cstheme="majorBidi"/>
          <w:sz w:val="24"/>
          <w:szCs w:val="24"/>
        </w:rPr>
        <w:t xml:space="preserve">rich plasma: From basic science to clinical applications. </w:t>
      </w:r>
      <w:r w:rsidRPr="00736799">
        <w:rPr>
          <w:rFonts w:asciiTheme="majorBidi" w:eastAsia="Times New Roman" w:hAnsiTheme="majorBidi" w:cstheme="majorBidi"/>
          <w:sz w:val="24"/>
          <w:szCs w:val="24"/>
        </w:rPr>
        <w:t xml:space="preserve">American Journal of Sports </w:t>
      </w:r>
      <w:r>
        <w:rPr>
          <w:rFonts w:asciiTheme="majorBidi" w:eastAsia="Times New Roman" w:hAnsiTheme="majorBidi" w:cstheme="majorBidi"/>
          <w:sz w:val="24"/>
          <w:szCs w:val="24"/>
        </w:rPr>
        <w:tab/>
      </w:r>
      <w:r w:rsidRPr="00736799">
        <w:rPr>
          <w:rFonts w:asciiTheme="majorBidi" w:eastAsia="Times New Roman" w:hAnsiTheme="majorBidi" w:cstheme="majorBidi"/>
          <w:sz w:val="24"/>
          <w:szCs w:val="24"/>
        </w:rPr>
        <w:t>Medicine, 37</w:t>
      </w:r>
      <w:r w:rsidRPr="000F6083">
        <w:rPr>
          <w:rFonts w:asciiTheme="majorBidi" w:eastAsia="Times New Roman" w:hAnsiTheme="majorBidi" w:cstheme="majorBidi"/>
          <w:sz w:val="24"/>
          <w:szCs w:val="24"/>
        </w:rPr>
        <w:t>(11), 2259</w:t>
      </w:r>
      <w:r>
        <w:rPr>
          <w:rFonts w:asciiTheme="majorBidi" w:eastAsia="Times New Roman" w:hAnsiTheme="majorBidi" w:cstheme="majorBidi"/>
          <w:sz w:val="24"/>
          <w:szCs w:val="24"/>
        </w:rPr>
        <w:t>-</w:t>
      </w:r>
      <w:r w:rsidRPr="000F6083">
        <w:rPr>
          <w:rFonts w:asciiTheme="majorBidi" w:eastAsia="Times New Roman" w:hAnsiTheme="majorBidi" w:cstheme="majorBidi"/>
          <w:sz w:val="24"/>
          <w:szCs w:val="24"/>
        </w:rPr>
        <w:t xml:space="preserve">2272. </w:t>
      </w:r>
      <w:r w:rsidRPr="000F6083">
        <w:rPr>
          <w:rFonts w:asciiTheme="majorBidi" w:hAnsiTheme="majorBidi" w:cstheme="majorBidi"/>
          <w:color w:val="0A0A0A"/>
          <w:sz w:val="24"/>
          <w:szCs w:val="24"/>
          <w:shd w:val="clear" w:color="auto" w:fill="FFFFFF"/>
        </w:rPr>
        <w:t>DOI (https://doi.org/10.1177/0363546509349921).</w:t>
      </w:r>
    </w:p>
    <w:p w14:paraId="057D769B" w14:textId="0674DD5A" w:rsidR="00DB231F" w:rsidRPr="000F6083" w:rsidRDefault="00DB231F" w:rsidP="00DB231F">
      <w:pPr>
        <w:spacing w:line="480" w:lineRule="auto"/>
        <w:jc w:val="both"/>
        <w:rPr>
          <w:rFonts w:asciiTheme="majorBidi" w:hAnsiTheme="majorBidi" w:cstheme="majorBidi"/>
          <w:sz w:val="24"/>
          <w:szCs w:val="24"/>
        </w:rPr>
      </w:pPr>
      <w:proofErr w:type="spellStart"/>
      <w:r w:rsidRPr="000F6083">
        <w:rPr>
          <w:rFonts w:asciiTheme="majorBidi" w:hAnsiTheme="majorBidi" w:cstheme="majorBidi"/>
          <w:sz w:val="24"/>
          <w:szCs w:val="24"/>
        </w:rPr>
        <w:t>Ghaffarpasand</w:t>
      </w:r>
      <w:proofErr w:type="spellEnd"/>
      <w:r w:rsidRPr="000F6083">
        <w:rPr>
          <w:rFonts w:asciiTheme="majorBidi" w:hAnsiTheme="majorBidi" w:cstheme="majorBidi"/>
          <w:sz w:val="24"/>
          <w:szCs w:val="24"/>
        </w:rPr>
        <w:t xml:space="preserve">, F., </w:t>
      </w:r>
      <w:proofErr w:type="spellStart"/>
      <w:r w:rsidRPr="000F6083">
        <w:rPr>
          <w:rFonts w:asciiTheme="majorBidi" w:hAnsiTheme="majorBidi" w:cstheme="majorBidi"/>
          <w:sz w:val="24"/>
          <w:szCs w:val="24"/>
        </w:rPr>
        <w:t>Shahrezaei</w:t>
      </w:r>
      <w:proofErr w:type="spellEnd"/>
      <w:r w:rsidRPr="000F6083">
        <w:rPr>
          <w:rFonts w:asciiTheme="majorBidi" w:hAnsiTheme="majorBidi" w:cstheme="majorBidi"/>
          <w:sz w:val="24"/>
          <w:szCs w:val="24"/>
        </w:rPr>
        <w:t xml:space="preserve">, M. </w:t>
      </w:r>
      <w:r>
        <w:rPr>
          <w:rFonts w:asciiTheme="majorBidi" w:hAnsiTheme="majorBidi" w:cstheme="majorBidi"/>
          <w:sz w:val="24"/>
          <w:szCs w:val="24"/>
        </w:rPr>
        <w:t>&amp;</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Dehghankhalili</w:t>
      </w:r>
      <w:proofErr w:type="spellEnd"/>
      <w:r w:rsidRPr="000F6083">
        <w:rPr>
          <w:rFonts w:asciiTheme="majorBidi" w:hAnsiTheme="majorBidi" w:cstheme="majorBidi"/>
          <w:sz w:val="24"/>
          <w:szCs w:val="24"/>
        </w:rPr>
        <w:t xml:space="preserve">, M. (2016). Effects of platelet rich plasma </w:t>
      </w:r>
      <w:r>
        <w:rPr>
          <w:rFonts w:asciiTheme="majorBidi" w:hAnsiTheme="majorBidi" w:cstheme="majorBidi"/>
          <w:sz w:val="24"/>
          <w:szCs w:val="24"/>
        </w:rPr>
        <w:tab/>
      </w:r>
      <w:r w:rsidRPr="000F6083">
        <w:rPr>
          <w:rFonts w:asciiTheme="majorBidi" w:hAnsiTheme="majorBidi" w:cstheme="majorBidi"/>
          <w:sz w:val="24"/>
          <w:szCs w:val="24"/>
        </w:rPr>
        <w:t xml:space="preserve">on healing rate of long bone non-union fractures: a randomized double-blind placebo </w:t>
      </w:r>
      <w:r>
        <w:rPr>
          <w:rFonts w:asciiTheme="majorBidi" w:hAnsiTheme="majorBidi" w:cstheme="majorBidi"/>
          <w:sz w:val="24"/>
          <w:szCs w:val="24"/>
        </w:rPr>
        <w:tab/>
      </w:r>
      <w:r w:rsidRPr="000F6083">
        <w:rPr>
          <w:rFonts w:asciiTheme="majorBidi" w:hAnsiTheme="majorBidi" w:cstheme="majorBidi"/>
          <w:sz w:val="24"/>
          <w:szCs w:val="24"/>
        </w:rPr>
        <w:t>controlled clinical trial. </w:t>
      </w:r>
      <w:r w:rsidRPr="00736799">
        <w:rPr>
          <w:rFonts w:asciiTheme="majorBidi" w:hAnsiTheme="majorBidi" w:cstheme="majorBidi"/>
          <w:sz w:val="24"/>
          <w:szCs w:val="24"/>
        </w:rPr>
        <w:t>Bulletin of Emergency &amp; Trauma,</w:t>
      </w:r>
      <w:r w:rsidRPr="000F6083">
        <w:rPr>
          <w:rFonts w:asciiTheme="majorBidi" w:hAnsiTheme="majorBidi" w:cstheme="majorBidi"/>
          <w:sz w:val="24"/>
          <w:szCs w:val="24"/>
        </w:rPr>
        <w:t> 4(3), 134.</w:t>
      </w:r>
    </w:p>
    <w:p w14:paraId="393BC2F2" w14:textId="5ABBD776" w:rsidR="00DB231F" w:rsidRPr="00797224" w:rsidRDefault="00DB231F" w:rsidP="00DB231F">
      <w:pPr>
        <w:spacing w:line="480" w:lineRule="auto"/>
        <w:jc w:val="both"/>
        <w:rPr>
          <w:rFonts w:asciiTheme="majorBidi" w:hAnsiTheme="majorBidi" w:cstheme="majorBidi"/>
          <w:sz w:val="24"/>
          <w:szCs w:val="24"/>
          <w:lang w:val="en-GB"/>
        </w:rPr>
      </w:pPr>
      <w:r w:rsidRPr="00797224">
        <w:rPr>
          <w:rFonts w:asciiTheme="majorBidi" w:hAnsiTheme="majorBidi" w:cstheme="majorBidi"/>
          <w:sz w:val="24"/>
          <w:szCs w:val="24"/>
        </w:rPr>
        <w:t xml:space="preserve">Goswami, P., Chaudhary, V., Arya, A., Verma, R., Vijayakumar, G. </w:t>
      </w:r>
      <w:r>
        <w:rPr>
          <w:rFonts w:asciiTheme="majorBidi" w:hAnsiTheme="majorBidi" w:cstheme="majorBidi"/>
          <w:sz w:val="24"/>
          <w:szCs w:val="24"/>
        </w:rPr>
        <w:t>&amp;</w:t>
      </w:r>
      <w:r w:rsidRPr="00797224">
        <w:rPr>
          <w:rFonts w:asciiTheme="majorBidi" w:hAnsiTheme="majorBidi" w:cstheme="majorBidi"/>
          <w:sz w:val="24"/>
          <w:szCs w:val="24"/>
        </w:rPr>
        <w:t xml:space="preserve"> Bhavani, M. </w:t>
      </w:r>
      <w:r>
        <w:rPr>
          <w:rFonts w:asciiTheme="majorBidi" w:hAnsiTheme="majorBidi" w:cstheme="majorBidi"/>
          <w:sz w:val="24"/>
          <w:szCs w:val="24"/>
        </w:rPr>
        <w:t>(</w:t>
      </w:r>
      <w:r w:rsidRPr="00797224">
        <w:rPr>
          <w:rFonts w:asciiTheme="majorBidi" w:hAnsiTheme="majorBidi" w:cstheme="majorBidi"/>
          <w:sz w:val="24"/>
          <w:szCs w:val="24"/>
        </w:rPr>
        <w:t>2024</w:t>
      </w:r>
      <w:r>
        <w:rPr>
          <w:rFonts w:asciiTheme="majorBidi" w:hAnsiTheme="majorBidi" w:cstheme="majorBidi"/>
          <w:sz w:val="24"/>
          <w:szCs w:val="24"/>
        </w:rPr>
        <w:t>)</w:t>
      </w:r>
      <w:r w:rsidRPr="00797224">
        <w:rPr>
          <w:rFonts w:asciiTheme="majorBidi" w:hAnsiTheme="majorBidi" w:cstheme="majorBidi"/>
          <w:sz w:val="24"/>
          <w:szCs w:val="24"/>
        </w:rPr>
        <w:t xml:space="preserve">. </w:t>
      </w:r>
      <w:r>
        <w:rPr>
          <w:rFonts w:asciiTheme="majorBidi" w:hAnsiTheme="majorBidi" w:cstheme="majorBidi"/>
          <w:sz w:val="24"/>
          <w:szCs w:val="24"/>
        </w:rPr>
        <w:tab/>
      </w:r>
      <w:r w:rsidRPr="00797224">
        <w:rPr>
          <w:rFonts w:asciiTheme="majorBidi" w:hAnsiTheme="majorBidi" w:cstheme="majorBidi"/>
          <w:sz w:val="24"/>
          <w:szCs w:val="24"/>
        </w:rPr>
        <w:t xml:space="preserve">Platelet-rich fibrin (PRF) and its application in dentistry: A literature review. Journal of </w:t>
      </w:r>
      <w:r>
        <w:rPr>
          <w:rFonts w:asciiTheme="majorBidi" w:hAnsiTheme="majorBidi" w:cstheme="majorBidi"/>
          <w:sz w:val="24"/>
          <w:szCs w:val="24"/>
        </w:rPr>
        <w:tab/>
      </w:r>
      <w:r w:rsidRPr="00797224">
        <w:rPr>
          <w:rFonts w:asciiTheme="majorBidi" w:hAnsiTheme="majorBidi" w:cstheme="majorBidi"/>
          <w:sz w:val="24"/>
          <w:szCs w:val="24"/>
        </w:rPr>
        <w:t xml:space="preserve">Pharmacy and </w:t>
      </w:r>
      <w:proofErr w:type="spellStart"/>
      <w:r w:rsidRPr="00797224">
        <w:rPr>
          <w:rFonts w:asciiTheme="majorBidi" w:hAnsiTheme="majorBidi" w:cstheme="majorBidi"/>
          <w:sz w:val="24"/>
          <w:szCs w:val="24"/>
        </w:rPr>
        <w:t>Bioallied</w:t>
      </w:r>
      <w:proofErr w:type="spellEnd"/>
      <w:r w:rsidRPr="00797224">
        <w:rPr>
          <w:rFonts w:asciiTheme="majorBidi" w:hAnsiTheme="majorBidi" w:cstheme="majorBidi"/>
          <w:sz w:val="24"/>
          <w:szCs w:val="24"/>
        </w:rPr>
        <w:t xml:space="preserve"> Sciences, 16(Suppl 1), S5-S7.</w:t>
      </w:r>
      <w:r>
        <w:rPr>
          <w:rFonts w:asciiTheme="majorBidi" w:hAnsiTheme="majorBidi" w:cstheme="majorBidi"/>
          <w:sz w:val="24"/>
          <w:szCs w:val="24"/>
        </w:rPr>
        <w:t xml:space="preserve"> </w:t>
      </w:r>
      <w:r w:rsidRPr="00797224">
        <w:rPr>
          <w:rFonts w:asciiTheme="majorBidi" w:hAnsiTheme="majorBidi" w:cstheme="majorBidi"/>
          <w:sz w:val="24"/>
          <w:szCs w:val="24"/>
          <w:lang w:val="en-GB"/>
        </w:rPr>
        <w:t>DOI: </w:t>
      </w:r>
      <w:hyperlink r:id="rId15" w:tgtFrame="_blank" w:history="1">
        <w:r w:rsidRPr="00797224">
          <w:rPr>
            <w:rStyle w:val="Hyperlink"/>
            <w:rFonts w:asciiTheme="majorBidi" w:hAnsiTheme="majorBidi" w:cstheme="majorBidi"/>
            <w:sz w:val="24"/>
            <w:szCs w:val="24"/>
            <w:lang w:val="en-GB"/>
          </w:rPr>
          <w:t>10.4103/jpbs.jpbs_435_23</w:t>
        </w:r>
      </w:hyperlink>
    </w:p>
    <w:p w14:paraId="44B27EF4" w14:textId="4BC3EAD2" w:rsidR="00DB231F" w:rsidRPr="009E60EC" w:rsidRDefault="00DB231F" w:rsidP="00DB231F">
      <w:pPr>
        <w:shd w:val="clear" w:color="auto" w:fill="FFFFFF"/>
        <w:spacing w:line="480" w:lineRule="auto"/>
        <w:jc w:val="both"/>
        <w:rPr>
          <w:rFonts w:asciiTheme="majorBidi" w:eastAsia="Times New Roman" w:hAnsiTheme="majorBidi" w:cstheme="majorBidi"/>
          <w:color w:val="0A0A0A"/>
          <w:sz w:val="24"/>
          <w:szCs w:val="24"/>
          <w:lang w:val="en-GB"/>
        </w:rPr>
      </w:pPr>
      <w:proofErr w:type="spellStart"/>
      <w:r w:rsidRPr="003C40BD">
        <w:rPr>
          <w:rFonts w:asciiTheme="majorBidi" w:eastAsia="Times New Roman" w:hAnsiTheme="majorBidi" w:cstheme="majorBidi"/>
          <w:color w:val="0A0A0A"/>
          <w:sz w:val="24"/>
          <w:szCs w:val="24"/>
        </w:rPr>
        <w:t>Hidajat</w:t>
      </w:r>
      <w:proofErr w:type="spellEnd"/>
      <w:r w:rsidRPr="003C40BD">
        <w:rPr>
          <w:rFonts w:asciiTheme="majorBidi" w:eastAsia="Times New Roman" w:hAnsiTheme="majorBidi" w:cstheme="majorBidi"/>
          <w:color w:val="0A0A0A"/>
          <w:sz w:val="24"/>
          <w:szCs w:val="24"/>
        </w:rPr>
        <w:t>, N.</w:t>
      </w:r>
      <w:r>
        <w:rPr>
          <w:rFonts w:asciiTheme="majorBidi" w:eastAsia="Times New Roman" w:hAnsiTheme="majorBidi" w:cstheme="majorBidi"/>
          <w:color w:val="0A0A0A"/>
          <w:sz w:val="24"/>
          <w:szCs w:val="24"/>
        </w:rPr>
        <w:t xml:space="preserve"> </w:t>
      </w:r>
      <w:r w:rsidRPr="003C40BD">
        <w:rPr>
          <w:rFonts w:asciiTheme="majorBidi" w:eastAsia="Times New Roman" w:hAnsiTheme="majorBidi" w:cstheme="majorBidi"/>
          <w:color w:val="0A0A0A"/>
          <w:sz w:val="24"/>
          <w:szCs w:val="24"/>
        </w:rPr>
        <w:t xml:space="preserve">N., Mulyadi, D., </w:t>
      </w:r>
      <w:proofErr w:type="spellStart"/>
      <w:r w:rsidRPr="003C40BD">
        <w:rPr>
          <w:rFonts w:asciiTheme="majorBidi" w:eastAsia="Times New Roman" w:hAnsiTheme="majorBidi" w:cstheme="majorBidi"/>
          <w:color w:val="0A0A0A"/>
          <w:sz w:val="24"/>
          <w:szCs w:val="24"/>
        </w:rPr>
        <w:t>Chaidir</w:t>
      </w:r>
      <w:proofErr w:type="spellEnd"/>
      <w:r w:rsidRPr="003C40BD">
        <w:rPr>
          <w:rFonts w:asciiTheme="majorBidi" w:eastAsia="Times New Roman" w:hAnsiTheme="majorBidi" w:cstheme="majorBidi"/>
          <w:color w:val="0A0A0A"/>
          <w:sz w:val="24"/>
          <w:szCs w:val="24"/>
        </w:rPr>
        <w:t>, M.</w:t>
      </w:r>
      <w:r>
        <w:rPr>
          <w:rFonts w:asciiTheme="majorBidi" w:eastAsia="Times New Roman" w:hAnsiTheme="majorBidi" w:cstheme="majorBidi"/>
          <w:color w:val="0A0A0A"/>
          <w:sz w:val="24"/>
          <w:szCs w:val="24"/>
        </w:rPr>
        <w:t xml:space="preserve"> </w:t>
      </w:r>
      <w:r w:rsidRPr="003C40BD">
        <w:rPr>
          <w:rFonts w:asciiTheme="majorBidi" w:eastAsia="Times New Roman" w:hAnsiTheme="majorBidi" w:cstheme="majorBidi"/>
          <w:color w:val="0A0A0A"/>
          <w:sz w:val="24"/>
          <w:szCs w:val="24"/>
        </w:rPr>
        <w:t xml:space="preserve">R. </w:t>
      </w:r>
      <w:r>
        <w:rPr>
          <w:rFonts w:asciiTheme="majorBidi" w:eastAsia="Times New Roman" w:hAnsiTheme="majorBidi" w:cstheme="majorBidi"/>
          <w:color w:val="0A0A0A"/>
          <w:sz w:val="24"/>
          <w:szCs w:val="24"/>
        </w:rPr>
        <w:t>&amp;</w:t>
      </w:r>
      <w:r w:rsidRPr="003C40BD">
        <w:rPr>
          <w:rFonts w:asciiTheme="majorBidi" w:eastAsia="Times New Roman" w:hAnsiTheme="majorBidi" w:cstheme="majorBidi"/>
          <w:color w:val="0A0A0A"/>
          <w:sz w:val="24"/>
          <w:szCs w:val="24"/>
        </w:rPr>
        <w:t xml:space="preserve"> </w:t>
      </w:r>
      <w:proofErr w:type="spellStart"/>
      <w:r w:rsidRPr="003C40BD">
        <w:rPr>
          <w:rFonts w:asciiTheme="majorBidi" w:eastAsia="Times New Roman" w:hAnsiTheme="majorBidi" w:cstheme="majorBidi"/>
          <w:color w:val="0A0A0A"/>
          <w:sz w:val="24"/>
          <w:szCs w:val="24"/>
        </w:rPr>
        <w:t>Dewangga</w:t>
      </w:r>
      <w:proofErr w:type="spellEnd"/>
      <w:r w:rsidRPr="003C40BD">
        <w:rPr>
          <w:rFonts w:asciiTheme="majorBidi" w:eastAsia="Times New Roman" w:hAnsiTheme="majorBidi" w:cstheme="majorBidi"/>
          <w:color w:val="0A0A0A"/>
          <w:sz w:val="24"/>
          <w:szCs w:val="24"/>
        </w:rPr>
        <w:t>, T.</w:t>
      </w:r>
      <w:r>
        <w:rPr>
          <w:rFonts w:asciiTheme="majorBidi" w:eastAsia="Times New Roman" w:hAnsiTheme="majorBidi" w:cstheme="majorBidi"/>
          <w:color w:val="0A0A0A"/>
          <w:sz w:val="24"/>
          <w:szCs w:val="24"/>
        </w:rPr>
        <w:t xml:space="preserve"> </w:t>
      </w:r>
      <w:r w:rsidRPr="003C40BD">
        <w:rPr>
          <w:rFonts w:asciiTheme="majorBidi" w:eastAsia="Times New Roman" w:hAnsiTheme="majorBidi" w:cstheme="majorBidi"/>
          <w:color w:val="0A0A0A"/>
          <w:sz w:val="24"/>
          <w:szCs w:val="24"/>
        </w:rPr>
        <w:t>H.</w:t>
      </w:r>
      <w:r>
        <w:rPr>
          <w:rFonts w:asciiTheme="majorBidi" w:eastAsia="Times New Roman" w:hAnsiTheme="majorBidi" w:cstheme="majorBidi"/>
          <w:color w:val="0A0A0A"/>
          <w:sz w:val="24"/>
          <w:szCs w:val="24"/>
        </w:rPr>
        <w:t xml:space="preserve"> (</w:t>
      </w:r>
      <w:r w:rsidRPr="003C40BD">
        <w:rPr>
          <w:rFonts w:asciiTheme="majorBidi" w:eastAsia="Times New Roman" w:hAnsiTheme="majorBidi" w:cstheme="majorBidi"/>
          <w:color w:val="0A0A0A"/>
          <w:sz w:val="24"/>
          <w:szCs w:val="24"/>
        </w:rPr>
        <w:t>2020</w:t>
      </w:r>
      <w:r>
        <w:rPr>
          <w:rFonts w:asciiTheme="majorBidi" w:eastAsia="Times New Roman" w:hAnsiTheme="majorBidi" w:cstheme="majorBidi"/>
          <w:color w:val="0A0A0A"/>
          <w:sz w:val="24"/>
          <w:szCs w:val="24"/>
        </w:rPr>
        <w:t>)</w:t>
      </w:r>
      <w:r w:rsidRPr="003C40BD">
        <w:rPr>
          <w:rFonts w:asciiTheme="majorBidi" w:eastAsia="Times New Roman" w:hAnsiTheme="majorBidi" w:cstheme="majorBidi"/>
          <w:color w:val="0A0A0A"/>
          <w:sz w:val="24"/>
          <w:szCs w:val="24"/>
        </w:rPr>
        <w:t xml:space="preserve">. Platelet-rich fibrin </w:t>
      </w:r>
      <w:r>
        <w:rPr>
          <w:rFonts w:asciiTheme="majorBidi" w:eastAsia="Times New Roman" w:hAnsiTheme="majorBidi" w:cstheme="majorBidi"/>
          <w:color w:val="0A0A0A"/>
          <w:sz w:val="24"/>
          <w:szCs w:val="24"/>
        </w:rPr>
        <w:tab/>
      </w:r>
      <w:r w:rsidRPr="003C40BD">
        <w:rPr>
          <w:rFonts w:asciiTheme="majorBidi" w:eastAsia="Times New Roman" w:hAnsiTheme="majorBidi" w:cstheme="majorBidi"/>
          <w:color w:val="0A0A0A"/>
          <w:sz w:val="24"/>
          <w:szCs w:val="24"/>
        </w:rPr>
        <w:t xml:space="preserve">enhances fracture healing in tibial long bone: An experiment in rabbit. Althea Medical </w:t>
      </w:r>
      <w:r>
        <w:rPr>
          <w:rFonts w:asciiTheme="majorBidi" w:eastAsia="Times New Roman" w:hAnsiTheme="majorBidi" w:cstheme="majorBidi"/>
          <w:color w:val="0A0A0A"/>
          <w:sz w:val="24"/>
          <w:szCs w:val="24"/>
        </w:rPr>
        <w:tab/>
      </w:r>
      <w:r w:rsidRPr="003C40BD">
        <w:rPr>
          <w:rFonts w:asciiTheme="majorBidi" w:eastAsia="Times New Roman" w:hAnsiTheme="majorBidi" w:cstheme="majorBidi"/>
          <w:color w:val="0A0A0A"/>
          <w:sz w:val="24"/>
          <w:szCs w:val="24"/>
        </w:rPr>
        <w:t>Journal, 7(4), 187-193.</w:t>
      </w:r>
      <w:r>
        <w:rPr>
          <w:rFonts w:asciiTheme="majorBidi" w:eastAsia="Times New Roman" w:hAnsiTheme="majorBidi" w:cstheme="majorBidi"/>
          <w:color w:val="0A0A0A"/>
          <w:sz w:val="24"/>
          <w:szCs w:val="24"/>
        </w:rPr>
        <w:t xml:space="preserve"> </w:t>
      </w:r>
      <w:r w:rsidRPr="009E60EC">
        <w:rPr>
          <w:rFonts w:asciiTheme="majorBidi" w:eastAsia="Times New Roman" w:hAnsiTheme="majorBidi" w:cstheme="majorBidi"/>
          <w:color w:val="0A0A0A"/>
          <w:sz w:val="24"/>
          <w:szCs w:val="24"/>
          <w:lang w:val="en-GB"/>
        </w:rPr>
        <w:t>DOI: </w:t>
      </w:r>
      <w:hyperlink r:id="rId16" w:tgtFrame="_blank" w:history="1">
        <w:r w:rsidRPr="009E60EC">
          <w:rPr>
            <w:rStyle w:val="Hyperlink"/>
            <w:rFonts w:asciiTheme="majorBidi" w:eastAsia="Times New Roman" w:hAnsiTheme="majorBidi" w:cstheme="majorBidi"/>
            <w:sz w:val="24"/>
            <w:szCs w:val="24"/>
            <w:lang w:val="en-GB"/>
          </w:rPr>
          <w:t>10.15850/</w:t>
        </w:r>
        <w:proofErr w:type="gramStart"/>
        <w:r w:rsidRPr="009E60EC">
          <w:rPr>
            <w:rStyle w:val="Hyperlink"/>
            <w:rFonts w:asciiTheme="majorBidi" w:eastAsia="Times New Roman" w:hAnsiTheme="majorBidi" w:cstheme="majorBidi"/>
            <w:sz w:val="24"/>
            <w:szCs w:val="24"/>
            <w:lang w:val="en-GB"/>
          </w:rPr>
          <w:t>amj.v</w:t>
        </w:r>
        <w:proofErr w:type="gramEnd"/>
        <w:r w:rsidRPr="009E60EC">
          <w:rPr>
            <w:rStyle w:val="Hyperlink"/>
            <w:rFonts w:asciiTheme="majorBidi" w:eastAsia="Times New Roman" w:hAnsiTheme="majorBidi" w:cstheme="majorBidi"/>
            <w:sz w:val="24"/>
            <w:szCs w:val="24"/>
            <w:lang w:val="en-GB"/>
          </w:rPr>
          <w:t>7n4.1960</w:t>
        </w:r>
      </w:hyperlink>
    </w:p>
    <w:p w14:paraId="0EBD2398" w14:textId="00759468" w:rsidR="00DB231F" w:rsidRDefault="00DB231F" w:rsidP="00DB231F">
      <w:pPr>
        <w:spacing w:line="480" w:lineRule="auto"/>
        <w:jc w:val="both"/>
        <w:rPr>
          <w:rFonts w:asciiTheme="majorBidi" w:hAnsiTheme="majorBidi" w:cstheme="majorBidi"/>
          <w:sz w:val="24"/>
          <w:szCs w:val="24"/>
          <w:lang w:val="en-GB"/>
        </w:rPr>
      </w:pPr>
      <w:r w:rsidRPr="000F6083">
        <w:rPr>
          <w:rFonts w:asciiTheme="majorBidi" w:hAnsiTheme="majorBidi" w:cstheme="majorBidi"/>
          <w:sz w:val="24"/>
          <w:szCs w:val="24"/>
        </w:rPr>
        <w:t xml:space="preserve">Kaiser, K., Prystaz, K., Vikman, A., Haffner-Luntzer, M., </w:t>
      </w:r>
      <w:proofErr w:type="spellStart"/>
      <w:r w:rsidRPr="000F6083">
        <w:rPr>
          <w:rFonts w:asciiTheme="majorBidi" w:hAnsiTheme="majorBidi" w:cstheme="majorBidi"/>
          <w:sz w:val="24"/>
          <w:szCs w:val="24"/>
        </w:rPr>
        <w:t>Bergdolt</w:t>
      </w:r>
      <w:proofErr w:type="spellEnd"/>
      <w:r w:rsidRPr="000F6083">
        <w:rPr>
          <w:rFonts w:asciiTheme="majorBidi" w:hAnsiTheme="majorBidi" w:cstheme="majorBidi"/>
          <w:sz w:val="24"/>
          <w:szCs w:val="24"/>
        </w:rPr>
        <w:t>, S., Strauss, G., Waetzig, G.H.</w:t>
      </w:r>
      <w:proofErr w:type="gramStart"/>
      <w:r w:rsidRPr="000F6083">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Rose</w:t>
      </w:r>
      <w:proofErr w:type="gramEnd"/>
      <w:r w:rsidRPr="000F6083">
        <w:rPr>
          <w:rFonts w:asciiTheme="majorBidi" w:hAnsiTheme="majorBidi" w:cstheme="majorBidi"/>
          <w:sz w:val="24"/>
          <w:szCs w:val="24"/>
        </w:rPr>
        <w:t xml:space="preserve">-John, S. </w:t>
      </w:r>
      <w:r>
        <w:rPr>
          <w:rFonts w:asciiTheme="majorBidi" w:hAnsiTheme="majorBidi" w:cstheme="majorBidi"/>
          <w:sz w:val="24"/>
          <w:szCs w:val="24"/>
        </w:rPr>
        <w:t>&amp;</w:t>
      </w:r>
      <w:r w:rsidRPr="000F6083">
        <w:rPr>
          <w:rFonts w:asciiTheme="majorBidi" w:hAnsiTheme="majorBidi" w:cstheme="majorBidi"/>
          <w:sz w:val="24"/>
          <w:szCs w:val="24"/>
        </w:rPr>
        <w:t xml:space="preserve"> Ignatius, A. (2018). Pharmacological inhibition of IL-6 trans-signaling </w:t>
      </w:r>
      <w:r>
        <w:rPr>
          <w:rFonts w:asciiTheme="majorBidi" w:hAnsiTheme="majorBidi" w:cstheme="majorBidi"/>
          <w:sz w:val="24"/>
          <w:szCs w:val="24"/>
        </w:rPr>
        <w:tab/>
      </w:r>
      <w:r w:rsidRPr="000F6083">
        <w:rPr>
          <w:rFonts w:asciiTheme="majorBidi" w:hAnsiTheme="majorBidi" w:cstheme="majorBidi"/>
          <w:sz w:val="24"/>
          <w:szCs w:val="24"/>
        </w:rPr>
        <w:t>improves compromised fracture healing after severe trauma. </w:t>
      </w:r>
      <w:r w:rsidRPr="00997621">
        <w:rPr>
          <w:rFonts w:asciiTheme="majorBidi" w:hAnsiTheme="majorBidi" w:cstheme="majorBidi"/>
          <w:sz w:val="24"/>
          <w:szCs w:val="24"/>
        </w:rPr>
        <w:t xml:space="preserve">Naunyn-Schmiedeberg's </w:t>
      </w:r>
      <w:r>
        <w:rPr>
          <w:rFonts w:asciiTheme="majorBidi" w:hAnsiTheme="majorBidi" w:cstheme="majorBidi"/>
          <w:sz w:val="24"/>
          <w:szCs w:val="24"/>
        </w:rPr>
        <w:tab/>
      </w:r>
      <w:r w:rsidRPr="00997621">
        <w:rPr>
          <w:rFonts w:asciiTheme="majorBidi" w:hAnsiTheme="majorBidi" w:cstheme="majorBidi"/>
          <w:sz w:val="24"/>
          <w:szCs w:val="24"/>
        </w:rPr>
        <w:t>archives of pharmacology,</w:t>
      </w:r>
      <w:r w:rsidRPr="000F6083">
        <w:rPr>
          <w:rFonts w:asciiTheme="majorBidi" w:hAnsiTheme="majorBidi" w:cstheme="majorBidi"/>
          <w:sz w:val="24"/>
          <w:szCs w:val="24"/>
        </w:rPr>
        <w:t> 391(5): 523-536.</w:t>
      </w:r>
      <w:r>
        <w:rPr>
          <w:rFonts w:asciiTheme="majorBidi" w:hAnsiTheme="majorBidi" w:cstheme="majorBidi"/>
          <w:sz w:val="24"/>
          <w:szCs w:val="24"/>
        </w:rPr>
        <w:t xml:space="preserve"> </w:t>
      </w:r>
      <w:r w:rsidRPr="00997621">
        <w:rPr>
          <w:rFonts w:asciiTheme="majorBidi" w:hAnsiTheme="majorBidi" w:cstheme="majorBidi"/>
          <w:sz w:val="24"/>
          <w:szCs w:val="24"/>
          <w:lang w:val="en-GB"/>
        </w:rPr>
        <w:t>DOI: </w:t>
      </w:r>
      <w:hyperlink r:id="rId17" w:tgtFrame="_blank" w:history="1">
        <w:r w:rsidRPr="00997621">
          <w:rPr>
            <w:rStyle w:val="Hyperlink"/>
            <w:rFonts w:asciiTheme="majorBidi" w:hAnsiTheme="majorBidi" w:cstheme="majorBidi"/>
            <w:sz w:val="24"/>
            <w:szCs w:val="24"/>
            <w:lang w:val="en-GB"/>
          </w:rPr>
          <w:t>10.1007/s00210-018-1483-7</w:t>
        </w:r>
      </w:hyperlink>
    </w:p>
    <w:p w14:paraId="090B469A" w14:textId="3651FFFF" w:rsidR="00DB231F" w:rsidRPr="00997621" w:rsidRDefault="00DB231F" w:rsidP="00DB231F">
      <w:pPr>
        <w:spacing w:line="480" w:lineRule="auto"/>
        <w:jc w:val="both"/>
        <w:rPr>
          <w:rFonts w:asciiTheme="majorBidi" w:hAnsiTheme="majorBidi" w:cstheme="majorBidi"/>
          <w:sz w:val="24"/>
          <w:szCs w:val="24"/>
          <w:lang w:val="en-GB"/>
        </w:rPr>
      </w:pPr>
      <w:r w:rsidRPr="00997621">
        <w:rPr>
          <w:rFonts w:asciiTheme="majorBidi" w:hAnsiTheme="majorBidi" w:cstheme="majorBidi"/>
          <w:sz w:val="24"/>
          <w:szCs w:val="24"/>
        </w:rPr>
        <w:lastRenderedPageBreak/>
        <w:t>Lee, Y.</w:t>
      </w:r>
      <w:r>
        <w:rPr>
          <w:rFonts w:asciiTheme="majorBidi" w:hAnsiTheme="majorBidi" w:cstheme="majorBidi"/>
          <w:sz w:val="24"/>
          <w:szCs w:val="24"/>
        </w:rPr>
        <w:t xml:space="preserve"> </w:t>
      </w:r>
      <w:r w:rsidRPr="00997621">
        <w:rPr>
          <w:rFonts w:asciiTheme="majorBidi" w:hAnsiTheme="majorBidi" w:cstheme="majorBidi"/>
          <w:sz w:val="24"/>
          <w:szCs w:val="24"/>
        </w:rPr>
        <w:t xml:space="preserve">M., </w:t>
      </w:r>
      <w:proofErr w:type="spellStart"/>
      <w:r w:rsidRPr="00997621">
        <w:rPr>
          <w:rFonts w:asciiTheme="majorBidi" w:hAnsiTheme="majorBidi" w:cstheme="majorBidi"/>
          <w:sz w:val="24"/>
          <w:szCs w:val="24"/>
        </w:rPr>
        <w:t>Fujikado</w:t>
      </w:r>
      <w:proofErr w:type="spellEnd"/>
      <w:r w:rsidRPr="00997621">
        <w:rPr>
          <w:rFonts w:asciiTheme="majorBidi" w:hAnsiTheme="majorBidi" w:cstheme="majorBidi"/>
          <w:sz w:val="24"/>
          <w:szCs w:val="24"/>
        </w:rPr>
        <w:t xml:space="preserve">, N., Manaka, H., Yasuda, H. </w:t>
      </w:r>
      <w:r>
        <w:rPr>
          <w:rFonts w:asciiTheme="majorBidi" w:hAnsiTheme="majorBidi" w:cstheme="majorBidi"/>
          <w:sz w:val="24"/>
          <w:szCs w:val="24"/>
        </w:rPr>
        <w:t>&amp;</w:t>
      </w:r>
      <w:r w:rsidRPr="00997621">
        <w:rPr>
          <w:rFonts w:asciiTheme="majorBidi" w:hAnsiTheme="majorBidi" w:cstheme="majorBidi"/>
          <w:sz w:val="24"/>
          <w:szCs w:val="24"/>
        </w:rPr>
        <w:t xml:space="preserve"> Iwakura, Y. (2010). IL-1 plays an important </w:t>
      </w:r>
      <w:r>
        <w:rPr>
          <w:rFonts w:asciiTheme="majorBidi" w:hAnsiTheme="majorBidi" w:cstheme="majorBidi"/>
          <w:sz w:val="24"/>
          <w:szCs w:val="24"/>
        </w:rPr>
        <w:tab/>
      </w:r>
      <w:r w:rsidRPr="00997621">
        <w:rPr>
          <w:rFonts w:asciiTheme="majorBidi" w:hAnsiTheme="majorBidi" w:cstheme="majorBidi"/>
          <w:sz w:val="24"/>
          <w:szCs w:val="24"/>
        </w:rPr>
        <w:t xml:space="preserve">role in </w:t>
      </w:r>
      <w:proofErr w:type="gramStart"/>
      <w:r w:rsidRPr="00997621">
        <w:rPr>
          <w:rFonts w:asciiTheme="majorBidi" w:hAnsiTheme="majorBidi" w:cstheme="majorBidi"/>
          <w:sz w:val="24"/>
          <w:szCs w:val="24"/>
        </w:rPr>
        <w:t>the</w:t>
      </w:r>
      <w:r>
        <w:rPr>
          <w:rFonts w:asciiTheme="majorBidi" w:hAnsiTheme="majorBidi" w:cstheme="majorBidi"/>
          <w:sz w:val="24"/>
          <w:szCs w:val="24"/>
        </w:rPr>
        <w:t xml:space="preserve"> </w:t>
      </w:r>
      <w:r w:rsidRPr="00997621">
        <w:rPr>
          <w:rFonts w:asciiTheme="majorBidi" w:hAnsiTheme="majorBidi" w:cstheme="majorBidi"/>
          <w:sz w:val="24"/>
          <w:szCs w:val="24"/>
        </w:rPr>
        <w:t>bone</w:t>
      </w:r>
      <w:proofErr w:type="gramEnd"/>
      <w:r w:rsidRPr="00997621">
        <w:rPr>
          <w:rFonts w:asciiTheme="majorBidi" w:hAnsiTheme="majorBidi" w:cstheme="majorBidi"/>
          <w:sz w:val="24"/>
          <w:szCs w:val="24"/>
        </w:rPr>
        <w:t xml:space="preserve"> metabolism under physiological conditions. International </w:t>
      </w:r>
      <w:r>
        <w:rPr>
          <w:rFonts w:asciiTheme="majorBidi" w:hAnsiTheme="majorBidi" w:cstheme="majorBidi"/>
          <w:sz w:val="24"/>
          <w:szCs w:val="24"/>
        </w:rPr>
        <w:tab/>
      </w:r>
      <w:r w:rsidRPr="00997621">
        <w:rPr>
          <w:rFonts w:asciiTheme="majorBidi" w:hAnsiTheme="majorBidi" w:cstheme="majorBidi"/>
          <w:sz w:val="24"/>
          <w:szCs w:val="24"/>
        </w:rPr>
        <w:t>immunology, 22(10): 805-816.</w:t>
      </w:r>
      <w:r>
        <w:rPr>
          <w:rFonts w:asciiTheme="majorBidi" w:hAnsiTheme="majorBidi" w:cstheme="majorBidi"/>
          <w:sz w:val="24"/>
          <w:szCs w:val="24"/>
        </w:rPr>
        <w:t xml:space="preserve"> </w:t>
      </w:r>
      <w:r w:rsidRPr="00997621">
        <w:rPr>
          <w:rFonts w:asciiTheme="majorBidi" w:hAnsiTheme="majorBidi" w:cstheme="majorBidi"/>
          <w:sz w:val="24"/>
          <w:szCs w:val="24"/>
          <w:lang w:val="en-GB"/>
        </w:rPr>
        <w:t>DOI: </w:t>
      </w:r>
      <w:hyperlink r:id="rId18" w:tgtFrame="_blank" w:history="1">
        <w:r w:rsidRPr="00997621">
          <w:rPr>
            <w:rStyle w:val="Hyperlink"/>
            <w:rFonts w:asciiTheme="majorBidi" w:hAnsiTheme="majorBidi" w:cstheme="majorBidi"/>
            <w:sz w:val="24"/>
            <w:szCs w:val="24"/>
            <w:lang w:val="en-GB"/>
          </w:rPr>
          <w:t>10.1093/</w:t>
        </w:r>
        <w:proofErr w:type="spellStart"/>
        <w:r w:rsidRPr="00997621">
          <w:rPr>
            <w:rStyle w:val="Hyperlink"/>
            <w:rFonts w:asciiTheme="majorBidi" w:hAnsiTheme="majorBidi" w:cstheme="majorBidi"/>
            <w:sz w:val="24"/>
            <w:szCs w:val="24"/>
            <w:lang w:val="en-GB"/>
          </w:rPr>
          <w:t>intimm</w:t>
        </w:r>
        <w:proofErr w:type="spellEnd"/>
        <w:r w:rsidRPr="00997621">
          <w:rPr>
            <w:rStyle w:val="Hyperlink"/>
            <w:rFonts w:asciiTheme="majorBidi" w:hAnsiTheme="majorBidi" w:cstheme="majorBidi"/>
            <w:sz w:val="24"/>
            <w:szCs w:val="24"/>
            <w:lang w:val="en-GB"/>
          </w:rPr>
          <w:t>/dxq431</w:t>
        </w:r>
      </w:hyperlink>
    </w:p>
    <w:p w14:paraId="6FDA6320" w14:textId="430D4EEE" w:rsidR="00DB231F" w:rsidRPr="000F6083" w:rsidRDefault="00DB231F" w:rsidP="00DB231F">
      <w:pPr>
        <w:shd w:val="clear" w:color="auto" w:fill="FFFFFF"/>
        <w:spacing w:line="480" w:lineRule="auto"/>
        <w:jc w:val="both"/>
        <w:rPr>
          <w:rFonts w:asciiTheme="majorBidi" w:eastAsia="Times New Roman" w:hAnsiTheme="majorBidi" w:cstheme="majorBidi"/>
          <w:color w:val="0A0A0A"/>
          <w:sz w:val="24"/>
          <w:szCs w:val="24"/>
        </w:rPr>
      </w:pPr>
      <w:r w:rsidRPr="000F6083">
        <w:rPr>
          <w:rFonts w:asciiTheme="majorBidi" w:eastAsia="Times New Roman" w:hAnsiTheme="majorBidi" w:cstheme="majorBidi"/>
          <w:color w:val="0A0A0A"/>
          <w:sz w:val="24"/>
          <w:szCs w:val="24"/>
        </w:rPr>
        <w:t>Lidgren, L. (2003). The cost of musculoskeletal injuries. </w:t>
      </w:r>
      <w:r w:rsidRPr="00997621">
        <w:rPr>
          <w:rFonts w:asciiTheme="majorBidi" w:eastAsia="Times New Roman" w:hAnsiTheme="majorBidi" w:cstheme="majorBidi"/>
          <w:color w:val="0A0A0A"/>
          <w:sz w:val="24"/>
          <w:szCs w:val="24"/>
        </w:rPr>
        <w:t xml:space="preserve">Journal of </w:t>
      </w:r>
      <w:proofErr w:type="spellStart"/>
      <w:r w:rsidRPr="00997621">
        <w:rPr>
          <w:rFonts w:asciiTheme="majorBidi" w:eastAsia="Times New Roman" w:hAnsiTheme="majorBidi" w:cstheme="majorBidi"/>
          <w:color w:val="0A0A0A"/>
          <w:sz w:val="24"/>
          <w:szCs w:val="24"/>
        </w:rPr>
        <w:t>Orthopaedic</w:t>
      </w:r>
      <w:proofErr w:type="spellEnd"/>
      <w:r w:rsidRPr="00997621">
        <w:rPr>
          <w:rFonts w:asciiTheme="majorBidi" w:eastAsia="Times New Roman" w:hAnsiTheme="majorBidi" w:cstheme="majorBidi"/>
          <w:color w:val="0A0A0A"/>
          <w:sz w:val="24"/>
          <w:szCs w:val="24"/>
        </w:rPr>
        <w:t xml:space="preserve"> Trauma,</w:t>
      </w:r>
      <w:r w:rsidRPr="000F6083">
        <w:rPr>
          <w:rFonts w:asciiTheme="majorBidi" w:eastAsia="Times New Roman" w:hAnsiTheme="majorBidi" w:cstheme="majorBidi"/>
          <w:i/>
          <w:iCs/>
          <w:color w:val="0A0A0A"/>
          <w:sz w:val="24"/>
          <w:szCs w:val="24"/>
        </w:rPr>
        <w:t xml:space="preserve"> </w:t>
      </w:r>
      <w:r w:rsidRPr="000F6083">
        <w:rPr>
          <w:rFonts w:asciiTheme="majorBidi" w:eastAsia="Times New Roman" w:hAnsiTheme="majorBidi" w:cstheme="majorBidi"/>
          <w:color w:val="0A0A0A"/>
          <w:sz w:val="24"/>
          <w:szCs w:val="24"/>
        </w:rPr>
        <w:t xml:space="preserve">17(Suppl </w:t>
      </w:r>
      <w:r>
        <w:rPr>
          <w:rFonts w:asciiTheme="majorBidi" w:eastAsia="Times New Roman" w:hAnsiTheme="majorBidi" w:cstheme="majorBidi"/>
          <w:color w:val="0A0A0A"/>
          <w:sz w:val="24"/>
          <w:szCs w:val="24"/>
        </w:rPr>
        <w:tab/>
      </w:r>
      <w:r w:rsidRPr="000F6083">
        <w:rPr>
          <w:rFonts w:asciiTheme="majorBidi" w:eastAsia="Times New Roman" w:hAnsiTheme="majorBidi" w:cstheme="majorBidi"/>
          <w:color w:val="0A0A0A"/>
          <w:sz w:val="24"/>
          <w:szCs w:val="24"/>
        </w:rPr>
        <w:t xml:space="preserve">1), S1–S2. </w:t>
      </w:r>
      <w:hyperlink r:id="rId19" w:tgtFrame="_blank" w:tooltip="Persistent link using digital object identifier" w:history="1">
        <w:r w:rsidRPr="00A164BB">
          <w:rPr>
            <w:rStyle w:val="Hyperlink"/>
            <w:rFonts w:asciiTheme="majorBidi" w:eastAsia="Times New Roman" w:hAnsiTheme="majorBidi" w:cstheme="majorBidi"/>
            <w:sz w:val="24"/>
            <w:szCs w:val="24"/>
          </w:rPr>
          <w:t>https://doi.org/10.1016/S1521-6942(03)00023-8</w:t>
        </w:r>
      </w:hyperlink>
    </w:p>
    <w:p w14:paraId="2819ACA6" w14:textId="62610BB6" w:rsidR="00DB231F" w:rsidRPr="00A16A12" w:rsidRDefault="00DB231F" w:rsidP="00DB231F">
      <w:pPr>
        <w:spacing w:line="480" w:lineRule="auto"/>
        <w:rPr>
          <w:rFonts w:asciiTheme="majorBidi" w:hAnsiTheme="majorBidi" w:cstheme="majorBidi"/>
          <w:sz w:val="24"/>
          <w:szCs w:val="24"/>
          <w:lang w:val="en-GB"/>
        </w:rPr>
      </w:pPr>
      <w:r w:rsidRPr="000F6083">
        <w:rPr>
          <w:rFonts w:asciiTheme="majorBidi" w:hAnsiTheme="majorBidi" w:cstheme="majorBidi"/>
          <w:sz w:val="24"/>
          <w:szCs w:val="24"/>
        </w:rPr>
        <w:t xml:space="preserve">Liu, Q., Liu, Z., Guo, H., Liang, J. </w:t>
      </w:r>
      <w:r>
        <w:rPr>
          <w:rFonts w:asciiTheme="majorBidi" w:hAnsiTheme="majorBidi" w:cstheme="majorBidi"/>
          <w:sz w:val="24"/>
          <w:szCs w:val="24"/>
        </w:rPr>
        <w:t>&amp;</w:t>
      </w:r>
      <w:r w:rsidRPr="000F6083">
        <w:rPr>
          <w:rFonts w:asciiTheme="majorBidi" w:hAnsiTheme="majorBidi" w:cstheme="majorBidi"/>
          <w:sz w:val="24"/>
          <w:szCs w:val="24"/>
        </w:rPr>
        <w:t xml:space="preserve"> Zhang, Y. (2022). The progress in quantitative evaluation </w:t>
      </w:r>
      <w:r>
        <w:rPr>
          <w:rFonts w:asciiTheme="majorBidi" w:hAnsiTheme="majorBidi" w:cstheme="majorBidi"/>
          <w:sz w:val="24"/>
          <w:szCs w:val="24"/>
        </w:rPr>
        <w:tab/>
      </w:r>
      <w:r w:rsidRPr="000F6083">
        <w:rPr>
          <w:rFonts w:asciiTheme="majorBidi" w:hAnsiTheme="majorBidi" w:cstheme="majorBidi"/>
          <w:sz w:val="24"/>
          <w:szCs w:val="24"/>
        </w:rPr>
        <w:t>of callus during distraction osteogenesis. </w:t>
      </w:r>
      <w:r w:rsidRPr="00A16A12">
        <w:rPr>
          <w:rFonts w:asciiTheme="majorBidi" w:hAnsiTheme="majorBidi" w:cstheme="majorBidi"/>
          <w:sz w:val="24"/>
          <w:szCs w:val="24"/>
        </w:rPr>
        <w:t>BMC Musculoskeletal Disorders, 23</w:t>
      </w:r>
      <w:r w:rsidRPr="000F6083">
        <w:rPr>
          <w:rFonts w:asciiTheme="majorBidi" w:hAnsiTheme="majorBidi" w:cstheme="majorBidi"/>
          <w:sz w:val="24"/>
          <w:szCs w:val="24"/>
        </w:rPr>
        <w:t>(1), 490.</w:t>
      </w:r>
      <w:r>
        <w:rPr>
          <w:rFonts w:asciiTheme="majorBidi" w:hAnsiTheme="majorBidi" w:cstheme="majorBidi"/>
          <w:sz w:val="24"/>
          <w:szCs w:val="24"/>
        </w:rPr>
        <w:t xml:space="preserve"> </w:t>
      </w:r>
      <w:r>
        <w:rPr>
          <w:rFonts w:asciiTheme="majorBidi" w:hAnsiTheme="majorBidi" w:cstheme="majorBidi"/>
          <w:sz w:val="24"/>
          <w:szCs w:val="24"/>
        </w:rPr>
        <w:tab/>
      </w:r>
      <w:r w:rsidRPr="00A16A12">
        <w:rPr>
          <w:rFonts w:asciiTheme="majorBidi" w:hAnsiTheme="majorBidi" w:cstheme="majorBidi"/>
          <w:sz w:val="24"/>
          <w:szCs w:val="24"/>
          <w:lang w:val="en-GB"/>
        </w:rPr>
        <w:t>DOI: </w:t>
      </w:r>
      <w:hyperlink r:id="rId20" w:tgtFrame="_blank" w:history="1">
        <w:r w:rsidRPr="00A16A12">
          <w:rPr>
            <w:rStyle w:val="Hyperlink"/>
            <w:rFonts w:asciiTheme="majorBidi" w:hAnsiTheme="majorBidi" w:cstheme="majorBidi"/>
            <w:sz w:val="24"/>
            <w:szCs w:val="24"/>
            <w:lang w:val="en-GB"/>
          </w:rPr>
          <w:t>10.1186/s12891-022-05458-8</w:t>
        </w:r>
      </w:hyperlink>
    </w:p>
    <w:p w14:paraId="7C01370A" w14:textId="109A35A9" w:rsidR="00DB231F" w:rsidRPr="00A16A12" w:rsidRDefault="00DB231F" w:rsidP="00DB231F">
      <w:pPr>
        <w:spacing w:line="480" w:lineRule="auto"/>
        <w:jc w:val="both"/>
        <w:rPr>
          <w:rFonts w:asciiTheme="majorBidi" w:hAnsiTheme="majorBidi" w:cstheme="majorBidi"/>
          <w:sz w:val="24"/>
          <w:szCs w:val="24"/>
          <w:lang w:val="en-GB"/>
        </w:rPr>
      </w:pPr>
      <w:r w:rsidRPr="000F6083">
        <w:rPr>
          <w:rFonts w:asciiTheme="majorBidi" w:hAnsiTheme="majorBidi" w:cstheme="majorBidi"/>
          <w:sz w:val="24"/>
          <w:szCs w:val="24"/>
        </w:rPr>
        <w:t xml:space="preserve">Liu, S., Wang, B., Fan, S., Wang, Y., Zhan, Y. </w:t>
      </w:r>
      <w:r>
        <w:rPr>
          <w:rFonts w:asciiTheme="majorBidi" w:hAnsiTheme="majorBidi" w:cstheme="majorBidi"/>
          <w:sz w:val="24"/>
          <w:szCs w:val="24"/>
        </w:rPr>
        <w:t>&amp;</w:t>
      </w:r>
      <w:r w:rsidRPr="000F6083">
        <w:rPr>
          <w:rFonts w:asciiTheme="majorBidi" w:hAnsiTheme="majorBidi" w:cstheme="majorBidi"/>
          <w:sz w:val="24"/>
          <w:szCs w:val="24"/>
        </w:rPr>
        <w:t xml:space="preserve"> Ye, D. (2022). Global burden of musculoskeletal </w:t>
      </w:r>
      <w:r>
        <w:rPr>
          <w:rFonts w:asciiTheme="majorBidi" w:hAnsiTheme="majorBidi" w:cstheme="majorBidi"/>
          <w:sz w:val="24"/>
          <w:szCs w:val="24"/>
        </w:rPr>
        <w:tab/>
      </w:r>
      <w:r w:rsidRPr="000F6083">
        <w:rPr>
          <w:rFonts w:asciiTheme="majorBidi" w:hAnsiTheme="majorBidi" w:cstheme="majorBidi"/>
          <w:sz w:val="24"/>
          <w:szCs w:val="24"/>
        </w:rPr>
        <w:t xml:space="preserve">disorders and attributable factors in 204 countries and territories: a secondary analysis of </w:t>
      </w:r>
      <w:r>
        <w:rPr>
          <w:rFonts w:asciiTheme="majorBidi" w:hAnsiTheme="majorBidi" w:cstheme="majorBidi"/>
          <w:sz w:val="24"/>
          <w:szCs w:val="24"/>
        </w:rPr>
        <w:tab/>
      </w:r>
      <w:r w:rsidRPr="000F6083">
        <w:rPr>
          <w:rFonts w:asciiTheme="majorBidi" w:hAnsiTheme="majorBidi" w:cstheme="majorBidi"/>
          <w:sz w:val="24"/>
          <w:szCs w:val="24"/>
        </w:rPr>
        <w:t>the Global Burden of Disease 2019 study. </w:t>
      </w:r>
      <w:r w:rsidRPr="00A16A12">
        <w:rPr>
          <w:rFonts w:asciiTheme="majorBidi" w:hAnsiTheme="majorBidi" w:cstheme="majorBidi"/>
          <w:sz w:val="24"/>
          <w:szCs w:val="24"/>
        </w:rPr>
        <w:t>British Medical Journal Open, </w:t>
      </w:r>
      <w:r w:rsidRPr="000F6083">
        <w:rPr>
          <w:rFonts w:asciiTheme="majorBidi" w:hAnsiTheme="majorBidi" w:cstheme="majorBidi"/>
          <w:sz w:val="24"/>
          <w:szCs w:val="24"/>
        </w:rPr>
        <w:t>12(6): e062183.</w:t>
      </w:r>
      <w:r>
        <w:rPr>
          <w:rFonts w:asciiTheme="majorBidi" w:hAnsiTheme="majorBidi" w:cstheme="majorBidi"/>
          <w:sz w:val="24"/>
          <w:szCs w:val="24"/>
        </w:rPr>
        <w:t xml:space="preserve"> </w:t>
      </w:r>
      <w:r>
        <w:rPr>
          <w:rFonts w:asciiTheme="majorBidi" w:hAnsiTheme="majorBidi" w:cstheme="majorBidi"/>
          <w:sz w:val="24"/>
          <w:szCs w:val="24"/>
        </w:rPr>
        <w:tab/>
      </w:r>
      <w:r w:rsidRPr="00A16A12">
        <w:rPr>
          <w:rFonts w:asciiTheme="majorBidi" w:hAnsiTheme="majorBidi" w:cstheme="majorBidi"/>
          <w:sz w:val="24"/>
          <w:szCs w:val="24"/>
          <w:lang w:val="en-GB"/>
        </w:rPr>
        <w:t>DOI: </w:t>
      </w:r>
      <w:hyperlink r:id="rId21" w:tgtFrame="_blank" w:history="1">
        <w:r w:rsidRPr="00A16A12">
          <w:rPr>
            <w:rStyle w:val="Hyperlink"/>
            <w:rFonts w:asciiTheme="majorBidi" w:hAnsiTheme="majorBidi" w:cstheme="majorBidi"/>
            <w:sz w:val="24"/>
            <w:szCs w:val="24"/>
            <w:lang w:val="en-GB"/>
          </w:rPr>
          <w:t>10.1136/bmjopen-2022-062183</w:t>
        </w:r>
      </w:hyperlink>
    </w:p>
    <w:p w14:paraId="55A9798F" w14:textId="059FE08D" w:rsidR="00DB231F" w:rsidRPr="00A16A12" w:rsidRDefault="00DB231F" w:rsidP="00DB231F">
      <w:pPr>
        <w:shd w:val="clear" w:color="auto" w:fill="FFFFFF"/>
        <w:spacing w:after="240" w:line="480" w:lineRule="auto"/>
        <w:jc w:val="both"/>
        <w:rPr>
          <w:rFonts w:asciiTheme="majorBidi" w:eastAsia="Times New Roman" w:hAnsiTheme="majorBidi" w:cstheme="majorBidi"/>
          <w:color w:val="0A0A0A"/>
          <w:sz w:val="24"/>
          <w:szCs w:val="24"/>
          <w:lang w:val="en-GB"/>
        </w:rPr>
      </w:pPr>
      <w:r w:rsidRPr="000F6083">
        <w:rPr>
          <w:rFonts w:asciiTheme="majorBidi" w:eastAsia="Times New Roman" w:hAnsiTheme="majorBidi" w:cstheme="majorBidi"/>
          <w:color w:val="0A0A0A"/>
          <w:sz w:val="24"/>
          <w:szCs w:val="24"/>
        </w:rPr>
        <w:t>Marsell, R., &amp; Einhorn, T. A. (2011). The biology of fracture healing. </w:t>
      </w:r>
      <w:r w:rsidRPr="00A16A12">
        <w:rPr>
          <w:rFonts w:asciiTheme="majorBidi" w:eastAsia="Times New Roman" w:hAnsiTheme="majorBidi" w:cstheme="majorBidi"/>
          <w:color w:val="0A0A0A"/>
          <w:sz w:val="24"/>
          <w:szCs w:val="24"/>
        </w:rPr>
        <w:t xml:space="preserve">Osteoporosis </w:t>
      </w:r>
      <w:r>
        <w:rPr>
          <w:rFonts w:asciiTheme="majorBidi" w:eastAsia="Times New Roman" w:hAnsiTheme="majorBidi" w:cstheme="majorBidi"/>
          <w:color w:val="0A0A0A"/>
          <w:sz w:val="24"/>
          <w:szCs w:val="24"/>
        </w:rPr>
        <w:tab/>
      </w:r>
      <w:r w:rsidRPr="00A16A12">
        <w:rPr>
          <w:rFonts w:asciiTheme="majorBidi" w:eastAsia="Times New Roman" w:hAnsiTheme="majorBidi" w:cstheme="majorBidi"/>
          <w:color w:val="0A0A0A"/>
          <w:sz w:val="24"/>
          <w:szCs w:val="24"/>
        </w:rPr>
        <w:t>International, 22</w:t>
      </w:r>
      <w:r w:rsidRPr="000F6083">
        <w:rPr>
          <w:rFonts w:asciiTheme="majorBidi" w:eastAsia="Times New Roman" w:hAnsiTheme="majorBidi" w:cstheme="majorBidi"/>
          <w:color w:val="0A0A0A"/>
          <w:sz w:val="24"/>
          <w:szCs w:val="24"/>
        </w:rPr>
        <w:t>(Suppl 2), S67–S73.</w:t>
      </w:r>
      <w:r>
        <w:rPr>
          <w:rFonts w:asciiTheme="majorBidi" w:eastAsia="Times New Roman" w:hAnsiTheme="majorBidi" w:cstheme="majorBidi"/>
          <w:color w:val="0A0A0A"/>
          <w:sz w:val="24"/>
          <w:szCs w:val="24"/>
        </w:rPr>
        <w:t xml:space="preserve"> </w:t>
      </w:r>
      <w:r w:rsidRPr="00A16A12">
        <w:rPr>
          <w:rFonts w:asciiTheme="majorBidi" w:eastAsia="Times New Roman" w:hAnsiTheme="majorBidi" w:cstheme="majorBidi"/>
          <w:color w:val="0A0A0A"/>
          <w:sz w:val="24"/>
          <w:szCs w:val="24"/>
          <w:lang w:val="en-GB"/>
        </w:rPr>
        <w:t>DOI: </w:t>
      </w:r>
      <w:hyperlink r:id="rId22" w:tgtFrame="_blank" w:history="1">
        <w:r w:rsidRPr="00A16A12">
          <w:rPr>
            <w:rStyle w:val="Hyperlink"/>
            <w:rFonts w:asciiTheme="majorBidi" w:eastAsia="Times New Roman" w:hAnsiTheme="majorBidi" w:cstheme="majorBidi"/>
            <w:sz w:val="24"/>
            <w:szCs w:val="24"/>
            <w:lang w:val="en-GB"/>
          </w:rPr>
          <w:t>10.1016/j.injury.2011.03.031</w:t>
        </w:r>
      </w:hyperlink>
    </w:p>
    <w:p w14:paraId="61A957C3" w14:textId="315799BE" w:rsidR="00DB231F" w:rsidRPr="000F6083" w:rsidRDefault="00DB231F" w:rsidP="00DB231F">
      <w:pPr>
        <w:spacing w:before="100" w:beforeAutospacing="1" w:after="100" w:afterAutospacing="1" w:line="480" w:lineRule="auto"/>
        <w:jc w:val="both"/>
        <w:rPr>
          <w:rFonts w:asciiTheme="majorBidi" w:hAnsiTheme="majorBidi" w:cstheme="majorBidi"/>
          <w:color w:val="212121"/>
          <w:sz w:val="24"/>
          <w:szCs w:val="24"/>
          <w:shd w:val="clear" w:color="auto" w:fill="FFFFFF"/>
        </w:rPr>
      </w:pPr>
      <w:proofErr w:type="spellStart"/>
      <w:r w:rsidRPr="000F6083">
        <w:rPr>
          <w:rFonts w:asciiTheme="majorBidi" w:hAnsiTheme="majorBidi" w:cstheme="majorBidi"/>
          <w:color w:val="212121"/>
          <w:sz w:val="24"/>
          <w:szCs w:val="24"/>
          <w:shd w:val="clear" w:color="auto" w:fill="FFFFFF"/>
        </w:rPr>
        <w:t>Nurden</w:t>
      </w:r>
      <w:proofErr w:type="spellEnd"/>
      <w:r w:rsidRPr="000F6083">
        <w:rPr>
          <w:rFonts w:asciiTheme="majorBidi" w:hAnsiTheme="majorBidi" w:cstheme="majorBidi"/>
          <w:color w:val="212121"/>
          <w:sz w:val="24"/>
          <w:szCs w:val="24"/>
          <w:shd w:val="clear" w:color="auto" w:fill="FFFFFF"/>
        </w:rPr>
        <w:t xml:space="preserve"> A. T. (2028). The biology of the platelet with special reference to inflammation, wound </w:t>
      </w:r>
      <w:r>
        <w:rPr>
          <w:rFonts w:asciiTheme="majorBidi" w:hAnsiTheme="majorBidi" w:cstheme="majorBidi"/>
          <w:color w:val="212121"/>
          <w:sz w:val="24"/>
          <w:szCs w:val="24"/>
          <w:shd w:val="clear" w:color="auto" w:fill="FFFFFF"/>
        </w:rPr>
        <w:tab/>
      </w:r>
      <w:r w:rsidRPr="000F6083">
        <w:rPr>
          <w:rFonts w:asciiTheme="majorBidi" w:hAnsiTheme="majorBidi" w:cstheme="majorBidi"/>
          <w:color w:val="212121"/>
          <w:sz w:val="24"/>
          <w:szCs w:val="24"/>
          <w:shd w:val="clear" w:color="auto" w:fill="FFFFFF"/>
        </w:rPr>
        <w:t xml:space="preserve">healing and immunity. Frontiers in Biosciences (Landmark Ed). 23(4): 726-751. </w:t>
      </w:r>
      <w:r>
        <w:rPr>
          <w:rFonts w:asciiTheme="majorBidi" w:hAnsiTheme="majorBidi" w:cstheme="majorBidi"/>
          <w:color w:val="212121"/>
          <w:sz w:val="24"/>
          <w:szCs w:val="24"/>
          <w:shd w:val="clear" w:color="auto" w:fill="FFFFFF"/>
        </w:rPr>
        <w:tab/>
      </w:r>
      <w:r w:rsidRPr="000F6083">
        <w:rPr>
          <w:rFonts w:asciiTheme="majorBidi" w:hAnsiTheme="majorBidi" w:cstheme="majorBidi"/>
          <w:color w:val="212121"/>
          <w:sz w:val="24"/>
          <w:szCs w:val="24"/>
          <w:shd w:val="clear" w:color="auto" w:fill="FFFFFF"/>
        </w:rPr>
        <w:t>Doi.org/10.2741/4613.</w:t>
      </w:r>
    </w:p>
    <w:p w14:paraId="3898B480" w14:textId="5E45D9C6" w:rsidR="00DB231F" w:rsidRPr="009F2F66" w:rsidRDefault="00DB231F" w:rsidP="00DB231F">
      <w:pPr>
        <w:spacing w:line="480" w:lineRule="auto"/>
        <w:jc w:val="both"/>
        <w:rPr>
          <w:rFonts w:asciiTheme="majorBidi" w:hAnsiTheme="majorBidi" w:cstheme="majorBidi"/>
          <w:sz w:val="24"/>
          <w:szCs w:val="24"/>
          <w:lang w:val="en-GB"/>
        </w:rPr>
      </w:pPr>
      <w:r w:rsidRPr="000F6083">
        <w:rPr>
          <w:rFonts w:asciiTheme="majorBidi" w:hAnsiTheme="majorBidi" w:cstheme="majorBidi"/>
          <w:sz w:val="24"/>
          <w:szCs w:val="24"/>
        </w:rPr>
        <w:t xml:space="preserve">Oryan, A., Kamali, A., Moshiri, A. </w:t>
      </w:r>
      <w:r>
        <w:rPr>
          <w:rFonts w:asciiTheme="majorBidi" w:hAnsiTheme="majorBidi" w:cstheme="majorBidi"/>
          <w:sz w:val="24"/>
          <w:szCs w:val="24"/>
        </w:rPr>
        <w:t>&amp;</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Baghaban</w:t>
      </w:r>
      <w:proofErr w:type="spellEnd"/>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Eslaminejad</w:t>
      </w:r>
      <w:proofErr w:type="spellEnd"/>
      <w:r w:rsidRPr="000F6083">
        <w:rPr>
          <w:rFonts w:asciiTheme="majorBidi" w:hAnsiTheme="majorBidi" w:cstheme="majorBidi"/>
          <w:sz w:val="24"/>
          <w:szCs w:val="24"/>
        </w:rPr>
        <w:t xml:space="preserve">, M. (2017). Role of mesenchymal </w:t>
      </w:r>
      <w:r>
        <w:rPr>
          <w:rFonts w:asciiTheme="majorBidi" w:hAnsiTheme="majorBidi" w:cstheme="majorBidi"/>
          <w:sz w:val="24"/>
          <w:szCs w:val="24"/>
        </w:rPr>
        <w:tab/>
      </w:r>
      <w:r w:rsidRPr="000F6083">
        <w:rPr>
          <w:rFonts w:asciiTheme="majorBidi" w:hAnsiTheme="majorBidi" w:cstheme="majorBidi"/>
          <w:sz w:val="24"/>
          <w:szCs w:val="24"/>
        </w:rPr>
        <w:t xml:space="preserve">stem cells in bone regenerative medicine: what is the </w:t>
      </w:r>
      <w:proofErr w:type="gramStart"/>
      <w:r w:rsidRPr="000F6083">
        <w:rPr>
          <w:rFonts w:asciiTheme="majorBidi" w:hAnsiTheme="majorBidi" w:cstheme="majorBidi"/>
          <w:sz w:val="24"/>
          <w:szCs w:val="24"/>
        </w:rPr>
        <w:t>evidence?.</w:t>
      </w:r>
      <w:proofErr w:type="gramEnd"/>
      <w:r w:rsidRPr="000F6083">
        <w:rPr>
          <w:rFonts w:asciiTheme="majorBidi" w:hAnsiTheme="majorBidi" w:cstheme="majorBidi"/>
          <w:sz w:val="24"/>
          <w:szCs w:val="24"/>
        </w:rPr>
        <w:t> </w:t>
      </w:r>
      <w:r w:rsidRPr="009F2F66">
        <w:rPr>
          <w:rFonts w:asciiTheme="majorBidi" w:hAnsiTheme="majorBidi" w:cstheme="majorBidi"/>
          <w:sz w:val="24"/>
          <w:szCs w:val="24"/>
        </w:rPr>
        <w:t xml:space="preserve">Cells Tissues </w:t>
      </w:r>
      <w:r>
        <w:rPr>
          <w:rFonts w:asciiTheme="majorBidi" w:hAnsiTheme="majorBidi" w:cstheme="majorBidi"/>
          <w:sz w:val="24"/>
          <w:szCs w:val="24"/>
        </w:rPr>
        <w:tab/>
      </w:r>
      <w:r w:rsidRPr="009F2F66">
        <w:rPr>
          <w:rFonts w:asciiTheme="majorBidi" w:hAnsiTheme="majorBidi" w:cstheme="majorBidi"/>
          <w:sz w:val="24"/>
          <w:szCs w:val="24"/>
        </w:rPr>
        <w:t>Organs,</w:t>
      </w:r>
      <w:r w:rsidRPr="000F6083">
        <w:rPr>
          <w:rFonts w:asciiTheme="majorBidi" w:hAnsiTheme="majorBidi" w:cstheme="majorBidi"/>
          <w:sz w:val="24"/>
          <w:szCs w:val="24"/>
        </w:rPr>
        <w:t> 204(2), 59-83.</w:t>
      </w:r>
      <w:r>
        <w:rPr>
          <w:rFonts w:asciiTheme="majorBidi" w:hAnsiTheme="majorBidi" w:cstheme="majorBidi"/>
          <w:sz w:val="24"/>
          <w:szCs w:val="24"/>
        </w:rPr>
        <w:t xml:space="preserve"> </w:t>
      </w:r>
      <w:r w:rsidRPr="009F2F66">
        <w:rPr>
          <w:rFonts w:asciiTheme="majorBidi" w:hAnsiTheme="majorBidi" w:cstheme="majorBidi"/>
          <w:sz w:val="24"/>
          <w:szCs w:val="24"/>
          <w:lang w:val="en-GB"/>
        </w:rPr>
        <w:t>DOI: </w:t>
      </w:r>
      <w:hyperlink r:id="rId23" w:tgtFrame="_blank" w:history="1">
        <w:r w:rsidRPr="009F2F66">
          <w:rPr>
            <w:rStyle w:val="Hyperlink"/>
            <w:rFonts w:asciiTheme="majorBidi" w:hAnsiTheme="majorBidi" w:cstheme="majorBidi"/>
            <w:sz w:val="24"/>
            <w:szCs w:val="24"/>
            <w:lang w:val="en-GB"/>
          </w:rPr>
          <w:t>10.1159/000469704</w:t>
        </w:r>
      </w:hyperlink>
    </w:p>
    <w:p w14:paraId="5551521D" w14:textId="4871BCDE" w:rsidR="00DB231F" w:rsidRPr="009F2F66" w:rsidRDefault="00DB231F" w:rsidP="00DB231F">
      <w:pPr>
        <w:spacing w:line="480" w:lineRule="auto"/>
        <w:jc w:val="both"/>
        <w:rPr>
          <w:rFonts w:asciiTheme="majorBidi" w:eastAsia="Times New Roman" w:hAnsiTheme="majorBidi" w:cstheme="majorBidi"/>
          <w:sz w:val="24"/>
          <w:szCs w:val="24"/>
          <w:lang w:val="en-GB"/>
        </w:rPr>
      </w:pPr>
      <w:r w:rsidRPr="000F6083">
        <w:rPr>
          <w:rFonts w:asciiTheme="majorBidi" w:eastAsia="Times New Roman" w:hAnsiTheme="majorBidi" w:cstheme="majorBidi"/>
          <w:sz w:val="24"/>
          <w:szCs w:val="24"/>
        </w:rPr>
        <w:lastRenderedPageBreak/>
        <w:t xml:space="preserve">Oryan, A., </w:t>
      </w:r>
      <w:proofErr w:type="spellStart"/>
      <w:r w:rsidRPr="000F6083">
        <w:rPr>
          <w:rFonts w:asciiTheme="majorBidi" w:eastAsia="Times New Roman" w:hAnsiTheme="majorBidi" w:cstheme="majorBidi"/>
          <w:sz w:val="24"/>
          <w:szCs w:val="24"/>
        </w:rPr>
        <w:t>Meimandi</w:t>
      </w:r>
      <w:proofErr w:type="spellEnd"/>
      <w:r w:rsidRPr="000F6083">
        <w:rPr>
          <w:rFonts w:asciiTheme="majorBidi" w:eastAsia="Times New Roman" w:hAnsiTheme="majorBidi" w:cstheme="majorBidi"/>
          <w:sz w:val="24"/>
          <w:szCs w:val="24"/>
        </w:rPr>
        <w:t xml:space="preserve"> Parizi, A., Shafiei-</w:t>
      </w:r>
      <w:proofErr w:type="spellStart"/>
      <w:r w:rsidRPr="000F6083">
        <w:rPr>
          <w:rFonts w:asciiTheme="majorBidi" w:eastAsia="Times New Roman" w:hAnsiTheme="majorBidi" w:cstheme="majorBidi"/>
          <w:sz w:val="24"/>
          <w:szCs w:val="24"/>
        </w:rPr>
        <w:t>Sarvestani</w:t>
      </w:r>
      <w:proofErr w:type="spellEnd"/>
      <w:r w:rsidRPr="000F6083">
        <w:rPr>
          <w:rFonts w:asciiTheme="majorBidi" w:eastAsia="Times New Roman" w:hAnsiTheme="majorBidi" w:cstheme="majorBidi"/>
          <w:sz w:val="24"/>
          <w:szCs w:val="24"/>
        </w:rPr>
        <w:t xml:space="preserve">, Z. </w:t>
      </w:r>
      <w:r>
        <w:rPr>
          <w:rFonts w:asciiTheme="majorBidi" w:eastAsia="Times New Roman" w:hAnsiTheme="majorBidi" w:cstheme="majorBidi"/>
          <w:sz w:val="24"/>
          <w:szCs w:val="24"/>
        </w:rPr>
        <w:t>&amp;</w:t>
      </w:r>
      <w:r w:rsidRPr="000F6083">
        <w:rPr>
          <w:rFonts w:asciiTheme="majorBidi" w:eastAsia="Times New Roman" w:hAnsiTheme="majorBidi" w:cstheme="majorBidi"/>
          <w:sz w:val="24"/>
          <w:szCs w:val="24"/>
        </w:rPr>
        <w:t xml:space="preserve"> Bigham, A. S. (2012). Effects of </w:t>
      </w:r>
      <w:r>
        <w:rPr>
          <w:rFonts w:asciiTheme="majorBidi" w:eastAsia="Times New Roman" w:hAnsiTheme="majorBidi" w:cstheme="majorBidi"/>
          <w:sz w:val="24"/>
          <w:szCs w:val="24"/>
        </w:rPr>
        <w:tab/>
      </w:r>
      <w:r w:rsidRPr="000F6083">
        <w:rPr>
          <w:rFonts w:asciiTheme="majorBidi" w:eastAsia="Times New Roman" w:hAnsiTheme="majorBidi" w:cstheme="majorBidi"/>
          <w:sz w:val="24"/>
          <w:szCs w:val="24"/>
        </w:rPr>
        <w:t>combined hydroxyapatite and human platelet rich plasma on bone healing in rabbit model</w:t>
      </w:r>
      <w:proofErr w:type="gramStart"/>
      <w:r w:rsidRPr="000F6083">
        <w:rPr>
          <w:rFonts w:asciiTheme="majorBidi" w:eastAsia="Times New Roman" w:hAnsiTheme="majorBidi" w:cstheme="majorBidi"/>
          <w:sz w:val="24"/>
          <w:szCs w:val="24"/>
        </w:rPr>
        <w:t xml:space="preserve">: </w:t>
      </w:r>
      <w:r>
        <w:rPr>
          <w:rFonts w:asciiTheme="majorBidi" w:eastAsia="Times New Roman" w:hAnsiTheme="majorBidi" w:cstheme="majorBidi"/>
          <w:sz w:val="24"/>
          <w:szCs w:val="24"/>
        </w:rPr>
        <w:tab/>
      </w:r>
      <w:r w:rsidRPr="000F6083">
        <w:rPr>
          <w:rFonts w:asciiTheme="majorBidi" w:eastAsia="Times New Roman" w:hAnsiTheme="majorBidi" w:cstheme="majorBidi"/>
          <w:sz w:val="24"/>
          <w:szCs w:val="24"/>
        </w:rPr>
        <w:t>radiological</w:t>
      </w:r>
      <w:proofErr w:type="gramEnd"/>
      <w:r w:rsidRPr="000F6083">
        <w:rPr>
          <w:rFonts w:asciiTheme="majorBidi" w:eastAsia="Times New Roman" w:hAnsiTheme="majorBidi" w:cstheme="majorBidi"/>
          <w:sz w:val="24"/>
          <w:szCs w:val="24"/>
        </w:rPr>
        <w:t xml:space="preserve">, macroscopical, </w:t>
      </w:r>
      <w:proofErr w:type="spellStart"/>
      <w:r w:rsidRPr="000F6083">
        <w:rPr>
          <w:rFonts w:asciiTheme="majorBidi" w:eastAsia="Times New Roman" w:hAnsiTheme="majorBidi" w:cstheme="majorBidi"/>
          <w:sz w:val="24"/>
          <w:szCs w:val="24"/>
        </w:rPr>
        <w:t>hidtopathological</w:t>
      </w:r>
      <w:proofErr w:type="spellEnd"/>
      <w:r w:rsidRPr="000F6083">
        <w:rPr>
          <w:rFonts w:asciiTheme="majorBidi" w:eastAsia="Times New Roman" w:hAnsiTheme="majorBidi" w:cstheme="majorBidi"/>
          <w:sz w:val="24"/>
          <w:szCs w:val="24"/>
        </w:rPr>
        <w:t xml:space="preserve"> and biomechanical evaluation. </w:t>
      </w:r>
      <w:r w:rsidRPr="009F2F66">
        <w:rPr>
          <w:rFonts w:asciiTheme="majorBidi" w:eastAsia="Times New Roman" w:hAnsiTheme="majorBidi" w:cstheme="majorBidi"/>
          <w:sz w:val="24"/>
          <w:szCs w:val="24"/>
        </w:rPr>
        <w:t xml:space="preserve">Cell and </w:t>
      </w:r>
      <w:r>
        <w:rPr>
          <w:rFonts w:asciiTheme="majorBidi" w:eastAsia="Times New Roman" w:hAnsiTheme="majorBidi" w:cstheme="majorBidi"/>
          <w:sz w:val="24"/>
          <w:szCs w:val="24"/>
        </w:rPr>
        <w:tab/>
      </w:r>
      <w:r w:rsidRPr="009F2F66">
        <w:rPr>
          <w:rFonts w:asciiTheme="majorBidi" w:eastAsia="Times New Roman" w:hAnsiTheme="majorBidi" w:cstheme="majorBidi"/>
          <w:sz w:val="24"/>
          <w:szCs w:val="24"/>
        </w:rPr>
        <w:t>Tissue Banking</w:t>
      </w:r>
      <w:r w:rsidRPr="000F6083">
        <w:rPr>
          <w:rFonts w:asciiTheme="majorBidi" w:eastAsia="Times New Roman" w:hAnsiTheme="majorBidi" w:cstheme="majorBidi"/>
          <w:sz w:val="24"/>
          <w:szCs w:val="24"/>
        </w:rPr>
        <w:t> 13(4): 639-651.</w:t>
      </w:r>
      <w:r>
        <w:rPr>
          <w:rFonts w:asciiTheme="majorBidi" w:eastAsia="Times New Roman" w:hAnsiTheme="majorBidi" w:cstheme="majorBidi"/>
          <w:sz w:val="24"/>
          <w:szCs w:val="24"/>
        </w:rPr>
        <w:t xml:space="preserve"> </w:t>
      </w:r>
      <w:r w:rsidRPr="009F2F66">
        <w:rPr>
          <w:rFonts w:asciiTheme="majorBidi" w:eastAsia="Times New Roman" w:hAnsiTheme="majorBidi" w:cstheme="majorBidi"/>
          <w:sz w:val="24"/>
          <w:szCs w:val="24"/>
          <w:lang w:val="en-GB"/>
        </w:rPr>
        <w:t>DOI: </w:t>
      </w:r>
      <w:hyperlink r:id="rId24" w:tgtFrame="_blank" w:history="1">
        <w:r w:rsidRPr="009F2F66">
          <w:rPr>
            <w:rStyle w:val="Hyperlink"/>
            <w:rFonts w:asciiTheme="majorBidi" w:eastAsia="Times New Roman" w:hAnsiTheme="majorBidi" w:cstheme="majorBidi"/>
            <w:sz w:val="24"/>
            <w:szCs w:val="24"/>
            <w:lang w:val="en-GB"/>
          </w:rPr>
          <w:t>10.1007/s10561-011-9285-x</w:t>
        </w:r>
      </w:hyperlink>
    </w:p>
    <w:p w14:paraId="2BC8048B" w14:textId="7FB94A07" w:rsidR="00DB231F" w:rsidRPr="009F2F66" w:rsidRDefault="00DB231F" w:rsidP="00DB231F">
      <w:pPr>
        <w:spacing w:line="480" w:lineRule="auto"/>
        <w:rPr>
          <w:rFonts w:asciiTheme="majorBidi" w:hAnsiTheme="majorBidi" w:cstheme="majorBidi"/>
          <w:sz w:val="24"/>
          <w:szCs w:val="24"/>
          <w:lang w:val="en-GB"/>
        </w:rPr>
      </w:pPr>
      <w:r w:rsidRPr="000F6083">
        <w:rPr>
          <w:rFonts w:asciiTheme="majorBidi" w:hAnsiTheme="majorBidi" w:cstheme="majorBidi"/>
          <w:sz w:val="24"/>
          <w:szCs w:val="24"/>
        </w:rPr>
        <w:t xml:space="preserve">Oryan, A., </w:t>
      </w:r>
      <w:proofErr w:type="spellStart"/>
      <w:r w:rsidRPr="000F6083">
        <w:rPr>
          <w:rFonts w:asciiTheme="majorBidi" w:hAnsiTheme="majorBidi" w:cstheme="majorBidi"/>
          <w:sz w:val="24"/>
          <w:szCs w:val="24"/>
        </w:rPr>
        <w:t>Monazzah</w:t>
      </w:r>
      <w:proofErr w:type="spellEnd"/>
      <w:r w:rsidRPr="000F6083">
        <w:rPr>
          <w:rFonts w:asciiTheme="majorBidi" w:hAnsiTheme="majorBidi" w:cstheme="majorBidi"/>
          <w:sz w:val="24"/>
          <w:szCs w:val="24"/>
        </w:rPr>
        <w:t xml:space="preserve">, S. </w:t>
      </w:r>
      <w:r>
        <w:rPr>
          <w:rFonts w:asciiTheme="majorBidi" w:hAnsiTheme="majorBidi" w:cstheme="majorBidi"/>
          <w:sz w:val="24"/>
          <w:szCs w:val="24"/>
        </w:rPr>
        <w:t>&amp;</w:t>
      </w:r>
      <w:r w:rsidRPr="000F6083">
        <w:rPr>
          <w:rFonts w:asciiTheme="majorBidi" w:hAnsiTheme="majorBidi" w:cstheme="majorBidi"/>
          <w:sz w:val="24"/>
          <w:szCs w:val="24"/>
        </w:rPr>
        <w:t xml:space="preserve"> Bigham-Sadegh, A. (2015). Bone injury and fracture healing </w:t>
      </w:r>
      <w:r>
        <w:rPr>
          <w:rFonts w:asciiTheme="majorBidi" w:hAnsiTheme="majorBidi" w:cstheme="majorBidi"/>
          <w:sz w:val="24"/>
          <w:szCs w:val="24"/>
        </w:rPr>
        <w:tab/>
      </w:r>
      <w:r w:rsidRPr="000F6083">
        <w:rPr>
          <w:rFonts w:asciiTheme="majorBidi" w:hAnsiTheme="majorBidi" w:cstheme="majorBidi"/>
          <w:sz w:val="24"/>
          <w:szCs w:val="24"/>
        </w:rPr>
        <w:t>biology. </w:t>
      </w:r>
      <w:r w:rsidRPr="009F2F66">
        <w:rPr>
          <w:rFonts w:asciiTheme="majorBidi" w:hAnsiTheme="majorBidi" w:cstheme="majorBidi"/>
          <w:sz w:val="24"/>
          <w:szCs w:val="24"/>
        </w:rPr>
        <w:t>Biomedical and environmental sciences,</w:t>
      </w:r>
      <w:r w:rsidRPr="000F6083">
        <w:rPr>
          <w:rFonts w:asciiTheme="majorBidi" w:hAnsiTheme="majorBidi" w:cstheme="majorBidi"/>
          <w:sz w:val="24"/>
          <w:szCs w:val="24"/>
        </w:rPr>
        <w:t> 28(1), 57-71.</w:t>
      </w:r>
      <w:r>
        <w:rPr>
          <w:rFonts w:asciiTheme="majorBidi" w:hAnsiTheme="majorBidi" w:cstheme="majorBidi"/>
          <w:sz w:val="24"/>
          <w:szCs w:val="24"/>
        </w:rPr>
        <w:t xml:space="preserve"> </w:t>
      </w:r>
      <w:r>
        <w:rPr>
          <w:rFonts w:asciiTheme="majorBidi" w:hAnsiTheme="majorBidi" w:cstheme="majorBidi"/>
          <w:sz w:val="24"/>
          <w:szCs w:val="24"/>
        </w:rPr>
        <w:tab/>
      </w:r>
      <w:r w:rsidRPr="009F2F66">
        <w:rPr>
          <w:rFonts w:asciiTheme="majorBidi" w:hAnsiTheme="majorBidi" w:cstheme="majorBidi"/>
          <w:sz w:val="24"/>
          <w:szCs w:val="24"/>
          <w:lang w:val="en-GB"/>
        </w:rPr>
        <w:t>DOI: </w:t>
      </w:r>
      <w:hyperlink r:id="rId25" w:tgtFrame="_blank" w:history="1">
        <w:r w:rsidRPr="009F2F66">
          <w:rPr>
            <w:rStyle w:val="Hyperlink"/>
            <w:rFonts w:asciiTheme="majorBidi" w:hAnsiTheme="majorBidi" w:cstheme="majorBidi"/>
            <w:sz w:val="24"/>
            <w:szCs w:val="24"/>
            <w:lang w:val="en-GB"/>
          </w:rPr>
          <w:t>10.3967/bes2015.006</w:t>
        </w:r>
      </w:hyperlink>
    </w:p>
    <w:p w14:paraId="33631274" w14:textId="0A8A3CD0" w:rsidR="00DB231F" w:rsidRPr="000F6083" w:rsidRDefault="00DB231F" w:rsidP="00DB231F">
      <w:pPr>
        <w:spacing w:before="100" w:beforeAutospacing="1" w:after="100" w:afterAutospacing="1" w:line="480" w:lineRule="auto"/>
        <w:jc w:val="both"/>
        <w:rPr>
          <w:rStyle w:val="vkekvd"/>
          <w:rFonts w:asciiTheme="majorBidi" w:hAnsiTheme="majorBidi" w:cstheme="majorBidi"/>
          <w:color w:val="0A0A0A"/>
          <w:sz w:val="24"/>
          <w:szCs w:val="24"/>
          <w:shd w:val="clear" w:color="auto" w:fill="FFFFFF"/>
        </w:rPr>
      </w:pPr>
      <w:r w:rsidRPr="000F6083">
        <w:rPr>
          <w:rFonts w:asciiTheme="majorBidi" w:hAnsiTheme="majorBidi" w:cstheme="majorBidi"/>
          <w:color w:val="0A0A0A"/>
          <w:sz w:val="24"/>
          <w:szCs w:val="24"/>
          <w:shd w:val="clear" w:color="auto" w:fill="FFFFFF"/>
        </w:rPr>
        <w:t>Pape, H. C., Marcucio, R. S., Humphrey, C., Wigner, N. H.</w:t>
      </w:r>
      <w:r>
        <w:rPr>
          <w:rFonts w:asciiTheme="majorBidi" w:hAnsiTheme="majorBidi" w:cstheme="majorBidi"/>
          <w:color w:val="0A0A0A"/>
          <w:sz w:val="24"/>
          <w:szCs w:val="24"/>
          <w:shd w:val="clear" w:color="auto" w:fill="FFFFFF"/>
        </w:rPr>
        <w:t xml:space="preserve"> &amp;</w:t>
      </w:r>
      <w:r w:rsidRPr="000F6083">
        <w:rPr>
          <w:rFonts w:asciiTheme="majorBidi" w:hAnsiTheme="majorBidi" w:cstheme="majorBidi"/>
          <w:color w:val="0A0A0A"/>
          <w:sz w:val="24"/>
          <w:szCs w:val="24"/>
          <w:shd w:val="clear" w:color="auto" w:fill="FFFFFF"/>
        </w:rPr>
        <w:t xml:space="preserve"> Harvey, E. J. (2010). Trauma-</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Induced Inflammation and Fracture Healing. </w:t>
      </w:r>
      <w:r w:rsidRPr="009F2F66">
        <w:rPr>
          <w:rStyle w:val="Emphasis"/>
          <w:rFonts w:asciiTheme="majorBidi" w:hAnsiTheme="majorBidi" w:cstheme="majorBidi"/>
          <w:i w:val="0"/>
          <w:iCs w:val="0"/>
          <w:color w:val="0A0A0A"/>
          <w:sz w:val="24"/>
          <w:szCs w:val="24"/>
          <w:shd w:val="clear" w:color="auto" w:fill="FFFFFF"/>
        </w:rPr>
        <w:t xml:space="preserve">Journal of </w:t>
      </w:r>
      <w:proofErr w:type="spellStart"/>
      <w:r w:rsidRPr="009F2F66">
        <w:rPr>
          <w:rStyle w:val="Emphasis"/>
          <w:rFonts w:asciiTheme="majorBidi" w:hAnsiTheme="majorBidi" w:cstheme="majorBidi"/>
          <w:i w:val="0"/>
          <w:iCs w:val="0"/>
          <w:color w:val="0A0A0A"/>
          <w:sz w:val="24"/>
          <w:szCs w:val="24"/>
          <w:shd w:val="clear" w:color="auto" w:fill="FFFFFF"/>
        </w:rPr>
        <w:t>Orthopaedic</w:t>
      </w:r>
      <w:proofErr w:type="spellEnd"/>
      <w:r w:rsidRPr="009F2F66">
        <w:rPr>
          <w:rStyle w:val="Emphasis"/>
          <w:rFonts w:asciiTheme="majorBidi" w:hAnsiTheme="majorBidi" w:cstheme="majorBidi"/>
          <w:i w:val="0"/>
          <w:iCs w:val="0"/>
          <w:color w:val="0A0A0A"/>
          <w:sz w:val="24"/>
          <w:szCs w:val="24"/>
          <w:shd w:val="clear" w:color="auto" w:fill="FFFFFF"/>
        </w:rPr>
        <w:t xml:space="preserve"> Trauma,</w:t>
      </w:r>
      <w:r w:rsidRPr="000F6083">
        <w:rPr>
          <w:rStyle w:val="Emphasis"/>
          <w:rFonts w:asciiTheme="majorBidi" w:hAnsiTheme="majorBidi" w:cstheme="majorBidi"/>
          <w:color w:val="0A0A0A"/>
          <w:sz w:val="24"/>
          <w:szCs w:val="24"/>
          <w:shd w:val="clear" w:color="auto" w:fill="FFFFFF"/>
        </w:rPr>
        <w:t xml:space="preserve"> </w:t>
      </w:r>
      <w:r w:rsidRPr="000F6083">
        <w:rPr>
          <w:rStyle w:val="Emphasis"/>
          <w:rFonts w:asciiTheme="majorBidi" w:hAnsiTheme="majorBidi" w:cstheme="majorBidi"/>
          <w:i w:val="0"/>
          <w:iCs w:val="0"/>
          <w:color w:val="0A0A0A"/>
          <w:sz w:val="24"/>
          <w:szCs w:val="24"/>
          <w:shd w:val="clear" w:color="auto" w:fill="FFFFFF"/>
        </w:rPr>
        <w:t>24</w:t>
      </w:r>
      <w:r w:rsidRPr="000F6083">
        <w:rPr>
          <w:rFonts w:asciiTheme="majorBidi" w:hAnsiTheme="majorBidi" w:cstheme="majorBidi"/>
          <w:color w:val="0A0A0A"/>
          <w:sz w:val="24"/>
          <w:szCs w:val="24"/>
          <w:shd w:val="clear" w:color="auto" w:fill="FFFFFF"/>
        </w:rPr>
        <w:t>(9), 522–</w:t>
      </w:r>
      <w:r>
        <w:rPr>
          <w:rFonts w:asciiTheme="majorBidi" w:hAnsiTheme="majorBidi" w:cstheme="majorBidi"/>
          <w:color w:val="0A0A0A"/>
          <w:sz w:val="24"/>
          <w:szCs w:val="24"/>
          <w:shd w:val="clear" w:color="auto" w:fill="FFFFFF"/>
        </w:rPr>
        <w:tab/>
      </w:r>
      <w:r w:rsidRPr="000F6083">
        <w:rPr>
          <w:rFonts w:asciiTheme="majorBidi" w:hAnsiTheme="majorBidi" w:cstheme="majorBidi"/>
          <w:color w:val="0A0A0A"/>
          <w:sz w:val="24"/>
          <w:szCs w:val="24"/>
          <w:shd w:val="clear" w:color="auto" w:fill="FFFFFF"/>
        </w:rPr>
        <w:t>525. https://doi.org/10.1097/BOT.0b013e3181ed1361</w:t>
      </w:r>
      <w:r w:rsidRPr="000F6083">
        <w:rPr>
          <w:rStyle w:val="vkekvd"/>
          <w:rFonts w:asciiTheme="majorBidi" w:hAnsiTheme="majorBidi" w:cstheme="majorBidi"/>
          <w:color w:val="0A0A0A"/>
          <w:sz w:val="24"/>
          <w:szCs w:val="24"/>
          <w:shd w:val="clear" w:color="auto" w:fill="FFFFFF"/>
        </w:rPr>
        <w:t> </w:t>
      </w:r>
    </w:p>
    <w:p w14:paraId="7AC7AA54" w14:textId="78EA1BC6" w:rsidR="00DB231F" w:rsidRPr="0096211D" w:rsidRDefault="00DB231F" w:rsidP="00DB231F">
      <w:pPr>
        <w:spacing w:line="480" w:lineRule="auto"/>
        <w:jc w:val="both"/>
        <w:rPr>
          <w:rFonts w:asciiTheme="majorBidi" w:hAnsiTheme="majorBidi" w:cstheme="majorBidi"/>
          <w:sz w:val="24"/>
          <w:szCs w:val="24"/>
          <w:lang w:val="en-GB"/>
        </w:rPr>
      </w:pPr>
      <w:r w:rsidRPr="000F6083">
        <w:rPr>
          <w:rFonts w:asciiTheme="majorBidi" w:hAnsiTheme="majorBidi" w:cstheme="majorBidi"/>
          <w:sz w:val="24"/>
          <w:szCs w:val="24"/>
        </w:rPr>
        <w:t>Penteado, L.</w:t>
      </w:r>
      <w:r>
        <w:rPr>
          <w:rFonts w:asciiTheme="majorBidi" w:hAnsiTheme="majorBidi" w:cstheme="majorBidi"/>
          <w:sz w:val="24"/>
          <w:szCs w:val="24"/>
        </w:rPr>
        <w:t xml:space="preserve"> </w:t>
      </w:r>
      <w:r w:rsidRPr="000F6083">
        <w:rPr>
          <w:rFonts w:asciiTheme="majorBidi" w:hAnsiTheme="majorBidi" w:cstheme="majorBidi"/>
          <w:sz w:val="24"/>
          <w:szCs w:val="24"/>
        </w:rPr>
        <w:t>A., Colombo, C.</w:t>
      </w:r>
      <w:r>
        <w:rPr>
          <w:rFonts w:asciiTheme="majorBidi" w:hAnsiTheme="majorBidi" w:cstheme="majorBidi"/>
          <w:sz w:val="24"/>
          <w:szCs w:val="24"/>
        </w:rPr>
        <w:t xml:space="preserve"> </w:t>
      </w:r>
      <w:r w:rsidRPr="000F6083">
        <w:rPr>
          <w:rFonts w:asciiTheme="majorBidi" w:hAnsiTheme="majorBidi" w:cstheme="majorBidi"/>
          <w:sz w:val="24"/>
          <w:szCs w:val="24"/>
        </w:rPr>
        <w:t>E., Penteado, R.</w:t>
      </w:r>
      <w:r>
        <w:rPr>
          <w:rFonts w:asciiTheme="majorBidi" w:hAnsiTheme="majorBidi" w:cstheme="majorBidi"/>
          <w:sz w:val="24"/>
          <w:szCs w:val="24"/>
        </w:rPr>
        <w:t xml:space="preserve"> </w:t>
      </w:r>
      <w:r w:rsidRPr="000F6083">
        <w:rPr>
          <w:rFonts w:asciiTheme="majorBidi" w:hAnsiTheme="majorBidi" w:cstheme="majorBidi"/>
          <w:sz w:val="24"/>
          <w:szCs w:val="24"/>
        </w:rPr>
        <w:t>A., Assis, A.</w:t>
      </w:r>
      <w:r>
        <w:rPr>
          <w:rFonts w:asciiTheme="majorBidi" w:hAnsiTheme="majorBidi" w:cstheme="majorBidi"/>
          <w:sz w:val="24"/>
          <w:szCs w:val="24"/>
        </w:rPr>
        <w:t xml:space="preserve"> </w:t>
      </w:r>
      <w:r w:rsidRPr="000F6083">
        <w:rPr>
          <w:rFonts w:asciiTheme="majorBidi" w:hAnsiTheme="majorBidi" w:cstheme="majorBidi"/>
          <w:sz w:val="24"/>
          <w:szCs w:val="24"/>
        </w:rPr>
        <w:t xml:space="preserve">O. </w:t>
      </w:r>
      <w:r>
        <w:rPr>
          <w:rFonts w:asciiTheme="majorBidi" w:hAnsiTheme="majorBidi" w:cstheme="majorBidi"/>
          <w:sz w:val="24"/>
          <w:szCs w:val="24"/>
        </w:rPr>
        <w:t>&amp;</w:t>
      </w:r>
      <w:r w:rsidRPr="000F6083">
        <w:rPr>
          <w:rFonts w:asciiTheme="majorBidi" w:hAnsiTheme="majorBidi" w:cstheme="majorBidi"/>
          <w:sz w:val="24"/>
          <w:szCs w:val="24"/>
        </w:rPr>
        <w:t xml:space="preserve"> Gurgel, B.</w:t>
      </w:r>
      <w:r>
        <w:rPr>
          <w:rFonts w:asciiTheme="majorBidi" w:hAnsiTheme="majorBidi" w:cstheme="majorBidi"/>
          <w:sz w:val="24"/>
          <w:szCs w:val="24"/>
        </w:rPr>
        <w:t xml:space="preserve"> </w:t>
      </w:r>
      <w:r w:rsidRPr="000F6083">
        <w:rPr>
          <w:rFonts w:asciiTheme="majorBidi" w:hAnsiTheme="majorBidi" w:cstheme="majorBidi"/>
          <w:sz w:val="24"/>
          <w:szCs w:val="24"/>
        </w:rPr>
        <w:t xml:space="preserve">C. (2013). Evaluation </w:t>
      </w:r>
      <w:r>
        <w:rPr>
          <w:rFonts w:asciiTheme="majorBidi" w:hAnsiTheme="majorBidi" w:cstheme="majorBidi"/>
          <w:sz w:val="24"/>
          <w:szCs w:val="24"/>
        </w:rPr>
        <w:tab/>
      </w:r>
      <w:r w:rsidRPr="000F6083">
        <w:rPr>
          <w:rFonts w:asciiTheme="majorBidi" w:hAnsiTheme="majorBidi" w:cstheme="majorBidi"/>
          <w:sz w:val="24"/>
          <w:szCs w:val="24"/>
        </w:rPr>
        <w:t xml:space="preserve">of bioactive glass and platelet-rich plasma for bone healing in rabbit </w:t>
      </w:r>
      <w:proofErr w:type="spellStart"/>
      <w:r w:rsidRPr="000F6083">
        <w:rPr>
          <w:rFonts w:asciiTheme="majorBidi" w:hAnsiTheme="majorBidi" w:cstheme="majorBidi"/>
          <w:sz w:val="24"/>
          <w:szCs w:val="24"/>
        </w:rPr>
        <w:t>calvarial</w:t>
      </w:r>
      <w:proofErr w:type="spellEnd"/>
      <w:r w:rsidRPr="000F6083">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defects. </w:t>
      </w:r>
      <w:r w:rsidRPr="0096211D">
        <w:rPr>
          <w:rFonts w:asciiTheme="majorBidi" w:hAnsiTheme="majorBidi" w:cstheme="majorBidi"/>
          <w:sz w:val="24"/>
          <w:szCs w:val="24"/>
        </w:rPr>
        <w:t>Journal of oral science, 55</w:t>
      </w:r>
      <w:r w:rsidRPr="000F6083">
        <w:rPr>
          <w:rFonts w:asciiTheme="majorBidi" w:hAnsiTheme="majorBidi" w:cstheme="majorBidi"/>
          <w:sz w:val="24"/>
          <w:szCs w:val="24"/>
        </w:rPr>
        <w:t>(3), 225-232.</w:t>
      </w:r>
      <w:r>
        <w:rPr>
          <w:rFonts w:asciiTheme="majorBidi" w:hAnsiTheme="majorBidi" w:cstheme="majorBidi"/>
          <w:sz w:val="24"/>
          <w:szCs w:val="24"/>
        </w:rPr>
        <w:t xml:space="preserve"> </w:t>
      </w:r>
      <w:r w:rsidRPr="0096211D">
        <w:rPr>
          <w:rFonts w:asciiTheme="majorBidi" w:hAnsiTheme="majorBidi" w:cstheme="majorBidi"/>
          <w:sz w:val="24"/>
          <w:szCs w:val="24"/>
          <w:lang w:val="en-GB"/>
        </w:rPr>
        <w:t>DOI: </w:t>
      </w:r>
      <w:hyperlink r:id="rId26" w:tgtFrame="_blank" w:history="1">
        <w:r w:rsidRPr="0096211D">
          <w:rPr>
            <w:rStyle w:val="Hyperlink"/>
            <w:rFonts w:asciiTheme="majorBidi" w:hAnsiTheme="majorBidi" w:cstheme="majorBidi"/>
            <w:sz w:val="24"/>
            <w:szCs w:val="24"/>
            <w:lang w:val="en-GB"/>
          </w:rPr>
          <w:t>10.2334/josnusd.55.225</w:t>
        </w:r>
      </w:hyperlink>
    </w:p>
    <w:p w14:paraId="58DE4F93" w14:textId="40C46131" w:rsidR="00DB231F" w:rsidRPr="0096211D" w:rsidRDefault="00DB231F" w:rsidP="00DB231F">
      <w:pPr>
        <w:spacing w:line="480" w:lineRule="auto"/>
        <w:jc w:val="both"/>
        <w:rPr>
          <w:rFonts w:asciiTheme="majorBidi" w:hAnsiTheme="majorBidi" w:cstheme="majorBidi"/>
          <w:sz w:val="24"/>
          <w:szCs w:val="24"/>
          <w:lang w:val="en-GB"/>
        </w:rPr>
      </w:pPr>
      <w:proofErr w:type="spellStart"/>
      <w:r w:rsidRPr="000F6083">
        <w:rPr>
          <w:rFonts w:asciiTheme="majorBidi" w:hAnsiTheme="majorBidi" w:cstheme="majorBidi"/>
          <w:sz w:val="24"/>
          <w:szCs w:val="24"/>
        </w:rPr>
        <w:t>Pullishery</w:t>
      </w:r>
      <w:proofErr w:type="spellEnd"/>
      <w:r w:rsidRPr="000F6083">
        <w:rPr>
          <w:rFonts w:asciiTheme="majorBidi" w:hAnsiTheme="majorBidi" w:cstheme="majorBidi"/>
          <w:sz w:val="24"/>
          <w:szCs w:val="24"/>
        </w:rPr>
        <w:t xml:space="preserve">, F., </w:t>
      </w:r>
      <w:proofErr w:type="spellStart"/>
      <w:r w:rsidRPr="000F6083">
        <w:rPr>
          <w:rFonts w:asciiTheme="majorBidi" w:hAnsiTheme="majorBidi" w:cstheme="majorBidi"/>
          <w:sz w:val="24"/>
          <w:szCs w:val="24"/>
        </w:rPr>
        <w:t>Alattas</w:t>
      </w:r>
      <w:proofErr w:type="spellEnd"/>
      <w:r w:rsidRPr="000F6083">
        <w:rPr>
          <w:rFonts w:asciiTheme="majorBidi" w:hAnsiTheme="majorBidi" w:cstheme="majorBidi"/>
          <w:sz w:val="24"/>
          <w:szCs w:val="24"/>
        </w:rPr>
        <w:t>, M.</w:t>
      </w:r>
      <w:r>
        <w:rPr>
          <w:rFonts w:asciiTheme="majorBidi" w:hAnsiTheme="majorBidi" w:cstheme="majorBidi"/>
          <w:sz w:val="24"/>
          <w:szCs w:val="24"/>
        </w:rPr>
        <w:t xml:space="preserve"> </w:t>
      </w:r>
      <w:r w:rsidRPr="000F6083">
        <w:rPr>
          <w:rFonts w:asciiTheme="majorBidi" w:hAnsiTheme="majorBidi" w:cstheme="majorBidi"/>
          <w:sz w:val="24"/>
          <w:szCs w:val="24"/>
        </w:rPr>
        <w:t xml:space="preserve">H., </w:t>
      </w:r>
      <w:proofErr w:type="spellStart"/>
      <w:r w:rsidRPr="000F6083">
        <w:rPr>
          <w:rFonts w:asciiTheme="majorBidi" w:hAnsiTheme="majorBidi" w:cstheme="majorBidi"/>
          <w:sz w:val="24"/>
          <w:szCs w:val="24"/>
        </w:rPr>
        <w:t>Abdelrasoul</w:t>
      </w:r>
      <w:proofErr w:type="spellEnd"/>
      <w:r w:rsidRPr="000F6083">
        <w:rPr>
          <w:rFonts w:asciiTheme="majorBidi" w:hAnsiTheme="majorBidi" w:cstheme="majorBidi"/>
          <w:sz w:val="24"/>
          <w:szCs w:val="24"/>
        </w:rPr>
        <w:t>, M.</w:t>
      </w:r>
      <w:r>
        <w:rPr>
          <w:rFonts w:asciiTheme="majorBidi" w:hAnsiTheme="majorBidi" w:cstheme="majorBidi"/>
          <w:sz w:val="24"/>
          <w:szCs w:val="24"/>
        </w:rPr>
        <w:t xml:space="preserve"> </w:t>
      </w:r>
      <w:r w:rsidRPr="000F6083">
        <w:rPr>
          <w:rFonts w:asciiTheme="majorBidi" w:hAnsiTheme="majorBidi" w:cstheme="majorBidi"/>
          <w:sz w:val="24"/>
          <w:szCs w:val="24"/>
        </w:rPr>
        <w:t>R., Hassan, A.</w:t>
      </w:r>
      <w:r>
        <w:rPr>
          <w:rFonts w:asciiTheme="majorBidi" w:hAnsiTheme="majorBidi" w:cstheme="majorBidi"/>
          <w:sz w:val="24"/>
          <w:szCs w:val="24"/>
        </w:rPr>
        <w:t xml:space="preserve"> </w:t>
      </w:r>
      <w:r w:rsidRPr="000F6083">
        <w:rPr>
          <w:rFonts w:asciiTheme="majorBidi" w:hAnsiTheme="majorBidi" w:cstheme="majorBidi"/>
          <w:sz w:val="24"/>
          <w:szCs w:val="24"/>
        </w:rPr>
        <w:t xml:space="preserve">F., </w:t>
      </w:r>
      <w:proofErr w:type="spellStart"/>
      <w:r w:rsidRPr="000F6083">
        <w:rPr>
          <w:rFonts w:asciiTheme="majorBidi" w:hAnsiTheme="majorBidi" w:cstheme="majorBidi"/>
          <w:sz w:val="24"/>
          <w:szCs w:val="24"/>
        </w:rPr>
        <w:t>Derbala</w:t>
      </w:r>
      <w:proofErr w:type="spellEnd"/>
      <w:r w:rsidRPr="000F6083">
        <w:rPr>
          <w:rFonts w:asciiTheme="majorBidi" w:hAnsiTheme="majorBidi" w:cstheme="majorBidi"/>
          <w:sz w:val="24"/>
          <w:szCs w:val="24"/>
        </w:rPr>
        <w:t>, D.</w:t>
      </w:r>
      <w:r>
        <w:rPr>
          <w:rFonts w:asciiTheme="majorBidi" w:hAnsiTheme="majorBidi" w:cstheme="majorBidi"/>
          <w:sz w:val="24"/>
          <w:szCs w:val="24"/>
        </w:rPr>
        <w:t xml:space="preserve"> </w:t>
      </w:r>
      <w:r w:rsidRPr="000F6083">
        <w:rPr>
          <w:rFonts w:asciiTheme="majorBidi" w:hAnsiTheme="majorBidi" w:cstheme="majorBidi"/>
          <w:sz w:val="24"/>
          <w:szCs w:val="24"/>
        </w:rPr>
        <w:t>A.</w:t>
      </w:r>
      <w:r>
        <w:rPr>
          <w:rFonts w:asciiTheme="majorBidi" w:hAnsiTheme="majorBidi" w:cstheme="majorBidi"/>
          <w:sz w:val="24"/>
          <w:szCs w:val="24"/>
        </w:rPr>
        <w:t xml:space="preserve"> </w:t>
      </w:r>
      <w:r w:rsidRPr="000F6083">
        <w:rPr>
          <w:rFonts w:asciiTheme="majorBidi" w:hAnsiTheme="majorBidi" w:cstheme="majorBidi"/>
          <w:sz w:val="24"/>
          <w:szCs w:val="24"/>
        </w:rPr>
        <w:t xml:space="preserve">A. </w:t>
      </w:r>
      <w:r>
        <w:rPr>
          <w:rFonts w:asciiTheme="majorBidi" w:hAnsiTheme="majorBidi" w:cstheme="majorBidi"/>
          <w:sz w:val="24"/>
          <w:szCs w:val="24"/>
        </w:rPr>
        <w:t>&amp;</w:t>
      </w:r>
      <w:r w:rsidRPr="000F6083">
        <w:rPr>
          <w:rFonts w:asciiTheme="majorBidi" w:hAnsiTheme="majorBidi" w:cstheme="majorBidi"/>
          <w:sz w:val="24"/>
          <w:szCs w:val="24"/>
        </w:rPr>
        <w:t xml:space="preserve"> Hashir, S.</w:t>
      </w:r>
      <w:r>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 xml:space="preserve">(2024). Effectiveness of </w:t>
      </w:r>
      <w:proofErr w:type="spellStart"/>
      <w:r w:rsidRPr="000F6083">
        <w:rPr>
          <w:rFonts w:asciiTheme="majorBidi" w:hAnsiTheme="majorBidi" w:cstheme="majorBidi"/>
          <w:sz w:val="24"/>
          <w:szCs w:val="24"/>
        </w:rPr>
        <w:t>i</w:t>
      </w:r>
      <w:proofErr w:type="spellEnd"/>
      <w:r w:rsidRPr="000F6083">
        <w:rPr>
          <w:rFonts w:asciiTheme="majorBidi" w:hAnsiTheme="majorBidi" w:cstheme="majorBidi"/>
          <w:sz w:val="24"/>
          <w:szCs w:val="24"/>
        </w:rPr>
        <w:t>-PRF in periodontal regeneration–A systematic review and meta-</w:t>
      </w:r>
      <w:r>
        <w:rPr>
          <w:rFonts w:asciiTheme="majorBidi" w:hAnsiTheme="majorBidi" w:cstheme="majorBidi"/>
          <w:sz w:val="24"/>
          <w:szCs w:val="24"/>
        </w:rPr>
        <w:tab/>
      </w:r>
      <w:r w:rsidRPr="000F6083">
        <w:rPr>
          <w:rFonts w:asciiTheme="majorBidi" w:hAnsiTheme="majorBidi" w:cstheme="majorBidi"/>
          <w:sz w:val="24"/>
          <w:szCs w:val="24"/>
        </w:rPr>
        <w:t>analysis. </w:t>
      </w:r>
      <w:r w:rsidRPr="0096211D">
        <w:rPr>
          <w:rFonts w:asciiTheme="majorBidi" w:hAnsiTheme="majorBidi" w:cstheme="majorBidi"/>
          <w:sz w:val="24"/>
          <w:szCs w:val="24"/>
        </w:rPr>
        <w:t>The Saudi Dental Journal,</w:t>
      </w:r>
      <w:r w:rsidRPr="000F6083">
        <w:rPr>
          <w:rFonts w:asciiTheme="majorBidi" w:hAnsiTheme="majorBidi" w:cstheme="majorBidi"/>
          <w:sz w:val="24"/>
          <w:szCs w:val="24"/>
        </w:rPr>
        <w:t> 36(2), 214-221.</w:t>
      </w:r>
      <w:r>
        <w:rPr>
          <w:rFonts w:asciiTheme="majorBidi" w:hAnsiTheme="majorBidi" w:cstheme="majorBidi"/>
          <w:sz w:val="24"/>
          <w:szCs w:val="24"/>
        </w:rPr>
        <w:t xml:space="preserve"> </w:t>
      </w:r>
      <w:r w:rsidRPr="0096211D">
        <w:rPr>
          <w:rFonts w:asciiTheme="majorBidi" w:hAnsiTheme="majorBidi" w:cstheme="majorBidi"/>
          <w:sz w:val="24"/>
          <w:szCs w:val="24"/>
          <w:lang w:val="en-GB"/>
        </w:rPr>
        <w:t>DOI: </w:t>
      </w:r>
      <w:hyperlink r:id="rId27" w:tgtFrame="_blank" w:history="1">
        <w:r w:rsidRPr="0096211D">
          <w:rPr>
            <w:rStyle w:val="Hyperlink"/>
            <w:rFonts w:asciiTheme="majorBidi" w:hAnsiTheme="majorBidi" w:cstheme="majorBidi"/>
            <w:sz w:val="24"/>
            <w:szCs w:val="24"/>
            <w:lang w:val="en-GB"/>
          </w:rPr>
          <w:t>10.1016/j.sdentj.2023.10.017</w:t>
        </w:r>
      </w:hyperlink>
    </w:p>
    <w:p w14:paraId="639FAC5E" w14:textId="0940609B" w:rsidR="00DB231F" w:rsidRPr="0096211D" w:rsidRDefault="00DB231F" w:rsidP="00DB231F">
      <w:pPr>
        <w:spacing w:line="480" w:lineRule="auto"/>
        <w:rPr>
          <w:rFonts w:asciiTheme="majorBidi" w:hAnsiTheme="majorBidi" w:cstheme="majorBidi"/>
          <w:sz w:val="24"/>
          <w:szCs w:val="24"/>
          <w:lang w:val="en-GB"/>
        </w:rPr>
      </w:pPr>
      <w:proofErr w:type="spellStart"/>
      <w:r w:rsidRPr="000F6083">
        <w:rPr>
          <w:rFonts w:asciiTheme="majorBidi" w:hAnsiTheme="majorBidi" w:cstheme="majorBidi"/>
          <w:sz w:val="24"/>
          <w:szCs w:val="24"/>
        </w:rPr>
        <w:t>Reksodiputro</w:t>
      </w:r>
      <w:proofErr w:type="spellEnd"/>
      <w:r w:rsidRPr="000F6083">
        <w:rPr>
          <w:rFonts w:asciiTheme="majorBidi" w:hAnsiTheme="majorBidi" w:cstheme="majorBidi"/>
          <w:sz w:val="24"/>
          <w:szCs w:val="24"/>
        </w:rPr>
        <w:t>, M.</w:t>
      </w:r>
      <w:r>
        <w:rPr>
          <w:rFonts w:asciiTheme="majorBidi" w:hAnsiTheme="majorBidi" w:cstheme="majorBidi"/>
          <w:sz w:val="24"/>
          <w:szCs w:val="24"/>
        </w:rPr>
        <w:t xml:space="preserve"> </w:t>
      </w:r>
      <w:r w:rsidRPr="000F6083">
        <w:rPr>
          <w:rFonts w:asciiTheme="majorBidi" w:hAnsiTheme="majorBidi" w:cstheme="majorBidi"/>
          <w:sz w:val="24"/>
          <w:szCs w:val="24"/>
        </w:rPr>
        <w:t xml:space="preserve">H., </w:t>
      </w:r>
      <w:proofErr w:type="spellStart"/>
      <w:r w:rsidRPr="000F6083">
        <w:rPr>
          <w:rFonts w:asciiTheme="majorBidi" w:hAnsiTheme="majorBidi" w:cstheme="majorBidi"/>
          <w:sz w:val="24"/>
          <w:szCs w:val="24"/>
        </w:rPr>
        <w:t>Harahap</w:t>
      </w:r>
      <w:proofErr w:type="spellEnd"/>
      <w:r w:rsidRPr="000F6083">
        <w:rPr>
          <w:rFonts w:asciiTheme="majorBidi" w:hAnsiTheme="majorBidi" w:cstheme="majorBidi"/>
          <w:sz w:val="24"/>
          <w:szCs w:val="24"/>
        </w:rPr>
        <w:t>, A.</w:t>
      </w:r>
      <w:r>
        <w:rPr>
          <w:rFonts w:asciiTheme="majorBidi" w:hAnsiTheme="majorBidi" w:cstheme="majorBidi"/>
          <w:sz w:val="24"/>
          <w:szCs w:val="24"/>
        </w:rPr>
        <w:t xml:space="preserve"> </w:t>
      </w:r>
      <w:r w:rsidRPr="000F6083">
        <w:rPr>
          <w:rFonts w:asciiTheme="majorBidi" w:hAnsiTheme="majorBidi" w:cstheme="majorBidi"/>
          <w:sz w:val="24"/>
          <w:szCs w:val="24"/>
        </w:rPr>
        <w:t xml:space="preserve">R., Setiawan, L. </w:t>
      </w:r>
      <w:r>
        <w:rPr>
          <w:rFonts w:asciiTheme="majorBidi" w:hAnsiTheme="majorBidi" w:cstheme="majorBidi"/>
          <w:sz w:val="24"/>
          <w:szCs w:val="24"/>
        </w:rPr>
        <w:t>&amp;</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Yosia</w:t>
      </w:r>
      <w:proofErr w:type="spellEnd"/>
      <w:r w:rsidRPr="000F6083">
        <w:rPr>
          <w:rFonts w:asciiTheme="majorBidi" w:hAnsiTheme="majorBidi" w:cstheme="majorBidi"/>
          <w:sz w:val="24"/>
          <w:szCs w:val="24"/>
        </w:rPr>
        <w:t xml:space="preserve">, M. (2021). A modified preparation </w:t>
      </w:r>
      <w:r>
        <w:rPr>
          <w:rFonts w:asciiTheme="majorBidi" w:hAnsiTheme="majorBidi" w:cstheme="majorBidi"/>
          <w:sz w:val="24"/>
          <w:szCs w:val="24"/>
        </w:rPr>
        <w:tab/>
      </w:r>
      <w:r w:rsidRPr="000F6083">
        <w:rPr>
          <w:rFonts w:asciiTheme="majorBidi" w:hAnsiTheme="majorBidi" w:cstheme="majorBidi"/>
          <w:sz w:val="24"/>
          <w:szCs w:val="24"/>
        </w:rPr>
        <w:t>method of ideal platelet-rich fibrin matrix from whole blood. </w:t>
      </w:r>
      <w:r w:rsidRPr="0096211D">
        <w:rPr>
          <w:rFonts w:asciiTheme="majorBidi" w:hAnsiTheme="majorBidi" w:cstheme="majorBidi"/>
          <w:sz w:val="24"/>
          <w:szCs w:val="24"/>
        </w:rPr>
        <w:t>Frontiers in medicine,</w:t>
      </w:r>
      <w:r w:rsidRPr="000F6083">
        <w:rPr>
          <w:rFonts w:asciiTheme="majorBidi" w:hAnsiTheme="majorBidi" w:cstheme="majorBidi"/>
          <w:sz w:val="24"/>
          <w:szCs w:val="24"/>
        </w:rPr>
        <w:t> 8</w:t>
      </w:r>
      <w:proofErr w:type="gramStart"/>
      <w:r w:rsidRPr="000F6083">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724488</w:t>
      </w:r>
      <w:proofErr w:type="gramEnd"/>
      <w:r w:rsidRPr="000F6083">
        <w:rPr>
          <w:rFonts w:asciiTheme="majorBidi" w:hAnsiTheme="majorBidi" w:cstheme="majorBidi"/>
          <w:sz w:val="24"/>
          <w:szCs w:val="24"/>
        </w:rPr>
        <w:t>.</w:t>
      </w:r>
      <w:r>
        <w:rPr>
          <w:rFonts w:asciiTheme="majorBidi" w:hAnsiTheme="majorBidi" w:cstheme="majorBidi"/>
          <w:sz w:val="24"/>
          <w:szCs w:val="24"/>
        </w:rPr>
        <w:t xml:space="preserve"> </w:t>
      </w:r>
      <w:r w:rsidRPr="0096211D">
        <w:rPr>
          <w:rFonts w:asciiTheme="majorBidi" w:hAnsiTheme="majorBidi" w:cstheme="majorBidi"/>
          <w:sz w:val="24"/>
          <w:szCs w:val="24"/>
          <w:lang w:val="en-GB"/>
        </w:rPr>
        <w:t>DOI: </w:t>
      </w:r>
      <w:hyperlink r:id="rId28" w:tgtFrame="_blank" w:history="1">
        <w:r w:rsidRPr="0096211D">
          <w:rPr>
            <w:rStyle w:val="Hyperlink"/>
            <w:rFonts w:asciiTheme="majorBidi" w:hAnsiTheme="majorBidi" w:cstheme="majorBidi"/>
            <w:sz w:val="24"/>
            <w:szCs w:val="24"/>
            <w:lang w:val="en-GB"/>
          </w:rPr>
          <w:t>10.3389/fmed.2021.724488</w:t>
        </w:r>
      </w:hyperlink>
    </w:p>
    <w:p w14:paraId="7FA4768C" w14:textId="54E0DC6E" w:rsidR="00DB231F" w:rsidRPr="000F6083" w:rsidRDefault="00DB231F" w:rsidP="00DB231F">
      <w:pPr>
        <w:spacing w:line="480" w:lineRule="auto"/>
        <w:rPr>
          <w:rFonts w:asciiTheme="majorBidi" w:hAnsiTheme="majorBidi" w:cstheme="majorBidi"/>
          <w:sz w:val="24"/>
          <w:szCs w:val="24"/>
        </w:rPr>
      </w:pPr>
      <w:r w:rsidRPr="000F6083">
        <w:rPr>
          <w:rFonts w:asciiTheme="majorBidi" w:hAnsiTheme="majorBidi" w:cstheme="majorBidi"/>
          <w:sz w:val="24"/>
          <w:szCs w:val="24"/>
        </w:rPr>
        <w:t>Shafiei-</w:t>
      </w:r>
      <w:proofErr w:type="spellStart"/>
      <w:r w:rsidRPr="000F6083">
        <w:rPr>
          <w:rFonts w:asciiTheme="majorBidi" w:hAnsiTheme="majorBidi" w:cstheme="majorBidi"/>
          <w:sz w:val="24"/>
          <w:szCs w:val="24"/>
        </w:rPr>
        <w:t>Sarvestani</w:t>
      </w:r>
      <w:proofErr w:type="spellEnd"/>
      <w:r>
        <w:rPr>
          <w:rFonts w:asciiTheme="majorBidi" w:hAnsiTheme="majorBidi" w:cstheme="majorBidi"/>
          <w:sz w:val="24"/>
          <w:szCs w:val="24"/>
        </w:rPr>
        <w:t>,</w:t>
      </w:r>
      <w:r w:rsidRPr="000F6083">
        <w:rPr>
          <w:rFonts w:asciiTheme="majorBidi" w:hAnsiTheme="majorBidi" w:cstheme="majorBidi"/>
          <w:sz w:val="24"/>
          <w:szCs w:val="24"/>
        </w:rPr>
        <w:t xml:space="preserve"> Z</w:t>
      </w:r>
      <w:r>
        <w:rPr>
          <w:rFonts w:asciiTheme="majorBidi" w:hAnsiTheme="majorBidi" w:cstheme="majorBidi"/>
          <w:sz w:val="24"/>
          <w:szCs w:val="24"/>
        </w:rPr>
        <w:t>.</w:t>
      </w:r>
      <w:r w:rsidRPr="000F6083">
        <w:rPr>
          <w:rFonts w:asciiTheme="majorBidi" w:hAnsiTheme="majorBidi" w:cstheme="majorBidi"/>
          <w:sz w:val="24"/>
          <w:szCs w:val="24"/>
        </w:rPr>
        <w:t>, Oryan</w:t>
      </w:r>
      <w:r>
        <w:rPr>
          <w:rFonts w:asciiTheme="majorBidi" w:hAnsiTheme="majorBidi" w:cstheme="majorBidi"/>
          <w:sz w:val="24"/>
          <w:szCs w:val="24"/>
        </w:rPr>
        <w:t>,</w:t>
      </w:r>
      <w:r w:rsidRPr="000F6083">
        <w:rPr>
          <w:rFonts w:asciiTheme="majorBidi" w:hAnsiTheme="majorBidi" w:cstheme="majorBidi"/>
          <w:sz w:val="24"/>
          <w:szCs w:val="24"/>
        </w:rPr>
        <w:t xml:space="preserve"> A</w:t>
      </w:r>
      <w:r>
        <w:rPr>
          <w:rFonts w:asciiTheme="majorBidi" w:hAnsiTheme="majorBidi" w:cstheme="majorBidi"/>
          <w:sz w:val="24"/>
          <w:szCs w:val="24"/>
        </w:rPr>
        <w:t>.</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Meimandi-Parizi</w:t>
      </w:r>
      <w:proofErr w:type="spellEnd"/>
      <w:r>
        <w:rPr>
          <w:rFonts w:asciiTheme="majorBidi" w:hAnsiTheme="majorBidi" w:cstheme="majorBidi"/>
          <w:sz w:val="24"/>
          <w:szCs w:val="24"/>
        </w:rPr>
        <w:t>,</w:t>
      </w:r>
      <w:r w:rsidRPr="000F6083">
        <w:rPr>
          <w:rFonts w:asciiTheme="majorBidi" w:hAnsiTheme="majorBidi" w:cstheme="majorBidi"/>
          <w:sz w:val="24"/>
          <w:szCs w:val="24"/>
        </w:rPr>
        <w:t xml:space="preserve"> A</w:t>
      </w:r>
      <w:r>
        <w:rPr>
          <w:rFonts w:asciiTheme="majorBidi" w:hAnsiTheme="majorBidi" w:cstheme="majorBidi"/>
          <w:sz w:val="24"/>
          <w:szCs w:val="24"/>
        </w:rPr>
        <w:t>. &amp;</w:t>
      </w:r>
      <w:r w:rsidRPr="000F6083">
        <w:rPr>
          <w:rFonts w:asciiTheme="majorBidi" w:hAnsiTheme="majorBidi" w:cstheme="majorBidi"/>
          <w:sz w:val="24"/>
          <w:szCs w:val="24"/>
        </w:rPr>
        <w:t xml:space="preserve"> Bigham-Sadegh A. (2015). </w:t>
      </w:r>
      <w:r>
        <w:rPr>
          <w:rFonts w:asciiTheme="majorBidi" w:hAnsiTheme="majorBidi" w:cstheme="majorBidi"/>
          <w:sz w:val="24"/>
          <w:szCs w:val="24"/>
        </w:rPr>
        <w:tab/>
      </w:r>
      <w:r w:rsidRPr="000F6083">
        <w:rPr>
          <w:rFonts w:asciiTheme="majorBidi" w:hAnsiTheme="majorBidi" w:cstheme="majorBidi"/>
          <w:sz w:val="24"/>
          <w:szCs w:val="24"/>
        </w:rPr>
        <w:t xml:space="preserve">Histological, biomechanical and radiological evaluation of bone healing with human </w:t>
      </w:r>
      <w:r>
        <w:rPr>
          <w:rFonts w:asciiTheme="majorBidi" w:hAnsiTheme="majorBidi" w:cstheme="majorBidi"/>
          <w:sz w:val="24"/>
          <w:szCs w:val="24"/>
        </w:rPr>
        <w:lastRenderedPageBreak/>
        <w:tab/>
      </w:r>
      <w:r w:rsidRPr="000F6083">
        <w:rPr>
          <w:rFonts w:asciiTheme="majorBidi" w:hAnsiTheme="majorBidi" w:cstheme="majorBidi"/>
          <w:sz w:val="24"/>
          <w:szCs w:val="24"/>
        </w:rPr>
        <w:t xml:space="preserve">platelet rich plasma in rabbit model. </w:t>
      </w:r>
      <w:r w:rsidRPr="0096211D">
        <w:rPr>
          <w:rFonts w:asciiTheme="majorBidi" w:hAnsiTheme="majorBidi" w:cstheme="majorBidi"/>
          <w:sz w:val="24"/>
          <w:szCs w:val="24"/>
        </w:rPr>
        <w:t>Zahedan Journal of Research in Medical Sciences</w:t>
      </w:r>
      <w:r w:rsidRPr="000F6083">
        <w:rPr>
          <w:rFonts w:asciiTheme="majorBidi" w:hAnsiTheme="majorBidi" w:cstheme="majorBidi"/>
          <w:sz w:val="24"/>
          <w:szCs w:val="24"/>
        </w:rPr>
        <w:t xml:space="preserve"> </w:t>
      </w:r>
      <w:r>
        <w:rPr>
          <w:rFonts w:asciiTheme="majorBidi" w:hAnsiTheme="majorBidi" w:cstheme="majorBidi"/>
          <w:sz w:val="24"/>
          <w:szCs w:val="24"/>
        </w:rPr>
        <w:tab/>
      </w:r>
      <w:r w:rsidRPr="000F6083">
        <w:rPr>
          <w:rFonts w:asciiTheme="majorBidi" w:hAnsiTheme="majorBidi" w:cstheme="majorBidi"/>
          <w:sz w:val="24"/>
          <w:szCs w:val="24"/>
        </w:rPr>
        <w:t>17(2): 1-6.</w:t>
      </w:r>
    </w:p>
    <w:p w14:paraId="6364E858" w14:textId="06C1C36A" w:rsidR="00DB231F" w:rsidRPr="0096211D" w:rsidRDefault="00DB231F" w:rsidP="00DB231F">
      <w:pPr>
        <w:spacing w:line="480" w:lineRule="auto"/>
        <w:jc w:val="both"/>
        <w:rPr>
          <w:rFonts w:asciiTheme="majorBidi" w:hAnsiTheme="majorBidi" w:cstheme="majorBidi"/>
          <w:sz w:val="24"/>
          <w:szCs w:val="24"/>
          <w:lang w:val="en-GB"/>
        </w:rPr>
      </w:pPr>
      <w:r w:rsidRPr="000F6083">
        <w:rPr>
          <w:rFonts w:asciiTheme="majorBidi" w:hAnsiTheme="majorBidi" w:cstheme="majorBidi"/>
          <w:sz w:val="24"/>
          <w:szCs w:val="24"/>
        </w:rPr>
        <w:t xml:space="preserve">Sun, L., Kuang, S., Wang, C., Li, Y., Wang, G., Sun, J., Zhou, F. </w:t>
      </w:r>
      <w:r>
        <w:rPr>
          <w:rFonts w:asciiTheme="majorBidi" w:hAnsiTheme="majorBidi" w:cstheme="majorBidi"/>
          <w:sz w:val="24"/>
          <w:szCs w:val="24"/>
        </w:rPr>
        <w:t>&amp;</w:t>
      </w:r>
      <w:r w:rsidRPr="000F6083">
        <w:rPr>
          <w:rFonts w:asciiTheme="majorBidi" w:hAnsiTheme="majorBidi" w:cstheme="majorBidi"/>
          <w:sz w:val="24"/>
          <w:szCs w:val="24"/>
        </w:rPr>
        <w:t xml:space="preserve"> Zhang, C. (2026). IL-6 </w:t>
      </w:r>
      <w:r>
        <w:rPr>
          <w:rFonts w:asciiTheme="majorBidi" w:hAnsiTheme="majorBidi" w:cstheme="majorBidi"/>
          <w:sz w:val="24"/>
          <w:szCs w:val="24"/>
        </w:rPr>
        <w:tab/>
      </w:r>
      <w:r w:rsidRPr="000F6083">
        <w:rPr>
          <w:rFonts w:asciiTheme="majorBidi" w:hAnsiTheme="majorBidi" w:cstheme="majorBidi"/>
          <w:sz w:val="24"/>
          <w:szCs w:val="24"/>
        </w:rPr>
        <w:t xml:space="preserve">blockade at the fracture site accelerates bone healing via inflammatory modulation of </w:t>
      </w:r>
      <w:r>
        <w:rPr>
          <w:rFonts w:asciiTheme="majorBidi" w:hAnsiTheme="majorBidi" w:cstheme="majorBidi"/>
          <w:sz w:val="24"/>
          <w:szCs w:val="24"/>
        </w:rPr>
        <w:tab/>
      </w:r>
      <w:r w:rsidRPr="000F6083">
        <w:rPr>
          <w:rFonts w:asciiTheme="majorBidi" w:hAnsiTheme="majorBidi" w:cstheme="majorBidi"/>
          <w:sz w:val="24"/>
          <w:szCs w:val="24"/>
        </w:rPr>
        <w:t>sensory nerve CGRP signaling. </w:t>
      </w:r>
      <w:r w:rsidRPr="0096211D">
        <w:rPr>
          <w:rFonts w:asciiTheme="majorBidi" w:hAnsiTheme="majorBidi" w:cstheme="majorBidi"/>
          <w:sz w:val="24"/>
          <w:szCs w:val="24"/>
        </w:rPr>
        <w:t>International Immunopharmacology</w:t>
      </w:r>
      <w:r w:rsidRPr="000F6083">
        <w:rPr>
          <w:rFonts w:asciiTheme="majorBidi" w:hAnsiTheme="majorBidi" w:cstheme="majorBidi"/>
          <w:sz w:val="24"/>
          <w:szCs w:val="24"/>
        </w:rPr>
        <w:t> 173: 116258.</w:t>
      </w:r>
      <w:r>
        <w:rPr>
          <w:rFonts w:asciiTheme="majorBidi" w:hAnsiTheme="majorBidi" w:cstheme="majorBidi"/>
          <w:sz w:val="24"/>
          <w:szCs w:val="24"/>
        </w:rPr>
        <w:t xml:space="preserve"> </w:t>
      </w:r>
      <w:r>
        <w:rPr>
          <w:rFonts w:asciiTheme="majorBidi" w:hAnsiTheme="majorBidi" w:cstheme="majorBidi"/>
          <w:sz w:val="24"/>
          <w:szCs w:val="24"/>
        </w:rPr>
        <w:tab/>
      </w:r>
      <w:hyperlink r:id="rId29" w:history="1">
        <w:r w:rsidRPr="00C245B5">
          <w:rPr>
            <w:rStyle w:val="Hyperlink"/>
            <w:rFonts w:asciiTheme="majorBidi" w:hAnsiTheme="majorBidi" w:cstheme="majorBidi"/>
            <w:sz w:val="24"/>
            <w:szCs w:val="24"/>
            <w:lang w:val="en-GB"/>
          </w:rPr>
          <w:t>https://doi.org/10.1016/j.intimp.2026.116258</w:t>
        </w:r>
      </w:hyperlink>
      <w:hyperlink r:id="rId30" w:tgtFrame="_blank" w:history="1">
        <w:r w:rsidRPr="0096211D">
          <w:rPr>
            <w:rStyle w:val="Hyperlink"/>
            <w:rFonts w:asciiTheme="majorBidi" w:hAnsiTheme="majorBidi" w:cstheme="majorBidi"/>
            <w:sz w:val="24"/>
            <w:szCs w:val="24"/>
            <w:lang w:val="en-GB"/>
          </w:rPr>
          <w:t>Get rights and content</w:t>
        </w:r>
      </w:hyperlink>
    </w:p>
    <w:p w14:paraId="3132722E" w14:textId="595B5EAC" w:rsidR="00DB231F" w:rsidRPr="004D472E" w:rsidRDefault="00DB231F" w:rsidP="00DB231F">
      <w:pPr>
        <w:spacing w:line="480" w:lineRule="auto"/>
        <w:jc w:val="both"/>
        <w:rPr>
          <w:rFonts w:asciiTheme="majorBidi" w:hAnsiTheme="majorBidi" w:cstheme="majorBidi"/>
          <w:sz w:val="24"/>
          <w:szCs w:val="24"/>
          <w:lang w:val="en-GB"/>
        </w:rPr>
      </w:pPr>
      <w:proofErr w:type="spellStart"/>
      <w:r w:rsidRPr="000F6083">
        <w:rPr>
          <w:rFonts w:asciiTheme="majorBidi" w:hAnsiTheme="majorBidi" w:cstheme="majorBidi"/>
          <w:sz w:val="24"/>
          <w:szCs w:val="24"/>
        </w:rPr>
        <w:t>Törün</w:t>
      </w:r>
      <w:proofErr w:type="spellEnd"/>
      <w:r w:rsidRPr="000F6083">
        <w:rPr>
          <w:rFonts w:asciiTheme="majorBidi" w:hAnsiTheme="majorBidi" w:cstheme="majorBidi"/>
          <w:sz w:val="24"/>
          <w:szCs w:val="24"/>
        </w:rPr>
        <w:t>, O., Akçay, H., Şimşek, F.</w:t>
      </w:r>
      <w:r>
        <w:rPr>
          <w:rFonts w:asciiTheme="majorBidi" w:hAnsiTheme="majorBidi" w:cstheme="majorBidi"/>
          <w:sz w:val="24"/>
          <w:szCs w:val="24"/>
        </w:rPr>
        <w:t xml:space="preserve"> </w:t>
      </w:r>
      <w:r w:rsidRPr="000F6083">
        <w:rPr>
          <w:rFonts w:asciiTheme="majorBidi" w:hAnsiTheme="majorBidi" w:cstheme="majorBidi"/>
          <w:sz w:val="24"/>
          <w:szCs w:val="24"/>
        </w:rPr>
        <w:t xml:space="preserve">E. </w:t>
      </w:r>
      <w:r>
        <w:rPr>
          <w:rFonts w:asciiTheme="majorBidi" w:hAnsiTheme="majorBidi" w:cstheme="majorBidi"/>
          <w:sz w:val="24"/>
          <w:szCs w:val="24"/>
        </w:rPr>
        <w:t>&amp;</w:t>
      </w:r>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Yenigün</w:t>
      </w:r>
      <w:proofErr w:type="spellEnd"/>
      <w:r w:rsidRPr="000F6083">
        <w:rPr>
          <w:rFonts w:asciiTheme="majorBidi" w:hAnsiTheme="majorBidi" w:cstheme="majorBidi"/>
          <w:sz w:val="24"/>
          <w:szCs w:val="24"/>
        </w:rPr>
        <w:t xml:space="preserve">, A. (2025). Evaluation of the Effectiveness of </w:t>
      </w:r>
      <w:r>
        <w:rPr>
          <w:rFonts w:asciiTheme="majorBidi" w:hAnsiTheme="majorBidi" w:cstheme="majorBidi"/>
          <w:sz w:val="24"/>
          <w:szCs w:val="24"/>
        </w:rPr>
        <w:tab/>
      </w:r>
      <w:r w:rsidRPr="000F6083">
        <w:rPr>
          <w:rFonts w:asciiTheme="majorBidi" w:hAnsiTheme="majorBidi" w:cstheme="majorBidi"/>
          <w:sz w:val="24"/>
          <w:szCs w:val="24"/>
        </w:rPr>
        <w:t xml:space="preserve">Injectable Platelet-Rich </w:t>
      </w:r>
      <w:proofErr w:type="spellStart"/>
      <w:r w:rsidRPr="000F6083">
        <w:rPr>
          <w:rFonts w:asciiTheme="majorBidi" w:hAnsiTheme="majorBidi" w:cstheme="majorBidi"/>
          <w:sz w:val="24"/>
          <w:szCs w:val="24"/>
        </w:rPr>
        <w:t>Fibrın</w:t>
      </w:r>
      <w:proofErr w:type="spellEnd"/>
      <w:r w:rsidRPr="000F6083">
        <w:rPr>
          <w:rFonts w:asciiTheme="majorBidi" w:hAnsiTheme="majorBidi" w:cstheme="majorBidi"/>
          <w:sz w:val="24"/>
          <w:szCs w:val="24"/>
        </w:rPr>
        <w:t xml:space="preserve"> (</w:t>
      </w:r>
      <w:proofErr w:type="spellStart"/>
      <w:r w:rsidRPr="000F6083">
        <w:rPr>
          <w:rFonts w:asciiTheme="majorBidi" w:hAnsiTheme="majorBidi" w:cstheme="majorBidi"/>
          <w:sz w:val="24"/>
          <w:szCs w:val="24"/>
        </w:rPr>
        <w:t>i</w:t>
      </w:r>
      <w:proofErr w:type="spellEnd"/>
      <w:r w:rsidRPr="000F6083">
        <w:rPr>
          <w:rFonts w:asciiTheme="majorBidi" w:hAnsiTheme="majorBidi" w:cstheme="majorBidi"/>
          <w:sz w:val="24"/>
          <w:szCs w:val="24"/>
        </w:rPr>
        <w:t xml:space="preserve">-PRF) Addition to Different Particle Sizes of Bovine Bone </w:t>
      </w:r>
      <w:r>
        <w:rPr>
          <w:rFonts w:asciiTheme="majorBidi" w:hAnsiTheme="majorBidi" w:cstheme="majorBidi"/>
          <w:sz w:val="24"/>
          <w:szCs w:val="24"/>
        </w:rPr>
        <w:tab/>
      </w:r>
      <w:r w:rsidRPr="000F6083">
        <w:rPr>
          <w:rFonts w:asciiTheme="majorBidi" w:hAnsiTheme="majorBidi" w:cstheme="majorBidi"/>
          <w:sz w:val="24"/>
          <w:szCs w:val="24"/>
        </w:rPr>
        <w:t>Grafts in Rabbit Calvaria Defects. </w:t>
      </w:r>
      <w:r w:rsidRPr="004D472E">
        <w:rPr>
          <w:rFonts w:asciiTheme="majorBidi" w:hAnsiTheme="majorBidi" w:cstheme="majorBidi"/>
          <w:sz w:val="24"/>
          <w:szCs w:val="24"/>
        </w:rPr>
        <w:t>Journal of Maxillofacial and Oral Surgery, </w:t>
      </w:r>
      <w:r w:rsidRPr="000F6083">
        <w:rPr>
          <w:rFonts w:asciiTheme="majorBidi" w:hAnsiTheme="majorBidi" w:cstheme="majorBidi"/>
          <w:sz w:val="24"/>
          <w:szCs w:val="24"/>
        </w:rPr>
        <w:t>24(4), 1100-</w:t>
      </w:r>
      <w:r>
        <w:rPr>
          <w:rFonts w:asciiTheme="majorBidi" w:hAnsiTheme="majorBidi" w:cstheme="majorBidi"/>
          <w:sz w:val="24"/>
          <w:szCs w:val="24"/>
        </w:rPr>
        <w:tab/>
      </w:r>
      <w:r w:rsidRPr="000F6083">
        <w:rPr>
          <w:rFonts w:asciiTheme="majorBidi" w:hAnsiTheme="majorBidi" w:cstheme="majorBidi"/>
          <w:sz w:val="24"/>
          <w:szCs w:val="24"/>
        </w:rPr>
        <w:t>1107.</w:t>
      </w:r>
      <w:r>
        <w:rPr>
          <w:rFonts w:asciiTheme="majorBidi" w:hAnsiTheme="majorBidi" w:cstheme="majorBidi"/>
          <w:sz w:val="24"/>
          <w:szCs w:val="24"/>
        </w:rPr>
        <w:t xml:space="preserve"> </w:t>
      </w:r>
      <w:r w:rsidRPr="004D472E">
        <w:rPr>
          <w:rFonts w:asciiTheme="majorBidi" w:hAnsiTheme="majorBidi" w:cstheme="majorBidi"/>
          <w:sz w:val="24"/>
          <w:szCs w:val="24"/>
          <w:lang w:val="en-GB"/>
        </w:rPr>
        <w:t>DOI: </w:t>
      </w:r>
      <w:hyperlink r:id="rId31" w:tgtFrame="_blank" w:history="1">
        <w:r w:rsidRPr="004D472E">
          <w:rPr>
            <w:rStyle w:val="Hyperlink"/>
            <w:rFonts w:asciiTheme="majorBidi" w:hAnsiTheme="majorBidi" w:cstheme="majorBidi"/>
            <w:sz w:val="24"/>
            <w:szCs w:val="24"/>
            <w:lang w:val="en-GB"/>
          </w:rPr>
          <w:t>10.1007/s12663-025-02435-1</w:t>
        </w:r>
      </w:hyperlink>
    </w:p>
    <w:p w14:paraId="59F0EB43" w14:textId="5CE94A8E" w:rsidR="00777C06" w:rsidRPr="000F6083" w:rsidRDefault="00777C06" w:rsidP="000F6083">
      <w:pPr>
        <w:spacing w:line="480" w:lineRule="auto"/>
        <w:jc w:val="both"/>
        <w:rPr>
          <w:rFonts w:asciiTheme="majorBidi" w:hAnsiTheme="majorBidi" w:cstheme="majorBidi"/>
          <w:sz w:val="24"/>
          <w:szCs w:val="24"/>
        </w:rPr>
      </w:pPr>
    </w:p>
    <w:p w14:paraId="5F4C780C" w14:textId="77777777" w:rsidR="004F5898" w:rsidRPr="000F6083" w:rsidRDefault="004F5898" w:rsidP="000F6083">
      <w:pPr>
        <w:spacing w:line="480" w:lineRule="auto"/>
        <w:jc w:val="both"/>
        <w:rPr>
          <w:rFonts w:asciiTheme="majorBidi" w:hAnsiTheme="majorBidi" w:cstheme="majorBidi"/>
          <w:b/>
          <w:sz w:val="24"/>
          <w:szCs w:val="24"/>
        </w:rPr>
      </w:pPr>
    </w:p>
    <w:sectPr w:rsidR="004F5898" w:rsidRPr="000F6083" w:rsidSect="00F71FE5">
      <w:footerReference w:type="default" r:id="rId3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8C7C2" w14:textId="77777777" w:rsidR="00725EF6" w:rsidRDefault="00725EF6" w:rsidP="00553640">
      <w:pPr>
        <w:spacing w:after="0" w:line="240" w:lineRule="auto"/>
      </w:pPr>
      <w:r>
        <w:separator/>
      </w:r>
    </w:p>
  </w:endnote>
  <w:endnote w:type="continuationSeparator" w:id="0">
    <w:p w14:paraId="7B8C292B" w14:textId="77777777" w:rsidR="00725EF6" w:rsidRDefault="00725EF6" w:rsidP="00553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138202"/>
      <w:docPartObj>
        <w:docPartGallery w:val="Page Numbers (Bottom of Page)"/>
        <w:docPartUnique/>
      </w:docPartObj>
    </w:sdtPr>
    <w:sdtContent>
      <w:p w14:paraId="3D51A01B" w14:textId="0C1708DD" w:rsidR="00194830" w:rsidRDefault="00194830">
        <w:pPr>
          <w:pStyle w:val="Footer"/>
          <w:jc w:val="center"/>
        </w:pPr>
        <w:r>
          <w:fldChar w:fldCharType="begin"/>
        </w:r>
        <w:r>
          <w:instrText>PAGE   \* MERGEFORMAT</w:instrText>
        </w:r>
        <w:r>
          <w:fldChar w:fldCharType="separate"/>
        </w:r>
        <w:r>
          <w:rPr>
            <w:lang w:val="en-GB"/>
          </w:rPr>
          <w:t>2</w:t>
        </w:r>
        <w:r>
          <w:fldChar w:fldCharType="end"/>
        </w:r>
      </w:p>
    </w:sdtContent>
  </w:sdt>
  <w:p w14:paraId="6924C332" w14:textId="77777777" w:rsidR="00194830" w:rsidRDefault="00194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A6298" w14:textId="77777777" w:rsidR="00725EF6" w:rsidRDefault="00725EF6" w:rsidP="00553640">
      <w:pPr>
        <w:spacing w:after="0" w:line="240" w:lineRule="auto"/>
      </w:pPr>
      <w:r>
        <w:separator/>
      </w:r>
    </w:p>
  </w:footnote>
  <w:footnote w:type="continuationSeparator" w:id="0">
    <w:p w14:paraId="6B16367E" w14:textId="77777777" w:rsidR="00725EF6" w:rsidRDefault="00725EF6" w:rsidP="00553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EF1"/>
    <w:multiLevelType w:val="multilevel"/>
    <w:tmpl w:val="28BE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841C0"/>
    <w:multiLevelType w:val="multilevel"/>
    <w:tmpl w:val="43BC0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B957E4"/>
    <w:multiLevelType w:val="multilevel"/>
    <w:tmpl w:val="330E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3651B"/>
    <w:multiLevelType w:val="multilevel"/>
    <w:tmpl w:val="2F20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B5394"/>
    <w:multiLevelType w:val="multilevel"/>
    <w:tmpl w:val="5D12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F7F93"/>
    <w:multiLevelType w:val="multilevel"/>
    <w:tmpl w:val="0D2C9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9346D"/>
    <w:multiLevelType w:val="multilevel"/>
    <w:tmpl w:val="11844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16514"/>
    <w:multiLevelType w:val="multilevel"/>
    <w:tmpl w:val="FE24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1E3DEC"/>
    <w:multiLevelType w:val="multilevel"/>
    <w:tmpl w:val="6CDE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451A0"/>
    <w:multiLevelType w:val="multilevel"/>
    <w:tmpl w:val="4072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A575F9"/>
    <w:multiLevelType w:val="multilevel"/>
    <w:tmpl w:val="4AB4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132F34"/>
    <w:multiLevelType w:val="multilevel"/>
    <w:tmpl w:val="19C6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585631"/>
    <w:multiLevelType w:val="multilevel"/>
    <w:tmpl w:val="C7E2A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71957"/>
    <w:multiLevelType w:val="multilevel"/>
    <w:tmpl w:val="9A5AF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625F37"/>
    <w:multiLevelType w:val="multilevel"/>
    <w:tmpl w:val="0874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337E25"/>
    <w:multiLevelType w:val="multilevel"/>
    <w:tmpl w:val="477E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652528"/>
    <w:multiLevelType w:val="multilevel"/>
    <w:tmpl w:val="616E3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FD000C"/>
    <w:multiLevelType w:val="multilevel"/>
    <w:tmpl w:val="DEBA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9C1C9B"/>
    <w:multiLevelType w:val="multilevel"/>
    <w:tmpl w:val="5D0E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3944B4"/>
    <w:multiLevelType w:val="multilevel"/>
    <w:tmpl w:val="EB165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BD7B61"/>
    <w:multiLevelType w:val="multilevel"/>
    <w:tmpl w:val="2E7C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90787D"/>
    <w:multiLevelType w:val="multilevel"/>
    <w:tmpl w:val="5C72D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65332C"/>
    <w:multiLevelType w:val="multilevel"/>
    <w:tmpl w:val="D9FA0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936D80"/>
    <w:multiLevelType w:val="multilevel"/>
    <w:tmpl w:val="21446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F76406"/>
    <w:multiLevelType w:val="multilevel"/>
    <w:tmpl w:val="0C32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873934"/>
    <w:multiLevelType w:val="multilevel"/>
    <w:tmpl w:val="6256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F04290"/>
    <w:multiLevelType w:val="multilevel"/>
    <w:tmpl w:val="B3FE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E419AF"/>
    <w:multiLevelType w:val="multilevel"/>
    <w:tmpl w:val="1C149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D76439"/>
    <w:multiLevelType w:val="multilevel"/>
    <w:tmpl w:val="44A8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19494E"/>
    <w:multiLevelType w:val="multilevel"/>
    <w:tmpl w:val="CF268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570273"/>
    <w:multiLevelType w:val="multilevel"/>
    <w:tmpl w:val="4502D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1426A0"/>
    <w:multiLevelType w:val="multilevel"/>
    <w:tmpl w:val="EFF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5E3DE0"/>
    <w:multiLevelType w:val="multilevel"/>
    <w:tmpl w:val="F522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A65863"/>
    <w:multiLevelType w:val="multilevel"/>
    <w:tmpl w:val="1D9E9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6318EF"/>
    <w:multiLevelType w:val="multilevel"/>
    <w:tmpl w:val="8E4A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B1147E"/>
    <w:multiLevelType w:val="multilevel"/>
    <w:tmpl w:val="A754C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014D6C"/>
    <w:multiLevelType w:val="multilevel"/>
    <w:tmpl w:val="B71E9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3234764">
    <w:abstractNumId w:val="13"/>
  </w:num>
  <w:num w:numId="2" w16cid:durableId="798647693">
    <w:abstractNumId w:val="35"/>
  </w:num>
  <w:num w:numId="3" w16cid:durableId="1290092454">
    <w:abstractNumId w:val="22"/>
  </w:num>
  <w:num w:numId="4" w16cid:durableId="1384334301">
    <w:abstractNumId w:val="14"/>
  </w:num>
  <w:num w:numId="5" w16cid:durableId="1291740115">
    <w:abstractNumId w:val="30"/>
  </w:num>
  <w:num w:numId="6" w16cid:durableId="2084140585">
    <w:abstractNumId w:val="11"/>
  </w:num>
  <w:num w:numId="7" w16cid:durableId="1149246884">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2136828284">
    <w:abstractNumId w:val="15"/>
  </w:num>
  <w:num w:numId="9" w16cid:durableId="1349679168">
    <w:abstractNumId w:val="6"/>
  </w:num>
  <w:num w:numId="10" w16cid:durableId="1445886987">
    <w:abstractNumId w:val="31"/>
  </w:num>
  <w:num w:numId="11" w16cid:durableId="1288125011">
    <w:abstractNumId w:val="4"/>
  </w:num>
  <w:num w:numId="12" w16cid:durableId="1570463509">
    <w:abstractNumId w:val="36"/>
  </w:num>
  <w:num w:numId="13" w16cid:durableId="1878926743">
    <w:abstractNumId w:val="20"/>
  </w:num>
  <w:num w:numId="14" w16cid:durableId="1265189378">
    <w:abstractNumId w:val="25"/>
  </w:num>
  <w:num w:numId="15" w16cid:durableId="2136439025">
    <w:abstractNumId w:val="7"/>
  </w:num>
  <w:num w:numId="16" w16cid:durableId="420570603">
    <w:abstractNumId w:val="3"/>
  </w:num>
  <w:num w:numId="17" w16cid:durableId="655957403">
    <w:abstractNumId w:val="8"/>
  </w:num>
  <w:num w:numId="18" w16cid:durableId="979504318">
    <w:abstractNumId w:val="5"/>
  </w:num>
  <w:num w:numId="19" w16cid:durableId="341857300">
    <w:abstractNumId w:val="23"/>
  </w:num>
  <w:num w:numId="20" w16cid:durableId="1026295658">
    <w:abstractNumId w:val="27"/>
  </w:num>
  <w:num w:numId="21" w16cid:durableId="939753053">
    <w:abstractNumId w:val="29"/>
  </w:num>
  <w:num w:numId="22" w16cid:durableId="1804616417">
    <w:abstractNumId w:val="24"/>
  </w:num>
  <w:num w:numId="23" w16cid:durableId="1749761992">
    <w:abstractNumId w:val="18"/>
  </w:num>
  <w:num w:numId="24" w16cid:durableId="1694500322">
    <w:abstractNumId w:val="28"/>
  </w:num>
  <w:num w:numId="25" w16cid:durableId="1074665029">
    <w:abstractNumId w:val="12"/>
  </w:num>
  <w:num w:numId="26" w16cid:durableId="69469255">
    <w:abstractNumId w:val="34"/>
  </w:num>
  <w:num w:numId="27" w16cid:durableId="453719976">
    <w:abstractNumId w:val="19"/>
  </w:num>
  <w:num w:numId="28" w16cid:durableId="1245870586">
    <w:abstractNumId w:val="32"/>
  </w:num>
  <w:num w:numId="29" w16cid:durableId="1632054113">
    <w:abstractNumId w:val="16"/>
  </w:num>
  <w:num w:numId="30" w16cid:durableId="1868594076">
    <w:abstractNumId w:val="21"/>
  </w:num>
  <w:num w:numId="31" w16cid:durableId="1266578272">
    <w:abstractNumId w:val="10"/>
  </w:num>
  <w:num w:numId="32" w16cid:durableId="888303730">
    <w:abstractNumId w:val="0"/>
  </w:num>
  <w:num w:numId="33" w16cid:durableId="921914360">
    <w:abstractNumId w:val="33"/>
  </w:num>
  <w:num w:numId="34" w16cid:durableId="388385680">
    <w:abstractNumId w:val="2"/>
  </w:num>
  <w:num w:numId="35" w16cid:durableId="1419905874">
    <w:abstractNumId w:val="9"/>
  </w:num>
  <w:num w:numId="36" w16cid:durableId="1685281306">
    <w:abstractNumId w:val="17"/>
  </w:num>
  <w:num w:numId="37" w16cid:durableId="314065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B99"/>
    <w:rsid w:val="00014618"/>
    <w:rsid w:val="00031237"/>
    <w:rsid w:val="00036C34"/>
    <w:rsid w:val="000C7BE3"/>
    <w:rsid w:val="000D5A69"/>
    <w:rsid w:val="000E1196"/>
    <w:rsid w:val="000F6083"/>
    <w:rsid w:val="000F7214"/>
    <w:rsid w:val="001133BA"/>
    <w:rsid w:val="00122E79"/>
    <w:rsid w:val="00123B2A"/>
    <w:rsid w:val="0012495E"/>
    <w:rsid w:val="00134B82"/>
    <w:rsid w:val="0016657C"/>
    <w:rsid w:val="00171B58"/>
    <w:rsid w:val="00194830"/>
    <w:rsid w:val="001948EF"/>
    <w:rsid w:val="001C0078"/>
    <w:rsid w:val="001D2ACF"/>
    <w:rsid w:val="001F5EDB"/>
    <w:rsid w:val="002343DE"/>
    <w:rsid w:val="00245C48"/>
    <w:rsid w:val="0025525B"/>
    <w:rsid w:val="0027096E"/>
    <w:rsid w:val="00274BCB"/>
    <w:rsid w:val="00285966"/>
    <w:rsid w:val="0029142F"/>
    <w:rsid w:val="002952C2"/>
    <w:rsid w:val="00296090"/>
    <w:rsid w:val="002B129F"/>
    <w:rsid w:val="002C13B4"/>
    <w:rsid w:val="002C2804"/>
    <w:rsid w:val="002D2EAD"/>
    <w:rsid w:val="002F428D"/>
    <w:rsid w:val="00300105"/>
    <w:rsid w:val="00300C1D"/>
    <w:rsid w:val="00323F09"/>
    <w:rsid w:val="00325DB8"/>
    <w:rsid w:val="00337E34"/>
    <w:rsid w:val="00343F74"/>
    <w:rsid w:val="00360294"/>
    <w:rsid w:val="003745DD"/>
    <w:rsid w:val="00380A07"/>
    <w:rsid w:val="00380D4A"/>
    <w:rsid w:val="003B016B"/>
    <w:rsid w:val="003B7A73"/>
    <w:rsid w:val="003C2451"/>
    <w:rsid w:val="003D1BAF"/>
    <w:rsid w:val="00402651"/>
    <w:rsid w:val="004055E8"/>
    <w:rsid w:val="004305E8"/>
    <w:rsid w:val="004512D0"/>
    <w:rsid w:val="0046017E"/>
    <w:rsid w:val="00461C8F"/>
    <w:rsid w:val="004645EF"/>
    <w:rsid w:val="004805C3"/>
    <w:rsid w:val="00485E74"/>
    <w:rsid w:val="004A4DCF"/>
    <w:rsid w:val="004B261E"/>
    <w:rsid w:val="004C1359"/>
    <w:rsid w:val="004D0E26"/>
    <w:rsid w:val="004F5898"/>
    <w:rsid w:val="00501F44"/>
    <w:rsid w:val="00505C7F"/>
    <w:rsid w:val="00515980"/>
    <w:rsid w:val="00527C1F"/>
    <w:rsid w:val="00553640"/>
    <w:rsid w:val="005913DF"/>
    <w:rsid w:val="005B0DDB"/>
    <w:rsid w:val="005B2251"/>
    <w:rsid w:val="005B6B49"/>
    <w:rsid w:val="005E30D0"/>
    <w:rsid w:val="005E333F"/>
    <w:rsid w:val="00641DF7"/>
    <w:rsid w:val="00653807"/>
    <w:rsid w:val="00653C67"/>
    <w:rsid w:val="0066646E"/>
    <w:rsid w:val="00690EB3"/>
    <w:rsid w:val="006A17C6"/>
    <w:rsid w:val="006A6DFC"/>
    <w:rsid w:val="006B3AC9"/>
    <w:rsid w:val="006E2A6D"/>
    <w:rsid w:val="006F5BCA"/>
    <w:rsid w:val="006F6C00"/>
    <w:rsid w:val="00716417"/>
    <w:rsid w:val="00721BC2"/>
    <w:rsid w:val="00722286"/>
    <w:rsid w:val="00723D68"/>
    <w:rsid w:val="00725EF6"/>
    <w:rsid w:val="00730B44"/>
    <w:rsid w:val="00745AD1"/>
    <w:rsid w:val="00761ADC"/>
    <w:rsid w:val="00777C06"/>
    <w:rsid w:val="007A4978"/>
    <w:rsid w:val="007B6D66"/>
    <w:rsid w:val="007C05C2"/>
    <w:rsid w:val="007E7144"/>
    <w:rsid w:val="007F5313"/>
    <w:rsid w:val="00803279"/>
    <w:rsid w:val="00804EE8"/>
    <w:rsid w:val="0082681E"/>
    <w:rsid w:val="00845474"/>
    <w:rsid w:val="00870B5E"/>
    <w:rsid w:val="00874ED3"/>
    <w:rsid w:val="008B02E4"/>
    <w:rsid w:val="008B7612"/>
    <w:rsid w:val="008F5004"/>
    <w:rsid w:val="008F639B"/>
    <w:rsid w:val="008F7F58"/>
    <w:rsid w:val="00907DA7"/>
    <w:rsid w:val="009339C0"/>
    <w:rsid w:val="009741E5"/>
    <w:rsid w:val="00983997"/>
    <w:rsid w:val="009862CD"/>
    <w:rsid w:val="009A165D"/>
    <w:rsid w:val="009B3ACE"/>
    <w:rsid w:val="009C2174"/>
    <w:rsid w:val="009D4F8B"/>
    <w:rsid w:val="009F22AE"/>
    <w:rsid w:val="009F6565"/>
    <w:rsid w:val="009F7CF2"/>
    <w:rsid w:val="00A0597B"/>
    <w:rsid w:val="00A54F64"/>
    <w:rsid w:val="00A7770E"/>
    <w:rsid w:val="00A86D25"/>
    <w:rsid w:val="00B048A5"/>
    <w:rsid w:val="00B04CBF"/>
    <w:rsid w:val="00B07963"/>
    <w:rsid w:val="00B20754"/>
    <w:rsid w:val="00B531B0"/>
    <w:rsid w:val="00B71007"/>
    <w:rsid w:val="00B73C77"/>
    <w:rsid w:val="00B76238"/>
    <w:rsid w:val="00B84CC0"/>
    <w:rsid w:val="00B87A82"/>
    <w:rsid w:val="00BB2D3C"/>
    <w:rsid w:val="00BB62B4"/>
    <w:rsid w:val="00BE1D72"/>
    <w:rsid w:val="00BE6B60"/>
    <w:rsid w:val="00BF23E1"/>
    <w:rsid w:val="00BF7B99"/>
    <w:rsid w:val="00C07C33"/>
    <w:rsid w:val="00C14CA9"/>
    <w:rsid w:val="00C1690C"/>
    <w:rsid w:val="00C338F9"/>
    <w:rsid w:val="00C440EC"/>
    <w:rsid w:val="00C516E2"/>
    <w:rsid w:val="00C721EA"/>
    <w:rsid w:val="00C959EC"/>
    <w:rsid w:val="00CC0DD6"/>
    <w:rsid w:val="00D12797"/>
    <w:rsid w:val="00D1283D"/>
    <w:rsid w:val="00D54789"/>
    <w:rsid w:val="00D55399"/>
    <w:rsid w:val="00D75B9A"/>
    <w:rsid w:val="00D966F5"/>
    <w:rsid w:val="00DA73C7"/>
    <w:rsid w:val="00DB231F"/>
    <w:rsid w:val="00DD7480"/>
    <w:rsid w:val="00DF06C0"/>
    <w:rsid w:val="00E00A55"/>
    <w:rsid w:val="00E01BF2"/>
    <w:rsid w:val="00E108CE"/>
    <w:rsid w:val="00E10A56"/>
    <w:rsid w:val="00E2478F"/>
    <w:rsid w:val="00E34099"/>
    <w:rsid w:val="00E511AB"/>
    <w:rsid w:val="00E52351"/>
    <w:rsid w:val="00E560D0"/>
    <w:rsid w:val="00E64152"/>
    <w:rsid w:val="00E65FD9"/>
    <w:rsid w:val="00E66822"/>
    <w:rsid w:val="00E7023B"/>
    <w:rsid w:val="00E721C9"/>
    <w:rsid w:val="00E7612F"/>
    <w:rsid w:val="00E97F21"/>
    <w:rsid w:val="00EB5023"/>
    <w:rsid w:val="00ED435C"/>
    <w:rsid w:val="00ED504F"/>
    <w:rsid w:val="00ED66AC"/>
    <w:rsid w:val="00EE34C3"/>
    <w:rsid w:val="00EE4101"/>
    <w:rsid w:val="00F05A50"/>
    <w:rsid w:val="00F11EFD"/>
    <w:rsid w:val="00F47B4B"/>
    <w:rsid w:val="00F7088A"/>
    <w:rsid w:val="00F71FE5"/>
    <w:rsid w:val="00F76AA7"/>
    <w:rsid w:val="00F9386E"/>
    <w:rsid w:val="00FA7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12368"/>
  <w15:docId w15:val="{BF391C1A-968D-4314-A5A7-24D70BE7D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B99"/>
    <w:rPr>
      <w:rFonts w:ascii="Calibri" w:eastAsia="Calibri" w:hAnsi="Calibri" w:cs="Times New Roman"/>
    </w:rPr>
  </w:style>
  <w:style w:type="paragraph" w:styleId="Heading3">
    <w:name w:val="heading 3"/>
    <w:basedOn w:val="Normal"/>
    <w:link w:val="Heading3Char"/>
    <w:uiPriority w:val="9"/>
    <w:qFormat/>
    <w:rsid w:val="00983997"/>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10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1007"/>
    <w:rPr>
      <w:rFonts w:ascii="Tahoma" w:eastAsia="Calibri" w:hAnsi="Tahoma" w:cs="Tahoma"/>
      <w:sz w:val="16"/>
      <w:szCs w:val="16"/>
    </w:rPr>
  </w:style>
  <w:style w:type="paragraph" w:styleId="Header">
    <w:name w:val="header"/>
    <w:basedOn w:val="Normal"/>
    <w:link w:val="HeaderChar"/>
    <w:uiPriority w:val="99"/>
    <w:unhideWhenUsed/>
    <w:rsid w:val="005536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3640"/>
    <w:rPr>
      <w:rFonts w:ascii="Calibri" w:eastAsia="Calibri" w:hAnsi="Calibri" w:cs="Times New Roman"/>
    </w:rPr>
  </w:style>
  <w:style w:type="paragraph" w:styleId="Footer">
    <w:name w:val="footer"/>
    <w:basedOn w:val="Normal"/>
    <w:link w:val="FooterChar"/>
    <w:uiPriority w:val="99"/>
    <w:unhideWhenUsed/>
    <w:rsid w:val="005536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3640"/>
    <w:rPr>
      <w:rFonts w:ascii="Calibri" w:eastAsia="Calibri" w:hAnsi="Calibri" w:cs="Times New Roman"/>
    </w:rPr>
  </w:style>
  <w:style w:type="table" w:styleId="LightList-Accent3">
    <w:name w:val="Light List Accent 3"/>
    <w:basedOn w:val="TableNormal"/>
    <w:uiPriority w:val="61"/>
    <w:rsid w:val="004F5898"/>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Shading-Accent3">
    <w:name w:val="Light Shading Accent 3"/>
    <w:basedOn w:val="TableNormal"/>
    <w:uiPriority w:val="60"/>
    <w:rsid w:val="004F5898"/>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rmalWeb">
    <w:name w:val="Normal (Web)"/>
    <w:basedOn w:val="Normal"/>
    <w:uiPriority w:val="99"/>
    <w:unhideWhenUsed/>
    <w:rsid w:val="003D1BAF"/>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basedOn w:val="DefaultParagraphFont"/>
    <w:uiPriority w:val="20"/>
    <w:qFormat/>
    <w:rsid w:val="003D1BAF"/>
    <w:rPr>
      <w:i/>
      <w:iCs/>
    </w:rPr>
  </w:style>
  <w:style w:type="character" w:styleId="Hyperlink">
    <w:name w:val="Hyperlink"/>
    <w:basedOn w:val="DefaultParagraphFont"/>
    <w:uiPriority w:val="99"/>
    <w:unhideWhenUsed/>
    <w:rsid w:val="003D1BAF"/>
    <w:rPr>
      <w:color w:val="0000FF"/>
      <w:u w:val="single"/>
    </w:rPr>
  </w:style>
  <w:style w:type="character" w:styleId="Strong">
    <w:name w:val="Strong"/>
    <w:basedOn w:val="DefaultParagraphFont"/>
    <w:uiPriority w:val="22"/>
    <w:qFormat/>
    <w:rsid w:val="00983997"/>
    <w:rPr>
      <w:b/>
      <w:bCs/>
    </w:rPr>
  </w:style>
  <w:style w:type="character" w:customStyle="1" w:styleId="Heading3Char">
    <w:name w:val="Heading 3 Char"/>
    <w:basedOn w:val="DefaultParagraphFont"/>
    <w:link w:val="Heading3"/>
    <w:uiPriority w:val="9"/>
    <w:rsid w:val="00983997"/>
    <w:rPr>
      <w:rFonts w:ascii="Times New Roman" w:eastAsia="Times New Roman" w:hAnsi="Times New Roman" w:cs="Times New Roman"/>
      <w:b/>
      <w:bCs/>
      <w:sz w:val="27"/>
      <w:szCs w:val="27"/>
    </w:rPr>
  </w:style>
  <w:style w:type="character" w:customStyle="1" w:styleId="identifier">
    <w:name w:val="identifier"/>
    <w:basedOn w:val="DefaultParagraphFont"/>
    <w:rsid w:val="00E66822"/>
  </w:style>
  <w:style w:type="character" w:customStyle="1" w:styleId="id-label">
    <w:name w:val="id-label"/>
    <w:basedOn w:val="DefaultParagraphFont"/>
    <w:rsid w:val="00E66822"/>
  </w:style>
  <w:style w:type="character" w:customStyle="1" w:styleId="vkekvd">
    <w:name w:val="vkekvd"/>
    <w:basedOn w:val="DefaultParagraphFont"/>
    <w:rsid w:val="00E66822"/>
  </w:style>
  <w:style w:type="character" w:customStyle="1" w:styleId="t286pc">
    <w:name w:val="t286pc"/>
    <w:basedOn w:val="DefaultParagraphFont"/>
    <w:rsid w:val="009F6565"/>
  </w:style>
  <w:style w:type="character" w:customStyle="1" w:styleId="lqfa5">
    <w:name w:val="lqfa5"/>
    <w:basedOn w:val="DefaultParagraphFont"/>
    <w:rsid w:val="009C2174"/>
  </w:style>
  <w:style w:type="character" w:styleId="CommentReference">
    <w:name w:val="annotation reference"/>
    <w:basedOn w:val="DefaultParagraphFont"/>
    <w:uiPriority w:val="99"/>
    <w:semiHidden/>
    <w:unhideWhenUsed/>
    <w:rsid w:val="00031237"/>
    <w:rPr>
      <w:sz w:val="16"/>
      <w:szCs w:val="16"/>
    </w:rPr>
  </w:style>
  <w:style w:type="paragraph" w:styleId="CommentText">
    <w:name w:val="annotation text"/>
    <w:basedOn w:val="Normal"/>
    <w:link w:val="CommentTextChar"/>
    <w:uiPriority w:val="99"/>
    <w:semiHidden/>
    <w:unhideWhenUsed/>
    <w:rsid w:val="00031237"/>
    <w:pPr>
      <w:spacing w:line="240" w:lineRule="auto"/>
    </w:pPr>
    <w:rPr>
      <w:sz w:val="20"/>
      <w:szCs w:val="20"/>
    </w:rPr>
  </w:style>
  <w:style w:type="character" w:customStyle="1" w:styleId="CommentTextChar">
    <w:name w:val="Comment Text Char"/>
    <w:basedOn w:val="DefaultParagraphFont"/>
    <w:link w:val="CommentText"/>
    <w:uiPriority w:val="99"/>
    <w:semiHidden/>
    <w:rsid w:val="0003123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31237"/>
    <w:rPr>
      <w:b/>
      <w:bCs/>
    </w:rPr>
  </w:style>
  <w:style w:type="character" w:customStyle="1" w:styleId="CommentSubjectChar">
    <w:name w:val="Comment Subject Char"/>
    <w:basedOn w:val="CommentTextChar"/>
    <w:link w:val="CommentSubject"/>
    <w:uiPriority w:val="99"/>
    <w:semiHidden/>
    <w:rsid w:val="00031237"/>
    <w:rPr>
      <w:rFonts w:ascii="Calibri" w:eastAsia="Calibri" w:hAnsi="Calibri" w:cs="Times New Roman"/>
      <w:b/>
      <w:bCs/>
      <w:sz w:val="20"/>
      <w:szCs w:val="20"/>
    </w:rPr>
  </w:style>
  <w:style w:type="paragraph" w:styleId="ListParagraph">
    <w:name w:val="List Paragraph"/>
    <w:basedOn w:val="Normal"/>
    <w:uiPriority w:val="34"/>
    <w:qFormat/>
    <w:rsid w:val="00E7023B"/>
    <w:pPr>
      <w:ind w:left="720"/>
      <w:contextualSpacing/>
    </w:pPr>
  </w:style>
  <w:style w:type="paragraph" w:styleId="Revision">
    <w:name w:val="Revision"/>
    <w:hidden/>
    <w:uiPriority w:val="99"/>
    <w:semiHidden/>
    <w:rsid w:val="000E1196"/>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4055E8"/>
    <w:rPr>
      <w:color w:val="605E5C"/>
      <w:shd w:val="clear" w:color="auto" w:fill="E1DFDD"/>
    </w:rPr>
  </w:style>
  <w:style w:type="table" w:styleId="GridTable4-Accent3">
    <w:name w:val="Grid Table 4 Accent 3"/>
    <w:basedOn w:val="TableNormal"/>
    <w:uiPriority w:val="49"/>
    <w:rsid w:val="00323F0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LineNumber">
    <w:name w:val="line number"/>
    <w:basedOn w:val="DefaultParagraphFont"/>
    <w:uiPriority w:val="99"/>
    <w:semiHidden/>
    <w:unhideWhenUsed/>
    <w:rsid w:val="00F71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2888">
      <w:bodyDiv w:val="1"/>
      <w:marLeft w:val="0"/>
      <w:marRight w:val="0"/>
      <w:marTop w:val="0"/>
      <w:marBottom w:val="0"/>
      <w:divBdr>
        <w:top w:val="none" w:sz="0" w:space="0" w:color="auto"/>
        <w:left w:val="none" w:sz="0" w:space="0" w:color="auto"/>
        <w:bottom w:val="none" w:sz="0" w:space="0" w:color="auto"/>
        <w:right w:val="none" w:sz="0" w:space="0" w:color="auto"/>
      </w:divBdr>
      <w:divsChild>
        <w:div w:id="419645666">
          <w:marLeft w:val="0"/>
          <w:marRight w:val="0"/>
          <w:marTop w:val="450"/>
          <w:marBottom w:val="450"/>
          <w:divBdr>
            <w:top w:val="none" w:sz="0" w:space="0" w:color="auto"/>
            <w:left w:val="none" w:sz="0" w:space="0" w:color="auto"/>
            <w:bottom w:val="none" w:sz="0" w:space="0" w:color="auto"/>
            <w:right w:val="none" w:sz="0" w:space="0" w:color="auto"/>
          </w:divBdr>
        </w:div>
        <w:div w:id="563755527">
          <w:marLeft w:val="0"/>
          <w:marRight w:val="0"/>
          <w:marTop w:val="240"/>
          <w:marBottom w:val="240"/>
          <w:divBdr>
            <w:top w:val="none" w:sz="0" w:space="0" w:color="auto"/>
            <w:left w:val="none" w:sz="0" w:space="0" w:color="auto"/>
            <w:bottom w:val="none" w:sz="0" w:space="0" w:color="auto"/>
            <w:right w:val="none" w:sz="0" w:space="0" w:color="auto"/>
          </w:divBdr>
        </w:div>
        <w:div w:id="961154147">
          <w:marLeft w:val="0"/>
          <w:marRight w:val="0"/>
          <w:marTop w:val="240"/>
          <w:marBottom w:val="240"/>
          <w:divBdr>
            <w:top w:val="none" w:sz="0" w:space="0" w:color="auto"/>
            <w:left w:val="none" w:sz="0" w:space="0" w:color="auto"/>
            <w:bottom w:val="none" w:sz="0" w:space="0" w:color="auto"/>
            <w:right w:val="none" w:sz="0" w:space="0" w:color="auto"/>
          </w:divBdr>
        </w:div>
        <w:div w:id="1166897891">
          <w:marLeft w:val="0"/>
          <w:marRight w:val="0"/>
          <w:marTop w:val="240"/>
          <w:marBottom w:val="240"/>
          <w:divBdr>
            <w:top w:val="none" w:sz="0" w:space="0" w:color="auto"/>
            <w:left w:val="none" w:sz="0" w:space="0" w:color="auto"/>
            <w:bottom w:val="none" w:sz="0" w:space="0" w:color="auto"/>
            <w:right w:val="none" w:sz="0" w:space="0" w:color="auto"/>
          </w:divBdr>
        </w:div>
        <w:div w:id="351155276">
          <w:marLeft w:val="0"/>
          <w:marRight w:val="0"/>
          <w:marTop w:val="240"/>
          <w:marBottom w:val="240"/>
          <w:divBdr>
            <w:top w:val="none" w:sz="0" w:space="0" w:color="auto"/>
            <w:left w:val="none" w:sz="0" w:space="0" w:color="auto"/>
            <w:bottom w:val="none" w:sz="0" w:space="0" w:color="auto"/>
            <w:right w:val="none" w:sz="0" w:space="0" w:color="auto"/>
          </w:divBdr>
        </w:div>
        <w:div w:id="1706633144">
          <w:marLeft w:val="0"/>
          <w:marRight w:val="0"/>
          <w:marTop w:val="240"/>
          <w:marBottom w:val="240"/>
          <w:divBdr>
            <w:top w:val="none" w:sz="0" w:space="0" w:color="auto"/>
            <w:left w:val="none" w:sz="0" w:space="0" w:color="auto"/>
            <w:bottom w:val="none" w:sz="0" w:space="0" w:color="auto"/>
            <w:right w:val="none" w:sz="0" w:space="0" w:color="auto"/>
          </w:divBdr>
        </w:div>
        <w:div w:id="1335035745">
          <w:marLeft w:val="0"/>
          <w:marRight w:val="0"/>
          <w:marTop w:val="240"/>
          <w:marBottom w:val="240"/>
          <w:divBdr>
            <w:top w:val="none" w:sz="0" w:space="0" w:color="auto"/>
            <w:left w:val="none" w:sz="0" w:space="0" w:color="auto"/>
            <w:bottom w:val="none" w:sz="0" w:space="0" w:color="auto"/>
            <w:right w:val="none" w:sz="0" w:space="0" w:color="auto"/>
          </w:divBdr>
        </w:div>
        <w:div w:id="289170263">
          <w:marLeft w:val="0"/>
          <w:marRight w:val="0"/>
          <w:marTop w:val="450"/>
          <w:marBottom w:val="450"/>
          <w:divBdr>
            <w:top w:val="none" w:sz="0" w:space="0" w:color="auto"/>
            <w:left w:val="none" w:sz="0" w:space="0" w:color="auto"/>
            <w:bottom w:val="none" w:sz="0" w:space="0" w:color="auto"/>
            <w:right w:val="none" w:sz="0" w:space="0" w:color="auto"/>
          </w:divBdr>
        </w:div>
        <w:div w:id="765734781">
          <w:marLeft w:val="0"/>
          <w:marRight w:val="0"/>
          <w:marTop w:val="240"/>
          <w:marBottom w:val="240"/>
          <w:divBdr>
            <w:top w:val="none" w:sz="0" w:space="0" w:color="auto"/>
            <w:left w:val="none" w:sz="0" w:space="0" w:color="auto"/>
            <w:bottom w:val="none" w:sz="0" w:space="0" w:color="auto"/>
            <w:right w:val="none" w:sz="0" w:space="0" w:color="auto"/>
          </w:divBdr>
        </w:div>
        <w:div w:id="1423179842">
          <w:marLeft w:val="0"/>
          <w:marRight w:val="0"/>
          <w:marTop w:val="240"/>
          <w:marBottom w:val="240"/>
          <w:divBdr>
            <w:top w:val="none" w:sz="0" w:space="0" w:color="auto"/>
            <w:left w:val="none" w:sz="0" w:space="0" w:color="auto"/>
            <w:bottom w:val="none" w:sz="0" w:space="0" w:color="auto"/>
            <w:right w:val="none" w:sz="0" w:space="0" w:color="auto"/>
          </w:divBdr>
        </w:div>
        <w:div w:id="2083984450">
          <w:marLeft w:val="0"/>
          <w:marRight w:val="0"/>
          <w:marTop w:val="240"/>
          <w:marBottom w:val="240"/>
          <w:divBdr>
            <w:top w:val="none" w:sz="0" w:space="0" w:color="auto"/>
            <w:left w:val="none" w:sz="0" w:space="0" w:color="auto"/>
            <w:bottom w:val="none" w:sz="0" w:space="0" w:color="auto"/>
            <w:right w:val="none" w:sz="0" w:space="0" w:color="auto"/>
          </w:divBdr>
        </w:div>
        <w:div w:id="1014923180">
          <w:marLeft w:val="0"/>
          <w:marRight w:val="0"/>
          <w:marTop w:val="240"/>
          <w:marBottom w:val="240"/>
          <w:divBdr>
            <w:top w:val="none" w:sz="0" w:space="0" w:color="auto"/>
            <w:left w:val="none" w:sz="0" w:space="0" w:color="auto"/>
            <w:bottom w:val="none" w:sz="0" w:space="0" w:color="auto"/>
            <w:right w:val="none" w:sz="0" w:space="0" w:color="auto"/>
          </w:divBdr>
        </w:div>
        <w:div w:id="710155590">
          <w:marLeft w:val="0"/>
          <w:marRight w:val="0"/>
          <w:marTop w:val="240"/>
          <w:marBottom w:val="240"/>
          <w:divBdr>
            <w:top w:val="none" w:sz="0" w:space="0" w:color="auto"/>
            <w:left w:val="none" w:sz="0" w:space="0" w:color="auto"/>
            <w:bottom w:val="none" w:sz="0" w:space="0" w:color="auto"/>
            <w:right w:val="none" w:sz="0" w:space="0" w:color="auto"/>
          </w:divBdr>
        </w:div>
        <w:div w:id="389236140">
          <w:marLeft w:val="0"/>
          <w:marRight w:val="0"/>
          <w:marTop w:val="240"/>
          <w:marBottom w:val="240"/>
          <w:divBdr>
            <w:top w:val="none" w:sz="0" w:space="0" w:color="auto"/>
            <w:left w:val="none" w:sz="0" w:space="0" w:color="auto"/>
            <w:bottom w:val="none" w:sz="0" w:space="0" w:color="auto"/>
            <w:right w:val="none" w:sz="0" w:space="0" w:color="auto"/>
          </w:divBdr>
        </w:div>
        <w:div w:id="1676151234">
          <w:marLeft w:val="0"/>
          <w:marRight w:val="0"/>
          <w:marTop w:val="240"/>
          <w:marBottom w:val="240"/>
          <w:divBdr>
            <w:top w:val="none" w:sz="0" w:space="0" w:color="auto"/>
            <w:left w:val="none" w:sz="0" w:space="0" w:color="auto"/>
            <w:bottom w:val="none" w:sz="0" w:space="0" w:color="auto"/>
            <w:right w:val="none" w:sz="0" w:space="0" w:color="auto"/>
          </w:divBdr>
        </w:div>
        <w:div w:id="1938521364">
          <w:marLeft w:val="0"/>
          <w:marRight w:val="0"/>
          <w:marTop w:val="240"/>
          <w:marBottom w:val="240"/>
          <w:divBdr>
            <w:top w:val="none" w:sz="0" w:space="0" w:color="auto"/>
            <w:left w:val="none" w:sz="0" w:space="0" w:color="auto"/>
            <w:bottom w:val="none" w:sz="0" w:space="0" w:color="auto"/>
            <w:right w:val="none" w:sz="0" w:space="0" w:color="auto"/>
          </w:divBdr>
        </w:div>
        <w:div w:id="252470409">
          <w:marLeft w:val="0"/>
          <w:marRight w:val="0"/>
          <w:marTop w:val="240"/>
          <w:marBottom w:val="240"/>
          <w:divBdr>
            <w:top w:val="none" w:sz="0" w:space="0" w:color="auto"/>
            <w:left w:val="none" w:sz="0" w:space="0" w:color="auto"/>
            <w:bottom w:val="none" w:sz="0" w:space="0" w:color="auto"/>
            <w:right w:val="none" w:sz="0" w:space="0" w:color="auto"/>
          </w:divBdr>
        </w:div>
      </w:divsChild>
    </w:div>
    <w:div w:id="156041841">
      <w:bodyDiv w:val="1"/>
      <w:marLeft w:val="0"/>
      <w:marRight w:val="0"/>
      <w:marTop w:val="0"/>
      <w:marBottom w:val="0"/>
      <w:divBdr>
        <w:top w:val="none" w:sz="0" w:space="0" w:color="auto"/>
        <w:left w:val="none" w:sz="0" w:space="0" w:color="auto"/>
        <w:bottom w:val="none" w:sz="0" w:space="0" w:color="auto"/>
        <w:right w:val="none" w:sz="0" w:space="0" w:color="auto"/>
      </w:divBdr>
      <w:divsChild>
        <w:div w:id="1537038707">
          <w:marLeft w:val="0"/>
          <w:marRight w:val="0"/>
          <w:marTop w:val="0"/>
          <w:marBottom w:val="0"/>
          <w:divBdr>
            <w:top w:val="none" w:sz="0" w:space="0" w:color="auto"/>
            <w:left w:val="none" w:sz="0" w:space="0" w:color="auto"/>
            <w:bottom w:val="none" w:sz="0" w:space="0" w:color="auto"/>
            <w:right w:val="none" w:sz="0" w:space="0" w:color="auto"/>
          </w:divBdr>
          <w:divsChild>
            <w:div w:id="19815880">
              <w:marLeft w:val="0"/>
              <w:marRight w:val="0"/>
              <w:marTop w:val="0"/>
              <w:marBottom w:val="0"/>
              <w:divBdr>
                <w:top w:val="none" w:sz="0" w:space="0" w:color="auto"/>
                <w:left w:val="none" w:sz="0" w:space="0" w:color="auto"/>
                <w:bottom w:val="none" w:sz="0" w:space="0" w:color="auto"/>
                <w:right w:val="none" w:sz="0" w:space="0" w:color="auto"/>
              </w:divBdr>
              <w:divsChild>
                <w:div w:id="400297728">
                  <w:marLeft w:val="0"/>
                  <w:marRight w:val="0"/>
                  <w:marTop w:val="0"/>
                  <w:marBottom w:val="0"/>
                  <w:divBdr>
                    <w:top w:val="none" w:sz="0" w:space="0" w:color="auto"/>
                    <w:left w:val="none" w:sz="0" w:space="0" w:color="auto"/>
                    <w:bottom w:val="none" w:sz="0" w:space="0" w:color="auto"/>
                    <w:right w:val="none" w:sz="0" w:space="0" w:color="auto"/>
                  </w:divBdr>
                  <w:divsChild>
                    <w:div w:id="1041587063">
                      <w:marLeft w:val="0"/>
                      <w:marRight w:val="0"/>
                      <w:marTop w:val="0"/>
                      <w:marBottom w:val="0"/>
                      <w:divBdr>
                        <w:top w:val="none" w:sz="0" w:space="0" w:color="auto"/>
                        <w:left w:val="none" w:sz="0" w:space="0" w:color="auto"/>
                        <w:bottom w:val="none" w:sz="0" w:space="0" w:color="auto"/>
                        <w:right w:val="none" w:sz="0" w:space="0" w:color="auto"/>
                      </w:divBdr>
                      <w:divsChild>
                        <w:div w:id="2144810349">
                          <w:marLeft w:val="0"/>
                          <w:marRight w:val="0"/>
                          <w:marTop w:val="0"/>
                          <w:marBottom w:val="0"/>
                          <w:divBdr>
                            <w:top w:val="none" w:sz="0" w:space="0" w:color="auto"/>
                            <w:left w:val="none" w:sz="0" w:space="0" w:color="auto"/>
                            <w:bottom w:val="none" w:sz="0" w:space="0" w:color="auto"/>
                            <w:right w:val="none" w:sz="0" w:space="0" w:color="auto"/>
                          </w:divBdr>
                          <w:divsChild>
                            <w:div w:id="782917055">
                              <w:marLeft w:val="0"/>
                              <w:marRight w:val="0"/>
                              <w:marTop w:val="0"/>
                              <w:marBottom w:val="0"/>
                              <w:divBdr>
                                <w:top w:val="none" w:sz="0" w:space="0" w:color="auto"/>
                                <w:left w:val="none" w:sz="0" w:space="0" w:color="auto"/>
                                <w:bottom w:val="none" w:sz="0" w:space="0" w:color="auto"/>
                                <w:right w:val="none" w:sz="0" w:space="0" w:color="auto"/>
                              </w:divBdr>
                              <w:divsChild>
                                <w:div w:id="412514010">
                                  <w:marLeft w:val="0"/>
                                  <w:marRight w:val="0"/>
                                  <w:marTop w:val="0"/>
                                  <w:marBottom w:val="0"/>
                                  <w:divBdr>
                                    <w:top w:val="none" w:sz="0" w:space="0" w:color="auto"/>
                                    <w:left w:val="none" w:sz="0" w:space="0" w:color="auto"/>
                                    <w:bottom w:val="none" w:sz="0" w:space="0" w:color="auto"/>
                                    <w:right w:val="none" w:sz="0" w:space="0" w:color="auto"/>
                                  </w:divBdr>
                                  <w:divsChild>
                                    <w:div w:id="117048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205714">
                          <w:marLeft w:val="0"/>
                          <w:marRight w:val="0"/>
                          <w:marTop w:val="0"/>
                          <w:marBottom w:val="0"/>
                          <w:divBdr>
                            <w:top w:val="none" w:sz="0" w:space="0" w:color="auto"/>
                            <w:left w:val="none" w:sz="0" w:space="0" w:color="auto"/>
                            <w:bottom w:val="none" w:sz="0" w:space="0" w:color="auto"/>
                            <w:right w:val="none" w:sz="0" w:space="0" w:color="auto"/>
                          </w:divBdr>
                          <w:divsChild>
                            <w:div w:id="2090999091">
                              <w:marLeft w:val="0"/>
                              <w:marRight w:val="0"/>
                              <w:marTop w:val="0"/>
                              <w:marBottom w:val="0"/>
                              <w:divBdr>
                                <w:top w:val="none" w:sz="0" w:space="0" w:color="auto"/>
                                <w:left w:val="none" w:sz="0" w:space="0" w:color="auto"/>
                                <w:bottom w:val="none" w:sz="0" w:space="0" w:color="auto"/>
                                <w:right w:val="none" w:sz="0" w:space="0" w:color="auto"/>
                              </w:divBdr>
                              <w:divsChild>
                                <w:div w:id="5324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332604">
          <w:marLeft w:val="0"/>
          <w:marRight w:val="0"/>
          <w:marTop w:val="0"/>
          <w:marBottom w:val="0"/>
          <w:divBdr>
            <w:top w:val="none" w:sz="0" w:space="0" w:color="auto"/>
            <w:left w:val="none" w:sz="0" w:space="0" w:color="auto"/>
            <w:bottom w:val="none" w:sz="0" w:space="0" w:color="auto"/>
            <w:right w:val="none" w:sz="0" w:space="0" w:color="auto"/>
          </w:divBdr>
          <w:divsChild>
            <w:div w:id="857348766">
              <w:marLeft w:val="0"/>
              <w:marRight w:val="0"/>
              <w:marTop w:val="0"/>
              <w:marBottom w:val="0"/>
              <w:divBdr>
                <w:top w:val="none" w:sz="0" w:space="0" w:color="auto"/>
                <w:left w:val="none" w:sz="0" w:space="0" w:color="auto"/>
                <w:bottom w:val="none" w:sz="0" w:space="0" w:color="auto"/>
                <w:right w:val="none" w:sz="0" w:space="0" w:color="auto"/>
              </w:divBdr>
              <w:divsChild>
                <w:div w:id="978846451">
                  <w:marLeft w:val="0"/>
                  <w:marRight w:val="0"/>
                  <w:marTop w:val="0"/>
                  <w:marBottom w:val="0"/>
                  <w:divBdr>
                    <w:top w:val="none" w:sz="0" w:space="0" w:color="auto"/>
                    <w:left w:val="none" w:sz="0" w:space="0" w:color="auto"/>
                    <w:bottom w:val="none" w:sz="0" w:space="0" w:color="auto"/>
                    <w:right w:val="none" w:sz="0" w:space="0" w:color="auto"/>
                  </w:divBdr>
                  <w:divsChild>
                    <w:div w:id="706486653">
                      <w:marLeft w:val="0"/>
                      <w:marRight w:val="0"/>
                      <w:marTop w:val="0"/>
                      <w:marBottom w:val="0"/>
                      <w:divBdr>
                        <w:top w:val="none" w:sz="0" w:space="0" w:color="auto"/>
                        <w:left w:val="none" w:sz="0" w:space="0" w:color="auto"/>
                        <w:bottom w:val="none" w:sz="0" w:space="0" w:color="auto"/>
                        <w:right w:val="none" w:sz="0" w:space="0" w:color="auto"/>
                      </w:divBdr>
                      <w:divsChild>
                        <w:div w:id="307243479">
                          <w:marLeft w:val="0"/>
                          <w:marRight w:val="0"/>
                          <w:marTop w:val="0"/>
                          <w:marBottom w:val="0"/>
                          <w:divBdr>
                            <w:top w:val="none" w:sz="0" w:space="0" w:color="auto"/>
                            <w:left w:val="none" w:sz="0" w:space="0" w:color="auto"/>
                            <w:bottom w:val="none" w:sz="0" w:space="0" w:color="auto"/>
                            <w:right w:val="none" w:sz="0" w:space="0" w:color="auto"/>
                          </w:divBdr>
                          <w:divsChild>
                            <w:div w:id="942222379">
                              <w:marLeft w:val="0"/>
                              <w:marRight w:val="0"/>
                              <w:marTop w:val="0"/>
                              <w:marBottom w:val="0"/>
                              <w:divBdr>
                                <w:top w:val="none" w:sz="0" w:space="0" w:color="auto"/>
                                <w:left w:val="none" w:sz="0" w:space="0" w:color="auto"/>
                                <w:bottom w:val="none" w:sz="0" w:space="0" w:color="auto"/>
                                <w:right w:val="none" w:sz="0" w:space="0" w:color="auto"/>
                              </w:divBdr>
                              <w:divsChild>
                                <w:div w:id="904148837">
                                  <w:marLeft w:val="0"/>
                                  <w:marRight w:val="0"/>
                                  <w:marTop w:val="0"/>
                                  <w:marBottom w:val="0"/>
                                  <w:divBdr>
                                    <w:top w:val="none" w:sz="0" w:space="0" w:color="auto"/>
                                    <w:left w:val="none" w:sz="0" w:space="0" w:color="auto"/>
                                    <w:bottom w:val="none" w:sz="0" w:space="0" w:color="auto"/>
                                    <w:right w:val="none" w:sz="0" w:space="0" w:color="auto"/>
                                  </w:divBdr>
                                  <w:divsChild>
                                    <w:div w:id="1414088784">
                                      <w:marLeft w:val="0"/>
                                      <w:marRight w:val="0"/>
                                      <w:marTop w:val="0"/>
                                      <w:marBottom w:val="0"/>
                                      <w:divBdr>
                                        <w:top w:val="none" w:sz="0" w:space="0" w:color="auto"/>
                                        <w:left w:val="none" w:sz="0" w:space="0" w:color="auto"/>
                                        <w:bottom w:val="none" w:sz="0" w:space="0" w:color="auto"/>
                                        <w:right w:val="none" w:sz="0" w:space="0" w:color="auto"/>
                                      </w:divBdr>
                                      <w:divsChild>
                                        <w:div w:id="81272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8700036">
          <w:marLeft w:val="0"/>
          <w:marRight w:val="0"/>
          <w:marTop w:val="0"/>
          <w:marBottom w:val="0"/>
          <w:divBdr>
            <w:top w:val="none" w:sz="0" w:space="0" w:color="auto"/>
            <w:left w:val="none" w:sz="0" w:space="0" w:color="auto"/>
            <w:bottom w:val="none" w:sz="0" w:space="0" w:color="auto"/>
            <w:right w:val="none" w:sz="0" w:space="0" w:color="auto"/>
          </w:divBdr>
          <w:divsChild>
            <w:div w:id="1534802229">
              <w:marLeft w:val="0"/>
              <w:marRight w:val="0"/>
              <w:marTop w:val="0"/>
              <w:marBottom w:val="0"/>
              <w:divBdr>
                <w:top w:val="none" w:sz="0" w:space="0" w:color="auto"/>
                <w:left w:val="none" w:sz="0" w:space="0" w:color="auto"/>
                <w:bottom w:val="none" w:sz="0" w:space="0" w:color="auto"/>
                <w:right w:val="none" w:sz="0" w:space="0" w:color="auto"/>
              </w:divBdr>
              <w:divsChild>
                <w:div w:id="1038628960">
                  <w:marLeft w:val="0"/>
                  <w:marRight w:val="0"/>
                  <w:marTop w:val="0"/>
                  <w:marBottom w:val="0"/>
                  <w:divBdr>
                    <w:top w:val="none" w:sz="0" w:space="0" w:color="auto"/>
                    <w:left w:val="none" w:sz="0" w:space="0" w:color="auto"/>
                    <w:bottom w:val="none" w:sz="0" w:space="0" w:color="auto"/>
                    <w:right w:val="none" w:sz="0" w:space="0" w:color="auto"/>
                  </w:divBdr>
                  <w:divsChild>
                    <w:div w:id="616525710">
                      <w:marLeft w:val="0"/>
                      <w:marRight w:val="0"/>
                      <w:marTop w:val="0"/>
                      <w:marBottom w:val="0"/>
                      <w:divBdr>
                        <w:top w:val="none" w:sz="0" w:space="0" w:color="auto"/>
                        <w:left w:val="none" w:sz="0" w:space="0" w:color="auto"/>
                        <w:bottom w:val="none" w:sz="0" w:space="0" w:color="auto"/>
                        <w:right w:val="none" w:sz="0" w:space="0" w:color="auto"/>
                      </w:divBdr>
                      <w:divsChild>
                        <w:div w:id="1000043309">
                          <w:marLeft w:val="0"/>
                          <w:marRight w:val="0"/>
                          <w:marTop w:val="0"/>
                          <w:marBottom w:val="0"/>
                          <w:divBdr>
                            <w:top w:val="none" w:sz="0" w:space="0" w:color="auto"/>
                            <w:left w:val="none" w:sz="0" w:space="0" w:color="auto"/>
                            <w:bottom w:val="none" w:sz="0" w:space="0" w:color="auto"/>
                            <w:right w:val="none" w:sz="0" w:space="0" w:color="auto"/>
                          </w:divBdr>
                          <w:divsChild>
                            <w:div w:id="411466432">
                              <w:marLeft w:val="0"/>
                              <w:marRight w:val="0"/>
                              <w:marTop w:val="0"/>
                              <w:marBottom w:val="0"/>
                              <w:divBdr>
                                <w:top w:val="none" w:sz="0" w:space="0" w:color="auto"/>
                                <w:left w:val="none" w:sz="0" w:space="0" w:color="auto"/>
                                <w:bottom w:val="none" w:sz="0" w:space="0" w:color="auto"/>
                                <w:right w:val="none" w:sz="0" w:space="0" w:color="auto"/>
                              </w:divBdr>
                              <w:divsChild>
                                <w:div w:id="343093529">
                                  <w:marLeft w:val="0"/>
                                  <w:marRight w:val="0"/>
                                  <w:marTop w:val="0"/>
                                  <w:marBottom w:val="0"/>
                                  <w:divBdr>
                                    <w:top w:val="none" w:sz="0" w:space="0" w:color="auto"/>
                                    <w:left w:val="none" w:sz="0" w:space="0" w:color="auto"/>
                                    <w:bottom w:val="none" w:sz="0" w:space="0" w:color="auto"/>
                                    <w:right w:val="none" w:sz="0" w:space="0" w:color="auto"/>
                                  </w:divBdr>
                                  <w:divsChild>
                                    <w:div w:id="153533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676374">
      <w:bodyDiv w:val="1"/>
      <w:marLeft w:val="0"/>
      <w:marRight w:val="0"/>
      <w:marTop w:val="0"/>
      <w:marBottom w:val="0"/>
      <w:divBdr>
        <w:top w:val="none" w:sz="0" w:space="0" w:color="auto"/>
        <w:left w:val="none" w:sz="0" w:space="0" w:color="auto"/>
        <w:bottom w:val="none" w:sz="0" w:space="0" w:color="auto"/>
        <w:right w:val="none" w:sz="0" w:space="0" w:color="auto"/>
      </w:divBdr>
    </w:div>
    <w:div w:id="280959540">
      <w:bodyDiv w:val="1"/>
      <w:marLeft w:val="0"/>
      <w:marRight w:val="0"/>
      <w:marTop w:val="0"/>
      <w:marBottom w:val="0"/>
      <w:divBdr>
        <w:top w:val="none" w:sz="0" w:space="0" w:color="auto"/>
        <w:left w:val="none" w:sz="0" w:space="0" w:color="auto"/>
        <w:bottom w:val="none" w:sz="0" w:space="0" w:color="auto"/>
        <w:right w:val="none" w:sz="0" w:space="0" w:color="auto"/>
      </w:divBdr>
    </w:div>
    <w:div w:id="299069518">
      <w:bodyDiv w:val="1"/>
      <w:marLeft w:val="0"/>
      <w:marRight w:val="0"/>
      <w:marTop w:val="0"/>
      <w:marBottom w:val="0"/>
      <w:divBdr>
        <w:top w:val="none" w:sz="0" w:space="0" w:color="auto"/>
        <w:left w:val="none" w:sz="0" w:space="0" w:color="auto"/>
        <w:bottom w:val="none" w:sz="0" w:space="0" w:color="auto"/>
        <w:right w:val="none" w:sz="0" w:space="0" w:color="auto"/>
      </w:divBdr>
      <w:divsChild>
        <w:div w:id="371154068">
          <w:marLeft w:val="0"/>
          <w:marRight w:val="0"/>
          <w:marTop w:val="0"/>
          <w:marBottom w:val="0"/>
          <w:divBdr>
            <w:top w:val="none" w:sz="0" w:space="0" w:color="auto"/>
            <w:left w:val="none" w:sz="0" w:space="0" w:color="auto"/>
            <w:bottom w:val="none" w:sz="0" w:space="0" w:color="auto"/>
            <w:right w:val="none" w:sz="0" w:space="0" w:color="auto"/>
          </w:divBdr>
          <w:divsChild>
            <w:div w:id="1628897948">
              <w:marLeft w:val="0"/>
              <w:marRight w:val="0"/>
              <w:marTop w:val="0"/>
              <w:marBottom w:val="0"/>
              <w:divBdr>
                <w:top w:val="none" w:sz="0" w:space="0" w:color="auto"/>
                <w:left w:val="none" w:sz="0" w:space="0" w:color="auto"/>
                <w:bottom w:val="none" w:sz="0" w:space="0" w:color="auto"/>
                <w:right w:val="none" w:sz="0" w:space="0" w:color="auto"/>
              </w:divBdr>
              <w:divsChild>
                <w:div w:id="979578240">
                  <w:marLeft w:val="0"/>
                  <w:marRight w:val="0"/>
                  <w:marTop w:val="240"/>
                  <w:marBottom w:val="240"/>
                  <w:divBdr>
                    <w:top w:val="none" w:sz="0" w:space="0" w:color="auto"/>
                    <w:left w:val="none" w:sz="0" w:space="0" w:color="auto"/>
                    <w:bottom w:val="none" w:sz="0" w:space="0" w:color="auto"/>
                    <w:right w:val="none" w:sz="0" w:space="0" w:color="auto"/>
                  </w:divBdr>
                </w:div>
                <w:div w:id="701397794">
                  <w:marLeft w:val="0"/>
                  <w:marRight w:val="0"/>
                  <w:marTop w:val="240"/>
                  <w:marBottom w:val="240"/>
                  <w:divBdr>
                    <w:top w:val="none" w:sz="0" w:space="0" w:color="auto"/>
                    <w:left w:val="none" w:sz="0" w:space="0" w:color="auto"/>
                    <w:bottom w:val="none" w:sz="0" w:space="0" w:color="auto"/>
                    <w:right w:val="none" w:sz="0" w:space="0" w:color="auto"/>
                  </w:divBdr>
                </w:div>
                <w:div w:id="2081176767">
                  <w:marLeft w:val="0"/>
                  <w:marRight w:val="0"/>
                  <w:marTop w:val="240"/>
                  <w:marBottom w:val="240"/>
                  <w:divBdr>
                    <w:top w:val="none" w:sz="0" w:space="0" w:color="auto"/>
                    <w:left w:val="none" w:sz="0" w:space="0" w:color="auto"/>
                    <w:bottom w:val="none" w:sz="0" w:space="0" w:color="auto"/>
                    <w:right w:val="none" w:sz="0" w:space="0" w:color="auto"/>
                  </w:divBdr>
                </w:div>
                <w:div w:id="368264738">
                  <w:marLeft w:val="0"/>
                  <w:marRight w:val="0"/>
                  <w:marTop w:val="240"/>
                  <w:marBottom w:val="240"/>
                  <w:divBdr>
                    <w:top w:val="none" w:sz="0" w:space="0" w:color="auto"/>
                    <w:left w:val="none" w:sz="0" w:space="0" w:color="auto"/>
                    <w:bottom w:val="none" w:sz="0" w:space="0" w:color="auto"/>
                    <w:right w:val="none" w:sz="0" w:space="0" w:color="auto"/>
                  </w:divBdr>
                </w:div>
                <w:div w:id="885063879">
                  <w:marLeft w:val="0"/>
                  <w:marRight w:val="0"/>
                  <w:marTop w:val="240"/>
                  <w:marBottom w:val="240"/>
                  <w:divBdr>
                    <w:top w:val="none" w:sz="0" w:space="0" w:color="auto"/>
                    <w:left w:val="none" w:sz="0" w:space="0" w:color="auto"/>
                    <w:bottom w:val="none" w:sz="0" w:space="0" w:color="auto"/>
                    <w:right w:val="none" w:sz="0" w:space="0" w:color="auto"/>
                  </w:divBdr>
                </w:div>
                <w:div w:id="1229340954">
                  <w:marLeft w:val="0"/>
                  <w:marRight w:val="0"/>
                  <w:marTop w:val="240"/>
                  <w:marBottom w:val="240"/>
                  <w:divBdr>
                    <w:top w:val="none" w:sz="0" w:space="0" w:color="auto"/>
                    <w:left w:val="none" w:sz="0" w:space="0" w:color="auto"/>
                    <w:bottom w:val="none" w:sz="0" w:space="0" w:color="auto"/>
                    <w:right w:val="none" w:sz="0" w:space="0" w:color="auto"/>
                  </w:divBdr>
                </w:div>
                <w:div w:id="238098187">
                  <w:marLeft w:val="0"/>
                  <w:marRight w:val="0"/>
                  <w:marTop w:val="240"/>
                  <w:marBottom w:val="240"/>
                  <w:divBdr>
                    <w:top w:val="none" w:sz="0" w:space="0" w:color="auto"/>
                    <w:left w:val="none" w:sz="0" w:space="0" w:color="auto"/>
                    <w:bottom w:val="none" w:sz="0" w:space="0" w:color="auto"/>
                    <w:right w:val="none" w:sz="0" w:space="0" w:color="auto"/>
                  </w:divBdr>
                </w:div>
                <w:div w:id="341206409">
                  <w:marLeft w:val="0"/>
                  <w:marRight w:val="0"/>
                  <w:marTop w:val="240"/>
                  <w:marBottom w:val="240"/>
                  <w:divBdr>
                    <w:top w:val="none" w:sz="0" w:space="0" w:color="auto"/>
                    <w:left w:val="none" w:sz="0" w:space="0" w:color="auto"/>
                    <w:bottom w:val="none" w:sz="0" w:space="0" w:color="auto"/>
                    <w:right w:val="none" w:sz="0" w:space="0" w:color="auto"/>
                  </w:divBdr>
                </w:div>
                <w:div w:id="1578055931">
                  <w:marLeft w:val="0"/>
                  <w:marRight w:val="0"/>
                  <w:marTop w:val="240"/>
                  <w:marBottom w:val="240"/>
                  <w:divBdr>
                    <w:top w:val="none" w:sz="0" w:space="0" w:color="auto"/>
                    <w:left w:val="none" w:sz="0" w:space="0" w:color="auto"/>
                    <w:bottom w:val="none" w:sz="0" w:space="0" w:color="auto"/>
                    <w:right w:val="none" w:sz="0" w:space="0" w:color="auto"/>
                  </w:divBdr>
                </w:div>
                <w:div w:id="345131453">
                  <w:marLeft w:val="0"/>
                  <w:marRight w:val="0"/>
                  <w:marTop w:val="240"/>
                  <w:marBottom w:val="240"/>
                  <w:divBdr>
                    <w:top w:val="none" w:sz="0" w:space="0" w:color="auto"/>
                    <w:left w:val="none" w:sz="0" w:space="0" w:color="auto"/>
                    <w:bottom w:val="none" w:sz="0" w:space="0" w:color="auto"/>
                    <w:right w:val="none" w:sz="0" w:space="0" w:color="auto"/>
                  </w:divBdr>
                </w:div>
                <w:div w:id="1891647607">
                  <w:marLeft w:val="0"/>
                  <w:marRight w:val="0"/>
                  <w:marTop w:val="450"/>
                  <w:marBottom w:val="450"/>
                  <w:divBdr>
                    <w:top w:val="none" w:sz="0" w:space="0" w:color="auto"/>
                    <w:left w:val="none" w:sz="0" w:space="0" w:color="auto"/>
                    <w:bottom w:val="none" w:sz="0" w:space="0" w:color="auto"/>
                    <w:right w:val="none" w:sz="0" w:space="0" w:color="auto"/>
                  </w:divBdr>
                </w:div>
                <w:div w:id="998580022">
                  <w:marLeft w:val="0"/>
                  <w:marRight w:val="0"/>
                  <w:marTop w:val="240"/>
                  <w:marBottom w:val="240"/>
                  <w:divBdr>
                    <w:top w:val="none" w:sz="0" w:space="0" w:color="auto"/>
                    <w:left w:val="none" w:sz="0" w:space="0" w:color="auto"/>
                    <w:bottom w:val="none" w:sz="0" w:space="0" w:color="auto"/>
                    <w:right w:val="none" w:sz="0" w:space="0" w:color="auto"/>
                  </w:divBdr>
                </w:div>
                <w:div w:id="1094668436">
                  <w:marLeft w:val="0"/>
                  <w:marRight w:val="0"/>
                  <w:marTop w:val="0"/>
                  <w:marBottom w:val="0"/>
                  <w:divBdr>
                    <w:top w:val="none" w:sz="0" w:space="0" w:color="auto"/>
                    <w:left w:val="none" w:sz="0" w:space="0" w:color="auto"/>
                    <w:bottom w:val="none" w:sz="0" w:space="0" w:color="auto"/>
                    <w:right w:val="none" w:sz="0" w:space="0" w:color="auto"/>
                  </w:divBdr>
                  <w:divsChild>
                    <w:div w:id="1889685621">
                      <w:marLeft w:val="0"/>
                      <w:marRight w:val="0"/>
                      <w:marTop w:val="300"/>
                      <w:marBottom w:val="180"/>
                      <w:divBdr>
                        <w:top w:val="none" w:sz="0" w:space="0" w:color="auto"/>
                        <w:left w:val="none" w:sz="0" w:space="0" w:color="auto"/>
                        <w:bottom w:val="none" w:sz="0" w:space="0" w:color="auto"/>
                        <w:right w:val="none" w:sz="0" w:space="0" w:color="auto"/>
                      </w:divBdr>
                      <w:divsChild>
                        <w:div w:id="208780207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641595">
          <w:marLeft w:val="0"/>
          <w:marRight w:val="0"/>
          <w:marTop w:val="0"/>
          <w:marBottom w:val="0"/>
          <w:divBdr>
            <w:top w:val="none" w:sz="0" w:space="0" w:color="auto"/>
            <w:left w:val="none" w:sz="0" w:space="0" w:color="auto"/>
            <w:bottom w:val="none" w:sz="0" w:space="0" w:color="auto"/>
            <w:right w:val="none" w:sz="0" w:space="0" w:color="auto"/>
          </w:divBdr>
          <w:divsChild>
            <w:div w:id="2138335044">
              <w:marLeft w:val="0"/>
              <w:marRight w:val="0"/>
              <w:marTop w:val="0"/>
              <w:marBottom w:val="0"/>
              <w:divBdr>
                <w:top w:val="none" w:sz="0" w:space="0" w:color="auto"/>
                <w:left w:val="none" w:sz="0" w:space="0" w:color="auto"/>
                <w:bottom w:val="none" w:sz="0" w:space="0" w:color="auto"/>
                <w:right w:val="none" w:sz="0" w:space="0" w:color="auto"/>
              </w:divBdr>
              <w:divsChild>
                <w:div w:id="678890944">
                  <w:marLeft w:val="0"/>
                  <w:marRight w:val="0"/>
                  <w:marTop w:val="0"/>
                  <w:marBottom w:val="0"/>
                  <w:divBdr>
                    <w:top w:val="none" w:sz="0" w:space="0" w:color="auto"/>
                    <w:left w:val="none" w:sz="0" w:space="0" w:color="auto"/>
                    <w:bottom w:val="none" w:sz="0" w:space="0" w:color="auto"/>
                    <w:right w:val="none" w:sz="0" w:space="0" w:color="auto"/>
                  </w:divBdr>
                  <w:divsChild>
                    <w:div w:id="942998646">
                      <w:marLeft w:val="0"/>
                      <w:marRight w:val="0"/>
                      <w:marTop w:val="0"/>
                      <w:marBottom w:val="0"/>
                      <w:divBdr>
                        <w:top w:val="none" w:sz="0" w:space="0" w:color="auto"/>
                        <w:left w:val="none" w:sz="0" w:space="0" w:color="auto"/>
                        <w:bottom w:val="none" w:sz="0" w:space="0" w:color="auto"/>
                        <w:right w:val="none" w:sz="0" w:space="0" w:color="auto"/>
                      </w:divBdr>
                      <w:divsChild>
                        <w:div w:id="626618205">
                          <w:marLeft w:val="0"/>
                          <w:marRight w:val="0"/>
                          <w:marTop w:val="0"/>
                          <w:marBottom w:val="0"/>
                          <w:divBdr>
                            <w:top w:val="none" w:sz="0" w:space="0" w:color="auto"/>
                            <w:left w:val="none" w:sz="0" w:space="0" w:color="auto"/>
                            <w:bottom w:val="none" w:sz="0" w:space="0" w:color="auto"/>
                            <w:right w:val="none" w:sz="0" w:space="0" w:color="auto"/>
                          </w:divBdr>
                          <w:divsChild>
                            <w:div w:id="1616519355">
                              <w:marLeft w:val="0"/>
                              <w:marRight w:val="0"/>
                              <w:marTop w:val="0"/>
                              <w:marBottom w:val="0"/>
                              <w:divBdr>
                                <w:top w:val="none" w:sz="0" w:space="0" w:color="auto"/>
                                <w:left w:val="none" w:sz="0" w:space="0" w:color="auto"/>
                                <w:bottom w:val="none" w:sz="0" w:space="0" w:color="auto"/>
                                <w:right w:val="none" w:sz="0" w:space="0" w:color="auto"/>
                              </w:divBdr>
                              <w:divsChild>
                                <w:div w:id="920407231">
                                  <w:marLeft w:val="0"/>
                                  <w:marRight w:val="0"/>
                                  <w:marTop w:val="0"/>
                                  <w:marBottom w:val="0"/>
                                  <w:divBdr>
                                    <w:top w:val="none" w:sz="0" w:space="0" w:color="auto"/>
                                    <w:left w:val="none" w:sz="0" w:space="0" w:color="auto"/>
                                    <w:bottom w:val="none" w:sz="0" w:space="0" w:color="auto"/>
                                    <w:right w:val="none" w:sz="0" w:space="0" w:color="auto"/>
                                  </w:divBdr>
                                </w:div>
                                <w:div w:id="1799444545">
                                  <w:marLeft w:val="0"/>
                                  <w:marRight w:val="0"/>
                                  <w:marTop w:val="0"/>
                                  <w:marBottom w:val="0"/>
                                  <w:divBdr>
                                    <w:top w:val="none" w:sz="0" w:space="0" w:color="auto"/>
                                    <w:left w:val="none" w:sz="0" w:space="0" w:color="auto"/>
                                    <w:bottom w:val="none" w:sz="0" w:space="0" w:color="auto"/>
                                    <w:right w:val="none" w:sz="0" w:space="0" w:color="auto"/>
                                  </w:divBdr>
                                </w:div>
                                <w:div w:id="131630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24182">
                          <w:marLeft w:val="0"/>
                          <w:marRight w:val="0"/>
                          <w:marTop w:val="0"/>
                          <w:marBottom w:val="0"/>
                          <w:divBdr>
                            <w:top w:val="none" w:sz="0" w:space="0" w:color="auto"/>
                            <w:left w:val="none" w:sz="0" w:space="0" w:color="auto"/>
                            <w:bottom w:val="none" w:sz="0" w:space="0" w:color="auto"/>
                            <w:right w:val="none" w:sz="0" w:space="0" w:color="auto"/>
                          </w:divBdr>
                          <w:divsChild>
                            <w:div w:id="1944873178">
                              <w:marLeft w:val="0"/>
                              <w:marRight w:val="0"/>
                              <w:marTop w:val="0"/>
                              <w:marBottom w:val="0"/>
                              <w:divBdr>
                                <w:top w:val="none" w:sz="0" w:space="0" w:color="auto"/>
                                <w:left w:val="none" w:sz="0" w:space="0" w:color="auto"/>
                                <w:bottom w:val="none" w:sz="0" w:space="0" w:color="auto"/>
                                <w:right w:val="none" w:sz="0" w:space="0" w:color="auto"/>
                              </w:divBdr>
                              <w:divsChild>
                                <w:div w:id="1683896720">
                                  <w:marLeft w:val="0"/>
                                  <w:marRight w:val="0"/>
                                  <w:marTop w:val="0"/>
                                  <w:marBottom w:val="0"/>
                                  <w:divBdr>
                                    <w:top w:val="none" w:sz="0" w:space="0" w:color="auto"/>
                                    <w:left w:val="none" w:sz="0" w:space="0" w:color="auto"/>
                                    <w:bottom w:val="none" w:sz="0" w:space="0" w:color="auto"/>
                                    <w:right w:val="none" w:sz="0" w:space="0" w:color="auto"/>
                                  </w:divBdr>
                                  <w:divsChild>
                                    <w:div w:id="263809504">
                                      <w:marLeft w:val="0"/>
                                      <w:marRight w:val="0"/>
                                      <w:marTop w:val="0"/>
                                      <w:marBottom w:val="0"/>
                                      <w:divBdr>
                                        <w:top w:val="none" w:sz="0" w:space="0" w:color="auto"/>
                                        <w:left w:val="none" w:sz="0" w:space="0" w:color="auto"/>
                                        <w:bottom w:val="none" w:sz="0" w:space="0" w:color="auto"/>
                                        <w:right w:val="none" w:sz="0" w:space="0" w:color="auto"/>
                                      </w:divBdr>
                                      <w:divsChild>
                                        <w:div w:id="32316612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200957">
      <w:bodyDiv w:val="1"/>
      <w:marLeft w:val="0"/>
      <w:marRight w:val="0"/>
      <w:marTop w:val="0"/>
      <w:marBottom w:val="0"/>
      <w:divBdr>
        <w:top w:val="none" w:sz="0" w:space="0" w:color="auto"/>
        <w:left w:val="none" w:sz="0" w:space="0" w:color="auto"/>
        <w:bottom w:val="none" w:sz="0" w:space="0" w:color="auto"/>
        <w:right w:val="none" w:sz="0" w:space="0" w:color="auto"/>
      </w:divBdr>
    </w:div>
    <w:div w:id="667447170">
      <w:bodyDiv w:val="1"/>
      <w:marLeft w:val="0"/>
      <w:marRight w:val="0"/>
      <w:marTop w:val="0"/>
      <w:marBottom w:val="0"/>
      <w:divBdr>
        <w:top w:val="none" w:sz="0" w:space="0" w:color="auto"/>
        <w:left w:val="none" w:sz="0" w:space="0" w:color="auto"/>
        <w:bottom w:val="none" w:sz="0" w:space="0" w:color="auto"/>
        <w:right w:val="none" w:sz="0" w:space="0" w:color="auto"/>
      </w:divBdr>
      <w:divsChild>
        <w:div w:id="1119111177">
          <w:marLeft w:val="0"/>
          <w:marRight w:val="0"/>
          <w:marTop w:val="240"/>
          <w:marBottom w:val="240"/>
          <w:divBdr>
            <w:top w:val="none" w:sz="0" w:space="0" w:color="auto"/>
            <w:left w:val="none" w:sz="0" w:space="0" w:color="auto"/>
            <w:bottom w:val="none" w:sz="0" w:space="0" w:color="auto"/>
            <w:right w:val="none" w:sz="0" w:space="0" w:color="auto"/>
          </w:divBdr>
        </w:div>
      </w:divsChild>
    </w:div>
    <w:div w:id="675301029">
      <w:bodyDiv w:val="1"/>
      <w:marLeft w:val="0"/>
      <w:marRight w:val="0"/>
      <w:marTop w:val="0"/>
      <w:marBottom w:val="0"/>
      <w:divBdr>
        <w:top w:val="none" w:sz="0" w:space="0" w:color="auto"/>
        <w:left w:val="none" w:sz="0" w:space="0" w:color="auto"/>
        <w:bottom w:val="none" w:sz="0" w:space="0" w:color="auto"/>
        <w:right w:val="none" w:sz="0" w:space="0" w:color="auto"/>
      </w:divBdr>
    </w:div>
    <w:div w:id="737748502">
      <w:bodyDiv w:val="1"/>
      <w:marLeft w:val="0"/>
      <w:marRight w:val="0"/>
      <w:marTop w:val="0"/>
      <w:marBottom w:val="0"/>
      <w:divBdr>
        <w:top w:val="none" w:sz="0" w:space="0" w:color="auto"/>
        <w:left w:val="none" w:sz="0" w:space="0" w:color="auto"/>
        <w:bottom w:val="none" w:sz="0" w:space="0" w:color="auto"/>
        <w:right w:val="none" w:sz="0" w:space="0" w:color="auto"/>
      </w:divBdr>
      <w:divsChild>
        <w:div w:id="393088367">
          <w:marLeft w:val="0"/>
          <w:marRight w:val="0"/>
          <w:marTop w:val="0"/>
          <w:marBottom w:val="0"/>
          <w:divBdr>
            <w:top w:val="none" w:sz="0" w:space="0" w:color="auto"/>
            <w:left w:val="none" w:sz="0" w:space="0" w:color="auto"/>
            <w:bottom w:val="none" w:sz="0" w:space="0" w:color="auto"/>
            <w:right w:val="none" w:sz="0" w:space="0" w:color="auto"/>
          </w:divBdr>
          <w:divsChild>
            <w:div w:id="30219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958557">
      <w:bodyDiv w:val="1"/>
      <w:marLeft w:val="0"/>
      <w:marRight w:val="0"/>
      <w:marTop w:val="0"/>
      <w:marBottom w:val="0"/>
      <w:divBdr>
        <w:top w:val="none" w:sz="0" w:space="0" w:color="auto"/>
        <w:left w:val="none" w:sz="0" w:space="0" w:color="auto"/>
        <w:bottom w:val="none" w:sz="0" w:space="0" w:color="auto"/>
        <w:right w:val="none" w:sz="0" w:space="0" w:color="auto"/>
      </w:divBdr>
      <w:divsChild>
        <w:div w:id="1090008257">
          <w:marLeft w:val="0"/>
          <w:marRight w:val="0"/>
          <w:marTop w:val="0"/>
          <w:marBottom w:val="0"/>
          <w:divBdr>
            <w:top w:val="none" w:sz="0" w:space="0" w:color="auto"/>
            <w:left w:val="none" w:sz="0" w:space="0" w:color="auto"/>
            <w:bottom w:val="none" w:sz="0" w:space="0" w:color="auto"/>
            <w:right w:val="none" w:sz="0" w:space="0" w:color="auto"/>
          </w:divBdr>
          <w:divsChild>
            <w:div w:id="724986238">
              <w:marLeft w:val="0"/>
              <w:marRight w:val="0"/>
              <w:marTop w:val="0"/>
              <w:marBottom w:val="0"/>
              <w:divBdr>
                <w:top w:val="none" w:sz="0" w:space="0" w:color="auto"/>
                <w:left w:val="none" w:sz="0" w:space="0" w:color="auto"/>
                <w:bottom w:val="none" w:sz="0" w:space="0" w:color="auto"/>
                <w:right w:val="none" w:sz="0" w:space="0" w:color="auto"/>
              </w:divBdr>
              <w:divsChild>
                <w:div w:id="2013944049">
                  <w:marLeft w:val="0"/>
                  <w:marRight w:val="0"/>
                  <w:marTop w:val="240"/>
                  <w:marBottom w:val="240"/>
                  <w:divBdr>
                    <w:top w:val="none" w:sz="0" w:space="0" w:color="auto"/>
                    <w:left w:val="none" w:sz="0" w:space="0" w:color="auto"/>
                    <w:bottom w:val="none" w:sz="0" w:space="0" w:color="auto"/>
                    <w:right w:val="none" w:sz="0" w:space="0" w:color="auto"/>
                  </w:divBdr>
                </w:div>
                <w:div w:id="917248532">
                  <w:marLeft w:val="0"/>
                  <w:marRight w:val="0"/>
                  <w:marTop w:val="240"/>
                  <w:marBottom w:val="240"/>
                  <w:divBdr>
                    <w:top w:val="none" w:sz="0" w:space="0" w:color="auto"/>
                    <w:left w:val="none" w:sz="0" w:space="0" w:color="auto"/>
                    <w:bottom w:val="none" w:sz="0" w:space="0" w:color="auto"/>
                    <w:right w:val="none" w:sz="0" w:space="0" w:color="auto"/>
                  </w:divBdr>
                </w:div>
                <w:div w:id="2014257888">
                  <w:marLeft w:val="0"/>
                  <w:marRight w:val="0"/>
                  <w:marTop w:val="240"/>
                  <w:marBottom w:val="240"/>
                  <w:divBdr>
                    <w:top w:val="none" w:sz="0" w:space="0" w:color="auto"/>
                    <w:left w:val="none" w:sz="0" w:space="0" w:color="auto"/>
                    <w:bottom w:val="none" w:sz="0" w:space="0" w:color="auto"/>
                    <w:right w:val="none" w:sz="0" w:space="0" w:color="auto"/>
                  </w:divBdr>
                </w:div>
                <w:div w:id="1900092892">
                  <w:marLeft w:val="0"/>
                  <w:marRight w:val="0"/>
                  <w:marTop w:val="240"/>
                  <w:marBottom w:val="240"/>
                  <w:divBdr>
                    <w:top w:val="none" w:sz="0" w:space="0" w:color="auto"/>
                    <w:left w:val="none" w:sz="0" w:space="0" w:color="auto"/>
                    <w:bottom w:val="none" w:sz="0" w:space="0" w:color="auto"/>
                    <w:right w:val="none" w:sz="0" w:space="0" w:color="auto"/>
                  </w:divBdr>
                </w:div>
                <w:div w:id="134180521">
                  <w:marLeft w:val="0"/>
                  <w:marRight w:val="0"/>
                  <w:marTop w:val="240"/>
                  <w:marBottom w:val="240"/>
                  <w:divBdr>
                    <w:top w:val="none" w:sz="0" w:space="0" w:color="auto"/>
                    <w:left w:val="none" w:sz="0" w:space="0" w:color="auto"/>
                    <w:bottom w:val="none" w:sz="0" w:space="0" w:color="auto"/>
                    <w:right w:val="none" w:sz="0" w:space="0" w:color="auto"/>
                  </w:divBdr>
                </w:div>
                <w:div w:id="2035449849">
                  <w:marLeft w:val="0"/>
                  <w:marRight w:val="0"/>
                  <w:marTop w:val="240"/>
                  <w:marBottom w:val="240"/>
                  <w:divBdr>
                    <w:top w:val="none" w:sz="0" w:space="0" w:color="auto"/>
                    <w:left w:val="none" w:sz="0" w:space="0" w:color="auto"/>
                    <w:bottom w:val="none" w:sz="0" w:space="0" w:color="auto"/>
                    <w:right w:val="none" w:sz="0" w:space="0" w:color="auto"/>
                  </w:divBdr>
                </w:div>
                <w:div w:id="840897613">
                  <w:marLeft w:val="0"/>
                  <w:marRight w:val="0"/>
                  <w:marTop w:val="450"/>
                  <w:marBottom w:val="450"/>
                  <w:divBdr>
                    <w:top w:val="none" w:sz="0" w:space="0" w:color="auto"/>
                    <w:left w:val="none" w:sz="0" w:space="0" w:color="auto"/>
                    <w:bottom w:val="none" w:sz="0" w:space="0" w:color="auto"/>
                    <w:right w:val="none" w:sz="0" w:space="0" w:color="auto"/>
                  </w:divBdr>
                </w:div>
                <w:div w:id="1488353960">
                  <w:marLeft w:val="0"/>
                  <w:marRight w:val="0"/>
                  <w:marTop w:val="240"/>
                  <w:marBottom w:val="240"/>
                  <w:divBdr>
                    <w:top w:val="none" w:sz="0" w:space="0" w:color="auto"/>
                    <w:left w:val="none" w:sz="0" w:space="0" w:color="auto"/>
                    <w:bottom w:val="none" w:sz="0" w:space="0" w:color="auto"/>
                    <w:right w:val="none" w:sz="0" w:space="0" w:color="auto"/>
                  </w:divBdr>
                </w:div>
                <w:div w:id="912206485">
                  <w:marLeft w:val="0"/>
                  <w:marRight w:val="0"/>
                  <w:marTop w:val="240"/>
                  <w:marBottom w:val="240"/>
                  <w:divBdr>
                    <w:top w:val="none" w:sz="0" w:space="0" w:color="auto"/>
                    <w:left w:val="none" w:sz="0" w:space="0" w:color="auto"/>
                    <w:bottom w:val="none" w:sz="0" w:space="0" w:color="auto"/>
                    <w:right w:val="none" w:sz="0" w:space="0" w:color="auto"/>
                  </w:divBdr>
                </w:div>
                <w:div w:id="950550626">
                  <w:marLeft w:val="0"/>
                  <w:marRight w:val="0"/>
                  <w:marTop w:val="240"/>
                  <w:marBottom w:val="240"/>
                  <w:divBdr>
                    <w:top w:val="none" w:sz="0" w:space="0" w:color="auto"/>
                    <w:left w:val="none" w:sz="0" w:space="0" w:color="auto"/>
                    <w:bottom w:val="none" w:sz="0" w:space="0" w:color="auto"/>
                    <w:right w:val="none" w:sz="0" w:space="0" w:color="auto"/>
                  </w:divBdr>
                </w:div>
                <w:div w:id="4745230">
                  <w:marLeft w:val="0"/>
                  <w:marRight w:val="0"/>
                  <w:marTop w:val="240"/>
                  <w:marBottom w:val="240"/>
                  <w:divBdr>
                    <w:top w:val="none" w:sz="0" w:space="0" w:color="auto"/>
                    <w:left w:val="none" w:sz="0" w:space="0" w:color="auto"/>
                    <w:bottom w:val="none" w:sz="0" w:space="0" w:color="auto"/>
                    <w:right w:val="none" w:sz="0" w:space="0" w:color="auto"/>
                  </w:divBdr>
                </w:div>
                <w:div w:id="2003658760">
                  <w:marLeft w:val="0"/>
                  <w:marRight w:val="0"/>
                  <w:marTop w:val="240"/>
                  <w:marBottom w:val="240"/>
                  <w:divBdr>
                    <w:top w:val="none" w:sz="0" w:space="0" w:color="auto"/>
                    <w:left w:val="none" w:sz="0" w:space="0" w:color="auto"/>
                    <w:bottom w:val="none" w:sz="0" w:space="0" w:color="auto"/>
                    <w:right w:val="none" w:sz="0" w:space="0" w:color="auto"/>
                  </w:divBdr>
                </w:div>
                <w:div w:id="450591164">
                  <w:marLeft w:val="0"/>
                  <w:marRight w:val="0"/>
                  <w:marTop w:val="240"/>
                  <w:marBottom w:val="240"/>
                  <w:divBdr>
                    <w:top w:val="none" w:sz="0" w:space="0" w:color="auto"/>
                    <w:left w:val="none" w:sz="0" w:space="0" w:color="auto"/>
                    <w:bottom w:val="none" w:sz="0" w:space="0" w:color="auto"/>
                    <w:right w:val="none" w:sz="0" w:space="0" w:color="auto"/>
                  </w:divBdr>
                </w:div>
                <w:div w:id="1169710040">
                  <w:marLeft w:val="0"/>
                  <w:marRight w:val="0"/>
                  <w:marTop w:val="240"/>
                  <w:marBottom w:val="240"/>
                  <w:divBdr>
                    <w:top w:val="none" w:sz="0" w:space="0" w:color="auto"/>
                    <w:left w:val="none" w:sz="0" w:space="0" w:color="auto"/>
                    <w:bottom w:val="none" w:sz="0" w:space="0" w:color="auto"/>
                    <w:right w:val="none" w:sz="0" w:space="0" w:color="auto"/>
                  </w:divBdr>
                </w:div>
                <w:div w:id="559902014">
                  <w:marLeft w:val="0"/>
                  <w:marRight w:val="0"/>
                  <w:marTop w:val="240"/>
                  <w:marBottom w:val="240"/>
                  <w:divBdr>
                    <w:top w:val="none" w:sz="0" w:space="0" w:color="auto"/>
                    <w:left w:val="none" w:sz="0" w:space="0" w:color="auto"/>
                    <w:bottom w:val="none" w:sz="0" w:space="0" w:color="auto"/>
                    <w:right w:val="none" w:sz="0" w:space="0" w:color="auto"/>
                  </w:divBdr>
                </w:div>
                <w:div w:id="520047972">
                  <w:marLeft w:val="0"/>
                  <w:marRight w:val="0"/>
                  <w:marTop w:val="240"/>
                  <w:marBottom w:val="240"/>
                  <w:divBdr>
                    <w:top w:val="none" w:sz="0" w:space="0" w:color="auto"/>
                    <w:left w:val="none" w:sz="0" w:space="0" w:color="auto"/>
                    <w:bottom w:val="none" w:sz="0" w:space="0" w:color="auto"/>
                    <w:right w:val="none" w:sz="0" w:space="0" w:color="auto"/>
                  </w:divBdr>
                </w:div>
                <w:div w:id="114102630">
                  <w:marLeft w:val="0"/>
                  <w:marRight w:val="0"/>
                  <w:marTop w:val="240"/>
                  <w:marBottom w:val="240"/>
                  <w:divBdr>
                    <w:top w:val="none" w:sz="0" w:space="0" w:color="auto"/>
                    <w:left w:val="none" w:sz="0" w:space="0" w:color="auto"/>
                    <w:bottom w:val="none" w:sz="0" w:space="0" w:color="auto"/>
                    <w:right w:val="none" w:sz="0" w:space="0" w:color="auto"/>
                  </w:divBdr>
                </w:div>
                <w:div w:id="70855896">
                  <w:marLeft w:val="0"/>
                  <w:marRight w:val="0"/>
                  <w:marTop w:val="240"/>
                  <w:marBottom w:val="240"/>
                  <w:divBdr>
                    <w:top w:val="none" w:sz="0" w:space="0" w:color="auto"/>
                    <w:left w:val="none" w:sz="0" w:space="0" w:color="auto"/>
                    <w:bottom w:val="none" w:sz="0" w:space="0" w:color="auto"/>
                    <w:right w:val="none" w:sz="0" w:space="0" w:color="auto"/>
                  </w:divBdr>
                </w:div>
                <w:div w:id="1625228762">
                  <w:marLeft w:val="0"/>
                  <w:marRight w:val="0"/>
                  <w:marTop w:val="240"/>
                  <w:marBottom w:val="240"/>
                  <w:divBdr>
                    <w:top w:val="none" w:sz="0" w:space="0" w:color="auto"/>
                    <w:left w:val="none" w:sz="0" w:space="0" w:color="auto"/>
                    <w:bottom w:val="none" w:sz="0" w:space="0" w:color="auto"/>
                    <w:right w:val="none" w:sz="0" w:space="0" w:color="auto"/>
                  </w:divBdr>
                </w:div>
                <w:div w:id="337778720">
                  <w:marLeft w:val="0"/>
                  <w:marRight w:val="0"/>
                  <w:marTop w:val="240"/>
                  <w:marBottom w:val="240"/>
                  <w:divBdr>
                    <w:top w:val="none" w:sz="0" w:space="0" w:color="auto"/>
                    <w:left w:val="none" w:sz="0" w:space="0" w:color="auto"/>
                    <w:bottom w:val="none" w:sz="0" w:space="0" w:color="auto"/>
                    <w:right w:val="none" w:sz="0" w:space="0" w:color="auto"/>
                  </w:divBdr>
                </w:div>
                <w:div w:id="279070777">
                  <w:marLeft w:val="0"/>
                  <w:marRight w:val="0"/>
                  <w:marTop w:val="240"/>
                  <w:marBottom w:val="240"/>
                  <w:divBdr>
                    <w:top w:val="none" w:sz="0" w:space="0" w:color="auto"/>
                    <w:left w:val="none" w:sz="0" w:space="0" w:color="auto"/>
                    <w:bottom w:val="none" w:sz="0" w:space="0" w:color="auto"/>
                    <w:right w:val="none" w:sz="0" w:space="0" w:color="auto"/>
                  </w:divBdr>
                </w:div>
                <w:div w:id="1424758724">
                  <w:marLeft w:val="0"/>
                  <w:marRight w:val="0"/>
                  <w:marTop w:val="240"/>
                  <w:marBottom w:val="240"/>
                  <w:divBdr>
                    <w:top w:val="none" w:sz="0" w:space="0" w:color="auto"/>
                    <w:left w:val="none" w:sz="0" w:space="0" w:color="auto"/>
                    <w:bottom w:val="none" w:sz="0" w:space="0" w:color="auto"/>
                    <w:right w:val="none" w:sz="0" w:space="0" w:color="auto"/>
                  </w:divBdr>
                </w:div>
                <w:div w:id="978920678">
                  <w:marLeft w:val="0"/>
                  <w:marRight w:val="0"/>
                  <w:marTop w:val="240"/>
                  <w:marBottom w:val="240"/>
                  <w:divBdr>
                    <w:top w:val="none" w:sz="0" w:space="0" w:color="auto"/>
                    <w:left w:val="none" w:sz="0" w:space="0" w:color="auto"/>
                    <w:bottom w:val="none" w:sz="0" w:space="0" w:color="auto"/>
                    <w:right w:val="none" w:sz="0" w:space="0" w:color="auto"/>
                  </w:divBdr>
                </w:div>
                <w:div w:id="574095498">
                  <w:marLeft w:val="0"/>
                  <w:marRight w:val="0"/>
                  <w:marTop w:val="240"/>
                  <w:marBottom w:val="240"/>
                  <w:divBdr>
                    <w:top w:val="none" w:sz="0" w:space="0" w:color="auto"/>
                    <w:left w:val="none" w:sz="0" w:space="0" w:color="auto"/>
                    <w:bottom w:val="none" w:sz="0" w:space="0" w:color="auto"/>
                    <w:right w:val="none" w:sz="0" w:space="0" w:color="auto"/>
                  </w:divBdr>
                </w:div>
                <w:div w:id="596794756">
                  <w:marLeft w:val="0"/>
                  <w:marRight w:val="0"/>
                  <w:marTop w:val="240"/>
                  <w:marBottom w:val="240"/>
                  <w:divBdr>
                    <w:top w:val="none" w:sz="0" w:space="0" w:color="auto"/>
                    <w:left w:val="none" w:sz="0" w:space="0" w:color="auto"/>
                    <w:bottom w:val="none" w:sz="0" w:space="0" w:color="auto"/>
                    <w:right w:val="none" w:sz="0" w:space="0" w:color="auto"/>
                  </w:divBdr>
                </w:div>
                <w:div w:id="698354836">
                  <w:marLeft w:val="0"/>
                  <w:marRight w:val="0"/>
                  <w:marTop w:val="240"/>
                  <w:marBottom w:val="240"/>
                  <w:divBdr>
                    <w:top w:val="none" w:sz="0" w:space="0" w:color="auto"/>
                    <w:left w:val="none" w:sz="0" w:space="0" w:color="auto"/>
                    <w:bottom w:val="none" w:sz="0" w:space="0" w:color="auto"/>
                    <w:right w:val="none" w:sz="0" w:space="0" w:color="auto"/>
                  </w:divBdr>
                </w:div>
                <w:div w:id="362479685">
                  <w:marLeft w:val="0"/>
                  <w:marRight w:val="0"/>
                  <w:marTop w:val="240"/>
                  <w:marBottom w:val="240"/>
                  <w:divBdr>
                    <w:top w:val="none" w:sz="0" w:space="0" w:color="auto"/>
                    <w:left w:val="none" w:sz="0" w:space="0" w:color="auto"/>
                    <w:bottom w:val="none" w:sz="0" w:space="0" w:color="auto"/>
                    <w:right w:val="none" w:sz="0" w:space="0" w:color="auto"/>
                  </w:divBdr>
                </w:div>
                <w:div w:id="1555896082">
                  <w:marLeft w:val="0"/>
                  <w:marRight w:val="0"/>
                  <w:marTop w:val="240"/>
                  <w:marBottom w:val="240"/>
                  <w:divBdr>
                    <w:top w:val="none" w:sz="0" w:space="0" w:color="auto"/>
                    <w:left w:val="none" w:sz="0" w:space="0" w:color="auto"/>
                    <w:bottom w:val="none" w:sz="0" w:space="0" w:color="auto"/>
                    <w:right w:val="none" w:sz="0" w:space="0" w:color="auto"/>
                  </w:divBdr>
                </w:div>
                <w:div w:id="2101288613">
                  <w:marLeft w:val="0"/>
                  <w:marRight w:val="0"/>
                  <w:marTop w:val="0"/>
                  <w:marBottom w:val="0"/>
                  <w:divBdr>
                    <w:top w:val="none" w:sz="0" w:space="0" w:color="auto"/>
                    <w:left w:val="none" w:sz="0" w:space="0" w:color="auto"/>
                    <w:bottom w:val="none" w:sz="0" w:space="0" w:color="auto"/>
                    <w:right w:val="none" w:sz="0" w:space="0" w:color="auto"/>
                  </w:divBdr>
                  <w:divsChild>
                    <w:div w:id="1661233996">
                      <w:marLeft w:val="0"/>
                      <w:marRight w:val="0"/>
                      <w:marTop w:val="300"/>
                      <w:marBottom w:val="180"/>
                      <w:divBdr>
                        <w:top w:val="none" w:sz="0" w:space="0" w:color="auto"/>
                        <w:left w:val="none" w:sz="0" w:space="0" w:color="auto"/>
                        <w:bottom w:val="none" w:sz="0" w:space="0" w:color="auto"/>
                        <w:right w:val="none" w:sz="0" w:space="0" w:color="auto"/>
                      </w:divBdr>
                      <w:divsChild>
                        <w:div w:id="18201719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5217">
          <w:marLeft w:val="0"/>
          <w:marRight w:val="0"/>
          <w:marTop w:val="0"/>
          <w:marBottom w:val="0"/>
          <w:divBdr>
            <w:top w:val="none" w:sz="0" w:space="0" w:color="auto"/>
            <w:left w:val="none" w:sz="0" w:space="0" w:color="auto"/>
            <w:bottom w:val="none" w:sz="0" w:space="0" w:color="auto"/>
            <w:right w:val="none" w:sz="0" w:space="0" w:color="auto"/>
          </w:divBdr>
          <w:divsChild>
            <w:div w:id="1871380947">
              <w:marLeft w:val="0"/>
              <w:marRight w:val="0"/>
              <w:marTop w:val="0"/>
              <w:marBottom w:val="0"/>
              <w:divBdr>
                <w:top w:val="none" w:sz="0" w:space="0" w:color="auto"/>
                <w:left w:val="none" w:sz="0" w:space="0" w:color="auto"/>
                <w:bottom w:val="none" w:sz="0" w:space="0" w:color="auto"/>
                <w:right w:val="none" w:sz="0" w:space="0" w:color="auto"/>
              </w:divBdr>
              <w:divsChild>
                <w:div w:id="506100511">
                  <w:marLeft w:val="0"/>
                  <w:marRight w:val="0"/>
                  <w:marTop w:val="0"/>
                  <w:marBottom w:val="0"/>
                  <w:divBdr>
                    <w:top w:val="none" w:sz="0" w:space="0" w:color="auto"/>
                    <w:left w:val="none" w:sz="0" w:space="0" w:color="auto"/>
                    <w:bottom w:val="none" w:sz="0" w:space="0" w:color="auto"/>
                    <w:right w:val="none" w:sz="0" w:space="0" w:color="auto"/>
                  </w:divBdr>
                  <w:divsChild>
                    <w:div w:id="862012158">
                      <w:marLeft w:val="0"/>
                      <w:marRight w:val="0"/>
                      <w:marTop w:val="0"/>
                      <w:marBottom w:val="0"/>
                      <w:divBdr>
                        <w:top w:val="none" w:sz="0" w:space="0" w:color="auto"/>
                        <w:left w:val="none" w:sz="0" w:space="0" w:color="auto"/>
                        <w:bottom w:val="none" w:sz="0" w:space="0" w:color="auto"/>
                        <w:right w:val="none" w:sz="0" w:space="0" w:color="auto"/>
                      </w:divBdr>
                      <w:divsChild>
                        <w:div w:id="1852453139">
                          <w:marLeft w:val="0"/>
                          <w:marRight w:val="0"/>
                          <w:marTop w:val="0"/>
                          <w:marBottom w:val="0"/>
                          <w:divBdr>
                            <w:top w:val="none" w:sz="0" w:space="0" w:color="auto"/>
                            <w:left w:val="none" w:sz="0" w:space="0" w:color="auto"/>
                            <w:bottom w:val="none" w:sz="0" w:space="0" w:color="auto"/>
                            <w:right w:val="none" w:sz="0" w:space="0" w:color="auto"/>
                          </w:divBdr>
                          <w:divsChild>
                            <w:div w:id="1035033909">
                              <w:marLeft w:val="0"/>
                              <w:marRight w:val="0"/>
                              <w:marTop w:val="0"/>
                              <w:marBottom w:val="0"/>
                              <w:divBdr>
                                <w:top w:val="none" w:sz="0" w:space="0" w:color="auto"/>
                                <w:left w:val="none" w:sz="0" w:space="0" w:color="auto"/>
                                <w:bottom w:val="none" w:sz="0" w:space="0" w:color="auto"/>
                                <w:right w:val="none" w:sz="0" w:space="0" w:color="auto"/>
                              </w:divBdr>
                              <w:divsChild>
                                <w:div w:id="1868759562">
                                  <w:marLeft w:val="0"/>
                                  <w:marRight w:val="0"/>
                                  <w:marTop w:val="0"/>
                                  <w:marBottom w:val="0"/>
                                  <w:divBdr>
                                    <w:top w:val="none" w:sz="0" w:space="0" w:color="auto"/>
                                    <w:left w:val="none" w:sz="0" w:space="0" w:color="auto"/>
                                    <w:bottom w:val="none" w:sz="0" w:space="0" w:color="auto"/>
                                    <w:right w:val="none" w:sz="0" w:space="0" w:color="auto"/>
                                  </w:divBdr>
                                </w:div>
                                <w:div w:id="1273631366">
                                  <w:marLeft w:val="0"/>
                                  <w:marRight w:val="0"/>
                                  <w:marTop w:val="0"/>
                                  <w:marBottom w:val="0"/>
                                  <w:divBdr>
                                    <w:top w:val="none" w:sz="0" w:space="0" w:color="auto"/>
                                    <w:left w:val="none" w:sz="0" w:space="0" w:color="auto"/>
                                    <w:bottom w:val="none" w:sz="0" w:space="0" w:color="auto"/>
                                    <w:right w:val="none" w:sz="0" w:space="0" w:color="auto"/>
                                  </w:divBdr>
                                </w:div>
                                <w:div w:id="45170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5170">
                          <w:marLeft w:val="0"/>
                          <w:marRight w:val="0"/>
                          <w:marTop w:val="0"/>
                          <w:marBottom w:val="0"/>
                          <w:divBdr>
                            <w:top w:val="none" w:sz="0" w:space="0" w:color="auto"/>
                            <w:left w:val="none" w:sz="0" w:space="0" w:color="auto"/>
                            <w:bottom w:val="none" w:sz="0" w:space="0" w:color="auto"/>
                            <w:right w:val="none" w:sz="0" w:space="0" w:color="auto"/>
                          </w:divBdr>
                          <w:divsChild>
                            <w:div w:id="1564871018">
                              <w:marLeft w:val="0"/>
                              <w:marRight w:val="0"/>
                              <w:marTop w:val="0"/>
                              <w:marBottom w:val="0"/>
                              <w:divBdr>
                                <w:top w:val="none" w:sz="0" w:space="0" w:color="auto"/>
                                <w:left w:val="none" w:sz="0" w:space="0" w:color="auto"/>
                                <w:bottom w:val="none" w:sz="0" w:space="0" w:color="auto"/>
                                <w:right w:val="none" w:sz="0" w:space="0" w:color="auto"/>
                              </w:divBdr>
                              <w:divsChild>
                                <w:div w:id="1982155033">
                                  <w:marLeft w:val="0"/>
                                  <w:marRight w:val="0"/>
                                  <w:marTop w:val="0"/>
                                  <w:marBottom w:val="0"/>
                                  <w:divBdr>
                                    <w:top w:val="none" w:sz="0" w:space="0" w:color="auto"/>
                                    <w:left w:val="none" w:sz="0" w:space="0" w:color="auto"/>
                                    <w:bottom w:val="none" w:sz="0" w:space="0" w:color="auto"/>
                                    <w:right w:val="none" w:sz="0" w:space="0" w:color="auto"/>
                                  </w:divBdr>
                                  <w:divsChild>
                                    <w:div w:id="628781027">
                                      <w:marLeft w:val="0"/>
                                      <w:marRight w:val="0"/>
                                      <w:marTop w:val="0"/>
                                      <w:marBottom w:val="0"/>
                                      <w:divBdr>
                                        <w:top w:val="none" w:sz="0" w:space="0" w:color="auto"/>
                                        <w:left w:val="none" w:sz="0" w:space="0" w:color="auto"/>
                                        <w:bottom w:val="none" w:sz="0" w:space="0" w:color="auto"/>
                                        <w:right w:val="none" w:sz="0" w:space="0" w:color="auto"/>
                                      </w:divBdr>
                                      <w:divsChild>
                                        <w:div w:id="4005715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3989130">
      <w:bodyDiv w:val="1"/>
      <w:marLeft w:val="0"/>
      <w:marRight w:val="0"/>
      <w:marTop w:val="0"/>
      <w:marBottom w:val="0"/>
      <w:divBdr>
        <w:top w:val="none" w:sz="0" w:space="0" w:color="auto"/>
        <w:left w:val="none" w:sz="0" w:space="0" w:color="auto"/>
        <w:bottom w:val="none" w:sz="0" w:space="0" w:color="auto"/>
        <w:right w:val="none" w:sz="0" w:space="0" w:color="auto"/>
      </w:divBdr>
    </w:div>
    <w:div w:id="1199392089">
      <w:bodyDiv w:val="1"/>
      <w:marLeft w:val="0"/>
      <w:marRight w:val="0"/>
      <w:marTop w:val="0"/>
      <w:marBottom w:val="0"/>
      <w:divBdr>
        <w:top w:val="none" w:sz="0" w:space="0" w:color="auto"/>
        <w:left w:val="none" w:sz="0" w:space="0" w:color="auto"/>
        <w:bottom w:val="none" w:sz="0" w:space="0" w:color="auto"/>
        <w:right w:val="none" w:sz="0" w:space="0" w:color="auto"/>
      </w:divBdr>
    </w:div>
    <w:div w:id="1410426800">
      <w:bodyDiv w:val="1"/>
      <w:marLeft w:val="0"/>
      <w:marRight w:val="0"/>
      <w:marTop w:val="0"/>
      <w:marBottom w:val="0"/>
      <w:divBdr>
        <w:top w:val="none" w:sz="0" w:space="0" w:color="auto"/>
        <w:left w:val="none" w:sz="0" w:space="0" w:color="auto"/>
        <w:bottom w:val="none" w:sz="0" w:space="0" w:color="auto"/>
        <w:right w:val="none" w:sz="0" w:space="0" w:color="auto"/>
      </w:divBdr>
    </w:div>
    <w:div w:id="1436636771">
      <w:bodyDiv w:val="1"/>
      <w:marLeft w:val="0"/>
      <w:marRight w:val="0"/>
      <w:marTop w:val="0"/>
      <w:marBottom w:val="0"/>
      <w:divBdr>
        <w:top w:val="none" w:sz="0" w:space="0" w:color="auto"/>
        <w:left w:val="none" w:sz="0" w:space="0" w:color="auto"/>
        <w:bottom w:val="none" w:sz="0" w:space="0" w:color="auto"/>
        <w:right w:val="none" w:sz="0" w:space="0" w:color="auto"/>
      </w:divBdr>
      <w:divsChild>
        <w:div w:id="623466677">
          <w:marLeft w:val="0"/>
          <w:marRight w:val="0"/>
          <w:marTop w:val="0"/>
          <w:marBottom w:val="0"/>
          <w:divBdr>
            <w:top w:val="none" w:sz="0" w:space="0" w:color="auto"/>
            <w:left w:val="none" w:sz="0" w:space="0" w:color="auto"/>
            <w:bottom w:val="none" w:sz="0" w:space="0" w:color="auto"/>
            <w:right w:val="none" w:sz="0" w:space="0" w:color="auto"/>
          </w:divBdr>
          <w:divsChild>
            <w:div w:id="458493644">
              <w:marLeft w:val="0"/>
              <w:marRight w:val="0"/>
              <w:marTop w:val="0"/>
              <w:marBottom w:val="0"/>
              <w:divBdr>
                <w:top w:val="none" w:sz="0" w:space="0" w:color="auto"/>
                <w:left w:val="none" w:sz="0" w:space="0" w:color="auto"/>
                <w:bottom w:val="none" w:sz="0" w:space="0" w:color="auto"/>
                <w:right w:val="none" w:sz="0" w:space="0" w:color="auto"/>
              </w:divBdr>
              <w:divsChild>
                <w:div w:id="1953979195">
                  <w:marLeft w:val="0"/>
                  <w:marRight w:val="0"/>
                  <w:marTop w:val="240"/>
                  <w:marBottom w:val="240"/>
                  <w:divBdr>
                    <w:top w:val="none" w:sz="0" w:space="0" w:color="auto"/>
                    <w:left w:val="none" w:sz="0" w:space="0" w:color="auto"/>
                    <w:bottom w:val="none" w:sz="0" w:space="0" w:color="auto"/>
                    <w:right w:val="none" w:sz="0" w:space="0" w:color="auto"/>
                  </w:divBdr>
                </w:div>
                <w:div w:id="419642646">
                  <w:marLeft w:val="0"/>
                  <w:marRight w:val="0"/>
                  <w:marTop w:val="240"/>
                  <w:marBottom w:val="240"/>
                  <w:divBdr>
                    <w:top w:val="none" w:sz="0" w:space="0" w:color="auto"/>
                    <w:left w:val="none" w:sz="0" w:space="0" w:color="auto"/>
                    <w:bottom w:val="none" w:sz="0" w:space="0" w:color="auto"/>
                    <w:right w:val="none" w:sz="0" w:space="0" w:color="auto"/>
                  </w:divBdr>
                </w:div>
                <w:div w:id="446589062">
                  <w:marLeft w:val="0"/>
                  <w:marRight w:val="0"/>
                  <w:marTop w:val="240"/>
                  <w:marBottom w:val="240"/>
                  <w:divBdr>
                    <w:top w:val="none" w:sz="0" w:space="0" w:color="auto"/>
                    <w:left w:val="none" w:sz="0" w:space="0" w:color="auto"/>
                    <w:bottom w:val="none" w:sz="0" w:space="0" w:color="auto"/>
                    <w:right w:val="none" w:sz="0" w:space="0" w:color="auto"/>
                  </w:divBdr>
                </w:div>
                <w:div w:id="196312905">
                  <w:marLeft w:val="0"/>
                  <w:marRight w:val="0"/>
                  <w:marTop w:val="240"/>
                  <w:marBottom w:val="240"/>
                  <w:divBdr>
                    <w:top w:val="none" w:sz="0" w:space="0" w:color="auto"/>
                    <w:left w:val="none" w:sz="0" w:space="0" w:color="auto"/>
                    <w:bottom w:val="none" w:sz="0" w:space="0" w:color="auto"/>
                    <w:right w:val="none" w:sz="0" w:space="0" w:color="auto"/>
                  </w:divBdr>
                </w:div>
                <w:div w:id="1106661121">
                  <w:marLeft w:val="0"/>
                  <w:marRight w:val="0"/>
                  <w:marTop w:val="450"/>
                  <w:marBottom w:val="450"/>
                  <w:divBdr>
                    <w:top w:val="none" w:sz="0" w:space="0" w:color="auto"/>
                    <w:left w:val="none" w:sz="0" w:space="0" w:color="auto"/>
                    <w:bottom w:val="none" w:sz="0" w:space="0" w:color="auto"/>
                    <w:right w:val="none" w:sz="0" w:space="0" w:color="auto"/>
                  </w:divBdr>
                </w:div>
                <w:div w:id="1909029674">
                  <w:marLeft w:val="0"/>
                  <w:marRight w:val="0"/>
                  <w:marTop w:val="240"/>
                  <w:marBottom w:val="240"/>
                  <w:divBdr>
                    <w:top w:val="none" w:sz="0" w:space="0" w:color="auto"/>
                    <w:left w:val="none" w:sz="0" w:space="0" w:color="auto"/>
                    <w:bottom w:val="none" w:sz="0" w:space="0" w:color="auto"/>
                    <w:right w:val="none" w:sz="0" w:space="0" w:color="auto"/>
                  </w:divBdr>
                </w:div>
                <w:div w:id="833028233">
                  <w:marLeft w:val="0"/>
                  <w:marRight w:val="0"/>
                  <w:marTop w:val="240"/>
                  <w:marBottom w:val="240"/>
                  <w:divBdr>
                    <w:top w:val="none" w:sz="0" w:space="0" w:color="auto"/>
                    <w:left w:val="none" w:sz="0" w:space="0" w:color="auto"/>
                    <w:bottom w:val="none" w:sz="0" w:space="0" w:color="auto"/>
                    <w:right w:val="none" w:sz="0" w:space="0" w:color="auto"/>
                  </w:divBdr>
                </w:div>
                <w:div w:id="255746396">
                  <w:marLeft w:val="0"/>
                  <w:marRight w:val="0"/>
                  <w:marTop w:val="240"/>
                  <w:marBottom w:val="240"/>
                  <w:divBdr>
                    <w:top w:val="none" w:sz="0" w:space="0" w:color="auto"/>
                    <w:left w:val="none" w:sz="0" w:space="0" w:color="auto"/>
                    <w:bottom w:val="none" w:sz="0" w:space="0" w:color="auto"/>
                    <w:right w:val="none" w:sz="0" w:space="0" w:color="auto"/>
                  </w:divBdr>
                </w:div>
                <w:div w:id="903370352">
                  <w:marLeft w:val="0"/>
                  <w:marRight w:val="0"/>
                  <w:marTop w:val="240"/>
                  <w:marBottom w:val="240"/>
                  <w:divBdr>
                    <w:top w:val="none" w:sz="0" w:space="0" w:color="auto"/>
                    <w:left w:val="none" w:sz="0" w:space="0" w:color="auto"/>
                    <w:bottom w:val="none" w:sz="0" w:space="0" w:color="auto"/>
                    <w:right w:val="none" w:sz="0" w:space="0" w:color="auto"/>
                  </w:divBdr>
                </w:div>
                <w:div w:id="552236475">
                  <w:marLeft w:val="0"/>
                  <w:marRight w:val="0"/>
                  <w:marTop w:val="240"/>
                  <w:marBottom w:val="240"/>
                  <w:divBdr>
                    <w:top w:val="none" w:sz="0" w:space="0" w:color="auto"/>
                    <w:left w:val="none" w:sz="0" w:space="0" w:color="auto"/>
                    <w:bottom w:val="none" w:sz="0" w:space="0" w:color="auto"/>
                    <w:right w:val="none" w:sz="0" w:space="0" w:color="auto"/>
                  </w:divBdr>
                </w:div>
                <w:div w:id="681443640">
                  <w:marLeft w:val="0"/>
                  <w:marRight w:val="0"/>
                  <w:marTop w:val="240"/>
                  <w:marBottom w:val="240"/>
                  <w:divBdr>
                    <w:top w:val="none" w:sz="0" w:space="0" w:color="auto"/>
                    <w:left w:val="none" w:sz="0" w:space="0" w:color="auto"/>
                    <w:bottom w:val="none" w:sz="0" w:space="0" w:color="auto"/>
                    <w:right w:val="none" w:sz="0" w:space="0" w:color="auto"/>
                  </w:divBdr>
                </w:div>
                <w:div w:id="1343439341">
                  <w:marLeft w:val="0"/>
                  <w:marRight w:val="0"/>
                  <w:marTop w:val="240"/>
                  <w:marBottom w:val="240"/>
                  <w:divBdr>
                    <w:top w:val="none" w:sz="0" w:space="0" w:color="auto"/>
                    <w:left w:val="none" w:sz="0" w:space="0" w:color="auto"/>
                    <w:bottom w:val="none" w:sz="0" w:space="0" w:color="auto"/>
                    <w:right w:val="none" w:sz="0" w:space="0" w:color="auto"/>
                  </w:divBdr>
                </w:div>
                <w:div w:id="841117281">
                  <w:marLeft w:val="0"/>
                  <w:marRight w:val="0"/>
                  <w:marTop w:val="240"/>
                  <w:marBottom w:val="240"/>
                  <w:divBdr>
                    <w:top w:val="none" w:sz="0" w:space="0" w:color="auto"/>
                    <w:left w:val="none" w:sz="0" w:space="0" w:color="auto"/>
                    <w:bottom w:val="none" w:sz="0" w:space="0" w:color="auto"/>
                    <w:right w:val="none" w:sz="0" w:space="0" w:color="auto"/>
                  </w:divBdr>
                </w:div>
                <w:div w:id="473912247">
                  <w:marLeft w:val="0"/>
                  <w:marRight w:val="0"/>
                  <w:marTop w:val="240"/>
                  <w:marBottom w:val="240"/>
                  <w:divBdr>
                    <w:top w:val="none" w:sz="0" w:space="0" w:color="auto"/>
                    <w:left w:val="none" w:sz="0" w:space="0" w:color="auto"/>
                    <w:bottom w:val="none" w:sz="0" w:space="0" w:color="auto"/>
                    <w:right w:val="none" w:sz="0" w:space="0" w:color="auto"/>
                  </w:divBdr>
                </w:div>
                <w:div w:id="870607947">
                  <w:marLeft w:val="0"/>
                  <w:marRight w:val="0"/>
                  <w:marTop w:val="240"/>
                  <w:marBottom w:val="240"/>
                  <w:divBdr>
                    <w:top w:val="none" w:sz="0" w:space="0" w:color="auto"/>
                    <w:left w:val="none" w:sz="0" w:space="0" w:color="auto"/>
                    <w:bottom w:val="none" w:sz="0" w:space="0" w:color="auto"/>
                    <w:right w:val="none" w:sz="0" w:space="0" w:color="auto"/>
                  </w:divBdr>
                </w:div>
                <w:div w:id="828904654">
                  <w:marLeft w:val="0"/>
                  <w:marRight w:val="0"/>
                  <w:marTop w:val="240"/>
                  <w:marBottom w:val="240"/>
                  <w:divBdr>
                    <w:top w:val="none" w:sz="0" w:space="0" w:color="auto"/>
                    <w:left w:val="none" w:sz="0" w:space="0" w:color="auto"/>
                    <w:bottom w:val="none" w:sz="0" w:space="0" w:color="auto"/>
                    <w:right w:val="none" w:sz="0" w:space="0" w:color="auto"/>
                  </w:divBdr>
                </w:div>
                <w:div w:id="933513448">
                  <w:marLeft w:val="0"/>
                  <w:marRight w:val="0"/>
                  <w:marTop w:val="240"/>
                  <w:marBottom w:val="240"/>
                  <w:divBdr>
                    <w:top w:val="none" w:sz="0" w:space="0" w:color="auto"/>
                    <w:left w:val="none" w:sz="0" w:space="0" w:color="auto"/>
                    <w:bottom w:val="none" w:sz="0" w:space="0" w:color="auto"/>
                    <w:right w:val="none" w:sz="0" w:space="0" w:color="auto"/>
                  </w:divBdr>
                </w:div>
                <w:div w:id="249894037">
                  <w:marLeft w:val="0"/>
                  <w:marRight w:val="0"/>
                  <w:marTop w:val="240"/>
                  <w:marBottom w:val="240"/>
                  <w:divBdr>
                    <w:top w:val="none" w:sz="0" w:space="0" w:color="auto"/>
                    <w:left w:val="none" w:sz="0" w:space="0" w:color="auto"/>
                    <w:bottom w:val="none" w:sz="0" w:space="0" w:color="auto"/>
                    <w:right w:val="none" w:sz="0" w:space="0" w:color="auto"/>
                  </w:divBdr>
                </w:div>
                <w:div w:id="946039008">
                  <w:marLeft w:val="0"/>
                  <w:marRight w:val="0"/>
                  <w:marTop w:val="240"/>
                  <w:marBottom w:val="240"/>
                  <w:divBdr>
                    <w:top w:val="none" w:sz="0" w:space="0" w:color="auto"/>
                    <w:left w:val="none" w:sz="0" w:space="0" w:color="auto"/>
                    <w:bottom w:val="none" w:sz="0" w:space="0" w:color="auto"/>
                    <w:right w:val="none" w:sz="0" w:space="0" w:color="auto"/>
                  </w:divBdr>
                </w:div>
                <w:div w:id="1987196647">
                  <w:marLeft w:val="0"/>
                  <w:marRight w:val="0"/>
                  <w:marTop w:val="240"/>
                  <w:marBottom w:val="240"/>
                  <w:divBdr>
                    <w:top w:val="none" w:sz="0" w:space="0" w:color="auto"/>
                    <w:left w:val="none" w:sz="0" w:space="0" w:color="auto"/>
                    <w:bottom w:val="none" w:sz="0" w:space="0" w:color="auto"/>
                    <w:right w:val="none" w:sz="0" w:space="0" w:color="auto"/>
                  </w:divBdr>
                </w:div>
                <w:div w:id="1349018506">
                  <w:marLeft w:val="0"/>
                  <w:marRight w:val="0"/>
                  <w:marTop w:val="240"/>
                  <w:marBottom w:val="240"/>
                  <w:divBdr>
                    <w:top w:val="none" w:sz="0" w:space="0" w:color="auto"/>
                    <w:left w:val="none" w:sz="0" w:space="0" w:color="auto"/>
                    <w:bottom w:val="none" w:sz="0" w:space="0" w:color="auto"/>
                    <w:right w:val="none" w:sz="0" w:space="0" w:color="auto"/>
                  </w:divBdr>
                </w:div>
                <w:div w:id="1542328028">
                  <w:marLeft w:val="0"/>
                  <w:marRight w:val="0"/>
                  <w:marTop w:val="240"/>
                  <w:marBottom w:val="240"/>
                  <w:divBdr>
                    <w:top w:val="none" w:sz="0" w:space="0" w:color="auto"/>
                    <w:left w:val="none" w:sz="0" w:space="0" w:color="auto"/>
                    <w:bottom w:val="none" w:sz="0" w:space="0" w:color="auto"/>
                    <w:right w:val="none" w:sz="0" w:space="0" w:color="auto"/>
                  </w:divBdr>
                </w:div>
                <w:div w:id="682900335">
                  <w:marLeft w:val="0"/>
                  <w:marRight w:val="0"/>
                  <w:marTop w:val="240"/>
                  <w:marBottom w:val="240"/>
                  <w:divBdr>
                    <w:top w:val="none" w:sz="0" w:space="0" w:color="auto"/>
                    <w:left w:val="none" w:sz="0" w:space="0" w:color="auto"/>
                    <w:bottom w:val="none" w:sz="0" w:space="0" w:color="auto"/>
                    <w:right w:val="none" w:sz="0" w:space="0" w:color="auto"/>
                  </w:divBdr>
                </w:div>
                <w:div w:id="623584414">
                  <w:marLeft w:val="0"/>
                  <w:marRight w:val="0"/>
                  <w:marTop w:val="240"/>
                  <w:marBottom w:val="240"/>
                  <w:divBdr>
                    <w:top w:val="none" w:sz="0" w:space="0" w:color="auto"/>
                    <w:left w:val="none" w:sz="0" w:space="0" w:color="auto"/>
                    <w:bottom w:val="none" w:sz="0" w:space="0" w:color="auto"/>
                    <w:right w:val="none" w:sz="0" w:space="0" w:color="auto"/>
                  </w:divBdr>
                </w:div>
                <w:div w:id="1275597404">
                  <w:marLeft w:val="0"/>
                  <w:marRight w:val="0"/>
                  <w:marTop w:val="240"/>
                  <w:marBottom w:val="240"/>
                  <w:divBdr>
                    <w:top w:val="none" w:sz="0" w:space="0" w:color="auto"/>
                    <w:left w:val="none" w:sz="0" w:space="0" w:color="auto"/>
                    <w:bottom w:val="none" w:sz="0" w:space="0" w:color="auto"/>
                    <w:right w:val="none" w:sz="0" w:space="0" w:color="auto"/>
                  </w:divBdr>
                </w:div>
                <w:div w:id="1308626183">
                  <w:marLeft w:val="0"/>
                  <w:marRight w:val="0"/>
                  <w:marTop w:val="240"/>
                  <w:marBottom w:val="240"/>
                  <w:divBdr>
                    <w:top w:val="none" w:sz="0" w:space="0" w:color="auto"/>
                    <w:left w:val="none" w:sz="0" w:space="0" w:color="auto"/>
                    <w:bottom w:val="none" w:sz="0" w:space="0" w:color="auto"/>
                    <w:right w:val="none" w:sz="0" w:space="0" w:color="auto"/>
                  </w:divBdr>
                </w:div>
                <w:div w:id="1172178988">
                  <w:marLeft w:val="0"/>
                  <w:marRight w:val="0"/>
                  <w:marTop w:val="240"/>
                  <w:marBottom w:val="240"/>
                  <w:divBdr>
                    <w:top w:val="none" w:sz="0" w:space="0" w:color="auto"/>
                    <w:left w:val="none" w:sz="0" w:space="0" w:color="auto"/>
                    <w:bottom w:val="none" w:sz="0" w:space="0" w:color="auto"/>
                    <w:right w:val="none" w:sz="0" w:space="0" w:color="auto"/>
                  </w:divBdr>
                </w:div>
                <w:div w:id="13922261">
                  <w:marLeft w:val="0"/>
                  <w:marRight w:val="0"/>
                  <w:marTop w:val="240"/>
                  <w:marBottom w:val="240"/>
                  <w:divBdr>
                    <w:top w:val="none" w:sz="0" w:space="0" w:color="auto"/>
                    <w:left w:val="none" w:sz="0" w:space="0" w:color="auto"/>
                    <w:bottom w:val="none" w:sz="0" w:space="0" w:color="auto"/>
                    <w:right w:val="none" w:sz="0" w:space="0" w:color="auto"/>
                  </w:divBdr>
                </w:div>
                <w:div w:id="2051227654">
                  <w:marLeft w:val="0"/>
                  <w:marRight w:val="0"/>
                  <w:marTop w:val="240"/>
                  <w:marBottom w:val="240"/>
                  <w:divBdr>
                    <w:top w:val="none" w:sz="0" w:space="0" w:color="auto"/>
                    <w:left w:val="none" w:sz="0" w:space="0" w:color="auto"/>
                    <w:bottom w:val="none" w:sz="0" w:space="0" w:color="auto"/>
                    <w:right w:val="none" w:sz="0" w:space="0" w:color="auto"/>
                  </w:divBdr>
                </w:div>
                <w:div w:id="1351640666">
                  <w:marLeft w:val="0"/>
                  <w:marRight w:val="0"/>
                  <w:marTop w:val="240"/>
                  <w:marBottom w:val="240"/>
                  <w:divBdr>
                    <w:top w:val="none" w:sz="0" w:space="0" w:color="auto"/>
                    <w:left w:val="none" w:sz="0" w:space="0" w:color="auto"/>
                    <w:bottom w:val="none" w:sz="0" w:space="0" w:color="auto"/>
                    <w:right w:val="none" w:sz="0" w:space="0" w:color="auto"/>
                  </w:divBdr>
                </w:div>
                <w:div w:id="682899231">
                  <w:marLeft w:val="0"/>
                  <w:marRight w:val="0"/>
                  <w:marTop w:val="240"/>
                  <w:marBottom w:val="240"/>
                  <w:divBdr>
                    <w:top w:val="none" w:sz="0" w:space="0" w:color="auto"/>
                    <w:left w:val="none" w:sz="0" w:space="0" w:color="auto"/>
                    <w:bottom w:val="none" w:sz="0" w:space="0" w:color="auto"/>
                    <w:right w:val="none" w:sz="0" w:space="0" w:color="auto"/>
                  </w:divBdr>
                </w:div>
                <w:div w:id="1210066485">
                  <w:marLeft w:val="0"/>
                  <w:marRight w:val="0"/>
                  <w:marTop w:val="240"/>
                  <w:marBottom w:val="240"/>
                  <w:divBdr>
                    <w:top w:val="none" w:sz="0" w:space="0" w:color="auto"/>
                    <w:left w:val="none" w:sz="0" w:space="0" w:color="auto"/>
                    <w:bottom w:val="none" w:sz="0" w:space="0" w:color="auto"/>
                    <w:right w:val="none" w:sz="0" w:space="0" w:color="auto"/>
                  </w:divBdr>
                </w:div>
                <w:div w:id="1218738341">
                  <w:marLeft w:val="0"/>
                  <w:marRight w:val="0"/>
                  <w:marTop w:val="240"/>
                  <w:marBottom w:val="240"/>
                  <w:divBdr>
                    <w:top w:val="none" w:sz="0" w:space="0" w:color="auto"/>
                    <w:left w:val="none" w:sz="0" w:space="0" w:color="auto"/>
                    <w:bottom w:val="none" w:sz="0" w:space="0" w:color="auto"/>
                    <w:right w:val="none" w:sz="0" w:space="0" w:color="auto"/>
                  </w:divBdr>
                </w:div>
                <w:div w:id="1849978955">
                  <w:marLeft w:val="0"/>
                  <w:marRight w:val="0"/>
                  <w:marTop w:val="240"/>
                  <w:marBottom w:val="240"/>
                  <w:divBdr>
                    <w:top w:val="none" w:sz="0" w:space="0" w:color="auto"/>
                    <w:left w:val="none" w:sz="0" w:space="0" w:color="auto"/>
                    <w:bottom w:val="none" w:sz="0" w:space="0" w:color="auto"/>
                    <w:right w:val="none" w:sz="0" w:space="0" w:color="auto"/>
                  </w:divBdr>
                </w:div>
                <w:div w:id="2116903396">
                  <w:marLeft w:val="0"/>
                  <w:marRight w:val="0"/>
                  <w:marTop w:val="0"/>
                  <w:marBottom w:val="0"/>
                  <w:divBdr>
                    <w:top w:val="none" w:sz="0" w:space="0" w:color="auto"/>
                    <w:left w:val="none" w:sz="0" w:space="0" w:color="auto"/>
                    <w:bottom w:val="none" w:sz="0" w:space="0" w:color="auto"/>
                    <w:right w:val="none" w:sz="0" w:space="0" w:color="auto"/>
                  </w:divBdr>
                  <w:divsChild>
                    <w:div w:id="117644373">
                      <w:marLeft w:val="0"/>
                      <w:marRight w:val="0"/>
                      <w:marTop w:val="300"/>
                      <w:marBottom w:val="180"/>
                      <w:divBdr>
                        <w:top w:val="none" w:sz="0" w:space="0" w:color="auto"/>
                        <w:left w:val="none" w:sz="0" w:space="0" w:color="auto"/>
                        <w:bottom w:val="none" w:sz="0" w:space="0" w:color="auto"/>
                        <w:right w:val="none" w:sz="0" w:space="0" w:color="auto"/>
                      </w:divBdr>
                      <w:divsChild>
                        <w:div w:id="52201143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781594">
          <w:marLeft w:val="0"/>
          <w:marRight w:val="0"/>
          <w:marTop w:val="0"/>
          <w:marBottom w:val="0"/>
          <w:divBdr>
            <w:top w:val="none" w:sz="0" w:space="0" w:color="auto"/>
            <w:left w:val="none" w:sz="0" w:space="0" w:color="auto"/>
            <w:bottom w:val="none" w:sz="0" w:space="0" w:color="auto"/>
            <w:right w:val="none" w:sz="0" w:space="0" w:color="auto"/>
          </w:divBdr>
          <w:divsChild>
            <w:div w:id="1434133582">
              <w:marLeft w:val="0"/>
              <w:marRight w:val="0"/>
              <w:marTop w:val="0"/>
              <w:marBottom w:val="0"/>
              <w:divBdr>
                <w:top w:val="none" w:sz="0" w:space="0" w:color="auto"/>
                <w:left w:val="none" w:sz="0" w:space="0" w:color="auto"/>
                <w:bottom w:val="none" w:sz="0" w:space="0" w:color="auto"/>
                <w:right w:val="none" w:sz="0" w:space="0" w:color="auto"/>
              </w:divBdr>
              <w:divsChild>
                <w:div w:id="1984458952">
                  <w:marLeft w:val="0"/>
                  <w:marRight w:val="0"/>
                  <w:marTop w:val="0"/>
                  <w:marBottom w:val="0"/>
                  <w:divBdr>
                    <w:top w:val="none" w:sz="0" w:space="0" w:color="auto"/>
                    <w:left w:val="none" w:sz="0" w:space="0" w:color="auto"/>
                    <w:bottom w:val="none" w:sz="0" w:space="0" w:color="auto"/>
                    <w:right w:val="none" w:sz="0" w:space="0" w:color="auto"/>
                  </w:divBdr>
                  <w:divsChild>
                    <w:div w:id="113641662">
                      <w:marLeft w:val="0"/>
                      <w:marRight w:val="0"/>
                      <w:marTop w:val="0"/>
                      <w:marBottom w:val="0"/>
                      <w:divBdr>
                        <w:top w:val="none" w:sz="0" w:space="0" w:color="auto"/>
                        <w:left w:val="none" w:sz="0" w:space="0" w:color="auto"/>
                        <w:bottom w:val="none" w:sz="0" w:space="0" w:color="auto"/>
                        <w:right w:val="none" w:sz="0" w:space="0" w:color="auto"/>
                      </w:divBdr>
                      <w:divsChild>
                        <w:div w:id="1124693715">
                          <w:marLeft w:val="0"/>
                          <w:marRight w:val="0"/>
                          <w:marTop w:val="0"/>
                          <w:marBottom w:val="0"/>
                          <w:divBdr>
                            <w:top w:val="none" w:sz="0" w:space="0" w:color="auto"/>
                            <w:left w:val="none" w:sz="0" w:space="0" w:color="auto"/>
                            <w:bottom w:val="none" w:sz="0" w:space="0" w:color="auto"/>
                            <w:right w:val="none" w:sz="0" w:space="0" w:color="auto"/>
                          </w:divBdr>
                          <w:divsChild>
                            <w:div w:id="1638678180">
                              <w:marLeft w:val="0"/>
                              <w:marRight w:val="0"/>
                              <w:marTop w:val="0"/>
                              <w:marBottom w:val="0"/>
                              <w:divBdr>
                                <w:top w:val="none" w:sz="0" w:space="0" w:color="auto"/>
                                <w:left w:val="none" w:sz="0" w:space="0" w:color="auto"/>
                                <w:bottom w:val="none" w:sz="0" w:space="0" w:color="auto"/>
                                <w:right w:val="none" w:sz="0" w:space="0" w:color="auto"/>
                              </w:divBdr>
                              <w:divsChild>
                                <w:div w:id="1153453891">
                                  <w:marLeft w:val="0"/>
                                  <w:marRight w:val="0"/>
                                  <w:marTop w:val="0"/>
                                  <w:marBottom w:val="0"/>
                                  <w:divBdr>
                                    <w:top w:val="none" w:sz="0" w:space="0" w:color="auto"/>
                                    <w:left w:val="none" w:sz="0" w:space="0" w:color="auto"/>
                                    <w:bottom w:val="none" w:sz="0" w:space="0" w:color="auto"/>
                                    <w:right w:val="none" w:sz="0" w:space="0" w:color="auto"/>
                                  </w:divBdr>
                                </w:div>
                                <w:div w:id="1811239451">
                                  <w:marLeft w:val="0"/>
                                  <w:marRight w:val="0"/>
                                  <w:marTop w:val="0"/>
                                  <w:marBottom w:val="0"/>
                                  <w:divBdr>
                                    <w:top w:val="none" w:sz="0" w:space="0" w:color="auto"/>
                                    <w:left w:val="none" w:sz="0" w:space="0" w:color="auto"/>
                                    <w:bottom w:val="none" w:sz="0" w:space="0" w:color="auto"/>
                                    <w:right w:val="none" w:sz="0" w:space="0" w:color="auto"/>
                                  </w:divBdr>
                                </w:div>
                                <w:div w:id="196758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724">
                          <w:marLeft w:val="0"/>
                          <w:marRight w:val="0"/>
                          <w:marTop w:val="0"/>
                          <w:marBottom w:val="0"/>
                          <w:divBdr>
                            <w:top w:val="none" w:sz="0" w:space="0" w:color="auto"/>
                            <w:left w:val="none" w:sz="0" w:space="0" w:color="auto"/>
                            <w:bottom w:val="none" w:sz="0" w:space="0" w:color="auto"/>
                            <w:right w:val="none" w:sz="0" w:space="0" w:color="auto"/>
                          </w:divBdr>
                          <w:divsChild>
                            <w:div w:id="1613590329">
                              <w:marLeft w:val="0"/>
                              <w:marRight w:val="0"/>
                              <w:marTop w:val="0"/>
                              <w:marBottom w:val="0"/>
                              <w:divBdr>
                                <w:top w:val="none" w:sz="0" w:space="0" w:color="auto"/>
                                <w:left w:val="none" w:sz="0" w:space="0" w:color="auto"/>
                                <w:bottom w:val="none" w:sz="0" w:space="0" w:color="auto"/>
                                <w:right w:val="none" w:sz="0" w:space="0" w:color="auto"/>
                              </w:divBdr>
                              <w:divsChild>
                                <w:div w:id="128204046">
                                  <w:marLeft w:val="0"/>
                                  <w:marRight w:val="0"/>
                                  <w:marTop w:val="0"/>
                                  <w:marBottom w:val="0"/>
                                  <w:divBdr>
                                    <w:top w:val="none" w:sz="0" w:space="0" w:color="auto"/>
                                    <w:left w:val="none" w:sz="0" w:space="0" w:color="auto"/>
                                    <w:bottom w:val="none" w:sz="0" w:space="0" w:color="auto"/>
                                    <w:right w:val="none" w:sz="0" w:space="0" w:color="auto"/>
                                  </w:divBdr>
                                  <w:divsChild>
                                    <w:div w:id="905798803">
                                      <w:marLeft w:val="0"/>
                                      <w:marRight w:val="0"/>
                                      <w:marTop w:val="0"/>
                                      <w:marBottom w:val="0"/>
                                      <w:divBdr>
                                        <w:top w:val="none" w:sz="0" w:space="0" w:color="auto"/>
                                        <w:left w:val="none" w:sz="0" w:space="0" w:color="auto"/>
                                        <w:bottom w:val="none" w:sz="0" w:space="0" w:color="auto"/>
                                        <w:right w:val="none" w:sz="0" w:space="0" w:color="auto"/>
                                      </w:divBdr>
                                      <w:divsChild>
                                        <w:div w:id="1926651735">
                                          <w:marLeft w:val="0"/>
                                          <w:marRight w:val="0"/>
                                          <w:marTop w:val="0"/>
                                          <w:marBottom w:val="60"/>
                                          <w:divBdr>
                                            <w:top w:val="none" w:sz="0" w:space="0" w:color="auto"/>
                                            <w:left w:val="none" w:sz="0" w:space="0" w:color="auto"/>
                                            <w:bottom w:val="none" w:sz="0" w:space="0" w:color="auto"/>
                                            <w:right w:val="none" w:sz="0" w:space="0" w:color="auto"/>
                                          </w:divBdr>
                                        </w:div>
                                        <w:div w:id="104445255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7012445">
      <w:bodyDiv w:val="1"/>
      <w:marLeft w:val="0"/>
      <w:marRight w:val="0"/>
      <w:marTop w:val="0"/>
      <w:marBottom w:val="0"/>
      <w:divBdr>
        <w:top w:val="none" w:sz="0" w:space="0" w:color="auto"/>
        <w:left w:val="none" w:sz="0" w:space="0" w:color="auto"/>
        <w:bottom w:val="none" w:sz="0" w:space="0" w:color="auto"/>
        <w:right w:val="none" w:sz="0" w:space="0" w:color="auto"/>
      </w:divBdr>
    </w:div>
    <w:div w:id="1607692477">
      <w:bodyDiv w:val="1"/>
      <w:marLeft w:val="0"/>
      <w:marRight w:val="0"/>
      <w:marTop w:val="0"/>
      <w:marBottom w:val="0"/>
      <w:divBdr>
        <w:top w:val="none" w:sz="0" w:space="0" w:color="auto"/>
        <w:left w:val="none" w:sz="0" w:space="0" w:color="auto"/>
        <w:bottom w:val="none" w:sz="0" w:space="0" w:color="auto"/>
        <w:right w:val="none" w:sz="0" w:space="0" w:color="auto"/>
      </w:divBdr>
      <w:divsChild>
        <w:div w:id="90519044">
          <w:marLeft w:val="0"/>
          <w:marRight w:val="0"/>
          <w:marTop w:val="240"/>
          <w:marBottom w:val="240"/>
          <w:divBdr>
            <w:top w:val="none" w:sz="0" w:space="0" w:color="auto"/>
            <w:left w:val="none" w:sz="0" w:space="0" w:color="auto"/>
            <w:bottom w:val="none" w:sz="0" w:space="0" w:color="auto"/>
            <w:right w:val="none" w:sz="0" w:space="0" w:color="auto"/>
          </w:divBdr>
        </w:div>
      </w:divsChild>
    </w:div>
    <w:div w:id="1682780955">
      <w:bodyDiv w:val="1"/>
      <w:marLeft w:val="0"/>
      <w:marRight w:val="0"/>
      <w:marTop w:val="0"/>
      <w:marBottom w:val="0"/>
      <w:divBdr>
        <w:top w:val="none" w:sz="0" w:space="0" w:color="auto"/>
        <w:left w:val="none" w:sz="0" w:space="0" w:color="auto"/>
        <w:bottom w:val="none" w:sz="0" w:space="0" w:color="auto"/>
        <w:right w:val="none" w:sz="0" w:space="0" w:color="auto"/>
      </w:divBdr>
      <w:divsChild>
        <w:div w:id="1647051225">
          <w:marLeft w:val="0"/>
          <w:marRight w:val="0"/>
          <w:marTop w:val="0"/>
          <w:marBottom w:val="0"/>
          <w:divBdr>
            <w:top w:val="none" w:sz="0" w:space="0" w:color="auto"/>
            <w:left w:val="none" w:sz="0" w:space="0" w:color="auto"/>
            <w:bottom w:val="none" w:sz="0" w:space="0" w:color="auto"/>
            <w:right w:val="none" w:sz="0" w:space="0" w:color="auto"/>
          </w:divBdr>
          <w:divsChild>
            <w:div w:id="930577576">
              <w:marLeft w:val="0"/>
              <w:marRight w:val="0"/>
              <w:marTop w:val="450"/>
              <w:marBottom w:val="0"/>
              <w:divBdr>
                <w:top w:val="none" w:sz="0" w:space="0" w:color="auto"/>
                <w:left w:val="none" w:sz="0" w:space="0" w:color="auto"/>
                <w:bottom w:val="none" w:sz="0" w:space="0" w:color="auto"/>
                <w:right w:val="none" w:sz="0" w:space="0" w:color="auto"/>
              </w:divBdr>
              <w:divsChild>
                <w:div w:id="1253394148">
                  <w:marLeft w:val="0"/>
                  <w:marRight w:val="0"/>
                  <w:marTop w:val="0"/>
                  <w:marBottom w:val="0"/>
                  <w:divBdr>
                    <w:top w:val="none" w:sz="0" w:space="0" w:color="auto"/>
                    <w:left w:val="none" w:sz="0" w:space="0" w:color="auto"/>
                    <w:bottom w:val="none" w:sz="0" w:space="0" w:color="auto"/>
                    <w:right w:val="none" w:sz="0" w:space="0" w:color="auto"/>
                  </w:divBdr>
                  <w:divsChild>
                    <w:div w:id="1422986693">
                      <w:marLeft w:val="0"/>
                      <w:marRight w:val="0"/>
                      <w:marTop w:val="0"/>
                      <w:marBottom w:val="0"/>
                      <w:divBdr>
                        <w:top w:val="none" w:sz="0" w:space="0" w:color="auto"/>
                        <w:left w:val="none" w:sz="0" w:space="0" w:color="auto"/>
                        <w:bottom w:val="none" w:sz="0" w:space="0" w:color="auto"/>
                        <w:right w:val="none" w:sz="0" w:space="0" w:color="auto"/>
                      </w:divBdr>
                      <w:divsChild>
                        <w:div w:id="1260405677">
                          <w:marLeft w:val="0"/>
                          <w:marRight w:val="0"/>
                          <w:marTop w:val="0"/>
                          <w:marBottom w:val="0"/>
                          <w:divBdr>
                            <w:top w:val="none" w:sz="0" w:space="0" w:color="auto"/>
                            <w:left w:val="none" w:sz="0" w:space="0" w:color="auto"/>
                            <w:bottom w:val="none" w:sz="0" w:space="0" w:color="auto"/>
                            <w:right w:val="none" w:sz="0" w:space="0" w:color="auto"/>
                          </w:divBdr>
                          <w:divsChild>
                            <w:div w:id="89785279">
                              <w:marLeft w:val="0"/>
                              <w:marRight w:val="0"/>
                              <w:marTop w:val="0"/>
                              <w:marBottom w:val="0"/>
                              <w:divBdr>
                                <w:top w:val="none" w:sz="0" w:space="0" w:color="auto"/>
                                <w:left w:val="none" w:sz="0" w:space="0" w:color="auto"/>
                                <w:bottom w:val="none" w:sz="0" w:space="0" w:color="auto"/>
                                <w:right w:val="none" w:sz="0" w:space="0" w:color="auto"/>
                              </w:divBdr>
                              <w:divsChild>
                                <w:div w:id="1843003832">
                                  <w:marLeft w:val="0"/>
                                  <w:marRight w:val="0"/>
                                  <w:marTop w:val="0"/>
                                  <w:marBottom w:val="0"/>
                                  <w:divBdr>
                                    <w:top w:val="none" w:sz="0" w:space="0" w:color="auto"/>
                                    <w:left w:val="none" w:sz="0" w:space="0" w:color="auto"/>
                                    <w:bottom w:val="none" w:sz="0" w:space="0" w:color="auto"/>
                                    <w:right w:val="none" w:sz="0" w:space="0" w:color="auto"/>
                                  </w:divBdr>
                                  <w:divsChild>
                                    <w:div w:id="1563364662">
                                      <w:marLeft w:val="0"/>
                                      <w:marRight w:val="0"/>
                                      <w:marTop w:val="0"/>
                                      <w:marBottom w:val="0"/>
                                      <w:divBdr>
                                        <w:top w:val="none" w:sz="0" w:space="0" w:color="auto"/>
                                        <w:left w:val="none" w:sz="0" w:space="0" w:color="auto"/>
                                        <w:bottom w:val="none" w:sz="0" w:space="0" w:color="auto"/>
                                        <w:right w:val="none" w:sz="0" w:space="0" w:color="auto"/>
                                      </w:divBdr>
                                      <w:divsChild>
                                        <w:div w:id="389236086">
                                          <w:marLeft w:val="0"/>
                                          <w:marRight w:val="0"/>
                                          <w:marTop w:val="0"/>
                                          <w:marBottom w:val="0"/>
                                          <w:divBdr>
                                            <w:top w:val="none" w:sz="0" w:space="0" w:color="auto"/>
                                            <w:left w:val="none" w:sz="0" w:space="0" w:color="auto"/>
                                            <w:bottom w:val="none" w:sz="0" w:space="0" w:color="auto"/>
                                            <w:right w:val="none" w:sz="0" w:space="0" w:color="auto"/>
                                          </w:divBdr>
                                          <w:divsChild>
                                            <w:div w:id="1469713033">
                                              <w:marLeft w:val="0"/>
                                              <w:marRight w:val="0"/>
                                              <w:marTop w:val="240"/>
                                              <w:marBottom w:val="240"/>
                                              <w:divBdr>
                                                <w:top w:val="none" w:sz="0" w:space="0" w:color="auto"/>
                                                <w:left w:val="none" w:sz="0" w:space="0" w:color="auto"/>
                                                <w:bottom w:val="none" w:sz="0" w:space="0" w:color="auto"/>
                                                <w:right w:val="none" w:sz="0" w:space="0" w:color="auto"/>
                                              </w:divBdr>
                                            </w:div>
                                            <w:div w:id="994918220">
                                              <w:marLeft w:val="0"/>
                                              <w:marRight w:val="0"/>
                                              <w:marTop w:val="240"/>
                                              <w:marBottom w:val="240"/>
                                              <w:divBdr>
                                                <w:top w:val="none" w:sz="0" w:space="0" w:color="auto"/>
                                                <w:left w:val="none" w:sz="0" w:space="0" w:color="auto"/>
                                                <w:bottom w:val="none" w:sz="0" w:space="0" w:color="auto"/>
                                                <w:right w:val="none" w:sz="0" w:space="0" w:color="auto"/>
                                              </w:divBdr>
                                            </w:div>
                                            <w:div w:id="857700921">
                                              <w:marLeft w:val="0"/>
                                              <w:marRight w:val="0"/>
                                              <w:marTop w:val="240"/>
                                              <w:marBottom w:val="240"/>
                                              <w:divBdr>
                                                <w:top w:val="none" w:sz="0" w:space="0" w:color="auto"/>
                                                <w:left w:val="none" w:sz="0" w:space="0" w:color="auto"/>
                                                <w:bottom w:val="none" w:sz="0" w:space="0" w:color="auto"/>
                                                <w:right w:val="none" w:sz="0" w:space="0" w:color="auto"/>
                                              </w:divBdr>
                                            </w:div>
                                            <w:div w:id="314341591">
                                              <w:marLeft w:val="0"/>
                                              <w:marRight w:val="0"/>
                                              <w:marTop w:val="240"/>
                                              <w:marBottom w:val="240"/>
                                              <w:divBdr>
                                                <w:top w:val="none" w:sz="0" w:space="0" w:color="auto"/>
                                                <w:left w:val="none" w:sz="0" w:space="0" w:color="auto"/>
                                                <w:bottom w:val="none" w:sz="0" w:space="0" w:color="auto"/>
                                                <w:right w:val="none" w:sz="0" w:space="0" w:color="auto"/>
                                              </w:divBdr>
                                            </w:div>
                                            <w:div w:id="180433666">
                                              <w:marLeft w:val="0"/>
                                              <w:marRight w:val="0"/>
                                              <w:marTop w:val="240"/>
                                              <w:marBottom w:val="240"/>
                                              <w:divBdr>
                                                <w:top w:val="none" w:sz="0" w:space="0" w:color="auto"/>
                                                <w:left w:val="none" w:sz="0" w:space="0" w:color="auto"/>
                                                <w:bottom w:val="none" w:sz="0" w:space="0" w:color="auto"/>
                                                <w:right w:val="none" w:sz="0" w:space="0" w:color="auto"/>
                                              </w:divBdr>
                                            </w:div>
                                            <w:div w:id="154957403">
                                              <w:marLeft w:val="0"/>
                                              <w:marRight w:val="0"/>
                                              <w:marTop w:val="240"/>
                                              <w:marBottom w:val="240"/>
                                              <w:divBdr>
                                                <w:top w:val="none" w:sz="0" w:space="0" w:color="auto"/>
                                                <w:left w:val="none" w:sz="0" w:space="0" w:color="auto"/>
                                                <w:bottom w:val="none" w:sz="0" w:space="0" w:color="auto"/>
                                                <w:right w:val="none" w:sz="0" w:space="0" w:color="auto"/>
                                              </w:divBdr>
                                            </w:div>
                                            <w:div w:id="315426194">
                                              <w:marLeft w:val="0"/>
                                              <w:marRight w:val="0"/>
                                              <w:marTop w:val="240"/>
                                              <w:marBottom w:val="240"/>
                                              <w:divBdr>
                                                <w:top w:val="none" w:sz="0" w:space="0" w:color="auto"/>
                                                <w:left w:val="none" w:sz="0" w:space="0" w:color="auto"/>
                                                <w:bottom w:val="none" w:sz="0" w:space="0" w:color="auto"/>
                                                <w:right w:val="none" w:sz="0" w:space="0" w:color="auto"/>
                                              </w:divBdr>
                                            </w:div>
                                            <w:div w:id="1053311103">
                                              <w:marLeft w:val="0"/>
                                              <w:marRight w:val="0"/>
                                              <w:marTop w:val="240"/>
                                              <w:marBottom w:val="240"/>
                                              <w:divBdr>
                                                <w:top w:val="none" w:sz="0" w:space="0" w:color="auto"/>
                                                <w:left w:val="none" w:sz="0" w:space="0" w:color="auto"/>
                                                <w:bottom w:val="none" w:sz="0" w:space="0" w:color="auto"/>
                                                <w:right w:val="none" w:sz="0" w:space="0" w:color="auto"/>
                                              </w:divBdr>
                                            </w:div>
                                            <w:div w:id="813372772">
                                              <w:marLeft w:val="0"/>
                                              <w:marRight w:val="0"/>
                                              <w:marTop w:val="240"/>
                                              <w:marBottom w:val="240"/>
                                              <w:divBdr>
                                                <w:top w:val="none" w:sz="0" w:space="0" w:color="auto"/>
                                                <w:left w:val="none" w:sz="0" w:space="0" w:color="auto"/>
                                                <w:bottom w:val="none" w:sz="0" w:space="0" w:color="auto"/>
                                                <w:right w:val="none" w:sz="0" w:space="0" w:color="auto"/>
                                              </w:divBdr>
                                            </w:div>
                                            <w:div w:id="2046829765">
                                              <w:marLeft w:val="0"/>
                                              <w:marRight w:val="0"/>
                                              <w:marTop w:val="240"/>
                                              <w:marBottom w:val="240"/>
                                              <w:divBdr>
                                                <w:top w:val="none" w:sz="0" w:space="0" w:color="auto"/>
                                                <w:left w:val="none" w:sz="0" w:space="0" w:color="auto"/>
                                                <w:bottom w:val="none" w:sz="0" w:space="0" w:color="auto"/>
                                                <w:right w:val="none" w:sz="0" w:space="0" w:color="auto"/>
                                              </w:divBdr>
                                            </w:div>
                                            <w:div w:id="820318520">
                                              <w:marLeft w:val="0"/>
                                              <w:marRight w:val="0"/>
                                              <w:marTop w:val="0"/>
                                              <w:marBottom w:val="0"/>
                                              <w:divBdr>
                                                <w:top w:val="none" w:sz="0" w:space="0" w:color="auto"/>
                                                <w:left w:val="none" w:sz="0" w:space="0" w:color="auto"/>
                                                <w:bottom w:val="none" w:sz="0" w:space="0" w:color="auto"/>
                                                <w:right w:val="none" w:sz="0" w:space="0" w:color="auto"/>
                                              </w:divBdr>
                                              <w:divsChild>
                                                <w:div w:id="1121462693">
                                                  <w:marLeft w:val="0"/>
                                                  <w:marRight w:val="0"/>
                                                  <w:marTop w:val="300"/>
                                                  <w:marBottom w:val="180"/>
                                                  <w:divBdr>
                                                    <w:top w:val="none" w:sz="0" w:space="0" w:color="auto"/>
                                                    <w:left w:val="none" w:sz="0" w:space="0" w:color="auto"/>
                                                    <w:bottom w:val="none" w:sz="0" w:space="0" w:color="auto"/>
                                                    <w:right w:val="none" w:sz="0" w:space="0" w:color="auto"/>
                                                  </w:divBdr>
                                                  <w:divsChild>
                                                    <w:div w:id="136513315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314732">
      <w:bodyDiv w:val="1"/>
      <w:marLeft w:val="0"/>
      <w:marRight w:val="0"/>
      <w:marTop w:val="0"/>
      <w:marBottom w:val="0"/>
      <w:divBdr>
        <w:top w:val="none" w:sz="0" w:space="0" w:color="auto"/>
        <w:left w:val="none" w:sz="0" w:space="0" w:color="auto"/>
        <w:bottom w:val="none" w:sz="0" w:space="0" w:color="auto"/>
        <w:right w:val="none" w:sz="0" w:space="0" w:color="auto"/>
      </w:divBdr>
    </w:div>
    <w:div w:id="1748844509">
      <w:bodyDiv w:val="1"/>
      <w:marLeft w:val="0"/>
      <w:marRight w:val="0"/>
      <w:marTop w:val="0"/>
      <w:marBottom w:val="0"/>
      <w:divBdr>
        <w:top w:val="none" w:sz="0" w:space="0" w:color="auto"/>
        <w:left w:val="none" w:sz="0" w:space="0" w:color="auto"/>
        <w:bottom w:val="none" w:sz="0" w:space="0" w:color="auto"/>
        <w:right w:val="none" w:sz="0" w:space="0" w:color="auto"/>
      </w:divBdr>
      <w:divsChild>
        <w:div w:id="1847405339">
          <w:marLeft w:val="0"/>
          <w:marRight w:val="0"/>
          <w:marTop w:val="0"/>
          <w:marBottom w:val="0"/>
          <w:divBdr>
            <w:top w:val="none" w:sz="0" w:space="0" w:color="auto"/>
            <w:left w:val="none" w:sz="0" w:space="0" w:color="auto"/>
            <w:bottom w:val="none" w:sz="0" w:space="0" w:color="auto"/>
            <w:right w:val="none" w:sz="0" w:space="0" w:color="auto"/>
          </w:divBdr>
          <w:divsChild>
            <w:div w:id="98336212">
              <w:marLeft w:val="0"/>
              <w:marRight w:val="0"/>
              <w:marTop w:val="0"/>
              <w:marBottom w:val="0"/>
              <w:divBdr>
                <w:top w:val="none" w:sz="0" w:space="0" w:color="auto"/>
                <w:left w:val="none" w:sz="0" w:space="0" w:color="auto"/>
                <w:bottom w:val="none" w:sz="0" w:space="0" w:color="auto"/>
                <w:right w:val="none" w:sz="0" w:space="0" w:color="auto"/>
              </w:divBdr>
              <w:divsChild>
                <w:div w:id="46295805">
                  <w:marLeft w:val="0"/>
                  <w:marRight w:val="0"/>
                  <w:marTop w:val="240"/>
                  <w:marBottom w:val="240"/>
                  <w:divBdr>
                    <w:top w:val="none" w:sz="0" w:space="0" w:color="auto"/>
                    <w:left w:val="none" w:sz="0" w:space="0" w:color="auto"/>
                    <w:bottom w:val="none" w:sz="0" w:space="0" w:color="auto"/>
                    <w:right w:val="none" w:sz="0" w:space="0" w:color="auto"/>
                  </w:divBdr>
                </w:div>
                <w:div w:id="208809570">
                  <w:marLeft w:val="0"/>
                  <w:marRight w:val="0"/>
                  <w:marTop w:val="240"/>
                  <w:marBottom w:val="240"/>
                  <w:divBdr>
                    <w:top w:val="none" w:sz="0" w:space="0" w:color="auto"/>
                    <w:left w:val="none" w:sz="0" w:space="0" w:color="auto"/>
                    <w:bottom w:val="none" w:sz="0" w:space="0" w:color="auto"/>
                    <w:right w:val="none" w:sz="0" w:space="0" w:color="auto"/>
                  </w:divBdr>
                </w:div>
                <w:div w:id="583759570">
                  <w:marLeft w:val="0"/>
                  <w:marRight w:val="0"/>
                  <w:marTop w:val="240"/>
                  <w:marBottom w:val="240"/>
                  <w:divBdr>
                    <w:top w:val="none" w:sz="0" w:space="0" w:color="auto"/>
                    <w:left w:val="none" w:sz="0" w:space="0" w:color="auto"/>
                    <w:bottom w:val="none" w:sz="0" w:space="0" w:color="auto"/>
                    <w:right w:val="none" w:sz="0" w:space="0" w:color="auto"/>
                  </w:divBdr>
                </w:div>
                <w:div w:id="1871264305">
                  <w:marLeft w:val="0"/>
                  <w:marRight w:val="0"/>
                  <w:marTop w:val="240"/>
                  <w:marBottom w:val="240"/>
                  <w:divBdr>
                    <w:top w:val="none" w:sz="0" w:space="0" w:color="auto"/>
                    <w:left w:val="none" w:sz="0" w:space="0" w:color="auto"/>
                    <w:bottom w:val="none" w:sz="0" w:space="0" w:color="auto"/>
                    <w:right w:val="none" w:sz="0" w:space="0" w:color="auto"/>
                  </w:divBdr>
                </w:div>
                <w:div w:id="435490415">
                  <w:marLeft w:val="0"/>
                  <w:marRight w:val="0"/>
                  <w:marTop w:val="240"/>
                  <w:marBottom w:val="240"/>
                  <w:divBdr>
                    <w:top w:val="none" w:sz="0" w:space="0" w:color="auto"/>
                    <w:left w:val="none" w:sz="0" w:space="0" w:color="auto"/>
                    <w:bottom w:val="none" w:sz="0" w:space="0" w:color="auto"/>
                    <w:right w:val="none" w:sz="0" w:space="0" w:color="auto"/>
                  </w:divBdr>
                </w:div>
                <w:div w:id="2126733841">
                  <w:marLeft w:val="0"/>
                  <w:marRight w:val="0"/>
                  <w:marTop w:val="240"/>
                  <w:marBottom w:val="240"/>
                  <w:divBdr>
                    <w:top w:val="none" w:sz="0" w:space="0" w:color="auto"/>
                    <w:left w:val="none" w:sz="0" w:space="0" w:color="auto"/>
                    <w:bottom w:val="none" w:sz="0" w:space="0" w:color="auto"/>
                    <w:right w:val="none" w:sz="0" w:space="0" w:color="auto"/>
                  </w:divBdr>
                </w:div>
                <w:div w:id="59911512">
                  <w:marLeft w:val="0"/>
                  <w:marRight w:val="0"/>
                  <w:marTop w:val="240"/>
                  <w:marBottom w:val="240"/>
                  <w:divBdr>
                    <w:top w:val="none" w:sz="0" w:space="0" w:color="auto"/>
                    <w:left w:val="none" w:sz="0" w:space="0" w:color="auto"/>
                    <w:bottom w:val="none" w:sz="0" w:space="0" w:color="auto"/>
                    <w:right w:val="none" w:sz="0" w:space="0" w:color="auto"/>
                  </w:divBdr>
                </w:div>
                <w:div w:id="1144658806">
                  <w:marLeft w:val="0"/>
                  <w:marRight w:val="0"/>
                  <w:marTop w:val="240"/>
                  <w:marBottom w:val="240"/>
                  <w:divBdr>
                    <w:top w:val="none" w:sz="0" w:space="0" w:color="auto"/>
                    <w:left w:val="none" w:sz="0" w:space="0" w:color="auto"/>
                    <w:bottom w:val="none" w:sz="0" w:space="0" w:color="auto"/>
                    <w:right w:val="none" w:sz="0" w:space="0" w:color="auto"/>
                  </w:divBdr>
                </w:div>
                <w:div w:id="1173761648">
                  <w:marLeft w:val="0"/>
                  <w:marRight w:val="0"/>
                  <w:marTop w:val="240"/>
                  <w:marBottom w:val="240"/>
                  <w:divBdr>
                    <w:top w:val="none" w:sz="0" w:space="0" w:color="auto"/>
                    <w:left w:val="none" w:sz="0" w:space="0" w:color="auto"/>
                    <w:bottom w:val="none" w:sz="0" w:space="0" w:color="auto"/>
                    <w:right w:val="none" w:sz="0" w:space="0" w:color="auto"/>
                  </w:divBdr>
                </w:div>
                <w:div w:id="949242505">
                  <w:marLeft w:val="0"/>
                  <w:marRight w:val="0"/>
                  <w:marTop w:val="240"/>
                  <w:marBottom w:val="240"/>
                  <w:divBdr>
                    <w:top w:val="none" w:sz="0" w:space="0" w:color="auto"/>
                    <w:left w:val="none" w:sz="0" w:space="0" w:color="auto"/>
                    <w:bottom w:val="none" w:sz="0" w:space="0" w:color="auto"/>
                    <w:right w:val="none" w:sz="0" w:space="0" w:color="auto"/>
                  </w:divBdr>
                </w:div>
                <w:div w:id="823469424">
                  <w:marLeft w:val="0"/>
                  <w:marRight w:val="0"/>
                  <w:marTop w:val="240"/>
                  <w:marBottom w:val="240"/>
                  <w:divBdr>
                    <w:top w:val="none" w:sz="0" w:space="0" w:color="auto"/>
                    <w:left w:val="none" w:sz="0" w:space="0" w:color="auto"/>
                    <w:bottom w:val="none" w:sz="0" w:space="0" w:color="auto"/>
                    <w:right w:val="none" w:sz="0" w:space="0" w:color="auto"/>
                  </w:divBdr>
                </w:div>
                <w:div w:id="1054738081">
                  <w:marLeft w:val="0"/>
                  <w:marRight w:val="0"/>
                  <w:marTop w:val="240"/>
                  <w:marBottom w:val="240"/>
                  <w:divBdr>
                    <w:top w:val="none" w:sz="0" w:space="0" w:color="auto"/>
                    <w:left w:val="none" w:sz="0" w:space="0" w:color="auto"/>
                    <w:bottom w:val="none" w:sz="0" w:space="0" w:color="auto"/>
                    <w:right w:val="none" w:sz="0" w:space="0" w:color="auto"/>
                  </w:divBdr>
                </w:div>
                <w:div w:id="789664192">
                  <w:marLeft w:val="0"/>
                  <w:marRight w:val="0"/>
                  <w:marTop w:val="240"/>
                  <w:marBottom w:val="240"/>
                  <w:divBdr>
                    <w:top w:val="none" w:sz="0" w:space="0" w:color="auto"/>
                    <w:left w:val="none" w:sz="0" w:space="0" w:color="auto"/>
                    <w:bottom w:val="none" w:sz="0" w:space="0" w:color="auto"/>
                    <w:right w:val="none" w:sz="0" w:space="0" w:color="auto"/>
                  </w:divBdr>
                </w:div>
                <w:div w:id="1012684928">
                  <w:marLeft w:val="0"/>
                  <w:marRight w:val="0"/>
                  <w:marTop w:val="240"/>
                  <w:marBottom w:val="240"/>
                  <w:divBdr>
                    <w:top w:val="none" w:sz="0" w:space="0" w:color="auto"/>
                    <w:left w:val="none" w:sz="0" w:space="0" w:color="auto"/>
                    <w:bottom w:val="none" w:sz="0" w:space="0" w:color="auto"/>
                    <w:right w:val="none" w:sz="0" w:space="0" w:color="auto"/>
                  </w:divBdr>
                </w:div>
                <w:div w:id="512573019">
                  <w:marLeft w:val="0"/>
                  <w:marRight w:val="0"/>
                  <w:marTop w:val="240"/>
                  <w:marBottom w:val="240"/>
                  <w:divBdr>
                    <w:top w:val="none" w:sz="0" w:space="0" w:color="auto"/>
                    <w:left w:val="none" w:sz="0" w:space="0" w:color="auto"/>
                    <w:bottom w:val="none" w:sz="0" w:space="0" w:color="auto"/>
                    <w:right w:val="none" w:sz="0" w:space="0" w:color="auto"/>
                  </w:divBdr>
                </w:div>
                <w:div w:id="1026448073">
                  <w:marLeft w:val="0"/>
                  <w:marRight w:val="0"/>
                  <w:marTop w:val="240"/>
                  <w:marBottom w:val="240"/>
                  <w:divBdr>
                    <w:top w:val="none" w:sz="0" w:space="0" w:color="auto"/>
                    <w:left w:val="none" w:sz="0" w:space="0" w:color="auto"/>
                    <w:bottom w:val="none" w:sz="0" w:space="0" w:color="auto"/>
                    <w:right w:val="none" w:sz="0" w:space="0" w:color="auto"/>
                  </w:divBdr>
                </w:div>
                <w:div w:id="751700800">
                  <w:marLeft w:val="0"/>
                  <w:marRight w:val="0"/>
                  <w:marTop w:val="240"/>
                  <w:marBottom w:val="240"/>
                  <w:divBdr>
                    <w:top w:val="none" w:sz="0" w:space="0" w:color="auto"/>
                    <w:left w:val="none" w:sz="0" w:space="0" w:color="auto"/>
                    <w:bottom w:val="none" w:sz="0" w:space="0" w:color="auto"/>
                    <w:right w:val="none" w:sz="0" w:space="0" w:color="auto"/>
                  </w:divBdr>
                </w:div>
                <w:div w:id="1154025966">
                  <w:marLeft w:val="0"/>
                  <w:marRight w:val="0"/>
                  <w:marTop w:val="240"/>
                  <w:marBottom w:val="240"/>
                  <w:divBdr>
                    <w:top w:val="none" w:sz="0" w:space="0" w:color="auto"/>
                    <w:left w:val="none" w:sz="0" w:space="0" w:color="auto"/>
                    <w:bottom w:val="none" w:sz="0" w:space="0" w:color="auto"/>
                    <w:right w:val="none" w:sz="0" w:space="0" w:color="auto"/>
                  </w:divBdr>
                </w:div>
                <w:div w:id="1909418003">
                  <w:marLeft w:val="0"/>
                  <w:marRight w:val="0"/>
                  <w:marTop w:val="240"/>
                  <w:marBottom w:val="240"/>
                  <w:divBdr>
                    <w:top w:val="none" w:sz="0" w:space="0" w:color="auto"/>
                    <w:left w:val="none" w:sz="0" w:space="0" w:color="auto"/>
                    <w:bottom w:val="none" w:sz="0" w:space="0" w:color="auto"/>
                    <w:right w:val="none" w:sz="0" w:space="0" w:color="auto"/>
                  </w:divBdr>
                </w:div>
                <w:div w:id="1756121916">
                  <w:marLeft w:val="0"/>
                  <w:marRight w:val="0"/>
                  <w:marTop w:val="240"/>
                  <w:marBottom w:val="240"/>
                  <w:divBdr>
                    <w:top w:val="none" w:sz="0" w:space="0" w:color="auto"/>
                    <w:left w:val="none" w:sz="0" w:space="0" w:color="auto"/>
                    <w:bottom w:val="none" w:sz="0" w:space="0" w:color="auto"/>
                    <w:right w:val="none" w:sz="0" w:space="0" w:color="auto"/>
                  </w:divBdr>
                </w:div>
                <w:div w:id="1023436682">
                  <w:marLeft w:val="0"/>
                  <w:marRight w:val="0"/>
                  <w:marTop w:val="240"/>
                  <w:marBottom w:val="240"/>
                  <w:divBdr>
                    <w:top w:val="none" w:sz="0" w:space="0" w:color="auto"/>
                    <w:left w:val="none" w:sz="0" w:space="0" w:color="auto"/>
                    <w:bottom w:val="none" w:sz="0" w:space="0" w:color="auto"/>
                    <w:right w:val="none" w:sz="0" w:space="0" w:color="auto"/>
                  </w:divBdr>
                </w:div>
                <w:div w:id="1362318247">
                  <w:marLeft w:val="0"/>
                  <w:marRight w:val="0"/>
                  <w:marTop w:val="240"/>
                  <w:marBottom w:val="240"/>
                  <w:divBdr>
                    <w:top w:val="none" w:sz="0" w:space="0" w:color="auto"/>
                    <w:left w:val="none" w:sz="0" w:space="0" w:color="auto"/>
                    <w:bottom w:val="none" w:sz="0" w:space="0" w:color="auto"/>
                    <w:right w:val="none" w:sz="0" w:space="0" w:color="auto"/>
                  </w:divBdr>
                </w:div>
                <w:div w:id="1664503678">
                  <w:marLeft w:val="0"/>
                  <w:marRight w:val="0"/>
                  <w:marTop w:val="240"/>
                  <w:marBottom w:val="240"/>
                  <w:divBdr>
                    <w:top w:val="none" w:sz="0" w:space="0" w:color="auto"/>
                    <w:left w:val="none" w:sz="0" w:space="0" w:color="auto"/>
                    <w:bottom w:val="none" w:sz="0" w:space="0" w:color="auto"/>
                    <w:right w:val="none" w:sz="0" w:space="0" w:color="auto"/>
                  </w:divBdr>
                </w:div>
                <w:div w:id="1575312277">
                  <w:marLeft w:val="0"/>
                  <w:marRight w:val="0"/>
                  <w:marTop w:val="240"/>
                  <w:marBottom w:val="240"/>
                  <w:divBdr>
                    <w:top w:val="none" w:sz="0" w:space="0" w:color="auto"/>
                    <w:left w:val="none" w:sz="0" w:space="0" w:color="auto"/>
                    <w:bottom w:val="none" w:sz="0" w:space="0" w:color="auto"/>
                    <w:right w:val="none" w:sz="0" w:space="0" w:color="auto"/>
                  </w:divBdr>
                </w:div>
                <w:div w:id="81339277">
                  <w:marLeft w:val="0"/>
                  <w:marRight w:val="0"/>
                  <w:marTop w:val="240"/>
                  <w:marBottom w:val="240"/>
                  <w:divBdr>
                    <w:top w:val="none" w:sz="0" w:space="0" w:color="auto"/>
                    <w:left w:val="none" w:sz="0" w:space="0" w:color="auto"/>
                    <w:bottom w:val="none" w:sz="0" w:space="0" w:color="auto"/>
                    <w:right w:val="none" w:sz="0" w:space="0" w:color="auto"/>
                  </w:divBdr>
                </w:div>
                <w:div w:id="692147183">
                  <w:marLeft w:val="0"/>
                  <w:marRight w:val="0"/>
                  <w:marTop w:val="0"/>
                  <w:marBottom w:val="0"/>
                  <w:divBdr>
                    <w:top w:val="none" w:sz="0" w:space="0" w:color="auto"/>
                    <w:left w:val="none" w:sz="0" w:space="0" w:color="auto"/>
                    <w:bottom w:val="none" w:sz="0" w:space="0" w:color="auto"/>
                    <w:right w:val="none" w:sz="0" w:space="0" w:color="auto"/>
                  </w:divBdr>
                  <w:divsChild>
                    <w:div w:id="538519833">
                      <w:marLeft w:val="0"/>
                      <w:marRight w:val="0"/>
                      <w:marTop w:val="300"/>
                      <w:marBottom w:val="180"/>
                      <w:divBdr>
                        <w:top w:val="none" w:sz="0" w:space="0" w:color="auto"/>
                        <w:left w:val="none" w:sz="0" w:space="0" w:color="auto"/>
                        <w:bottom w:val="none" w:sz="0" w:space="0" w:color="auto"/>
                        <w:right w:val="none" w:sz="0" w:space="0" w:color="auto"/>
                      </w:divBdr>
                      <w:divsChild>
                        <w:div w:id="7444964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942377">
          <w:marLeft w:val="0"/>
          <w:marRight w:val="0"/>
          <w:marTop w:val="0"/>
          <w:marBottom w:val="0"/>
          <w:divBdr>
            <w:top w:val="none" w:sz="0" w:space="0" w:color="auto"/>
            <w:left w:val="none" w:sz="0" w:space="0" w:color="auto"/>
            <w:bottom w:val="none" w:sz="0" w:space="0" w:color="auto"/>
            <w:right w:val="none" w:sz="0" w:space="0" w:color="auto"/>
          </w:divBdr>
          <w:divsChild>
            <w:div w:id="91823692">
              <w:marLeft w:val="0"/>
              <w:marRight w:val="0"/>
              <w:marTop w:val="0"/>
              <w:marBottom w:val="0"/>
              <w:divBdr>
                <w:top w:val="none" w:sz="0" w:space="0" w:color="auto"/>
                <w:left w:val="none" w:sz="0" w:space="0" w:color="auto"/>
                <w:bottom w:val="none" w:sz="0" w:space="0" w:color="auto"/>
                <w:right w:val="none" w:sz="0" w:space="0" w:color="auto"/>
              </w:divBdr>
              <w:divsChild>
                <w:div w:id="866600935">
                  <w:marLeft w:val="0"/>
                  <w:marRight w:val="0"/>
                  <w:marTop w:val="0"/>
                  <w:marBottom w:val="0"/>
                  <w:divBdr>
                    <w:top w:val="none" w:sz="0" w:space="0" w:color="auto"/>
                    <w:left w:val="none" w:sz="0" w:space="0" w:color="auto"/>
                    <w:bottom w:val="none" w:sz="0" w:space="0" w:color="auto"/>
                    <w:right w:val="none" w:sz="0" w:space="0" w:color="auto"/>
                  </w:divBdr>
                  <w:divsChild>
                    <w:div w:id="38362870">
                      <w:marLeft w:val="0"/>
                      <w:marRight w:val="0"/>
                      <w:marTop w:val="0"/>
                      <w:marBottom w:val="0"/>
                      <w:divBdr>
                        <w:top w:val="none" w:sz="0" w:space="0" w:color="auto"/>
                        <w:left w:val="none" w:sz="0" w:space="0" w:color="auto"/>
                        <w:bottom w:val="none" w:sz="0" w:space="0" w:color="auto"/>
                        <w:right w:val="none" w:sz="0" w:space="0" w:color="auto"/>
                      </w:divBdr>
                      <w:divsChild>
                        <w:div w:id="120730714">
                          <w:marLeft w:val="0"/>
                          <w:marRight w:val="0"/>
                          <w:marTop w:val="0"/>
                          <w:marBottom w:val="0"/>
                          <w:divBdr>
                            <w:top w:val="none" w:sz="0" w:space="0" w:color="auto"/>
                            <w:left w:val="none" w:sz="0" w:space="0" w:color="auto"/>
                            <w:bottom w:val="none" w:sz="0" w:space="0" w:color="auto"/>
                            <w:right w:val="none" w:sz="0" w:space="0" w:color="auto"/>
                          </w:divBdr>
                          <w:divsChild>
                            <w:div w:id="850997642">
                              <w:marLeft w:val="0"/>
                              <w:marRight w:val="0"/>
                              <w:marTop w:val="0"/>
                              <w:marBottom w:val="0"/>
                              <w:divBdr>
                                <w:top w:val="none" w:sz="0" w:space="0" w:color="auto"/>
                                <w:left w:val="none" w:sz="0" w:space="0" w:color="auto"/>
                                <w:bottom w:val="none" w:sz="0" w:space="0" w:color="auto"/>
                                <w:right w:val="none" w:sz="0" w:space="0" w:color="auto"/>
                              </w:divBdr>
                              <w:divsChild>
                                <w:div w:id="899054585">
                                  <w:marLeft w:val="0"/>
                                  <w:marRight w:val="0"/>
                                  <w:marTop w:val="0"/>
                                  <w:marBottom w:val="0"/>
                                  <w:divBdr>
                                    <w:top w:val="none" w:sz="0" w:space="0" w:color="auto"/>
                                    <w:left w:val="none" w:sz="0" w:space="0" w:color="auto"/>
                                    <w:bottom w:val="none" w:sz="0" w:space="0" w:color="auto"/>
                                    <w:right w:val="none" w:sz="0" w:space="0" w:color="auto"/>
                                  </w:divBdr>
                                </w:div>
                                <w:div w:id="879319869">
                                  <w:marLeft w:val="0"/>
                                  <w:marRight w:val="0"/>
                                  <w:marTop w:val="0"/>
                                  <w:marBottom w:val="0"/>
                                  <w:divBdr>
                                    <w:top w:val="none" w:sz="0" w:space="0" w:color="auto"/>
                                    <w:left w:val="none" w:sz="0" w:space="0" w:color="auto"/>
                                    <w:bottom w:val="none" w:sz="0" w:space="0" w:color="auto"/>
                                    <w:right w:val="none" w:sz="0" w:space="0" w:color="auto"/>
                                  </w:divBdr>
                                </w:div>
                                <w:div w:id="13742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63595">
                          <w:marLeft w:val="0"/>
                          <w:marRight w:val="0"/>
                          <w:marTop w:val="0"/>
                          <w:marBottom w:val="0"/>
                          <w:divBdr>
                            <w:top w:val="none" w:sz="0" w:space="0" w:color="auto"/>
                            <w:left w:val="none" w:sz="0" w:space="0" w:color="auto"/>
                            <w:bottom w:val="none" w:sz="0" w:space="0" w:color="auto"/>
                            <w:right w:val="none" w:sz="0" w:space="0" w:color="auto"/>
                          </w:divBdr>
                          <w:divsChild>
                            <w:div w:id="785080842">
                              <w:marLeft w:val="0"/>
                              <w:marRight w:val="0"/>
                              <w:marTop w:val="0"/>
                              <w:marBottom w:val="0"/>
                              <w:divBdr>
                                <w:top w:val="none" w:sz="0" w:space="0" w:color="auto"/>
                                <w:left w:val="none" w:sz="0" w:space="0" w:color="auto"/>
                                <w:bottom w:val="none" w:sz="0" w:space="0" w:color="auto"/>
                                <w:right w:val="none" w:sz="0" w:space="0" w:color="auto"/>
                              </w:divBdr>
                              <w:divsChild>
                                <w:div w:id="1421101409">
                                  <w:marLeft w:val="0"/>
                                  <w:marRight w:val="0"/>
                                  <w:marTop w:val="0"/>
                                  <w:marBottom w:val="0"/>
                                  <w:divBdr>
                                    <w:top w:val="none" w:sz="0" w:space="0" w:color="auto"/>
                                    <w:left w:val="none" w:sz="0" w:space="0" w:color="auto"/>
                                    <w:bottom w:val="none" w:sz="0" w:space="0" w:color="auto"/>
                                    <w:right w:val="none" w:sz="0" w:space="0" w:color="auto"/>
                                  </w:divBdr>
                                  <w:divsChild>
                                    <w:div w:id="1683894337">
                                      <w:marLeft w:val="0"/>
                                      <w:marRight w:val="0"/>
                                      <w:marTop w:val="0"/>
                                      <w:marBottom w:val="0"/>
                                      <w:divBdr>
                                        <w:top w:val="none" w:sz="0" w:space="0" w:color="auto"/>
                                        <w:left w:val="none" w:sz="0" w:space="0" w:color="auto"/>
                                        <w:bottom w:val="none" w:sz="0" w:space="0" w:color="auto"/>
                                        <w:right w:val="none" w:sz="0" w:space="0" w:color="auto"/>
                                      </w:divBdr>
                                      <w:divsChild>
                                        <w:div w:id="2282622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6088898">
      <w:bodyDiv w:val="1"/>
      <w:marLeft w:val="0"/>
      <w:marRight w:val="0"/>
      <w:marTop w:val="0"/>
      <w:marBottom w:val="0"/>
      <w:divBdr>
        <w:top w:val="none" w:sz="0" w:space="0" w:color="auto"/>
        <w:left w:val="none" w:sz="0" w:space="0" w:color="auto"/>
        <w:bottom w:val="none" w:sz="0" w:space="0" w:color="auto"/>
        <w:right w:val="none" w:sz="0" w:space="0" w:color="auto"/>
      </w:divBdr>
      <w:divsChild>
        <w:div w:id="1448543469">
          <w:marLeft w:val="0"/>
          <w:marRight w:val="0"/>
          <w:marTop w:val="240"/>
          <w:marBottom w:val="240"/>
          <w:divBdr>
            <w:top w:val="none" w:sz="0" w:space="0" w:color="auto"/>
            <w:left w:val="none" w:sz="0" w:space="0" w:color="auto"/>
            <w:bottom w:val="none" w:sz="0" w:space="0" w:color="auto"/>
            <w:right w:val="none" w:sz="0" w:space="0" w:color="auto"/>
          </w:divBdr>
        </w:div>
      </w:divsChild>
    </w:div>
    <w:div w:id="1927955185">
      <w:bodyDiv w:val="1"/>
      <w:marLeft w:val="0"/>
      <w:marRight w:val="0"/>
      <w:marTop w:val="0"/>
      <w:marBottom w:val="0"/>
      <w:divBdr>
        <w:top w:val="none" w:sz="0" w:space="0" w:color="auto"/>
        <w:left w:val="none" w:sz="0" w:space="0" w:color="auto"/>
        <w:bottom w:val="none" w:sz="0" w:space="0" w:color="auto"/>
        <w:right w:val="none" w:sz="0" w:space="0" w:color="auto"/>
      </w:divBdr>
      <w:divsChild>
        <w:div w:id="1203396740">
          <w:marLeft w:val="0"/>
          <w:marRight w:val="0"/>
          <w:marTop w:val="0"/>
          <w:marBottom w:val="0"/>
          <w:divBdr>
            <w:top w:val="none" w:sz="0" w:space="0" w:color="auto"/>
            <w:left w:val="none" w:sz="0" w:space="0" w:color="auto"/>
            <w:bottom w:val="none" w:sz="0" w:space="0" w:color="auto"/>
            <w:right w:val="none" w:sz="0" w:space="0" w:color="auto"/>
          </w:divBdr>
          <w:divsChild>
            <w:div w:id="1243224381">
              <w:marLeft w:val="0"/>
              <w:marRight w:val="0"/>
              <w:marTop w:val="0"/>
              <w:marBottom w:val="0"/>
              <w:divBdr>
                <w:top w:val="none" w:sz="0" w:space="0" w:color="auto"/>
                <w:left w:val="none" w:sz="0" w:space="0" w:color="auto"/>
                <w:bottom w:val="none" w:sz="0" w:space="0" w:color="auto"/>
                <w:right w:val="none" w:sz="0" w:space="0" w:color="auto"/>
              </w:divBdr>
              <w:divsChild>
                <w:div w:id="468666336">
                  <w:marLeft w:val="0"/>
                  <w:marRight w:val="0"/>
                  <w:marTop w:val="240"/>
                  <w:marBottom w:val="240"/>
                  <w:divBdr>
                    <w:top w:val="none" w:sz="0" w:space="0" w:color="auto"/>
                    <w:left w:val="none" w:sz="0" w:space="0" w:color="auto"/>
                    <w:bottom w:val="none" w:sz="0" w:space="0" w:color="auto"/>
                    <w:right w:val="none" w:sz="0" w:space="0" w:color="auto"/>
                  </w:divBdr>
                </w:div>
                <w:div w:id="1921717948">
                  <w:marLeft w:val="0"/>
                  <w:marRight w:val="0"/>
                  <w:marTop w:val="240"/>
                  <w:marBottom w:val="240"/>
                  <w:divBdr>
                    <w:top w:val="none" w:sz="0" w:space="0" w:color="auto"/>
                    <w:left w:val="none" w:sz="0" w:space="0" w:color="auto"/>
                    <w:bottom w:val="none" w:sz="0" w:space="0" w:color="auto"/>
                    <w:right w:val="none" w:sz="0" w:space="0" w:color="auto"/>
                  </w:divBdr>
                </w:div>
                <w:div w:id="747842651">
                  <w:marLeft w:val="0"/>
                  <w:marRight w:val="0"/>
                  <w:marTop w:val="240"/>
                  <w:marBottom w:val="240"/>
                  <w:divBdr>
                    <w:top w:val="none" w:sz="0" w:space="0" w:color="auto"/>
                    <w:left w:val="none" w:sz="0" w:space="0" w:color="auto"/>
                    <w:bottom w:val="none" w:sz="0" w:space="0" w:color="auto"/>
                    <w:right w:val="none" w:sz="0" w:space="0" w:color="auto"/>
                  </w:divBdr>
                </w:div>
                <w:div w:id="813765581">
                  <w:marLeft w:val="0"/>
                  <w:marRight w:val="0"/>
                  <w:marTop w:val="240"/>
                  <w:marBottom w:val="240"/>
                  <w:divBdr>
                    <w:top w:val="none" w:sz="0" w:space="0" w:color="auto"/>
                    <w:left w:val="none" w:sz="0" w:space="0" w:color="auto"/>
                    <w:bottom w:val="none" w:sz="0" w:space="0" w:color="auto"/>
                    <w:right w:val="none" w:sz="0" w:space="0" w:color="auto"/>
                  </w:divBdr>
                </w:div>
                <w:div w:id="821578026">
                  <w:marLeft w:val="0"/>
                  <w:marRight w:val="0"/>
                  <w:marTop w:val="240"/>
                  <w:marBottom w:val="240"/>
                  <w:divBdr>
                    <w:top w:val="none" w:sz="0" w:space="0" w:color="auto"/>
                    <w:left w:val="none" w:sz="0" w:space="0" w:color="auto"/>
                    <w:bottom w:val="none" w:sz="0" w:space="0" w:color="auto"/>
                    <w:right w:val="none" w:sz="0" w:space="0" w:color="auto"/>
                  </w:divBdr>
                </w:div>
                <w:div w:id="2119910295">
                  <w:marLeft w:val="0"/>
                  <w:marRight w:val="0"/>
                  <w:marTop w:val="240"/>
                  <w:marBottom w:val="240"/>
                  <w:divBdr>
                    <w:top w:val="none" w:sz="0" w:space="0" w:color="auto"/>
                    <w:left w:val="none" w:sz="0" w:space="0" w:color="auto"/>
                    <w:bottom w:val="none" w:sz="0" w:space="0" w:color="auto"/>
                    <w:right w:val="none" w:sz="0" w:space="0" w:color="auto"/>
                  </w:divBdr>
                </w:div>
                <w:div w:id="29961831">
                  <w:marLeft w:val="0"/>
                  <w:marRight w:val="0"/>
                  <w:marTop w:val="240"/>
                  <w:marBottom w:val="240"/>
                  <w:divBdr>
                    <w:top w:val="none" w:sz="0" w:space="0" w:color="auto"/>
                    <w:left w:val="none" w:sz="0" w:space="0" w:color="auto"/>
                    <w:bottom w:val="none" w:sz="0" w:space="0" w:color="auto"/>
                    <w:right w:val="none" w:sz="0" w:space="0" w:color="auto"/>
                  </w:divBdr>
                </w:div>
                <w:div w:id="1146318084">
                  <w:marLeft w:val="0"/>
                  <w:marRight w:val="0"/>
                  <w:marTop w:val="240"/>
                  <w:marBottom w:val="240"/>
                  <w:divBdr>
                    <w:top w:val="none" w:sz="0" w:space="0" w:color="auto"/>
                    <w:left w:val="none" w:sz="0" w:space="0" w:color="auto"/>
                    <w:bottom w:val="none" w:sz="0" w:space="0" w:color="auto"/>
                    <w:right w:val="none" w:sz="0" w:space="0" w:color="auto"/>
                  </w:divBdr>
                </w:div>
                <w:div w:id="1515339679">
                  <w:marLeft w:val="0"/>
                  <w:marRight w:val="0"/>
                  <w:marTop w:val="240"/>
                  <w:marBottom w:val="240"/>
                  <w:divBdr>
                    <w:top w:val="none" w:sz="0" w:space="0" w:color="auto"/>
                    <w:left w:val="none" w:sz="0" w:space="0" w:color="auto"/>
                    <w:bottom w:val="none" w:sz="0" w:space="0" w:color="auto"/>
                    <w:right w:val="none" w:sz="0" w:space="0" w:color="auto"/>
                  </w:divBdr>
                </w:div>
                <w:div w:id="1316571043">
                  <w:marLeft w:val="0"/>
                  <w:marRight w:val="0"/>
                  <w:marTop w:val="240"/>
                  <w:marBottom w:val="240"/>
                  <w:divBdr>
                    <w:top w:val="none" w:sz="0" w:space="0" w:color="auto"/>
                    <w:left w:val="none" w:sz="0" w:space="0" w:color="auto"/>
                    <w:bottom w:val="none" w:sz="0" w:space="0" w:color="auto"/>
                    <w:right w:val="none" w:sz="0" w:space="0" w:color="auto"/>
                  </w:divBdr>
                </w:div>
                <w:div w:id="1136989039">
                  <w:marLeft w:val="0"/>
                  <w:marRight w:val="0"/>
                  <w:marTop w:val="240"/>
                  <w:marBottom w:val="240"/>
                  <w:divBdr>
                    <w:top w:val="none" w:sz="0" w:space="0" w:color="auto"/>
                    <w:left w:val="none" w:sz="0" w:space="0" w:color="auto"/>
                    <w:bottom w:val="none" w:sz="0" w:space="0" w:color="auto"/>
                    <w:right w:val="none" w:sz="0" w:space="0" w:color="auto"/>
                  </w:divBdr>
                </w:div>
                <w:div w:id="455682653">
                  <w:marLeft w:val="0"/>
                  <w:marRight w:val="0"/>
                  <w:marTop w:val="240"/>
                  <w:marBottom w:val="240"/>
                  <w:divBdr>
                    <w:top w:val="none" w:sz="0" w:space="0" w:color="auto"/>
                    <w:left w:val="none" w:sz="0" w:space="0" w:color="auto"/>
                    <w:bottom w:val="none" w:sz="0" w:space="0" w:color="auto"/>
                    <w:right w:val="none" w:sz="0" w:space="0" w:color="auto"/>
                  </w:divBdr>
                </w:div>
                <w:div w:id="1370953312">
                  <w:marLeft w:val="0"/>
                  <w:marRight w:val="0"/>
                  <w:marTop w:val="240"/>
                  <w:marBottom w:val="240"/>
                  <w:divBdr>
                    <w:top w:val="none" w:sz="0" w:space="0" w:color="auto"/>
                    <w:left w:val="none" w:sz="0" w:space="0" w:color="auto"/>
                    <w:bottom w:val="none" w:sz="0" w:space="0" w:color="auto"/>
                    <w:right w:val="none" w:sz="0" w:space="0" w:color="auto"/>
                  </w:divBdr>
                </w:div>
                <w:div w:id="1562400021">
                  <w:marLeft w:val="0"/>
                  <w:marRight w:val="0"/>
                  <w:marTop w:val="240"/>
                  <w:marBottom w:val="240"/>
                  <w:divBdr>
                    <w:top w:val="none" w:sz="0" w:space="0" w:color="auto"/>
                    <w:left w:val="none" w:sz="0" w:space="0" w:color="auto"/>
                    <w:bottom w:val="none" w:sz="0" w:space="0" w:color="auto"/>
                    <w:right w:val="none" w:sz="0" w:space="0" w:color="auto"/>
                  </w:divBdr>
                </w:div>
                <w:div w:id="583034931">
                  <w:marLeft w:val="0"/>
                  <w:marRight w:val="0"/>
                  <w:marTop w:val="240"/>
                  <w:marBottom w:val="240"/>
                  <w:divBdr>
                    <w:top w:val="none" w:sz="0" w:space="0" w:color="auto"/>
                    <w:left w:val="none" w:sz="0" w:space="0" w:color="auto"/>
                    <w:bottom w:val="none" w:sz="0" w:space="0" w:color="auto"/>
                    <w:right w:val="none" w:sz="0" w:space="0" w:color="auto"/>
                  </w:divBdr>
                </w:div>
                <w:div w:id="141700558">
                  <w:marLeft w:val="0"/>
                  <w:marRight w:val="0"/>
                  <w:marTop w:val="240"/>
                  <w:marBottom w:val="240"/>
                  <w:divBdr>
                    <w:top w:val="none" w:sz="0" w:space="0" w:color="auto"/>
                    <w:left w:val="none" w:sz="0" w:space="0" w:color="auto"/>
                    <w:bottom w:val="none" w:sz="0" w:space="0" w:color="auto"/>
                    <w:right w:val="none" w:sz="0" w:space="0" w:color="auto"/>
                  </w:divBdr>
                </w:div>
                <w:div w:id="1137533272">
                  <w:marLeft w:val="0"/>
                  <w:marRight w:val="0"/>
                  <w:marTop w:val="240"/>
                  <w:marBottom w:val="240"/>
                  <w:divBdr>
                    <w:top w:val="none" w:sz="0" w:space="0" w:color="auto"/>
                    <w:left w:val="none" w:sz="0" w:space="0" w:color="auto"/>
                    <w:bottom w:val="none" w:sz="0" w:space="0" w:color="auto"/>
                    <w:right w:val="none" w:sz="0" w:space="0" w:color="auto"/>
                  </w:divBdr>
                </w:div>
                <w:div w:id="15736385">
                  <w:marLeft w:val="0"/>
                  <w:marRight w:val="0"/>
                  <w:marTop w:val="240"/>
                  <w:marBottom w:val="240"/>
                  <w:divBdr>
                    <w:top w:val="none" w:sz="0" w:space="0" w:color="auto"/>
                    <w:left w:val="none" w:sz="0" w:space="0" w:color="auto"/>
                    <w:bottom w:val="none" w:sz="0" w:space="0" w:color="auto"/>
                    <w:right w:val="none" w:sz="0" w:space="0" w:color="auto"/>
                  </w:divBdr>
                </w:div>
                <w:div w:id="1004169261">
                  <w:marLeft w:val="0"/>
                  <w:marRight w:val="0"/>
                  <w:marTop w:val="240"/>
                  <w:marBottom w:val="240"/>
                  <w:divBdr>
                    <w:top w:val="none" w:sz="0" w:space="0" w:color="auto"/>
                    <w:left w:val="none" w:sz="0" w:space="0" w:color="auto"/>
                    <w:bottom w:val="none" w:sz="0" w:space="0" w:color="auto"/>
                    <w:right w:val="none" w:sz="0" w:space="0" w:color="auto"/>
                  </w:divBdr>
                </w:div>
                <w:div w:id="855077706">
                  <w:marLeft w:val="0"/>
                  <w:marRight w:val="0"/>
                  <w:marTop w:val="240"/>
                  <w:marBottom w:val="240"/>
                  <w:divBdr>
                    <w:top w:val="none" w:sz="0" w:space="0" w:color="auto"/>
                    <w:left w:val="none" w:sz="0" w:space="0" w:color="auto"/>
                    <w:bottom w:val="none" w:sz="0" w:space="0" w:color="auto"/>
                    <w:right w:val="none" w:sz="0" w:space="0" w:color="auto"/>
                  </w:divBdr>
                </w:div>
                <w:div w:id="218975630">
                  <w:marLeft w:val="0"/>
                  <w:marRight w:val="0"/>
                  <w:marTop w:val="240"/>
                  <w:marBottom w:val="240"/>
                  <w:divBdr>
                    <w:top w:val="none" w:sz="0" w:space="0" w:color="auto"/>
                    <w:left w:val="none" w:sz="0" w:space="0" w:color="auto"/>
                    <w:bottom w:val="none" w:sz="0" w:space="0" w:color="auto"/>
                    <w:right w:val="none" w:sz="0" w:space="0" w:color="auto"/>
                  </w:divBdr>
                </w:div>
                <w:div w:id="1956715951">
                  <w:marLeft w:val="0"/>
                  <w:marRight w:val="0"/>
                  <w:marTop w:val="0"/>
                  <w:marBottom w:val="0"/>
                  <w:divBdr>
                    <w:top w:val="none" w:sz="0" w:space="0" w:color="auto"/>
                    <w:left w:val="none" w:sz="0" w:space="0" w:color="auto"/>
                    <w:bottom w:val="none" w:sz="0" w:space="0" w:color="auto"/>
                    <w:right w:val="none" w:sz="0" w:space="0" w:color="auto"/>
                  </w:divBdr>
                  <w:divsChild>
                    <w:div w:id="178979193">
                      <w:marLeft w:val="0"/>
                      <w:marRight w:val="0"/>
                      <w:marTop w:val="300"/>
                      <w:marBottom w:val="180"/>
                      <w:divBdr>
                        <w:top w:val="none" w:sz="0" w:space="0" w:color="auto"/>
                        <w:left w:val="none" w:sz="0" w:space="0" w:color="auto"/>
                        <w:bottom w:val="none" w:sz="0" w:space="0" w:color="auto"/>
                        <w:right w:val="none" w:sz="0" w:space="0" w:color="auto"/>
                      </w:divBdr>
                      <w:divsChild>
                        <w:div w:id="14131187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26595">
          <w:marLeft w:val="0"/>
          <w:marRight w:val="0"/>
          <w:marTop w:val="0"/>
          <w:marBottom w:val="0"/>
          <w:divBdr>
            <w:top w:val="none" w:sz="0" w:space="0" w:color="auto"/>
            <w:left w:val="none" w:sz="0" w:space="0" w:color="auto"/>
            <w:bottom w:val="none" w:sz="0" w:space="0" w:color="auto"/>
            <w:right w:val="none" w:sz="0" w:space="0" w:color="auto"/>
          </w:divBdr>
          <w:divsChild>
            <w:div w:id="966549426">
              <w:marLeft w:val="0"/>
              <w:marRight w:val="0"/>
              <w:marTop w:val="0"/>
              <w:marBottom w:val="0"/>
              <w:divBdr>
                <w:top w:val="none" w:sz="0" w:space="0" w:color="auto"/>
                <w:left w:val="none" w:sz="0" w:space="0" w:color="auto"/>
                <w:bottom w:val="none" w:sz="0" w:space="0" w:color="auto"/>
                <w:right w:val="none" w:sz="0" w:space="0" w:color="auto"/>
              </w:divBdr>
              <w:divsChild>
                <w:div w:id="1862623574">
                  <w:marLeft w:val="0"/>
                  <w:marRight w:val="0"/>
                  <w:marTop w:val="0"/>
                  <w:marBottom w:val="0"/>
                  <w:divBdr>
                    <w:top w:val="none" w:sz="0" w:space="0" w:color="auto"/>
                    <w:left w:val="none" w:sz="0" w:space="0" w:color="auto"/>
                    <w:bottom w:val="none" w:sz="0" w:space="0" w:color="auto"/>
                    <w:right w:val="none" w:sz="0" w:space="0" w:color="auto"/>
                  </w:divBdr>
                  <w:divsChild>
                    <w:div w:id="492646723">
                      <w:marLeft w:val="0"/>
                      <w:marRight w:val="0"/>
                      <w:marTop w:val="0"/>
                      <w:marBottom w:val="0"/>
                      <w:divBdr>
                        <w:top w:val="none" w:sz="0" w:space="0" w:color="auto"/>
                        <w:left w:val="none" w:sz="0" w:space="0" w:color="auto"/>
                        <w:bottom w:val="none" w:sz="0" w:space="0" w:color="auto"/>
                        <w:right w:val="none" w:sz="0" w:space="0" w:color="auto"/>
                      </w:divBdr>
                      <w:divsChild>
                        <w:div w:id="1000932198">
                          <w:marLeft w:val="0"/>
                          <w:marRight w:val="0"/>
                          <w:marTop w:val="0"/>
                          <w:marBottom w:val="0"/>
                          <w:divBdr>
                            <w:top w:val="none" w:sz="0" w:space="0" w:color="auto"/>
                            <w:left w:val="none" w:sz="0" w:space="0" w:color="auto"/>
                            <w:bottom w:val="none" w:sz="0" w:space="0" w:color="auto"/>
                            <w:right w:val="none" w:sz="0" w:space="0" w:color="auto"/>
                          </w:divBdr>
                          <w:divsChild>
                            <w:div w:id="1125856438">
                              <w:marLeft w:val="0"/>
                              <w:marRight w:val="0"/>
                              <w:marTop w:val="0"/>
                              <w:marBottom w:val="0"/>
                              <w:divBdr>
                                <w:top w:val="none" w:sz="0" w:space="0" w:color="auto"/>
                                <w:left w:val="none" w:sz="0" w:space="0" w:color="auto"/>
                                <w:bottom w:val="none" w:sz="0" w:space="0" w:color="auto"/>
                                <w:right w:val="none" w:sz="0" w:space="0" w:color="auto"/>
                              </w:divBdr>
                              <w:divsChild>
                                <w:div w:id="1403328819">
                                  <w:marLeft w:val="0"/>
                                  <w:marRight w:val="0"/>
                                  <w:marTop w:val="0"/>
                                  <w:marBottom w:val="0"/>
                                  <w:divBdr>
                                    <w:top w:val="none" w:sz="0" w:space="0" w:color="auto"/>
                                    <w:left w:val="none" w:sz="0" w:space="0" w:color="auto"/>
                                    <w:bottom w:val="none" w:sz="0" w:space="0" w:color="auto"/>
                                    <w:right w:val="none" w:sz="0" w:space="0" w:color="auto"/>
                                  </w:divBdr>
                                </w:div>
                                <w:div w:id="1456755354">
                                  <w:marLeft w:val="0"/>
                                  <w:marRight w:val="0"/>
                                  <w:marTop w:val="0"/>
                                  <w:marBottom w:val="0"/>
                                  <w:divBdr>
                                    <w:top w:val="none" w:sz="0" w:space="0" w:color="auto"/>
                                    <w:left w:val="none" w:sz="0" w:space="0" w:color="auto"/>
                                    <w:bottom w:val="none" w:sz="0" w:space="0" w:color="auto"/>
                                    <w:right w:val="none" w:sz="0" w:space="0" w:color="auto"/>
                                  </w:divBdr>
                                </w:div>
                                <w:div w:id="922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28607">
                          <w:marLeft w:val="0"/>
                          <w:marRight w:val="0"/>
                          <w:marTop w:val="0"/>
                          <w:marBottom w:val="0"/>
                          <w:divBdr>
                            <w:top w:val="none" w:sz="0" w:space="0" w:color="auto"/>
                            <w:left w:val="none" w:sz="0" w:space="0" w:color="auto"/>
                            <w:bottom w:val="none" w:sz="0" w:space="0" w:color="auto"/>
                            <w:right w:val="none" w:sz="0" w:space="0" w:color="auto"/>
                          </w:divBdr>
                          <w:divsChild>
                            <w:div w:id="1247616428">
                              <w:marLeft w:val="0"/>
                              <w:marRight w:val="0"/>
                              <w:marTop w:val="0"/>
                              <w:marBottom w:val="0"/>
                              <w:divBdr>
                                <w:top w:val="none" w:sz="0" w:space="0" w:color="auto"/>
                                <w:left w:val="none" w:sz="0" w:space="0" w:color="auto"/>
                                <w:bottom w:val="none" w:sz="0" w:space="0" w:color="auto"/>
                                <w:right w:val="none" w:sz="0" w:space="0" w:color="auto"/>
                              </w:divBdr>
                              <w:divsChild>
                                <w:div w:id="2141418656">
                                  <w:marLeft w:val="0"/>
                                  <w:marRight w:val="0"/>
                                  <w:marTop w:val="0"/>
                                  <w:marBottom w:val="0"/>
                                  <w:divBdr>
                                    <w:top w:val="none" w:sz="0" w:space="0" w:color="auto"/>
                                    <w:left w:val="none" w:sz="0" w:space="0" w:color="auto"/>
                                    <w:bottom w:val="none" w:sz="0" w:space="0" w:color="auto"/>
                                    <w:right w:val="none" w:sz="0" w:space="0" w:color="auto"/>
                                  </w:divBdr>
                                  <w:divsChild>
                                    <w:div w:id="1585265354">
                                      <w:marLeft w:val="0"/>
                                      <w:marRight w:val="0"/>
                                      <w:marTop w:val="0"/>
                                      <w:marBottom w:val="0"/>
                                      <w:divBdr>
                                        <w:top w:val="none" w:sz="0" w:space="0" w:color="auto"/>
                                        <w:left w:val="none" w:sz="0" w:space="0" w:color="auto"/>
                                        <w:bottom w:val="none" w:sz="0" w:space="0" w:color="auto"/>
                                        <w:right w:val="none" w:sz="0" w:space="0" w:color="auto"/>
                                      </w:divBdr>
                                      <w:divsChild>
                                        <w:div w:id="173049134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7150355">
      <w:bodyDiv w:val="1"/>
      <w:marLeft w:val="0"/>
      <w:marRight w:val="0"/>
      <w:marTop w:val="0"/>
      <w:marBottom w:val="0"/>
      <w:divBdr>
        <w:top w:val="none" w:sz="0" w:space="0" w:color="auto"/>
        <w:left w:val="none" w:sz="0" w:space="0" w:color="auto"/>
        <w:bottom w:val="none" w:sz="0" w:space="0" w:color="auto"/>
        <w:right w:val="none" w:sz="0" w:space="0" w:color="auto"/>
      </w:divBdr>
    </w:div>
    <w:div w:id="197618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103/0974-2077.150734" TargetMode="External"/><Relationship Id="rId18" Type="http://schemas.openxmlformats.org/officeDocument/2006/relationships/hyperlink" Target="https://doi.org/10.1093/intimm/dxq431" TargetMode="External"/><Relationship Id="rId26" Type="http://schemas.openxmlformats.org/officeDocument/2006/relationships/hyperlink" Target="https://doi.org/10.2334/josnusd.55.225" TargetMode="External"/><Relationship Id="rId3" Type="http://schemas.openxmlformats.org/officeDocument/2006/relationships/styles" Target="styles.xml"/><Relationship Id="rId21" Type="http://schemas.openxmlformats.org/officeDocument/2006/relationships/hyperlink" Target="https://doi.org/10.1136/bmjopen-2022-062183"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16/s0140-6736(20)32340-0" TargetMode="External"/><Relationship Id="rId17" Type="http://schemas.openxmlformats.org/officeDocument/2006/relationships/hyperlink" Target="https://doi.org/10.1007/s00210-018-1483-7" TargetMode="External"/><Relationship Id="rId25" Type="http://schemas.openxmlformats.org/officeDocument/2006/relationships/hyperlink" Target="https://doi.org/10.3967/bes2015.006"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5850/amj.v7n4.1960" TargetMode="External"/><Relationship Id="rId20" Type="http://schemas.openxmlformats.org/officeDocument/2006/relationships/hyperlink" Target="https://doi.org/10.1186/s12891-022-05458-8" TargetMode="External"/><Relationship Id="rId29" Type="http://schemas.openxmlformats.org/officeDocument/2006/relationships/hyperlink" Target="https://doi.org/10.1016/j.intimp.2026.1162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tripleo.2005.07.011" TargetMode="External"/><Relationship Id="rId24" Type="http://schemas.openxmlformats.org/officeDocument/2006/relationships/hyperlink" Target="https://doi.org/10.1007/s10561-011-9285-x"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4103/jpbs.jpbs_435_23" TargetMode="External"/><Relationship Id="rId23" Type="http://schemas.openxmlformats.org/officeDocument/2006/relationships/hyperlink" Target="https://doi.org/10.1159/000469704" TargetMode="External"/><Relationship Id="rId28" Type="http://schemas.openxmlformats.org/officeDocument/2006/relationships/hyperlink" Target="https://doi.org/10.3389/fmed.2021.724488" TargetMode="External"/><Relationship Id="rId10" Type="http://schemas.openxmlformats.org/officeDocument/2006/relationships/hyperlink" Target="https://doi.org/10.3390/bioengineering11060525" TargetMode="External"/><Relationship Id="rId19" Type="http://schemas.openxmlformats.org/officeDocument/2006/relationships/hyperlink" Target="https://doi.org/10.1016/S1521-6942(03)00023-8" TargetMode="External"/><Relationship Id="rId31" Type="http://schemas.openxmlformats.org/officeDocument/2006/relationships/hyperlink" Target="https://doi.org/10.1007/s12663-025-02435-1" TargetMode="External"/><Relationship Id="rId4" Type="http://schemas.openxmlformats.org/officeDocument/2006/relationships/settings" Target="settings.xml"/><Relationship Id="rId9" Type="http://schemas.openxmlformats.org/officeDocument/2006/relationships/hyperlink" Target="https://doi.org/10.2147/btt.s290341" TargetMode="External"/><Relationship Id="rId14" Type="http://schemas.openxmlformats.org/officeDocument/2006/relationships/hyperlink" Target="https://doi.org/10.1016/j.tibtech.2008.11.009" TargetMode="External"/><Relationship Id="rId22" Type="http://schemas.openxmlformats.org/officeDocument/2006/relationships/hyperlink" Target="https://doi.org/10.1016/j.injury.2011.03.031" TargetMode="External"/><Relationship Id="rId27" Type="http://schemas.openxmlformats.org/officeDocument/2006/relationships/hyperlink" Target="https://doi.org/10.1016/j.sdentj.2023.10.017" TargetMode="External"/><Relationship Id="rId30" Type="http://schemas.openxmlformats.org/officeDocument/2006/relationships/hyperlink" Target="https://s100.copyright.com/AppDispatchServlet?publisherName=ELS&amp;contentID=S1567576926001013&amp;orderBeanReset=true"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76C46-B710-4759-B17F-93911F076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647</TotalTime>
  <Pages>22</Pages>
  <Words>5175</Words>
  <Characters>29498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Unknown</cp:lastModifiedBy>
  <cp:revision>44</cp:revision>
  <dcterms:created xsi:type="dcterms:W3CDTF">2026-05-12T11:58:00Z</dcterms:created>
  <dcterms:modified xsi:type="dcterms:W3CDTF">2026-06-14T19:54:00Z</dcterms:modified>
</cp:coreProperties>
</file>