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04671" w14:textId="5A1E950C" w:rsidR="005655D1" w:rsidRPr="00984C3A" w:rsidRDefault="00214259" w:rsidP="005B52C5">
      <w:pPr>
        <w:spacing w:line="360" w:lineRule="auto"/>
        <w:jc w:val="center"/>
        <w:rPr>
          <w:rFonts w:asciiTheme="majorBidi" w:hAnsiTheme="majorBidi" w:cstheme="majorBidi"/>
        </w:rPr>
      </w:pPr>
      <w:r w:rsidRPr="00984C3A">
        <w:rPr>
          <w:rFonts w:asciiTheme="majorBidi" w:hAnsiTheme="majorBidi" w:cstheme="majorBidi"/>
          <w:b/>
          <w:bCs/>
        </w:rPr>
        <w:t>Parasitological and molecular investigation of </w:t>
      </w:r>
      <w:r w:rsidR="005B52C5">
        <w:rPr>
          <w:rFonts w:asciiTheme="majorBidi" w:hAnsiTheme="majorBidi" w:cstheme="majorBidi"/>
          <w:b/>
          <w:bCs/>
          <w:i/>
          <w:iCs/>
        </w:rPr>
        <w:t>E</w:t>
      </w:r>
      <w:r w:rsidRPr="00984C3A">
        <w:rPr>
          <w:rFonts w:asciiTheme="majorBidi" w:hAnsiTheme="majorBidi" w:cstheme="majorBidi"/>
          <w:b/>
          <w:bCs/>
          <w:i/>
          <w:iCs/>
        </w:rPr>
        <w:t>imeria</w:t>
      </w:r>
      <w:r w:rsidRPr="00984C3A">
        <w:rPr>
          <w:rFonts w:asciiTheme="majorBidi" w:hAnsiTheme="majorBidi" w:cstheme="majorBidi"/>
          <w:b/>
          <w:bCs/>
        </w:rPr>
        <w:t> spp.</w:t>
      </w:r>
      <w:r w:rsidRPr="00984C3A">
        <w:rPr>
          <w:rFonts w:asciiTheme="majorBidi" w:hAnsiTheme="majorBidi" w:cstheme="majorBidi"/>
          <w:b/>
          <w:bCs/>
        </w:rPr>
        <w:br/>
        <w:t>And </w:t>
      </w:r>
      <w:r w:rsidRPr="00984C3A">
        <w:rPr>
          <w:rFonts w:asciiTheme="majorBidi" w:hAnsiTheme="majorBidi" w:cstheme="majorBidi"/>
          <w:b/>
          <w:bCs/>
          <w:i/>
          <w:iCs/>
        </w:rPr>
        <w:t>cryptosporidium</w:t>
      </w:r>
      <w:r w:rsidRPr="00984C3A">
        <w:rPr>
          <w:rFonts w:asciiTheme="majorBidi" w:hAnsiTheme="majorBidi" w:cstheme="majorBidi"/>
          <w:b/>
          <w:bCs/>
        </w:rPr>
        <w:t xml:space="preserve"> spp. In broiler chickens in </w:t>
      </w:r>
      <w:r w:rsidR="005B52C5">
        <w:rPr>
          <w:rFonts w:asciiTheme="majorBidi" w:hAnsiTheme="majorBidi" w:cstheme="majorBidi"/>
          <w:b/>
          <w:bCs/>
        </w:rPr>
        <w:t>J</w:t>
      </w:r>
      <w:r w:rsidRPr="00984C3A">
        <w:rPr>
          <w:rFonts w:asciiTheme="majorBidi" w:hAnsiTheme="majorBidi" w:cstheme="majorBidi"/>
          <w:b/>
          <w:bCs/>
        </w:rPr>
        <w:t>ordan</w:t>
      </w:r>
    </w:p>
    <w:p w14:paraId="5F04763B" w14:textId="15859C28"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FM Hayajneh</w:t>
      </w:r>
      <w:r w:rsidR="00214259" w:rsidRPr="00984C3A">
        <w:rPr>
          <w:rFonts w:asciiTheme="majorBidi" w:hAnsiTheme="majorBidi" w:cstheme="majorBidi"/>
          <w:vertAlign w:val="superscript"/>
        </w:rPr>
        <w:t xml:space="preserve"> l</w:t>
      </w:r>
      <w:r w:rsidRPr="00984C3A">
        <w:rPr>
          <w:rFonts w:asciiTheme="majorBidi" w:hAnsiTheme="majorBidi" w:cstheme="majorBidi"/>
        </w:rPr>
        <w:t>, M Jala</w:t>
      </w:r>
      <w:r w:rsidR="00214259" w:rsidRPr="00984C3A">
        <w:rPr>
          <w:rFonts w:asciiTheme="majorBidi" w:hAnsiTheme="majorBidi" w:cstheme="majorBidi"/>
        </w:rPr>
        <w:t xml:space="preserve">l </w:t>
      </w:r>
      <w:r w:rsidRPr="00984C3A">
        <w:rPr>
          <w:rFonts w:asciiTheme="majorBidi" w:hAnsiTheme="majorBidi" w:cstheme="majorBidi"/>
          <w:vertAlign w:val="superscript"/>
        </w:rPr>
        <w:t>l</w:t>
      </w:r>
      <w:r w:rsidRPr="00984C3A">
        <w:rPr>
          <w:rFonts w:asciiTheme="majorBidi" w:hAnsiTheme="majorBidi" w:cstheme="majorBidi"/>
        </w:rPr>
        <w:t>, H Zakaria</w:t>
      </w:r>
      <w:r w:rsidR="00214259" w:rsidRPr="00984C3A">
        <w:rPr>
          <w:rFonts w:asciiTheme="majorBidi" w:hAnsiTheme="majorBidi" w:cstheme="majorBidi"/>
          <w:vertAlign w:val="superscript"/>
        </w:rPr>
        <w:t>1</w:t>
      </w:r>
    </w:p>
    <w:p w14:paraId="253F2B51" w14:textId="33DC1B54" w:rsidR="00214259" w:rsidRPr="00984C3A" w:rsidRDefault="005B52C5" w:rsidP="001157B9">
      <w:pPr>
        <w:spacing w:line="360" w:lineRule="auto"/>
        <w:jc w:val="both"/>
        <w:rPr>
          <w:rFonts w:asciiTheme="majorBidi" w:hAnsiTheme="majorBidi" w:cstheme="majorBidi"/>
        </w:rPr>
      </w:pPr>
      <w:r w:rsidRPr="005B52C5">
        <w:rPr>
          <w:rFonts w:asciiTheme="majorBidi" w:hAnsiTheme="majorBidi" w:cstheme="majorBidi"/>
          <w:vertAlign w:val="superscript"/>
        </w:rPr>
        <w:t>1</w:t>
      </w:r>
      <w:r w:rsidR="005655D1" w:rsidRPr="00984C3A">
        <w:rPr>
          <w:rFonts w:asciiTheme="majorBidi" w:hAnsiTheme="majorBidi" w:cstheme="majorBidi"/>
        </w:rPr>
        <w:t>The University of Jordan, Department of animal production, Amman, Jordan</w:t>
      </w:r>
    </w:p>
    <w:p w14:paraId="4938A048" w14:textId="5C4D4482" w:rsidR="005655D1" w:rsidRPr="00984C3A" w:rsidRDefault="00214259" w:rsidP="001157B9">
      <w:pPr>
        <w:spacing w:line="360" w:lineRule="auto"/>
        <w:jc w:val="both"/>
        <w:rPr>
          <w:rFonts w:asciiTheme="majorBidi" w:hAnsiTheme="majorBidi" w:cstheme="majorBidi"/>
        </w:rPr>
      </w:pPr>
      <w:r w:rsidRPr="00984C3A">
        <w:rPr>
          <w:rFonts w:asciiTheme="majorBidi" w:hAnsiTheme="majorBidi" w:cstheme="majorBidi"/>
        </w:rPr>
        <w:t>Corresponding author:</w:t>
      </w:r>
      <w:r w:rsidR="005655D1" w:rsidRPr="00984C3A">
        <w:rPr>
          <w:rFonts w:asciiTheme="majorBidi" w:hAnsiTheme="majorBidi" w:cstheme="majorBidi"/>
        </w:rPr>
        <w:t> firashope@gmail.com</w:t>
      </w:r>
    </w:p>
    <w:p w14:paraId="1C69C4BF" w14:textId="77777777" w:rsidR="005655D1" w:rsidRPr="00984C3A" w:rsidRDefault="005655D1" w:rsidP="001157B9">
      <w:pPr>
        <w:pStyle w:val="Heading1"/>
        <w:spacing w:line="360" w:lineRule="auto"/>
        <w:jc w:val="both"/>
      </w:pPr>
      <w:r w:rsidRPr="00984C3A">
        <w:t>Abstract</w:t>
      </w:r>
    </w:p>
    <w:p w14:paraId="20AD9E04" w14:textId="790A4237" w:rsidR="005655D1" w:rsidRPr="00984C3A" w:rsidRDefault="001157B9" w:rsidP="00681FB4">
      <w:pPr>
        <w:spacing w:line="360" w:lineRule="auto"/>
        <w:jc w:val="both"/>
        <w:rPr>
          <w:rFonts w:asciiTheme="majorBidi" w:hAnsiTheme="majorBidi" w:cstheme="majorBidi"/>
        </w:rPr>
      </w:pPr>
      <w:r>
        <w:rPr>
          <w:rFonts w:asciiTheme="majorBidi" w:hAnsiTheme="majorBidi" w:cstheme="majorBidi"/>
          <w:b/>
          <w:bCs/>
        </w:rPr>
        <w:t>P</w:t>
      </w:r>
      <w:r w:rsidRPr="001157B9">
        <w:rPr>
          <w:rFonts w:asciiTheme="majorBidi" w:hAnsiTheme="majorBidi" w:cstheme="majorBidi"/>
          <w:b/>
          <w:bCs/>
        </w:rPr>
        <w:t>urpose of study</w:t>
      </w:r>
      <w:r w:rsidR="005655D1" w:rsidRPr="00984C3A">
        <w:rPr>
          <w:rFonts w:asciiTheme="majorBidi" w:hAnsiTheme="majorBidi" w:cstheme="majorBidi"/>
          <w:b/>
          <w:bCs/>
        </w:rPr>
        <w:t>:</w:t>
      </w:r>
      <w:r w:rsidR="005655D1" w:rsidRPr="00984C3A">
        <w:rPr>
          <w:rFonts w:asciiTheme="majorBidi" w:hAnsiTheme="majorBidi" w:cstheme="majorBidi"/>
        </w:rPr>
        <w:t> Avian coccidiosis caused by </w:t>
      </w:r>
      <w:r w:rsidR="005655D1" w:rsidRPr="00984C3A">
        <w:rPr>
          <w:rFonts w:asciiTheme="majorBidi" w:hAnsiTheme="majorBidi" w:cstheme="majorBidi"/>
          <w:i/>
          <w:iCs/>
        </w:rPr>
        <w:t>Eimeria</w:t>
      </w:r>
      <w:r w:rsidR="005655D1" w:rsidRPr="00984C3A">
        <w:rPr>
          <w:rFonts w:asciiTheme="majorBidi" w:hAnsiTheme="majorBidi" w:cstheme="majorBidi"/>
        </w:rPr>
        <w:t> spp. and cryptosporidiosis caused by </w:t>
      </w:r>
      <w:r w:rsidR="005655D1" w:rsidRPr="00984C3A">
        <w:rPr>
          <w:rFonts w:asciiTheme="majorBidi" w:hAnsiTheme="majorBidi" w:cstheme="majorBidi"/>
          <w:i/>
          <w:iCs/>
        </w:rPr>
        <w:t>Cryptosporidium</w:t>
      </w:r>
      <w:r w:rsidR="005655D1" w:rsidRPr="00984C3A">
        <w:rPr>
          <w:rFonts w:asciiTheme="majorBidi" w:hAnsiTheme="majorBidi" w:cstheme="majorBidi"/>
        </w:rPr>
        <w:t> spp. are significant parasitic diseases affecting poultry production worldwide. Both pathogens have economic implications and zoonotic potential, yet their prevalence and molecular characteristics remain under-investigated in Jordan.</w:t>
      </w:r>
    </w:p>
    <w:p w14:paraId="3F93D5FF" w14:textId="77777777" w:rsidR="005655D1" w:rsidRPr="00984C3A" w:rsidRDefault="005655D1" w:rsidP="00681FB4">
      <w:pPr>
        <w:spacing w:line="360" w:lineRule="auto"/>
        <w:jc w:val="both"/>
        <w:rPr>
          <w:rFonts w:asciiTheme="majorBidi" w:hAnsiTheme="majorBidi" w:cstheme="majorBidi"/>
        </w:rPr>
      </w:pPr>
      <w:r w:rsidRPr="00984C3A">
        <w:rPr>
          <w:rFonts w:asciiTheme="majorBidi" w:hAnsiTheme="majorBidi" w:cstheme="majorBidi"/>
          <w:b/>
          <w:bCs/>
        </w:rPr>
        <w:t>Methods:</w:t>
      </w:r>
      <w:r w:rsidRPr="00984C3A">
        <w:rPr>
          <w:rFonts w:asciiTheme="majorBidi" w:hAnsiTheme="majorBidi" w:cstheme="majorBidi"/>
        </w:rPr>
        <w:t> A total of 42 fecal samples were collected from broiler chickens across 32 farms in five Jordanian governorates (</w:t>
      </w:r>
      <w:proofErr w:type="spellStart"/>
      <w:r w:rsidRPr="00984C3A">
        <w:rPr>
          <w:rFonts w:asciiTheme="majorBidi" w:hAnsiTheme="majorBidi" w:cstheme="majorBidi"/>
        </w:rPr>
        <w:t>Ajloun</w:t>
      </w:r>
      <w:proofErr w:type="spellEnd"/>
      <w:r w:rsidRPr="00984C3A">
        <w:rPr>
          <w:rFonts w:asciiTheme="majorBidi" w:hAnsiTheme="majorBidi" w:cstheme="majorBidi"/>
        </w:rPr>
        <w:t>, Jerash, Mafraq, Zarqa, and Balqa). Samples were preserved in 2.5% potassium dichromate and analyzed using integrated parasitological and molecular approaches. </w:t>
      </w:r>
      <w:r w:rsidRPr="00984C3A">
        <w:rPr>
          <w:rFonts w:asciiTheme="majorBidi" w:hAnsiTheme="majorBidi" w:cstheme="majorBidi"/>
          <w:i/>
          <w:iCs/>
        </w:rPr>
        <w:t>Eimeria</w:t>
      </w:r>
      <w:r w:rsidRPr="00984C3A">
        <w:rPr>
          <w:rFonts w:asciiTheme="majorBidi" w:hAnsiTheme="majorBidi" w:cstheme="majorBidi"/>
        </w:rPr>
        <w:t> detection and quantification were performed using salt flotation and a Sedgewick-Rafter counting chamber. </w:t>
      </w:r>
      <w:r w:rsidRPr="00984C3A">
        <w:rPr>
          <w:rFonts w:asciiTheme="majorBidi" w:hAnsiTheme="majorBidi" w:cstheme="majorBidi"/>
          <w:i/>
          <w:iCs/>
        </w:rPr>
        <w:t>Cryptosporidium</w:t>
      </w:r>
      <w:r w:rsidRPr="00984C3A">
        <w:rPr>
          <w:rFonts w:asciiTheme="majorBidi" w:hAnsiTheme="majorBidi" w:cstheme="majorBidi"/>
        </w:rPr>
        <w:t> detection was conducted using modified acid-fast staining following water-ether concentration. Molecular analysis used nested PCR targeting the ITS-1 region for </w:t>
      </w:r>
      <w:r w:rsidRPr="00984C3A">
        <w:rPr>
          <w:rFonts w:asciiTheme="majorBidi" w:hAnsiTheme="majorBidi" w:cstheme="majorBidi"/>
          <w:i/>
          <w:iCs/>
        </w:rPr>
        <w:t>Eimeria</w:t>
      </w:r>
      <w:r w:rsidRPr="00984C3A">
        <w:rPr>
          <w:rFonts w:asciiTheme="majorBidi" w:hAnsiTheme="majorBidi" w:cstheme="majorBidi"/>
        </w:rPr>
        <w:t> spp. and the LSU rRNA gene for </w:t>
      </w:r>
      <w:r w:rsidRPr="00984C3A">
        <w:rPr>
          <w:rFonts w:asciiTheme="majorBidi" w:hAnsiTheme="majorBidi" w:cstheme="majorBidi"/>
          <w:i/>
          <w:iCs/>
        </w:rPr>
        <w:t>Cryptosporidium</w:t>
      </w:r>
      <w:r w:rsidRPr="00984C3A">
        <w:rPr>
          <w:rFonts w:asciiTheme="majorBidi" w:hAnsiTheme="majorBidi" w:cstheme="majorBidi"/>
        </w:rPr>
        <w:t> spp.</w:t>
      </w:r>
    </w:p>
    <w:p w14:paraId="2585699C" w14:textId="77777777" w:rsidR="005655D1" w:rsidRPr="00984C3A" w:rsidRDefault="005655D1" w:rsidP="00681FB4">
      <w:pPr>
        <w:spacing w:line="360" w:lineRule="auto"/>
        <w:jc w:val="both"/>
        <w:rPr>
          <w:rFonts w:asciiTheme="majorBidi" w:hAnsiTheme="majorBidi" w:cstheme="majorBidi"/>
        </w:rPr>
      </w:pPr>
      <w:r w:rsidRPr="00984C3A">
        <w:rPr>
          <w:rFonts w:asciiTheme="majorBidi" w:hAnsiTheme="majorBidi" w:cstheme="majorBidi"/>
          <w:b/>
          <w:bCs/>
        </w:rPr>
        <w:t>Results:</w:t>
      </w:r>
      <w:r w:rsidRPr="00984C3A">
        <w:rPr>
          <w:rFonts w:asciiTheme="majorBidi" w:hAnsiTheme="majorBidi" w:cstheme="majorBidi"/>
        </w:rPr>
        <w:t> All 42 samples (100%) were positive for </w:t>
      </w:r>
      <w:r w:rsidRPr="00984C3A">
        <w:rPr>
          <w:rFonts w:asciiTheme="majorBidi" w:hAnsiTheme="majorBidi" w:cstheme="majorBidi"/>
          <w:i/>
          <w:iCs/>
        </w:rPr>
        <w:t>Eimeria</w:t>
      </w:r>
      <w:r w:rsidRPr="00984C3A">
        <w:rPr>
          <w:rFonts w:asciiTheme="majorBidi" w:hAnsiTheme="majorBidi" w:cstheme="majorBidi"/>
        </w:rPr>
        <w:t> oocysts by flotation, with oocyst counts ranging from 20,400 to 1,532,400 OPG (mean: 220,400 OPG; median: 142,200 OPG). Molecular analysis revealed that </w:t>
      </w:r>
      <w:r w:rsidRPr="00984C3A">
        <w:rPr>
          <w:rFonts w:asciiTheme="majorBidi" w:hAnsiTheme="majorBidi" w:cstheme="majorBidi"/>
          <w:i/>
          <w:iCs/>
        </w:rPr>
        <w:t>Eimeria tenella</w:t>
      </w:r>
      <w:r w:rsidRPr="00984C3A">
        <w:rPr>
          <w:rFonts w:asciiTheme="majorBidi" w:hAnsiTheme="majorBidi" w:cstheme="majorBidi"/>
        </w:rPr>
        <w:t> was the most prevalent species (present in 60.5% of PCR-positive samples), followed by </w:t>
      </w: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(36.8%) and </w:t>
      </w:r>
      <w:r w:rsidRPr="00984C3A">
        <w:rPr>
          <w:rFonts w:asciiTheme="majorBidi" w:hAnsiTheme="majorBidi" w:cstheme="majorBidi"/>
          <w:i/>
          <w:iCs/>
        </w:rPr>
        <w:t>E. mitis</w:t>
      </w:r>
      <w:r w:rsidRPr="00984C3A">
        <w:rPr>
          <w:rFonts w:asciiTheme="majorBidi" w:hAnsiTheme="majorBidi" w:cstheme="majorBidi"/>
        </w:rPr>
        <w:t> (5.3%). Mixed infections were observed in 26.3% of PCR-positive samples. For </w:t>
      </w:r>
      <w:r w:rsidRPr="00984C3A">
        <w:rPr>
          <w:rFonts w:asciiTheme="majorBidi" w:hAnsiTheme="majorBidi" w:cstheme="majorBidi"/>
          <w:i/>
          <w:iCs/>
        </w:rPr>
        <w:t>Cryptosporidium</w:t>
      </w:r>
      <w:r w:rsidRPr="00984C3A">
        <w:rPr>
          <w:rFonts w:asciiTheme="majorBidi" w:hAnsiTheme="majorBidi" w:cstheme="majorBidi"/>
        </w:rPr>
        <w:t>, modified acid-fast staining detected only 2 positive samples (4.8%), while nested PCR detected 21 positive samples (50.0%), confirming the superior sensitivity of molecular methods. The highest </w:t>
      </w:r>
      <w:r w:rsidRPr="00984C3A">
        <w:rPr>
          <w:rFonts w:asciiTheme="majorBidi" w:hAnsiTheme="majorBidi" w:cstheme="majorBidi"/>
          <w:i/>
          <w:iCs/>
        </w:rPr>
        <w:t>Cryptosporidium</w:t>
      </w:r>
      <w:r w:rsidRPr="00984C3A">
        <w:rPr>
          <w:rFonts w:asciiTheme="majorBidi" w:hAnsiTheme="majorBidi" w:cstheme="majorBidi"/>
        </w:rPr>
        <w:t> PCR positivity was observed in Zarqa (70.0%), followed by Jerash (62.5%) and Balqa (60.0%).</w:t>
      </w:r>
    </w:p>
    <w:p w14:paraId="58224854" w14:textId="77777777" w:rsidR="001157B9" w:rsidRDefault="005655D1" w:rsidP="00681FB4">
      <w:pPr>
        <w:pStyle w:val="Heading1"/>
        <w:jc w:val="both"/>
      </w:pPr>
      <w:r w:rsidRPr="00984C3A">
        <w:rPr>
          <w:bCs/>
        </w:rPr>
        <w:lastRenderedPageBreak/>
        <w:t>Conclusion:</w:t>
      </w:r>
      <w:r w:rsidRPr="00984C3A">
        <w:t> </w:t>
      </w:r>
    </w:p>
    <w:p w14:paraId="0A315493" w14:textId="34C72D51" w:rsidR="005655D1" w:rsidRPr="001157B9" w:rsidRDefault="005655D1" w:rsidP="00681FB4">
      <w:pPr>
        <w:spacing w:line="360" w:lineRule="auto"/>
        <w:jc w:val="both"/>
        <w:rPr>
          <w:rFonts w:asciiTheme="majorBidi" w:hAnsiTheme="majorBidi" w:cstheme="majorBidi"/>
        </w:rPr>
      </w:pPr>
      <w:r w:rsidRPr="001157B9">
        <w:rPr>
          <w:rFonts w:asciiTheme="majorBidi" w:hAnsiTheme="majorBidi" w:cstheme="majorBidi"/>
        </w:rPr>
        <w:t>This study demonstrates that </w:t>
      </w:r>
      <w:r w:rsidRPr="001157B9">
        <w:rPr>
          <w:rFonts w:asciiTheme="majorBidi" w:hAnsiTheme="majorBidi" w:cstheme="majorBidi"/>
          <w:i/>
          <w:iCs/>
        </w:rPr>
        <w:t>Eimeria</w:t>
      </w:r>
      <w:r w:rsidRPr="001157B9">
        <w:rPr>
          <w:rFonts w:asciiTheme="majorBidi" w:hAnsiTheme="majorBidi" w:cstheme="majorBidi"/>
        </w:rPr>
        <w:t> infection is ubiquitous in Jordanian broiler flocks, with high oocyst burdens and frequent mixed infections. </w:t>
      </w:r>
      <w:r w:rsidRPr="001157B9">
        <w:rPr>
          <w:rFonts w:asciiTheme="majorBidi" w:hAnsiTheme="majorBidi" w:cstheme="majorBidi"/>
          <w:i/>
          <w:iCs/>
        </w:rPr>
        <w:t>Cryptosporidium</w:t>
      </w:r>
      <w:r w:rsidRPr="001157B9">
        <w:rPr>
          <w:rFonts w:asciiTheme="majorBidi" w:hAnsiTheme="majorBidi" w:cstheme="majorBidi"/>
        </w:rPr>
        <w:t> is highly prevalent (50.0% by PCR), which is significantly higher than previously reported in Jordan (4.8%). These findings underscore the importance of molecular methods for accurate diagnosis and the need for integrated control strategies targeting both parasites.</w:t>
      </w:r>
    </w:p>
    <w:p w14:paraId="21864925"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Keywords:</w:t>
      </w:r>
      <w:r w:rsidRPr="00984C3A">
        <w:rPr>
          <w:rFonts w:asciiTheme="majorBidi" w:hAnsiTheme="majorBidi" w:cstheme="majorBidi"/>
        </w:rPr>
        <w:t> </w:t>
      </w:r>
      <w:r w:rsidRPr="00984C3A">
        <w:rPr>
          <w:rFonts w:asciiTheme="majorBidi" w:hAnsiTheme="majorBidi" w:cstheme="majorBidi"/>
          <w:i/>
          <w:iCs/>
        </w:rPr>
        <w:t>Eimeria</w:t>
      </w:r>
      <w:r w:rsidRPr="00984C3A">
        <w:rPr>
          <w:rFonts w:asciiTheme="majorBidi" w:hAnsiTheme="majorBidi" w:cstheme="majorBidi"/>
        </w:rPr>
        <w:t>, </w:t>
      </w:r>
      <w:r w:rsidRPr="00984C3A">
        <w:rPr>
          <w:rFonts w:asciiTheme="majorBidi" w:hAnsiTheme="majorBidi" w:cstheme="majorBidi"/>
          <w:i/>
          <w:iCs/>
        </w:rPr>
        <w:t>Cryptosporidium</w:t>
      </w:r>
      <w:r w:rsidRPr="00984C3A">
        <w:rPr>
          <w:rFonts w:asciiTheme="majorBidi" w:hAnsiTheme="majorBidi" w:cstheme="majorBidi"/>
        </w:rPr>
        <w:t>, broiler chickens, molecular characterization, Jordan, nested PCR, prevalence, coccidiosis, cryptosporidiosis</w:t>
      </w:r>
    </w:p>
    <w:p w14:paraId="37B0DDB1" w14:textId="77777777" w:rsidR="005655D1" w:rsidRPr="00984C3A" w:rsidRDefault="005655D1" w:rsidP="001157B9">
      <w:pPr>
        <w:pStyle w:val="Heading1"/>
        <w:numPr>
          <w:ilvl w:val="0"/>
          <w:numId w:val="15"/>
        </w:numPr>
        <w:spacing w:line="360" w:lineRule="auto"/>
        <w:jc w:val="both"/>
      </w:pPr>
      <w:r w:rsidRPr="00984C3A">
        <w:t>Introduction</w:t>
      </w:r>
    </w:p>
    <w:p w14:paraId="1735B38F" w14:textId="207CAC55"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Avian coccidiosis, caused by protozoan parasites of the genus </w:t>
      </w:r>
      <w:r w:rsidRPr="00984C3A">
        <w:rPr>
          <w:rFonts w:asciiTheme="majorBidi" w:hAnsiTheme="majorBidi" w:cstheme="majorBidi"/>
          <w:i/>
          <w:iCs/>
        </w:rPr>
        <w:t>Eimeria</w:t>
      </w:r>
      <w:r w:rsidRPr="00984C3A">
        <w:rPr>
          <w:rFonts w:asciiTheme="majorBidi" w:hAnsiTheme="majorBidi" w:cstheme="majorBidi"/>
        </w:rPr>
        <w:t>, remains one of the most economically important parasitic diseases affecting poultry production worldwide (Williams, 2005). The disease leads to reduced growth performance, impaired feed conversion, increased mortality, and enhanced susceptibility to secondary infections, resulting in substantial economic losses to the poultry industry (Blake et al</w:t>
      </w:r>
      <w:r w:rsidR="00984C3A" w:rsidRPr="00984C3A">
        <w:rPr>
          <w:rFonts w:asciiTheme="majorBidi" w:hAnsiTheme="majorBidi" w:cstheme="majorBidi"/>
        </w:rPr>
        <w:t>.</w:t>
      </w:r>
      <w:r w:rsidRPr="00984C3A">
        <w:rPr>
          <w:rFonts w:asciiTheme="majorBidi" w:hAnsiTheme="majorBidi" w:cstheme="majorBidi"/>
        </w:rPr>
        <w:t xml:space="preserve"> 2020). Seven species of </w:t>
      </w:r>
      <w:r w:rsidRPr="00984C3A">
        <w:rPr>
          <w:rFonts w:asciiTheme="majorBidi" w:hAnsiTheme="majorBidi" w:cstheme="majorBidi"/>
          <w:i/>
          <w:iCs/>
        </w:rPr>
        <w:t>Eimeria</w:t>
      </w:r>
      <w:r w:rsidRPr="00984C3A">
        <w:rPr>
          <w:rFonts w:asciiTheme="majorBidi" w:hAnsiTheme="majorBidi" w:cstheme="majorBidi"/>
        </w:rPr>
        <w:t> are known to infect chickens, including </w:t>
      </w:r>
      <w:r w:rsidRPr="00984C3A">
        <w:rPr>
          <w:rFonts w:asciiTheme="majorBidi" w:hAnsiTheme="majorBidi" w:cstheme="majorBidi"/>
          <w:i/>
          <w:iCs/>
        </w:rPr>
        <w:t>E. tenella</w:t>
      </w:r>
      <w:r w:rsidRPr="00984C3A">
        <w:rPr>
          <w:rFonts w:asciiTheme="majorBidi" w:hAnsiTheme="majorBidi" w:cstheme="majorBidi"/>
        </w:rPr>
        <w:t>, </w:t>
      </w: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w:t>
      </w:r>
      <w:r w:rsidRPr="00984C3A">
        <w:rPr>
          <w:rFonts w:asciiTheme="majorBidi" w:hAnsiTheme="majorBidi" w:cstheme="majorBidi"/>
          <w:i/>
          <w:iCs/>
        </w:rPr>
        <w:t>E. maxima</w:t>
      </w:r>
      <w:r w:rsidRPr="00984C3A">
        <w:rPr>
          <w:rFonts w:asciiTheme="majorBidi" w:hAnsiTheme="majorBidi" w:cstheme="majorBidi"/>
        </w:rPr>
        <w:t>, </w:t>
      </w:r>
      <w:r w:rsidRPr="00984C3A">
        <w:rPr>
          <w:rFonts w:asciiTheme="majorBidi" w:hAnsiTheme="majorBidi" w:cstheme="majorBidi"/>
          <w:i/>
          <w:iCs/>
        </w:rPr>
        <w:t>E. mitis</w:t>
      </w:r>
      <w:r w:rsidRPr="00984C3A">
        <w:rPr>
          <w:rFonts w:asciiTheme="majorBidi" w:hAnsiTheme="majorBidi" w:cstheme="majorBidi"/>
        </w:rPr>
        <w:t>, </w:t>
      </w:r>
      <w:r w:rsidRPr="00984C3A">
        <w:rPr>
          <w:rFonts w:asciiTheme="majorBidi" w:hAnsiTheme="majorBidi" w:cstheme="majorBidi"/>
          <w:i/>
          <w:iCs/>
        </w:rPr>
        <w:t xml:space="preserve">E. </w:t>
      </w:r>
      <w:proofErr w:type="spellStart"/>
      <w:r w:rsidRPr="00984C3A">
        <w:rPr>
          <w:rFonts w:asciiTheme="majorBidi" w:hAnsiTheme="majorBidi" w:cstheme="majorBidi"/>
          <w:i/>
          <w:iCs/>
        </w:rPr>
        <w:t>brunetti</w:t>
      </w:r>
      <w:proofErr w:type="spellEnd"/>
      <w:r w:rsidRPr="00984C3A">
        <w:rPr>
          <w:rFonts w:asciiTheme="majorBidi" w:hAnsiTheme="majorBidi" w:cstheme="majorBidi"/>
        </w:rPr>
        <w:t>, </w:t>
      </w:r>
      <w:r w:rsidRPr="00984C3A">
        <w:rPr>
          <w:rFonts w:asciiTheme="majorBidi" w:hAnsiTheme="majorBidi" w:cstheme="majorBidi"/>
          <w:i/>
          <w:iCs/>
        </w:rPr>
        <w:t xml:space="preserve">E. </w:t>
      </w:r>
      <w:proofErr w:type="spellStart"/>
      <w:r w:rsidRPr="00984C3A">
        <w:rPr>
          <w:rFonts w:asciiTheme="majorBidi" w:hAnsiTheme="majorBidi" w:cstheme="majorBidi"/>
          <w:i/>
          <w:iCs/>
        </w:rPr>
        <w:t>necatrix</w:t>
      </w:r>
      <w:proofErr w:type="spellEnd"/>
      <w:r w:rsidRPr="00984C3A">
        <w:rPr>
          <w:rFonts w:asciiTheme="majorBidi" w:hAnsiTheme="majorBidi" w:cstheme="majorBidi"/>
        </w:rPr>
        <w:t>, and </w:t>
      </w:r>
      <w:r w:rsidRPr="00984C3A">
        <w:rPr>
          <w:rFonts w:asciiTheme="majorBidi" w:hAnsiTheme="majorBidi" w:cstheme="majorBidi"/>
          <w:i/>
          <w:iCs/>
        </w:rPr>
        <w:t>E. praecox</w:t>
      </w:r>
      <w:r w:rsidRPr="00984C3A">
        <w:rPr>
          <w:rFonts w:asciiTheme="majorBidi" w:hAnsiTheme="majorBidi" w:cstheme="majorBidi"/>
        </w:rPr>
        <w:t>, each with distinct pathogenicity and tissue tropism (Long &amp; Joyner, 1984).</w:t>
      </w:r>
    </w:p>
    <w:p w14:paraId="023629C7" w14:textId="7ADD4F46"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Cryptosporidiosis, caused by </w:t>
      </w:r>
      <w:r w:rsidRPr="00984C3A">
        <w:rPr>
          <w:rFonts w:asciiTheme="majorBidi" w:hAnsiTheme="majorBidi" w:cstheme="majorBidi"/>
          <w:i/>
          <w:iCs/>
        </w:rPr>
        <w:t>Cryptosporidium</w:t>
      </w:r>
      <w:r w:rsidRPr="00984C3A">
        <w:rPr>
          <w:rFonts w:asciiTheme="majorBidi" w:hAnsiTheme="majorBidi" w:cstheme="majorBidi"/>
        </w:rPr>
        <w:t> spp</w:t>
      </w:r>
      <w:r w:rsidR="00984C3A" w:rsidRPr="00984C3A">
        <w:rPr>
          <w:rFonts w:asciiTheme="majorBidi" w:hAnsiTheme="majorBidi" w:cstheme="majorBidi"/>
        </w:rPr>
        <w:t>.</w:t>
      </w:r>
      <w:r w:rsidRPr="00984C3A">
        <w:rPr>
          <w:rFonts w:asciiTheme="majorBidi" w:hAnsiTheme="majorBidi" w:cstheme="majorBidi"/>
        </w:rPr>
        <w:t xml:space="preserve"> is another significant parasitic disease affecting a wide range of vertebrate hosts, including poultry (Ryan et al</w:t>
      </w:r>
      <w:r w:rsidR="00984C3A" w:rsidRPr="00984C3A">
        <w:rPr>
          <w:rFonts w:asciiTheme="majorBidi" w:hAnsiTheme="majorBidi" w:cstheme="majorBidi"/>
        </w:rPr>
        <w:t>.</w:t>
      </w:r>
      <w:r w:rsidRPr="00984C3A">
        <w:rPr>
          <w:rFonts w:asciiTheme="majorBidi" w:hAnsiTheme="majorBidi" w:cstheme="majorBidi"/>
        </w:rPr>
        <w:t xml:space="preserve"> 2014). The zoonotic potential of certain </w:t>
      </w:r>
      <w:r w:rsidRPr="00984C3A">
        <w:rPr>
          <w:rFonts w:asciiTheme="majorBidi" w:hAnsiTheme="majorBidi" w:cstheme="majorBidi"/>
          <w:i/>
          <w:iCs/>
        </w:rPr>
        <w:t>Cryptosporidium</w:t>
      </w:r>
      <w:r w:rsidRPr="00984C3A">
        <w:rPr>
          <w:rFonts w:asciiTheme="majorBidi" w:hAnsiTheme="majorBidi" w:cstheme="majorBidi"/>
        </w:rPr>
        <w:t> species, particularly </w:t>
      </w:r>
      <w:r w:rsidRPr="00984C3A">
        <w:rPr>
          <w:rFonts w:asciiTheme="majorBidi" w:hAnsiTheme="majorBidi" w:cstheme="majorBidi"/>
          <w:i/>
          <w:iCs/>
        </w:rPr>
        <w:t>C. parvum</w:t>
      </w:r>
      <w:r w:rsidRPr="00984C3A">
        <w:rPr>
          <w:rFonts w:asciiTheme="majorBidi" w:hAnsiTheme="majorBidi" w:cstheme="majorBidi"/>
        </w:rPr>
        <w:t> and </w:t>
      </w:r>
      <w:r w:rsidRPr="00984C3A">
        <w:rPr>
          <w:rFonts w:asciiTheme="majorBidi" w:hAnsiTheme="majorBidi" w:cstheme="majorBidi"/>
          <w:i/>
          <w:iCs/>
        </w:rPr>
        <w:t xml:space="preserve">C. </w:t>
      </w:r>
      <w:proofErr w:type="spellStart"/>
      <w:r w:rsidRPr="00984C3A">
        <w:rPr>
          <w:rFonts w:asciiTheme="majorBidi" w:hAnsiTheme="majorBidi" w:cstheme="majorBidi"/>
          <w:i/>
          <w:iCs/>
        </w:rPr>
        <w:t>meleagridis</w:t>
      </w:r>
      <w:proofErr w:type="spellEnd"/>
      <w:r w:rsidRPr="00984C3A">
        <w:rPr>
          <w:rFonts w:asciiTheme="majorBidi" w:hAnsiTheme="majorBidi" w:cstheme="majorBidi"/>
        </w:rPr>
        <w:t>, has raised public health concerns globally (Xiao &amp; Feng, 2008; Ali et al</w:t>
      </w:r>
      <w:r w:rsidR="00984C3A" w:rsidRPr="00984C3A">
        <w:rPr>
          <w:rFonts w:asciiTheme="majorBidi" w:hAnsiTheme="majorBidi" w:cstheme="majorBidi"/>
        </w:rPr>
        <w:t>.</w:t>
      </w:r>
      <w:r w:rsidRPr="00984C3A">
        <w:rPr>
          <w:rFonts w:asciiTheme="majorBidi" w:hAnsiTheme="majorBidi" w:cstheme="majorBidi"/>
        </w:rPr>
        <w:t xml:space="preserve"> 2024). In chickens, </w:t>
      </w:r>
      <w:r w:rsidRPr="00984C3A">
        <w:rPr>
          <w:rFonts w:asciiTheme="majorBidi" w:hAnsiTheme="majorBidi" w:cstheme="majorBidi"/>
          <w:i/>
          <w:iCs/>
        </w:rPr>
        <w:t>C. baileyi</w:t>
      </w:r>
      <w:r w:rsidRPr="00984C3A">
        <w:rPr>
          <w:rFonts w:asciiTheme="majorBidi" w:hAnsiTheme="majorBidi" w:cstheme="majorBidi"/>
        </w:rPr>
        <w:t> (primarily respiratory/bursal tropism) and </w:t>
      </w:r>
      <w:r w:rsidRPr="00984C3A">
        <w:rPr>
          <w:rFonts w:asciiTheme="majorBidi" w:hAnsiTheme="majorBidi" w:cstheme="majorBidi"/>
          <w:i/>
          <w:iCs/>
        </w:rPr>
        <w:t xml:space="preserve">C. </w:t>
      </w:r>
      <w:proofErr w:type="spellStart"/>
      <w:r w:rsidRPr="00984C3A">
        <w:rPr>
          <w:rFonts w:asciiTheme="majorBidi" w:hAnsiTheme="majorBidi" w:cstheme="majorBidi"/>
          <w:i/>
          <w:iCs/>
        </w:rPr>
        <w:t>meleagridis</w:t>
      </w:r>
      <w:proofErr w:type="spellEnd"/>
      <w:r w:rsidRPr="00984C3A">
        <w:rPr>
          <w:rFonts w:asciiTheme="majorBidi" w:hAnsiTheme="majorBidi" w:cstheme="majorBidi"/>
        </w:rPr>
        <w:t xml:space="preserve"> (intestinal, with zoonotic potential) are the </w:t>
      </w:r>
      <w:r w:rsidR="001157B9" w:rsidRPr="00984C3A">
        <w:rPr>
          <w:rFonts w:asciiTheme="majorBidi" w:hAnsiTheme="majorBidi" w:cstheme="majorBidi"/>
        </w:rPr>
        <w:t>most reported</w:t>
      </w:r>
      <w:r w:rsidRPr="00984C3A">
        <w:rPr>
          <w:rFonts w:asciiTheme="majorBidi" w:hAnsiTheme="majorBidi" w:cstheme="majorBidi"/>
        </w:rPr>
        <w:t xml:space="preserve"> species (Helmy 2022; Feng et al</w:t>
      </w:r>
      <w:r w:rsidR="00984C3A" w:rsidRPr="00984C3A">
        <w:rPr>
          <w:rFonts w:asciiTheme="majorBidi" w:hAnsiTheme="majorBidi" w:cstheme="majorBidi"/>
        </w:rPr>
        <w:t>.</w:t>
      </w:r>
      <w:r w:rsidRPr="00984C3A">
        <w:rPr>
          <w:rFonts w:asciiTheme="majorBidi" w:hAnsiTheme="majorBidi" w:cstheme="majorBidi"/>
        </w:rPr>
        <w:t xml:space="preserve"> 2022).</w:t>
      </w:r>
    </w:p>
    <w:p w14:paraId="72ED6CF0" w14:textId="246D312F"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In Jordan, the poultry industry plays a vital economic role, yet research on parasitic infections in broiler chickens remains limited. A study by </w:t>
      </w:r>
      <w:proofErr w:type="spellStart"/>
      <w:r w:rsidRPr="00984C3A">
        <w:rPr>
          <w:rFonts w:asciiTheme="majorBidi" w:hAnsiTheme="majorBidi" w:cstheme="majorBidi"/>
        </w:rPr>
        <w:t>Hijjawi</w:t>
      </w:r>
      <w:proofErr w:type="spellEnd"/>
      <w:r w:rsidRPr="00984C3A">
        <w:rPr>
          <w:rFonts w:asciiTheme="majorBidi" w:hAnsiTheme="majorBidi" w:cstheme="majorBidi"/>
        </w:rPr>
        <w:t xml:space="preserve"> et al. (2016) reported a prevalence of 4.8% for </w:t>
      </w:r>
      <w:r w:rsidRPr="00984C3A">
        <w:rPr>
          <w:rFonts w:asciiTheme="majorBidi" w:hAnsiTheme="majorBidi" w:cstheme="majorBidi"/>
          <w:i/>
          <w:iCs/>
        </w:rPr>
        <w:t>Cryptosporidium</w:t>
      </w:r>
      <w:r w:rsidRPr="00984C3A">
        <w:rPr>
          <w:rFonts w:asciiTheme="majorBidi" w:hAnsiTheme="majorBidi" w:cstheme="majorBidi"/>
        </w:rPr>
        <w:t> in broiler chickens in Jordan using qPCR. Globally, a recent meta-analysis reported a pooled global prevalence of 18.3% for </w:t>
      </w:r>
      <w:r w:rsidRPr="00984C3A">
        <w:rPr>
          <w:rFonts w:asciiTheme="majorBidi" w:hAnsiTheme="majorBidi" w:cstheme="majorBidi"/>
          <w:i/>
          <w:iCs/>
        </w:rPr>
        <w:t>Cryptosporidium</w:t>
      </w:r>
      <w:r w:rsidRPr="00984C3A">
        <w:rPr>
          <w:rFonts w:asciiTheme="majorBidi" w:hAnsiTheme="majorBidi" w:cstheme="majorBidi"/>
        </w:rPr>
        <w:t> in chickens (Li et al</w:t>
      </w:r>
      <w:r w:rsidR="00984C3A" w:rsidRPr="00984C3A">
        <w:rPr>
          <w:rFonts w:asciiTheme="majorBidi" w:hAnsiTheme="majorBidi" w:cstheme="majorBidi"/>
        </w:rPr>
        <w:t>.</w:t>
      </w:r>
      <w:r w:rsidRPr="00984C3A">
        <w:rPr>
          <w:rFonts w:asciiTheme="majorBidi" w:hAnsiTheme="majorBidi" w:cstheme="majorBidi"/>
        </w:rPr>
        <w:t xml:space="preserve"> 2024), while </w:t>
      </w:r>
      <w:r w:rsidRPr="00984C3A">
        <w:rPr>
          <w:rFonts w:asciiTheme="majorBidi" w:hAnsiTheme="majorBidi" w:cstheme="majorBidi"/>
          <w:i/>
          <w:iCs/>
        </w:rPr>
        <w:t>Eimeria</w:t>
      </w:r>
      <w:r w:rsidRPr="00984C3A">
        <w:rPr>
          <w:rFonts w:asciiTheme="majorBidi" w:hAnsiTheme="majorBidi" w:cstheme="majorBidi"/>
        </w:rPr>
        <w:t> prevalence in many regions exceeds 80% (Györke et al</w:t>
      </w:r>
      <w:r w:rsidR="00984C3A" w:rsidRPr="00984C3A">
        <w:rPr>
          <w:rFonts w:asciiTheme="majorBidi" w:hAnsiTheme="majorBidi" w:cstheme="majorBidi"/>
        </w:rPr>
        <w:t>.</w:t>
      </w:r>
      <w:r w:rsidRPr="00984C3A">
        <w:rPr>
          <w:rFonts w:asciiTheme="majorBidi" w:hAnsiTheme="majorBidi" w:cstheme="majorBidi"/>
        </w:rPr>
        <w:t xml:space="preserve"> 2013).</w:t>
      </w:r>
    </w:p>
    <w:p w14:paraId="1979357E" w14:textId="206FF9D1"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The small size of </w:t>
      </w:r>
      <w:r w:rsidRPr="00984C3A">
        <w:rPr>
          <w:rFonts w:asciiTheme="majorBidi" w:hAnsiTheme="majorBidi" w:cstheme="majorBidi"/>
          <w:i/>
          <w:iCs/>
        </w:rPr>
        <w:t>Cryptosporidium</w:t>
      </w:r>
      <w:r w:rsidRPr="00984C3A">
        <w:rPr>
          <w:rFonts w:asciiTheme="majorBidi" w:hAnsiTheme="majorBidi" w:cstheme="majorBidi"/>
        </w:rPr>
        <w:t xml:space="preserve"> oocysts (4–6 </w:t>
      </w:r>
      <w:proofErr w:type="spellStart"/>
      <w:r w:rsidRPr="00984C3A">
        <w:rPr>
          <w:rFonts w:asciiTheme="majorBidi" w:hAnsiTheme="majorBidi" w:cstheme="majorBidi"/>
        </w:rPr>
        <w:t>μm</w:t>
      </w:r>
      <w:proofErr w:type="spellEnd"/>
      <w:r w:rsidRPr="00984C3A">
        <w:rPr>
          <w:rFonts w:asciiTheme="majorBidi" w:hAnsiTheme="majorBidi" w:cstheme="majorBidi"/>
        </w:rPr>
        <w:t>) and intermittent shedding make microscopic detection challenging, leading to underestimation of true prevalence (Current &amp; Garcia, 1991). Molecular techniques such as polymerase chain reaction (PCR) offer improved sensitivity and specificity and allow downstream species identification (Morgan et al</w:t>
      </w:r>
      <w:r w:rsidR="00984C3A" w:rsidRPr="00984C3A">
        <w:rPr>
          <w:rFonts w:asciiTheme="majorBidi" w:hAnsiTheme="majorBidi" w:cstheme="majorBidi"/>
        </w:rPr>
        <w:t>.</w:t>
      </w:r>
      <w:r w:rsidRPr="00984C3A">
        <w:rPr>
          <w:rFonts w:asciiTheme="majorBidi" w:hAnsiTheme="majorBidi" w:cstheme="majorBidi"/>
        </w:rPr>
        <w:t xml:space="preserve"> 1998). Similarly, molecular tools for </w:t>
      </w:r>
      <w:r w:rsidRPr="00984C3A">
        <w:rPr>
          <w:rFonts w:asciiTheme="majorBidi" w:hAnsiTheme="majorBidi" w:cstheme="majorBidi"/>
          <w:i/>
          <w:iCs/>
        </w:rPr>
        <w:t>Eimeria</w:t>
      </w:r>
      <w:r w:rsidRPr="00984C3A">
        <w:rPr>
          <w:rFonts w:asciiTheme="majorBidi" w:hAnsiTheme="majorBidi" w:cstheme="majorBidi"/>
        </w:rPr>
        <w:t> detection enable species-level differentiation, which is critical for targeted control strategies (Lew et al</w:t>
      </w:r>
      <w:r w:rsidR="00984C3A" w:rsidRPr="00984C3A">
        <w:rPr>
          <w:rFonts w:asciiTheme="majorBidi" w:hAnsiTheme="majorBidi" w:cstheme="majorBidi"/>
        </w:rPr>
        <w:t>.</w:t>
      </w:r>
      <w:r w:rsidRPr="00984C3A">
        <w:rPr>
          <w:rFonts w:asciiTheme="majorBidi" w:hAnsiTheme="majorBidi" w:cstheme="majorBidi"/>
        </w:rPr>
        <w:t xml:space="preserve"> 2003).</w:t>
      </w:r>
    </w:p>
    <w:p w14:paraId="5A05E861"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This study aimed to: (1) detect and quantify </w:t>
      </w:r>
      <w:r w:rsidRPr="00984C3A">
        <w:rPr>
          <w:rFonts w:asciiTheme="majorBidi" w:hAnsiTheme="majorBidi" w:cstheme="majorBidi"/>
          <w:i/>
          <w:iCs/>
        </w:rPr>
        <w:t>Eimeria</w:t>
      </w:r>
      <w:r w:rsidRPr="00984C3A">
        <w:rPr>
          <w:rFonts w:asciiTheme="majorBidi" w:hAnsiTheme="majorBidi" w:cstheme="majorBidi"/>
        </w:rPr>
        <w:t> oocysts in broiler fecal samples from Jordan; (2) screen for </w:t>
      </w:r>
      <w:r w:rsidRPr="00984C3A">
        <w:rPr>
          <w:rFonts w:asciiTheme="majorBidi" w:hAnsiTheme="majorBidi" w:cstheme="majorBidi"/>
          <w:i/>
          <w:iCs/>
        </w:rPr>
        <w:t>Cryptosporidium</w:t>
      </w:r>
      <w:r w:rsidRPr="00984C3A">
        <w:rPr>
          <w:rFonts w:asciiTheme="majorBidi" w:hAnsiTheme="majorBidi" w:cstheme="majorBidi"/>
        </w:rPr>
        <w:t> oocysts using modified acid-fast staining; (3) perform water-ether concentration to enrich parasitic stages; (4) detect </w:t>
      </w:r>
      <w:r w:rsidRPr="00984C3A">
        <w:rPr>
          <w:rFonts w:asciiTheme="majorBidi" w:hAnsiTheme="majorBidi" w:cstheme="majorBidi"/>
          <w:i/>
          <w:iCs/>
        </w:rPr>
        <w:t>Eimeria</w:t>
      </w:r>
      <w:r w:rsidRPr="00984C3A">
        <w:rPr>
          <w:rFonts w:asciiTheme="majorBidi" w:hAnsiTheme="majorBidi" w:cstheme="majorBidi"/>
        </w:rPr>
        <w:t> spp. and </w:t>
      </w:r>
      <w:r w:rsidRPr="00984C3A">
        <w:rPr>
          <w:rFonts w:asciiTheme="majorBidi" w:hAnsiTheme="majorBidi" w:cstheme="majorBidi"/>
          <w:i/>
          <w:iCs/>
        </w:rPr>
        <w:t>Cryptosporidium</w:t>
      </w:r>
      <w:r w:rsidRPr="00984C3A">
        <w:rPr>
          <w:rFonts w:asciiTheme="majorBidi" w:hAnsiTheme="majorBidi" w:cstheme="majorBidi"/>
        </w:rPr>
        <w:t> spp. using nested PCR; and (5) compare the sensitivity of microscopy versus PCR for </w:t>
      </w:r>
      <w:r w:rsidRPr="00984C3A">
        <w:rPr>
          <w:rFonts w:asciiTheme="majorBidi" w:hAnsiTheme="majorBidi" w:cstheme="majorBidi"/>
          <w:i/>
          <w:iCs/>
        </w:rPr>
        <w:t>Cryptosporidium</w:t>
      </w:r>
      <w:r w:rsidRPr="00984C3A">
        <w:rPr>
          <w:rFonts w:asciiTheme="majorBidi" w:hAnsiTheme="majorBidi" w:cstheme="majorBidi"/>
        </w:rPr>
        <w:t> detection.</w:t>
      </w:r>
    </w:p>
    <w:p w14:paraId="2FB0C7A0" w14:textId="77777777" w:rsidR="005655D1" w:rsidRPr="00984C3A" w:rsidRDefault="005655D1" w:rsidP="001157B9">
      <w:pPr>
        <w:pStyle w:val="Heading1"/>
        <w:numPr>
          <w:ilvl w:val="0"/>
          <w:numId w:val="14"/>
        </w:numPr>
        <w:spacing w:line="360" w:lineRule="auto"/>
        <w:jc w:val="both"/>
      </w:pPr>
      <w:r w:rsidRPr="00984C3A">
        <w:t>Materials and Methods</w:t>
      </w:r>
    </w:p>
    <w:p w14:paraId="2BE71EAA" w14:textId="77777777" w:rsidR="005655D1" w:rsidRPr="00984C3A" w:rsidRDefault="005655D1" w:rsidP="001157B9">
      <w:pPr>
        <w:pStyle w:val="Heading2"/>
        <w:spacing w:line="360" w:lineRule="auto"/>
        <w:jc w:val="both"/>
      </w:pPr>
      <w:r w:rsidRPr="00984C3A">
        <w:t>2.1 Study Area and Sample Collection</w:t>
      </w:r>
    </w:p>
    <w:p w14:paraId="5C903BEB"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This study was conducted between July 2025 and December 2025 across 32 broiler farms located in five governorates of Jordan: </w:t>
      </w:r>
      <w:proofErr w:type="spellStart"/>
      <w:r w:rsidRPr="00984C3A">
        <w:rPr>
          <w:rFonts w:asciiTheme="majorBidi" w:hAnsiTheme="majorBidi" w:cstheme="majorBidi"/>
        </w:rPr>
        <w:t>Ajloun</w:t>
      </w:r>
      <w:proofErr w:type="spellEnd"/>
      <w:r w:rsidRPr="00984C3A">
        <w:rPr>
          <w:rFonts w:asciiTheme="majorBidi" w:hAnsiTheme="majorBidi" w:cstheme="majorBidi"/>
        </w:rPr>
        <w:t>, Jerash, Mafraq, Zarqa, and Balqa. A total of 42 fecal samples were collected from broiler chickens aged between 2 and 6 weeks. Fresh fecal samples were collected directly from freshly voided droppings using sterile disposable gloves and placed into labeled sterile containers.</w:t>
      </w:r>
    </w:p>
    <w:p w14:paraId="2457903F" w14:textId="77777777" w:rsidR="005655D1" w:rsidRPr="00984C3A" w:rsidRDefault="005655D1" w:rsidP="001157B9">
      <w:pPr>
        <w:pStyle w:val="Heading2"/>
        <w:spacing w:line="360" w:lineRule="auto"/>
        <w:jc w:val="both"/>
      </w:pPr>
      <w:r w:rsidRPr="00984C3A">
        <w:t>2.2 Sample Preservation</w:t>
      </w:r>
    </w:p>
    <w:p w14:paraId="4E458D9D"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All samples were preserved exclusively in 2.5% potassium dichromate (</w:t>
      </w:r>
      <w:proofErr w:type="spellStart"/>
      <w:r w:rsidRPr="00984C3A">
        <w:rPr>
          <w:rFonts w:asciiTheme="majorBidi" w:hAnsiTheme="majorBidi" w:cstheme="majorBidi"/>
        </w:rPr>
        <w:t>K₂Cr₂O</w:t>
      </w:r>
      <w:proofErr w:type="spellEnd"/>
      <w:r w:rsidRPr="00984C3A">
        <w:rPr>
          <w:rFonts w:asciiTheme="majorBidi" w:hAnsiTheme="majorBidi" w:cstheme="majorBidi"/>
        </w:rPr>
        <w:t>₇) at a 1:1 (w/v) ratio. Prior to analysis, samples were washed repeatedly with distilled water or phosphate-buffered saline (PBS) to remove preservative residues.</w:t>
      </w:r>
    </w:p>
    <w:p w14:paraId="5D5699DF" w14:textId="77777777" w:rsidR="005655D1" w:rsidRPr="00984C3A" w:rsidRDefault="005655D1" w:rsidP="001157B9">
      <w:pPr>
        <w:pStyle w:val="Heading2"/>
        <w:spacing w:line="360" w:lineRule="auto"/>
        <w:jc w:val="both"/>
      </w:pPr>
      <w:r w:rsidRPr="00984C3A">
        <w:t>2.3 Detection and Quantification of </w:t>
      </w:r>
      <w:r w:rsidRPr="00984C3A">
        <w:rPr>
          <w:i/>
          <w:iCs/>
        </w:rPr>
        <w:t>Eimeria</w:t>
      </w:r>
      <w:r w:rsidRPr="00984C3A">
        <w:t> spp.</w:t>
      </w:r>
    </w:p>
    <w:p w14:paraId="5E59F80C" w14:textId="77777777" w:rsidR="005655D1" w:rsidRPr="00984C3A" w:rsidRDefault="005655D1" w:rsidP="001157B9">
      <w:pPr>
        <w:pStyle w:val="Heading3"/>
        <w:spacing w:line="360" w:lineRule="auto"/>
        <w:jc w:val="both"/>
      </w:pPr>
      <w:r w:rsidRPr="00984C3A">
        <w:t>2.3.1 Salt Flotation Technique</w:t>
      </w:r>
    </w:p>
    <w:p w14:paraId="3C8DBDC0"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For each sample, 3 g of the fecal-dichromate mixture was transferred into 10 mL of saturated sodium chloride (NaCl) solution. The suspension was thoroughly homogenized and processed according to the standard fecal flotation protocol (Aurum Biotech, 2025).</w:t>
      </w:r>
    </w:p>
    <w:p w14:paraId="24B53CFA" w14:textId="77777777" w:rsidR="005655D1" w:rsidRPr="00984C3A" w:rsidRDefault="005655D1" w:rsidP="001157B9">
      <w:pPr>
        <w:pStyle w:val="Heading3"/>
        <w:spacing w:line="360" w:lineRule="auto"/>
        <w:jc w:val="both"/>
      </w:pPr>
      <w:r w:rsidRPr="00984C3A">
        <w:t>2.3.2 Quantification Using Sedgewick-Rafter Counting Chamber</w:t>
      </w:r>
    </w:p>
    <w:p w14:paraId="57F10E92" w14:textId="1FB6AAF8"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Quantitative enumeration of </w:t>
      </w:r>
      <w:r w:rsidRPr="00984C3A">
        <w:rPr>
          <w:rFonts w:asciiTheme="majorBidi" w:hAnsiTheme="majorBidi" w:cstheme="majorBidi"/>
          <w:i/>
          <w:iCs/>
        </w:rPr>
        <w:t>Eimeria</w:t>
      </w:r>
      <w:r w:rsidRPr="00984C3A">
        <w:rPr>
          <w:rFonts w:asciiTheme="majorBidi" w:hAnsiTheme="majorBidi" w:cstheme="majorBidi"/>
        </w:rPr>
        <w:t> oocysts was carried out using a Sedgewick-Rafter counting chamber (Graticules Ltd</w:t>
      </w:r>
      <w:r w:rsidR="00984C3A" w:rsidRPr="00984C3A">
        <w:rPr>
          <w:rFonts w:asciiTheme="majorBidi" w:hAnsiTheme="majorBidi" w:cstheme="majorBidi"/>
        </w:rPr>
        <w:t>.</w:t>
      </w:r>
      <w:r w:rsidRPr="00984C3A">
        <w:rPr>
          <w:rFonts w:asciiTheme="majorBidi" w:hAnsiTheme="majorBidi" w:cstheme="majorBidi"/>
        </w:rPr>
        <w:t xml:space="preserve"> Catalogue Ref. S50). Oocysts were counted systematically under light microscopy, and the number of oocysts per gram (OPG) was calculated according to standard methods (Johnson &amp; Reid 1970).</w:t>
      </w:r>
    </w:p>
    <w:p w14:paraId="55C8E961" w14:textId="77777777" w:rsidR="005655D1" w:rsidRPr="00984C3A" w:rsidRDefault="005655D1" w:rsidP="001157B9">
      <w:pPr>
        <w:pStyle w:val="Heading2"/>
        <w:spacing w:line="360" w:lineRule="auto"/>
        <w:jc w:val="both"/>
      </w:pPr>
      <w:r w:rsidRPr="00984C3A">
        <w:t>2.4 Stool Concentration and </w:t>
      </w:r>
      <w:r w:rsidRPr="00984C3A">
        <w:rPr>
          <w:i/>
          <w:iCs/>
        </w:rPr>
        <w:t>Cryptosporidium</w:t>
      </w:r>
      <w:r w:rsidRPr="00984C3A">
        <w:t> Microscopy</w:t>
      </w:r>
    </w:p>
    <w:p w14:paraId="17AE0F20" w14:textId="77777777" w:rsidR="005655D1" w:rsidRPr="00984C3A" w:rsidRDefault="005655D1" w:rsidP="001157B9">
      <w:pPr>
        <w:pStyle w:val="Heading3"/>
        <w:spacing w:line="360" w:lineRule="auto"/>
        <w:jc w:val="both"/>
      </w:pPr>
      <w:r w:rsidRPr="00984C3A">
        <w:t>2.4.1 Water-Ether Concentration</w:t>
      </w:r>
    </w:p>
    <w:p w14:paraId="0B86ECC9"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Prior to DNA extraction, fecal samples were subjected to water-ether concentration following the method described by Kurniawan et al. (2009).</w:t>
      </w:r>
    </w:p>
    <w:p w14:paraId="52368A4C" w14:textId="77777777" w:rsidR="005655D1" w:rsidRPr="00984C3A" w:rsidRDefault="005655D1" w:rsidP="001157B9">
      <w:pPr>
        <w:pStyle w:val="Heading3"/>
        <w:spacing w:line="360" w:lineRule="auto"/>
        <w:jc w:val="both"/>
      </w:pPr>
      <w:r w:rsidRPr="00984C3A">
        <w:t>2.4.2 Modified Acid-Fast Staining</w:t>
      </w:r>
    </w:p>
    <w:p w14:paraId="1164770E"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Smears were air-dried, heat-fixed, and stained using modified acid-fast staining according to American Society for Microbiology (2020) guidelines. Slides were examined at 400× magnification and confirmed at 1000× under oil immersion. Acid-fast, round to ovoid oocysts measuring approximately 4–6 </w:t>
      </w:r>
      <w:proofErr w:type="spellStart"/>
      <w:r w:rsidRPr="00984C3A">
        <w:rPr>
          <w:rFonts w:asciiTheme="majorBidi" w:hAnsiTheme="majorBidi" w:cstheme="majorBidi"/>
        </w:rPr>
        <w:t>μm</w:t>
      </w:r>
      <w:proofErr w:type="spellEnd"/>
      <w:r w:rsidRPr="00984C3A">
        <w:rPr>
          <w:rFonts w:asciiTheme="majorBidi" w:hAnsiTheme="majorBidi" w:cstheme="majorBidi"/>
        </w:rPr>
        <w:t xml:space="preserve"> were considered positive.</w:t>
      </w:r>
    </w:p>
    <w:p w14:paraId="563807B6" w14:textId="77777777" w:rsidR="005655D1" w:rsidRPr="00984C3A" w:rsidRDefault="005655D1" w:rsidP="001157B9">
      <w:pPr>
        <w:pStyle w:val="Heading2"/>
        <w:spacing w:line="360" w:lineRule="auto"/>
        <w:jc w:val="both"/>
      </w:pPr>
      <w:r w:rsidRPr="00984C3A">
        <w:t>2.5 DNA Extraction</w:t>
      </w:r>
    </w:p>
    <w:p w14:paraId="3E8CB0BA"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Genomic DNA was extracted from fecal sediment obtained after water-ether concentration using the </w:t>
      </w:r>
      <w:proofErr w:type="spellStart"/>
      <w:r w:rsidRPr="00984C3A">
        <w:rPr>
          <w:rFonts w:asciiTheme="majorBidi" w:hAnsiTheme="majorBidi" w:cstheme="majorBidi"/>
        </w:rPr>
        <w:t>EasyPure</w:t>
      </w:r>
      <w:proofErr w:type="spellEnd"/>
      <w:r w:rsidRPr="00984C3A">
        <w:rPr>
          <w:rFonts w:asciiTheme="majorBidi" w:hAnsiTheme="majorBidi" w:cstheme="majorBidi"/>
        </w:rPr>
        <w:t>® Stool Genomic DNA Kit (</w:t>
      </w:r>
      <w:proofErr w:type="spellStart"/>
      <w:r w:rsidRPr="00984C3A">
        <w:rPr>
          <w:rFonts w:asciiTheme="majorBidi" w:hAnsiTheme="majorBidi" w:cstheme="majorBidi"/>
        </w:rPr>
        <w:t>TransGen</w:t>
      </w:r>
      <w:proofErr w:type="spellEnd"/>
      <w:r w:rsidRPr="00984C3A">
        <w:rPr>
          <w:rFonts w:asciiTheme="majorBidi" w:hAnsiTheme="majorBidi" w:cstheme="majorBidi"/>
        </w:rPr>
        <w:t xml:space="preserve"> Biotech, China; Code EE301-01), according to the manufacturer's instructions. An initial freeze-thaw cycle (liquid nitrogen and 95°C water bath) was included to enhance oocyst lysis.</w:t>
      </w:r>
    </w:p>
    <w:p w14:paraId="3664A0B8" w14:textId="77777777" w:rsidR="005655D1" w:rsidRPr="00984C3A" w:rsidRDefault="005655D1" w:rsidP="001157B9">
      <w:pPr>
        <w:pStyle w:val="Heading3"/>
        <w:spacing w:line="360" w:lineRule="auto"/>
        <w:jc w:val="both"/>
      </w:pPr>
      <w:r w:rsidRPr="00984C3A">
        <w:t>2.6 PCR Amplification</w:t>
      </w:r>
    </w:p>
    <w:p w14:paraId="4D7681D1" w14:textId="77777777" w:rsidR="005655D1" w:rsidRPr="00984C3A" w:rsidRDefault="005655D1" w:rsidP="001157B9">
      <w:pPr>
        <w:pStyle w:val="Heading3"/>
        <w:spacing w:line="360" w:lineRule="auto"/>
        <w:jc w:val="both"/>
      </w:pPr>
      <w:r w:rsidRPr="00984C3A">
        <w:t>2.6.1 </w:t>
      </w:r>
      <w:r w:rsidRPr="00984C3A">
        <w:rPr>
          <w:i/>
          <w:iCs/>
        </w:rPr>
        <w:t>Eimeria</w:t>
      </w:r>
      <w:r w:rsidRPr="00984C3A">
        <w:t> PCR (ITS-1 Nested PCR)</w:t>
      </w:r>
    </w:p>
    <w:p w14:paraId="565F19FF"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Detection of </w:t>
      </w:r>
      <w:r w:rsidRPr="00984C3A">
        <w:rPr>
          <w:rFonts w:asciiTheme="majorBidi" w:hAnsiTheme="majorBidi" w:cstheme="majorBidi"/>
          <w:i/>
          <w:iCs/>
        </w:rPr>
        <w:t>Eimeria</w:t>
      </w:r>
      <w:r w:rsidRPr="00984C3A">
        <w:rPr>
          <w:rFonts w:asciiTheme="majorBidi" w:hAnsiTheme="majorBidi" w:cstheme="majorBidi"/>
        </w:rPr>
        <w:t> spp. was performed using a nested PCR assay targeting the ITS-1 region as described by Lew et al. (2003) using species-specific primers for </w:t>
      </w:r>
      <w:r w:rsidRPr="00984C3A">
        <w:rPr>
          <w:rFonts w:asciiTheme="majorBidi" w:hAnsiTheme="majorBidi" w:cstheme="majorBidi"/>
          <w:i/>
          <w:iCs/>
        </w:rPr>
        <w:t>E. tenella</w:t>
      </w:r>
      <w:r w:rsidRPr="00984C3A">
        <w:rPr>
          <w:rFonts w:asciiTheme="majorBidi" w:hAnsiTheme="majorBidi" w:cstheme="majorBidi"/>
        </w:rPr>
        <w:t>, </w:t>
      </w: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and </w:t>
      </w:r>
      <w:r w:rsidRPr="00984C3A">
        <w:rPr>
          <w:rFonts w:asciiTheme="majorBidi" w:hAnsiTheme="majorBidi" w:cstheme="majorBidi"/>
          <w:i/>
          <w:iCs/>
        </w:rPr>
        <w:t>E. mitis</w:t>
      </w:r>
      <w:r w:rsidRPr="00984C3A">
        <w:rPr>
          <w:rFonts w:asciiTheme="majorBidi" w:hAnsiTheme="majorBidi" w:cstheme="majorBidi"/>
        </w:rPr>
        <w:t>.</w:t>
      </w:r>
    </w:p>
    <w:p w14:paraId="19753B22"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Primary (genus-level) primers:</w:t>
      </w:r>
    </w:p>
    <w:p w14:paraId="416A459E" w14:textId="77777777" w:rsidR="005655D1" w:rsidRPr="00984C3A" w:rsidRDefault="005655D1" w:rsidP="001157B9">
      <w:pPr>
        <w:numPr>
          <w:ilvl w:val="0"/>
          <w:numId w:val="2"/>
        </w:numPr>
        <w:spacing w:line="360" w:lineRule="auto"/>
        <w:jc w:val="both"/>
        <w:rPr>
          <w:rFonts w:asciiTheme="majorBidi" w:hAnsiTheme="majorBidi" w:cstheme="majorBidi"/>
        </w:rPr>
      </w:pPr>
      <w:r w:rsidRPr="00984C3A">
        <w:rPr>
          <w:rFonts w:asciiTheme="majorBidi" w:hAnsiTheme="majorBidi" w:cstheme="majorBidi"/>
        </w:rPr>
        <w:t>EF1: 5′-AAGTTGCGTAAATAGAGCCCTC-3′</w:t>
      </w:r>
    </w:p>
    <w:p w14:paraId="24FD9611" w14:textId="77777777" w:rsidR="005655D1" w:rsidRPr="00984C3A" w:rsidRDefault="005655D1" w:rsidP="001157B9">
      <w:pPr>
        <w:numPr>
          <w:ilvl w:val="0"/>
          <w:numId w:val="2"/>
        </w:numPr>
        <w:spacing w:line="360" w:lineRule="auto"/>
        <w:jc w:val="both"/>
        <w:rPr>
          <w:rFonts w:asciiTheme="majorBidi" w:hAnsiTheme="majorBidi" w:cstheme="majorBidi"/>
        </w:rPr>
      </w:pPr>
      <w:r w:rsidRPr="00984C3A">
        <w:rPr>
          <w:rFonts w:asciiTheme="majorBidi" w:hAnsiTheme="majorBidi" w:cstheme="majorBidi"/>
        </w:rPr>
        <w:t xml:space="preserve">ER1: </w:t>
      </w:r>
      <w:proofErr w:type="gramStart"/>
      <w:r w:rsidRPr="00984C3A">
        <w:rPr>
          <w:rFonts w:asciiTheme="majorBidi" w:hAnsiTheme="majorBidi" w:cstheme="majorBidi"/>
        </w:rPr>
        <w:t>5′-</w:t>
      </w:r>
      <w:proofErr w:type="gramEnd"/>
      <w:r w:rsidRPr="00984C3A">
        <w:rPr>
          <w:rFonts w:asciiTheme="majorBidi" w:hAnsiTheme="majorBidi" w:cstheme="majorBidi"/>
        </w:rPr>
        <w:t>AGACATCCATTGCTGAAAG-3′</w:t>
      </w:r>
    </w:p>
    <w:p w14:paraId="2F72D195"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Species-specific nested primers</w:t>
      </w:r>
      <w:r w:rsidRPr="00984C3A">
        <w:rPr>
          <w:rFonts w:asciiTheme="majorBidi" w:hAnsiTheme="majorBidi" w:cstheme="majorBidi"/>
        </w:rPr>
        <w:t> were used as described in Lew et al. (2003).</w:t>
      </w:r>
    </w:p>
    <w:p w14:paraId="62DF1EF0" w14:textId="77777777" w:rsidR="005655D1" w:rsidRPr="00984C3A" w:rsidRDefault="005655D1" w:rsidP="001157B9">
      <w:pPr>
        <w:pStyle w:val="Heading3"/>
        <w:spacing w:line="360" w:lineRule="auto"/>
        <w:jc w:val="both"/>
      </w:pPr>
      <w:r w:rsidRPr="00984C3A">
        <w:t>2.6.2 </w:t>
      </w:r>
      <w:r w:rsidRPr="00984C3A">
        <w:rPr>
          <w:i/>
          <w:iCs/>
        </w:rPr>
        <w:t>Cryptosporidium</w:t>
      </w:r>
      <w:r w:rsidRPr="00984C3A">
        <w:t> PCR (LSU rRNA Nested PCR)</w:t>
      </w:r>
    </w:p>
    <w:p w14:paraId="24B2C6EA"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Detection of </w:t>
      </w:r>
      <w:r w:rsidRPr="00984C3A">
        <w:rPr>
          <w:rFonts w:asciiTheme="majorBidi" w:hAnsiTheme="majorBidi" w:cstheme="majorBidi"/>
          <w:i/>
          <w:iCs/>
        </w:rPr>
        <w:t>Cryptosporidium</w:t>
      </w:r>
      <w:r w:rsidRPr="00984C3A">
        <w:rPr>
          <w:rFonts w:asciiTheme="majorBidi" w:hAnsiTheme="majorBidi" w:cstheme="majorBidi"/>
        </w:rPr>
        <w:t> spp. was performed using nested PCR targeting the LSU rRNA gene following the protocol described by Koehler et al. (2017).</w:t>
      </w:r>
    </w:p>
    <w:p w14:paraId="7985BDCB"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Primary PCR primers:</w:t>
      </w:r>
    </w:p>
    <w:p w14:paraId="1ACF1D31" w14:textId="77777777" w:rsidR="005655D1" w:rsidRPr="00984C3A" w:rsidRDefault="005655D1" w:rsidP="001157B9">
      <w:pPr>
        <w:numPr>
          <w:ilvl w:val="0"/>
          <w:numId w:val="3"/>
        </w:numPr>
        <w:spacing w:line="360" w:lineRule="auto"/>
        <w:jc w:val="both"/>
        <w:rPr>
          <w:rFonts w:asciiTheme="majorBidi" w:hAnsiTheme="majorBidi" w:cstheme="majorBidi"/>
        </w:rPr>
      </w:pPr>
      <w:r w:rsidRPr="00984C3A">
        <w:rPr>
          <w:rFonts w:asciiTheme="majorBidi" w:hAnsiTheme="majorBidi" w:cstheme="majorBidi"/>
        </w:rPr>
        <w:t>LSU2040F: 5′-CGAATAGCCTTATCTTTGCTATTT-3′</w:t>
      </w:r>
    </w:p>
    <w:p w14:paraId="169FB1CD" w14:textId="77777777" w:rsidR="005655D1" w:rsidRPr="00984C3A" w:rsidRDefault="005655D1" w:rsidP="001157B9">
      <w:pPr>
        <w:numPr>
          <w:ilvl w:val="0"/>
          <w:numId w:val="3"/>
        </w:numPr>
        <w:spacing w:line="360" w:lineRule="auto"/>
        <w:jc w:val="both"/>
        <w:rPr>
          <w:rFonts w:asciiTheme="majorBidi" w:hAnsiTheme="majorBidi" w:cstheme="majorBidi"/>
        </w:rPr>
      </w:pPr>
      <w:r w:rsidRPr="00984C3A">
        <w:rPr>
          <w:rFonts w:asciiTheme="majorBidi" w:hAnsiTheme="majorBidi" w:cstheme="majorBidi"/>
        </w:rPr>
        <w:t>LSU3020R: 5′-GTCTTCCGCGAAGATCAG-3′</w:t>
      </w:r>
    </w:p>
    <w:p w14:paraId="0774C684"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Nested PCR primers:</w:t>
      </w:r>
    </w:p>
    <w:p w14:paraId="25F05C8B" w14:textId="77777777" w:rsidR="005655D1" w:rsidRPr="00984C3A" w:rsidRDefault="005655D1" w:rsidP="001157B9">
      <w:pPr>
        <w:numPr>
          <w:ilvl w:val="0"/>
          <w:numId w:val="4"/>
        </w:numPr>
        <w:spacing w:line="360" w:lineRule="auto"/>
        <w:jc w:val="both"/>
        <w:rPr>
          <w:rFonts w:asciiTheme="majorBidi" w:hAnsiTheme="majorBidi" w:cstheme="majorBidi"/>
        </w:rPr>
      </w:pPr>
      <w:r w:rsidRPr="00984C3A">
        <w:rPr>
          <w:rFonts w:asciiTheme="majorBidi" w:hAnsiTheme="majorBidi" w:cstheme="majorBidi"/>
        </w:rPr>
        <w:t>LSU2065F: 5′-TTACCATGGAATYAGTTCAGC-3′</w:t>
      </w:r>
    </w:p>
    <w:p w14:paraId="111B08E1" w14:textId="77777777" w:rsidR="005655D1" w:rsidRPr="00984C3A" w:rsidRDefault="005655D1" w:rsidP="001157B9">
      <w:pPr>
        <w:numPr>
          <w:ilvl w:val="0"/>
          <w:numId w:val="4"/>
        </w:numPr>
        <w:spacing w:line="360" w:lineRule="auto"/>
        <w:jc w:val="both"/>
        <w:rPr>
          <w:rFonts w:asciiTheme="majorBidi" w:hAnsiTheme="majorBidi" w:cstheme="majorBidi"/>
        </w:rPr>
      </w:pPr>
      <w:r w:rsidRPr="00984C3A">
        <w:rPr>
          <w:rFonts w:asciiTheme="majorBidi" w:hAnsiTheme="majorBidi" w:cstheme="majorBidi"/>
        </w:rPr>
        <w:t>LSU2557R: 5′-AACACCATTTTCTGGCCATC-3′</w:t>
      </w:r>
    </w:p>
    <w:p w14:paraId="5530650C"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PCR reactions were carried out using </w:t>
      </w:r>
      <w:proofErr w:type="spellStart"/>
      <w:r w:rsidRPr="00984C3A">
        <w:rPr>
          <w:rFonts w:asciiTheme="majorBidi" w:hAnsiTheme="majorBidi" w:cstheme="majorBidi"/>
        </w:rPr>
        <w:t>OneTaq</w:t>
      </w:r>
      <w:proofErr w:type="spellEnd"/>
      <w:r w:rsidRPr="00984C3A">
        <w:rPr>
          <w:rFonts w:asciiTheme="majorBidi" w:hAnsiTheme="majorBidi" w:cstheme="majorBidi"/>
        </w:rPr>
        <w:t>® Quick-Load® 2× Master Mix (New England Biolabs) in a thermal cycler (</w:t>
      </w:r>
      <w:proofErr w:type="spellStart"/>
      <w:r w:rsidRPr="00984C3A">
        <w:rPr>
          <w:rFonts w:asciiTheme="majorBidi" w:hAnsiTheme="majorBidi" w:cstheme="majorBidi"/>
        </w:rPr>
        <w:t>MultiGene</w:t>
      </w:r>
      <w:proofErr w:type="spellEnd"/>
      <w:r w:rsidRPr="00984C3A">
        <w:rPr>
          <w:rFonts w:asciiTheme="majorBidi" w:hAnsiTheme="majorBidi" w:cstheme="majorBidi"/>
        </w:rPr>
        <w:t xml:space="preserve">™, </w:t>
      </w:r>
      <w:proofErr w:type="spellStart"/>
      <w:r w:rsidRPr="00984C3A">
        <w:rPr>
          <w:rFonts w:asciiTheme="majorBidi" w:hAnsiTheme="majorBidi" w:cstheme="majorBidi"/>
        </w:rPr>
        <w:t>Labnet</w:t>
      </w:r>
      <w:proofErr w:type="spellEnd"/>
      <w:r w:rsidRPr="00984C3A">
        <w:rPr>
          <w:rFonts w:asciiTheme="majorBidi" w:hAnsiTheme="majorBidi" w:cstheme="majorBidi"/>
        </w:rPr>
        <w:t xml:space="preserve"> International). The thermal profile included an initial denaturation at 95°C for 5 minutes, followed by 34 cycles of 95°C for 30 seconds, annealing at optimized temperatures (53.6–61.1°C depending on primer set) for 30 seconds, and 72°C for 1 minute, with a final extension at 72°C for 10 minutes.</w:t>
      </w:r>
    </w:p>
    <w:p w14:paraId="3CA157E0" w14:textId="77777777" w:rsidR="005655D1" w:rsidRPr="00984C3A" w:rsidRDefault="005655D1" w:rsidP="001157B9">
      <w:pPr>
        <w:pStyle w:val="Heading2"/>
        <w:spacing w:line="360" w:lineRule="auto"/>
        <w:jc w:val="both"/>
      </w:pPr>
      <w:r w:rsidRPr="00984C3A">
        <w:t>2.7 Gel Electrophoresis</w:t>
      </w:r>
    </w:p>
    <w:p w14:paraId="14B4F00A"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PCR products were analyzed by electrophoresis on 2% agarose gels stained with ethidium bromide and visualized under UV light. A 100 bp DNA ladder was used to determine product size. Electrophoresis was performed at 120V for 35 minutes.</w:t>
      </w:r>
    </w:p>
    <w:p w14:paraId="7C6963EE" w14:textId="77777777" w:rsidR="005655D1" w:rsidRPr="00984C3A" w:rsidRDefault="005655D1" w:rsidP="001157B9">
      <w:pPr>
        <w:pStyle w:val="Heading2"/>
        <w:spacing w:line="360" w:lineRule="auto"/>
        <w:jc w:val="both"/>
      </w:pPr>
      <w:r w:rsidRPr="00984C3A">
        <w:t>2.8 Statistical Analysis</w:t>
      </w:r>
    </w:p>
    <w:p w14:paraId="722B996B" w14:textId="7EC14A41"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Data </w:t>
      </w:r>
      <w:r w:rsidR="00984C3A" w:rsidRPr="00984C3A">
        <w:rPr>
          <w:rFonts w:asciiTheme="majorBidi" w:hAnsiTheme="majorBidi" w:cstheme="majorBidi"/>
        </w:rPr>
        <w:t>was</w:t>
      </w:r>
      <w:r w:rsidRPr="00984C3A">
        <w:rPr>
          <w:rFonts w:asciiTheme="majorBidi" w:hAnsiTheme="majorBidi" w:cstheme="majorBidi"/>
        </w:rPr>
        <w:t xml:space="preserve"> analyzed using SPSS version 20. Descriptive statistics were used to summarize prevalence, oocyst counts, and species distribution. Chi-square tests were used to compare detection methods and regional differences. A p-value &lt; 0.05 was considered statistically significant.</w:t>
      </w:r>
    </w:p>
    <w:p w14:paraId="0DA996BC" w14:textId="77777777" w:rsidR="005655D1" w:rsidRPr="00984C3A" w:rsidRDefault="005655D1" w:rsidP="001157B9">
      <w:pPr>
        <w:pStyle w:val="Heading1"/>
        <w:numPr>
          <w:ilvl w:val="0"/>
          <w:numId w:val="13"/>
        </w:numPr>
        <w:spacing w:line="360" w:lineRule="auto"/>
        <w:jc w:val="both"/>
      </w:pPr>
      <w:r w:rsidRPr="00984C3A">
        <w:t>Results</w:t>
      </w:r>
    </w:p>
    <w:p w14:paraId="3E085D53" w14:textId="77777777" w:rsidR="005655D1" w:rsidRPr="00984C3A" w:rsidRDefault="005655D1" w:rsidP="001157B9">
      <w:pPr>
        <w:pStyle w:val="Heading2"/>
        <w:spacing w:line="360" w:lineRule="auto"/>
        <w:jc w:val="both"/>
      </w:pPr>
      <w:r w:rsidRPr="00984C3A">
        <w:t>3.1 Overview of Sample Analysis</w:t>
      </w:r>
    </w:p>
    <w:p w14:paraId="61F10760"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A total of 42 fecal samples were collected from 32 broiler farms across five Jordanian governorates: </w:t>
      </w:r>
      <w:proofErr w:type="spellStart"/>
      <w:r w:rsidRPr="00984C3A">
        <w:rPr>
          <w:rFonts w:asciiTheme="majorBidi" w:hAnsiTheme="majorBidi" w:cstheme="majorBidi"/>
        </w:rPr>
        <w:t>Ajloun</w:t>
      </w:r>
      <w:proofErr w:type="spellEnd"/>
      <w:r w:rsidRPr="00984C3A">
        <w:rPr>
          <w:rFonts w:asciiTheme="majorBidi" w:hAnsiTheme="majorBidi" w:cstheme="majorBidi"/>
        </w:rPr>
        <w:t xml:space="preserve"> (10 samples), Jerash (8 samples), Mafraq (9 samples), Zarqa (10 samples), and Balqa (5 samples). All samples were analyzed using integrated parasitological and molecular methods for the detection of both </w:t>
      </w:r>
      <w:r w:rsidRPr="00984C3A">
        <w:rPr>
          <w:rFonts w:asciiTheme="majorBidi" w:hAnsiTheme="majorBidi" w:cstheme="majorBidi"/>
          <w:i/>
          <w:iCs/>
        </w:rPr>
        <w:t>Eimeria</w:t>
      </w:r>
      <w:r w:rsidRPr="00984C3A">
        <w:rPr>
          <w:rFonts w:asciiTheme="majorBidi" w:hAnsiTheme="majorBidi" w:cstheme="majorBidi"/>
        </w:rPr>
        <w:t> spp. and </w:t>
      </w:r>
      <w:r w:rsidRPr="00984C3A">
        <w:rPr>
          <w:rFonts w:asciiTheme="majorBidi" w:hAnsiTheme="majorBidi" w:cstheme="majorBidi"/>
          <w:i/>
          <w:iCs/>
        </w:rPr>
        <w:t>Cryptosporidium</w:t>
      </w:r>
      <w:r w:rsidRPr="00984C3A">
        <w:rPr>
          <w:rFonts w:asciiTheme="majorBidi" w:hAnsiTheme="majorBidi" w:cstheme="majorBidi"/>
        </w:rPr>
        <w:t> spp. A summary of the key findings is presented in Table 1.</w:t>
      </w:r>
    </w:p>
    <w:p w14:paraId="76B4DFFD"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Table 1. Summary of Parasitological and Molecular Findings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47"/>
        <w:gridCol w:w="2144"/>
        <w:gridCol w:w="3239"/>
      </w:tblGrid>
      <w:tr w:rsidR="005655D1" w:rsidRPr="00984C3A" w14:paraId="00C36371" w14:textId="77777777" w:rsidTr="005B52C5">
        <w:trPr>
          <w:tblHeader/>
        </w:trPr>
        <w:tc>
          <w:tcPr>
            <w:tcW w:w="0" w:type="auto"/>
            <w:tcMar>
              <w:top w:w="150" w:type="dxa"/>
              <w:left w:w="0" w:type="dxa"/>
              <w:bottom w:w="150" w:type="dxa"/>
              <w:right w:w="240" w:type="dxa"/>
            </w:tcMar>
            <w:vAlign w:val="center"/>
            <w:hideMark/>
          </w:tcPr>
          <w:p w14:paraId="1401DF41"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Category</w:t>
            </w:r>
          </w:p>
        </w:tc>
        <w:tc>
          <w:tcPr>
            <w:tcW w:w="0" w:type="auto"/>
            <w:tcMar>
              <w:top w:w="150" w:type="dxa"/>
              <w:left w:w="240" w:type="dxa"/>
              <w:bottom w:w="150" w:type="dxa"/>
              <w:right w:w="240" w:type="dxa"/>
            </w:tcMar>
            <w:vAlign w:val="center"/>
            <w:hideMark/>
          </w:tcPr>
          <w:p w14:paraId="26DE7B49"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Parameter</w:t>
            </w:r>
          </w:p>
        </w:tc>
        <w:tc>
          <w:tcPr>
            <w:tcW w:w="0" w:type="auto"/>
            <w:tcMar>
              <w:top w:w="150" w:type="dxa"/>
              <w:left w:w="240" w:type="dxa"/>
              <w:bottom w:w="150" w:type="dxa"/>
              <w:right w:w="240" w:type="dxa"/>
            </w:tcMar>
            <w:vAlign w:val="center"/>
            <w:hideMark/>
          </w:tcPr>
          <w:p w14:paraId="402C5B9D"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Result</w:t>
            </w:r>
          </w:p>
        </w:tc>
      </w:tr>
      <w:tr w:rsidR="005655D1" w:rsidRPr="00984C3A" w14:paraId="0351E989" w14:textId="77777777" w:rsidTr="005B52C5">
        <w:tc>
          <w:tcPr>
            <w:tcW w:w="0" w:type="auto"/>
            <w:tcMar>
              <w:top w:w="150" w:type="dxa"/>
              <w:left w:w="0" w:type="dxa"/>
              <w:bottom w:w="150" w:type="dxa"/>
              <w:right w:w="240" w:type="dxa"/>
            </w:tcMar>
            <w:vAlign w:val="center"/>
            <w:hideMark/>
          </w:tcPr>
          <w:p w14:paraId="62CA8B83"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i/>
                <w:iCs/>
              </w:rPr>
              <w:t>Eimeria</w:t>
            </w:r>
            <w:r w:rsidRPr="00984C3A">
              <w:rPr>
                <w:rFonts w:asciiTheme="majorBidi" w:hAnsiTheme="majorBidi" w:cstheme="majorBidi"/>
              </w:rPr>
              <w:t> (Microscopy)</w:t>
            </w:r>
          </w:p>
        </w:tc>
        <w:tc>
          <w:tcPr>
            <w:tcW w:w="0" w:type="auto"/>
            <w:tcMar>
              <w:top w:w="150" w:type="dxa"/>
              <w:left w:w="240" w:type="dxa"/>
              <w:bottom w:w="150" w:type="dxa"/>
              <w:right w:w="240" w:type="dxa"/>
            </w:tcMar>
            <w:vAlign w:val="center"/>
            <w:hideMark/>
          </w:tcPr>
          <w:p w14:paraId="0F5719E7"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Prevalence</w:t>
            </w:r>
          </w:p>
        </w:tc>
        <w:tc>
          <w:tcPr>
            <w:tcW w:w="0" w:type="auto"/>
            <w:tcMar>
              <w:top w:w="150" w:type="dxa"/>
              <w:left w:w="240" w:type="dxa"/>
              <w:bottom w:w="150" w:type="dxa"/>
              <w:right w:w="0" w:type="dxa"/>
            </w:tcMar>
            <w:vAlign w:val="center"/>
            <w:hideMark/>
          </w:tcPr>
          <w:p w14:paraId="1B8974C8"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100% (42/42 samples positive)</w:t>
            </w:r>
          </w:p>
        </w:tc>
      </w:tr>
      <w:tr w:rsidR="005655D1" w:rsidRPr="00984C3A" w14:paraId="508F72B6" w14:textId="77777777" w:rsidTr="005B52C5">
        <w:tc>
          <w:tcPr>
            <w:tcW w:w="0" w:type="auto"/>
            <w:tcMar>
              <w:top w:w="150" w:type="dxa"/>
              <w:left w:w="0" w:type="dxa"/>
              <w:bottom w:w="150" w:type="dxa"/>
              <w:right w:w="240" w:type="dxa"/>
            </w:tcMar>
            <w:vAlign w:val="center"/>
            <w:hideMark/>
          </w:tcPr>
          <w:p w14:paraId="7878EE2E" w14:textId="77777777" w:rsidR="005655D1" w:rsidRPr="00984C3A" w:rsidRDefault="005655D1" w:rsidP="005B52C5">
            <w:pPr>
              <w:spacing w:line="240" w:lineRule="auto"/>
              <w:jc w:val="both"/>
              <w:rPr>
                <w:rFonts w:asciiTheme="majorBidi" w:hAnsiTheme="majorBidi" w:cstheme="majorBidi"/>
              </w:rPr>
            </w:pPr>
          </w:p>
        </w:tc>
        <w:tc>
          <w:tcPr>
            <w:tcW w:w="0" w:type="auto"/>
            <w:tcMar>
              <w:top w:w="150" w:type="dxa"/>
              <w:left w:w="240" w:type="dxa"/>
              <w:bottom w:w="150" w:type="dxa"/>
              <w:right w:w="240" w:type="dxa"/>
            </w:tcMar>
            <w:vAlign w:val="center"/>
            <w:hideMark/>
          </w:tcPr>
          <w:p w14:paraId="52564A81"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Oocyst count range</w:t>
            </w:r>
          </w:p>
        </w:tc>
        <w:tc>
          <w:tcPr>
            <w:tcW w:w="0" w:type="auto"/>
            <w:tcMar>
              <w:top w:w="150" w:type="dxa"/>
              <w:left w:w="240" w:type="dxa"/>
              <w:bottom w:w="150" w:type="dxa"/>
              <w:right w:w="0" w:type="dxa"/>
            </w:tcMar>
            <w:vAlign w:val="center"/>
            <w:hideMark/>
          </w:tcPr>
          <w:p w14:paraId="53752814"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20,400 – 1,532,400 OPG</w:t>
            </w:r>
          </w:p>
        </w:tc>
      </w:tr>
      <w:tr w:rsidR="005655D1" w:rsidRPr="00984C3A" w14:paraId="63FA2674" w14:textId="77777777" w:rsidTr="005B52C5">
        <w:tc>
          <w:tcPr>
            <w:tcW w:w="0" w:type="auto"/>
            <w:tcMar>
              <w:top w:w="150" w:type="dxa"/>
              <w:left w:w="0" w:type="dxa"/>
              <w:bottom w:w="150" w:type="dxa"/>
              <w:right w:w="240" w:type="dxa"/>
            </w:tcMar>
            <w:vAlign w:val="center"/>
            <w:hideMark/>
          </w:tcPr>
          <w:p w14:paraId="2A309C17" w14:textId="77777777" w:rsidR="005655D1" w:rsidRPr="00984C3A" w:rsidRDefault="005655D1" w:rsidP="005B52C5">
            <w:pPr>
              <w:spacing w:line="240" w:lineRule="auto"/>
              <w:jc w:val="both"/>
              <w:rPr>
                <w:rFonts w:asciiTheme="majorBidi" w:hAnsiTheme="majorBidi" w:cstheme="majorBidi"/>
              </w:rPr>
            </w:pPr>
          </w:p>
        </w:tc>
        <w:tc>
          <w:tcPr>
            <w:tcW w:w="0" w:type="auto"/>
            <w:tcMar>
              <w:top w:w="150" w:type="dxa"/>
              <w:left w:w="240" w:type="dxa"/>
              <w:bottom w:w="150" w:type="dxa"/>
              <w:right w:w="240" w:type="dxa"/>
            </w:tcMar>
            <w:vAlign w:val="center"/>
            <w:hideMark/>
          </w:tcPr>
          <w:p w14:paraId="25E0EE61"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Mean OPG</w:t>
            </w:r>
          </w:p>
        </w:tc>
        <w:tc>
          <w:tcPr>
            <w:tcW w:w="0" w:type="auto"/>
            <w:tcMar>
              <w:top w:w="150" w:type="dxa"/>
              <w:left w:w="240" w:type="dxa"/>
              <w:bottom w:w="150" w:type="dxa"/>
              <w:right w:w="0" w:type="dxa"/>
            </w:tcMar>
            <w:vAlign w:val="center"/>
            <w:hideMark/>
          </w:tcPr>
          <w:p w14:paraId="4125D8C7"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220,400 OPG</w:t>
            </w:r>
          </w:p>
        </w:tc>
      </w:tr>
      <w:tr w:rsidR="005655D1" w:rsidRPr="00984C3A" w14:paraId="76CF90F7" w14:textId="77777777" w:rsidTr="005B52C5">
        <w:tc>
          <w:tcPr>
            <w:tcW w:w="0" w:type="auto"/>
            <w:tcMar>
              <w:top w:w="150" w:type="dxa"/>
              <w:left w:w="0" w:type="dxa"/>
              <w:bottom w:w="150" w:type="dxa"/>
              <w:right w:w="240" w:type="dxa"/>
            </w:tcMar>
            <w:vAlign w:val="center"/>
            <w:hideMark/>
          </w:tcPr>
          <w:p w14:paraId="0EA21A05" w14:textId="77777777" w:rsidR="005655D1" w:rsidRPr="00984C3A" w:rsidRDefault="005655D1" w:rsidP="005B52C5">
            <w:pPr>
              <w:spacing w:line="240" w:lineRule="auto"/>
              <w:jc w:val="both"/>
              <w:rPr>
                <w:rFonts w:asciiTheme="majorBidi" w:hAnsiTheme="majorBidi" w:cstheme="majorBidi"/>
              </w:rPr>
            </w:pPr>
          </w:p>
        </w:tc>
        <w:tc>
          <w:tcPr>
            <w:tcW w:w="0" w:type="auto"/>
            <w:tcMar>
              <w:top w:w="150" w:type="dxa"/>
              <w:left w:w="240" w:type="dxa"/>
              <w:bottom w:w="150" w:type="dxa"/>
              <w:right w:w="240" w:type="dxa"/>
            </w:tcMar>
            <w:vAlign w:val="center"/>
            <w:hideMark/>
          </w:tcPr>
          <w:p w14:paraId="7BCCD82D"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Median OPG</w:t>
            </w:r>
          </w:p>
        </w:tc>
        <w:tc>
          <w:tcPr>
            <w:tcW w:w="0" w:type="auto"/>
            <w:tcMar>
              <w:top w:w="150" w:type="dxa"/>
              <w:left w:w="240" w:type="dxa"/>
              <w:bottom w:w="150" w:type="dxa"/>
              <w:right w:w="0" w:type="dxa"/>
            </w:tcMar>
            <w:vAlign w:val="center"/>
            <w:hideMark/>
          </w:tcPr>
          <w:p w14:paraId="7C8E368C"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142,200 OPG</w:t>
            </w:r>
          </w:p>
        </w:tc>
      </w:tr>
      <w:tr w:rsidR="005655D1" w:rsidRPr="00984C3A" w14:paraId="761D9300" w14:textId="77777777" w:rsidTr="005B52C5">
        <w:tc>
          <w:tcPr>
            <w:tcW w:w="0" w:type="auto"/>
            <w:tcMar>
              <w:top w:w="150" w:type="dxa"/>
              <w:left w:w="0" w:type="dxa"/>
              <w:bottom w:w="150" w:type="dxa"/>
              <w:right w:w="240" w:type="dxa"/>
            </w:tcMar>
            <w:vAlign w:val="center"/>
            <w:hideMark/>
          </w:tcPr>
          <w:p w14:paraId="13F95A88"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i/>
                <w:iCs/>
              </w:rPr>
              <w:t>Eimeria</w:t>
            </w:r>
            <w:r w:rsidRPr="00984C3A">
              <w:rPr>
                <w:rFonts w:asciiTheme="majorBidi" w:hAnsiTheme="majorBidi" w:cstheme="majorBidi"/>
              </w:rPr>
              <w:t> (PCR)</w:t>
            </w:r>
          </w:p>
        </w:tc>
        <w:tc>
          <w:tcPr>
            <w:tcW w:w="0" w:type="auto"/>
            <w:tcMar>
              <w:top w:w="150" w:type="dxa"/>
              <w:left w:w="240" w:type="dxa"/>
              <w:bottom w:w="150" w:type="dxa"/>
              <w:right w:w="240" w:type="dxa"/>
            </w:tcMar>
            <w:vAlign w:val="center"/>
            <w:hideMark/>
          </w:tcPr>
          <w:p w14:paraId="6012BE30"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PCR-positive</w:t>
            </w:r>
          </w:p>
        </w:tc>
        <w:tc>
          <w:tcPr>
            <w:tcW w:w="0" w:type="auto"/>
            <w:tcMar>
              <w:top w:w="150" w:type="dxa"/>
              <w:left w:w="240" w:type="dxa"/>
              <w:bottom w:w="150" w:type="dxa"/>
              <w:right w:w="0" w:type="dxa"/>
            </w:tcMar>
            <w:vAlign w:val="center"/>
            <w:hideMark/>
          </w:tcPr>
          <w:p w14:paraId="4A172CC6"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38/42 (90.5%)</w:t>
            </w:r>
          </w:p>
        </w:tc>
      </w:tr>
      <w:tr w:rsidR="005655D1" w:rsidRPr="00984C3A" w14:paraId="75430265" w14:textId="77777777" w:rsidTr="005B52C5">
        <w:tc>
          <w:tcPr>
            <w:tcW w:w="0" w:type="auto"/>
            <w:tcMar>
              <w:top w:w="150" w:type="dxa"/>
              <w:left w:w="0" w:type="dxa"/>
              <w:bottom w:w="150" w:type="dxa"/>
              <w:right w:w="240" w:type="dxa"/>
            </w:tcMar>
            <w:vAlign w:val="center"/>
            <w:hideMark/>
          </w:tcPr>
          <w:p w14:paraId="679D567E" w14:textId="77777777" w:rsidR="005655D1" w:rsidRPr="00984C3A" w:rsidRDefault="005655D1" w:rsidP="005B52C5">
            <w:pPr>
              <w:spacing w:line="240" w:lineRule="auto"/>
              <w:jc w:val="both"/>
              <w:rPr>
                <w:rFonts w:asciiTheme="majorBidi" w:hAnsiTheme="majorBidi" w:cstheme="majorBidi"/>
              </w:rPr>
            </w:pPr>
          </w:p>
        </w:tc>
        <w:tc>
          <w:tcPr>
            <w:tcW w:w="0" w:type="auto"/>
            <w:tcMar>
              <w:top w:w="150" w:type="dxa"/>
              <w:left w:w="240" w:type="dxa"/>
              <w:bottom w:w="150" w:type="dxa"/>
              <w:right w:w="240" w:type="dxa"/>
            </w:tcMar>
            <w:vAlign w:val="center"/>
            <w:hideMark/>
          </w:tcPr>
          <w:p w14:paraId="1A0C0468"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Most prevalent species</w:t>
            </w:r>
          </w:p>
        </w:tc>
        <w:tc>
          <w:tcPr>
            <w:tcW w:w="0" w:type="auto"/>
            <w:tcMar>
              <w:top w:w="150" w:type="dxa"/>
              <w:left w:w="240" w:type="dxa"/>
              <w:bottom w:w="150" w:type="dxa"/>
              <w:right w:w="0" w:type="dxa"/>
            </w:tcMar>
            <w:vAlign w:val="center"/>
            <w:hideMark/>
          </w:tcPr>
          <w:p w14:paraId="5A11BB15"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i/>
                <w:iCs/>
              </w:rPr>
              <w:t>E. tenella</w:t>
            </w:r>
            <w:r w:rsidRPr="00984C3A">
              <w:rPr>
                <w:rFonts w:asciiTheme="majorBidi" w:hAnsiTheme="majorBidi" w:cstheme="majorBidi"/>
              </w:rPr>
              <w:t> (60.5% positive)</w:t>
            </w:r>
          </w:p>
        </w:tc>
      </w:tr>
      <w:tr w:rsidR="005655D1" w:rsidRPr="00984C3A" w14:paraId="780B0ED1" w14:textId="77777777" w:rsidTr="005B52C5">
        <w:tc>
          <w:tcPr>
            <w:tcW w:w="0" w:type="auto"/>
            <w:tcMar>
              <w:top w:w="150" w:type="dxa"/>
              <w:left w:w="0" w:type="dxa"/>
              <w:bottom w:w="150" w:type="dxa"/>
              <w:right w:w="240" w:type="dxa"/>
            </w:tcMar>
            <w:vAlign w:val="center"/>
            <w:hideMark/>
          </w:tcPr>
          <w:p w14:paraId="26BFE0DE" w14:textId="77777777" w:rsidR="005655D1" w:rsidRPr="00984C3A" w:rsidRDefault="005655D1" w:rsidP="005B52C5">
            <w:pPr>
              <w:spacing w:line="240" w:lineRule="auto"/>
              <w:jc w:val="both"/>
              <w:rPr>
                <w:rFonts w:asciiTheme="majorBidi" w:hAnsiTheme="majorBidi" w:cstheme="majorBidi"/>
              </w:rPr>
            </w:pPr>
          </w:p>
        </w:tc>
        <w:tc>
          <w:tcPr>
            <w:tcW w:w="0" w:type="auto"/>
            <w:tcMar>
              <w:top w:w="150" w:type="dxa"/>
              <w:left w:w="240" w:type="dxa"/>
              <w:bottom w:w="150" w:type="dxa"/>
              <w:right w:w="240" w:type="dxa"/>
            </w:tcMar>
            <w:vAlign w:val="center"/>
            <w:hideMark/>
          </w:tcPr>
          <w:p w14:paraId="2A226803"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Other detected species</w:t>
            </w:r>
          </w:p>
        </w:tc>
        <w:tc>
          <w:tcPr>
            <w:tcW w:w="0" w:type="auto"/>
            <w:tcMar>
              <w:top w:w="150" w:type="dxa"/>
              <w:left w:w="240" w:type="dxa"/>
              <w:bottom w:w="150" w:type="dxa"/>
              <w:right w:w="0" w:type="dxa"/>
            </w:tcMar>
            <w:vAlign w:val="center"/>
            <w:hideMark/>
          </w:tcPr>
          <w:p w14:paraId="04FCF9E2"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(36.8%), </w:t>
            </w:r>
            <w:r w:rsidRPr="00984C3A">
              <w:rPr>
                <w:rFonts w:asciiTheme="majorBidi" w:hAnsiTheme="majorBidi" w:cstheme="majorBidi"/>
                <w:i/>
                <w:iCs/>
              </w:rPr>
              <w:t>E. mitis</w:t>
            </w:r>
            <w:r w:rsidRPr="00984C3A">
              <w:rPr>
                <w:rFonts w:asciiTheme="majorBidi" w:hAnsiTheme="majorBidi" w:cstheme="majorBidi"/>
              </w:rPr>
              <w:t> (5.3%)</w:t>
            </w:r>
          </w:p>
        </w:tc>
      </w:tr>
      <w:tr w:rsidR="005655D1" w:rsidRPr="00984C3A" w14:paraId="6696C41D" w14:textId="77777777" w:rsidTr="005B52C5">
        <w:tc>
          <w:tcPr>
            <w:tcW w:w="0" w:type="auto"/>
            <w:tcMar>
              <w:top w:w="150" w:type="dxa"/>
              <w:left w:w="0" w:type="dxa"/>
              <w:bottom w:w="150" w:type="dxa"/>
              <w:right w:w="240" w:type="dxa"/>
            </w:tcMar>
            <w:vAlign w:val="center"/>
            <w:hideMark/>
          </w:tcPr>
          <w:p w14:paraId="5B445F36" w14:textId="77777777" w:rsidR="005655D1" w:rsidRPr="00984C3A" w:rsidRDefault="005655D1" w:rsidP="005B52C5">
            <w:pPr>
              <w:spacing w:line="240" w:lineRule="auto"/>
              <w:jc w:val="both"/>
              <w:rPr>
                <w:rFonts w:asciiTheme="majorBidi" w:hAnsiTheme="majorBidi" w:cstheme="majorBidi"/>
              </w:rPr>
            </w:pPr>
          </w:p>
        </w:tc>
        <w:tc>
          <w:tcPr>
            <w:tcW w:w="0" w:type="auto"/>
            <w:tcMar>
              <w:top w:w="150" w:type="dxa"/>
              <w:left w:w="240" w:type="dxa"/>
              <w:bottom w:w="150" w:type="dxa"/>
              <w:right w:w="240" w:type="dxa"/>
            </w:tcMar>
            <w:vAlign w:val="center"/>
            <w:hideMark/>
          </w:tcPr>
          <w:p w14:paraId="69057B0C"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Mixed infections</w:t>
            </w:r>
          </w:p>
        </w:tc>
        <w:tc>
          <w:tcPr>
            <w:tcW w:w="0" w:type="auto"/>
            <w:tcMar>
              <w:top w:w="150" w:type="dxa"/>
              <w:left w:w="240" w:type="dxa"/>
              <w:bottom w:w="150" w:type="dxa"/>
              <w:right w:w="0" w:type="dxa"/>
            </w:tcMar>
            <w:vAlign w:val="center"/>
            <w:hideMark/>
          </w:tcPr>
          <w:p w14:paraId="124E72CC"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10/38 (26.3%)</w:t>
            </w:r>
          </w:p>
        </w:tc>
      </w:tr>
      <w:tr w:rsidR="005655D1" w:rsidRPr="00984C3A" w14:paraId="67E58543" w14:textId="77777777" w:rsidTr="005B52C5">
        <w:tc>
          <w:tcPr>
            <w:tcW w:w="0" w:type="auto"/>
            <w:tcMar>
              <w:top w:w="150" w:type="dxa"/>
              <w:left w:w="0" w:type="dxa"/>
              <w:bottom w:w="150" w:type="dxa"/>
              <w:right w:w="240" w:type="dxa"/>
            </w:tcMar>
            <w:vAlign w:val="center"/>
            <w:hideMark/>
          </w:tcPr>
          <w:p w14:paraId="40EE7BBB"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i/>
                <w:iCs/>
              </w:rPr>
              <w:t>Cryptosporidium</w:t>
            </w:r>
            <w:r w:rsidRPr="00984C3A">
              <w:rPr>
                <w:rFonts w:asciiTheme="majorBidi" w:hAnsiTheme="majorBidi" w:cstheme="majorBidi"/>
              </w:rPr>
              <w:t> (Microscopy)</w:t>
            </w:r>
          </w:p>
        </w:tc>
        <w:tc>
          <w:tcPr>
            <w:tcW w:w="0" w:type="auto"/>
            <w:tcMar>
              <w:top w:w="150" w:type="dxa"/>
              <w:left w:w="240" w:type="dxa"/>
              <w:bottom w:w="150" w:type="dxa"/>
              <w:right w:w="240" w:type="dxa"/>
            </w:tcMar>
            <w:vAlign w:val="center"/>
            <w:hideMark/>
          </w:tcPr>
          <w:p w14:paraId="180D7DB1"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Positive samples</w:t>
            </w:r>
          </w:p>
        </w:tc>
        <w:tc>
          <w:tcPr>
            <w:tcW w:w="0" w:type="auto"/>
            <w:tcMar>
              <w:top w:w="150" w:type="dxa"/>
              <w:left w:w="240" w:type="dxa"/>
              <w:bottom w:w="150" w:type="dxa"/>
              <w:right w:w="0" w:type="dxa"/>
            </w:tcMar>
            <w:vAlign w:val="center"/>
            <w:hideMark/>
          </w:tcPr>
          <w:p w14:paraId="589BB116"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2/42 (4.8%)</w:t>
            </w:r>
          </w:p>
        </w:tc>
      </w:tr>
      <w:tr w:rsidR="005655D1" w:rsidRPr="00984C3A" w14:paraId="5F8C963C" w14:textId="77777777" w:rsidTr="005B52C5">
        <w:tc>
          <w:tcPr>
            <w:tcW w:w="0" w:type="auto"/>
            <w:tcMar>
              <w:top w:w="150" w:type="dxa"/>
              <w:left w:w="0" w:type="dxa"/>
              <w:bottom w:w="150" w:type="dxa"/>
              <w:right w:w="240" w:type="dxa"/>
            </w:tcMar>
            <w:vAlign w:val="center"/>
            <w:hideMark/>
          </w:tcPr>
          <w:p w14:paraId="6B36473C"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i/>
                <w:iCs/>
              </w:rPr>
              <w:t>Cryptosporidium</w:t>
            </w:r>
            <w:r w:rsidRPr="00984C3A">
              <w:rPr>
                <w:rFonts w:asciiTheme="majorBidi" w:hAnsiTheme="majorBidi" w:cstheme="majorBidi"/>
              </w:rPr>
              <w:t> (PCR)</w:t>
            </w:r>
          </w:p>
        </w:tc>
        <w:tc>
          <w:tcPr>
            <w:tcW w:w="0" w:type="auto"/>
            <w:tcMar>
              <w:top w:w="150" w:type="dxa"/>
              <w:left w:w="240" w:type="dxa"/>
              <w:bottom w:w="150" w:type="dxa"/>
              <w:right w:w="240" w:type="dxa"/>
            </w:tcMar>
            <w:vAlign w:val="center"/>
            <w:hideMark/>
          </w:tcPr>
          <w:p w14:paraId="1C57B838"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Positive samples</w:t>
            </w:r>
          </w:p>
        </w:tc>
        <w:tc>
          <w:tcPr>
            <w:tcW w:w="0" w:type="auto"/>
            <w:tcMar>
              <w:top w:w="150" w:type="dxa"/>
              <w:left w:w="240" w:type="dxa"/>
              <w:bottom w:w="150" w:type="dxa"/>
              <w:right w:w="0" w:type="dxa"/>
            </w:tcMar>
            <w:vAlign w:val="center"/>
            <w:hideMark/>
          </w:tcPr>
          <w:p w14:paraId="6C42F3B7"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21/42 (50.0%)</w:t>
            </w:r>
          </w:p>
        </w:tc>
      </w:tr>
    </w:tbl>
    <w:p w14:paraId="2F6C6539" w14:textId="77777777" w:rsidR="005655D1" w:rsidRPr="00984C3A" w:rsidRDefault="005655D1" w:rsidP="001157B9">
      <w:pPr>
        <w:spacing w:line="360" w:lineRule="auto"/>
        <w:jc w:val="both"/>
        <w:rPr>
          <w:rFonts w:asciiTheme="majorBidi" w:hAnsiTheme="majorBidi" w:cstheme="majorBidi"/>
          <w:b/>
          <w:bCs/>
        </w:rPr>
      </w:pPr>
      <w:r w:rsidRPr="00984C3A">
        <w:rPr>
          <w:rFonts w:asciiTheme="majorBidi" w:hAnsiTheme="majorBidi" w:cstheme="majorBidi"/>
          <w:b/>
          <w:bCs/>
        </w:rPr>
        <w:t>3.2 Detection and Quantification of </w:t>
      </w:r>
      <w:r w:rsidRPr="00984C3A">
        <w:rPr>
          <w:rFonts w:asciiTheme="majorBidi" w:hAnsiTheme="majorBidi" w:cstheme="majorBidi"/>
          <w:b/>
          <w:bCs/>
          <w:i/>
          <w:iCs/>
        </w:rPr>
        <w:t>Eimeria</w:t>
      </w:r>
      <w:r w:rsidRPr="00984C3A">
        <w:rPr>
          <w:rFonts w:asciiTheme="majorBidi" w:hAnsiTheme="majorBidi" w:cstheme="majorBidi"/>
          <w:b/>
          <w:bCs/>
        </w:rPr>
        <w:t> spp.</w:t>
      </w:r>
    </w:p>
    <w:p w14:paraId="6C7404FC" w14:textId="77777777" w:rsidR="005655D1" w:rsidRPr="00984C3A" w:rsidRDefault="005655D1" w:rsidP="001157B9">
      <w:pPr>
        <w:spacing w:line="360" w:lineRule="auto"/>
        <w:jc w:val="both"/>
        <w:rPr>
          <w:rFonts w:asciiTheme="majorBidi" w:hAnsiTheme="majorBidi" w:cstheme="majorBidi"/>
          <w:b/>
          <w:bCs/>
        </w:rPr>
      </w:pPr>
      <w:r w:rsidRPr="00984C3A">
        <w:rPr>
          <w:rFonts w:asciiTheme="majorBidi" w:hAnsiTheme="majorBidi" w:cstheme="majorBidi"/>
          <w:b/>
          <w:bCs/>
        </w:rPr>
        <w:t>3.2.1 Prevalence and Oocyst Burden</w:t>
      </w:r>
    </w:p>
    <w:p w14:paraId="39F02A1D"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All 42 samples (100%) were positive for </w:t>
      </w:r>
      <w:r w:rsidRPr="00984C3A">
        <w:rPr>
          <w:rFonts w:asciiTheme="majorBidi" w:hAnsiTheme="majorBidi" w:cstheme="majorBidi"/>
          <w:i/>
          <w:iCs/>
        </w:rPr>
        <w:t>Eimeria</w:t>
      </w:r>
      <w:r w:rsidRPr="00984C3A">
        <w:rPr>
          <w:rFonts w:asciiTheme="majorBidi" w:hAnsiTheme="majorBidi" w:cstheme="majorBidi"/>
        </w:rPr>
        <w:t> oocysts using the salt flotation technique, demonstrating ubiquitous prevalence across all farms and regions.</w:t>
      </w:r>
    </w:p>
    <w:p w14:paraId="4D8C6A09"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Quantitative analysis using a Sedgewick-Rafter counting chamber revealed that oocyst counts ranged from 20,400 to 1,532,400 oocysts per gram (OPG), with a mean of 220,400 OPG and a median of 142,200 OPG. The distribution of OPG values is presented in Table 2.</w:t>
      </w:r>
    </w:p>
    <w:p w14:paraId="1ECCAA65"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Table 2. Distribution of </w:t>
      </w:r>
      <w:r w:rsidRPr="00984C3A">
        <w:rPr>
          <w:rFonts w:asciiTheme="majorBidi" w:hAnsiTheme="majorBidi" w:cstheme="majorBidi"/>
          <w:b/>
          <w:bCs/>
          <w:i/>
          <w:iCs/>
        </w:rPr>
        <w:t>Eimeria</w:t>
      </w:r>
      <w:r w:rsidRPr="00984C3A">
        <w:rPr>
          <w:rFonts w:asciiTheme="majorBidi" w:hAnsiTheme="majorBidi" w:cstheme="majorBidi"/>
          <w:b/>
          <w:bCs/>
        </w:rPr>
        <w:t> Oocyst Counts (OPG)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40"/>
        <w:gridCol w:w="2400"/>
        <w:gridCol w:w="1533"/>
      </w:tblGrid>
      <w:tr w:rsidR="005655D1" w:rsidRPr="00984C3A" w14:paraId="3FFA20CB" w14:textId="77777777" w:rsidTr="005B52C5">
        <w:trPr>
          <w:tblHeader/>
        </w:trPr>
        <w:tc>
          <w:tcPr>
            <w:tcW w:w="0" w:type="auto"/>
            <w:tcMar>
              <w:top w:w="150" w:type="dxa"/>
              <w:left w:w="0" w:type="dxa"/>
              <w:bottom w:w="150" w:type="dxa"/>
              <w:right w:w="240" w:type="dxa"/>
            </w:tcMar>
            <w:vAlign w:val="center"/>
            <w:hideMark/>
          </w:tcPr>
          <w:p w14:paraId="2CB1B757"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OPG Range</w:t>
            </w:r>
          </w:p>
        </w:tc>
        <w:tc>
          <w:tcPr>
            <w:tcW w:w="0" w:type="auto"/>
            <w:tcMar>
              <w:top w:w="150" w:type="dxa"/>
              <w:left w:w="240" w:type="dxa"/>
              <w:bottom w:w="150" w:type="dxa"/>
              <w:right w:w="240" w:type="dxa"/>
            </w:tcMar>
            <w:vAlign w:val="center"/>
            <w:hideMark/>
          </w:tcPr>
          <w:p w14:paraId="38D3457E"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Number of Samples</w:t>
            </w:r>
          </w:p>
        </w:tc>
        <w:tc>
          <w:tcPr>
            <w:tcW w:w="0" w:type="auto"/>
            <w:tcMar>
              <w:top w:w="150" w:type="dxa"/>
              <w:left w:w="240" w:type="dxa"/>
              <w:bottom w:w="150" w:type="dxa"/>
              <w:right w:w="240" w:type="dxa"/>
            </w:tcMar>
            <w:vAlign w:val="center"/>
            <w:hideMark/>
          </w:tcPr>
          <w:p w14:paraId="1C1DD827"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Percentage</w:t>
            </w:r>
          </w:p>
        </w:tc>
      </w:tr>
      <w:tr w:rsidR="005655D1" w:rsidRPr="00984C3A" w14:paraId="4475ADB0" w14:textId="77777777" w:rsidTr="005B52C5">
        <w:tc>
          <w:tcPr>
            <w:tcW w:w="0" w:type="auto"/>
            <w:tcMar>
              <w:top w:w="150" w:type="dxa"/>
              <w:left w:w="0" w:type="dxa"/>
              <w:bottom w:w="150" w:type="dxa"/>
              <w:right w:w="240" w:type="dxa"/>
            </w:tcMar>
            <w:vAlign w:val="center"/>
            <w:hideMark/>
          </w:tcPr>
          <w:p w14:paraId="79C8D04D"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&lt; 50,000</w:t>
            </w:r>
          </w:p>
        </w:tc>
        <w:tc>
          <w:tcPr>
            <w:tcW w:w="0" w:type="auto"/>
            <w:tcMar>
              <w:top w:w="150" w:type="dxa"/>
              <w:left w:w="240" w:type="dxa"/>
              <w:bottom w:w="150" w:type="dxa"/>
              <w:right w:w="240" w:type="dxa"/>
            </w:tcMar>
            <w:vAlign w:val="center"/>
            <w:hideMark/>
          </w:tcPr>
          <w:p w14:paraId="27EC21E5"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5</w:t>
            </w:r>
          </w:p>
        </w:tc>
        <w:tc>
          <w:tcPr>
            <w:tcW w:w="0" w:type="auto"/>
            <w:tcMar>
              <w:top w:w="150" w:type="dxa"/>
              <w:left w:w="240" w:type="dxa"/>
              <w:bottom w:w="150" w:type="dxa"/>
              <w:right w:w="0" w:type="dxa"/>
            </w:tcMar>
            <w:vAlign w:val="center"/>
            <w:hideMark/>
          </w:tcPr>
          <w:p w14:paraId="28DD14DA"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11.9%</w:t>
            </w:r>
          </w:p>
        </w:tc>
      </w:tr>
      <w:tr w:rsidR="005655D1" w:rsidRPr="00984C3A" w14:paraId="72ACFC6F" w14:textId="77777777" w:rsidTr="005B52C5">
        <w:tc>
          <w:tcPr>
            <w:tcW w:w="0" w:type="auto"/>
            <w:tcMar>
              <w:top w:w="150" w:type="dxa"/>
              <w:left w:w="0" w:type="dxa"/>
              <w:bottom w:w="150" w:type="dxa"/>
              <w:right w:w="240" w:type="dxa"/>
            </w:tcMar>
            <w:vAlign w:val="center"/>
            <w:hideMark/>
          </w:tcPr>
          <w:p w14:paraId="7194FF25"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50,000 – 99,999</w:t>
            </w:r>
          </w:p>
        </w:tc>
        <w:tc>
          <w:tcPr>
            <w:tcW w:w="0" w:type="auto"/>
            <w:tcMar>
              <w:top w:w="150" w:type="dxa"/>
              <w:left w:w="240" w:type="dxa"/>
              <w:bottom w:w="150" w:type="dxa"/>
              <w:right w:w="240" w:type="dxa"/>
            </w:tcMar>
            <w:vAlign w:val="center"/>
            <w:hideMark/>
          </w:tcPr>
          <w:p w14:paraId="7C0D0FD8"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4</w:t>
            </w:r>
          </w:p>
        </w:tc>
        <w:tc>
          <w:tcPr>
            <w:tcW w:w="0" w:type="auto"/>
            <w:tcMar>
              <w:top w:w="150" w:type="dxa"/>
              <w:left w:w="240" w:type="dxa"/>
              <w:bottom w:w="150" w:type="dxa"/>
              <w:right w:w="0" w:type="dxa"/>
            </w:tcMar>
            <w:vAlign w:val="center"/>
            <w:hideMark/>
          </w:tcPr>
          <w:p w14:paraId="1C25D6C5"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9.5%</w:t>
            </w:r>
          </w:p>
        </w:tc>
      </w:tr>
      <w:tr w:rsidR="005655D1" w:rsidRPr="00984C3A" w14:paraId="7F9BB1E5" w14:textId="77777777" w:rsidTr="005B52C5">
        <w:tc>
          <w:tcPr>
            <w:tcW w:w="0" w:type="auto"/>
            <w:tcMar>
              <w:top w:w="150" w:type="dxa"/>
              <w:left w:w="0" w:type="dxa"/>
              <w:bottom w:w="150" w:type="dxa"/>
              <w:right w:w="240" w:type="dxa"/>
            </w:tcMar>
            <w:vAlign w:val="center"/>
            <w:hideMark/>
          </w:tcPr>
          <w:p w14:paraId="715D295B"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100,000 – 199,999</w:t>
            </w:r>
          </w:p>
        </w:tc>
        <w:tc>
          <w:tcPr>
            <w:tcW w:w="0" w:type="auto"/>
            <w:tcMar>
              <w:top w:w="150" w:type="dxa"/>
              <w:left w:w="240" w:type="dxa"/>
              <w:bottom w:w="150" w:type="dxa"/>
              <w:right w:w="240" w:type="dxa"/>
            </w:tcMar>
            <w:vAlign w:val="center"/>
            <w:hideMark/>
          </w:tcPr>
          <w:p w14:paraId="1E086BCA"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14</w:t>
            </w:r>
          </w:p>
        </w:tc>
        <w:tc>
          <w:tcPr>
            <w:tcW w:w="0" w:type="auto"/>
            <w:tcMar>
              <w:top w:w="150" w:type="dxa"/>
              <w:left w:w="240" w:type="dxa"/>
              <w:bottom w:w="150" w:type="dxa"/>
              <w:right w:w="0" w:type="dxa"/>
            </w:tcMar>
            <w:vAlign w:val="center"/>
            <w:hideMark/>
          </w:tcPr>
          <w:p w14:paraId="441BF53B"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33.3%</w:t>
            </w:r>
          </w:p>
        </w:tc>
      </w:tr>
      <w:tr w:rsidR="005655D1" w:rsidRPr="00984C3A" w14:paraId="3C0D38E4" w14:textId="77777777" w:rsidTr="005B52C5">
        <w:tc>
          <w:tcPr>
            <w:tcW w:w="0" w:type="auto"/>
            <w:tcMar>
              <w:top w:w="150" w:type="dxa"/>
              <w:left w:w="0" w:type="dxa"/>
              <w:bottom w:w="150" w:type="dxa"/>
              <w:right w:w="240" w:type="dxa"/>
            </w:tcMar>
            <w:vAlign w:val="center"/>
            <w:hideMark/>
          </w:tcPr>
          <w:p w14:paraId="130499C0"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200,000 – 299,999</w:t>
            </w:r>
          </w:p>
        </w:tc>
        <w:tc>
          <w:tcPr>
            <w:tcW w:w="0" w:type="auto"/>
            <w:tcMar>
              <w:top w:w="150" w:type="dxa"/>
              <w:left w:w="240" w:type="dxa"/>
              <w:bottom w:w="150" w:type="dxa"/>
              <w:right w:w="240" w:type="dxa"/>
            </w:tcMar>
            <w:vAlign w:val="center"/>
            <w:hideMark/>
          </w:tcPr>
          <w:p w14:paraId="328B2275"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10</w:t>
            </w:r>
          </w:p>
        </w:tc>
        <w:tc>
          <w:tcPr>
            <w:tcW w:w="0" w:type="auto"/>
            <w:tcMar>
              <w:top w:w="150" w:type="dxa"/>
              <w:left w:w="240" w:type="dxa"/>
              <w:bottom w:w="150" w:type="dxa"/>
              <w:right w:w="0" w:type="dxa"/>
            </w:tcMar>
            <w:vAlign w:val="center"/>
            <w:hideMark/>
          </w:tcPr>
          <w:p w14:paraId="1EB5B5D4"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23.8%</w:t>
            </w:r>
          </w:p>
        </w:tc>
      </w:tr>
      <w:tr w:rsidR="005655D1" w:rsidRPr="00984C3A" w14:paraId="02FB359E" w14:textId="77777777" w:rsidTr="005B52C5">
        <w:tc>
          <w:tcPr>
            <w:tcW w:w="0" w:type="auto"/>
            <w:tcMar>
              <w:top w:w="150" w:type="dxa"/>
              <w:left w:w="0" w:type="dxa"/>
              <w:bottom w:w="150" w:type="dxa"/>
              <w:right w:w="240" w:type="dxa"/>
            </w:tcMar>
            <w:vAlign w:val="center"/>
            <w:hideMark/>
          </w:tcPr>
          <w:p w14:paraId="624C697A"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300,000 – 399,999</w:t>
            </w:r>
          </w:p>
        </w:tc>
        <w:tc>
          <w:tcPr>
            <w:tcW w:w="0" w:type="auto"/>
            <w:tcMar>
              <w:top w:w="150" w:type="dxa"/>
              <w:left w:w="240" w:type="dxa"/>
              <w:bottom w:w="150" w:type="dxa"/>
              <w:right w:w="240" w:type="dxa"/>
            </w:tcMar>
            <w:vAlign w:val="center"/>
            <w:hideMark/>
          </w:tcPr>
          <w:p w14:paraId="287767AE"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6</w:t>
            </w:r>
          </w:p>
        </w:tc>
        <w:tc>
          <w:tcPr>
            <w:tcW w:w="0" w:type="auto"/>
            <w:tcMar>
              <w:top w:w="150" w:type="dxa"/>
              <w:left w:w="240" w:type="dxa"/>
              <w:bottom w:w="150" w:type="dxa"/>
              <w:right w:w="0" w:type="dxa"/>
            </w:tcMar>
            <w:vAlign w:val="center"/>
            <w:hideMark/>
          </w:tcPr>
          <w:p w14:paraId="07D14971"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14.3%</w:t>
            </w:r>
          </w:p>
        </w:tc>
      </w:tr>
      <w:tr w:rsidR="005655D1" w:rsidRPr="00984C3A" w14:paraId="5A378694" w14:textId="77777777" w:rsidTr="005B52C5">
        <w:tc>
          <w:tcPr>
            <w:tcW w:w="0" w:type="auto"/>
            <w:tcMar>
              <w:top w:w="150" w:type="dxa"/>
              <w:left w:w="0" w:type="dxa"/>
              <w:bottom w:w="150" w:type="dxa"/>
              <w:right w:w="240" w:type="dxa"/>
            </w:tcMar>
            <w:vAlign w:val="center"/>
            <w:hideMark/>
          </w:tcPr>
          <w:p w14:paraId="7A449F66"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 400,000</w:t>
            </w:r>
          </w:p>
        </w:tc>
        <w:tc>
          <w:tcPr>
            <w:tcW w:w="0" w:type="auto"/>
            <w:tcMar>
              <w:top w:w="150" w:type="dxa"/>
              <w:left w:w="240" w:type="dxa"/>
              <w:bottom w:w="150" w:type="dxa"/>
              <w:right w:w="240" w:type="dxa"/>
            </w:tcMar>
            <w:vAlign w:val="center"/>
            <w:hideMark/>
          </w:tcPr>
          <w:p w14:paraId="35A40451"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3</w:t>
            </w:r>
          </w:p>
        </w:tc>
        <w:tc>
          <w:tcPr>
            <w:tcW w:w="0" w:type="auto"/>
            <w:tcMar>
              <w:top w:w="150" w:type="dxa"/>
              <w:left w:w="240" w:type="dxa"/>
              <w:bottom w:w="150" w:type="dxa"/>
              <w:right w:w="0" w:type="dxa"/>
            </w:tcMar>
            <w:vAlign w:val="center"/>
            <w:hideMark/>
          </w:tcPr>
          <w:p w14:paraId="7046765B"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7.1%</w:t>
            </w:r>
          </w:p>
        </w:tc>
      </w:tr>
      <w:tr w:rsidR="005655D1" w:rsidRPr="00984C3A" w14:paraId="0BBB2714" w14:textId="77777777" w:rsidTr="005B52C5">
        <w:tc>
          <w:tcPr>
            <w:tcW w:w="0" w:type="auto"/>
            <w:tcMar>
              <w:top w:w="150" w:type="dxa"/>
              <w:left w:w="0" w:type="dxa"/>
              <w:bottom w:w="150" w:type="dxa"/>
              <w:right w:w="240" w:type="dxa"/>
            </w:tcMar>
            <w:vAlign w:val="center"/>
            <w:hideMark/>
          </w:tcPr>
          <w:p w14:paraId="1F32CFFB"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b/>
                <w:bCs/>
              </w:rPr>
              <w:t>Total</w:t>
            </w:r>
          </w:p>
        </w:tc>
        <w:tc>
          <w:tcPr>
            <w:tcW w:w="0" w:type="auto"/>
            <w:tcMar>
              <w:top w:w="150" w:type="dxa"/>
              <w:left w:w="240" w:type="dxa"/>
              <w:bottom w:w="150" w:type="dxa"/>
              <w:right w:w="240" w:type="dxa"/>
            </w:tcMar>
            <w:vAlign w:val="center"/>
            <w:hideMark/>
          </w:tcPr>
          <w:p w14:paraId="7B619F74"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b/>
                <w:bCs/>
              </w:rPr>
              <w:t>42</w:t>
            </w:r>
          </w:p>
        </w:tc>
        <w:tc>
          <w:tcPr>
            <w:tcW w:w="0" w:type="auto"/>
            <w:tcMar>
              <w:top w:w="150" w:type="dxa"/>
              <w:left w:w="240" w:type="dxa"/>
              <w:bottom w:w="150" w:type="dxa"/>
              <w:right w:w="0" w:type="dxa"/>
            </w:tcMar>
            <w:vAlign w:val="center"/>
            <w:hideMark/>
          </w:tcPr>
          <w:p w14:paraId="6B2F2C16"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b/>
                <w:bCs/>
              </w:rPr>
              <w:t>100%</w:t>
            </w:r>
          </w:p>
        </w:tc>
      </w:tr>
    </w:tbl>
    <w:p w14:paraId="25D6F113"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The highest OPG count (1,532,400 OPG) was observed in sample </w:t>
      </w:r>
      <w:proofErr w:type="gramStart"/>
      <w:r w:rsidRPr="00984C3A">
        <w:rPr>
          <w:rFonts w:asciiTheme="majorBidi" w:hAnsiTheme="majorBidi" w:cstheme="majorBidi"/>
        </w:rPr>
        <w:t>J(</w:t>
      </w:r>
      <w:proofErr w:type="gramEnd"/>
      <w:r w:rsidRPr="00984C3A">
        <w:rPr>
          <w:rFonts w:asciiTheme="majorBidi" w:hAnsiTheme="majorBidi" w:cstheme="majorBidi"/>
        </w:rPr>
        <w:t xml:space="preserve">7-1) from Jerash, while the lowest (20,400 OPG) was observed in sample </w:t>
      </w:r>
      <w:proofErr w:type="gramStart"/>
      <w:r w:rsidRPr="00984C3A">
        <w:rPr>
          <w:rFonts w:asciiTheme="majorBidi" w:hAnsiTheme="majorBidi" w:cstheme="majorBidi"/>
        </w:rPr>
        <w:t>M(</w:t>
      </w:r>
      <w:proofErr w:type="gramEnd"/>
      <w:r w:rsidRPr="00984C3A">
        <w:rPr>
          <w:rFonts w:asciiTheme="majorBidi" w:hAnsiTheme="majorBidi" w:cstheme="majorBidi"/>
        </w:rPr>
        <w:t>6-2) from Mafraq.</w:t>
      </w:r>
    </w:p>
    <w:p w14:paraId="41EB3254" w14:textId="77777777" w:rsidR="005655D1" w:rsidRPr="00984C3A" w:rsidRDefault="005655D1" w:rsidP="001157B9">
      <w:pPr>
        <w:spacing w:line="360" w:lineRule="auto"/>
        <w:jc w:val="both"/>
        <w:rPr>
          <w:rFonts w:asciiTheme="majorBidi" w:hAnsiTheme="majorBidi" w:cstheme="majorBidi"/>
          <w:b/>
          <w:bCs/>
        </w:rPr>
      </w:pPr>
      <w:r w:rsidRPr="00984C3A">
        <w:rPr>
          <w:rFonts w:asciiTheme="majorBidi" w:hAnsiTheme="majorBidi" w:cstheme="majorBidi"/>
          <w:b/>
          <w:bCs/>
        </w:rPr>
        <w:t>3.2.2 Molecular Detection of </w:t>
      </w:r>
      <w:r w:rsidRPr="00984C3A">
        <w:rPr>
          <w:rFonts w:asciiTheme="majorBidi" w:hAnsiTheme="majorBidi" w:cstheme="majorBidi"/>
          <w:b/>
          <w:bCs/>
          <w:i/>
          <w:iCs/>
        </w:rPr>
        <w:t>Eimeria</w:t>
      </w:r>
      <w:r w:rsidRPr="00984C3A">
        <w:rPr>
          <w:rFonts w:asciiTheme="majorBidi" w:hAnsiTheme="majorBidi" w:cstheme="majorBidi"/>
          <w:b/>
          <w:bCs/>
        </w:rPr>
        <w:t> Species</w:t>
      </w:r>
    </w:p>
    <w:p w14:paraId="76F6A4D7"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Nested PCR targeting the ITS-1 region successfully detected </w:t>
      </w:r>
      <w:r w:rsidRPr="00984C3A">
        <w:rPr>
          <w:rFonts w:asciiTheme="majorBidi" w:hAnsiTheme="majorBidi" w:cstheme="majorBidi"/>
          <w:i/>
          <w:iCs/>
        </w:rPr>
        <w:t>Eimeria</w:t>
      </w:r>
      <w:r w:rsidRPr="00984C3A">
        <w:rPr>
          <w:rFonts w:asciiTheme="majorBidi" w:hAnsiTheme="majorBidi" w:cstheme="majorBidi"/>
        </w:rPr>
        <w:t> species in 38 of 42 samples (90.5%). Four samples (9.5%) did not yield detectable PCR products, which may be attributed to low parasite DNA concentration, PCR inhibition, or species not covered by the primer sets used.</w:t>
      </w:r>
    </w:p>
    <w:p w14:paraId="6F1ED49F"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Species distribution (n = 38 PCR-positive samples):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8"/>
        <w:gridCol w:w="2400"/>
        <w:gridCol w:w="1533"/>
      </w:tblGrid>
      <w:tr w:rsidR="005655D1" w:rsidRPr="00984C3A" w14:paraId="2AA95073" w14:textId="77777777" w:rsidTr="005655D1">
        <w:trPr>
          <w:tblHeader/>
        </w:trPr>
        <w:tc>
          <w:tcPr>
            <w:tcW w:w="0" w:type="auto"/>
            <w:tcMar>
              <w:top w:w="150" w:type="dxa"/>
              <w:left w:w="0" w:type="dxa"/>
              <w:bottom w:w="150" w:type="dxa"/>
              <w:right w:w="240" w:type="dxa"/>
            </w:tcMar>
            <w:vAlign w:val="center"/>
            <w:hideMark/>
          </w:tcPr>
          <w:p w14:paraId="0CCFD62B"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Species</w:t>
            </w:r>
          </w:p>
        </w:tc>
        <w:tc>
          <w:tcPr>
            <w:tcW w:w="0" w:type="auto"/>
            <w:tcMar>
              <w:top w:w="150" w:type="dxa"/>
              <w:left w:w="240" w:type="dxa"/>
              <w:bottom w:w="150" w:type="dxa"/>
              <w:right w:w="240" w:type="dxa"/>
            </w:tcMar>
            <w:vAlign w:val="center"/>
            <w:hideMark/>
          </w:tcPr>
          <w:p w14:paraId="1C57F395"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Number of Samples</w:t>
            </w:r>
          </w:p>
        </w:tc>
        <w:tc>
          <w:tcPr>
            <w:tcW w:w="0" w:type="auto"/>
            <w:tcMar>
              <w:top w:w="150" w:type="dxa"/>
              <w:left w:w="240" w:type="dxa"/>
              <w:bottom w:w="150" w:type="dxa"/>
              <w:right w:w="240" w:type="dxa"/>
            </w:tcMar>
            <w:vAlign w:val="center"/>
            <w:hideMark/>
          </w:tcPr>
          <w:p w14:paraId="75286B4D"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Percentage</w:t>
            </w:r>
          </w:p>
        </w:tc>
      </w:tr>
      <w:tr w:rsidR="005655D1" w:rsidRPr="00984C3A" w14:paraId="0A0AF7E0" w14:textId="77777777" w:rsidTr="005655D1">
        <w:tc>
          <w:tcPr>
            <w:tcW w:w="0" w:type="auto"/>
            <w:tcMar>
              <w:top w:w="150" w:type="dxa"/>
              <w:left w:w="0" w:type="dxa"/>
              <w:bottom w:w="150" w:type="dxa"/>
              <w:right w:w="240" w:type="dxa"/>
            </w:tcMar>
            <w:vAlign w:val="center"/>
            <w:hideMark/>
          </w:tcPr>
          <w:p w14:paraId="3C801FC6"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i/>
                <w:iCs/>
              </w:rPr>
              <w:t>E. tenella</w:t>
            </w:r>
            <w:r w:rsidRPr="00984C3A">
              <w:rPr>
                <w:rFonts w:asciiTheme="majorBidi" w:hAnsiTheme="majorBidi" w:cstheme="majorBidi"/>
              </w:rPr>
              <w:t> (single infection)</w:t>
            </w:r>
          </w:p>
        </w:tc>
        <w:tc>
          <w:tcPr>
            <w:tcW w:w="0" w:type="auto"/>
            <w:tcMar>
              <w:top w:w="150" w:type="dxa"/>
              <w:left w:w="240" w:type="dxa"/>
              <w:bottom w:w="150" w:type="dxa"/>
              <w:right w:w="240" w:type="dxa"/>
            </w:tcMar>
            <w:vAlign w:val="center"/>
            <w:hideMark/>
          </w:tcPr>
          <w:p w14:paraId="1A4FBA29"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14</w:t>
            </w:r>
          </w:p>
        </w:tc>
        <w:tc>
          <w:tcPr>
            <w:tcW w:w="0" w:type="auto"/>
            <w:tcMar>
              <w:top w:w="150" w:type="dxa"/>
              <w:left w:w="240" w:type="dxa"/>
              <w:bottom w:w="150" w:type="dxa"/>
              <w:right w:w="0" w:type="dxa"/>
            </w:tcMar>
            <w:vAlign w:val="center"/>
            <w:hideMark/>
          </w:tcPr>
          <w:p w14:paraId="7FA57874"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36.8%</w:t>
            </w:r>
          </w:p>
        </w:tc>
      </w:tr>
      <w:tr w:rsidR="005655D1" w:rsidRPr="00984C3A" w14:paraId="20E0F5C6" w14:textId="77777777" w:rsidTr="005655D1">
        <w:tc>
          <w:tcPr>
            <w:tcW w:w="0" w:type="auto"/>
            <w:tcMar>
              <w:top w:w="150" w:type="dxa"/>
              <w:left w:w="0" w:type="dxa"/>
              <w:bottom w:w="150" w:type="dxa"/>
              <w:right w:w="240" w:type="dxa"/>
            </w:tcMar>
            <w:vAlign w:val="center"/>
            <w:hideMark/>
          </w:tcPr>
          <w:p w14:paraId="61D3F80E"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i/>
                <w:iCs/>
              </w:rPr>
              <w:t>E. tenella</w:t>
            </w:r>
            <w:r w:rsidRPr="00984C3A">
              <w:rPr>
                <w:rFonts w:asciiTheme="majorBidi" w:hAnsiTheme="majorBidi" w:cstheme="majorBidi"/>
              </w:rPr>
              <w:t> + </w:t>
            </w: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(mixed)</w:t>
            </w:r>
          </w:p>
        </w:tc>
        <w:tc>
          <w:tcPr>
            <w:tcW w:w="0" w:type="auto"/>
            <w:tcMar>
              <w:top w:w="150" w:type="dxa"/>
              <w:left w:w="240" w:type="dxa"/>
              <w:bottom w:w="150" w:type="dxa"/>
              <w:right w:w="240" w:type="dxa"/>
            </w:tcMar>
            <w:vAlign w:val="center"/>
            <w:hideMark/>
          </w:tcPr>
          <w:p w14:paraId="1BE02D52"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8</w:t>
            </w:r>
          </w:p>
        </w:tc>
        <w:tc>
          <w:tcPr>
            <w:tcW w:w="0" w:type="auto"/>
            <w:tcMar>
              <w:top w:w="150" w:type="dxa"/>
              <w:left w:w="240" w:type="dxa"/>
              <w:bottom w:w="150" w:type="dxa"/>
              <w:right w:w="0" w:type="dxa"/>
            </w:tcMar>
            <w:vAlign w:val="center"/>
            <w:hideMark/>
          </w:tcPr>
          <w:p w14:paraId="02375C6A"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21.1%</w:t>
            </w:r>
          </w:p>
        </w:tc>
      </w:tr>
      <w:tr w:rsidR="005655D1" w:rsidRPr="00984C3A" w14:paraId="635E0CAA" w14:textId="77777777" w:rsidTr="005655D1">
        <w:tc>
          <w:tcPr>
            <w:tcW w:w="0" w:type="auto"/>
            <w:tcMar>
              <w:top w:w="150" w:type="dxa"/>
              <w:left w:w="0" w:type="dxa"/>
              <w:bottom w:w="150" w:type="dxa"/>
              <w:right w:w="240" w:type="dxa"/>
            </w:tcMar>
            <w:vAlign w:val="center"/>
            <w:hideMark/>
          </w:tcPr>
          <w:p w14:paraId="7141674C"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(single infection)</w:t>
            </w:r>
          </w:p>
        </w:tc>
        <w:tc>
          <w:tcPr>
            <w:tcW w:w="0" w:type="auto"/>
            <w:tcMar>
              <w:top w:w="150" w:type="dxa"/>
              <w:left w:w="240" w:type="dxa"/>
              <w:bottom w:w="150" w:type="dxa"/>
              <w:right w:w="240" w:type="dxa"/>
            </w:tcMar>
            <w:vAlign w:val="center"/>
            <w:hideMark/>
          </w:tcPr>
          <w:p w14:paraId="7524D28E"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5</w:t>
            </w:r>
          </w:p>
        </w:tc>
        <w:tc>
          <w:tcPr>
            <w:tcW w:w="0" w:type="auto"/>
            <w:tcMar>
              <w:top w:w="150" w:type="dxa"/>
              <w:left w:w="240" w:type="dxa"/>
              <w:bottom w:w="150" w:type="dxa"/>
              <w:right w:w="0" w:type="dxa"/>
            </w:tcMar>
            <w:vAlign w:val="center"/>
            <w:hideMark/>
          </w:tcPr>
          <w:p w14:paraId="20AE8CD8"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13.2%</w:t>
            </w:r>
          </w:p>
        </w:tc>
      </w:tr>
      <w:tr w:rsidR="005655D1" w:rsidRPr="00984C3A" w14:paraId="0F98DC8F" w14:textId="77777777" w:rsidTr="005655D1">
        <w:tc>
          <w:tcPr>
            <w:tcW w:w="0" w:type="auto"/>
            <w:tcMar>
              <w:top w:w="150" w:type="dxa"/>
              <w:left w:w="0" w:type="dxa"/>
              <w:bottom w:w="150" w:type="dxa"/>
              <w:right w:w="240" w:type="dxa"/>
            </w:tcMar>
            <w:vAlign w:val="center"/>
            <w:hideMark/>
          </w:tcPr>
          <w:p w14:paraId="2A18B990"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i/>
                <w:iCs/>
              </w:rPr>
              <w:t>E. tenella</w:t>
            </w:r>
            <w:r w:rsidRPr="00984C3A">
              <w:rPr>
                <w:rFonts w:asciiTheme="majorBidi" w:hAnsiTheme="majorBidi" w:cstheme="majorBidi"/>
              </w:rPr>
              <w:t> + </w:t>
            </w:r>
            <w:r w:rsidRPr="00984C3A">
              <w:rPr>
                <w:rFonts w:asciiTheme="majorBidi" w:hAnsiTheme="majorBidi" w:cstheme="majorBidi"/>
                <w:i/>
                <w:iCs/>
              </w:rPr>
              <w:t>E. mitis</w:t>
            </w:r>
            <w:r w:rsidRPr="00984C3A">
              <w:rPr>
                <w:rFonts w:asciiTheme="majorBidi" w:hAnsiTheme="majorBidi" w:cstheme="majorBidi"/>
              </w:rPr>
              <w:t> (mixed)</w:t>
            </w:r>
          </w:p>
        </w:tc>
        <w:tc>
          <w:tcPr>
            <w:tcW w:w="0" w:type="auto"/>
            <w:tcMar>
              <w:top w:w="150" w:type="dxa"/>
              <w:left w:w="240" w:type="dxa"/>
              <w:bottom w:w="150" w:type="dxa"/>
              <w:right w:w="240" w:type="dxa"/>
            </w:tcMar>
            <w:vAlign w:val="center"/>
            <w:hideMark/>
          </w:tcPr>
          <w:p w14:paraId="1193A10F"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1</w:t>
            </w:r>
          </w:p>
        </w:tc>
        <w:tc>
          <w:tcPr>
            <w:tcW w:w="0" w:type="auto"/>
            <w:tcMar>
              <w:top w:w="150" w:type="dxa"/>
              <w:left w:w="240" w:type="dxa"/>
              <w:bottom w:w="150" w:type="dxa"/>
              <w:right w:w="0" w:type="dxa"/>
            </w:tcMar>
            <w:vAlign w:val="center"/>
            <w:hideMark/>
          </w:tcPr>
          <w:p w14:paraId="67966475"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2.6%</w:t>
            </w:r>
          </w:p>
        </w:tc>
      </w:tr>
      <w:tr w:rsidR="005655D1" w:rsidRPr="00984C3A" w14:paraId="38CE829A" w14:textId="77777777" w:rsidTr="005655D1">
        <w:tc>
          <w:tcPr>
            <w:tcW w:w="0" w:type="auto"/>
            <w:tcMar>
              <w:top w:w="150" w:type="dxa"/>
              <w:left w:w="0" w:type="dxa"/>
              <w:bottom w:w="150" w:type="dxa"/>
              <w:right w:w="240" w:type="dxa"/>
            </w:tcMar>
            <w:vAlign w:val="center"/>
            <w:hideMark/>
          </w:tcPr>
          <w:p w14:paraId="76521DAE"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 </w:t>
            </w:r>
            <w:r w:rsidRPr="00984C3A">
              <w:rPr>
                <w:rFonts w:asciiTheme="majorBidi" w:hAnsiTheme="majorBidi" w:cstheme="majorBidi"/>
                <w:i/>
                <w:iCs/>
              </w:rPr>
              <w:t>E. mitis</w:t>
            </w:r>
            <w:r w:rsidRPr="00984C3A">
              <w:rPr>
                <w:rFonts w:asciiTheme="majorBidi" w:hAnsiTheme="majorBidi" w:cstheme="majorBidi"/>
              </w:rPr>
              <w:t> (mixed)</w:t>
            </w:r>
          </w:p>
        </w:tc>
        <w:tc>
          <w:tcPr>
            <w:tcW w:w="0" w:type="auto"/>
            <w:tcMar>
              <w:top w:w="150" w:type="dxa"/>
              <w:left w:w="240" w:type="dxa"/>
              <w:bottom w:w="150" w:type="dxa"/>
              <w:right w:w="240" w:type="dxa"/>
            </w:tcMar>
            <w:vAlign w:val="center"/>
            <w:hideMark/>
          </w:tcPr>
          <w:p w14:paraId="4749A435"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1</w:t>
            </w:r>
          </w:p>
        </w:tc>
        <w:tc>
          <w:tcPr>
            <w:tcW w:w="0" w:type="auto"/>
            <w:tcMar>
              <w:top w:w="150" w:type="dxa"/>
              <w:left w:w="240" w:type="dxa"/>
              <w:bottom w:w="150" w:type="dxa"/>
              <w:right w:w="0" w:type="dxa"/>
            </w:tcMar>
            <w:vAlign w:val="center"/>
            <w:hideMark/>
          </w:tcPr>
          <w:p w14:paraId="6F2D52CD"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2.6%</w:t>
            </w:r>
          </w:p>
        </w:tc>
      </w:tr>
      <w:tr w:rsidR="005655D1" w:rsidRPr="00984C3A" w14:paraId="7B9861F8" w14:textId="77777777" w:rsidTr="005655D1">
        <w:tc>
          <w:tcPr>
            <w:tcW w:w="0" w:type="auto"/>
            <w:tcMar>
              <w:top w:w="150" w:type="dxa"/>
              <w:left w:w="0" w:type="dxa"/>
              <w:bottom w:w="150" w:type="dxa"/>
              <w:right w:w="240" w:type="dxa"/>
            </w:tcMar>
            <w:vAlign w:val="center"/>
            <w:hideMark/>
          </w:tcPr>
          <w:p w14:paraId="657518CC"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PCR negative/no product</w:t>
            </w:r>
          </w:p>
        </w:tc>
        <w:tc>
          <w:tcPr>
            <w:tcW w:w="0" w:type="auto"/>
            <w:tcMar>
              <w:top w:w="150" w:type="dxa"/>
              <w:left w:w="240" w:type="dxa"/>
              <w:bottom w:w="150" w:type="dxa"/>
              <w:right w:w="240" w:type="dxa"/>
            </w:tcMar>
            <w:vAlign w:val="center"/>
            <w:hideMark/>
          </w:tcPr>
          <w:p w14:paraId="5845358E"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4</w:t>
            </w:r>
          </w:p>
        </w:tc>
        <w:tc>
          <w:tcPr>
            <w:tcW w:w="0" w:type="auto"/>
            <w:tcMar>
              <w:top w:w="150" w:type="dxa"/>
              <w:left w:w="240" w:type="dxa"/>
              <w:bottom w:w="150" w:type="dxa"/>
              <w:right w:w="0" w:type="dxa"/>
            </w:tcMar>
            <w:vAlign w:val="center"/>
            <w:hideMark/>
          </w:tcPr>
          <w:p w14:paraId="7224748E"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10.5%</w:t>
            </w:r>
          </w:p>
        </w:tc>
      </w:tr>
      <w:tr w:rsidR="005655D1" w:rsidRPr="00984C3A" w14:paraId="335AC92A" w14:textId="77777777" w:rsidTr="005655D1">
        <w:tc>
          <w:tcPr>
            <w:tcW w:w="0" w:type="auto"/>
            <w:tcMar>
              <w:top w:w="150" w:type="dxa"/>
              <w:left w:w="0" w:type="dxa"/>
              <w:bottom w:w="150" w:type="dxa"/>
              <w:right w:w="240" w:type="dxa"/>
            </w:tcMar>
            <w:vAlign w:val="center"/>
            <w:hideMark/>
          </w:tcPr>
          <w:p w14:paraId="1FF36700"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Total</w:t>
            </w:r>
          </w:p>
        </w:tc>
        <w:tc>
          <w:tcPr>
            <w:tcW w:w="0" w:type="auto"/>
            <w:tcMar>
              <w:top w:w="150" w:type="dxa"/>
              <w:left w:w="240" w:type="dxa"/>
              <w:bottom w:w="150" w:type="dxa"/>
              <w:right w:w="240" w:type="dxa"/>
            </w:tcMar>
            <w:vAlign w:val="center"/>
            <w:hideMark/>
          </w:tcPr>
          <w:p w14:paraId="57C320DF"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42</w:t>
            </w:r>
          </w:p>
        </w:tc>
        <w:tc>
          <w:tcPr>
            <w:tcW w:w="0" w:type="auto"/>
            <w:tcMar>
              <w:top w:w="150" w:type="dxa"/>
              <w:left w:w="240" w:type="dxa"/>
              <w:bottom w:w="150" w:type="dxa"/>
              <w:right w:w="0" w:type="dxa"/>
            </w:tcMar>
            <w:vAlign w:val="center"/>
            <w:hideMark/>
          </w:tcPr>
          <w:p w14:paraId="73D0FBDA"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100%</w:t>
            </w:r>
          </w:p>
        </w:tc>
      </w:tr>
    </w:tbl>
    <w:p w14:paraId="3CE42A8C"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i/>
          <w:iCs/>
        </w:rPr>
        <w:t>Eimeria tenella</w:t>
      </w:r>
      <w:r w:rsidRPr="00984C3A">
        <w:rPr>
          <w:rFonts w:asciiTheme="majorBidi" w:hAnsiTheme="majorBidi" w:cstheme="majorBidi"/>
        </w:rPr>
        <w:t> was the most frequently detected species, present in 23 samples either alone (14 samples) or in mixed infections (9 samples), accounting for 60.5% of all PCR-positive samples. </w:t>
      </w: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was detected in 14 samples (36.8% of PCR-positive samples), and </w:t>
      </w:r>
      <w:r w:rsidRPr="00984C3A">
        <w:rPr>
          <w:rFonts w:asciiTheme="majorBidi" w:hAnsiTheme="majorBidi" w:cstheme="majorBidi"/>
          <w:i/>
          <w:iCs/>
        </w:rPr>
        <w:t>E. mitis</w:t>
      </w:r>
      <w:r w:rsidRPr="00984C3A">
        <w:rPr>
          <w:rFonts w:asciiTheme="majorBidi" w:hAnsiTheme="majorBidi" w:cstheme="majorBidi"/>
        </w:rPr>
        <w:t> (Mit1 variant) was detected in 2 samples (5.3% of PCR-positive samples).</w:t>
      </w:r>
    </w:p>
    <w:p w14:paraId="184111FB"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Single vs. mixed infection patterns:</w:t>
      </w:r>
    </w:p>
    <w:p w14:paraId="135B8ADA" w14:textId="77777777" w:rsidR="005655D1" w:rsidRPr="00984C3A" w:rsidRDefault="005655D1" w:rsidP="001157B9">
      <w:pPr>
        <w:numPr>
          <w:ilvl w:val="0"/>
          <w:numId w:val="5"/>
        </w:numPr>
        <w:spacing w:line="360" w:lineRule="auto"/>
        <w:jc w:val="both"/>
        <w:rPr>
          <w:rFonts w:asciiTheme="majorBidi" w:hAnsiTheme="majorBidi" w:cstheme="majorBidi"/>
        </w:rPr>
      </w:pPr>
      <w:r w:rsidRPr="00984C3A">
        <w:rPr>
          <w:rFonts w:asciiTheme="majorBidi" w:hAnsiTheme="majorBidi" w:cstheme="majorBidi"/>
        </w:rPr>
        <w:t>Single-species infections were observed in 19 samples (50.0% of PCR-positive samples), predominantly </w:t>
      </w:r>
      <w:r w:rsidRPr="00984C3A">
        <w:rPr>
          <w:rFonts w:asciiTheme="majorBidi" w:hAnsiTheme="majorBidi" w:cstheme="majorBidi"/>
          <w:i/>
          <w:iCs/>
        </w:rPr>
        <w:t>E. tenella</w:t>
      </w:r>
      <w:r w:rsidRPr="00984C3A">
        <w:rPr>
          <w:rFonts w:asciiTheme="majorBidi" w:hAnsiTheme="majorBidi" w:cstheme="majorBidi"/>
        </w:rPr>
        <w:t> (14 samples) followed by </w:t>
      </w: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(5 samples).</w:t>
      </w:r>
    </w:p>
    <w:p w14:paraId="39EA774E" w14:textId="77777777" w:rsidR="005655D1" w:rsidRPr="00984C3A" w:rsidRDefault="005655D1" w:rsidP="001157B9">
      <w:pPr>
        <w:numPr>
          <w:ilvl w:val="0"/>
          <w:numId w:val="5"/>
        </w:numPr>
        <w:spacing w:line="360" w:lineRule="auto"/>
        <w:jc w:val="both"/>
        <w:rPr>
          <w:rFonts w:asciiTheme="majorBidi" w:hAnsiTheme="majorBidi" w:cstheme="majorBidi"/>
        </w:rPr>
      </w:pPr>
      <w:r w:rsidRPr="00984C3A">
        <w:rPr>
          <w:rFonts w:asciiTheme="majorBidi" w:hAnsiTheme="majorBidi" w:cstheme="majorBidi"/>
        </w:rPr>
        <w:t>Mixed infections were observed in 10 samples (26.3% of PCR-positive samples), most commonly </w:t>
      </w:r>
      <w:r w:rsidRPr="00984C3A">
        <w:rPr>
          <w:rFonts w:asciiTheme="majorBidi" w:hAnsiTheme="majorBidi" w:cstheme="majorBidi"/>
          <w:i/>
          <w:iCs/>
        </w:rPr>
        <w:t>E. tenella</w:t>
      </w:r>
      <w:r w:rsidRPr="00984C3A">
        <w:rPr>
          <w:rFonts w:asciiTheme="majorBidi" w:hAnsiTheme="majorBidi" w:cstheme="majorBidi"/>
        </w:rPr>
        <w:t> + </w:t>
      </w: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(8 samples).</w:t>
      </w:r>
    </w:p>
    <w:p w14:paraId="72EFC852" w14:textId="77777777" w:rsidR="005655D1" w:rsidRPr="00984C3A" w:rsidRDefault="005655D1" w:rsidP="001157B9">
      <w:pPr>
        <w:spacing w:line="360" w:lineRule="auto"/>
        <w:jc w:val="both"/>
        <w:rPr>
          <w:rFonts w:asciiTheme="majorBidi" w:hAnsiTheme="majorBidi" w:cstheme="majorBidi"/>
          <w:b/>
          <w:bCs/>
        </w:rPr>
      </w:pPr>
      <w:r w:rsidRPr="00984C3A">
        <w:rPr>
          <w:rFonts w:asciiTheme="majorBidi" w:hAnsiTheme="majorBidi" w:cstheme="majorBidi"/>
          <w:b/>
          <w:bCs/>
        </w:rPr>
        <w:t>3.3 Detection of </w:t>
      </w:r>
      <w:r w:rsidRPr="00984C3A">
        <w:rPr>
          <w:rFonts w:asciiTheme="majorBidi" w:hAnsiTheme="majorBidi" w:cstheme="majorBidi"/>
          <w:b/>
          <w:bCs/>
          <w:i/>
          <w:iCs/>
        </w:rPr>
        <w:t>Cryptosporidium</w:t>
      </w:r>
      <w:r w:rsidRPr="00984C3A">
        <w:rPr>
          <w:rFonts w:asciiTheme="majorBidi" w:hAnsiTheme="majorBidi" w:cstheme="majorBidi"/>
          <w:b/>
          <w:bCs/>
        </w:rPr>
        <w:t> spp.</w:t>
      </w:r>
    </w:p>
    <w:p w14:paraId="73E4DB96" w14:textId="77777777" w:rsidR="005655D1" w:rsidRPr="00984C3A" w:rsidRDefault="005655D1" w:rsidP="001157B9">
      <w:pPr>
        <w:spacing w:line="360" w:lineRule="auto"/>
        <w:jc w:val="both"/>
        <w:rPr>
          <w:rFonts w:asciiTheme="majorBidi" w:hAnsiTheme="majorBidi" w:cstheme="majorBidi"/>
          <w:b/>
          <w:bCs/>
        </w:rPr>
      </w:pPr>
      <w:r w:rsidRPr="00984C3A">
        <w:rPr>
          <w:rFonts w:asciiTheme="majorBidi" w:hAnsiTheme="majorBidi" w:cstheme="majorBidi"/>
          <w:b/>
          <w:bCs/>
        </w:rPr>
        <w:t>3.3.1 Microscopic Examination (Modified Acid-Fast Staining)</w:t>
      </w:r>
    </w:p>
    <w:p w14:paraId="2DC8F59D" w14:textId="5965E5DB"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Microscopic examination using modified acid-fast staining showed a low detection rate of </w:t>
      </w:r>
      <w:r w:rsidRPr="00984C3A">
        <w:rPr>
          <w:rFonts w:asciiTheme="majorBidi" w:hAnsiTheme="majorBidi" w:cstheme="majorBidi"/>
          <w:i/>
          <w:iCs/>
        </w:rPr>
        <w:t>Cryptosporidium</w:t>
      </w:r>
      <w:r w:rsidRPr="00984C3A">
        <w:rPr>
          <w:rFonts w:asciiTheme="majorBidi" w:hAnsiTheme="majorBidi" w:cstheme="majorBidi"/>
        </w:rPr>
        <w:t> oocysts. Only 2 out of 42 samples (4.8%) tested positive: sample A</w:t>
      </w:r>
      <w:r w:rsidR="00984C3A" w:rsidRPr="00984C3A">
        <w:rPr>
          <w:rFonts w:asciiTheme="majorBidi" w:hAnsiTheme="majorBidi" w:cstheme="majorBidi"/>
        </w:rPr>
        <w:t xml:space="preserve"> </w:t>
      </w:r>
      <w:r w:rsidRPr="00984C3A">
        <w:rPr>
          <w:rFonts w:asciiTheme="majorBidi" w:hAnsiTheme="majorBidi" w:cstheme="majorBidi"/>
        </w:rPr>
        <w:t>(6-1) (</w:t>
      </w:r>
      <w:proofErr w:type="spellStart"/>
      <w:r w:rsidRPr="00984C3A">
        <w:rPr>
          <w:rFonts w:asciiTheme="majorBidi" w:hAnsiTheme="majorBidi" w:cstheme="majorBidi"/>
        </w:rPr>
        <w:t>Ajloun</w:t>
      </w:r>
      <w:proofErr w:type="spellEnd"/>
      <w:r w:rsidRPr="00984C3A">
        <w:rPr>
          <w:rFonts w:asciiTheme="majorBidi" w:hAnsiTheme="majorBidi" w:cstheme="majorBidi"/>
        </w:rPr>
        <w:t>) and sample B</w:t>
      </w:r>
      <w:r w:rsidR="00984C3A" w:rsidRPr="00984C3A">
        <w:rPr>
          <w:rFonts w:asciiTheme="majorBidi" w:hAnsiTheme="majorBidi" w:cstheme="majorBidi"/>
        </w:rPr>
        <w:t xml:space="preserve"> </w:t>
      </w:r>
      <w:r w:rsidRPr="00984C3A">
        <w:rPr>
          <w:rFonts w:asciiTheme="majorBidi" w:hAnsiTheme="majorBidi" w:cstheme="majorBidi"/>
        </w:rPr>
        <w:t>(7-1) (Balqa). The remaining 40 samples were negative by microscopy.</w:t>
      </w:r>
    </w:p>
    <w:p w14:paraId="11836613" w14:textId="77777777" w:rsidR="005655D1" w:rsidRPr="00984C3A" w:rsidRDefault="005655D1" w:rsidP="001157B9">
      <w:pPr>
        <w:spacing w:line="360" w:lineRule="auto"/>
        <w:jc w:val="both"/>
        <w:rPr>
          <w:rFonts w:asciiTheme="majorBidi" w:hAnsiTheme="majorBidi" w:cstheme="majorBidi"/>
          <w:b/>
          <w:bCs/>
        </w:rPr>
      </w:pPr>
      <w:r w:rsidRPr="00984C3A">
        <w:rPr>
          <w:rFonts w:asciiTheme="majorBidi" w:hAnsiTheme="majorBidi" w:cstheme="majorBidi"/>
          <w:b/>
          <w:bCs/>
        </w:rPr>
        <w:t>3.3.2 Molecular Detection of </w:t>
      </w:r>
      <w:r w:rsidRPr="00984C3A">
        <w:rPr>
          <w:rFonts w:asciiTheme="majorBidi" w:hAnsiTheme="majorBidi" w:cstheme="majorBidi"/>
          <w:b/>
          <w:bCs/>
          <w:i/>
          <w:iCs/>
        </w:rPr>
        <w:t>Cryptosporidium</w:t>
      </w:r>
      <w:r w:rsidRPr="00984C3A">
        <w:rPr>
          <w:rFonts w:asciiTheme="majorBidi" w:hAnsiTheme="majorBidi" w:cstheme="majorBidi"/>
          <w:b/>
          <w:bCs/>
        </w:rPr>
        <w:t> spp. (Nested PCR)</w:t>
      </w:r>
    </w:p>
    <w:p w14:paraId="78EF98CD"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Nested PCR targeting the </w:t>
      </w:r>
      <w:r w:rsidRPr="00984C3A">
        <w:rPr>
          <w:rFonts w:asciiTheme="majorBidi" w:hAnsiTheme="majorBidi" w:cstheme="majorBidi"/>
          <w:b/>
          <w:bCs/>
        </w:rPr>
        <w:t>LSU rRNA gene</w:t>
      </w:r>
      <w:r w:rsidRPr="00984C3A">
        <w:rPr>
          <w:rFonts w:asciiTheme="majorBidi" w:hAnsiTheme="majorBidi" w:cstheme="majorBidi"/>
        </w:rPr>
        <w:t> demonstrated significantly higher sensitivity compared to microscopy, detecting </w:t>
      </w:r>
      <w:r w:rsidRPr="00984C3A">
        <w:rPr>
          <w:rFonts w:asciiTheme="majorBidi" w:hAnsiTheme="majorBidi" w:cstheme="majorBidi"/>
          <w:i/>
          <w:iCs/>
        </w:rPr>
        <w:t>Cryptosporidium</w:t>
      </w:r>
      <w:r w:rsidRPr="00984C3A">
        <w:rPr>
          <w:rFonts w:asciiTheme="majorBidi" w:hAnsiTheme="majorBidi" w:cstheme="majorBidi"/>
        </w:rPr>
        <w:t> DNA in 21 out of 42 samples (50.0%).</w:t>
      </w:r>
    </w:p>
    <w:p w14:paraId="1AC5EFA1"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Table 3. Comparison of Microscopy and PCR for </w:t>
      </w:r>
      <w:r w:rsidRPr="00984C3A">
        <w:rPr>
          <w:rFonts w:asciiTheme="majorBidi" w:hAnsiTheme="majorBidi" w:cstheme="majorBidi"/>
          <w:b/>
          <w:bCs/>
          <w:i/>
          <w:iCs/>
        </w:rPr>
        <w:t>Cryptosporidium</w:t>
      </w:r>
      <w:r w:rsidRPr="00984C3A">
        <w:rPr>
          <w:rFonts w:asciiTheme="majorBidi" w:hAnsiTheme="majorBidi" w:cstheme="majorBidi"/>
          <w:b/>
          <w:bCs/>
        </w:rPr>
        <w:t> Detection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35"/>
        <w:gridCol w:w="2027"/>
        <w:gridCol w:w="2115"/>
        <w:gridCol w:w="1853"/>
      </w:tblGrid>
      <w:tr w:rsidR="005655D1" w:rsidRPr="00984C3A" w14:paraId="16F9FFD9" w14:textId="77777777" w:rsidTr="005B52C5">
        <w:trPr>
          <w:tblHeader/>
        </w:trPr>
        <w:tc>
          <w:tcPr>
            <w:tcW w:w="0" w:type="auto"/>
            <w:tcMar>
              <w:top w:w="150" w:type="dxa"/>
              <w:left w:w="0" w:type="dxa"/>
              <w:bottom w:w="150" w:type="dxa"/>
              <w:right w:w="240" w:type="dxa"/>
            </w:tcMar>
            <w:vAlign w:val="center"/>
            <w:hideMark/>
          </w:tcPr>
          <w:p w14:paraId="3686B068"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Method</w:t>
            </w:r>
          </w:p>
        </w:tc>
        <w:tc>
          <w:tcPr>
            <w:tcW w:w="0" w:type="auto"/>
            <w:tcMar>
              <w:top w:w="150" w:type="dxa"/>
              <w:left w:w="240" w:type="dxa"/>
              <w:bottom w:w="150" w:type="dxa"/>
              <w:right w:w="240" w:type="dxa"/>
            </w:tcMar>
            <w:vAlign w:val="center"/>
            <w:hideMark/>
          </w:tcPr>
          <w:p w14:paraId="682A531B"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Positive Samples</w:t>
            </w:r>
          </w:p>
        </w:tc>
        <w:tc>
          <w:tcPr>
            <w:tcW w:w="0" w:type="auto"/>
            <w:tcMar>
              <w:top w:w="150" w:type="dxa"/>
              <w:left w:w="240" w:type="dxa"/>
              <w:bottom w:w="150" w:type="dxa"/>
              <w:right w:w="240" w:type="dxa"/>
            </w:tcMar>
            <w:vAlign w:val="center"/>
            <w:hideMark/>
          </w:tcPr>
          <w:p w14:paraId="3AC31E08"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Negative Samples</w:t>
            </w:r>
          </w:p>
        </w:tc>
        <w:tc>
          <w:tcPr>
            <w:tcW w:w="0" w:type="auto"/>
            <w:tcMar>
              <w:top w:w="150" w:type="dxa"/>
              <w:left w:w="240" w:type="dxa"/>
              <w:bottom w:w="150" w:type="dxa"/>
              <w:right w:w="240" w:type="dxa"/>
            </w:tcMar>
            <w:vAlign w:val="center"/>
            <w:hideMark/>
          </w:tcPr>
          <w:p w14:paraId="6A63EFF8"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Detection Rate</w:t>
            </w:r>
          </w:p>
        </w:tc>
      </w:tr>
      <w:tr w:rsidR="005655D1" w:rsidRPr="00984C3A" w14:paraId="4C0C272F" w14:textId="77777777" w:rsidTr="005B52C5">
        <w:tc>
          <w:tcPr>
            <w:tcW w:w="0" w:type="auto"/>
            <w:tcMar>
              <w:top w:w="150" w:type="dxa"/>
              <w:left w:w="0" w:type="dxa"/>
              <w:bottom w:w="150" w:type="dxa"/>
              <w:right w:w="240" w:type="dxa"/>
            </w:tcMar>
            <w:vAlign w:val="center"/>
            <w:hideMark/>
          </w:tcPr>
          <w:p w14:paraId="0FD8D9E3"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Modified acid-fast staining</w:t>
            </w:r>
          </w:p>
        </w:tc>
        <w:tc>
          <w:tcPr>
            <w:tcW w:w="0" w:type="auto"/>
            <w:tcMar>
              <w:top w:w="150" w:type="dxa"/>
              <w:left w:w="240" w:type="dxa"/>
              <w:bottom w:w="150" w:type="dxa"/>
              <w:right w:w="240" w:type="dxa"/>
            </w:tcMar>
            <w:vAlign w:val="center"/>
            <w:hideMark/>
          </w:tcPr>
          <w:p w14:paraId="0D2B99D5"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2</w:t>
            </w:r>
          </w:p>
        </w:tc>
        <w:tc>
          <w:tcPr>
            <w:tcW w:w="0" w:type="auto"/>
            <w:tcMar>
              <w:top w:w="150" w:type="dxa"/>
              <w:left w:w="240" w:type="dxa"/>
              <w:bottom w:w="150" w:type="dxa"/>
              <w:right w:w="240" w:type="dxa"/>
            </w:tcMar>
            <w:vAlign w:val="center"/>
            <w:hideMark/>
          </w:tcPr>
          <w:p w14:paraId="5CB934FA"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40</w:t>
            </w:r>
          </w:p>
        </w:tc>
        <w:tc>
          <w:tcPr>
            <w:tcW w:w="0" w:type="auto"/>
            <w:tcMar>
              <w:top w:w="150" w:type="dxa"/>
              <w:left w:w="240" w:type="dxa"/>
              <w:bottom w:w="150" w:type="dxa"/>
              <w:right w:w="0" w:type="dxa"/>
            </w:tcMar>
            <w:vAlign w:val="center"/>
            <w:hideMark/>
          </w:tcPr>
          <w:p w14:paraId="4832484A"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4.8%</w:t>
            </w:r>
          </w:p>
        </w:tc>
      </w:tr>
      <w:tr w:rsidR="005655D1" w:rsidRPr="00984C3A" w14:paraId="028D2539" w14:textId="77777777" w:rsidTr="005B52C5">
        <w:tc>
          <w:tcPr>
            <w:tcW w:w="0" w:type="auto"/>
            <w:tcMar>
              <w:top w:w="150" w:type="dxa"/>
              <w:left w:w="0" w:type="dxa"/>
              <w:bottom w:w="150" w:type="dxa"/>
              <w:right w:w="240" w:type="dxa"/>
            </w:tcMar>
            <w:vAlign w:val="center"/>
            <w:hideMark/>
          </w:tcPr>
          <w:p w14:paraId="094809EC"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Nested PCR (LSU rRNA)</w:t>
            </w:r>
          </w:p>
        </w:tc>
        <w:tc>
          <w:tcPr>
            <w:tcW w:w="0" w:type="auto"/>
            <w:tcMar>
              <w:top w:w="150" w:type="dxa"/>
              <w:left w:w="240" w:type="dxa"/>
              <w:bottom w:w="150" w:type="dxa"/>
              <w:right w:w="240" w:type="dxa"/>
            </w:tcMar>
            <w:vAlign w:val="center"/>
            <w:hideMark/>
          </w:tcPr>
          <w:p w14:paraId="2BB16007"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21</w:t>
            </w:r>
          </w:p>
        </w:tc>
        <w:tc>
          <w:tcPr>
            <w:tcW w:w="0" w:type="auto"/>
            <w:tcMar>
              <w:top w:w="150" w:type="dxa"/>
              <w:left w:w="240" w:type="dxa"/>
              <w:bottom w:w="150" w:type="dxa"/>
              <w:right w:w="240" w:type="dxa"/>
            </w:tcMar>
            <w:vAlign w:val="center"/>
            <w:hideMark/>
          </w:tcPr>
          <w:p w14:paraId="4EBDB659"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21</w:t>
            </w:r>
          </w:p>
        </w:tc>
        <w:tc>
          <w:tcPr>
            <w:tcW w:w="0" w:type="auto"/>
            <w:tcMar>
              <w:top w:w="150" w:type="dxa"/>
              <w:left w:w="240" w:type="dxa"/>
              <w:bottom w:w="150" w:type="dxa"/>
              <w:right w:w="0" w:type="dxa"/>
            </w:tcMar>
            <w:vAlign w:val="center"/>
            <w:hideMark/>
          </w:tcPr>
          <w:p w14:paraId="5F094AF3"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50.0%</w:t>
            </w:r>
          </w:p>
        </w:tc>
      </w:tr>
    </w:tbl>
    <w:p w14:paraId="7BD9A01E"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PCR detected 19 additional positive samples that were missed by microscopy, representing a 10.4-fold increase in detection sensitivity (p &lt; 0.001, Chi-square test).</w:t>
      </w:r>
    </w:p>
    <w:p w14:paraId="66E0A9BE" w14:textId="77777777" w:rsidR="005655D1" w:rsidRPr="00984C3A" w:rsidRDefault="005655D1" w:rsidP="001157B9">
      <w:pPr>
        <w:spacing w:line="360" w:lineRule="auto"/>
        <w:jc w:val="both"/>
        <w:rPr>
          <w:rFonts w:asciiTheme="majorBidi" w:hAnsiTheme="majorBidi" w:cstheme="majorBidi"/>
          <w:b/>
          <w:bCs/>
        </w:rPr>
      </w:pPr>
      <w:r w:rsidRPr="00984C3A">
        <w:rPr>
          <w:rFonts w:asciiTheme="majorBidi" w:hAnsiTheme="majorBidi" w:cstheme="majorBidi"/>
          <w:b/>
          <w:bCs/>
        </w:rPr>
        <w:t>3.3.3 Regional Distribution of </w:t>
      </w:r>
      <w:r w:rsidRPr="00984C3A">
        <w:rPr>
          <w:rFonts w:asciiTheme="majorBidi" w:hAnsiTheme="majorBidi" w:cstheme="majorBidi"/>
          <w:b/>
          <w:bCs/>
          <w:i/>
          <w:iCs/>
        </w:rPr>
        <w:t>Cryptosporidium</w:t>
      </w:r>
      <w:r w:rsidRPr="00984C3A">
        <w:rPr>
          <w:rFonts w:asciiTheme="majorBidi" w:hAnsiTheme="majorBidi" w:cstheme="majorBidi"/>
          <w:b/>
          <w:bCs/>
        </w:rPr>
        <w:t> PCR Positivity</w:t>
      </w:r>
    </w:p>
    <w:p w14:paraId="53DCBEC1"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Table 4. Regional Distribution of </w:t>
      </w:r>
      <w:r w:rsidRPr="00984C3A">
        <w:rPr>
          <w:rFonts w:asciiTheme="majorBidi" w:hAnsiTheme="majorBidi" w:cstheme="majorBidi"/>
          <w:b/>
          <w:bCs/>
          <w:i/>
          <w:iCs/>
        </w:rPr>
        <w:t>Cryptosporidium</w:t>
      </w:r>
      <w:r w:rsidRPr="00984C3A">
        <w:rPr>
          <w:rFonts w:asciiTheme="majorBidi" w:hAnsiTheme="majorBidi" w:cstheme="majorBidi"/>
          <w:b/>
          <w:bCs/>
        </w:rPr>
        <w:t> PCR Results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0"/>
        <w:gridCol w:w="1778"/>
        <w:gridCol w:w="1708"/>
        <w:gridCol w:w="1800"/>
        <w:gridCol w:w="1904"/>
      </w:tblGrid>
      <w:tr w:rsidR="005655D1" w:rsidRPr="00984C3A" w14:paraId="0F0D7AE9" w14:textId="77777777" w:rsidTr="005B52C5">
        <w:trPr>
          <w:tblHeader/>
        </w:trPr>
        <w:tc>
          <w:tcPr>
            <w:tcW w:w="0" w:type="auto"/>
            <w:tcMar>
              <w:top w:w="150" w:type="dxa"/>
              <w:left w:w="0" w:type="dxa"/>
              <w:bottom w:w="150" w:type="dxa"/>
              <w:right w:w="240" w:type="dxa"/>
            </w:tcMar>
            <w:vAlign w:val="center"/>
            <w:hideMark/>
          </w:tcPr>
          <w:p w14:paraId="568EDF0F"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Governorate</w:t>
            </w:r>
          </w:p>
        </w:tc>
        <w:tc>
          <w:tcPr>
            <w:tcW w:w="0" w:type="auto"/>
            <w:tcMar>
              <w:top w:w="150" w:type="dxa"/>
              <w:left w:w="240" w:type="dxa"/>
              <w:bottom w:w="150" w:type="dxa"/>
              <w:right w:w="240" w:type="dxa"/>
            </w:tcMar>
            <w:vAlign w:val="center"/>
            <w:hideMark/>
          </w:tcPr>
          <w:p w14:paraId="42102056"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Total Samples</w:t>
            </w:r>
          </w:p>
        </w:tc>
        <w:tc>
          <w:tcPr>
            <w:tcW w:w="0" w:type="auto"/>
            <w:tcMar>
              <w:top w:w="150" w:type="dxa"/>
              <w:left w:w="240" w:type="dxa"/>
              <w:bottom w:w="150" w:type="dxa"/>
              <w:right w:w="240" w:type="dxa"/>
            </w:tcMar>
            <w:vAlign w:val="center"/>
            <w:hideMark/>
          </w:tcPr>
          <w:p w14:paraId="7FB54D91"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PCR Positive</w:t>
            </w:r>
          </w:p>
        </w:tc>
        <w:tc>
          <w:tcPr>
            <w:tcW w:w="0" w:type="auto"/>
            <w:tcMar>
              <w:top w:w="150" w:type="dxa"/>
              <w:left w:w="240" w:type="dxa"/>
              <w:bottom w:w="150" w:type="dxa"/>
              <w:right w:w="240" w:type="dxa"/>
            </w:tcMar>
            <w:vAlign w:val="center"/>
            <w:hideMark/>
          </w:tcPr>
          <w:p w14:paraId="696DBB12"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PCR Negative</w:t>
            </w:r>
          </w:p>
        </w:tc>
        <w:tc>
          <w:tcPr>
            <w:tcW w:w="0" w:type="auto"/>
            <w:tcMar>
              <w:top w:w="150" w:type="dxa"/>
              <w:left w:w="240" w:type="dxa"/>
              <w:bottom w:w="150" w:type="dxa"/>
              <w:right w:w="240" w:type="dxa"/>
            </w:tcMar>
            <w:vAlign w:val="center"/>
            <w:hideMark/>
          </w:tcPr>
          <w:p w14:paraId="31AE8412"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Prevalence (%)</w:t>
            </w:r>
          </w:p>
        </w:tc>
      </w:tr>
      <w:tr w:rsidR="005655D1" w:rsidRPr="00984C3A" w14:paraId="01ED9672" w14:textId="77777777" w:rsidTr="005B52C5">
        <w:tc>
          <w:tcPr>
            <w:tcW w:w="0" w:type="auto"/>
            <w:tcMar>
              <w:top w:w="150" w:type="dxa"/>
              <w:left w:w="0" w:type="dxa"/>
              <w:bottom w:w="150" w:type="dxa"/>
              <w:right w:w="240" w:type="dxa"/>
            </w:tcMar>
            <w:vAlign w:val="center"/>
            <w:hideMark/>
          </w:tcPr>
          <w:p w14:paraId="1331045B"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Zarqa</w:t>
            </w:r>
          </w:p>
        </w:tc>
        <w:tc>
          <w:tcPr>
            <w:tcW w:w="0" w:type="auto"/>
            <w:tcMar>
              <w:top w:w="150" w:type="dxa"/>
              <w:left w:w="240" w:type="dxa"/>
              <w:bottom w:w="150" w:type="dxa"/>
              <w:right w:w="240" w:type="dxa"/>
            </w:tcMar>
            <w:vAlign w:val="center"/>
            <w:hideMark/>
          </w:tcPr>
          <w:p w14:paraId="5A80C404"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10</w:t>
            </w:r>
          </w:p>
        </w:tc>
        <w:tc>
          <w:tcPr>
            <w:tcW w:w="0" w:type="auto"/>
            <w:tcMar>
              <w:top w:w="150" w:type="dxa"/>
              <w:left w:w="240" w:type="dxa"/>
              <w:bottom w:w="150" w:type="dxa"/>
              <w:right w:w="240" w:type="dxa"/>
            </w:tcMar>
            <w:vAlign w:val="center"/>
            <w:hideMark/>
          </w:tcPr>
          <w:p w14:paraId="18ECA6B2"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7</w:t>
            </w:r>
          </w:p>
        </w:tc>
        <w:tc>
          <w:tcPr>
            <w:tcW w:w="0" w:type="auto"/>
            <w:tcMar>
              <w:top w:w="150" w:type="dxa"/>
              <w:left w:w="240" w:type="dxa"/>
              <w:bottom w:w="150" w:type="dxa"/>
              <w:right w:w="240" w:type="dxa"/>
            </w:tcMar>
            <w:vAlign w:val="center"/>
            <w:hideMark/>
          </w:tcPr>
          <w:p w14:paraId="49C3BAF4"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3</w:t>
            </w:r>
          </w:p>
        </w:tc>
        <w:tc>
          <w:tcPr>
            <w:tcW w:w="0" w:type="auto"/>
            <w:tcMar>
              <w:top w:w="150" w:type="dxa"/>
              <w:left w:w="240" w:type="dxa"/>
              <w:bottom w:w="150" w:type="dxa"/>
              <w:right w:w="0" w:type="dxa"/>
            </w:tcMar>
            <w:vAlign w:val="center"/>
            <w:hideMark/>
          </w:tcPr>
          <w:p w14:paraId="74E7F6A2"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70.0%</w:t>
            </w:r>
          </w:p>
        </w:tc>
      </w:tr>
      <w:tr w:rsidR="005655D1" w:rsidRPr="00984C3A" w14:paraId="0E1F56BF" w14:textId="77777777" w:rsidTr="005B52C5">
        <w:tc>
          <w:tcPr>
            <w:tcW w:w="0" w:type="auto"/>
            <w:tcMar>
              <w:top w:w="150" w:type="dxa"/>
              <w:left w:w="0" w:type="dxa"/>
              <w:bottom w:w="150" w:type="dxa"/>
              <w:right w:w="240" w:type="dxa"/>
            </w:tcMar>
            <w:vAlign w:val="center"/>
            <w:hideMark/>
          </w:tcPr>
          <w:p w14:paraId="12B154FB"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Jerash</w:t>
            </w:r>
          </w:p>
        </w:tc>
        <w:tc>
          <w:tcPr>
            <w:tcW w:w="0" w:type="auto"/>
            <w:tcMar>
              <w:top w:w="150" w:type="dxa"/>
              <w:left w:w="240" w:type="dxa"/>
              <w:bottom w:w="150" w:type="dxa"/>
              <w:right w:w="240" w:type="dxa"/>
            </w:tcMar>
            <w:vAlign w:val="center"/>
            <w:hideMark/>
          </w:tcPr>
          <w:p w14:paraId="3815D231"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8</w:t>
            </w:r>
          </w:p>
        </w:tc>
        <w:tc>
          <w:tcPr>
            <w:tcW w:w="0" w:type="auto"/>
            <w:tcMar>
              <w:top w:w="150" w:type="dxa"/>
              <w:left w:w="240" w:type="dxa"/>
              <w:bottom w:w="150" w:type="dxa"/>
              <w:right w:w="240" w:type="dxa"/>
            </w:tcMar>
            <w:vAlign w:val="center"/>
            <w:hideMark/>
          </w:tcPr>
          <w:p w14:paraId="382D6457"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5</w:t>
            </w:r>
          </w:p>
        </w:tc>
        <w:tc>
          <w:tcPr>
            <w:tcW w:w="0" w:type="auto"/>
            <w:tcMar>
              <w:top w:w="150" w:type="dxa"/>
              <w:left w:w="240" w:type="dxa"/>
              <w:bottom w:w="150" w:type="dxa"/>
              <w:right w:w="240" w:type="dxa"/>
            </w:tcMar>
            <w:vAlign w:val="center"/>
            <w:hideMark/>
          </w:tcPr>
          <w:p w14:paraId="406F1C78"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3</w:t>
            </w:r>
          </w:p>
        </w:tc>
        <w:tc>
          <w:tcPr>
            <w:tcW w:w="0" w:type="auto"/>
            <w:tcMar>
              <w:top w:w="150" w:type="dxa"/>
              <w:left w:w="240" w:type="dxa"/>
              <w:bottom w:w="150" w:type="dxa"/>
              <w:right w:w="0" w:type="dxa"/>
            </w:tcMar>
            <w:vAlign w:val="center"/>
            <w:hideMark/>
          </w:tcPr>
          <w:p w14:paraId="01A410A6"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62.5%</w:t>
            </w:r>
          </w:p>
        </w:tc>
      </w:tr>
      <w:tr w:rsidR="005655D1" w:rsidRPr="00984C3A" w14:paraId="3467CAED" w14:textId="77777777" w:rsidTr="005B52C5">
        <w:tc>
          <w:tcPr>
            <w:tcW w:w="0" w:type="auto"/>
            <w:tcMar>
              <w:top w:w="150" w:type="dxa"/>
              <w:left w:w="0" w:type="dxa"/>
              <w:bottom w:w="150" w:type="dxa"/>
              <w:right w:w="240" w:type="dxa"/>
            </w:tcMar>
            <w:vAlign w:val="center"/>
            <w:hideMark/>
          </w:tcPr>
          <w:p w14:paraId="634F97D5"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Balqa</w:t>
            </w:r>
          </w:p>
        </w:tc>
        <w:tc>
          <w:tcPr>
            <w:tcW w:w="0" w:type="auto"/>
            <w:tcMar>
              <w:top w:w="150" w:type="dxa"/>
              <w:left w:w="240" w:type="dxa"/>
              <w:bottom w:w="150" w:type="dxa"/>
              <w:right w:w="240" w:type="dxa"/>
            </w:tcMar>
            <w:vAlign w:val="center"/>
            <w:hideMark/>
          </w:tcPr>
          <w:p w14:paraId="7F809F6D"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5</w:t>
            </w:r>
          </w:p>
        </w:tc>
        <w:tc>
          <w:tcPr>
            <w:tcW w:w="0" w:type="auto"/>
            <w:tcMar>
              <w:top w:w="150" w:type="dxa"/>
              <w:left w:w="240" w:type="dxa"/>
              <w:bottom w:w="150" w:type="dxa"/>
              <w:right w:w="240" w:type="dxa"/>
            </w:tcMar>
            <w:vAlign w:val="center"/>
            <w:hideMark/>
          </w:tcPr>
          <w:p w14:paraId="0471276A"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3</w:t>
            </w:r>
          </w:p>
        </w:tc>
        <w:tc>
          <w:tcPr>
            <w:tcW w:w="0" w:type="auto"/>
            <w:tcMar>
              <w:top w:w="150" w:type="dxa"/>
              <w:left w:w="240" w:type="dxa"/>
              <w:bottom w:w="150" w:type="dxa"/>
              <w:right w:w="240" w:type="dxa"/>
            </w:tcMar>
            <w:vAlign w:val="center"/>
            <w:hideMark/>
          </w:tcPr>
          <w:p w14:paraId="0401C914"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2</w:t>
            </w:r>
          </w:p>
        </w:tc>
        <w:tc>
          <w:tcPr>
            <w:tcW w:w="0" w:type="auto"/>
            <w:tcMar>
              <w:top w:w="150" w:type="dxa"/>
              <w:left w:w="240" w:type="dxa"/>
              <w:bottom w:w="150" w:type="dxa"/>
              <w:right w:w="0" w:type="dxa"/>
            </w:tcMar>
            <w:vAlign w:val="center"/>
            <w:hideMark/>
          </w:tcPr>
          <w:p w14:paraId="538BC740"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60.0%</w:t>
            </w:r>
          </w:p>
        </w:tc>
      </w:tr>
      <w:tr w:rsidR="005655D1" w:rsidRPr="00984C3A" w14:paraId="50C6B513" w14:textId="77777777" w:rsidTr="005B52C5">
        <w:tc>
          <w:tcPr>
            <w:tcW w:w="0" w:type="auto"/>
            <w:tcMar>
              <w:top w:w="150" w:type="dxa"/>
              <w:left w:w="0" w:type="dxa"/>
              <w:bottom w:w="150" w:type="dxa"/>
              <w:right w:w="240" w:type="dxa"/>
            </w:tcMar>
            <w:vAlign w:val="center"/>
            <w:hideMark/>
          </w:tcPr>
          <w:p w14:paraId="0CE0B66D"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Mafraq</w:t>
            </w:r>
          </w:p>
        </w:tc>
        <w:tc>
          <w:tcPr>
            <w:tcW w:w="0" w:type="auto"/>
            <w:tcMar>
              <w:top w:w="150" w:type="dxa"/>
              <w:left w:w="240" w:type="dxa"/>
              <w:bottom w:w="150" w:type="dxa"/>
              <w:right w:w="240" w:type="dxa"/>
            </w:tcMar>
            <w:vAlign w:val="center"/>
            <w:hideMark/>
          </w:tcPr>
          <w:p w14:paraId="23C31C49"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9</w:t>
            </w:r>
          </w:p>
        </w:tc>
        <w:tc>
          <w:tcPr>
            <w:tcW w:w="0" w:type="auto"/>
            <w:tcMar>
              <w:top w:w="150" w:type="dxa"/>
              <w:left w:w="240" w:type="dxa"/>
              <w:bottom w:w="150" w:type="dxa"/>
              <w:right w:w="240" w:type="dxa"/>
            </w:tcMar>
            <w:vAlign w:val="center"/>
            <w:hideMark/>
          </w:tcPr>
          <w:p w14:paraId="0F20E833"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4</w:t>
            </w:r>
          </w:p>
        </w:tc>
        <w:tc>
          <w:tcPr>
            <w:tcW w:w="0" w:type="auto"/>
            <w:tcMar>
              <w:top w:w="150" w:type="dxa"/>
              <w:left w:w="240" w:type="dxa"/>
              <w:bottom w:w="150" w:type="dxa"/>
              <w:right w:w="240" w:type="dxa"/>
            </w:tcMar>
            <w:vAlign w:val="center"/>
            <w:hideMark/>
          </w:tcPr>
          <w:p w14:paraId="7C78B188"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5</w:t>
            </w:r>
          </w:p>
        </w:tc>
        <w:tc>
          <w:tcPr>
            <w:tcW w:w="0" w:type="auto"/>
            <w:tcMar>
              <w:top w:w="150" w:type="dxa"/>
              <w:left w:w="240" w:type="dxa"/>
              <w:bottom w:w="150" w:type="dxa"/>
              <w:right w:w="0" w:type="dxa"/>
            </w:tcMar>
            <w:vAlign w:val="center"/>
            <w:hideMark/>
          </w:tcPr>
          <w:p w14:paraId="3D3FB9C6"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44.4%</w:t>
            </w:r>
          </w:p>
        </w:tc>
      </w:tr>
      <w:tr w:rsidR="005655D1" w:rsidRPr="00984C3A" w14:paraId="72BE03D6" w14:textId="77777777" w:rsidTr="005B52C5">
        <w:tc>
          <w:tcPr>
            <w:tcW w:w="0" w:type="auto"/>
            <w:tcMar>
              <w:top w:w="150" w:type="dxa"/>
              <w:left w:w="0" w:type="dxa"/>
              <w:bottom w:w="150" w:type="dxa"/>
              <w:right w:w="240" w:type="dxa"/>
            </w:tcMar>
            <w:vAlign w:val="center"/>
            <w:hideMark/>
          </w:tcPr>
          <w:p w14:paraId="721D7310" w14:textId="77777777" w:rsidR="005655D1" w:rsidRPr="00984C3A" w:rsidRDefault="005655D1" w:rsidP="005B52C5">
            <w:pPr>
              <w:spacing w:line="240" w:lineRule="auto"/>
              <w:jc w:val="both"/>
              <w:rPr>
                <w:rFonts w:asciiTheme="majorBidi" w:hAnsiTheme="majorBidi" w:cstheme="majorBidi"/>
              </w:rPr>
            </w:pPr>
            <w:proofErr w:type="spellStart"/>
            <w:r w:rsidRPr="00984C3A">
              <w:rPr>
                <w:rFonts w:asciiTheme="majorBidi" w:hAnsiTheme="majorBidi" w:cstheme="majorBidi"/>
              </w:rPr>
              <w:t>Ajloun</w:t>
            </w:r>
            <w:proofErr w:type="spellEnd"/>
          </w:p>
        </w:tc>
        <w:tc>
          <w:tcPr>
            <w:tcW w:w="0" w:type="auto"/>
            <w:tcMar>
              <w:top w:w="150" w:type="dxa"/>
              <w:left w:w="240" w:type="dxa"/>
              <w:bottom w:w="150" w:type="dxa"/>
              <w:right w:w="240" w:type="dxa"/>
            </w:tcMar>
            <w:vAlign w:val="center"/>
            <w:hideMark/>
          </w:tcPr>
          <w:p w14:paraId="6ED432DB"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10</w:t>
            </w:r>
          </w:p>
        </w:tc>
        <w:tc>
          <w:tcPr>
            <w:tcW w:w="0" w:type="auto"/>
            <w:tcMar>
              <w:top w:w="150" w:type="dxa"/>
              <w:left w:w="240" w:type="dxa"/>
              <w:bottom w:w="150" w:type="dxa"/>
              <w:right w:w="240" w:type="dxa"/>
            </w:tcMar>
            <w:vAlign w:val="center"/>
            <w:hideMark/>
          </w:tcPr>
          <w:p w14:paraId="5DAFFA1C"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4</w:t>
            </w:r>
          </w:p>
        </w:tc>
        <w:tc>
          <w:tcPr>
            <w:tcW w:w="0" w:type="auto"/>
            <w:tcMar>
              <w:top w:w="150" w:type="dxa"/>
              <w:left w:w="240" w:type="dxa"/>
              <w:bottom w:w="150" w:type="dxa"/>
              <w:right w:w="240" w:type="dxa"/>
            </w:tcMar>
            <w:vAlign w:val="center"/>
            <w:hideMark/>
          </w:tcPr>
          <w:p w14:paraId="431AFC6F"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6</w:t>
            </w:r>
          </w:p>
        </w:tc>
        <w:tc>
          <w:tcPr>
            <w:tcW w:w="0" w:type="auto"/>
            <w:tcMar>
              <w:top w:w="150" w:type="dxa"/>
              <w:left w:w="240" w:type="dxa"/>
              <w:bottom w:w="150" w:type="dxa"/>
              <w:right w:w="0" w:type="dxa"/>
            </w:tcMar>
            <w:vAlign w:val="center"/>
            <w:hideMark/>
          </w:tcPr>
          <w:p w14:paraId="7D52F641"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rPr>
              <w:t>40.0%</w:t>
            </w:r>
          </w:p>
        </w:tc>
      </w:tr>
      <w:tr w:rsidR="005655D1" w:rsidRPr="00984C3A" w14:paraId="4EF5C8C8" w14:textId="77777777" w:rsidTr="005B52C5">
        <w:tc>
          <w:tcPr>
            <w:tcW w:w="0" w:type="auto"/>
            <w:tcMar>
              <w:top w:w="150" w:type="dxa"/>
              <w:left w:w="0" w:type="dxa"/>
              <w:bottom w:w="150" w:type="dxa"/>
              <w:right w:w="240" w:type="dxa"/>
            </w:tcMar>
            <w:vAlign w:val="center"/>
            <w:hideMark/>
          </w:tcPr>
          <w:p w14:paraId="7EA61C0E"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b/>
                <w:bCs/>
              </w:rPr>
              <w:t>Total</w:t>
            </w:r>
          </w:p>
        </w:tc>
        <w:tc>
          <w:tcPr>
            <w:tcW w:w="0" w:type="auto"/>
            <w:tcMar>
              <w:top w:w="150" w:type="dxa"/>
              <w:left w:w="240" w:type="dxa"/>
              <w:bottom w:w="150" w:type="dxa"/>
              <w:right w:w="240" w:type="dxa"/>
            </w:tcMar>
            <w:vAlign w:val="center"/>
            <w:hideMark/>
          </w:tcPr>
          <w:p w14:paraId="458F33E8"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b/>
                <w:bCs/>
              </w:rPr>
              <w:t>42</w:t>
            </w:r>
          </w:p>
        </w:tc>
        <w:tc>
          <w:tcPr>
            <w:tcW w:w="0" w:type="auto"/>
            <w:tcMar>
              <w:top w:w="150" w:type="dxa"/>
              <w:left w:w="240" w:type="dxa"/>
              <w:bottom w:w="150" w:type="dxa"/>
              <w:right w:w="240" w:type="dxa"/>
            </w:tcMar>
            <w:vAlign w:val="center"/>
            <w:hideMark/>
          </w:tcPr>
          <w:p w14:paraId="21C717A3"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b/>
                <w:bCs/>
              </w:rPr>
              <w:t>21</w:t>
            </w:r>
          </w:p>
        </w:tc>
        <w:tc>
          <w:tcPr>
            <w:tcW w:w="0" w:type="auto"/>
            <w:tcMar>
              <w:top w:w="150" w:type="dxa"/>
              <w:left w:w="240" w:type="dxa"/>
              <w:bottom w:w="150" w:type="dxa"/>
              <w:right w:w="240" w:type="dxa"/>
            </w:tcMar>
            <w:vAlign w:val="center"/>
            <w:hideMark/>
          </w:tcPr>
          <w:p w14:paraId="6DE27F36"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b/>
                <w:bCs/>
              </w:rPr>
              <w:t>21</w:t>
            </w:r>
          </w:p>
        </w:tc>
        <w:tc>
          <w:tcPr>
            <w:tcW w:w="0" w:type="auto"/>
            <w:tcMar>
              <w:top w:w="150" w:type="dxa"/>
              <w:left w:w="240" w:type="dxa"/>
              <w:bottom w:w="150" w:type="dxa"/>
              <w:right w:w="0" w:type="dxa"/>
            </w:tcMar>
            <w:vAlign w:val="center"/>
            <w:hideMark/>
          </w:tcPr>
          <w:p w14:paraId="253720E5" w14:textId="77777777" w:rsidR="005655D1" w:rsidRPr="00984C3A" w:rsidRDefault="005655D1" w:rsidP="005B52C5">
            <w:pPr>
              <w:spacing w:line="240" w:lineRule="auto"/>
              <w:jc w:val="both"/>
              <w:rPr>
                <w:rFonts w:asciiTheme="majorBidi" w:hAnsiTheme="majorBidi" w:cstheme="majorBidi"/>
              </w:rPr>
            </w:pPr>
            <w:r w:rsidRPr="00984C3A">
              <w:rPr>
                <w:rFonts w:asciiTheme="majorBidi" w:hAnsiTheme="majorBidi" w:cstheme="majorBidi"/>
                <w:b/>
                <w:bCs/>
              </w:rPr>
              <w:t>50.0%</w:t>
            </w:r>
          </w:p>
        </w:tc>
      </w:tr>
    </w:tbl>
    <w:p w14:paraId="46248775" w14:textId="77777777" w:rsidR="005655D1" w:rsidRPr="00984C3A" w:rsidRDefault="005655D1" w:rsidP="001157B9">
      <w:pPr>
        <w:spacing w:line="360" w:lineRule="auto"/>
        <w:jc w:val="both"/>
        <w:rPr>
          <w:rFonts w:asciiTheme="majorBidi" w:hAnsiTheme="majorBidi" w:cstheme="majorBidi"/>
          <w:b/>
          <w:bCs/>
        </w:rPr>
      </w:pPr>
      <w:r w:rsidRPr="00984C3A">
        <w:rPr>
          <w:rFonts w:asciiTheme="majorBidi" w:hAnsiTheme="majorBidi" w:cstheme="majorBidi"/>
          <w:b/>
          <w:bCs/>
        </w:rPr>
        <w:t>3.4 Co-infection Patterns (</w:t>
      </w:r>
      <w:r w:rsidRPr="00984C3A">
        <w:rPr>
          <w:rFonts w:asciiTheme="majorBidi" w:hAnsiTheme="majorBidi" w:cstheme="majorBidi"/>
          <w:b/>
          <w:bCs/>
          <w:i/>
          <w:iCs/>
        </w:rPr>
        <w:t>Eimeria</w:t>
      </w:r>
      <w:r w:rsidRPr="00984C3A">
        <w:rPr>
          <w:rFonts w:asciiTheme="majorBidi" w:hAnsiTheme="majorBidi" w:cstheme="majorBidi"/>
          <w:b/>
          <w:bCs/>
        </w:rPr>
        <w:t> and </w:t>
      </w:r>
      <w:r w:rsidRPr="00984C3A">
        <w:rPr>
          <w:rFonts w:asciiTheme="majorBidi" w:hAnsiTheme="majorBidi" w:cstheme="majorBidi"/>
          <w:b/>
          <w:bCs/>
          <w:i/>
          <w:iCs/>
        </w:rPr>
        <w:t>Cryptosporidium</w:t>
      </w:r>
      <w:r w:rsidRPr="00984C3A">
        <w:rPr>
          <w:rFonts w:asciiTheme="majorBidi" w:hAnsiTheme="majorBidi" w:cstheme="majorBidi"/>
          <w:b/>
          <w:bCs/>
        </w:rPr>
        <w:t>)</w:t>
      </w:r>
    </w:p>
    <w:p w14:paraId="026D7570" w14:textId="0ACD6836"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Of the 21 </w:t>
      </w:r>
      <w:r w:rsidR="00984C3A" w:rsidRPr="00984C3A">
        <w:rPr>
          <w:rFonts w:asciiTheme="majorBidi" w:hAnsiTheme="majorBidi" w:cstheme="majorBidi"/>
        </w:rPr>
        <w:t>positive samples</w:t>
      </w:r>
      <w:r w:rsidRPr="00984C3A">
        <w:rPr>
          <w:rFonts w:asciiTheme="majorBidi" w:hAnsiTheme="majorBidi" w:cstheme="majorBidi"/>
        </w:rPr>
        <w:t xml:space="preserve"> for </w:t>
      </w:r>
      <w:r w:rsidRPr="00984C3A">
        <w:rPr>
          <w:rFonts w:asciiTheme="majorBidi" w:hAnsiTheme="majorBidi" w:cstheme="majorBidi"/>
          <w:i/>
          <w:iCs/>
        </w:rPr>
        <w:t>Cryptosporidium</w:t>
      </w:r>
      <w:r w:rsidRPr="00984C3A">
        <w:rPr>
          <w:rFonts w:asciiTheme="majorBidi" w:hAnsiTheme="majorBidi" w:cstheme="majorBidi"/>
        </w:rPr>
        <w:t> by PCR:</w:t>
      </w:r>
    </w:p>
    <w:p w14:paraId="3C3F0CAD" w14:textId="77777777" w:rsidR="005655D1" w:rsidRPr="00984C3A" w:rsidRDefault="005655D1" w:rsidP="001157B9">
      <w:pPr>
        <w:numPr>
          <w:ilvl w:val="0"/>
          <w:numId w:val="6"/>
        </w:numPr>
        <w:spacing w:line="360" w:lineRule="auto"/>
        <w:jc w:val="both"/>
        <w:rPr>
          <w:rFonts w:asciiTheme="majorBidi" w:hAnsiTheme="majorBidi" w:cstheme="majorBidi"/>
        </w:rPr>
      </w:pPr>
      <w:r w:rsidRPr="00984C3A">
        <w:rPr>
          <w:rFonts w:asciiTheme="majorBidi" w:hAnsiTheme="majorBidi" w:cstheme="majorBidi"/>
        </w:rPr>
        <w:t>17 samples (81.0%) also had detectable </w:t>
      </w:r>
      <w:r w:rsidRPr="00984C3A">
        <w:rPr>
          <w:rFonts w:asciiTheme="majorBidi" w:hAnsiTheme="majorBidi" w:cstheme="majorBidi"/>
          <w:i/>
          <w:iCs/>
        </w:rPr>
        <w:t>Eimeria</w:t>
      </w:r>
      <w:r w:rsidRPr="00984C3A">
        <w:rPr>
          <w:rFonts w:asciiTheme="majorBidi" w:hAnsiTheme="majorBidi" w:cstheme="majorBidi"/>
        </w:rPr>
        <w:t> co-infection</w:t>
      </w:r>
    </w:p>
    <w:p w14:paraId="59D60B29" w14:textId="77777777" w:rsidR="005655D1" w:rsidRPr="00984C3A" w:rsidRDefault="005655D1" w:rsidP="001157B9">
      <w:pPr>
        <w:numPr>
          <w:ilvl w:val="0"/>
          <w:numId w:val="6"/>
        </w:numPr>
        <w:spacing w:line="360" w:lineRule="auto"/>
        <w:jc w:val="both"/>
        <w:rPr>
          <w:rFonts w:asciiTheme="majorBidi" w:hAnsiTheme="majorBidi" w:cstheme="majorBidi"/>
        </w:rPr>
      </w:pPr>
      <w:r w:rsidRPr="00984C3A">
        <w:rPr>
          <w:rFonts w:asciiTheme="majorBidi" w:hAnsiTheme="majorBidi" w:cstheme="majorBidi"/>
        </w:rPr>
        <w:t>4 samples (19.0%) were positive for </w:t>
      </w:r>
      <w:r w:rsidRPr="00984C3A">
        <w:rPr>
          <w:rFonts w:asciiTheme="majorBidi" w:hAnsiTheme="majorBidi" w:cstheme="majorBidi"/>
          <w:i/>
          <w:iCs/>
        </w:rPr>
        <w:t>Cryptosporidium</w:t>
      </w:r>
      <w:r w:rsidRPr="00984C3A">
        <w:rPr>
          <w:rFonts w:asciiTheme="majorBidi" w:hAnsiTheme="majorBidi" w:cstheme="majorBidi"/>
        </w:rPr>
        <w:t> but had no detectable </w:t>
      </w:r>
      <w:r w:rsidRPr="00984C3A">
        <w:rPr>
          <w:rFonts w:asciiTheme="majorBidi" w:hAnsiTheme="majorBidi" w:cstheme="majorBidi"/>
          <w:i/>
          <w:iCs/>
        </w:rPr>
        <w:t>Eimeria</w:t>
      </w:r>
      <w:r w:rsidRPr="00984C3A">
        <w:rPr>
          <w:rFonts w:asciiTheme="majorBidi" w:hAnsiTheme="majorBidi" w:cstheme="majorBidi"/>
        </w:rPr>
        <w:t> PCR product</w:t>
      </w:r>
    </w:p>
    <w:p w14:paraId="03770B3A" w14:textId="77777777" w:rsidR="005655D1" w:rsidRPr="00984C3A" w:rsidRDefault="005655D1" w:rsidP="001157B9">
      <w:pPr>
        <w:pStyle w:val="Heading1"/>
        <w:numPr>
          <w:ilvl w:val="0"/>
          <w:numId w:val="13"/>
        </w:numPr>
        <w:spacing w:line="360" w:lineRule="auto"/>
        <w:jc w:val="both"/>
      </w:pPr>
      <w:r w:rsidRPr="00984C3A">
        <w:t>Discussion</w:t>
      </w:r>
    </w:p>
    <w:p w14:paraId="08F64FB2"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This study provides the first integrated parasitological and molecular investigation of both </w:t>
      </w:r>
      <w:r w:rsidRPr="00984C3A">
        <w:rPr>
          <w:rFonts w:asciiTheme="majorBidi" w:hAnsiTheme="majorBidi" w:cstheme="majorBidi"/>
          <w:i/>
          <w:iCs/>
        </w:rPr>
        <w:t>Eimeria</w:t>
      </w:r>
      <w:r w:rsidRPr="00984C3A">
        <w:rPr>
          <w:rFonts w:asciiTheme="majorBidi" w:hAnsiTheme="majorBidi" w:cstheme="majorBidi"/>
        </w:rPr>
        <w:t> and </w:t>
      </w:r>
      <w:r w:rsidRPr="00984C3A">
        <w:rPr>
          <w:rFonts w:asciiTheme="majorBidi" w:hAnsiTheme="majorBidi" w:cstheme="majorBidi"/>
          <w:i/>
          <w:iCs/>
        </w:rPr>
        <w:t>Cryptosporidium</w:t>
      </w:r>
      <w:r w:rsidRPr="00984C3A">
        <w:rPr>
          <w:rFonts w:asciiTheme="majorBidi" w:hAnsiTheme="majorBidi" w:cstheme="majorBidi"/>
        </w:rPr>
        <w:t> infections in broiler chickens in Jordan, based on 42 samples from 32 farms across five governorates. The results reveal important findings regarding the prevalence, infection intensity, species distribution, and diagnostic challenges associated with these two important protozoan parasites.</w:t>
      </w:r>
    </w:p>
    <w:p w14:paraId="6C5C05CD" w14:textId="77777777" w:rsidR="005655D1" w:rsidRPr="00984C3A" w:rsidRDefault="005655D1" w:rsidP="001157B9">
      <w:pPr>
        <w:spacing w:line="360" w:lineRule="auto"/>
        <w:jc w:val="both"/>
        <w:rPr>
          <w:rFonts w:asciiTheme="majorBidi" w:hAnsiTheme="majorBidi" w:cstheme="majorBidi"/>
          <w:b/>
          <w:bCs/>
        </w:rPr>
      </w:pPr>
      <w:r w:rsidRPr="00984C3A">
        <w:rPr>
          <w:rFonts w:asciiTheme="majorBidi" w:hAnsiTheme="majorBidi" w:cstheme="majorBidi"/>
          <w:b/>
          <w:bCs/>
        </w:rPr>
        <w:t>4.1 </w:t>
      </w:r>
      <w:r w:rsidRPr="00984C3A">
        <w:rPr>
          <w:rFonts w:asciiTheme="majorBidi" w:hAnsiTheme="majorBidi" w:cstheme="majorBidi"/>
          <w:b/>
          <w:bCs/>
          <w:i/>
          <w:iCs/>
        </w:rPr>
        <w:t>Eimeria</w:t>
      </w:r>
      <w:r w:rsidRPr="00984C3A">
        <w:rPr>
          <w:rFonts w:asciiTheme="majorBidi" w:hAnsiTheme="majorBidi" w:cstheme="majorBidi"/>
          <w:b/>
          <w:bCs/>
        </w:rPr>
        <w:t> Infection: Ubiquitous Prevalence and High Oocyst Burdens</w:t>
      </w:r>
    </w:p>
    <w:p w14:paraId="215774C6" w14:textId="05238529"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The 100% prevalence of </w:t>
      </w:r>
      <w:r w:rsidRPr="00984C3A">
        <w:rPr>
          <w:rFonts w:asciiTheme="majorBidi" w:hAnsiTheme="majorBidi" w:cstheme="majorBidi"/>
          <w:i/>
          <w:iCs/>
        </w:rPr>
        <w:t>Eimeria</w:t>
      </w:r>
      <w:r w:rsidRPr="00984C3A">
        <w:rPr>
          <w:rFonts w:asciiTheme="majorBidi" w:hAnsiTheme="majorBidi" w:cstheme="majorBidi"/>
        </w:rPr>
        <w:t> oocysts detected in this study is consistent with global reports indicating that coccidiosis is ubiquitous in intensive broiler production systems (Williams 2005; Györke et al</w:t>
      </w:r>
      <w:r w:rsidR="00984C3A" w:rsidRPr="00984C3A">
        <w:rPr>
          <w:rFonts w:asciiTheme="majorBidi" w:hAnsiTheme="majorBidi" w:cstheme="majorBidi"/>
        </w:rPr>
        <w:t>.</w:t>
      </w:r>
      <w:r w:rsidRPr="00984C3A">
        <w:rPr>
          <w:rFonts w:asciiTheme="majorBidi" w:hAnsiTheme="majorBidi" w:cstheme="majorBidi"/>
        </w:rPr>
        <w:t xml:space="preserve"> 2013). This finding confirms that virtually all commercial broiler flocks in Jordan are exposed to </w:t>
      </w:r>
      <w:r w:rsidRPr="00984C3A">
        <w:rPr>
          <w:rFonts w:asciiTheme="majorBidi" w:hAnsiTheme="majorBidi" w:cstheme="majorBidi"/>
          <w:i/>
          <w:iCs/>
        </w:rPr>
        <w:t>Eimeria</w:t>
      </w:r>
      <w:r w:rsidRPr="00984C3A">
        <w:rPr>
          <w:rFonts w:asciiTheme="majorBidi" w:hAnsiTheme="majorBidi" w:cstheme="majorBidi"/>
        </w:rPr>
        <w:t> spp</w:t>
      </w:r>
      <w:r w:rsidR="00984C3A" w:rsidRPr="00984C3A">
        <w:rPr>
          <w:rFonts w:asciiTheme="majorBidi" w:hAnsiTheme="majorBidi" w:cstheme="majorBidi"/>
        </w:rPr>
        <w:t>.</w:t>
      </w:r>
      <w:r w:rsidRPr="00984C3A">
        <w:rPr>
          <w:rFonts w:asciiTheme="majorBidi" w:hAnsiTheme="majorBidi" w:cstheme="majorBidi"/>
        </w:rPr>
        <w:t xml:space="preserve"> regardless of anticoccidial programs. The universal exposure reflects the resilience of </w:t>
      </w:r>
      <w:r w:rsidRPr="00984C3A">
        <w:rPr>
          <w:rFonts w:asciiTheme="majorBidi" w:hAnsiTheme="majorBidi" w:cstheme="majorBidi"/>
          <w:i/>
          <w:iCs/>
        </w:rPr>
        <w:t>Eimeria</w:t>
      </w:r>
      <w:r w:rsidRPr="00984C3A">
        <w:rPr>
          <w:rFonts w:asciiTheme="majorBidi" w:hAnsiTheme="majorBidi" w:cstheme="majorBidi"/>
        </w:rPr>
        <w:t> oocysts in the environment, their ability to survive for extended periods in litter, and the difficulty of achieving complete elimination even with rigorous cleaning and disinfection protocols.</w:t>
      </w:r>
    </w:p>
    <w:p w14:paraId="3327879A"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The oocyst counts ranged from 20,400 to 1,532,400 OPG, with a mean of 220,400 OPG. According to published guidelines (Johnson &amp; Reid, 1970; Long &amp; Joyner, 1984), OPG values above 100,000 are considered indicative of significant infection pressure that may lead to subclinical performance losses. In this study, 78.6% of samples (33/42) had OPG counts exceeding 100,000, suggesting that subclinical coccidiosis is likely an important constraint on broiler productivity in Jordan. The highest OPG count (1,532,400) is among the highest reported in the literature, indicating severe infection pressure in that </w:t>
      </w:r>
      <w:proofErr w:type="gramStart"/>
      <w:r w:rsidRPr="00984C3A">
        <w:rPr>
          <w:rFonts w:asciiTheme="majorBidi" w:hAnsiTheme="majorBidi" w:cstheme="majorBidi"/>
        </w:rPr>
        <w:t>particular flock</w:t>
      </w:r>
      <w:proofErr w:type="gramEnd"/>
      <w:r w:rsidRPr="00984C3A">
        <w:rPr>
          <w:rFonts w:asciiTheme="majorBidi" w:hAnsiTheme="majorBidi" w:cstheme="majorBidi"/>
        </w:rPr>
        <w:t>. Such high oocyst burdens would be expected to cause clinical coccidiosis characterized by bloody diarrhea, poor weight gain, and increased mortality, consistent with the clinical signs reported from that farm.</w:t>
      </w:r>
    </w:p>
    <w:p w14:paraId="0E89F737" w14:textId="3EB82972"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The substantial variation in OPG values (from 20,400 to 1,532,400) reflects differences in infection pressure between farms, likely influenced by factors such as stocking density, litter management, ventilation, anticoccidial drug programs, and the level of environmental contamination with oocysts from previous flocks. Farms with continuous production cycles (minimal downtime between flocks) typically have higher oocyst contamination levels (Williams 1999).</w:t>
      </w:r>
    </w:p>
    <w:p w14:paraId="5DDDAB68" w14:textId="77777777" w:rsidR="005655D1" w:rsidRPr="00984C3A" w:rsidRDefault="005655D1" w:rsidP="001157B9">
      <w:pPr>
        <w:pStyle w:val="Heading2"/>
        <w:spacing w:line="360" w:lineRule="auto"/>
        <w:jc w:val="both"/>
      </w:pPr>
      <w:r w:rsidRPr="00984C3A">
        <w:t>4.2 Molecular Characterization of </w:t>
      </w:r>
      <w:r w:rsidRPr="00984C3A">
        <w:rPr>
          <w:i/>
          <w:iCs/>
        </w:rPr>
        <w:t>Eimeria</w:t>
      </w:r>
      <w:r w:rsidRPr="00984C3A">
        <w:t> Species</w:t>
      </w:r>
    </w:p>
    <w:p w14:paraId="1C0597FD"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Molecular analysis revealed that </w:t>
      </w:r>
      <w:r w:rsidRPr="00984C3A">
        <w:rPr>
          <w:rFonts w:asciiTheme="majorBidi" w:hAnsiTheme="majorBidi" w:cstheme="majorBidi"/>
          <w:i/>
          <w:iCs/>
        </w:rPr>
        <w:t>Eimeria tenella</w:t>
      </w:r>
      <w:r w:rsidRPr="00984C3A">
        <w:rPr>
          <w:rFonts w:asciiTheme="majorBidi" w:hAnsiTheme="majorBidi" w:cstheme="majorBidi"/>
        </w:rPr>
        <w:t> was the most prevalent species, present in 60.5% of PCR-positive samples. This finding is consistent with numerous global studies that have identified </w:t>
      </w:r>
      <w:r w:rsidRPr="00984C3A">
        <w:rPr>
          <w:rFonts w:asciiTheme="majorBidi" w:hAnsiTheme="majorBidi" w:cstheme="majorBidi"/>
          <w:i/>
          <w:iCs/>
        </w:rPr>
        <w:t>E. tenella</w:t>
      </w:r>
      <w:r w:rsidRPr="00984C3A">
        <w:rPr>
          <w:rFonts w:asciiTheme="majorBidi" w:hAnsiTheme="majorBidi" w:cstheme="majorBidi"/>
        </w:rPr>
        <w:t> as the dominant species in broiler flocks due to its high pathogenicity and the development of resistance to certain anticoccidials (Chapman, 2014; Morris &amp; Gasser, 2006). </w:t>
      </w:r>
      <w:r w:rsidRPr="00984C3A">
        <w:rPr>
          <w:rFonts w:asciiTheme="majorBidi" w:hAnsiTheme="majorBidi" w:cstheme="majorBidi"/>
          <w:i/>
          <w:iCs/>
        </w:rPr>
        <w:t>E. tenella</w:t>
      </w:r>
      <w:r w:rsidRPr="00984C3A">
        <w:rPr>
          <w:rFonts w:asciiTheme="majorBidi" w:hAnsiTheme="majorBidi" w:cstheme="majorBidi"/>
        </w:rPr>
        <w:t> specifically targets the ceca, where it causes characteristic hemorrhagic lesions, bloody diarrhea, and potentially death in severe cases. The predominance of this species in Jordanian broilers raises concerns about potential drug resistance, as </w:t>
      </w:r>
      <w:r w:rsidRPr="00984C3A">
        <w:rPr>
          <w:rFonts w:asciiTheme="majorBidi" w:hAnsiTheme="majorBidi" w:cstheme="majorBidi"/>
          <w:i/>
          <w:iCs/>
        </w:rPr>
        <w:t>E. tenella</w:t>
      </w:r>
      <w:r w:rsidRPr="00984C3A">
        <w:rPr>
          <w:rFonts w:asciiTheme="majorBidi" w:hAnsiTheme="majorBidi" w:cstheme="majorBidi"/>
        </w:rPr>
        <w:t> is known to have developed resistance to many ionophore and synthetic anticoccidials globally (Chapman, 2014).</w:t>
      </w:r>
    </w:p>
    <w:p w14:paraId="1DA48B45" w14:textId="3A1AD30E"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was detected in 36.8% of PCR-positive samples, making it the second most common species. This species infects the duodenum and upper small intestine, causing whitish, elongated lesions that impair nutrient absorption. Although less pathogenic than </w:t>
      </w:r>
      <w:r w:rsidRPr="00984C3A">
        <w:rPr>
          <w:rFonts w:asciiTheme="majorBidi" w:hAnsiTheme="majorBidi" w:cstheme="majorBidi"/>
          <w:i/>
          <w:iCs/>
        </w:rPr>
        <w:t>E. tenella</w:t>
      </w:r>
      <w:r w:rsidRPr="00984C3A">
        <w:rPr>
          <w:rFonts w:asciiTheme="majorBidi" w:hAnsiTheme="majorBidi" w:cstheme="majorBidi"/>
        </w:rPr>
        <w:t>, </w:t>
      </w: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contributes significantly to reduced feed conversion efficiency and poor growth rates, especially in mixed infections (Williams, 2005). </w:t>
      </w:r>
      <w:r w:rsidRPr="00984C3A">
        <w:rPr>
          <w:rFonts w:asciiTheme="majorBidi" w:hAnsiTheme="majorBidi" w:cstheme="majorBidi"/>
          <w:i/>
          <w:iCs/>
        </w:rPr>
        <w:t>E. mitis</w:t>
      </w:r>
      <w:r w:rsidRPr="00984C3A">
        <w:rPr>
          <w:rFonts w:asciiTheme="majorBidi" w:hAnsiTheme="majorBidi" w:cstheme="majorBidi"/>
        </w:rPr>
        <w:t> was detected in only 5.3% of samples, which is consistent with its generally lower prevalence in broiler flocks globally (Long &amp; Joyner 1984).</w:t>
      </w:r>
    </w:p>
    <w:p w14:paraId="4C7F9F0C" w14:textId="321F955B"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The frequent observation of mixed infections (26.3% of PCR-positive samples) is clinically important. Different </w:t>
      </w:r>
      <w:r w:rsidRPr="00984C3A">
        <w:rPr>
          <w:rFonts w:asciiTheme="majorBidi" w:hAnsiTheme="majorBidi" w:cstheme="majorBidi"/>
          <w:i/>
          <w:iCs/>
        </w:rPr>
        <w:t>Eimeria</w:t>
      </w:r>
      <w:r w:rsidRPr="00984C3A">
        <w:rPr>
          <w:rFonts w:asciiTheme="majorBidi" w:hAnsiTheme="majorBidi" w:cstheme="majorBidi"/>
        </w:rPr>
        <w:t> species target different segments of the intestine: </w:t>
      </w:r>
      <w:r w:rsidRPr="00984C3A">
        <w:rPr>
          <w:rFonts w:asciiTheme="majorBidi" w:hAnsiTheme="majorBidi" w:cstheme="majorBidi"/>
          <w:i/>
          <w:iCs/>
        </w:rPr>
        <w:t>E. tenella</w:t>
      </w:r>
      <w:r w:rsidRPr="00984C3A">
        <w:rPr>
          <w:rFonts w:asciiTheme="majorBidi" w:hAnsiTheme="majorBidi" w:cstheme="majorBidi"/>
        </w:rPr>
        <w:t> affects the ceca, </w:t>
      </w: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affects the duodenum, and </w:t>
      </w:r>
      <w:r w:rsidRPr="00984C3A">
        <w:rPr>
          <w:rFonts w:asciiTheme="majorBidi" w:hAnsiTheme="majorBidi" w:cstheme="majorBidi"/>
          <w:i/>
          <w:iCs/>
        </w:rPr>
        <w:t>E. mitis</w:t>
      </w:r>
      <w:r w:rsidRPr="00984C3A">
        <w:rPr>
          <w:rFonts w:asciiTheme="majorBidi" w:hAnsiTheme="majorBidi" w:cstheme="majorBidi"/>
        </w:rPr>
        <w:t> affects the lower small intestine. Mixed infections therefore cause more extensive intestinal damage than single-species infections (Williams 2005). The most common mixed infection pattern was </w:t>
      </w:r>
      <w:r w:rsidRPr="00984C3A">
        <w:rPr>
          <w:rFonts w:asciiTheme="majorBidi" w:hAnsiTheme="majorBidi" w:cstheme="majorBidi"/>
          <w:i/>
          <w:iCs/>
        </w:rPr>
        <w:t>E. tenella</w:t>
      </w:r>
      <w:r w:rsidRPr="00984C3A">
        <w:rPr>
          <w:rFonts w:asciiTheme="majorBidi" w:hAnsiTheme="majorBidi" w:cstheme="majorBidi"/>
        </w:rPr>
        <w:t> + </w:t>
      </w: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(8 samples), suggesting that these two species commonly co-circulate in Jordanian flocks. This has implications for control strategies, as vaccines and anticoccidials must be effective against multiple species simultaneously.</w:t>
      </w:r>
    </w:p>
    <w:p w14:paraId="5705660D"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Comparison with regional studies reveals similar patterns. In Egypt, El-Sherry et al. (2014) reported </w:t>
      </w:r>
      <w:r w:rsidRPr="00984C3A">
        <w:rPr>
          <w:rFonts w:asciiTheme="majorBidi" w:hAnsiTheme="majorBidi" w:cstheme="majorBidi"/>
          <w:i/>
          <w:iCs/>
        </w:rPr>
        <w:t>E. tenella</w:t>
      </w:r>
      <w:r w:rsidRPr="00984C3A">
        <w:rPr>
          <w:rFonts w:asciiTheme="majorBidi" w:hAnsiTheme="majorBidi" w:cstheme="majorBidi"/>
        </w:rPr>
        <w:t> and </w:t>
      </w:r>
      <w:r w:rsidRPr="00984C3A">
        <w:rPr>
          <w:rFonts w:asciiTheme="majorBidi" w:hAnsiTheme="majorBidi" w:cstheme="majorBidi"/>
          <w:i/>
          <w:iCs/>
        </w:rPr>
        <w:t xml:space="preserve">E. </w:t>
      </w:r>
      <w:proofErr w:type="spellStart"/>
      <w:r w:rsidRPr="00984C3A">
        <w:rPr>
          <w:rFonts w:asciiTheme="majorBidi" w:hAnsiTheme="majorBidi" w:cstheme="majorBidi"/>
          <w:i/>
          <w:iCs/>
        </w:rPr>
        <w:t>acervulina</w:t>
      </w:r>
      <w:proofErr w:type="spellEnd"/>
      <w:r w:rsidRPr="00984C3A">
        <w:rPr>
          <w:rFonts w:asciiTheme="majorBidi" w:hAnsiTheme="majorBidi" w:cstheme="majorBidi"/>
        </w:rPr>
        <w:t> as the most common species. In northern Jordan, Al-Natour et al. (2005) found comparable species distribution. These consistent findings across the Middle East suggest that regional poultry production systems face similar coccidiosis challenges and may benefit from standardized control approaches.</w:t>
      </w:r>
    </w:p>
    <w:p w14:paraId="0528E0A3" w14:textId="77777777" w:rsidR="005655D1" w:rsidRPr="00984C3A" w:rsidRDefault="005655D1" w:rsidP="001157B9">
      <w:pPr>
        <w:pStyle w:val="Heading2"/>
        <w:spacing w:line="360" w:lineRule="auto"/>
        <w:jc w:val="both"/>
      </w:pPr>
      <w:r w:rsidRPr="00984C3A">
        <w:t>4.3 </w:t>
      </w:r>
      <w:r w:rsidRPr="00984C3A">
        <w:rPr>
          <w:i/>
          <w:iCs/>
        </w:rPr>
        <w:t>Cryptosporidium</w:t>
      </w:r>
      <w:r w:rsidRPr="00984C3A">
        <w:t> Infection: Marked Discrepancy Between Microscopy and PCR</w:t>
      </w:r>
    </w:p>
    <w:p w14:paraId="0C3E6D83" w14:textId="4EA9FCA6"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The most striking finding of this study is the marked discrepancy between microscopy (4.8% prevalence) and PCR (50.0% prevalence) for </w:t>
      </w:r>
      <w:r w:rsidRPr="00984C3A">
        <w:rPr>
          <w:rFonts w:asciiTheme="majorBidi" w:hAnsiTheme="majorBidi" w:cstheme="majorBidi"/>
          <w:i/>
          <w:iCs/>
        </w:rPr>
        <w:t>Cryptosporidium</w:t>
      </w:r>
      <w:r w:rsidRPr="00984C3A">
        <w:rPr>
          <w:rFonts w:asciiTheme="majorBidi" w:hAnsiTheme="majorBidi" w:cstheme="majorBidi"/>
        </w:rPr>
        <w:t> detection. This 10.4-fold difference confirms that conventional staining techniques significantly underestimate true prevalence, consistent with previous reports (Morgan et al</w:t>
      </w:r>
      <w:r w:rsidR="00984C3A" w:rsidRPr="00984C3A">
        <w:rPr>
          <w:rFonts w:asciiTheme="majorBidi" w:hAnsiTheme="majorBidi" w:cstheme="majorBidi"/>
        </w:rPr>
        <w:t>.</w:t>
      </w:r>
      <w:r w:rsidRPr="00984C3A">
        <w:rPr>
          <w:rFonts w:asciiTheme="majorBidi" w:hAnsiTheme="majorBidi" w:cstheme="majorBidi"/>
        </w:rPr>
        <w:t xml:space="preserve"> 1998; Kurniawan et al</w:t>
      </w:r>
      <w:r w:rsidR="00984C3A" w:rsidRPr="00984C3A">
        <w:rPr>
          <w:rFonts w:asciiTheme="majorBidi" w:hAnsiTheme="majorBidi" w:cstheme="majorBidi"/>
        </w:rPr>
        <w:t>.</w:t>
      </w:r>
      <w:r w:rsidRPr="00984C3A">
        <w:rPr>
          <w:rFonts w:asciiTheme="majorBidi" w:hAnsiTheme="majorBidi" w:cstheme="majorBidi"/>
        </w:rPr>
        <w:t xml:space="preserve"> 2009). Several factors explain this discrepancy:</w:t>
      </w:r>
    </w:p>
    <w:p w14:paraId="51FBF914" w14:textId="59A916CF"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First, </w:t>
      </w:r>
      <w:r w:rsidRPr="00984C3A">
        <w:rPr>
          <w:rFonts w:asciiTheme="majorBidi" w:hAnsiTheme="majorBidi" w:cstheme="majorBidi"/>
          <w:i/>
          <w:iCs/>
        </w:rPr>
        <w:t>Cryptosporidium</w:t>
      </w:r>
      <w:r w:rsidRPr="00984C3A">
        <w:rPr>
          <w:rFonts w:asciiTheme="majorBidi" w:hAnsiTheme="majorBidi" w:cstheme="majorBidi"/>
        </w:rPr>
        <w:t xml:space="preserve"> oocysts are extremely small (4–6 </w:t>
      </w:r>
      <w:proofErr w:type="spellStart"/>
      <w:r w:rsidRPr="00984C3A">
        <w:rPr>
          <w:rFonts w:asciiTheme="majorBidi" w:hAnsiTheme="majorBidi" w:cstheme="majorBidi"/>
        </w:rPr>
        <w:t>μm</w:t>
      </w:r>
      <w:proofErr w:type="spellEnd"/>
      <w:r w:rsidRPr="00984C3A">
        <w:rPr>
          <w:rFonts w:asciiTheme="majorBidi" w:hAnsiTheme="majorBidi" w:cstheme="majorBidi"/>
        </w:rPr>
        <w:t>) and can be easily overlooked on stained smears, particularly when present in low numbers. Second, intermittent shedding means that not all infected birds shed oocysts at the time of sampling. Third, the modified acid-fast staining technique requires considerable expertise to interpret correctly, as background debris and yeast cells can mimic oocysts. Fourth, the preservation of samples in potassium dichromate may slightly alter oocyst morphology, making microscopic identification more challenging (Kurniawan et al</w:t>
      </w:r>
      <w:r w:rsidR="00984C3A" w:rsidRPr="00984C3A">
        <w:rPr>
          <w:rFonts w:asciiTheme="majorBidi" w:hAnsiTheme="majorBidi" w:cstheme="majorBidi"/>
        </w:rPr>
        <w:t>.</w:t>
      </w:r>
      <w:r w:rsidRPr="00984C3A">
        <w:rPr>
          <w:rFonts w:asciiTheme="majorBidi" w:hAnsiTheme="majorBidi" w:cstheme="majorBidi"/>
        </w:rPr>
        <w:t xml:space="preserve"> 2009).</w:t>
      </w:r>
    </w:p>
    <w:p w14:paraId="4A8F60D6"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The 50.0% prevalence detected by PCR in this study is substantially higher than the 4.8% previously reported by </w:t>
      </w:r>
      <w:proofErr w:type="spellStart"/>
      <w:r w:rsidRPr="00984C3A">
        <w:rPr>
          <w:rFonts w:asciiTheme="majorBidi" w:hAnsiTheme="majorBidi" w:cstheme="majorBidi"/>
        </w:rPr>
        <w:t>Hijjawi</w:t>
      </w:r>
      <w:proofErr w:type="spellEnd"/>
      <w:r w:rsidRPr="00984C3A">
        <w:rPr>
          <w:rFonts w:asciiTheme="majorBidi" w:hAnsiTheme="majorBidi" w:cstheme="majorBidi"/>
        </w:rPr>
        <w:t xml:space="preserve"> et al. (2016) in Jordanian broilers. Several factors may explain this difference:</w:t>
      </w:r>
    </w:p>
    <w:p w14:paraId="7982D325" w14:textId="77777777" w:rsidR="005655D1" w:rsidRPr="00984C3A" w:rsidRDefault="005655D1" w:rsidP="001157B9">
      <w:pPr>
        <w:numPr>
          <w:ilvl w:val="0"/>
          <w:numId w:val="7"/>
        </w:numPr>
        <w:spacing w:line="360" w:lineRule="auto"/>
        <w:jc w:val="both"/>
        <w:rPr>
          <w:rFonts w:asciiTheme="majorBidi" w:hAnsiTheme="majorBidi" w:cstheme="majorBidi"/>
        </w:rPr>
      </w:pPr>
      <w:r w:rsidRPr="00984C3A">
        <w:rPr>
          <w:rFonts w:asciiTheme="majorBidi" w:hAnsiTheme="majorBidi" w:cstheme="majorBidi"/>
          <w:b/>
          <w:bCs/>
        </w:rPr>
        <w:t>Sample size and selection:</w:t>
      </w:r>
      <w:r w:rsidRPr="00984C3A">
        <w:rPr>
          <w:rFonts w:asciiTheme="majorBidi" w:hAnsiTheme="majorBidi" w:cstheme="majorBidi"/>
        </w:rPr>
        <w:t> The previous study tested 284 samples across all livestock species (sheep, goats, cattle, camels, and chickens), with chickens being a relatively small subset. The chicken samples may not have been representative of broiler populations.</w:t>
      </w:r>
    </w:p>
    <w:p w14:paraId="2AEB37BE" w14:textId="22CDB229" w:rsidR="005655D1" w:rsidRPr="00984C3A" w:rsidRDefault="005655D1" w:rsidP="001157B9">
      <w:pPr>
        <w:numPr>
          <w:ilvl w:val="0"/>
          <w:numId w:val="7"/>
        </w:numPr>
        <w:spacing w:line="360" w:lineRule="auto"/>
        <w:jc w:val="both"/>
        <w:rPr>
          <w:rFonts w:asciiTheme="majorBidi" w:hAnsiTheme="majorBidi" w:cstheme="majorBidi"/>
        </w:rPr>
      </w:pPr>
      <w:r w:rsidRPr="00984C3A">
        <w:rPr>
          <w:rFonts w:asciiTheme="majorBidi" w:hAnsiTheme="majorBidi" w:cstheme="majorBidi"/>
          <w:b/>
          <w:bCs/>
        </w:rPr>
        <w:t>PCR target:</w:t>
      </w:r>
      <w:r w:rsidRPr="00984C3A">
        <w:rPr>
          <w:rFonts w:asciiTheme="majorBidi" w:hAnsiTheme="majorBidi" w:cstheme="majorBidi"/>
        </w:rPr>
        <w:t> This study used LSU rRNA nested PCR (Koehler et al</w:t>
      </w:r>
      <w:r w:rsidR="00984C3A" w:rsidRPr="00984C3A">
        <w:rPr>
          <w:rFonts w:asciiTheme="majorBidi" w:hAnsiTheme="majorBidi" w:cstheme="majorBidi"/>
        </w:rPr>
        <w:t>.</w:t>
      </w:r>
      <w:r w:rsidRPr="00984C3A">
        <w:rPr>
          <w:rFonts w:asciiTheme="majorBidi" w:hAnsiTheme="majorBidi" w:cstheme="majorBidi"/>
        </w:rPr>
        <w:t xml:space="preserve"> 2017), while </w:t>
      </w:r>
      <w:proofErr w:type="spellStart"/>
      <w:r w:rsidRPr="00984C3A">
        <w:rPr>
          <w:rFonts w:asciiTheme="majorBidi" w:hAnsiTheme="majorBidi" w:cstheme="majorBidi"/>
        </w:rPr>
        <w:t>Hijjawi</w:t>
      </w:r>
      <w:proofErr w:type="spellEnd"/>
      <w:r w:rsidRPr="00984C3A">
        <w:rPr>
          <w:rFonts w:asciiTheme="majorBidi" w:hAnsiTheme="majorBidi" w:cstheme="majorBidi"/>
        </w:rPr>
        <w:t xml:space="preserve"> et al. (2016) used 18S rRNA qPCR. The LSU rRNA gene may offer improved sensitivity for detecting certain </w:t>
      </w:r>
      <w:r w:rsidRPr="00984C3A">
        <w:rPr>
          <w:rFonts w:asciiTheme="majorBidi" w:hAnsiTheme="majorBidi" w:cstheme="majorBidi"/>
          <w:i/>
          <w:iCs/>
        </w:rPr>
        <w:t>Cryptosporidium</w:t>
      </w:r>
      <w:r w:rsidRPr="00984C3A">
        <w:rPr>
          <w:rFonts w:asciiTheme="majorBidi" w:hAnsiTheme="majorBidi" w:cstheme="majorBidi"/>
        </w:rPr>
        <w:t> species.</w:t>
      </w:r>
    </w:p>
    <w:p w14:paraId="1CC62CE6" w14:textId="77777777" w:rsidR="005655D1" w:rsidRPr="00984C3A" w:rsidRDefault="005655D1" w:rsidP="001157B9">
      <w:pPr>
        <w:numPr>
          <w:ilvl w:val="0"/>
          <w:numId w:val="7"/>
        </w:numPr>
        <w:spacing w:line="360" w:lineRule="auto"/>
        <w:jc w:val="both"/>
        <w:rPr>
          <w:rFonts w:asciiTheme="majorBidi" w:hAnsiTheme="majorBidi" w:cstheme="majorBidi"/>
        </w:rPr>
      </w:pPr>
      <w:r w:rsidRPr="00984C3A">
        <w:rPr>
          <w:rFonts w:asciiTheme="majorBidi" w:hAnsiTheme="majorBidi" w:cstheme="majorBidi"/>
          <w:b/>
          <w:bCs/>
        </w:rPr>
        <w:t>Geographic variation:</w:t>
      </w:r>
      <w:r w:rsidRPr="00984C3A">
        <w:rPr>
          <w:rFonts w:asciiTheme="majorBidi" w:hAnsiTheme="majorBidi" w:cstheme="majorBidi"/>
        </w:rPr>
        <w:t> This study focused on northern Jordan (</w:t>
      </w:r>
      <w:proofErr w:type="spellStart"/>
      <w:r w:rsidRPr="00984C3A">
        <w:rPr>
          <w:rFonts w:asciiTheme="majorBidi" w:hAnsiTheme="majorBidi" w:cstheme="majorBidi"/>
        </w:rPr>
        <w:t>Ajloun</w:t>
      </w:r>
      <w:proofErr w:type="spellEnd"/>
      <w:r w:rsidRPr="00984C3A">
        <w:rPr>
          <w:rFonts w:asciiTheme="majorBidi" w:hAnsiTheme="majorBidi" w:cstheme="majorBidi"/>
        </w:rPr>
        <w:t>, Jerash, Mafraq, Zarqa, Balqa), which may have higher </w:t>
      </w:r>
      <w:r w:rsidRPr="00984C3A">
        <w:rPr>
          <w:rFonts w:asciiTheme="majorBidi" w:hAnsiTheme="majorBidi" w:cstheme="majorBidi"/>
          <w:i/>
          <w:iCs/>
        </w:rPr>
        <w:t>Cryptosporidium</w:t>
      </w:r>
      <w:r w:rsidRPr="00984C3A">
        <w:rPr>
          <w:rFonts w:asciiTheme="majorBidi" w:hAnsiTheme="majorBidi" w:cstheme="majorBidi"/>
        </w:rPr>
        <w:t> prevalence than other regions due to differences in farming practices, water quality, and wild bird populations.</w:t>
      </w:r>
    </w:p>
    <w:p w14:paraId="79B521DB" w14:textId="3C331992" w:rsidR="005655D1" w:rsidRPr="00984C3A" w:rsidRDefault="005655D1" w:rsidP="001157B9">
      <w:pPr>
        <w:numPr>
          <w:ilvl w:val="0"/>
          <w:numId w:val="7"/>
        </w:numPr>
        <w:spacing w:line="360" w:lineRule="auto"/>
        <w:jc w:val="both"/>
        <w:rPr>
          <w:rFonts w:asciiTheme="majorBidi" w:hAnsiTheme="majorBidi" w:cstheme="majorBidi"/>
        </w:rPr>
      </w:pPr>
      <w:r w:rsidRPr="00984C3A">
        <w:rPr>
          <w:rFonts w:asciiTheme="majorBidi" w:hAnsiTheme="majorBidi" w:cstheme="majorBidi"/>
          <w:b/>
          <w:bCs/>
        </w:rPr>
        <w:t>Water-ether concentration:</w:t>
      </w:r>
      <w:r w:rsidRPr="00984C3A">
        <w:rPr>
          <w:rFonts w:asciiTheme="majorBidi" w:hAnsiTheme="majorBidi" w:cstheme="majorBidi"/>
        </w:rPr>
        <w:t> This study incorporated water-ether concentration prior to DNA extraction, which may have improved oocyst recovery and DNA yield (Kurniawan et al</w:t>
      </w:r>
      <w:r w:rsidR="00984C3A" w:rsidRPr="00984C3A">
        <w:rPr>
          <w:rFonts w:asciiTheme="majorBidi" w:hAnsiTheme="majorBidi" w:cstheme="majorBidi"/>
        </w:rPr>
        <w:t>.</w:t>
      </w:r>
      <w:r w:rsidRPr="00984C3A">
        <w:rPr>
          <w:rFonts w:asciiTheme="majorBidi" w:hAnsiTheme="majorBidi" w:cstheme="majorBidi"/>
        </w:rPr>
        <w:t xml:space="preserve"> 2009).</w:t>
      </w:r>
    </w:p>
    <w:p w14:paraId="34E0D881" w14:textId="77777777" w:rsidR="005655D1" w:rsidRPr="00984C3A" w:rsidRDefault="005655D1" w:rsidP="001157B9">
      <w:pPr>
        <w:numPr>
          <w:ilvl w:val="0"/>
          <w:numId w:val="7"/>
        </w:numPr>
        <w:spacing w:line="360" w:lineRule="auto"/>
        <w:jc w:val="both"/>
        <w:rPr>
          <w:rFonts w:asciiTheme="majorBidi" w:hAnsiTheme="majorBidi" w:cstheme="majorBidi"/>
        </w:rPr>
      </w:pPr>
      <w:r w:rsidRPr="00984C3A">
        <w:rPr>
          <w:rFonts w:asciiTheme="majorBidi" w:hAnsiTheme="majorBidi" w:cstheme="majorBidi"/>
          <w:b/>
          <w:bCs/>
        </w:rPr>
        <w:t>Sample age and storage:</w:t>
      </w:r>
      <w:r w:rsidRPr="00984C3A">
        <w:rPr>
          <w:rFonts w:asciiTheme="majorBidi" w:hAnsiTheme="majorBidi" w:cstheme="majorBidi"/>
        </w:rPr>
        <w:t> Differences in sample handling and storage conditions between studies may affect DNA integrity.</w:t>
      </w:r>
    </w:p>
    <w:p w14:paraId="30DE8FC7"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The 50.0% prevalence is also higher than the global pooled prevalence of 18.3% reported by Li et al. (2024). This suggests that </w:t>
      </w:r>
      <w:r w:rsidRPr="00984C3A">
        <w:rPr>
          <w:rFonts w:asciiTheme="majorBidi" w:hAnsiTheme="majorBidi" w:cstheme="majorBidi"/>
          <w:i/>
          <w:iCs/>
        </w:rPr>
        <w:t>Cryptosporidium</w:t>
      </w:r>
      <w:r w:rsidRPr="00984C3A">
        <w:rPr>
          <w:rFonts w:asciiTheme="majorBidi" w:hAnsiTheme="majorBidi" w:cstheme="majorBidi"/>
        </w:rPr>
        <w:t> infection in Jordanian broilers may be among the highest in the region, warranting further investigation and control measures. Possible explanations for the high prevalence include: (1) widespread contamination of drinking water sources with oocysts; (2) ineffective cleaning and disinfection protocols between flocks; (3) high wild bird populations that serve as mechanical or biological reservoirs; and (4) suboptimal biosecurity practices on many farms.</w:t>
      </w:r>
    </w:p>
    <w:p w14:paraId="653E80A2" w14:textId="77777777" w:rsidR="005655D1" w:rsidRPr="00984C3A" w:rsidRDefault="005655D1" w:rsidP="001157B9">
      <w:pPr>
        <w:pStyle w:val="Heading2"/>
        <w:spacing w:line="360" w:lineRule="auto"/>
        <w:jc w:val="both"/>
      </w:pPr>
      <w:r w:rsidRPr="00984C3A">
        <w:t>4.4 Regional Variation in </w:t>
      </w:r>
      <w:r w:rsidRPr="00984C3A">
        <w:rPr>
          <w:i/>
          <w:iCs/>
        </w:rPr>
        <w:t>Cryptosporidium</w:t>
      </w:r>
      <w:r w:rsidRPr="00984C3A">
        <w:t> Prevalence</w:t>
      </w:r>
    </w:p>
    <w:p w14:paraId="29D9C1A9"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Regional variation was observed, with Zarqa showing the highest prevalence (70.0%), followed by Jerash (62.5%) and Balqa (60.0%). </w:t>
      </w:r>
      <w:proofErr w:type="spellStart"/>
      <w:r w:rsidRPr="00984C3A">
        <w:rPr>
          <w:rFonts w:asciiTheme="majorBidi" w:hAnsiTheme="majorBidi" w:cstheme="majorBidi"/>
        </w:rPr>
        <w:t>Ajloun</w:t>
      </w:r>
      <w:proofErr w:type="spellEnd"/>
      <w:r w:rsidRPr="00984C3A">
        <w:rPr>
          <w:rFonts w:asciiTheme="majorBidi" w:hAnsiTheme="majorBidi" w:cstheme="majorBidi"/>
        </w:rPr>
        <w:t xml:space="preserve"> had the lowest prevalence (40.0%). Although these differences were not statistically significant (likely due to small sample sizes per region), they suggest possible patterns worth investigating in larger studies.</w:t>
      </w:r>
    </w:p>
    <w:p w14:paraId="21E73F12" w14:textId="421E665E"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Zarqa and Jerash are known for intensive poultry production with high flock densities and continuous production cycles, which may facilitate parasite transmission. These regions also have more industrial activity and potential water quality challenges. In contrast, </w:t>
      </w:r>
      <w:proofErr w:type="spellStart"/>
      <w:r w:rsidRPr="00984C3A">
        <w:rPr>
          <w:rFonts w:asciiTheme="majorBidi" w:hAnsiTheme="majorBidi" w:cstheme="majorBidi"/>
        </w:rPr>
        <w:t>Ajloun</w:t>
      </w:r>
      <w:proofErr w:type="spellEnd"/>
      <w:r w:rsidRPr="00984C3A">
        <w:rPr>
          <w:rFonts w:asciiTheme="majorBidi" w:hAnsiTheme="majorBidi" w:cstheme="majorBidi"/>
        </w:rPr>
        <w:t xml:space="preserve"> is a more rural, agricultural area with lower poultry density, and farms may rely on different water sources (e.g</w:t>
      </w:r>
      <w:r w:rsidR="00984C3A" w:rsidRPr="00984C3A">
        <w:rPr>
          <w:rFonts w:asciiTheme="majorBidi" w:hAnsiTheme="majorBidi" w:cstheme="majorBidi"/>
        </w:rPr>
        <w:t>.</w:t>
      </w:r>
      <w:r w:rsidRPr="00984C3A">
        <w:rPr>
          <w:rFonts w:asciiTheme="majorBidi" w:hAnsiTheme="majorBidi" w:cstheme="majorBidi"/>
        </w:rPr>
        <w:t xml:space="preserve"> springs and wells versus municipal water). Further research correlating </w:t>
      </w:r>
      <w:r w:rsidRPr="00984C3A">
        <w:rPr>
          <w:rFonts w:asciiTheme="majorBidi" w:hAnsiTheme="majorBidi" w:cstheme="majorBidi"/>
          <w:i/>
          <w:iCs/>
        </w:rPr>
        <w:t>Cryptosporidium</w:t>
      </w:r>
      <w:r w:rsidRPr="00984C3A">
        <w:rPr>
          <w:rFonts w:asciiTheme="majorBidi" w:hAnsiTheme="majorBidi" w:cstheme="majorBidi"/>
        </w:rPr>
        <w:t> prevalence with specific farm management practices (water source, cleaning protocols, downtime between flocks, wild bird access) is needed to identify actionable risk factors.</w:t>
      </w:r>
    </w:p>
    <w:p w14:paraId="3F6B64BD" w14:textId="77777777" w:rsidR="005655D1" w:rsidRPr="00984C3A" w:rsidRDefault="005655D1" w:rsidP="001157B9">
      <w:pPr>
        <w:pStyle w:val="Heading2"/>
        <w:spacing w:line="360" w:lineRule="auto"/>
        <w:jc w:val="both"/>
      </w:pPr>
      <w:r w:rsidRPr="00984C3A">
        <w:t>4.5 Comparison with Microscopy: Implications for Diagnosis</w:t>
      </w:r>
    </w:p>
    <w:p w14:paraId="16048047"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The results of this study strongly support the use of molecular methods (PCR) as the diagnostic standard for </w:t>
      </w:r>
      <w:r w:rsidRPr="00984C3A">
        <w:rPr>
          <w:rFonts w:asciiTheme="majorBidi" w:hAnsiTheme="majorBidi" w:cstheme="majorBidi"/>
          <w:i/>
          <w:iCs/>
        </w:rPr>
        <w:t>Cryptosporidium</w:t>
      </w:r>
      <w:r w:rsidRPr="00984C3A">
        <w:rPr>
          <w:rFonts w:asciiTheme="majorBidi" w:hAnsiTheme="majorBidi" w:cstheme="majorBidi"/>
        </w:rPr>
        <w:t xml:space="preserve"> surveillance in poultry. The finding that 19 of 21 PCR-positive samples (90.5%) were negative by microscopy means that reliance on acid-fast staining would miss </w:t>
      </w:r>
      <w:proofErr w:type="gramStart"/>
      <w:r w:rsidRPr="00984C3A">
        <w:rPr>
          <w:rFonts w:asciiTheme="majorBidi" w:hAnsiTheme="majorBidi" w:cstheme="majorBidi"/>
        </w:rPr>
        <w:t>the vast majority of</w:t>
      </w:r>
      <w:proofErr w:type="gramEnd"/>
      <w:r w:rsidRPr="00984C3A">
        <w:rPr>
          <w:rFonts w:asciiTheme="majorBidi" w:hAnsiTheme="majorBidi" w:cstheme="majorBidi"/>
        </w:rPr>
        <w:t xml:space="preserve"> infections. This has important implications for both research and clinical practice.</w:t>
      </w:r>
    </w:p>
    <w:p w14:paraId="45B9E08F"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For research studies aiming to estimate true prevalence, PCR is essential. Studies that rely solely on microscopy may report prevalence estimates that are 5- to 10-fold lower than the true values, potentially leading to incorrect conclusions about disease burden and risk factors.</w:t>
      </w:r>
    </w:p>
    <w:p w14:paraId="06E8B3B5"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For routine diagnostics in commercial poultry operations, a two-tier approach may be practical and cost-effective:</w:t>
      </w:r>
    </w:p>
    <w:p w14:paraId="2842CD7E" w14:textId="77777777" w:rsidR="005655D1" w:rsidRPr="00984C3A" w:rsidRDefault="005655D1" w:rsidP="001157B9">
      <w:pPr>
        <w:numPr>
          <w:ilvl w:val="0"/>
          <w:numId w:val="8"/>
        </w:numPr>
        <w:spacing w:line="360" w:lineRule="auto"/>
        <w:jc w:val="both"/>
        <w:rPr>
          <w:rFonts w:asciiTheme="majorBidi" w:hAnsiTheme="majorBidi" w:cstheme="majorBidi"/>
        </w:rPr>
      </w:pPr>
      <w:r w:rsidRPr="00984C3A">
        <w:rPr>
          <w:rFonts w:asciiTheme="majorBidi" w:hAnsiTheme="majorBidi" w:cstheme="majorBidi"/>
          <w:b/>
          <w:bCs/>
        </w:rPr>
        <w:t>Screening:</w:t>
      </w:r>
      <w:r w:rsidRPr="00984C3A">
        <w:rPr>
          <w:rFonts w:asciiTheme="majorBidi" w:hAnsiTheme="majorBidi" w:cstheme="majorBidi"/>
        </w:rPr>
        <w:t> Modified acid-fast staining (rapid, low-cost, detects heavy infections) can be used as an initial screen. Samples that are strongly positive by microscopy indicate heavy oocyst shedding and likely clinical significance.</w:t>
      </w:r>
    </w:p>
    <w:p w14:paraId="25D23118" w14:textId="77777777" w:rsidR="005655D1" w:rsidRPr="00984C3A" w:rsidRDefault="005655D1" w:rsidP="001157B9">
      <w:pPr>
        <w:numPr>
          <w:ilvl w:val="0"/>
          <w:numId w:val="8"/>
        </w:numPr>
        <w:spacing w:line="360" w:lineRule="auto"/>
        <w:jc w:val="both"/>
        <w:rPr>
          <w:rFonts w:asciiTheme="majorBidi" w:hAnsiTheme="majorBidi" w:cstheme="majorBidi"/>
        </w:rPr>
      </w:pPr>
      <w:r w:rsidRPr="00984C3A">
        <w:rPr>
          <w:rFonts w:asciiTheme="majorBidi" w:hAnsiTheme="majorBidi" w:cstheme="majorBidi"/>
          <w:b/>
          <w:bCs/>
        </w:rPr>
        <w:t>Confirmatory PCR:</w:t>
      </w:r>
      <w:r w:rsidRPr="00984C3A">
        <w:rPr>
          <w:rFonts w:asciiTheme="majorBidi" w:hAnsiTheme="majorBidi" w:cstheme="majorBidi"/>
        </w:rPr>
        <w:t> For samples that are negative by microscopy but from flocks with persistent health problems (respiratory signs, poor growth, diarrhea), PCR testing can identify low-level infections that may still be economically important or have zoonotic potential.</w:t>
      </w:r>
    </w:p>
    <w:p w14:paraId="0BB222CA" w14:textId="375425A0"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 xml:space="preserve">However, for epidemiological studies and accurate prevalence estimates, PCR is essential. The additional cost of PCR is justified by </w:t>
      </w:r>
      <w:r w:rsidR="00984C3A" w:rsidRPr="00984C3A">
        <w:rPr>
          <w:rFonts w:asciiTheme="majorBidi" w:hAnsiTheme="majorBidi" w:cstheme="majorBidi"/>
        </w:rPr>
        <w:t>dramatically</w:t>
      </w:r>
      <w:r w:rsidRPr="00984C3A">
        <w:rPr>
          <w:rFonts w:asciiTheme="majorBidi" w:hAnsiTheme="majorBidi" w:cstheme="majorBidi"/>
        </w:rPr>
        <w:t xml:space="preserve"> improved sensitivity and the ability to identify species through sequencing.</w:t>
      </w:r>
    </w:p>
    <w:p w14:paraId="4BED5448" w14:textId="77777777" w:rsidR="005655D1" w:rsidRPr="00984C3A" w:rsidRDefault="005655D1" w:rsidP="001157B9">
      <w:pPr>
        <w:pStyle w:val="Heading2"/>
        <w:spacing w:line="360" w:lineRule="auto"/>
        <w:jc w:val="both"/>
      </w:pPr>
      <w:r w:rsidRPr="00984C3A">
        <w:t>4.6 Zoonotic and Public Health Implications</w:t>
      </w:r>
    </w:p>
    <w:p w14:paraId="6AC73122" w14:textId="323448DD"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Although sequencing of </w:t>
      </w:r>
      <w:r w:rsidRPr="00984C3A">
        <w:rPr>
          <w:rFonts w:asciiTheme="majorBidi" w:hAnsiTheme="majorBidi" w:cstheme="majorBidi"/>
          <w:i/>
          <w:iCs/>
        </w:rPr>
        <w:t>Cryptosporidium</w:t>
      </w:r>
      <w:r w:rsidRPr="00984C3A">
        <w:rPr>
          <w:rFonts w:asciiTheme="majorBidi" w:hAnsiTheme="majorBidi" w:cstheme="majorBidi"/>
        </w:rPr>
        <w:t> PCR products is ongoing in this study, the high prevalence (50.0%) detected raises potential public health concerns that deserve attention. </w:t>
      </w:r>
      <w:r w:rsidRPr="00984C3A">
        <w:rPr>
          <w:rFonts w:asciiTheme="majorBidi" w:hAnsiTheme="majorBidi" w:cstheme="majorBidi"/>
          <w:i/>
          <w:iCs/>
        </w:rPr>
        <w:t xml:space="preserve">C. </w:t>
      </w:r>
      <w:proofErr w:type="spellStart"/>
      <w:r w:rsidRPr="00984C3A">
        <w:rPr>
          <w:rFonts w:asciiTheme="majorBidi" w:hAnsiTheme="majorBidi" w:cstheme="majorBidi"/>
          <w:i/>
          <w:iCs/>
        </w:rPr>
        <w:t>meleagridis</w:t>
      </w:r>
      <w:proofErr w:type="spellEnd"/>
      <w:r w:rsidRPr="00984C3A">
        <w:rPr>
          <w:rFonts w:asciiTheme="majorBidi" w:hAnsiTheme="majorBidi" w:cstheme="majorBidi"/>
        </w:rPr>
        <w:t> (commonly found in poultry) is a recognized zoonotic species and has been identified in human cryptosporidiosis cases worldwide (Xiao &amp; Feng, 2008; Lin et al</w:t>
      </w:r>
      <w:r w:rsidR="00984C3A" w:rsidRPr="00984C3A">
        <w:rPr>
          <w:rFonts w:asciiTheme="majorBidi" w:hAnsiTheme="majorBidi" w:cstheme="majorBidi"/>
        </w:rPr>
        <w:t>.</w:t>
      </w:r>
      <w:r w:rsidRPr="00984C3A">
        <w:rPr>
          <w:rFonts w:asciiTheme="majorBidi" w:hAnsiTheme="majorBidi" w:cstheme="majorBidi"/>
        </w:rPr>
        <w:t xml:space="preserve"> 2022). </w:t>
      </w:r>
      <w:r w:rsidRPr="00984C3A">
        <w:rPr>
          <w:rFonts w:asciiTheme="majorBidi" w:hAnsiTheme="majorBidi" w:cstheme="majorBidi"/>
          <w:i/>
          <w:iCs/>
        </w:rPr>
        <w:t>C. parvum</w:t>
      </w:r>
      <w:r w:rsidRPr="00984C3A">
        <w:rPr>
          <w:rFonts w:asciiTheme="majorBidi" w:hAnsiTheme="majorBidi" w:cstheme="majorBidi"/>
        </w:rPr>
        <w:t>, which can also infect humans, has previously been reported in Jordanian livestock (</w:t>
      </w:r>
      <w:proofErr w:type="spellStart"/>
      <w:r w:rsidRPr="00984C3A">
        <w:rPr>
          <w:rFonts w:asciiTheme="majorBidi" w:hAnsiTheme="majorBidi" w:cstheme="majorBidi"/>
        </w:rPr>
        <w:t>Hijjawi</w:t>
      </w:r>
      <w:proofErr w:type="spellEnd"/>
      <w:r w:rsidRPr="00984C3A">
        <w:rPr>
          <w:rFonts w:asciiTheme="majorBidi" w:hAnsiTheme="majorBidi" w:cstheme="majorBidi"/>
        </w:rPr>
        <w:t xml:space="preserve"> et al</w:t>
      </w:r>
      <w:r w:rsidR="00984C3A" w:rsidRPr="00984C3A">
        <w:rPr>
          <w:rFonts w:asciiTheme="majorBidi" w:hAnsiTheme="majorBidi" w:cstheme="majorBidi"/>
        </w:rPr>
        <w:t>.</w:t>
      </w:r>
      <w:r w:rsidRPr="00984C3A">
        <w:rPr>
          <w:rFonts w:asciiTheme="majorBidi" w:hAnsiTheme="majorBidi" w:cstheme="majorBidi"/>
        </w:rPr>
        <w:t xml:space="preserve"> 2016). </w:t>
      </w:r>
      <w:r w:rsidRPr="00984C3A">
        <w:rPr>
          <w:rFonts w:asciiTheme="majorBidi" w:hAnsiTheme="majorBidi" w:cstheme="majorBidi"/>
          <w:i/>
          <w:iCs/>
        </w:rPr>
        <w:t>C. baileyi</w:t>
      </w:r>
      <w:r w:rsidRPr="00984C3A">
        <w:rPr>
          <w:rFonts w:asciiTheme="majorBidi" w:hAnsiTheme="majorBidi" w:cstheme="majorBidi"/>
        </w:rPr>
        <w:t>, while primarily considered poultry-adapted, has occasionally been reported in immunocompromised humans (Helmy 2022).</w:t>
      </w:r>
    </w:p>
    <w:p w14:paraId="76B4E387" w14:textId="07175C5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Farm workers, veterinarians, slaughterhouse personnel, and their families are at potential risk of zoonotic transmission through direct contact with infected birds, contaminated litter, or aerosolized oocysts (particularly for </w:t>
      </w:r>
      <w:r w:rsidRPr="00984C3A">
        <w:rPr>
          <w:rFonts w:asciiTheme="majorBidi" w:hAnsiTheme="majorBidi" w:cstheme="majorBidi"/>
          <w:i/>
          <w:iCs/>
        </w:rPr>
        <w:t>C. baileyi</w:t>
      </w:r>
      <w:r w:rsidRPr="00984C3A">
        <w:rPr>
          <w:rFonts w:asciiTheme="majorBidi" w:hAnsiTheme="majorBidi" w:cstheme="majorBidi"/>
        </w:rPr>
        <w:t>, which can cause respiratory infections) (Goodwin et al</w:t>
      </w:r>
      <w:r w:rsidR="00984C3A" w:rsidRPr="00984C3A">
        <w:rPr>
          <w:rFonts w:asciiTheme="majorBidi" w:hAnsiTheme="majorBidi" w:cstheme="majorBidi"/>
        </w:rPr>
        <w:t>.</w:t>
      </w:r>
      <w:r w:rsidRPr="00984C3A">
        <w:rPr>
          <w:rFonts w:asciiTheme="majorBidi" w:hAnsiTheme="majorBidi" w:cstheme="majorBidi"/>
        </w:rPr>
        <w:t xml:space="preserve"> 1990; </w:t>
      </w:r>
      <w:proofErr w:type="spellStart"/>
      <w:r w:rsidRPr="00984C3A">
        <w:rPr>
          <w:rFonts w:asciiTheme="majorBidi" w:hAnsiTheme="majorBidi" w:cstheme="majorBidi"/>
        </w:rPr>
        <w:t>Raccoursier</w:t>
      </w:r>
      <w:proofErr w:type="spellEnd"/>
      <w:r w:rsidRPr="00984C3A">
        <w:rPr>
          <w:rFonts w:asciiTheme="majorBidi" w:hAnsiTheme="majorBidi" w:cstheme="majorBidi"/>
        </w:rPr>
        <w:t xml:space="preserve"> &amp; </w:t>
      </w:r>
      <w:proofErr w:type="spellStart"/>
      <w:r w:rsidRPr="00984C3A">
        <w:rPr>
          <w:rFonts w:asciiTheme="majorBidi" w:hAnsiTheme="majorBidi" w:cstheme="majorBidi"/>
        </w:rPr>
        <w:t>Senties</w:t>
      </w:r>
      <w:proofErr w:type="spellEnd"/>
      <w:r w:rsidRPr="00984C3A">
        <w:rPr>
          <w:rFonts w:asciiTheme="majorBidi" w:hAnsiTheme="majorBidi" w:cstheme="majorBidi"/>
        </w:rPr>
        <w:t>-Cue 2024). Immunocompromised individuals are particularly vulnerable to severe, prolonged, and potentially life-threatening cryptosporidiosis (Xiao &amp; Feng 2008).</w:t>
      </w:r>
    </w:p>
    <w:p w14:paraId="1489ADC1"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Globally, Lin et al. (2022) reported that </w:t>
      </w:r>
      <w:r w:rsidRPr="00984C3A">
        <w:rPr>
          <w:rFonts w:asciiTheme="majorBidi" w:hAnsiTheme="majorBidi" w:cstheme="majorBidi"/>
          <w:i/>
          <w:iCs/>
        </w:rPr>
        <w:t xml:space="preserve">C. </w:t>
      </w:r>
      <w:proofErr w:type="spellStart"/>
      <w:r w:rsidRPr="00984C3A">
        <w:rPr>
          <w:rFonts w:asciiTheme="majorBidi" w:hAnsiTheme="majorBidi" w:cstheme="majorBidi"/>
          <w:i/>
          <w:iCs/>
        </w:rPr>
        <w:t>meleagridis</w:t>
      </w:r>
      <w:proofErr w:type="spellEnd"/>
      <w:r w:rsidRPr="00984C3A">
        <w:rPr>
          <w:rFonts w:asciiTheme="majorBidi" w:hAnsiTheme="majorBidi" w:cstheme="majorBidi"/>
        </w:rPr>
        <w:t> isolates from poultry often share identical subtypes with those from human clinical cases, confirming direct zoonotic transmission or common environmental sources. Ali et al. (2024) emphasized the importance of a One Health approach to cryptosporidiosis surveillance, recognizing the interconnectedness of human, animal, and environmental health.</w:t>
      </w:r>
    </w:p>
    <w:p w14:paraId="00DB7466"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Therefore, the following One Health measures are recommended for the Jordanian poultry industry:</w:t>
      </w:r>
    </w:p>
    <w:p w14:paraId="7E0D11C4" w14:textId="77777777" w:rsidR="005655D1" w:rsidRPr="00984C3A" w:rsidRDefault="005655D1" w:rsidP="001157B9">
      <w:pPr>
        <w:numPr>
          <w:ilvl w:val="0"/>
          <w:numId w:val="9"/>
        </w:numPr>
        <w:spacing w:line="360" w:lineRule="auto"/>
        <w:jc w:val="both"/>
        <w:rPr>
          <w:rFonts w:asciiTheme="majorBidi" w:hAnsiTheme="majorBidi" w:cstheme="majorBidi"/>
        </w:rPr>
      </w:pPr>
      <w:r w:rsidRPr="00984C3A">
        <w:rPr>
          <w:rFonts w:asciiTheme="majorBidi" w:hAnsiTheme="majorBidi" w:cstheme="majorBidi"/>
          <w:b/>
          <w:bCs/>
        </w:rPr>
        <w:t>Personal protective equipment (PPE):</w:t>
      </w:r>
      <w:r w:rsidRPr="00984C3A">
        <w:rPr>
          <w:rFonts w:asciiTheme="majorBidi" w:hAnsiTheme="majorBidi" w:cstheme="majorBidi"/>
        </w:rPr>
        <w:t> Farm workers should wear gloves, boots, and appropriate masks (especially when cleaning houses or handling litter) to reduce exposure to oocysts.</w:t>
      </w:r>
    </w:p>
    <w:p w14:paraId="566F8C8E" w14:textId="77777777" w:rsidR="005655D1" w:rsidRPr="00984C3A" w:rsidRDefault="005655D1" w:rsidP="001157B9">
      <w:pPr>
        <w:numPr>
          <w:ilvl w:val="0"/>
          <w:numId w:val="9"/>
        </w:numPr>
        <w:spacing w:line="360" w:lineRule="auto"/>
        <w:jc w:val="both"/>
        <w:rPr>
          <w:rFonts w:asciiTheme="majorBidi" w:hAnsiTheme="majorBidi" w:cstheme="majorBidi"/>
        </w:rPr>
      </w:pPr>
      <w:r w:rsidRPr="00984C3A">
        <w:rPr>
          <w:rFonts w:asciiTheme="majorBidi" w:hAnsiTheme="majorBidi" w:cstheme="majorBidi"/>
          <w:b/>
          <w:bCs/>
        </w:rPr>
        <w:t>Hand hygiene protocols:</w:t>
      </w:r>
      <w:r w:rsidRPr="00984C3A">
        <w:rPr>
          <w:rFonts w:asciiTheme="majorBidi" w:hAnsiTheme="majorBidi" w:cstheme="majorBidi"/>
        </w:rPr>
        <w:t> Thorough handwashing with soap and water after handling poultry or cleaning facilities is essential, as alcohol-based hand sanitizers are ineffective against </w:t>
      </w:r>
      <w:r w:rsidRPr="00984C3A">
        <w:rPr>
          <w:rFonts w:asciiTheme="majorBidi" w:hAnsiTheme="majorBidi" w:cstheme="majorBidi"/>
          <w:i/>
          <w:iCs/>
        </w:rPr>
        <w:t>Cryptosporidium</w:t>
      </w:r>
      <w:r w:rsidRPr="00984C3A">
        <w:rPr>
          <w:rFonts w:asciiTheme="majorBidi" w:hAnsiTheme="majorBidi" w:cstheme="majorBidi"/>
        </w:rPr>
        <w:t> oocysts.</w:t>
      </w:r>
    </w:p>
    <w:p w14:paraId="10700ED0" w14:textId="1707ECEF" w:rsidR="005655D1" w:rsidRPr="00984C3A" w:rsidRDefault="005655D1" w:rsidP="001157B9">
      <w:pPr>
        <w:numPr>
          <w:ilvl w:val="0"/>
          <w:numId w:val="9"/>
        </w:numPr>
        <w:spacing w:line="360" w:lineRule="auto"/>
        <w:jc w:val="both"/>
        <w:rPr>
          <w:rFonts w:asciiTheme="majorBidi" w:hAnsiTheme="majorBidi" w:cstheme="majorBidi"/>
        </w:rPr>
      </w:pPr>
      <w:r w:rsidRPr="00984C3A">
        <w:rPr>
          <w:rFonts w:asciiTheme="majorBidi" w:hAnsiTheme="majorBidi" w:cstheme="majorBidi"/>
          <w:b/>
          <w:bCs/>
        </w:rPr>
        <w:t>Restricted access:</w:t>
      </w:r>
      <w:r w:rsidRPr="00984C3A">
        <w:rPr>
          <w:rFonts w:asciiTheme="majorBidi" w:hAnsiTheme="majorBidi" w:cstheme="majorBidi"/>
        </w:rPr>
        <w:t> Immunocompromised individuals (e.g</w:t>
      </w:r>
      <w:r w:rsidR="00984C3A" w:rsidRPr="00984C3A">
        <w:rPr>
          <w:rFonts w:asciiTheme="majorBidi" w:hAnsiTheme="majorBidi" w:cstheme="majorBidi"/>
        </w:rPr>
        <w:t>.</w:t>
      </w:r>
      <w:r w:rsidRPr="00984C3A">
        <w:rPr>
          <w:rFonts w:asciiTheme="majorBidi" w:hAnsiTheme="majorBidi" w:cstheme="majorBidi"/>
        </w:rPr>
        <w:t xml:space="preserve"> those undergoing chemotherapy, HIV/AIDS patients, transplant recipients) should avoid direct contact with poultry or contaminated litter.</w:t>
      </w:r>
    </w:p>
    <w:p w14:paraId="35F4F244" w14:textId="77777777" w:rsidR="005655D1" w:rsidRPr="00984C3A" w:rsidRDefault="005655D1" w:rsidP="001157B9">
      <w:pPr>
        <w:numPr>
          <w:ilvl w:val="0"/>
          <w:numId w:val="9"/>
        </w:numPr>
        <w:spacing w:line="360" w:lineRule="auto"/>
        <w:jc w:val="both"/>
        <w:rPr>
          <w:rFonts w:asciiTheme="majorBidi" w:hAnsiTheme="majorBidi" w:cstheme="majorBidi"/>
        </w:rPr>
      </w:pPr>
      <w:r w:rsidRPr="00984C3A">
        <w:rPr>
          <w:rFonts w:asciiTheme="majorBidi" w:hAnsiTheme="majorBidi" w:cstheme="majorBidi"/>
          <w:b/>
          <w:bCs/>
        </w:rPr>
        <w:t>Safe disposal of litter:</w:t>
      </w:r>
      <w:r w:rsidRPr="00984C3A">
        <w:rPr>
          <w:rFonts w:asciiTheme="majorBidi" w:hAnsiTheme="majorBidi" w:cstheme="majorBidi"/>
        </w:rPr>
        <w:t> Litter removed from houses should be composted, buried, or treated to inactivate oocysts before land application.</w:t>
      </w:r>
    </w:p>
    <w:p w14:paraId="10FEF718" w14:textId="77777777" w:rsidR="005655D1" w:rsidRPr="00984C3A" w:rsidRDefault="005655D1" w:rsidP="001157B9">
      <w:pPr>
        <w:numPr>
          <w:ilvl w:val="0"/>
          <w:numId w:val="9"/>
        </w:numPr>
        <w:spacing w:line="360" w:lineRule="auto"/>
        <w:jc w:val="both"/>
        <w:rPr>
          <w:rFonts w:asciiTheme="majorBidi" w:hAnsiTheme="majorBidi" w:cstheme="majorBidi"/>
        </w:rPr>
      </w:pPr>
      <w:r w:rsidRPr="00984C3A">
        <w:rPr>
          <w:rFonts w:asciiTheme="majorBidi" w:hAnsiTheme="majorBidi" w:cstheme="majorBidi"/>
          <w:b/>
          <w:bCs/>
        </w:rPr>
        <w:t>Public health awareness:</w:t>
      </w:r>
      <w:r w:rsidRPr="00984C3A">
        <w:rPr>
          <w:rFonts w:asciiTheme="majorBidi" w:hAnsiTheme="majorBidi" w:cstheme="majorBidi"/>
        </w:rPr>
        <w:t> Targeted educational campaigns for poultry workers about the signs, symptoms, and prevention of cryptosporidiosis are needed.</w:t>
      </w:r>
    </w:p>
    <w:p w14:paraId="205A05C6" w14:textId="77777777" w:rsidR="005655D1" w:rsidRPr="00984C3A" w:rsidRDefault="005655D1" w:rsidP="001157B9">
      <w:pPr>
        <w:spacing w:line="360" w:lineRule="auto"/>
        <w:jc w:val="both"/>
        <w:rPr>
          <w:rFonts w:asciiTheme="majorBidi" w:hAnsiTheme="majorBidi" w:cstheme="majorBidi"/>
          <w:b/>
          <w:bCs/>
        </w:rPr>
      </w:pPr>
      <w:r w:rsidRPr="00984C3A">
        <w:rPr>
          <w:rFonts w:asciiTheme="majorBidi" w:hAnsiTheme="majorBidi" w:cstheme="majorBidi"/>
          <w:b/>
          <w:bCs/>
        </w:rPr>
        <w:t>4.7 Control and Prevention Implications</w:t>
      </w:r>
    </w:p>
    <w:p w14:paraId="389C3D4B"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The high prevalence of both </w:t>
      </w:r>
      <w:r w:rsidRPr="00984C3A">
        <w:rPr>
          <w:rFonts w:asciiTheme="majorBidi" w:hAnsiTheme="majorBidi" w:cstheme="majorBidi"/>
          <w:i/>
          <w:iCs/>
        </w:rPr>
        <w:t>Eimeria</w:t>
      </w:r>
      <w:r w:rsidRPr="00984C3A">
        <w:rPr>
          <w:rFonts w:asciiTheme="majorBidi" w:hAnsiTheme="majorBidi" w:cstheme="majorBidi"/>
        </w:rPr>
        <w:t> (100%) and </w:t>
      </w:r>
      <w:r w:rsidRPr="00984C3A">
        <w:rPr>
          <w:rFonts w:asciiTheme="majorBidi" w:hAnsiTheme="majorBidi" w:cstheme="majorBidi"/>
          <w:i/>
          <w:iCs/>
        </w:rPr>
        <w:t>Cryptosporidium</w:t>
      </w:r>
      <w:r w:rsidRPr="00984C3A">
        <w:rPr>
          <w:rFonts w:asciiTheme="majorBidi" w:hAnsiTheme="majorBidi" w:cstheme="majorBidi"/>
        </w:rPr>
        <w:t> (50%) in Jordanian broiler farms indicates that current control measures may be inadequate. Effective control requires integrated strategies tailored to each parasite.</w:t>
      </w:r>
    </w:p>
    <w:p w14:paraId="5CE84135"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For </w:t>
      </w:r>
      <w:r w:rsidRPr="00984C3A">
        <w:rPr>
          <w:rFonts w:asciiTheme="majorBidi" w:hAnsiTheme="majorBidi" w:cstheme="majorBidi"/>
          <w:b/>
          <w:bCs/>
          <w:i/>
          <w:iCs/>
        </w:rPr>
        <w:t>Eimeria</w:t>
      </w:r>
      <w:r w:rsidRPr="00984C3A">
        <w:rPr>
          <w:rFonts w:asciiTheme="majorBidi" w:hAnsiTheme="majorBidi" w:cstheme="majorBidi"/>
          <w:b/>
          <w:bCs/>
        </w:rPr>
        <w:t>:</w:t>
      </w:r>
    </w:p>
    <w:p w14:paraId="551A7BB9" w14:textId="263E203E"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The predominance of </w:t>
      </w:r>
      <w:r w:rsidRPr="00984C3A">
        <w:rPr>
          <w:rFonts w:asciiTheme="majorBidi" w:hAnsiTheme="majorBidi" w:cstheme="majorBidi"/>
          <w:i/>
          <w:iCs/>
        </w:rPr>
        <w:t>E. tenella</w:t>
      </w:r>
      <w:r w:rsidRPr="00984C3A">
        <w:rPr>
          <w:rFonts w:asciiTheme="majorBidi" w:hAnsiTheme="majorBidi" w:cstheme="majorBidi"/>
        </w:rPr>
        <w:t> raises concerns about potential drug resistance, as this species has shown the capacity to develop resistance to ionophores (e.g</w:t>
      </w:r>
      <w:r w:rsidR="00984C3A" w:rsidRPr="00984C3A">
        <w:rPr>
          <w:rFonts w:asciiTheme="majorBidi" w:hAnsiTheme="majorBidi" w:cstheme="majorBidi"/>
        </w:rPr>
        <w:t>.</w:t>
      </w:r>
      <w:r w:rsidRPr="00984C3A">
        <w:rPr>
          <w:rFonts w:asciiTheme="majorBidi" w:hAnsiTheme="majorBidi" w:cstheme="majorBidi"/>
        </w:rPr>
        <w:t xml:space="preserve"> monensin, </w:t>
      </w:r>
      <w:proofErr w:type="spellStart"/>
      <w:r w:rsidRPr="00984C3A">
        <w:rPr>
          <w:rFonts w:asciiTheme="majorBidi" w:hAnsiTheme="majorBidi" w:cstheme="majorBidi"/>
        </w:rPr>
        <w:t>salinomycin</w:t>
      </w:r>
      <w:proofErr w:type="spellEnd"/>
      <w:r w:rsidRPr="00984C3A">
        <w:rPr>
          <w:rFonts w:asciiTheme="majorBidi" w:hAnsiTheme="majorBidi" w:cstheme="majorBidi"/>
        </w:rPr>
        <w:t xml:space="preserve">, </w:t>
      </w:r>
      <w:proofErr w:type="spellStart"/>
      <w:r w:rsidRPr="00984C3A">
        <w:rPr>
          <w:rFonts w:asciiTheme="majorBidi" w:hAnsiTheme="majorBidi" w:cstheme="majorBidi"/>
        </w:rPr>
        <w:t>narasin</w:t>
      </w:r>
      <w:proofErr w:type="spellEnd"/>
      <w:r w:rsidRPr="00984C3A">
        <w:rPr>
          <w:rFonts w:asciiTheme="majorBidi" w:hAnsiTheme="majorBidi" w:cstheme="majorBidi"/>
        </w:rPr>
        <w:t>) and synthetic anticoccidials (e.g</w:t>
      </w:r>
      <w:r w:rsidR="00984C3A" w:rsidRPr="00984C3A">
        <w:rPr>
          <w:rFonts w:asciiTheme="majorBidi" w:hAnsiTheme="majorBidi" w:cstheme="majorBidi"/>
        </w:rPr>
        <w:t>.</w:t>
      </w:r>
      <w:r w:rsidRPr="00984C3A">
        <w:rPr>
          <w:rFonts w:asciiTheme="majorBidi" w:hAnsiTheme="majorBidi" w:cstheme="majorBidi"/>
        </w:rPr>
        <w:t xml:space="preserve"> diclazuril, toltrazuril) (Chapman, 2014; Peek &amp; Landman 2011). Anticoccidial sensitivity testing is recommended to guide drug selection. A rotational program using different classes of anticoccidials (ionophores, synthetic drugs, and chemical compounds) can help delay resistance development.</w:t>
      </w:r>
    </w:p>
    <w:p w14:paraId="74095081" w14:textId="3867AB90"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Vaccination programs (live attenuated or non-attenuated vaccines) should be considered as an alternative to in-feed anticoccidials (Peek &amp; Landman 2011). Commercial vaccines containing multiple </w:t>
      </w:r>
      <w:r w:rsidRPr="00984C3A">
        <w:rPr>
          <w:rFonts w:asciiTheme="majorBidi" w:hAnsiTheme="majorBidi" w:cstheme="majorBidi"/>
          <w:i/>
          <w:iCs/>
        </w:rPr>
        <w:t>Eimeria</w:t>
      </w:r>
      <w:r w:rsidRPr="00984C3A">
        <w:rPr>
          <w:rFonts w:asciiTheme="majorBidi" w:hAnsiTheme="majorBidi" w:cstheme="majorBidi"/>
        </w:rPr>
        <w:t> species are available and can be administered via spray, drinking water, or gel drops at the hatchery. However, vaccines are most effective when used in rotation with anticoccidials and require careful management to ensure uniform uptake.</w:t>
      </w:r>
    </w:p>
    <w:p w14:paraId="24625F13"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b/>
          <w:bCs/>
        </w:rPr>
        <w:t>For </w:t>
      </w:r>
      <w:r w:rsidRPr="00984C3A">
        <w:rPr>
          <w:rFonts w:asciiTheme="majorBidi" w:hAnsiTheme="majorBidi" w:cstheme="majorBidi"/>
          <w:b/>
          <w:bCs/>
          <w:i/>
          <w:iCs/>
        </w:rPr>
        <w:t>Cryptosporidium</w:t>
      </w:r>
      <w:r w:rsidRPr="00984C3A">
        <w:rPr>
          <w:rFonts w:asciiTheme="majorBidi" w:hAnsiTheme="majorBidi" w:cstheme="majorBidi"/>
          <w:b/>
          <w:bCs/>
        </w:rPr>
        <w:t>:</w:t>
      </w:r>
    </w:p>
    <w:p w14:paraId="6CE61944" w14:textId="72980673"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Unlike </w:t>
      </w:r>
      <w:r w:rsidRPr="00984C3A">
        <w:rPr>
          <w:rFonts w:asciiTheme="majorBidi" w:hAnsiTheme="majorBidi" w:cstheme="majorBidi"/>
          <w:i/>
          <w:iCs/>
        </w:rPr>
        <w:t>Eimeria</w:t>
      </w:r>
      <w:r w:rsidRPr="00984C3A">
        <w:rPr>
          <w:rFonts w:asciiTheme="majorBidi" w:hAnsiTheme="majorBidi" w:cstheme="majorBidi"/>
        </w:rPr>
        <w:t>, there are no licensed, consistently effective drugs for cryptosporidiosis in chickens (Helmy 2022; Khan et al</w:t>
      </w:r>
      <w:r w:rsidR="00984C3A" w:rsidRPr="00984C3A">
        <w:rPr>
          <w:rFonts w:asciiTheme="majorBidi" w:hAnsiTheme="majorBidi" w:cstheme="majorBidi"/>
        </w:rPr>
        <w:t>.</w:t>
      </w:r>
      <w:r w:rsidRPr="00984C3A">
        <w:rPr>
          <w:rFonts w:asciiTheme="majorBidi" w:hAnsiTheme="majorBidi" w:cstheme="majorBidi"/>
        </w:rPr>
        <w:t xml:space="preserve"> 2023). </w:t>
      </w:r>
      <w:proofErr w:type="spellStart"/>
      <w:r w:rsidRPr="00984C3A">
        <w:rPr>
          <w:rFonts w:asciiTheme="majorBidi" w:hAnsiTheme="majorBidi" w:cstheme="majorBidi"/>
        </w:rPr>
        <w:t>Halofuginone</w:t>
      </w:r>
      <w:proofErr w:type="spellEnd"/>
      <w:r w:rsidRPr="00984C3A">
        <w:rPr>
          <w:rFonts w:asciiTheme="majorBidi" w:hAnsiTheme="majorBidi" w:cstheme="majorBidi"/>
        </w:rPr>
        <w:t>, which has some efficacy against </w:t>
      </w:r>
      <w:r w:rsidRPr="00984C3A">
        <w:rPr>
          <w:rFonts w:asciiTheme="majorBidi" w:hAnsiTheme="majorBidi" w:cstheme="majorBidi"/>
          <w:i/>
          <w:iCs/>
        </w:rPr>
        <w:t>Cryptosporidium</w:t>
      </w:r>
      <w:r w:rsidRPr="00984C3A">
        <w:rPr>
          <w:rFonts w:asciiTheme="majorBidi" w:hAnsiTheme="majorBidi" w:cstheme="majorBidi"/>
        </w:rPr>
        <w:t> in calves, has been shown to be ineffective for chemoprophylaxis of </w:t>
      </w:r>
      <w:r w:rsidRPr="00984C3A">
        <w:rPr>
          <w:rFonts w:asciiTheme="majorBidi" w:hAnsiTheme="majorBidi" w:cstheme="majorBidi"/>
          <w:i/>
          <w:iCs/>
        </w:rPr>
        <w:t>C. baileyi</w:t>
      </w:r>
      <w:r w:rsidRPr="00984C3A">
        <w:rPr>
          <w:rFonts w:asciiTheme="majorBidi" w:hAnsiTheme="majorBidi" w:cstheme="majorBidi"/>
        </w:rPr>
        <w:t> in chicks (Lindsay et al</w:t>
      </w:r>
      <w:r w:rsidR="00984C3A" w:rsidRPr="00984C3A">
        <w:rPr>
          <w:rFonts w:asciiTheme="majorBidi" w:hAnsiTheme="majorBidi" w:cstheme="majorBidi"/>
        </w:rPr>
        <w:t>.</w:t>
      </w:r>
      <w:r w:rsidRPr="00984C3A">
        <w:rPr>
          <w:rFonts w:asciiTheme="majorBidi" w:hAnsiTheme="majorBidi" w:cstheme="majorBidi"/>
        </w:rPr>
        <w:t xml:space="preserve"> 1987). Ionophores commonly used for coccidiosis control (monensin, </w:t>
      </w:r>
      <w:proofErr w:type="spellStart"/>
      <w:r w:rsidRPr="00984C3A">
        <w:rPr>
          <w:rFonts w:asciiTheme="majorBidi" w:hAnsiTheme="majorBidi" w:cstheme="majorBidi"/>
        </w:rPr>
        <w:t>salinomycin</w:t>
      </w:r>
      <w:proofErr w:type="spellEnd"/>
      <w:r w:rsidRPr="00984C3A">
        <w:rPr>
          <w:rFonts w:asciiTheme="majorBidi" w:hAnsiTheme="majorBidi" w:cstheme="majorBidi"/>
        </w:rPr>
        <w:t>, lasalocid) have no meaningful activity against </w:t>
      </w:r>
      <w:r w:rsidRPr="00984C3A">
        <w:rPr>
          <w:rFonts w:asciiTheme="majorBidi" w:hAnsiTheme="majorBidi" w:cstheme="majorBidi"/>
          <w:i/>
          <w:iCs/>
        </w:rPr>
        <w:t>Cryptosporidium</w:t>
      </w:r>
      <w:r w:rsidRPr="00984C3A">
        <w:rPr>
          <w:rFonts w:asciiTheme="majorBidi" w:hAnsiTheme="majorBidi" w:cstheme="majorBidi"/>
        </w:rPr>
        <w:t xml:space="preserve"> (Abdullah 2024). Nitazoxanide, paromomycin, and </w:t>
      </w:r>
      <w:proofErr w:type="spellStart"/>
      <w:r w:rsidRPr="00984C3A">
        <w:rPr>
          <w:rFonts w:asciiTheme="majorBidi" w:hAnsiTheme="majorBidi" w:cstheme="majorBidi"/>
        </w:rPr>
        <w:t>rifamycins</w:t>
      </w:r>
      <w:proofErr w:type="spellEnd"/>
      <w:r w:rsidRPr="00984C3A">
        <w:rPr>
          <w:rFonts w:asciiTheme="majorBidi" w:hAnsiTheme="majorBidi" w:cstheme="majorBidi"/>
        </w:rPr>
        <w:t xml:space="preserve"> have shown some promise in mammalian models but are not approved or practical for routine use in poultry flocks (Khan et al</w:t>
      </w:r>
      <w:r w:rsidR="00984C3A" w:rsidRPr="00984C3A">
        <w:rPr>
          <w:rFonts w:asciiTheme="majorBidi" w:hAnsiTheme="majorBidi" w:cstheme="majorBidi"/>
        </w:rPr>
        <w:t>.</w:t>
      </w:r>
      <w:r w:rsidRPr="00984C3A">
        <w:rPr>
          <w:rFonts w:asciiTheme="majorBidi" w:hAnsiTheme="majorBidi" w:cstheme="majorBidi"/>
        </w:rPr>
        <w:t xml:space="preserve"> 2023; Abdullah 2024). Therefore, prevention through biosecurity and environmental management remains the primary strategy.</w:t>
      </w:r>
    </w:p>
    <w:p w14:paraId="52643CD7"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Key prevention measures for </w:t>
      </w:r>
      <w:r w:rsidRPr="00984C3A">
        <w:rPr>
          <w:rFonts w:asciiTheme="majorBidi" w:hAnsiTheme="majorBidi" w:cstheme="majorBidi"/>
          <w:i/>
          <w:iCs/>
        </w:rPr>
        <w:t>Cryptosporidium</w:t>
      </w:r>
      <w:r w:rsidRPr="00984C3A">
        <w:rPr>
          <w:rFonts w:asciiTheme="majorBidi" w:hAnsiTheme="majorBidi" w:cstheme="majorBidi"/>
        </w:rPr>
        <w:t> include:</w:t>
      </w:r>
    </w:p>
    <w:p w14:paraId="6A7ED6C0" w14:textId="1E2E3CCD" w:rsidR="005655D1" w:rsidRPr="00984C3A" w:rsidRDefault="005655D1" w:rsidP="001157B9">
      <w:pPr>
        <w:numPr>
          <w:ilvl w:val="0"/>
          <w:numId w:val="10"/>
        </w:numPr>
        <w:spacing w:line="360" w:lineRule="auto"/>
        <w:jc w:val="both"/>
        <w:rPr>
          <w:rFonts w:asciiTheme="majorBidi" w:hAnsiTheme="majorBidi" w:cstheme="majorBidi"/>
        </w:rPr>
      </w:pPr>
      <w:r w:rsidRPr="00984C3A">
        <w:rPr>
          <w:rFonts w:asciiTheme="majorBidi" w:hAnsiTheme="majorBidi" w:cstheme="majorBidi"/>
          <w:b/>
          <w:bCs/>
        </w:rPr>
        <w:t>Waterline management:</w:t>
      </w:r>
      <w:r w:rsidRPr="00984C3A">
        <w:rPr>
          <w:rFonts w:asciiTheme="majorBidi" w:hAnsiTheme="majorBidi" w:cstheme="majorBidi"/>
        </w:rPr>
        <w:t> </w:t>
      </w:r>
      <w:r w:rsidRPr="00984C3A">
        <w:rPr>
          <w:rFonts w:asciiTheme="majorBidi" w:hAnsiTheme="majorBidi" w:cstheme="majorBidi"/>
          <w:i/>
          <w:iCs/>
        </w:rPr>
        <w:t>Cryptosporidium</w:t>
      </w:r>
      <w:r w:rsidRPr="00984C3A">
        <w:rPr>
          <w:rFonts w:asciiTheme="majorBidi" w:hAnsiTheme="majorBidi" w:cstheme="majorBidi"/>
        </w:rPr>
        <w:t> oocysts are highly resistant to chlorine-based disinfectants commonly used in drinking water systems (Weir et al</w:t>
      </w:r>
      <w:r w:rsidR="00984C3A" w:rsidRPr="00984C3A">
        <w:rPr>
          <w:rFonts w:asciiTheme="majorBidi" w:hAnsiTheme="majorBidi" w:cstheme="majorBidi"/>
        </w:rPr>
        <w:t>.</w:t>
      </w:r>
      <w:r w:rsidRPr="00984C3A">
        <w:rPr>
          <w:rFonts w:asciiTheme="majorBidi" w:hAnsiTheme="majorBidi" w:cstheme="majorBidi"/>
        </w:rPr>
        <w:t xml:space="preserve"> 2002; Li et al</w:t>
      </w:r>
      <w:r w:rsidR="00984C3A" w:rsidRPr="00984C3A">
        <w:rPr>
          <w:rFonts w:asciiTheme="majorBidi" w:hAnsiTheme="majorBidi" w:cstheme="majorBidi"/>
        </w:rPr>
        <w:t>.</w:t>
      </w:r>
      <w:r w:rsidRPr="00984C3A">
        <w:rPr>
          <w:rFonts w:asciiTheme="majorBidi" w:hAnsiTheme="majorBidi" w:cstheme="majorBidi"/>
        </w:rPr>
        <w:t xml:space="preserve"> 2023). Biofilm in waterlines can protect oocysts from disinfection and facilitate their persistence (Piccirillo et al</w:t>
      </w:r>
      <w:r w:rsidR="00984C3A" w:rsidRPr="00984C3A">
        <w:rPr>
          <w:rFonts w:asciiTheme="majorBidi" w:hAnsiTheme="majorBidi" w:cstheme="majorBidi"/>
        </w:rPr>
        <w:t>.</w:t>
      </w:r>
      <w:r w:rsidRPr="00984C3A">
        <w:rPr>
          <w:rFonts w:asciiTheme="majorBidi" w:hAnsiTheme="majorBidi" w:cstheme="majorBidi"/>
        </w:rPr>
        <w:t xml:space="preserve"> 2024). Effective strategies </w:t>
      </w:r>
      <w:r w:rsidR="00984C3A" w:rsidRPr="00984C3A">
        <w:rPr>
          <w:rFonts w:asciiTheme="majorBidi" w:hAnsiTheme="majorBidi" w:cstheme="majorBidi"/>
        </w:rPr>
        <w:t>include</w:t>
      </w:r>
      <w:r w:rsidRPr="00984C3A">
        <w:rPr>
          <w:rFonts w:asciiTheme="majorBidi" w:hAnsiTheme="majorBidi" w:cstheme="majorBidi"/>
        </w:rPr>
        <w:t xml:space="preserve"> periodic shock disinfection with </w:t>
      </w:r>
      <w:proofErr w:type="spellStart"/>
      <w:r w:rsidRPr="00984C3A">
        <w:rPr>
          <w:rFonts w:asciiTheme="majorBidi" w:hAnsiTheme="majorBidi" w:cstheme="majorBidi"/>
        </w:rPr>
        <w:t>peroxygen</w:t>
      </w:r>
      <w:proofErr w:type="spellEnd"/>
      <w:r w:rsidRPr="00984C3A">
        <w:rPr>
          <w:rFonts w:asciiTheme="majorBidi" w:hAnsiTheme="majorBidi" w:cstheme="majorBidi"/>
        </w:rPr>
        <w:t>-based products (e.g</w:t>
      </w:r>
      <w:r w:rsidR="00984C3A" w:rsidRPr="00984C3A">
        <w:rPr>
          <w:rFonts w:asciiTheme="majorBidi" w:hAnsiTheme="majorBidi" w:cstheme="majorBidi"/>
        </w:rPr>
        <w:t>.</w:t>
      </w:r>
      <w:r w:rsidRPr="00984C3A">
        <w:rPr>
          <w:rFonts w:asciiTheme="majorBidi" w:hAnsiTheme="majorBidi" w:cstheme="majorBidi"/>
        </w:rPr>
        <w:t xml:space="preserve"> hydrogen peroxide, peracetic acid), which have demonstrated efficacy against oocysts (Quílez et al</w:t>
      </w:r>
      <w:r w:rsidR="00984C3A" w:rsidRPr="00984C3A">
        <w:rPr>
          <w:rFonts w:asciiTheme="majorBidi" w:hAnsiTheme="majorBidi" w:cstheme="majorBidi"/>
        </w:rPr>
        <w:t>.</w:t>
      </w:r>
      <w:r w:rsidRPr="00984C3A">
        <w:rPr>
          <w:rFonts w:asciiTheme="majorBidi" w:hAnsiTheme="majorBidi" w:cstheme="majorBidi"/>
        </w:rPr>
        <w:t xml:space="preserve"> 2005); use of slightly acidic electrolyzed water for continuous treatment (Li et al</w:t>
      </w:r>
      <w:r w:rsidR="00984C3A" w:rsidRPr="00984C3A">
        <w:rPr>
          <w:rFonts w:asciiTheme="majorBidi" w:hAnsiTheme="majorBidi" w:cstheme="majorBidi"/>
        </w:rPr>
        <w:t>.</w:t>
      </w:r>
      <w:r w:rsidRPr="00984C3A">
        <w:rPr>
          <w:rFonts w:asciiTheme="majorBidi" w:hAnsiTheme="majorBidi" w:cstheme="majorBidi"/>
        </w:rPr>
        <w:t xml:space="preserve"> 2023); and routine flushing and scrubbing of waterlines between flocks.</w:t>
      </w:r>
    </w:p>
    <w:p w14:paraId="1F016B01" w14:textId="0DB76F26" w:rsidR="005655D1" w:rsidRPr="00984C3A" w:rsidRDefault="005655D1" w:rsidP="001157B9">
      <w:pPr>
        <w:numPr>
          <w:ilvl w:val="0"/>
          <w:numId w:val="10"/>
        </w:numPr>
        <w:spacing w:line="360" w:lineRule="auto"/>
        <w:jc w:val="both"/>
        <w:rPr>
          <w:rFonts w:asciiTheme="majorBidi" w:hAnsiTheme="majorBidi" w:cstheme="majorBidi"/>
        </w:rPr>
      </w:pPr>
      <w:r w:rsidRPr="00984C3A">
        <w:rPr>
          <w:rFonts w:asciiTheme="majorBidi" w:hAnsiTheme="majorBidi" w:cstheme="majorBidi"/>
          <w:b/>
          <w:bCs/>
        </w:rPr>
        <w:t>Litter management:</w:t>
      </w:r>
      <w:r w:rsidRPr="00984C3A">
        <w:rPr>
          <w:rFonts w:asciiTheme="majorBidi" w:hAnsiTheme="majorBidi" w:cstheme="majorBidi"/>
        </w:rPr>
        <w:t> Oocysts can survive in litter for extended periods, especially under cool, moist conditions. Maintaining dry litter through proper ventilation, drinker adjustment, and regular litter turning reduces oocyst survival and sporulation (Ali et al</w:t>
      </w:r>
      <w:r w:rsidR="00984C3A" w:rsidRPr="00984C3A">
        <w:rPr>
          <w:rFonts w:asciiTheme="majorBidi" w:hAnsiTheme="majorBidi" w:cstheme="majorBidi"/>
        </w:rPr>
        <w:t>.</w:t>
      </w:r>
      <w:r w:rsidRPr="00984C3A">
        <w:rPr>
          <w:rFonts w:asciiTheme="majorBidi" w:hAnsiTheme="majorBidi" w:cstheme="majorBidi"/>
        </w:rPr>
        <w:t xml:space="preserve"> 2024). Complete litter removal and replacement between flocks is ideal, but where partial litter reuse is practiced, thorough drying and treatment with ammonia (which inactivates oocysts) is recommended.</w:t>
      </w:r>
    </w:p>
    <w:p w14:paraId="1472C462" w14:textId="256D3F2F" w:rsidR="005655D1" w:rsidRPr="00984C3A" w:rsidRDefault="005655D1" w:rsidP="001157B9">
      <w:pPr>
        <w:numPr>
          <w:ilvl w:val="0"/>
          <w:numId w:val="10"/>
        </w:numPr>
        <w:spacing w:line="360" w:lineRule="auto"/>
        <w:jc w:val="both"/>
        <w:rPr>
          <w:rFonts w:asciiTheme="majorBidi" w:hAnsiTheme="majorBidi" w:cstheme="majorBidi"/>
        </w:rPr>
      </w:pPr>
      <w:r w:rsidRPr="00984C3A">
        <w:rPr>
          <w:rFonts w:asciiTheme="majorBidi" w:hAnsiTheme="majorBidi" w:cstheme="majorBidi"/>
          <w:b/>
          <w:bCs/>
        </w:rPr>
        <w:t>Biosecurity:</w:t>
      </w:r>
      <w:r w:rsidRPr="00984C3A">
        <w:rPr>
          <w:rFonts w:asciiTheme="majorBidi" w:hAnsiTheme="majorBidi" w:cstheme="majorBidi"/>
        </w:rPr>
        <w:t> Single-age flocks reduce the risk of continuous transmission cycles. Extended downtime (at least 14 days) between flocks allows oocysts to lose viability (Egan et al</w:t>
      </w:r>
      <w:r w:rsidR="00984C3A" w:rsidRPr="00984C3A">
        <w:rPr>
          <w:rFonts w:asciiTheme="majorBidi" w:hAnsiTheme="majorBidi" w:cstheme="majorBidi"/>
        </w:rPr>
        <w:t>.</w:t>
      </w:r>
      <w:r w:rsidRPr="00984C3A">
        <w:rPr>
          <w:rFonts w:asciiTheme="majorBidi" w:hAnsiTheme="majorBidi" w:cstheme="majorBidi"/>
        </w:rPr>
        <w:t xml:space="preserve"> 2024). Restricted wild bird access through netting, bird-proofing of buildings, and prompt cleanup of spilled feed is important, as wild birds can carry </w:t>
      </w:r>
      <w:r w:rsidRPr="00984C3A">
        <w:rPr>
          <w:rFonts w:asciiTheme="majorBidi" w:hAnsiTheme="majorBidi" w:cstheme="majorBidi"/>
          <w:i/>
          <w:iCs/>
        </w:rPr>
        <w:t>Cryptosporidium</w:t>
      </w:r>
      <w:r w:rsidRPr="00984C3A">
        <w:rPr>
          <w:rFonts w:asciiTheme="majorBidi" w:hAnsiTheme="majorBidi" w:cstheme="majorBidi"/>
        </w:rPr>
        <w:t> and contaminate water sources (Egan et al</w:t>
      </w:r>
      <w:r w:rsidR="00984C3A" w:rsidRPr="00984C3A">
        <w:rPr>
          <w:rFonts w:asciiTheme="majorBidi" w:hAnsiTheme="majorBidi" w:cstheme="majorBidi"/>
        </w:rPr>
        <w:t>.</w:t>
      </w:r>
      <w:r w:rsidRPr="00984C3A">
        <w:rPr>
          <w:rFonts w:asciiTheme="majorBidi" w:hAnsiTheme="majorBidi" w:cstheme="majorBidi"/>
        </w:rPr>
        <w:t xml:space="preserve"> 2024).</w:t>
      </w:r>
    </w:p>
    <w:p w14:paraId="11E48DDD" w14:textId="657AC322" w:rsidR="005655D1" w:rsidRPr="00984C3A" w:rsidRDefault="005655D1" w:rsidP="001157B9">
      <w:pPr>
        <w:numPr>
          <w:ilvl w:val="0"/>
          <w:numId w:val="10"/>
        </w:numPr>
        <w:spacing w:line="360" w:lineRule="auto"/>
        <w:jc w:val="both"/>
        <w:rPr>
          <w:rFonts w:asciiTheme="majorBidi" w:hAnsiTheme="majorBidi" w:cstheme="majorBidi"/>
        </w:rPr>
      </w:pPr>
      <w:r w:rsidRPr="00984C3A">
        <w:rPr>
          <w:rFonts w:asciiTheme="majorBidi" w:hAnsiTheme="majorBidi" w:cstheme="majorBidi"/>
          <w:b/>
          <w:bCs/>
        </w:rPr>
        <w:t>Monitoring:</w:t>
      </w:r>
      <w:r w:rsidRPr="00984C3A">
        <w:rPr>
          <w:rFonts w:asciiTheme="majorBidi" w:hAnsiTheme="majorBidi" w:cstheme="majorBidi"/>
        </w:rPr>
        <w:t> PCR-based surveillance should be implemented in flocks with recurrent respiratory or enteric issues (Feng et al</w:t>
      </w:r>
      <w:r w:rsidR="00984C3A" w:rsidRPr="00984C3A">
        <w:rPr>
          <w:rFonts w:asciiTheme="majorBidi" w:hAnsiTheme="majorBidi" w:cstheme="majorBidi"/>
        </w:rPr>
        <w:t>.</w:t>
      </w:r>
      <w:r w:rsidRPr="00984C3A">
        <w:rPr>
          <w:rFonts w:asciiTheme="majorBidi" w:hAnsiTheme="majorBidi" w:cstheme="majorBidi"/>
        </w:rPr>
        <w:t xml:space="preserve"> 2022; Cao et al</w:t>
      </w:r>
      <w:r w:rsidR="00984C3A" w:rsidRPr="00984C3A">
        <w:rPr>
          <w:rFonts w:asciiTheme="majorBidi" w:hAnsiTheme="majorBidi" w:cstheme="majorBidi"/>
        </w:rPr>
        <w:t>.</w:t>
      </w:r>
      <w:r w:rsidRPr="00984C3A">
        <w:rPr>
          <w:rFonts w:asciiTheme="majorBidi" w:hAnsiTheme="majorBidi" w:cstheme="majorBidi"/>
        </w:rPr>
        <w:t xml:space="preserve"> 2020). Early detection allows targeted interventions before clinical disease develops.</w:t>
      </w:r>
    </w:p>
    <w:p w14:paraId="08231BD9" w14:textId="77777777" w:rsidR="005655D1" w:rsidRPr="00984C3A" w:rsidRDefault="005655D1" w:rsidP="001157B9">
      <w:pPr>
        <w:pStyle w:val="Heading2"/>
        <w:spacing w:line="360" w:lineRule="auto"/>
        <w:jc w:val="both"/>
      </w:pPr>
      <w:r w:rsidRPr="00984C3A">
        <w:t>4.8 Study Limitations</w:t>
      </w:r>
    </w:p>
    <w:p w14:paraId="45F00F06" w14:textId="77777777" w:rsidR="005655D1" w:rsidRPr="00984C3A" w:rsidRDefault="005655D1" w:rsidP="001157B9">
      <w:pPr>
        <w:spacing w:line="360" w:lineRule="auto"/>
        <w:jc w:val="both"/>
        <w:rPr>
          <w:rFonts w:asciiTheme="majorBidi" w:hAnsiTheme="majorBidi" w:cstheme="majorBidi"/>
        </w:rPr>
      </w:pPr>
      <w:r w:rsidRPr="00984C3A">
        <w:rPr>
          <w:rFonts w:asciiTheme="majorBidi" w:hAnsiTheme="majorBidi" w:cstheme="majorBidi"/>
        </w:rPr>
        <w:t>Several limitations of this study should be acknowledged:</w:t>
      </w:r>
    </w:p>
    <w:p w14:paraId="257D460D" w14:textId="77777777" w:rsidR="005655D1" w:rsidRPr="00984C3A" w:rsidRDefault="005655D1" w:rsidP="001157B9">
      <w:pPr>
        <w:numPr>
          <w:ilvl w:val="0"/>
          <w:numId w:val="11"/>
        </w:numPr>
        <w:spacing w:line="360" w:lineRule="auto"/>
        <w:jc w:val="both"/>
        <w:rPr>
          <w:rFonts w:asciiTheme="majorBidi" w:hAnsiTheme="majorBidi" w:cstheme="majorBidi"/>
        </w:rPr>
      </w:pPr>
      <w:r w:rsidRPr="00984C3A">
        <w:rPr>
          <w:rFonts w:asciiTheme="majorBidi" w:hAnsiTheme="majorBidi" w:cstheme="majorBidi"/>
          <w:b/>
          <w:bCs/>
        </w:rPr>
        <w:t>Sample size:</w:t>
      </w:r>
      <w:r w:rsidRPr="00984C3A">
        <w:rPr>
          <w:rFonts w:asciiTheme="majorBidi" w:hAnsiTheme="majorBidi" w:cstheme="majorBidi"/>
        </w:rPr>
        <w:t> While 42 samples from 32 farms were analyzed, this represents a relatively small sample given the scale of the Jordanian poultry industry. Larger studies with more samples per governorate are needed to confirm regional prevalence estimates and identify statistically significant risk factors.</w:t>
      </w:r>
    </w:p>
    <w:p w14:paraId="51F537A4" w14:textId="77777777" w:rsidR="005655D1" w:rsidRPr="00984C3A" w:rsidRDefault="005655D1" w:rsidP="001157B9">
      <w:pPr>
        <w:numPr>
          <w:ilvl w:val="0"/>
          <w:numId w:val="11"/>
        </w:numPr>
        <w:spacing w:line="360" w:lineRule="auto"/>
        <w:jc w:val="both"/>
        <w:rPr>
          <w:rFonts w:asciiTheme="majorBidi" w:hAnsiTheme="majorBidi" w:cstheme="majorBidi"/>
        </w:rPr>
      </w:pPr>
      <w:r w:rsidRPr="00984C3A">
        <w:rPr>
          <w:rFonts w:asciiTheme="majorBidi" w:hAnsiTheme="majorBidi" w:cstheme="majorBidi"/>
          <w:b/>
          <w:bCs/>
          <w:i/>
          <w:iCs/>
        </w:rPr>
        <w:t>Cryptosporidium</w:t>
      </w:r>
      <w:r w:rsidRPr="00984C3A">
        <w:rPr>
          <w:rFonts w:asciiTheme="majorBidi" w:hAnsiTheme="majorBidi" w:cstheme="majorBidi"/>
          <w:b/>
          <w:bCs/>
        </w:rPr>
        <w:t> sequencing is ongoing:</w:t>
      </w:r>
      <w:r w:rsidRPr="00984C3A">
        <w:rPr>
          <w:rFonts w:asciiTheme="majorBidi" w:hAnsiTheme="majorBidi" w:cstheme="majorBidi"/>
        </w:rPr>
        <w:t> Species-level identification is not yet available in this report, limiting the ability to conduct detailed zoonotic risk assessment. Completion of sequencing for all 21 PCR-positive samples is a priority.</w:t>
      </w:r>
    </w:p>
    <w:p w14:paraId="47645D07" w14:textId="77777777" w:rsidR="005655D1" w:rsidRPr="00984C3A" w:rsidRDefault="005655D1" w:rsidP="001157B9">
      <w:pPr>
        <w:numPr>
          <w:ilvl w:val="0"/>
          <w:numId w:val="11"/>
        </w:numPr>
        <w:spacing w:line="360" w:lineRule="auto"/>
        <w:jc w:val="both"/>
        <w:rPr>
          <w:rFonts w:asciiTheme="majorBidi" w:hAnsiTheme="majorBidi" w:cstheme="majorBidi"/>
        </w:rPr>
      </w:pPr>
      <w:r w:rsidRPr="00984C3A">
        <w:rPr>
          <w:rFonts w:asciiTheme="majorBidi" w:hAnsiTheme="majorBidi" w:cstheme="majorBidi"/>
          <w:b/>
          <w:bCs/>
        </w:rPr>
        <w:t>Production parameters not recorded:</w:t>
      </w:r>
      <w:r w:rsidRPr="00984C3A">
        <w:rPr>
          <w:rFonts w:asciiTheme="majorBidi" w:hAnsiTheme="majorBidi" w:cstheme="majorBidi"/>
        </w:rPr>
        <w:t> Key performance indicators such as weight gain, feed conversion ratio, and mortality were not systematically recorded at the time of sampling. Consequently, the economic impact of the detected infections could not be quantified. Future studies should include production data to correlate parasitological findings with economic outcomes.</w:t>
      </w:r>
    </w:p>
    <w:p w14:paraId="7051B633" w14:textId="77777777" w:rsidR="005655D1" w:rsidRPr="00984C3A" w:rsidRDefault="005655D1" w:rsidP="001157B9">
      <w:pPr>
        <w:numPr>
          <w:ilvl w:val="0"/>
          <w:numId w:val="11"/>
        </w:numPr>
        <w:spacing w:line="360" w:lineRule="auto"/>
        <w:jc w:val="both"/>
        <w:rPr>
          <w:rFonts w:asciiTheme="majorBidi" w:hAnsiTheme="majorBidi" w:cstheme="majorBidi"/>
        </w:rPr>
      </w:pPr>
      <w:r w:rsidRPr="00984C3A">
        <w:rPr>
          <w:rFonts w:asciiTheme="majorBidi" w:hAnsiTheme="majorBidi" w:cstheme="majorBidi"/>
          <w:b/>
          <w:bCs/>
        </w:rPr>
        <w:t>Preserved samples:</w:t>
      </w:r>
      <w:r w:rsidRPr="00984C3A">
        <w:rPr>
          <w:rFonts w:asciiTheme="majorBidi" w:hAnsiTheme="majorBidi" w:cstheme="majorBidi"/>
        </w:rPr>
        <w:t> The use of potassium dichromate-preserved samples, while excellent for maintaining oocyst morphology, may have reduced DNA yield compared to fresh or frozen samples. Some PCR-negative results (especially for </w:t>
      </w:r>
      <w:r w:rsidRPr="00984C3A">
        <w:rPr>
          <w:rFonts w:asciiTheme="majorBidi" w:hAnsiTheme="majorBidi" w:cstheme="majorBidi"/>
          <w:i/>
          <w:iCs/>
        </w:rPr>
        <w:t>Eimeria</w:t>
      </w:r>
      <w:r w:rsidRPr="00984C3A">
        <w:rPr>
          <w:rFonts w:asciiTheme="majorBidi" w:hAnsiTheme="majorBidi" w:cstheme="majorBidi"/>
        </w:rPr>
        <w:t>) may reflect inhibition rather than true absence of infection.</w:t>
      </w:r>
    </w:p>
    <w:p w14:paraId="09C7A882" w14:textId="77777777" w:rsidR="005655D1" w:rsidRPr="00984C3A" w:rsidRDefault="005655D1" w:rsidP="001157B9">
      <w:pPr>
        <w:numPr>
          <w:ilvl w:val="0"/>
          <w:numId w:val="11"/>
        </w:numPr>
        <w:spacing w:line="360" w:lineRule="auto"/>
        <w:jc w:val="both"/>
        <w:rPr>
          <w:rFonts w:asciiTheme="majorBidi" w:hAnsiTheme="majorBidi" w:cstheme="majorBidi"/>
        </w:rPr>
      </w:pPr>
      <w:r w:rsidRPr="00984C3A">
        <w:rPr>
          <w:rFonts w:asciiTheme="majorBidi" w:hAnsiTheme="majorBidi" w:cstheme="majorBidi"/>
          <w:b/>
          <w:bCs/>
        </w:rPr>
        <w:t>PCR inhibition:</w:t>
      </w:r>
      <w:r w:rsidRPr="00984C3A">
        <w:rPr>
          <w:rFonts w:asciiTheme="majorBidi" w:hAnsiTheme="majorBidi" w:cstheme="majorBidi"/>
        </w:rPr>
        <w:t> The observation that 4 samples (9.5%) had positive flotation for </w:t>
      </w:r>
      <w:r w:rsidRPr="00984C3A">
        <w:rPr>
          <w:rFonts w:asciiTheme="majorBidi" w:hAnsiTheme="majorBidi" w:cstheme="majorBidi"/>
          <w:i/>
          <w:iCs/>
        </w:rPr>
        <w:t>Eimeria</w:t>
      </w:r>
      <w:r w:rsidRPr="00984C3A">
        <w:rPr>
          <w:rFonts w:asciiTheme="majorBidi" w:hAnsiTheme="majorBidi" w:cstheme="majorBidi"/>
        </w:rPr>
        <w:t> </w:t>
      </w:r>
      <w:proofErr w:type="gramStart"/>
      <w:r w:rsidRPr="00984C3A">
        <w:rPr>
          <w:rFonts w:asciiTheme="majorBidi" w:hAnsiTheme="majorBidi" w:cstheme="majorBidi"/>
        </w:rPr>
        <w:t>oocysts</w:t>
      </w:r>
      <w:proofErr w:type="gramEnd"/>
      <w:r w:rsidRPr="00984C3A">
        <w:rPr>
          <w:rFonts w:asciiTheme="majorBidi" w:hAnsiTheme="majorBidi" w:cstheme="majorBidi"/>
        </w:rPr>
        <w:t xml:space="preserve"> but negative PCR suggests possible PCR inhibition. DNA extraction methods that include an inhibitor removal step or dilution of extracted DNA may improve PCR success rates in future studies.</w:t>
      </w:r>
    </w:p>
    <w:p w14:paraId="3D2C46CC" w14:textId="448D3766" w:rsidR="005655D1" w:rsidRDefault="005655D1" w:rsidP="001157B9">
      <w:pPr>
        <w:numPr>
          <w:ilvl w:val="0"/>
          <w:numId w:val="11"/>
        </w:numPr>
        <w:spacing w:line="360" w:lineRule="auto"/>
        <w:jc w:val="both"/>
        <w:rPr>
          <w:rFonts w:asciiTheme="majorBidi" w:hAnsiTheme="majorBidi" w:cstheme="majorBidi"/>
        </w:rPr>
      </w:pPr>
      <w:r w:rsidRPr="00984C3A">
        <w:rPr>
          <w:rFonts w:asciiTheme="majorBidi" w:hAnsiTheme="majorBidi" w:cstheme="majorBidi"/>
          <w:b/>
          <w:bCs/>
        </w:rPr>
        <w:t>Lack of clinical correlation at individual bird level:</w:t>
      </w:r>
      <w:r w:rsidRPr="00984C3A">
        <w:rPr>
          <w:rFonts w:asciiTheme="majorBidi" w:hAnsiTheme="majorBidi" w:cstheme="majorBidi"/>
        </w:rPr>
        <w:t> Samples were collected at the flock level, and clinical signs were recorded at the farm level. Individual bird data on lesion scores, oocyst shedding, and clinical signs would provide stronger correlations between parasitological findings and disease severity.</w:t>
      </w:r>
      <w:r w:rsidRPr="00984C3A">
        <w:rPr>
          <w:rFonts w:asciiTheme="majorBidi" w:hAnsiTheme="majorBidi" w:cstheme="majorBidi"/>
        </w:rPr>
        <w:br/>
      </w:r>
      <w:r w:rsidR="001157B9">
        <w:rPr>
          <w:rFonts w:asciiTheme="majorBidi" w:hAnsiTheme="majorBidi" w:cstheme="majorBidi"/>
        </w:rPr>
        <w:t>Funding sources</w:t>
      </w:r>
    </w:p>
    <w:p w14:paraId="050008AA" w14:textId="612ABD72" w:rsidR="001157B9" w:rsidRDefault="001157B9" w:rsidP="001157B9">
      <w:pPr>
        <w:pStyle w:val="Heading1"/>
        <w:numPr>
          <w:ilvl w:val="0"/>
          <w:numId w:val="13"/>
        </w:numPr>
        <w:spacing w:line="360" w:lineRule="auto"/>
        <w:jc w:val="both"/>
      </w:pPr>
      <w:r>
        <w:t xml:space="preserve">Declarations </w:t>
      </w:r>
    </w:p>
    <w:p w14:paraId="063B19FE" w14:textId="546FDFB5" w:rsidR="001157B9" w:rsidRDefault="005769F6" w:rsidP="005769F6">
      <w:pPr>
        <w:pStyle w:val="Heading1"/>
        <w:numPr>
          <w:ilvl w:val="1"/>
          <w:numId w:val="13"/>
        </w:numPr>
        <w:spacing w:line="360" w:lineRule="auto"/>
        <w:jc w:val="both"/>
      </w:pPr>
      <w:r>
        <w:rPr>
          <w:bCs/>
        </w:rPr>
        <w:t>C</w:t>
      </w:r>
      <w:r w:rsidR="001157B9" w:rsidRPr="005769F6">
        <w:rPr>
          <w:bCs/>
        </w:rPr>
        <w:t>onflicts</w:t>
      </w:r>
      <w:r w:rsidR="001157B9" w:rsidRPr="003A4DEB">
        <w:t xml:space="preserve"> of interest</w:t>
      </w:r>
    </w:p>
    <w:p w14:paraId="2BA4779E" w14:textId="77777777" w:rsidR="005769F6" w:rsidRPr="005769F6" w:rsidRDefault="005769F6" w:rsidP="005769F6">
      <w:pPr>
        <w:spacing w:line="360" w:lineRule="auto"/>
        <w:ind w:left="720"/>
        <w:jc w:val="both"/>
        <w:rPr>
          <w:rFonts w:asciiTheme="majorBidi" w:hAnsiTheme="majorBidi" w:cstheme="majorBidi"/>
        </w:rPr>
      </w:pPr>
      <w:r w:rsidRPr="005769F6">
        <w:rPr>
          <w:rFonts w:asciiTheme="majorBidi" w:hAnsiTheme="majorBidi" w:cstheme="majorBidi"/>
        </w:rPr>
        <w:t>The authors declare that they have no known competing financial interests or personal relationships that could have appeared to influence the work reported in this paper.</w:t>
      </w:r>
    </w:p>
    <w:p w14:paraId="28A76D97" w14:textId="77777777" w:rsidR="005769F6" w:rsidRPr="003A4DEB" w:rsidRDefault="005769F6" w:rsidP="003A4DEB">
      <w:pPr>
        <w:spacing w:line="360" w:lineRule="auto"/>
        <w:ind w:left="720"/>
        <w:jc w:val="both"/>
        <w:rPr>
          <w:rFonts w:asciiTheme="majorBidi" w:hAnsiTheme="majorBidi" w:cstheme="majorBidi"/>
        </w:rPr>
      </w:pPr>
    </w:p>
    <w:p w14:paraId="7A7A921C" w14:textId="143A3F19" w:rsidR="001157B9" w:rsidRDefault="005769F6" w:rsidP="005769F6">
      <w:pPr>
        <w:pStyle w:val="Heading1"/>
        <w:numPr>
          <w:ilvl w:val="1"/>
          <w:numId w:val="13"/>
        </w:numPr>
        <w:spacing w:line="360" w:lineRule="auto"/>
        <w:jc w:val="both"/>
      </w:pPr>
      <w:r>
        <w:t>D</w:t>
      </w:r>
      <w:r w:rsidR="001157B9" w:rsidRPr="003A4DEB">
        <w:t xml:space="preserve">ata availability </w:t>
      </w:r>
    </w:p>
    <w:p w14:paraId="24BDE178" w14:textId="1F9F76BC" w:rsidR="005769F6" w:rsidRPr="003A4DEB" w:rsidRDefault="005769F6" w:rsidP="005769F6">
      <w:pPr>
        <w:spacing w:line="360" w:lineRule="auto"/>
        <w:ind w:left="720"/>
        <w:jc w:val="both"/>
        <w:rPr>
          <w:rFonts w:asciiTheme="majorBidi" w:hAnsiTheme="majorBidi" w:cstheme="majorBidi"/>
        </w:rPr>
      </w:pPr>
      <w:r w:rsidRPr="005769F6">
        <w:rPr>
          <w:rFonts w:asciiTheme="majorBidi" w:hAnsiTheme="majorBidi" w:cstheme="majorBidi"/>
        </w:rPr>
        <w:t>The data that support the findings of this study are available from the corresponding author upon reasonable request.</w:t>
      </w:r>
    </w:p>
    <w:p w14:paraId="29F29791" w14:textId="55D80AB6" w:rsidR="001157B9" w:rsidRDefault="005769F6" w:rsidP="005769F6">
      <w:pPr>
        <w:pStyle w:val="Heading1"/>
        <w:numPr>
          <w:ilvl w:val="1"/>
          <w:numId w:val="13"/>
        </w:numPr>
        <w:spacing w:line="360" w:lineRule="auto"/>
        <w:jc w:val="both"/>
      </w:pPr>
      <w:r>
        <w:t>E</w:t>
      </w:r>
      <w:r w:rsidR="001157B9" w:rsidRPr="003A4DEB">
        <w:t>thics statement/ethical approval</w:t>
      </w:r>
    </w:p>
    <w:p w14:paraId="307EABDB" w14:textId="77777777" w:rsidR="005769F6" w:rsidRPr="00974C9A" w:rsidRDefault="005769F6" w:rsidP="005769F6">
      <w:pPr>
        <w:spacing w:line="480" w:lineRule="auto"/>
        <w:jc w:val="both"/>
        <w:rPr>
          <w:rFonts w:asciiTheme="majorBidi" w:hAnsiTheme="majorBidi" w:cstheme="majorBidi"/>
        </w:rPr>
      </w:pPr>
      <w:r w:rsidRPr="00974C9A">
        <w:rPr>
          <w:rFonts w:asciiTheme="majorBidi" w:hAnsiTheme="majorBidi" w:cstheme="majorBidi"/>
        </w:rPr>
        <w:t xml:space="preserve">The Scientific Research Council of the University of Jordan approved the experiment's protocols vide number (135/2022). Animals were reared and treated </w:t>
      </w:r>
      <w:proofErr w:type="gramStart"/>
      <w:r w:rsidRPr="00974C9A">
        <w:rPr>
          <w:rFonts w:asciiTheme="majorBidi" w:hAnsiTheme="majorBidi" w:cstheme="majorBidi"/>
        </w:rPr>
        <w:t>per</w:t>
      </w:r>
      <w:proofErr w:type="gramEnd"/>
      <w:r w:rsidRPr="00974C9A">
        <w:rPr>
          <w:rFonts w:asciiTheme="majorBidi" w:hAnsiTheme="majorBidi" w:cstheme="majorBidi"/>
        </w:rPr>
        <w:t xml:space="preserve"> the EU Directions 2010/63/EU.</w:t>
      </w:r>
    </w:p>
    <w:p w14:paraId="6475BAB1" w14:textId="77777777" w:rsidR="005769F6" w:rsidRPr="005769F6" w:rsidRDefault="005769F6" w:rsidP="005769F6"/>
    <w:p w14:paraId="2A78C589" w14:textId="74A3066D" w:rsidR="001157B9" w:rsidRDefault="005769F6" w:rsidP="005769F6">
      <w:pPr>
        <w:pStyle w:val="Heading1"/>
        <w:numPr>
          <w:ilvl w:val="1"/>
          <w:numId w:val="13"/>
        </w:numPr>
        <w:spacing w:line="360" w:lineRule="auto"/>
        <w:jc w:val="both"/>
      </w:pPr>
      <w:r>
        <w:t>A</w:t>
      </w:r>
      <w:r w:rsidR="001157B9" w:rsidRPr="003A4DEB">
        <w:t>uthors' contributions</w:t>
      </w:r>
    </w:p>
    <w:p w14:paraId="2B71A450" w14:textId="77777777" w:rsidR="005769F6" w:rsidRPr="005769F6" w:rsidRDefault="005769F6" w:rsidP="005769F6">
      <w:pPr>
        <w:spacing w:line="360" w:lineRule="auto"/>
        <w:ind w:left="720"/>
        <w:jc w:val="both"/>
        <w:rPr>
          <w:rFonts w:asciiTheme="majorBidi" w:hAnsiTheme="majorBidi" w:cstheme="majorBidi"/>
        </w:rPr>
      </w:pPr>
      <w:r w:rsidRPr="005769F6">
        <w:rPr>
          <w:rFonts w:asciiTheme="majorBidi" w:hAnsiTheme="majorBidi" w:cstheme="majorBidi"/>
        </w:rPr>
        <w:t>The author confirms sole responsibility for the following: study conception and design, data collection, analysis and interpretation of results, and manuscript preparation.</w:t>
      </w:r>
    </w:p>
    <w:p w14:paraId="54A4C8D4" w14:textId="77777777" w:rsidR="005769F6" w:rsidRPr="003A4DEB" w:rsidRDefault="005769F6" w:rsidP="003A4DEB">
      <w:pPr>
        <w:spacing w:line="360" w:lineRule="auto"/>
        <w:ind w:left="720"/>
        <w:jc w:val="both"/>
        <w:rPr>
          <w:rFonts w:asciiTheme="majorBidi" w:hAnsiTheme="majorBidi" w:cstheme="majorBidi"/>
        </w:rPr>
      </w:pPr>
    </w:p>
    <w:p w14:paraId="71199961" w14:textId="43DEC0C4" w:rsidR="001157B9" w:rsidRDefault="005769F6" w:rsidP="005769F6">
      <w:pPr>
        <w:pStyle w:val="Heading1"/>
        <w:numPr>
          <w:ilvl w:val="1"/>
          <w:numId w:val="13"/>
        </w:numPr>
        <w:spacing w:line="360" w:lineRule="auto"/>
        <w:jc w:val="both"/>
      </w:pPr>
      <w:r>
        <w:t>G</w:t>
      </w:r>
      <w:r w:rsidR="001157B9" w:rsidRPr="003A4DEB">
        <w:t>enerative AI statements. </w:t>
      </w:r>
    </w:p>
    <w:p w14:paraId="6082BAD3" w14:textId="199DD9CF" w:rsidR="005769F6" w:rsidRPr="005769F6" w:rsidRDefault="005769F6" w:rsidP="005769F6">
      <w:pPr>
        <w:jc w:val="both"/>
        <w:rPr>
          <w:rFonts w:asciiTheme="majorBidi" w:hAnsiTheme="majorBidi" w:cstheme="majorBidi"/>
        </w:rPr>
      </w:pPr>
      <w:r w:rsidRPr="005769F6">
        <w:rPr>
          <w:rFonts w:asciiTheme="majorBidi" w:hAnsiTheme="majorBidi" w:cstheme="majorBidi"/>
        </w:rPr>
        <w:t xml:space="preserve">During the preparation of this work, the </w:t>
      </w:r>
      <w:proofErr w:type="spellStart"/>
      <w:r w:rsidRPr="005769F6">
        <w:rPr>
          <w:rFonts w:asciiTheme="majorBidi" w:hAnsiTheme="majorBidi" w:cstheme="majorBidi"/>
        </w:rPr>
        <w:t>autho</w:t>
      </w:r>
      <w:proofErr w:type="spellEnd"/>
      <w:r w:rsidRPr="005769F6">
        <w:rPr>
          <w:rFonts w:asciiTheme="majorBidi" w:hAnsiTheme="majorBidi" w:cstheme="majorBidi"/>
        </w:rPr>
        <w:t xml:space="preserve"> used Gemini </w:t>
      </w:r>
      <w:r w:rsidRPr="005769F6">
        <w:rPr>
          <w:rFonts w:asciiTheme="majorBidi" w:hAnsiTheme="majorBidi" w:cstheme="majorBidi"/>
        </w:rPr>
        <w:t>to</w:t>
      </w:r>
      <w:r w:rsidRPr="005769F6">
        <w:rPr>
          <w:rFonts w:asciiTheme="majorBidi" w:hAnsiTheme="majorBidi" w:cstheme="majorBidi"/>
        </w:rPr>
        <w:t xml:space="preserve"> assist with language refinement and editing. After using this tool, the author reviewed and edited the content as needed and takes full responsibility for the content of the publication.</w:t>
      </w:r>
    </w:p>
    <w:p w14:paraId="66A4D7A0" w14:textId="77777777" w:rsidR="005655D1" w:rsidRPr="00984C3A" w:rsidRDefault="005655D1" w:rsidP="003A4DEB">
      <w:pPr>
        <w:pStyle w:val="Heading1"/>
        <w:numPr>
          <w:ilvl w:val="0"/>
          <w:numId w:val="13"/>
        </w:numPr>
        <w:spacing w:line="360" w:lineRule="auto"/>
        <w:jc w:val="both"/>
      </w:pPr>
      <w:r w:rsidRPr="00984C3A">
        <w:t>References</w:t>
      </w:r>
    </w:p>
    <w:p w14:paraId="58E39DDE"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Abdullah SH, 2024. Avian cryptosporidiosis overview with species affecting chickens and other birds. Egyptian Journal of Veterinary Sciences 55. </w:t>
      </w:r>
      <w:hyperlink r:id="rId7" w:tgtFrame="_blank" w:history="1">
        <w:r w:rsidRPr="00984C3A">
          <w:rPr>
            <w:rStyle w:val="Hyperlink"/>
            <w:rFonts w:asciiTheme="majorBidi" w:hAnsiTheme="majorBidi" w:cstheme="majorBidi"/>
          </w:rPr>
          <w:t>https://doi.org/10.21608/ejvs.2023.168364.1448</w:t>
        </w:r>
      </w:hyperlink>
    </w:p>
    <w:p w14:paraId="2F2C20BF"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Ali M, Xu C and Xiao L, 2024. Food and waterborne cryptosporidiosis: a One-Health review. Microorganisms 12: 1256. </w:t>
      </w:r>
      <w:hyperlink r:id="rId8" w:tgtFrame="_blank" w:history="1">
        <w:r w:rsidRPr="00984C3A">
          <w:rPr>
            <w:rStyle w:val="Hyperlink"/>
            <w:rFonts w:asciiTheme="majorBidi" w:hAnsiTheme="majorBidi" w:cstheme="majorBidi"/>
          </w:rPr>
          <w:t>https://doi.org/10.3390/microorganisms12061256</w:t>
        </w:r>
      </w:hyperlink>
    </w:p>
    <w:p w14:paraId="4AF103B9"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Al-Jubori SS, Al-</w:t>
      </w:r>
      <w:proofErr w:type="spellStart"/>
      <w:r w:rsidRPr="00984C3A">
        <w:rPr>
          <w:rFonts w:asciiTheme="majorBidi" w:hAnsiTheme="majorBidi" w:cstheme="majorBidi"/>
        </w:rPr>
        <w:t>Kubaisy</w:t>
      </w:r>
      <w:proofErr w:type="spellEnd"/>
      <w:r w:rsidRPr="00984C3A">
        <w:rPr>
          <w:rFonts w:asciiTheme="majorBidi" w:hAnsiTheme="majorBidi" w:cstheme="majorBidi"/>
        </w:rPr>
        <w:t xml:space="preserve"> AH and Al-Kinani LK, 2023. Molecular detection of Cryptosporidium species in domestic chickens. Iranian Journal of Ichthyology 10: 45-52.</w:t>
      </w:r>
    </w:p>
    <w:p w14:paraId="1B289CDC"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Al-Natour MQ, Suleiman MM and Abo-Shehada MN, 2005. Flock-level prevalence of Eimeria species among broiler chicks in northern Jordan. International Journal of Poultry Science 4: 491-496. </w:t>
      </w:r>
      <w:hyperlink r:id="rId9" w:tgtFrame="_blank" w:history="1">
        <w:r w:rsidRPr="00984C3A">
          <w:rPr>
            <w:rStyle w:val="Hyperlink"/>
            <w:rFonts w:asciiTheme="majorBidi" w:hAnsiTheme="majorBidi" w:cstheme="majorBidi"/>
          </w:rPr>
          <w:t>https://doi.org/10.3923/ijps.2005.491.496</w:t>
        </w:r>
      </w:hyperlink>
    </w:p>
    <w:p w14:paraId="001676CC"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Al-Saad KM, Al-Bayati NY and Al-</w:t>
      </w:r>
      <w:proofErr w:type="spellStart"/>
      <w:r w:rsidRPr="00984C3A">
        <w:rPr>
          <w:rFonts w:asciiTheme="majorBidi" w:hAnsiTheme="majorBidi" w:cstheme="majorBidi"/>
        </w:rPr>
        <w:t>Azawy</w:t>
      </w:r>
      <w:proofErr w:type="spellEnd"/>
      <w:r w:rsidRPr="00984C3A">
        <w:rPr>
          <w:rFonts w:asciiTheme="majorBidi" w:hAnsiTheme="majorBidi" w:cstheme="majorBidi"/>
        </w:rPr>
        <w:t xml:space="preserve"> KH, 2016. Molecular characterization of Cryptosporidium spp. in broiler chickens in Syria. Veterinary Parasitology: Regional Studies and Reports 5: 37-41. </w:t>
      </w:r>
      <w:hyperlink r:id="rId10" w:tgtFrame="_blank" w:history="1">
        <w:r w:rsidRPr="00984C3A">
          <w:rPr>
            <w:rStyle w:val="Hyperlink"/>
            <w:rFonts w:asciiTheme="majorBidi" w:hAnsiTheme="majorBidi" w:cstheme="majorBidi"/>
          </w:rPr>
          <w:t>https://doi.org/10.1016/j.vprsr.2016.08.003</w:t>
        </w:r>
      </w:hyperlink>
    </w:p>
    <w:p w14:paraId="78D81F89"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American Society for Microbiology, 2020. Modified acid-fast staining protocol for Cryptosporidium spp. In: Clinical Microbiology Procedures Handbook, 4th ed. ASM Press, Washington DC.</w:t>
      </w:r>
    </w:p>
    <w:p w14:paraId="163ECA27"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Aurum Biotech, 2025. SOP for Fecal Flotation Test for Detection of Eimeria Oocysts (SOP ID: Aur-0015, Version 2.0).</w:t>
      </w:r>
    </w:p>
    <w:p w14:paraId="01DDF358" w14:textId="68661CE2"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Blake DP, Knox J, </w:t>
      </w:r>
      <w:proofErr w:type="spellStart"/>
      <w:r w:rsidRPr="00984C3A">
        <w:rPr>
          <w:rFonts w:asciiTheme="majorBidi" w:hAnsiTheme="majorBidi" w:cstheme="majorBidi"/>
        </w:rPr>
        <w:t>Dehaeck</w:t>
      </w:r>
      <w:proofErr w:type="spellEnd"/>
      <w:r w:rsidRPr="00984C3A">
        <w:rPr>
          <w:rFonts w:asciiTheme="majorBidi" w:hAnsiTheme="majorBidi" w:cstheme="majorBidi"/>
        </w:rPr>
        <w:t xml:space="preserve"> B, Huntington B, Rathinam T, Ravipati V et al</w:t>
      </w:r>
      <w:r w:rsidR="00984C3A" w:rsidRPr="00984C3A">
        <w:rPr>
          <w:rFonts w:asciiTheme="majorBidi" w:hAnsiTheme="majorBidi" w:cstheme="majorBidi"/>
        </w:rPr>
        <w:t>.</w:t>
      </w:r>
      <w:r w:rsidRPr="00984C3A">
        <w:rPr>
          <w:rFonts w:asciiTheme="majorBidi" w:hAnsiTheme="majorBidi" w:cstheme="majorBidi"/>
        </w:rPr>
        <w:t xml:space="preserve"> 2020. Re-calculating the cost of coccidiosis in chickens. Veterinary Research 51: 115. </w:t>
      </w:r>
      <w:hyperlink r:id="rId11" w:tgtFrame="_blank" w:history="1">
        <w:r w:rsidRPr="00984C3A">
          <w:rPr>
            <w:rStyle w:val="Hyperlink"/>
            <w:rFonts w:asciiTheme="majorBidi" w:hAnsiTheme="majorBidi" w:cstheme="majorBidi"/>
          </w:rPr>
          <w:t>https://doi.org/10.1186/s13567-020-00837-2</w:t>
        </w:r>
      </w:hyperlink>
    </w:p>
    <w:p w14:paraId="3ACD1AC9"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Cao S, Xu H and Zhang L, 2020. Prevalence and genetic characterization of Cryptosporidium, Giardia, and microsporidia in chickens. Frontiers in Veterinary Science 7: 30. </w:t>
      </w:r>
      <w:hyperlink r:id="rId12" w:tgtFrame="_blank" w:history="1">
        <w:r w:rsidRPr="00984C3A">
          <w:rPr>
            <w:rStyle w:val="Hyperlink"/>
            <w:rFonts w:asciiTheme="majorBidi" w:hAnsiTheme="majorBidi" w:cstheme="majorBidi"/>
          </w:rPr>
          <w:t>https://doi.org/10.3389/fvets.2020.00030</w:t>
        </w:r>
      </w:hyperlink>
    </w:p>
    <w:p w14:paraId="6989641D"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Chapman HD, 2014. Milestones in avian coccidiosis research: A review. Poultry Science 93: 501-511. </w:t>
      </w:r>
      <w:hyperlink r:id="rId13" w:tgtFrame="_blank" w:history="1">
        <w:r w:rsidRPr="00984C3A">
          <w:rPr>
            <w:rStyle w:val="Hyperlink"/>
            <w:rFonts w:asciiTheme="majorBidi" w:hAnsiTheme="majorBidi" w:cstheme="majorBidi"/>
          </w:rPr>
          <w:t>https://doi.org/10.3382/ps.2013-03634</w:t>
        </w:r>
      </w:hyperlink>
    </w:p>
    <w:p w14:paraId="56D2AE3C"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Current WL and Garcia LS, 1991. Cryptosporidiosis. Clinical Microbiology Reviews 4: 325-358. </w:t>
      </w:r>
      <w:hyperlink r:id="rId14" w:tgtFrame="_blank" w:history="1">
        <w:r w:rsidRPr="00984C3A">
          <w:rPr>
            <w:rStyle w:val="Hyperlink"/>
            <w:rFonts w:asciiTheme="majorBidi" w:hAnsiTheme="majorBidi" w:cstheme="majorBidi"/>
          </w:rPr>
          <w:t>https://doi.org/10.1128/CMR.4.3.325</w:t>
        </w:r>
      </w:hyperlink>
    </w:p>
    <w:p w14:paraId="6B731DBE"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Dalloul RA and </w:t>
      </w:r>
      <w:proofErr w:type="spellStart"/>
      <w:r w:rsidRPr="00984C3A">
        <w:rPr>
          <w:rFonts w:asciiTheme="majorBidi" w:hAnsiTheme="majorBidi" w:cstheme="majorBidi"/>
        </w:rPr>
        <w:t>Lillehoj</w:t>
      </w:r>
      <w:proofErr w:type="spellEnd"/>
      <w:r w:rsidRPr="00984C3A">
        <w:rPr>
          <w:rFonts w:asciiTheme="majorBidi" w:hAnsiTheme="majorBidi" w:cstheme="majorBidi"/>
        </w:rPr>
        <w:t xml:space="preserve"> HS, 2005. Recent advances in immunomodulation and vaccination strategies against coccidiosis. Avian Diseases 49: 1-8. </w:t>
      </w:r>
      <w:hyperlink r:id="rId15" w:tgtFrame="_blank" w:history="1">
        <w:r w:rsidRPr="00984C3A">
          <w:rPr>
            <w:rStyle w:val="Hyperlink"/>
            <w:rFonts w:asciiTheme="majorBidi" w:hAnsiTheme="majorBidi" w:cstheme="majorBidi"/>
          </w:rPr>
          <w:t>https://doi.org/10.1637/7306-11174R</w:t>
        </w:r>
      </w:hyperlink>
    </w:p>
    <w:p w14:paraId="3A48FC15"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DWI (Drinking Water Inspectorate), 2009. Review of Disinfection and Associated Studies for Drinking Water (DWI Report No. 0805). DWI, London.</w:t>
      </w:r>
    </w:p>
    <w:p w14:paraId="1CFB876D"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Egan S, O'Dwyer J and Chique C, 2024. Risk of wild birds contaminating source water with Cryptosporidium and Giardia. Science of the Total Environment 916: 170117. </w:t>
      </w:r>
      <w:hyperlink r:id="rId16" w:tgtFrame="_blank" w:history="1">
        <w:r w:rsidRPr="00984C3A">
          <w:rPr>
            <w:rStyle w:val="Hyperlink"/>
            <w:rFonts w:asciiTheme="majorBidi" w:hAnsiTheme="majorBidi" w:cstheme="majorBidi"/>
          </w:rPr>
          <w:t>https://doi.org/10.1016/j.scitotenv.2024.170117</w:t>
        </w:r>
      </w:hyperlink>
    </w:p>
    <w:p w14:paraId="7887133F"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El-Sherry S, </w:t>
      </w:r>
      <w:proofErr w:type="spellStart"/>
      <w:r w:rsidRPr="00984C3A">
        <w:rPr>
          <w:rFonts w:asciiTheme="majorBidi" w:hAnsiTheme="majorBidi" w:cstheme="majorBidi"/>
        </w:rPr>
        <w:t>Ogedengbe</w:t>
      </w:r>
      <w:proofErr w:type="spellEnd"/>
      <w:r w:rsidRPr="00984C3A">
        <w:rPr>
          <w:rFonts w:asciiTheme="majorBidi" w:hAnsiTheme="majorBidi" w:cstheme="majorBidi"/>
        </w:rPr>
        <w:t xml:space="preserve"> ME and Hafeez MA, 2014. Molecular characterization of Eimeria species in broiler chickens from Egypt. Parasitology Research 113: 4407-4415. </w:t>
      </w:r>
      <w:hyperlink r:id="rId17" w:tgtFrame="_blank" w:history="1">
        <w:r w:rsidRPr="00984C3A">
          <w:rPr>
            <w:rStyle w:val="Hyperlink"/>
            <w:rFonts w:asciiTheme="majorBidi" w:hAnsiTheme="majorBidi" w:cstheme="majorBidi"/>
          </w:rPr>
          <w:t>https://doi.org/10.1007/s00436-014-4118-3</w:t>
        </w:r>
      </w:hyperlink>
    </w:p>
    <w:p w14:paraId="70FA4FFE"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Essam A, </w:t>
      </w:r>
      <w:proofErr w:type="spellStart"/>
      <w:r w:rsidRPr="00984C3A">
        <w:rPr>
          <w:rFonts w:asciiTheme="majorBidi" w:hAnsiTheme="majorBidi" w:cstheme="majorBidi"/>
        </w:rPr>
        <w:t>Elsify</w:t>
      </w:r>
      <w:proofErr w:type="spellEnd"/>
      <w:r w:rsidRPr="00984C3A">
        <w:rPr>
          <w:rFonts w:asciiTheme="majorBidi" w:hAnsiTheme="majorBidi" w:cstheme="majorBidi"/>
        </w:rPr>
        <w:t xml:space="preserve"> A and Fayed A, 2025. Occurrence and molecular characterization of Cryptosporidium oocysts in chickens; global meta-analysis. Veterinary Parasitology: Regional Studies and Reports 47: 101032. </w:t>
      </w:r>
      <w:hyperlink r:id="rId18" w:tgtFrame="_blank" w:history="1">
        <w:r w:rsidRPr="00984C3A">
          <w:rPr>
            <w:rStyle w:val="Hyperlink"/>
            <w:rFonts w:asciiTheme="majorBidi" w:hAnsiTheme="majorBidi" w:cstheme="majorBidi"/>
          </w:rPr>
          <w:t>https://doi.org/10.1016/j.vprsr.2024.101032</w:t>
        </w:r>
      </w:hyperlink>
    </w:p>
    <w:p w14:paraId="4DDBCA12"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Feng X, Zhang L and Wang R, 2022. Genetic characterization of Cryptosporidium in chickens in China. Parasite 29: 30. </w:t>
      </w:r>
      <w:hyperlink r:id="rId19" w:tgtFrame="_blank" w:history="1">
        <w:r w:rsidRPr="00984C3A">
          <w:rPr>
            <w:rStyle w:val="Hyperlink"/>
            <w:rFonts w:asciiTheme="majorBidi" w:hAnsiTheme="majorBidi" w:cstheme="majorBidi"/>
          </w:rPr>
          <w:t>https://doi.org/10.1051/parasite/2022028</w:t>
        </w:r>
      </w:hyperlink>
    </w:p>
    <w:p w14:paraId="03E3E5B1"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Gill J, Sharma S and Kumar R, 2022. Prospects of </w:t>
      </w:r>
      <w:proofErr w:type="spellStart"/>
      <w:r w:rsidRPr="00984C3A">
        <w:rPr>
          <w:rFonts w:asciiTheme="majorBidi" w:hAnsiTheme="majorBidi" w:cstheme="majorBidi"/>
        </w:rPr>
        <w:t>halofuginone</w:t>
      </w:r>
      <w:proofErr w:type="spellEnd"/>
      <w:r w:rsidRPr="00984C3A">
        <w:rPr>
          <w:rFonts w:asciiTheme="majorBidi" w:hAnsiTheme="majorBidi" w:cstheme="majorBidi"/>
        </w:rPr>
        <w:t xml:space="preserve"> as an antiprotozoal scaffold. Drug Discovery Today 27: 103380. </w:t>
      </w:r>
      <w:hyperlink r:id="rId20" w:tgtFrame="_blank" w:history="1">
        <w:r w:rsidRPr="00984C3A">
          <w:rPr>
            <w:rStyle w:val="Hyperlink"/>
            <w:rFonts w:asciiTheme="majorBidi" w:hAnsiTheme="majorBidi" w:cstheme="majorBidi"/>
          </w:rPr>
          <w:t>https://doi.org/10.1016/j.drudis.2022.103380</w:t>
        </w:r>
      </w:hyperlink>
    </w:p>
    <w:p w14:paraId="58EF5FE9"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Goodwin MA, Latimer KS and Brown J, 1990. Effect of Cryptosporidium baileyi on broilers infected at 26 days of age. Avian Diseases 34: 603-607. </w:t>
      </w:r>
      <w:hyperlink r:id="rId21" w:tgtFrame="_blank" w:history="1">
        <w:r w:rsidRPr="00984C3A">
          <w:rPr>
            <w:rStyle w:val="Hyperlink"/>
            <w:rFonts w:asciiTheme="majorBidi" w:hAnsiTheme="majorBidi" w:cstheme="majorBidi"/>
          </w:rPr>
          <w:t>https://doi.org/10.2307/1591248</w:t>
        </w:r>
      </w:hyperlink>
    </w:p>
    <w:p w14:paraId="723F58B7"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Györke A, Pop L and Cozma V, 2013. Prevalence and distribution of Eimeria species in broiler chicken farms of Cluj County, Romania. Scientific Papers: Animal Science and Biotechnologies 46: 256-259.</w:t>
      </w:r>
    </w:p>
    <w:p w14:paraId="033B53FA"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Helmy YA, 2022. Cryptosporidiosis: from prevention to </w:t>
      </w:r>
      <w:proofErr w:type="gramStart"/>
      <w:r w:rsidRPr="00984C3A">
        <w:rPr>
          <w:rFonts w:asciiTheme="majorBidi" w:hAnsiTheme="majorBidi" w:cstheme="majorBidi"/>
        </w:rPr>
        <w:t>treatment—a</w:t>
      </w:r>
      <w:proofErr w:type="gramEnd"/>
      <w:r w:rsidRPr="00984C3A">
        <w:rPr>
          <w:rFonts w:asciiTheme="majorBidi" w:hAnsiTheme="majorBidi" w:cstheme="majorBidi"/>
        </w:rPr>
        <w:t xml:space="preserve"> comprehensive review. Microorganisms 10: 2456. </w:t>
      </w:r>
      <w:hyperlink r:id="rId22" w:tgtFrame="_blank" w:history="1">
        <w:r w:rsidRPr="00984C3A">
          <w:rPr>
            <w:rStyle w:val="Hyperlink"/>
            <w:rFonts w:asciiTheme="majorBidi" w:hAnsiTheme="majorBidi" w:cstheme="majorBidi"/>
          </w:rPr>
          <w:t>https://doi.org/10.3390/microorganisms10122456</w:t>
        </w:r>
      </w:hyperlink>
    </w:p>
    <w:p w14:paraId="16115C17"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proofErr w:type="spellStart"/>
      <w:r w:rsidRPr="00984C3A">
        <w:rPr>
          <w:rFonts w:asciiTheme="majorBidi" w:hAnsiTheme="majorBidi" w:cstheme="majorBidi"/>
        </w:rPr>
        <w:t>Hijjawi</w:t>
      </w:r>
      <w:proofErr w:type="spellEnd"/>
      <w:r w:rsidRPr="00984C3A">
        <w:rPr>
          <w:rFonts w:asciiTheme="majorBidi" w:hAnsiTheme="majorBidi" w:cstheme="majorBidi"/>
        </w:rPr>
        <w:t xml:space="preserve"> N, </w:t>
      </w:r>
      <w:proofErr w:type="spellStart"/>
      <w:r w:rsidRPr="00984C3A">
        <w:rPr>
          <w:rFonts w:asciiTheme="majorBidi" w:hAnsiTheme="majorBidi" w:cstheme="majorBidi"/>
        </w:rPr>
        <w:t>Mukbel</w:t>
      </w:r>
      <w:proofErr w:type="spellEnd"/>
      <w:r w:rsidRPr="00984C3A">
        <w:rPr>
          <w:rFonts w:asciiTheme="majorBidi" w:hAnsiTheme="majorBidi" w:cstheme="majorBidi"/>
        </w:rPr>
        <w:t xml:space="preserve"> R, Yang R and Ryan U, 2016. Genetic characterization of Cryptosporidium in livestock in Jordan. Veterinary Parasitology 228: 116-120. </w:t>
      </w:r>
      <w:hyperlink r:id="rId23" w:tgtFrame="_blank" w:history="1">
        <w:r w:rsidRPr="00984C3A">
          <w:rPr>
            <w:rStyle w:val="Hyperlink"/>
            <w:rFonts w:asciiTheme="majorBidi" w:hAnsiTheme="majorBidi" w:cstheme="majorBidi"/>
          </w:rPr>
          <w:t>https://doi.org/10.1016/j.vetpar.2016.08.015</w:t>
        </w:r>
      </w:hyperlink>
    </w:p>
    <w:p w14:paraId="33068FA9"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Johnson J and Reid WM, 1970. Anticoccidial drugs: lesion scoring techniques in battery and floor-pen experiments with chickens. Experimental Parasitology 28: 30-36. </w:t>
      </w:r>
      <w:hyperlink r:id="rId24" w:tgtFrame="_blank" w:history="1">
        <w:r w:rsidRPr="00984C3A">
          <w:rPr>
            <w:rStyle w:val="Hyperlink"/>
            <w:rFonts w:asciiTheme="majorBidi" w:hAnsiTheme="majorBidi" w:cstheme="majorBidi"/>
          </w:rPr>
          <w:t>https://doi.org/10.1016/0014-4894(70)90063-9</w:t>
        </w:r>
      </w:hyperlink>
    </w:p>
    <w:p w14:paraId="1DC224CE"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Khan SM, Zhang Y and Guan G, 2023. Past, current, and potential treatments for cryptosporidiosis. Frontiers in Cellular and Infection Microbiology 13: 1115522. </w:t>
      </w:r>
      <w:hyperlink r:id="rId25" w:tgtFrame="_blank" w:history="1">
        <w:r w:rsidRPr="00984C3A">
          <w:rPr>
            <w:rStyle w:val="Hyperlink"/>
            <w:rFonts w:asciiTheme="majorBidi" w:hAnsiTheme="majorBidi" w:cstheme="majorBidi"/>
          </w:rPr>
          <w:t>https://doi.org/10.3389/fcimb.2023.1115522</w:t>
        </w:r>
      </w:hyperlink>
    </w:p>
    <w:p w14:paraId="3C0AC795"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Koehler AV, Haydon SR, Jex AR and Gasser RB, 2017. A new nested PCR-based method for Cryptosporidium detection. Parasites and Vectors 10: 509. </w:t>
      </w:r>
      <w:hyperlink r:id="rId26" w:tgtFrame="_blank" w:history="1">
        <w:r w:rsidRPr="00984C3A">
          <w:rPr>
            <w:rStyle w:val="Hyperlink"/>
            <w:rFonts w:asciiTheme="majorBidi" w:hAnsiTheme="majorBidi" w:cstheme="majorBidi"/>
          </w:rPr>
          <w:t>https://doi.org/10.1186/s13071-017-2454-8</w:t>
        </w:r>
      </w:hyperlink>
    </w:p>
    <w:p w14:paraId="04976351"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Kumar S, Garg R and Moftah A, 2014. Molecular tools for diagnosis of avian coccidiosis. Parasitology Research 113: 431-442. </w:t>
      </w:r>
      <w:hyperlink r:id="rId27" w:tgtFrame="_blank" w:history="1">
        <w:r w:rsidRPr="00984C3A">
          <w:rPr>
            <w:rStyle w:val="Hyperlink"/>
            <w:rFonts w:asciiTheme="majorBidi" w:hAnsiTheme="majorBidi" w:cstheme="majorBidi"/>
          </w:rPr>
          <w:t>https://doi.org/10.1007/s00436-013-3694-y</w:t>
        </w:r>
      </w:hyperlink>
    </w:p>
    <w:p w14:paraId="3EC9D924"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Kurniawan A, </w:t>
      </w:r>
      <w:proofErr w:type="spellStart"/>
      <w:r w:rsidRPr="00984C3A">
        <w:rPr>
          <w:rFonts w:asciiTheme="majorBidi" w:hAnsiTheme="majorBidi" w:cstheme="majorBidi"/>
        </w:rPr>
        <w:t>Dwintasari</w:t>
      </w:r>
      <w:proofErr w:type="spellEnd"/>
      <w:r w:rsidRPr="00984C3A">
        <w:rPr>
          <w:rFonts w:asciiTheme="majorBidi" w:hAnsiTheme="majorBidi" w:cstheme="majorBidi"/>
        </w:rPr>
        <w:t xml:space="preserve"> SW, </w:t>
      </w:r>
      <w:proofErr w:type="spellStart"/>
      <w:r w:rsidRPr="00984C3A">
        <w:rPr>
          <w:rFonts w:asciiTheme="majorBidi" w:hAnsiTheme="majorBidi" w:cstheme="majorBidi"/>
        </w:rPr>
        <w:t>Soetemonggolo</w:t>
      </w:r>
      <w:proofErr w:type="spellEnd"/>
      <w:r w:rsidRPr="00984C3A">
        <w:rPr>
          <w:rFonts w:asciiTheme="majorBidi" w:hAnsiTheme="majorBidi" w:cstheme="majorBidi"/>
        </w:rPr>
        <w:t xml:space="preserve"> HA and </w:t>
      </w:r>
      <w:proofErr w:type="spellStart"/>
      <w:r w:rsidRPr="00984C3A">
        <w:rPr>
          <w:rFonts w:asciiTheme="majorBidi" w:hAnsiTheme="majorBidi" w:cstheme="majorBidi"/>
        </w:rPr>
        <w:t>Wanandi</w:t>
      </w:r>
      <w:proofErr w:type="spellEnd"/>
      <w:r w:rsidRPr="00984C3A">
        <w:rPr>
          <w:rFonts w:asciiTheme="majorBidi" w:hAnsiTheme="majorBidi" w:cstheme="majorBidi"/>
        </w:rPr>
        <w:t xml:space="preserve"> SI, 2009. Detection of Cryptosporidium sp. infection by PCR and modified acid-fast staining from potassium dichromate preserved stool. Medical Journal of Indonesia 18: 149-154. </w:t>
      </w:r>
      <w:hyperlink r:id="rId28" w:tgtFrame="_blank" w:history="1">
        <w:r w:rsidRPr="00984C3A">
          <w:rPr>
            <w:rStyle w:val="Hyperlink"/>
            <w:rFonts w:asciiTheme="majorBidi" w:hAnsiTheme="majorBidi" w:cstheme="majorBidi"/>
          </w:rPr>
          <w:t>https://doi.org/10.13181/mji.v18i3.357</w:t>
        </w:r>
      </w:hyperlink>
    </w:p>
    <w:p w14:paraId="609C1530"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Lew AE, Anderson GR, Minchin CM, Jeston PJ and Jorgensen WK, 2003. PCR detection of the ITS-1 region of Eimeria species. Molecular and Cellular Probes 17: 101-109. </w:t>
      </w:r>
      <w:hyperlink r:id="rId29" w:tgtFrame="_blank" w:history="1">
        <w:r w:rsidRPr="00984C3A">
          <w:rPr>
            <w:rStyle w:val="Hyperlink"/>
            <w:rFonts w:asciiTheme="majorBidi" w:hAnsiTheme="majorBidi" w:cstheme="majorBidi"/>
          </w:rPr>
          <w:t>https://doi.org/10.1016/S0890-8508(03)00020-0</w:t>
        </w:r>
      </w:hyperlink>
    </w:p>
    <w:p w14:paraId="5EE5CDD8"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Li J, Wang H and Liu Y, 2023. Waterline treatment in laying hens using slightly acidic electrolyzed water. Animals 13: 3200. </w:t>
      </w:r>
      <w:hyperlink r:id="rId30" w:tgtFrame="_blank" w:history="1">
        <w:r w:rsidRPr="00984C3A">
          <w:rPr>
            <w:rStyle w:val="Hyperlink"/>
            <w:rFonts w:asciiTheme="majorBidi" w:hAnsiTheme="majorBidi" w:cstheme="majorBidi"/>
          </w:rPr>
          <w:t>https://doi.org/10.3390/ani13203200</w:t>
        </w:r>
      </w:hyperlink>
    </w:p>
    <w:p w14:paraId="3116B787"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Li W, Feng Y and Xiao L, 2024. Global prevalence and molecular diversity of Cryptosporidium in chickens: A meta-analysis. Parasites and Vectors 17: 38. </w:t>
      </w:r>
      <w:hyperlink r:id="rId31" w:tgtFrame="_blank" w:history="1">
        <w:r w:rsidRPr="00984C3A">
          <w:rPr>
            <w:rStyle w:val="Hyperlink"/>
            <w:rFonts w:asciiTheme="majorBidi" w:hAnsiTheme="majorBidi" w:cstheme="majorBidi"/>
          </w:rPr>
          <w:t>https://doi.org/10.1186/s13071-024-06147-4</w:t>
        </w:r>
      </w:hyperlink>
    </w:p>
    <w:p w14:paraId="4F8B8AA3"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Lin X, Chen L and Wang Y, 2022. Dominance of Cryptosporidium </w:t>
      </w:r>
      <w:proofErr w:type="spellStart"/>
      <w:r w:rsidRPr="00984C3A">
        <w:rPr>
          <w:rFonts w:asciiTheme="majorBidi" w:hAnsiTheme="majorBidi" w:cstheme="majorBidi"/>
        </w:rPr>
        <w:t>meleagridis</w:t>
      </w:r>
      <w:proofErr w:type="spellEnd"/>
      <w:r w:rsidRPr="00984C3A">
        <w:rPr>
          <w:rFonts w:asciiTheme="majorBidi" w:hAnsiTheme="majorBidi" w:cstheme="majorBidi"/>
        </w:rPr>
        <w:t xml:space="preserve"> with human-overlapping subtypes in chickens. One Health 14: 100392. </w:t>
      </w:r>
      <w:hyperlink r:id="rId32" w:tgtFrame="_blank" w:history="1">
        <w:r w:rsidRPr="00984C3A">
          <w:rPr>
            <w:rStyle w:val="Hyperlink"/>
            <w:rFonts w:asciiTheme="majorBidi" w:hAnsiTheme="majorBidi" w:cstheme="majorBidi"/>
          </w:rPr>
          <w:t>https://doi.org/10.1016/j.onehlt.2022.100392</w:t>
        </w:r>
      </w:hyperlink>
    </w:p>
    <w:p w14:paraId="37526BD4"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Lindsay DS, Blagburn BL and Sundermann CA, 1987. Chemoprophylaxis of Cryptosporidium baileyi in chicks: </w:t>
      </w:r>
      <w:proofErr w:type="spellStart"/>
      <w:r w:rsidRPr="00984C3A">
        <w:rPr>
          <w:rFonts w:asciiTheme="majorBidi" w:hAnsiTheme="majorBidi" w:cstheme="majorBidi"/>
        </w:rPr>
        <w:t>halofuginone</w:t>
      </w:r>
      <w:proofErr w:type="spellEnd"/>
      <w:r w:rsidRPr="00984C3A">
        <w:rPr>
          <w:rFonts w:asciiTheme="majorBidi" w:hAnsiTheme="majorBidi" w:cstheme="majorBidi"/>
        </w:rPr>
        <w:t xml:space="preserve"> and ionophores ineffective. Avian Diseases 31: 318-320. </w:t>
      </w:r>
      <w:hyperlink r:id="rId33" w:tgtFrame="_blank" w:history="1">
        <w:r w:rsidRPr="00984C3A">
          <w:rPr>
            <w:rStyle w:val="Hyperlink"/>
            <w:rFonts w:asciiTheme="majorBidi" w:hAnsiTheme="majorBidi" w:cstheme="majorBidi"/>
          </w:rPr>
          <w:t>https://doi.org/10.2307/1590879</w:t>
        </w:r>
      </w:hyperlink>
    </w:p>
    <w:p w14:paraId="6FFF6AF8"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Long PL and Joyner LP, 1984. Problems in the identification of species of Eimeria. Journal of Protozoology 31: 535-541. </w:t>
      </w:r>
      <w:hyperlink r:id="rId34" w:tgtFrame="_blank" w:history="1">
        <w:r w:rsidRPr="00984C3A">
          <w:rPr>
            <w:rStyle w:val="Hyperlink"/>
            <w:rFonts w:asciiTheme="majorBidi" w:hAnsiTheme="majorBidi" w:cstheme="majorBidi"/>
          </w:rPr>
          <w:t>https://doi.org/10.1111/j.1550-7408.1984.tb05505.x</w:t>
        </w:r>
      </w:hyperlink>
    </w:p>
    <w:p w14:paraId="34B7ACD2"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Morgan UM, Pallant L, Dwyer BW, Forbes DA, Rich G and Thompson RCA, 1998. Comparison of PCR and microscopy for detection of Cryptosporidium parvum in human fecal specimens. Journal of Clinical Microbiology 36: 995-998. </w:t>
      </w:r>
      <w:hyperlink r:id="rId35" w:tgtFrame="_blank" w:history="1">
        <w:r w:rsidRPr="00984C3A">
          <w:rPr>
            <w:rStyle w:val="Hyperlink"/>
            <w:rFonts w:asciiTheme="majorBidi" w:hAnsiTheme="majorBidi" w:cstheme="majorBidi"/>
          </w:rPr>
          <w:t>https://doi.org/10.1128/JCM.36.4.995-998.1998</w:t>
        </w:r>
      </w:hyperlink>
    </w:p>
    <w:p w14:paraId="056DD088"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Morris GM and Gasser RB, 2006. Biotechnological advances in the diagnosis of avian coccidiosis and the analysis of genetic variation in Eimeria. Biotechnology Advances 24: 590-603. </w:t>
      </w:r>
      <w:hyperlink r:id="rId36" w:tgtFrame="_blank" w:history="1">
        <w:r w:rsidRPr="00984C3A">
          <w:rPr>
            <w:rStyle w:val="Hyperlink"/>
            <w:rFonts w:asciiTheme="majorBidi" w:hAnsiTheme="majorBidi" w:cstheme="majorBidi"/>
          </w:rPr>
          <w:t>https://doi.org/10.1016/j.biotechadv.2006.06.001</w:t>
        </w:r>
      </w:hyperlink>
    </w:p>
    <w:p w14:paraId="60E59585"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Peek HW and Landman WJ, 2011. Coccidiosis in poultry: anticoccidial products, vaccines and other prevention strategies. Veterinary Quarterly 31: 143-161. </w:t>
      </w:r>
      <w:hyperlink r:id="rId37" w:tgtFrame="_blank" w:history="1">
        <w:r w:rsidRPr="00984C3A">
          <w:rPr>
            <w:rStyle w:val="Hyperlink"/>
            <w:rFonts w:asciiTheme="majorBidi" w:hAnsiTheme="majorBidi" w:cstheme="majorBidi"/>
          </w:rPr>
          <w:t>https://doi.org/10.1080/01652176.2011.605247</w:t>
        </w:r>
      </w:hyperlink>
    </w:p>
    <w:p w14:paraId="62A5FE49"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Piccirillo A, </w:t>
      </w:r>
      <w:proofErr w:type="spellStart"/>
      <w:r w:rsidRPr="00984C3A">
        <w:rPr>
          <w:rFonts w:asciiTheme="majorBidi" w:hAnsiTheme="majorBidi" w:cstheme="majorBidi"/>
        </w:rPr>
        <w:t>Menandro</w:t>
      </w:r>
      <w:proofErr w:type="spellEnd"/>
      <w:r w:rsidRPr="00984C3A">
        <w:rPr>
          <w:rFonts w:asciiTheme="majorBidi" w:hAnsiTheme="majorBidi" w:cstheme="majorBidi"/>
        </w:rPr>
        <w:t xml:space="preserve"> ML and Dotto G, 2024. Drinking water and biofilm in free-range broiler farms. Antibiotics 13: 808. </w:t>
      </w:r>
      <w:hyperlink r:id="rId38" w:tgtFrame="_blank" w:history="1">
        <w:r w:rsidRPr="00984C3A">
          <w:rPr>
            <w:rStyle w:val="Hyperlink"/>
            <w:rFonts w:asciiTheme="majorBidi" w:hAnsiTheme="majorBidi" w:cstheme="majorBidi"/>
          </w:rPr>
          <w:t>https://doi.org/10.3390/antibiotics13090808</w:t>
        </w:r>
      </w:hyperlink>
    </w:p>
    <w:p w14:paraId="151910BC"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Quílez J, Sánchez-Acedo C and del Cacho E, 2005. Efficacy of </w:t>
      </w:r>
      <w:proofErr w:type="spellStart"/>
      <w:r w:rsidRPr="00984C3A">
        <w:rPr>
          <w:rFonts w:asciiTheme="majorBidi" w:hAnsiTheme="majorBidi" w:cstheme="majorBidi"/>
        </w:rPr>
        <w:t>peroxygen</w:t>
      </w:r>
      <w:proofErr w:type="spellEnd"/>
      <w:r w:rsidRPr="00984C3A">
        <w:rPr>
          <w:rFonts w:asciiTheme="majorBidi" w:hAnsiTheme="majorBidi" w:cstheme="majorBidi"/>
        </w:rPr>
        <w:t xml:space="preserve"> disinfectants against Cryptosporidium parvum oocysts. Applied and Environmental Microbiology 71: 2479-2483. </w:t>
      </w:r>
      <w:hyperlink r:id="rId39" w:tgtFrame="_blank" w:history="1">
        <w:r w:rsidRPr="00984C3A">
          <w:rPr>
            <w:rStyle w:val="Hyperlink"/>
            <w:rFonts w:asciiTheme="majorBidi" w:hAnsiTheme="majorBidi" w:cstheme="majorBidi"/>
          </w:rPr>
          <w:t>https://doi.org/10.1128/AEM.71.4.2479-2483.2005</w:t>
        </w:r>
      </w:hyperlink>
    </w:p>
    <w:p w14:paraId="7DA3CA72"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proofErr w:type="spellStart"/>
      <w:r w:rsidRPr="00984C3A">
        <w:rPr>
          <w:rFonts w:asciiTheme="majorBidi" w:hAnsiTheme="majorBidi" w:cstheme="majorBidi"/>
        </w:rPr>
        <w:t>Raccoursier</w:t>
      </w:r>
      <w:proofErr w:type="spellEnd"/>
      <w:r w:rsidRPr="00984C3A">
        <w:rPr>
          <w:rFonts w:asciiTheme="majorBidi" w:hAnsiTheme="majorBidi" w:cstheme="majorBidi"/>
        </w:rPr>
        <w:t xml:space="preserve"> M and </w:t>
      </w:r>
      <w:proofErr w:type="spellStart"/>
      <w:r w:rsidRPr="00984C3A">
        <w:rPr>
          <w:rFonts w:asciiTheme="majorBidi" w:hAnsiTheme="majorBidi" w:cstheme="majorBidi"/>
        </w:rPr>
        <w:t>Senties</w:t>
      </w:r>
      <w:proofErr w:type="spellEnd"/>
      <w:r w:rsidRPr="00984C3A">
        <w:rPr>
          <w:rFonts w:asciiTheme="majorBidi" w:hAnsiTheme="majorBidi" w:cstheme="majorBidi"/>
        </w:rPr>
        <w:t>-Cue G, 2024. Respiratory cryptosporidiosis in a commercial broiler flock in Northeast Georgia. Avian Diseases 68: 334-341. </w:t>
      </w:r>
      <w:hyperlink r:id="rId40" w:tgtFrame="_blank" w:history="1">
        <w:r w:rsidRPr="00984C3A">
          <w:rPr>
            <w:rStyle w:val="Hyperlink"/>
            <w:rFonts w:asciiTheme="majorBidi" w:hAnsiTheme="majorBidi" w:cstheme="majorBidi"/>
          </w:rPr>
          <w:t>https://doi.org/10.1637/aviandiseases-D-24-00015</w:t>
        </w:r>
      </w:hyperlink>
    </w:p>
    <w:p w14:paraId="0F9A6291"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Ryan U, Fayer R and Xiao L, 2014. Cryptosporidium species in humans and animals: current understanding and research needs. Parasitology 141: 1667-1685. </w:t>
      </w:r>
      <w:hyperlink r:id="rId41" w:tgtFrame="_blank" w:history="1">
        <w:r w:rsidRPr="00984C3A">
          <w:rPr>
            <w:rStyle w:val="Hyperlink"/>
            <w:rFonts w:asciiTheme="majorBidi" w:hAnsiTheme="majorBidi" w:cstheme="majorBidi"/>
          </w:rPr>
          <w:t>https://doi.org/10.1017/S0031182014001085</w:t>
        </w:r>
      </w:hyperlink>
    </w:p>
    <w:p w14:paraId="30C3FE90"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Tůmová E, </w:t>
      </w:r>
      <w:proofErr w:type="spellStart"/>
      <w:r w:rsidRPr="00984C3A">
        <w:rPr>
          <w:rFonts w:asciiTheme="majorBidi" w:hAnsiTheme="majorBidi" w:cstheme="majorBidi"/>
        </w:rPr>
        <w:t>Skřivan</w:t>
      </w:r>
      <w:proofErr w:type="spellEnd"/>
      <w:r w:rsidRPr="00984C3A">
        <w:rPr>
          <w:rFonts w:asciiTheme="majorBidi" w:hAnsiTheme="majorBidi" w:cstheme="majorBidi"/>
        </w:rPr>
        <w:t xml:space="preserve"> M and </w:t>
      </w:r>
      <w:proofErr w:type="spellStart"/>
      <w:r w:rsidRPr="00984C3A">
        <w:rPr>
          <w:rFonts w:asciiTheme="majorBidi" w:hAnsiTheme="majorBidi" w:cstheme="majorBidi"/>
        </w:rPr>
        <w:t>Marounek</w:t>
      </w:r>
      <w:proofErr w:type="spellEnd"/>
      <w:r w:rsidRPr="00984C3A">
        <w:rPr>
          <w:rFonts w:asciiTheme="majorBidi" w:hAnsiTheme="majorBidi" w:cstheme="majorBidi"/>
        </w:rPr>
        <w:t xml:space="preserve"> M, 2002. Effect of Cryptosporidium baileyi infection on growth performance and nutrient digestibility in broiler chickens. Veterinary Parasitology 108: 119-123. </w:t>
      </w:r>
      <w:hyperlink r:id="rId42" w:tgtFrame="_blank" w:history="1">
        <w:r w:rsidRPr="00984C3A">
          <w:rPr>
            <w:rStyle w:val="Hyperlink"/>
            <w:rFonts w:asciiTheme="majorBidi" w:hAnsiTheme="majorBidi" w:cstheme="majorBidi"/>
          </w:rPr>
          <w:t>https://doi.org/10.1016/S0304-4017(02)00187-6</w:t>
        </w:r>
      </w:hyperlink>
    </w:p>
    <w:p w14:paraId="6A09A264"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Weir SC, Pokorny NJ and Carreno RA, 2002. Efficacy of common laboratory disinfectants against Cryptosporidium parvum oocysts. Applied and Environmental Microbiology 68: 2576-2579. </w:t>
      </w:r>
      <w:hyperlink r:id="rId43" w:tgtFrame="_blank" w:history="1">
        <w:r w:rsidRPr="00984C3A">
          <w:rPr>
            <w:rStyle w:val="Hyperlink"/>
            <w:rFonts w:asciiTheme="majorBidi" w:hAnsiTheme="majorBidi" w:cstheme="majorBidi"/>
          </w:rPr>
          <w:t>https://doi.org/10.1128/AEM.68.5.2576-2579.2002</w:t>
        </w:r>
      </w:hyperlink>
    </w:p>
    <w:p w14:paraId="0EA7CC7E"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Williams RB, 1999. A kinetic model of oocyst production by Eimeria species in chickens. Parasitology 118: 475-482. </w:t>
      </w:r>
      <w:hyperlink r:id="rId44" w:tgtFrame="_blank" w:history="1">
        <w:r w:rsidRPr="00984C3A">
          <w:rPr>
            <w:rStyle w:val="Hyperlink"/>
            <w:rFonts w:asciiTheme="majorBidi" w:hAnsiTheme="majorBidi" w:cstheme="majorBidi"/>
          </w:rPr>
          <w:t>https://doi.org/10.1017/S0031182099004095</w:t>
        </w:r>
      </w:hyperlink>
    </w:p>
    <w:p w14:paraId="565CC268"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Williams RB, 2005. Intercurrent coccidiosis and necrotic enteritis of chickens: rational, integrated disease management by maintenance of gut integrity. Avian Pathology 34: 159-180. </w:t>
      </w:r>
      <w:hyperlink r:id="rId45" w:tgtFrame="_blank" w:history="1">
        <w:r w:rsidRPr="00984C3A">
          <w:rPr>
            <w:rStyle w:val="Hyperlink"/>
            <w:rFonts w:asciiTheme="majorBidi" w:hAnsiTheme="majorBidi" w:cstheme="majorBidi"/>
          </w:rPr>
          <w:t>https://doi.org/10.1080/03079450500112186</w:t>
        </w:r>
      </w:hyperlink>
    </w:p>
    <w:p w14:paraId="3F9AF84E" w14:textId="77777777" w:rsidR="00CB0643" w:rsidRPr="00984C3A"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 xml:space="preserve">Wu XM, Guo YQ and Li JQ, 2021. Serum metabolomics in chickens </w:t>
      </w:r>
      <w:proofErr w:type="gramStart"/>
      <w:r w:rsidRPr="00984C3A">
        <w:rPr>
          <w:rFonts w:asciiTheme="majorBidi" w:hAnsiTheme="majorBidi" w:cstheme="majorBidi"/>
        </w:rPr>
        <w:t>infected</w:t>
      </w:r>
      <w:proofErr w:type="gramEnd"/>
      <w:r w:rsidRPr="00984C3A">
        <w:rPr>
          <w:rFonts w:asciiTheme="majorBidi" w:hAnsiTheme="majorBidi" w:cstheme="majorBidi"/>
        </w:rPr>
        <w:t xml:space="preserve"> with Cryptosporidium baileyi. Parasites and Vectors 14: 180. </w:t>
      </w:r>
      <w:hyperlink r:id="rId46" w:tgtFrame="_blank" w:history="1">
        <w:r w:rsidRPr="00984C3A">
          <w:rPr>
            <w:rStyle w:val="Hyperlink"/>
            <w:rFonts w:asciiTheme="majorBidi" w:hAnsiTheme="majorBidi" w:cstheme="majorBidi"/>
          </w:rPr>
          <w:t>https://doi.org/10.1186/s13071-021-04678-8</w:t>
        </w:r>
      </w:hyperlink>
    </w:p>
    <w:p w14:paraId="3734B116" w14:textId="77777777" w:rsidR="00CB0643" w:rsidRPr="00971953" w:rsidRDefault="00CB0643" w:rsidP="001157B9">
      <w:pPr>
        <w:pStyle w:val="ListParagraph"/>
        <w:numPr>
          <w:ilvl w:val="0"/>
          <w:numId w:val="20"/>
        </w:numPr>
        <w:spacing w:line="360" w:lineRule="auto"/>
        <w:jc w:val="both"/>
        <w:rPr>
          <w:rFonts w:asciiTheme="majorBidi" w:hAnsiTheme="majorBidi" w:cstheme="majorBidi"/>
        </w:rPr>
      </w:pPr>
      <w:r w:rsidRPr="00984C3A">
        <w:rPr>
          <w:rFonts w:asciiTheme="majorBidi" w:hAnsiTheme="majorBidi" w:cstheme="majorBidi"/>
        </w:rPr>
        <w:t>Xiao L and Feng Y, 2008. Zoonotic cryptosporidiosis. FEMS Immunology and Medical Microbiology 52: 309-323. </w:t>
      </w:r>
      <w:hyperlink r:id="rId47" w:tgtFrame="_blank" w:history="1">
        <w:r w:rsidRPr="00984C3A">
          <w:rPr>
            <w:rStyle w:val="Hyperlink"/>
            <w:rFonts w:asciiTheme="majorBidi" w:hAnsiTheme="majorBidi" w:cstheme="majorBidi"/>
          </w:rPr>
          <w:t>https://doi.org/10.1111/j.1574-695X.2008.00377.x</w:t>
        </w:r>
      </w:hyperlink>
    </w:p>
    <w:p w14:paraId="696FC87D" w14:textId="77777777" w:rsidR="00971953" w:rsidRDefault="00971953" w:rsidP="00971953">
      <w:pPr>
        <w:spacing w:line="360" w:lineRule="auto"/>
        <w:jc w:val="both"/>
        <w:rPr>
          <w:rFonts w:asciiTheme="majorBidi" w:hAnsiTheme="majorBidi" w:cstheme="majorBidi"/>
        </w:rPr>
      </w:pPr>
    </w:p>
    <w:p w14:paraId="00E68B7C" w14:textId="77777777" w:rsidR="005B52C5" w:rsidRDefault="005B52C5" w:rsidP="00971953">
      <w:pPr>
        <w:spacing w:line="360" w:lineRule="auto"/>
        <w:jc w:val="both"/>
        <w:rPr>
          <w:rFonts w:asciiTheme="majorBidi" w:hAnsiTheme="majorBidi" w:cstheme="majorBidi"/>
        </w:rPr>
      </w:pPr>
    </w:p>
    <w:sectPr w:rsidR="005B52C5" w:rsidSect="001157B9">
      <w:footerReference w:type="default" r:id="rId48"/>
      <w:pgSz w:w="12240" w:h="15840"/>
      <w:pgMar w:top="1440" w:right="1800" w:bottom="1440" w:left="180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978AD" w14:textId="77777777" w:rsidR="00755340" w:rsidRDefault="00755340" w:rsidP="001157B9">
      <w:pPr>
        <w:spacing w:after="0" w:line="240" w:lineRule="auto"/>
      </w:pPr>
      <w:r>
        <w:separator/>
      </w:r>
    </w:p>
  </w:endnote>
  <w:endnote w:type="continuationSeparator" w:id="0">
    <w:p w14:paraId="7471C037" w14:textId="77777777" w:rsidR="00755340" w:rsidRDefault="00755340" w:rsidP="00115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336721"/>
      <w:docPartObj>
        <w:docPartGallery w:val="Page Numbers (Bottom of Page)"/>
        <w:docPartUnique/>
      </w:docPartObj>
    </w:sdtPr>
    <w:sdtEndPr>
      <w:rPr>
        <w:noProof/>
      </w:rPr>
    </w:sdtEndPr>
    <w:sdtContent>
      <w:p w14:paraId="46BED350" w14:textId="745973EB" w:rsidR="001157B9" w:rsidRDefault="001157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7C0F6" w14:textId="77777777" w:rsidR="001157B9" w:rsidRDefault="00115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E3F6E" w14:textId="77777777" w:rsidR="00755340" w:rsidRDefault="00755340" w:rsidP="001157B9">
      <w:pPr>
        <w:spacing w:after="0" w:line="240" w:lineRule="auto"/>
      </w:pPr>
      <w:r>
        <w:separator/>
      </w:r>
    </w:p>
  </w:footnote>
  <w:footnote w:type="continuationSeparator" w:id="0">
    <w:p w14:paraId="24B19376" w14:textId="77777777" w:rsidR="00755340" w:rsidRDefault="00755340" w:rsidP="001157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5A4"/>
    <w:multiLevelType w:val="multilevel"/>
    <w:tmpl w:val="E8CA3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A775B"/>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 w15:restartNumberingAfterBreak="0">
    <w:nsid w:val="036431B8"/>
    <w:multiLevelType w:val="multilevel"/>
    <w:tmpl w:val="E8CA3102"/>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4C3E10"/>
    <w:multiLevelType w:val="multilevel"/>
    <w:tmpl w:val="6FA80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6B4F28"/>
    <w:multiLevelType w:val="multilevel"/>
    <w:tmpl w:val="153C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E32A0E"/>
    <w:multiLevelType w:val="multilevel"/>
    <w:tmpl w:val="1B4C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5644E"/>
    <w:multiLevelType w:val="hybridMultilevel"/>
    <w:tmpl w:val="B5E21CB4"/>
    <w:lvl w:ilvl="0" w:tplc="0C8E0DE0">
      <w:start w:val="3"/>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AC40C2"/>
    <w:multiLevelType w:val="hybridMultilevel"/>
    <w:tmpl w:val="C6D43A60"/>
    <w:lvl w:ilvl="0" w:tplc="8CAAEC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7F1839"/>
    <w:multiLevelType w:val="multilevel"/>
    <w:tmpl w:val="FFC01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6D3AB3"/>
    <w:multiLevelType w:val="multilevel"/>
    <w:tmpl w:val="6748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1A7375"/>
    <w:multiLevelType w:val="multilevel"/>
    <w:tmpl w:val="E8CA3102"/>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A64719"/>
    <w:multiLevelType w:val="multilevel"/>
    <w:tmpl w:val="B980D3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4F1719"/>
    <w:multiLevelType w:val="hybridMultilevel"/>
    <w:tmpl w:val="AAE24DD4"/>
    <w:lvl w:ilvl="0" w:tplc="2438EE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431409"/>
    <w:multiLevelType w:val="multilevel"/>
    <w:tmpl w:val="87FC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F37F3F"/>
    <w:multiLevelType w:val="hybridMultilevel"/>
    <w:tmpl w:val="CC3E209C"/>
    <w:lvl w:ilvl="0" w:tplc="EC366A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1B1DB3"/>
    <w:multiLevelType w:val="multilevel"/>
    <w:tmpl w:val="08527DBA"/>
    <w:lvl w:ilvl="0">
      <w:start w:val="1"/>
      <w:numFmt w:val="decimal"/>
      <w:lvlText w:val="3.1.1%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6" w15:restartNumberingAfterBreak="0">
    <w:nsid w:val="65390D80"/>
    <w:multiLevelType w:val="multilevel"/>
    <w:tmpl w:val="B980D3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680192"/>
    <w:multiLevelType w:val="multilevel"/>
    <w:tmpl w:val="E514B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DF2D8D"/>
    <w:multiLevelType w:val="hybridMultilevel"/>
    <w:tmpl w:val="2C6210AC"/>
    <w:lvl w:ilvl="0" w:tplc="DC74E4F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8B1047"/>
    <w:multiLevelType w:val="multilevel"/>
    <w:tmpl w:val="6A188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785786"/>
    <w:multiLevelType w:val="multilevel"/>
    <w:tmpl w:val="FF68D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A0257F"/>
    <w:multiLevelType w:val="hybridMultilevel"/>
    <w:tmpl w:val="43F6A7D4"/>
    <w:lvl w:ilvl="0" w:tplc="3390746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C32E72"/>
    <w:multiLevelType w:val="multilevel"/>
    <w:tmpl w:val="2E84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485673">
    <w:abstractNumId w:val="5"/>
  </w:num>
  <w:num w:numId="2" w16cid:durableId="1219823414">
    <w:abstractNumId w:val="4"/>
  </w:num>
  <w:num w:numId="3" w16cid:durableId="1226919252">
    <w:abstractNumId w:val="9"/>
  </w:num>
  <w:num w:numId="4" w16cid:durableId="1132211412">
    <w:abstractNumId w:val="13"/>
  </w:num>
  <w:num w:numId="5" w16cid:durableId="1903981872">
    <w:abstractNumId w:val="17"/>
  </w:num>
  <w:num w:numId="6" w16cid:durableId="1797601468">
    <w:abstractNumId w:val="22"/>
  </w:num>
  <w:num w:numId="7" w16cid:durableId="376661565">
    <w:abstractNumId w:val="8"/>
  </w:num>
  <w:num w:numId="8" w16cid:durableId="1348483748">
    <w:abstractNumId w:val="20"/>
  </w:num>
  <w:num w:numId="9" w16cid:durableId="1168133842">
    <w:abstractNumId w:val="19"/>
  </w:num>
  <w:num w:numId="10" w16cid:durableId="318536447">
    <w:abstractNumId w:val="3"/>
  </w:num>
  <w:num w:numId="11" w16cid:durableId="781071359">
    <w:abstractNumId w:val="11"/>
  </w:num>
  <w:num w:numId="12" w16cid:durableId="932665999">
    <w:abstractNumId w:val="0"/>
  </w:num>
  <w:num w:numId="13" w16cid:durableId="1253852445">
    <w:abstractNumId w:val="6"/>
  </w:num>
  <w:num w:numId="14" w16cid:durableId="1174882491">
    <w:abstractNumId w:val="21"/>
  </w:num>
  <w:num w:numId="15" w16cid:durableId="149710972">
    <w:abstractNumId w:val="7"/>
  </w:num>
  <w:num w:numId="16" w16cid:durableId="910232498">
    <w:abstractNumId w:val="18"/>
  </w:num>
  <w:num w:numId="17" w16cid:durableId="641230736">
    <w:abstractNumId w:val="14"/>
  </w:num>
  <w:num w:numId="18" w16cid:durableId="705374720">
    <w:abstractNumId w:val="2"/>
  </w:num>
  <w:num w:numId="19" w16cid:durableId="648629945">
    <w:abstractNumId w:val="10"/>
  </w:num>
  <w:num w:numId="20" w16cid:durableId="2028406235">
    <w:abstractNumId w:val="12"/>
  </w:num>
  <w:num w:numId="21" w16cid:durableId="1918976647">
    <w:abstractNumId w:val="16"/>
  </w:num>
  <w:num w:numId="22" w16cid:durableId="1472748146">
    <w:abstractNumId w:val="1"/>
  </w:num>
  <w:num w:numId="23" w16cid:durableId="5696547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F27"/>
    <w:rsid w:val="0005430E"/>
    <w:rsid w:val="001157B9"/>
    <w:rsid w:val="00214259"/>
    <w:rsid w:val="00314137"/>
    <w:rsid w:val="003A4DEB"/>
    <w:rsid w:val="00461A6C"/>
    <w:rsid w:val="0049572C"/>
    <w:rsid w:val="004A72BB"/>
    <w:rsid w:val="00547884"/>
    <w:rsid w:val="005655D1"/>
    <w:rsid w:val="005769F6"/>
    <w:rsid w:val="005B52C5"/>
    <w:rsid w:val="005C289A"/>
    <w:rsid w:val="00621096"/>
    <w:rsid w:val="00681FB4"/>
    <w:rsid w:val="00755340"/>
    <w:rsid w:val="00797978"/>
    <w:rsid w:val="007D2F2B"/>
    <w:rsid w:val="00971953"/>
    <w:rsid w:val="00984C3A"/>
    <w:rsid w:val="009E6624"/>
    <w:rsid w:val="00C30F27"/>
    <w:rsid w:val="00CB0643"/>
    <w:rsid w:val="00E425A4"/>
    <w:rsid w:val="00E71BB1"/>
    <w:rsid w:val="00F00C2D"/>
    <w:rsid w:val="00F35492"/>
    <w:rsid w:val="00FA1A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4487B"/>
  <w15:chartTrackingRefBased/>
  <w15:docId w15:val="{1ADFF88B-C892-4D79-847C-F862E9B37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55D1"/>
    <w:pPr>
      <w:keepNext/>
      <w:keepLines/>
      <w:spacing w:before="360" w:after="80"/>
      <w:outlineLvl w:val="0"/>
    </w:pPr>
    <w:rPr>
      <w:rFonts w:asciiTheme="majorBidi" w:eastAsiaTheme="majorEastAsia" w:hAnsiTheme="majorBidi" w:cstheme="majorBidi"/>
      <w:b/>
      <w:sz w:val="28"/>
      <w:szCs w:val="40"/>
    </w:rPr>
  </w:style>
  <w:style w:type="paragraph" w:styleId="Heading2">
    <w:name w:val="heading 2"/>
    <w:basedOn w:val="Normal"/>
    <w:next w:val="Normal"/>
    <w:link w:val="Heading2Char"/>
    <w:uiPriority w:val="9"/>
    <w:unhideWhenUsed/>
    <w:qFormat/>
    <w:rsid w:val="005655D1"/>
    <w:pPr>
      <w:keepNext/>
      <w:keepLines/>
      <w:spacing w:before="160" w:after="80"/>
      <w:outlineLvl w:val="1"/>
    </w:pPr>
    <w:rPr>
      <w:rFonts w:asciiTheme="majorBidi" w:eastAsiaTheme="majorEastAsia" w:hAnsiTheme="majorBidi" w:cstheme="majorBidi"/>
      <w:b/>
      <w:color w:val="000000" w:themeColor="text1"/>
      <w:sz w:val="28"/>
      <w:szCs w:val="32"/>
    </w:rPr>
  </w:style>
  <w:style w:type="paragraph" w:styleId="Heading3">
    <w:name w:val="heading 3"/>
    <w:basedOn w:val="Normal"/>
    <w:next w:val="Normal"/>
    <w:link w:val="Heading3Char"/>
    <w:uiPriority w:val="9"/>
    <w:unhideWhenUsed/>
    <w:qFormat/>
    <w:rsid w:val="005655D1"/>
    <w:pPr>
      <w:keepNext/>
      <w:keepLines/>
      <w:spacing w:before="160" w:after="80"/>
      <w:outlineLvl w:val="2"/>
    </w:pPr>
    <w:rPr>
      <w:rFonts w:asciiTheme="majorBidi" w:eastAsiaTheme="majorEastAsia" w:hAnsiTheme="majorBidi" w:cstheme="majorBidi"/>
      <w:b/>
      <w:szCs w:val="28"/>
    </w:rPr>
  </w:style>
  <w:style w:type="paragraph" w:styleId="Heading4">
    <w:name w:val="heading 4"/>
    <w:basedOn w:val="Normal"/>
    <w:next w:val="Normal"/>
    <w:link w:val="Heading4Char"/>
    <w:uiPriority w:val="9"/>
    <w:semiHidden/>
    <w:unhideWhenUsed/>
    <w:qFormat/>
    <w:rsid w:val="00C30F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0F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0F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0F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F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F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5D1"/>
    <w:rPr>
      <w:rFonts w:asciiTheme="majorBidi" w:eastAsiaTheme="majorEastAsia" w:hAnsiTheme="majorBidi" w:cstheme="majorBidi"/>
      <w:b/>
      <w:sz w:val="28"/>
      <w:szCs w:val="40"/>
    </w:rPr>
  </w:style>
  <w:style w:type="character" w:customStyle="1" w:styleId="Heading2Char">
    <w:name w:val="Heading 2 Char"/>
    <w:basedOn w:val="DefaultParagraphFont"/>
    <w:link w:val="Heading2"/>
    <w:uiPriority w:val="9"/>
    <w:rsid w:val="005655D1"/>
    <w:rPr>
      <w:rFonts w:asciiTheme="majorBidi" w:eastAsiaTheme="majorEastAsia" w:hAnsiTheme="majorBidi" w:cstheme="majorBidi"/>
      <w:b/>
      <w:color w:val="000000" w:themeColor="text1"/>
      <w:sz w:val="28"/>
      <w:szCs w:val="32"/>
    </w:rPr>
  </w:style>
  <w:style w:type="character" w:customStyle="1" w:styleId="Heading3Char">
    <w:name w:val="Heading 3 Char"/>
    <w:basedOn w:val="DefaultParagraphFont"/>
    <w:link w:val="Heading3"/>
    <w:uiPriority w:val="9"/>
    <w:rsid w:val="005655D1"/>
    <w:rPr>
      <w:rFonts w:asciiTheme="majorBidi" w:eastAsiaTheme="majorEastAsia" w:hAnsiTheme="majorBidi" w:cstheme="majorBidi"/>
      <w:b/>
      <w:szCs w:val="28"/>
    </w:rPr>
  </w:style>
  <w:style w:type="character" w:customStyle="1" w:styleId="Heading4Char">
    <w:name w:val="Heading 4 Char"/>
    <w:basedOn w:val="DefaultParagraphFont"/>
    <w:link w:val="Heading4"/>
    <w:uiPriority w:val="9"/>
    <w:semiHidden/>
    <w:rsid w:val="00C30F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0F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0F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0F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0F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0F27"/>
    <w:rPr>
      <w:rFonts w:eastAsiaTheme="majorEastAsia" w:cstheme="majorBidi"/>
      <w:color w:val="272727" w:themeColor="text1" w:themeTint="D8"/>
    </w:rPr>
  </w:style>
  <w:style w:type="paragraph" w:styleId="Title">
    <w:name w:val="Title"/>
    <w:basedOn w:val="Normal"/>
    <w:next w:val="Normal"/>
    <w:link w:val="TitleChar"/>
    <w:uiPriority w:val="10"/>
    <w:qFormat/>
    <w:rsid w:val="00C30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F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0F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0F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F27"/>
    <w:pPr>
      <w:spacing w:before="160"/>
      <w:jc w:val="center"/>
    </w:pPr>
    <w:rPr>
      <w:i/>
      <w:iCs/>
      <w:color w:val="404040" w:themeColor="text1" w:themeTint="BF"/>
    </w:rPr>
  </w:style>
  <w:style w:type="character" w:customStyle="1" w:styleId="QuoteChar">
    <w:name w:val="Quote Char"/>
    <w:basedOn w:val="DefaultParagraphFont"/>
    <w:link w:val="Quote"/>
    <w:uiPriority w:val="29"/>
    <w:rsid w:val="00C30F27"/>
    <w:rPr>
      <w:i/>
      <w:iCs/>
      <w:color w:val="404040" w:themeColor="text1" w:themeTint="BF"/>
    </w:rPr>
  </w:style>
  <w:style w:type="paragraph" w:styleId="ListParagraph">
    <w:name w:val="List Paragraph"/>
    <w:basedOn w:val="Normal"/>
    <w:uiPriority w:val="34"/>
    <w:qFormat/>
    <w:rsid w:val="00C30F27"/>
    <w:pPr>
      <w:ind w:left="720"/>
      <w:contextualSpacing/>
    </w:pPr>
  </w:style>
  <w:style w:type="character" w:styleId="IntenseEmphasis">
    <w:name w:val="Intense Emphasis"/>
    <w:basedOn w:val="DefaultParagraphFont"/>
    <w:uiPriority w:val="21"/>
    <w:qFormat/>
    <w:rsid w:val="00C30F27"/>
    <w:rPr>
      <w:i/>
      <w:iCs/>
      <w:color w:val="2F5496" w:themeColor="accent1" w:themeShade="BF"/>
    </w:rPr>
  </w:style>
  <w:style w:type="paragraph" w:styleId="IntenseQuote">
    <w:name w:val="Intense Quote"/>
    <w:basedOn w:val="Normal"/>
    <w:next w:val="Normal"/>
    <w:link w:val="IntenseQuoteChar"/>
    <w:uiPriority w:val="30"/>
    <w:qFormat/>
    <w:rsid w:val="00C30F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0F27"/>
    <w:rPr>
      <w:i/>
      <w:iCs/>
      <w:color w:val="2F5496" w:themeColor="accent1" w:themeShade="BF"/>
    </w:rPr>
  </w:style>
  <w:style w:type="character" w:styleId="IntenseReference">
    <w:name w:val="Intense Reference"/>
    <w:basedOn w:val="DefaultParagraphFont"/>
    <w:uiPriority w:val="32"/>
    <w:qFormat/>
    <w:rsid w:val="00C30F27"/>
    <w:rPr>
      <w:b/>
      <w:bCs/>
      <w:smallCaps/>
      <w:color w:val="2F5496" w:themeColor="accent1" w:themeShade="BF"/>
      <w:spacing w:val="5"/>
    </w:rPr>
  </w:style>
  <w:style w:type="character" w:styleId="Hyperlink">
    <w:name w:val="Hyperlink"/>
    <w:basedOn w:val="DefaultParagraphFont"/>
    <w:uiPriority w:val="99"/>
    <w:unhideWhenUsed/>
    <w:rsid w:val="005655D1"/>
    <w:rPr>
      <w:color w:val="0563C1" w:themeColor="hyperlink"/>
      <w:u w:val="single"/>
    </w:rPr>
  </w:style>
  <w:style w:type="character" w:styleId="UnresolvedMention">
    <w:name w:val="Unresolved Mention"/>
    <w:basedOn w:val="DefaultParagraphFont"/>
    <w:uiPriority w:val="99"/>
    <w:semiHidden/>
    <w:unhideWhenUsed/>
    <w:rsid w:val="005655D1"/>
    <w:rPr>
      <w:color w:val="605E5C"/>
      <w:shd w:val="clear" w:color="auto" w:fill="E1DFDD"/>
    </w:rPr>
  </w:style>
  <w:style w:type="paragraph" w:styleId="NoSpacing">
    <w:name w:val="No Spacing"/>
    <w:uiPriority w:val="1"/>
    <w:qFormat/>
    <w:rsid w:val="005655D1"/>
    <w:pPr>
      <w:spacing w:after="0" w:line="240" w:lineRule="auto"/>
    </w:pPr>
  </w:style>
  <w:style w:type="paragraph" w:customStyle="1" w:styleId="ds-markdown-paragraph">
    <w:name w:val="ds-markdown-paragraph"/>
    <w:basedOn w:val="Normal"/>
    <w:rsid w:val="00CB064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1157B9"/>
    <w:pPr>
      <w:tabs>
        <w:tab w:val="center" w:pos="4320"/>
        <w:tab w:val="right" w:pos="8640"/>
      </w:tabs>
      <w:spacing w:after="0" w:line="240" w:lineRule="auto"/>
    </w:pPr>
  </w:style>
  <w:style w:type="character" w:customStyle="1" w:styleId="HeaderChar">
    <w:name w:val="Header Char"/>
    <w:basedOn w:val="DefaultParagraphFont"/>
    <w:link w:val="Header"/>
    <w:uiPriority w:val="99"/>
    <w:rsid w:val="001157B9"/>
  </w:style>
  <w:style w:type="paragraph" w:styleId="Footer">
    <w:name w:val="footer"/>
    <w:basedOn w:val="Normal"/>
    <w:link w:val="FooterChar"/>
    <w:uiPriority w:val="99"/>
    <w:unhideWhenUsed/>
    <w:rsid w:val="001157B9"/>
    <w:pPr>
      <w:tabs>
        <w:tab w:val="center" w:pos="4320"/>
        <w:tab w:val="right" w:pos="8640"/>
      </w:tabs>
      <w:spacing w:after="0" w:line="240" w:lineRule="auto"/>
    </w:pPr>
  </w:style>
  <w:style w:type="character" w:customStyle="1" w:styleId="FooterChar">
    <w:name w:val="Footer Char"/>
    <w:basedOn w:val="DefaultParagraphFont"/>
    <w:link w:val="Footer"/>
    <w:uiPriority w:val="99"/>
    <w:rsid w:val="001157B9"/>
  </w:style>
  <w:style w:type="character" w:styleId="LineNumber">
    <w:name w:val="line number"/>
    <w:basedOn w:val="DefaultParagraphFont"/>
    <w:uiPriority w:val="99"/>
    <w:semiHidden/>
    <w:unhideWhenUsed/>
    <w:rsid w:val="00115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2/ps.2013-03634" TargetMode="External"/><Relationship Id="rId18" Type="http://schemas.openxmlformats.org/officeDocument/2006/relationships/hyperlink" Target="https://doi.org/10.1016/j.vprsr.2024.101032" TargetMode="External"/><Relationship Id="rId26" Type="http://schemas.openxmlformats.org/officeDocument/2006/relationships/hyperlink" Target="https://doi.org/10.1186/s13071-017-2454-8" TargetMode="External"/><Relationship Id="rId39" Type="http://schemas.openxmlformats.org/officeDocument/2006/relationships/hyperlink" Target="https://doi.org/10.1128/AEM.71.4.2479-2483.2005" TargetMode="External"/><Relationship Id="rId21" Type="http://schemas.openxmlformats.org/officeDocument/2006/relationships/hyperlink" Target="https://doi.org/10.2307/1591248" TargetMode="External"/><Relationship Id="rId34" Type="http://schemas.openxmlformats.org/officeDocument/2006/relationships/hyperlink" Target="https://doi.org/10.1111/j.1550-7408.1984.tb05505.x" TargetMode="External"/><Relationship Id="rId42" Type="http://schemas.openxmlformats.org/officeDocument/2006/relationships/hyperlink" Target="https://doi.org/10.1016/S0304-4017(02)00187-6" TargetMode="External"/><Relationship Id="rId47" Type="http://schemas.openxmlformats.org/officeDocument/2006/relationships/hyperlink" Target="https://doi.org/10.1111/j.1574-695X.2008.00377.x" TargetMode="External"/><Relationship Id="rId50" Type="http://schemas.openxmlformats.org/officeDocument/2006/relationships/theme" Target="theme/theme1.xml"/><Relationship Id="rId7" Type="http://schemas.openxmlformats.org/officeDocument/2006/relationships/hyperlink" Target="https://doi.org/10.21608/ejvs.2023.168364.1448" TargetMode="External"/><Relationship Id="rId2" Type="http://schemas.openxmlformats.org/officeDocument/2006/relationships/styles" Target="styles.xml"/><Relationship Id="rId16" Type="http://schemas.openxmlformats.org/officeDocument/2006/relationships/hyperlink" Target="https://doi.org/10.1016/j.scitotenv.2024.170117" TargetMode="External"/><Relationship Id="rId29" Type="http://schemas.openxmlformats.org/officeDocument/2006/relationships/hyperlink" Target="https://doi.org/10.1016/S0890-8508(03)00020-0" TargetMode="External"/><Relationship Id="rId11" Type="http://schemas.openxmlformats.org/officeDocument/2006/relationships/hyperlink" Target="https://doi.org/10.1186/s13567-020-00837-2" TargetMode="External"/><Relationship Id="rId24" Type="http://schemas.openxmlformats.org/officeDocument/2006/relationships/hyperlink" Target="https://doi.org/10.1016/0014-4894(70)90063-9" TargetMode="External"/><Relationship Id="rId32" Type="http://schemas.openxmlformats.org/officeDocument/2006/relationships/hyperlink" Target="https://doi.org/10.1016/j.onehlt.2022.100392" TargetMode="External"/><Relationship Id="rId37" Type="http://schemas.openxmlformats.org/officeDocument/2006/relationships/hyperlink" Target="https://doi.org/10.1080/01652176.2011.605247" TargetMode="External"/><Relationship Id="rId40" Type="http://schemas.openxmlformats.org/officeDocument/2006/relationships/hyperlink" Target="https://doi.org/10.1637/aviandiseases-D-24-00015" TargetMode="External"/><Relationship Id="rId45" Type="http://schemas.openxmlformats.org/officeDocument/2006/relationships/hyperlink" Target="https://doi.org/10.1080/03079450500112186" TargetMode="External"/><Relationship Id="rId5" Type="http://schemas.openxmlformats.org/officeDocument/2006/relationships/footnotes" Target="footnotes.xml"/><Relationship Id="rId15" Type="http://schemas.openxmlformats.org/officeDocument/2006/relationships/hyperlink" Target="https://doi.org/10.1637/7306-11174R" TargetMode="External"/><Relationship Id="rId23" Type="http://schemas.openxmlformats.org/officeDocument/2006/relationships/hyperlink" Target="https://doi.org/10.1016/j.vetpar.2016.08.015" TargetMode="External"/><Relationship Id="rId28" Type="http://schemas.openxmlformats.org/officeDocument/2006/relationships/hyperlink" Target="https://doi.org/10.13181/mji.v18i3.357" TargetMode="External"/><Relationship Id="rId36" Type="http://schemas.openxmlformats.org/officeDocument/2006/relationships/hyperlink" Target="https://doi.org/10.1016/j.biotechadv.2006.06.001" TargetMode="External"/><Relationship Id="rId49" Type="http://schemas.openxmlformats.org/officeDocument/2006/relationships/fontTable" Target="fontTable.xml"/><Relationship Id="rId10" Type="http://schemas.openxmlformats.org/officeDocument/2006/relationships/hyperlink" Target="https://doi.org/10.1016/j.vprsr.2016.08.003" TargetMode="External"/><Relationship Id="rId19" Type="http://schemas.openxmlformats.org/officeDocument/2006/relationships/hyperlink" Target="https://doi.org/10.1051/parasite/2022028" TargetMode="External"/><Relationship Id="rId31" Type="http://schemas.openxmlformats.org/officeDocument/2006/relationships/hyperlink" Target="https://doi.org/10.1186/s13071-024-06147-4" TargetMode="External"/><Relationship Id="rId44" Type="http://schemas.openxmlformats.org/officeDocument/2006/relationships/hyperlink" Target="https://doi.org/10.1017/S0031182099004095" TargetMode="External"/><Relationship Id="rId4" Type="http://schemas.openxmlformats.org/officeDocument/2006/relationships/webSettings" Target="webSettings.xml"/><Relationship Id="rId9" Type="http://schemas.openxmlformats.org/officeDocument/2006/relationships/hyperlink" Target="https://doi.org/10.3923/ijps.2005.491.496" TargetMode="External"/><Relationship Id="rId14" Type="http://schemas.openxmlformats.org/officeDocument/2006/relationships/hyperlink" Target="https://doi.org/10.1128/CMR.4.3.325" TargetMode="External"/><Relationship Id="rId22" Type="http://schemas.openxmlformats.org/officeDocument/2006/relationships/hyperlink" Target="https://doi.org/10.3390/microorganisms10122456" TargetMode="External"/><Relationship Id="rId27" Type="http://schemas.openxmlformats.org/officeDocument/2006/relationships/hyperlink" Target="https://doi.org/10.1007/s00436-013-3694-y" TargetMode="External"/><Relationship Id="rId30" Type="http://schemas.openxmlformats.org/officeDocument/2006/relationships/hyperlink" Target="https://doi.org/10.3390/ani13203200" TargetMode="External"/><Relationship Id="rId35" Type="http://schemas.openxmlformats.org/officeDocument/2006/relationships/hyperlink" Target="https://doi.org/10.1128/JCM.36.4.995-998.1998" TargetMode="External"/><Relationship Id="rId43" Type="http://schemas.openxmlformats.org/officeDocument/2006/relationships/hyperlink" Target="https://doi.org/10.1128/AEM.68.5.2576-2579.2002" TargetMode="External"/><Relationship Id="rId48" Type="http://schemas.openxmlformats.org/officeDocument/2006/relationships/footer" Target="footer1.xml"/><Relationship Id="rId8" Type="http://schemas.openxmlformats.org/officeDocument/2006/relationships/hyperlink" Target="https://doi.org/10.3390/microorganisms12061256" TargetMode="External"/><Relationship Id="rId3" Type="http://schemas.openxmlformats.org/officeDocument/2006/relationships/settings" Target="settings.xml"/><Relationship Id="rId12" Type="http://schemas.openxmlformats.org/officeDocument/2006/relationships/hyperlink" Target="https://doi.org/10.3389/fvets.2020.00030" TargetMode="External"/><Relationship Id="rId17" Type="http://schemas.openxmlformats.org/officeDocument/2006/relationships/hyperlink" Target="https://doi.org/10.1007/s00436-014-4118-3" TargetMode="External"/><Relationship Id="rId25" Type="http://schemas.openxmlformats.org/officeDocument/2006/relationships/hyperlink" Target="https://doi.org/10.3389/fcimb.2023.1115522" TargetMode="External"/><Relationship Id="rId33" Type="http://schemas.openxmlformats.org/officeDocument/2006/relationships/hyperlink" Target="https://doi.org/10.2307/1590879" TargetMode="External"/><Relationship Id="rId38" Type="http://schemas.openxmlformats.org/officeDocument/2006/relationships/hyperlink" Target="https://doi.org/10.3390/antibiotics13090808" TargetMode="External"/><Relationship Id="rId46" Type="http://schemas.openxmlformats.org/officeDocument/2006/relationships/hyperlink" Target="https://doi.org/10.1186/s13071-021-04678-8" TargetMode="External"/><Relationship Id="rId20" Type="http://schemas.openxmlformats.org/officeDocument/2006/relationships/hyperlink" Target="https://doi.org/10.1016/j.drudis.2022.103380" TargetMode="External"/><Relationship Id="rId41" Type="http://schemas.openxmlformats.org/officeDocument/2006/relationships/hyperlink" Target="https://doi.org/10.1017/S0031182014001085"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25</Pages>
  <Words>6807</Words>
  <Characters>38806</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Firas Hayajneh</dc:creator>
  <cp:keywords/>
  <dc:description/>
  <cp:lastModifiedBy>Firas Hayajneh</cp:lastModifiedBy>
  <cp:revision>3</cp:revision>
  <dcterms:created xsi:type="dcterms:W3CDTF">2026-06-08T06:40:00Z</dcterms:created>
  <dcterms:modified xsi:type="dcterms:W3CDTF">2026-06-08T06:41:00Z</dcterms:modified>
</cp:coreProperties>
</file>