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55CE0" w14:textId="77777777" w:rsidR="00452CB1" w:rsidRPr="006016AB" w:rsidRDefault="00452CB1" w:rsidP="00452CB1">
      <w:pPr>
        <w:jc w:val="both"/>
        <w:rPr>
          <w:rFonts w:ascii="Times New Roman" w:hAnsi="Times New Roman" w:cs="Times New Roman"/>
          <w:b/>
          <w:sz w:val="24"/>
          <w:szCs w:val="24"/>
        </w:rPr>
      </w:pPr>
      <w:r w:rsidRPr="006016AB">
        <w:rPr>
          <w:rFonts w:ascii="Times New Roman" w:hAnsi="Times New Roman" w:cs="Times New Roman"/>
          <w:b/>
          <w:sz w:val="24"/>
          <w:szCs w:val="24"/>
        </w:rPr>
        <w:t>Renewable Energy Innovations for Sustainable Development in Nigeria</w:t>
      </w:r>
    </w:p>
    <w:p w14:paraId="0088E8D4" w14:textId="77777777" w:rsidR="00452CB1" w:rsidRPr="006016AB" w:rsidRDefault="00452CB1" w:rsidP="00452CB1">
      <w:pPr>
        <w:jc w:val="center"/>
        <w:rPr>
          <w:rFonts w:ascii="Times New Roman" w:hAnsi="Times New Roman" w:cs="Times New Roman"/>
          <w:sz w:val="24"/>
          <w:szCs w:val="24"/>
        </w:rPr>
      </w:pPr>
      <w:r w:rsidRPr="006016AB">
        <w:rPr>
          <w:rFonts w:ascii="Times New Roman" w:hAnsi="Times New Roman" w:cs="Times New Roman"/>
          <w:sz w:val="24"/>
          <w:szCs w:val="24"/>
          <w:vertAlign w:val="superscript"/>
        </w:rPr>
        <w:t>1</w:t>
      </w:r>
      <w:r w:rsidRPr="006016AB">
        <w:rPr>
          <w:rFonts w:ascii="Times New Roman" w:hAnsi="Times New Roman" w:cs="Times New Roman"/>
          <w:sz w:val="24"/>
          <w:szCs w:val="24"/>
        </w:rPr>
        <w:t xml:space="preserve">Morka John Chukwuemeke and </w:t>
      </w:r>
      <w:r w:rsidRPr="006016AB">
        <w:rPr>
          <w:rFonts w:ascii="Times New Roman" w:hAnsi="Times New Roman" w:cs="Times New Roman"/>
          <w:sz w:val="24"/>
          <w:szCs w:val="24"/>
          <w:vertAlign w:val="superscript"/>
        </w:rPr>
        <w:t>1</w:t>
      </w:r>
      <w:r w:rsidRPr="006016AB">
        <w:rPr>
          <w:rFonts w:ascii="Times New Roman" w:hAnsi="Times New Roman" w:cs="Times New Roman"/>
          <w:sz w:val="24"/>
          <w:szCs w:val="24"/>
        </w:rPr>
        <w:t xml:space="preserve">Doris, </w:t>
      </w:r>
      <w:proofErr w:type="spellStart"/>
      <w:r w:rsidRPr="006016AB">
        <w:rPr>
          <w:rFonts w:ascii="Times New Roman" w:hAnsi="Times New Roman" w:cs="Times New Roman"/>
          <w:sz w:val="24"/>
          <w:szCs w:val="24"/>
        </w:rPr>
        <w:t>NwachukuNgozi</w:t>
      </w:r>
      <w:proofErr w:type="spellEnd"/>
    </w:p>
    <w:p w14:paraId="1F58AC6A" w14:textId="77777777" w:rsidR="00452CB1" w:rsidRPr="006016AB" w:rsidRDefault="00452CB1" w:rsidP="00452CB1">
      <w:pPr>
        <w:spacing w:after="0"/>
        <w:rPr>
          <w:rFonts w:ascii="Times New Roman" w:hAnsi="Times New Roman" w:cs="Times New Roman"/>
          <w:sz w:val="24"/>
          <w:szCs w:val="24"/>
        </w:rPr>
      </w:pPr>
      <w:r w:rsidRPr="006016AB">
        <w:rPr>
          <w:rFonts w:ascii="Times New Roman" w:hAnsi="Times New Roman" w:cs="Times New Roman"/>
          <w:sz w:val="24"/>
          <w:szCs w:val="24"/>
          <w:vertAlign w:val="superscript"/>
        </w:rPr>
        <w:t>1.</w:t>
      </w:r>
      <w:r w:rsidRPr="006016AB">
        <w:rPr>
          <w:rFonts w:ascii="Times New Roman" w:hAnsi="Times New Roman" w:cs="Times New Roman"/>
          <w:sz w:val="24"/>
          <w:szCs w:val="24"/>
        </w:rPr>
        <w:t>Department of Physics, University of Delta, Agbor, Delta State, Nigeria</w:t>
      </w:r>
    </w:p>
    <w:p w14:paraId="27DB161C" w14:textId="755E5AAA" w:rsidR="00452CB1" w:rsidRDefault="00452CB1" w:rsidP="00452CB1">
      <w:pPr>
        <w:pStyle w:val="Heading2"/>
        <w:jc w:val="center"/>
        <w:rPr>
          <w:rStyle w:val="Strong"/>
          <w:sz w:val="24"/>
          <w:szCs w:val="24"/>
        </w:rPr>
      </w:pPr>
      <w:r w:rsidRPr="006016AB">
        <w:rPr>
          <w:rStyle w:val="Strong"/>
          <w:b/>
          <w:bCs/>
          <w:sz w:val="24"/>
          <w:szCs w:val="24"/>
        </w:rPr>
        <w:t>Corresponding author e</w:t>
      </w:r>
      <w:r w:rsidRPr="006016AB">
        <w:rPr>
          <w:rStyle w:val="Strong"/>
          <w:sz w:val="24"/>
          <w:szCs w:val="24"/>
        </w:rPr>
        <w:t>mail:</w:t>
      </w:r>
      <w:r w:rsidR="00005FE8">
        <w:rPr>
          <w:rStyle w:val="Strong"/>
          <w:sz w:val="24"/>
          <w:szCs w:val="24"/>
        </w:rPr>
        <w:t xml:space="preserve"> </w:t>
      </w:r>
      <w:r w:rsidRPr="00C1283B">
        <w:rPr>
          <w:rStyle w:val="Strong"/>
          <w:bCs/>
          <w:sz w:val="24"/>
          <w:szCs w:val="24"/>
        </w:rPr>
        <w:t>john.morka</w:t>
      </w:r>
      <w:r w:rsidRPr="006016AB">
        <w:rPr>
          <w:rStyle w:val="Strong"/>
          <w:sz w:val="24"/>
          <w:szCs w:val="24"/>
        </w:rPr>
        <w:t>@unidel.edu.ng</w:t>
      </w:r>
    </w:p>
    <w:p w14:paraId="1AEBE69C" w14:textId="77777777" w:rsidR="00C86B3F" w:rsidRDefault="00C86B3F" w:rsidP="00C86B3F">
      <w:pPr>
        <w:pStyle w:val="Heading2"/>
        <w:rPr>
          <w:rStyle w:val="Strong"/>
          <w:sz w:val="24"/>
          <w:szCs w:val="24"/>
        </w:rPr>
      </w:pPr>
      <w:proofErr w:type="spellStart"/>
      <w:r>
        <w:rPr>
          <w:rStyle w:val="Strong"/>
          <w:sz w:val="24"/>
          <w:szCs w:val="24"/>
        </w:rPr>
        <w:t>Orcid</w:t>
      </w:r>
      <w:proofErr w:type="spellEnd"/>
      <w:r>
        <w:rPr>
          <w:rStyle w:val="Strong"/>
          <w:sz w:val="24"/>
          <w:szCs w:val="24"/>
        </w:rPr>
        <w:t>:</w:t>
      </w:r>
    </w:p>
    <w:p w14:paraId="66FAB3DE" w14:textId="77777777" w:rsidR="00C86B3F" w:rsidRDefault="00C86B3F" w:rsidP="00C86B3F">
      <w:pPr>
        <w:pStyle w:val="Heading2"/>
        <w:rPr>
          <w:rStyle w:val="Hyperlink"/>
          <w:rFonts w:eastAsiaTheme="majorEastAsia"/>
          <w:b w:val="0"/>
          <w:bCs w:val="0"/>
          <w:sz w:val="24"/>
          <w:szCs w:val="24"/>
        </w:rPr>
      </w:pPr>
      <w:proofErr w:type="spellStart"/>
      <w:r w:rsidRPr="006016AB">
        <w:rPr>
          <w:sz w:val="24"/>
          <w:szCs w:val="24"/>
        </w:rPr>
        <w:t>Morka</w:t>
      </w:r>
      <w:proofErr w:type="spellEnd"/>
      <w:r w:rsidRPr="006016AB">
        <w:rPr>
          <w:sz w:val="24"/>
          <w:szCs w:val="24"/>
        </w:rPr>
        <w:t xml:space="preserve"> John Chukwuemeke</w:t>
      </w:r>
      <w:hyperlink r:id="rId5" w:history="1">
        <w:r w:rsidRPr="00494EF9">
          <w:rPr>
            <w:rStyle w:val="Hyperlink"/>
            <w:rFonts w:eastAsiaTheme="majorEastAsia"/>
            <w:b w:val="0"/>
            <w:bCs w:val="0"/>
            <w:sz w:val="24"/>
            <w:szCs w:val="24"/>
          </w:rPr>
          <w:t>https://orcid.org/0009-0007-5017-0517</w:t>
        </w:r>
      </w:hyperlink>
    </w:p>
    <w:p w14:paraId="3AD32EE4" w14:textId="77777777" w:rsidR="00C86B3F" w:rsidRPr="00300781" w:rsidRDefault="00C86B3F" w:rsidP="00C86B3F">
      <w:pPr>
        <w:pStyle w:val="Heading2"/>
        <w:rPr>
          <w:rStyle w:val="Strong"/>
          <w:sz w:val="24"/>
          <w:szCs w:val="24"/>
        </w:rPr>
      </w:pPr>
      <w:r w:rsidRPr="00EC7B2D">
        <w:rPr>
          <w:rStyle w:val="Hyperlink"/>
          <w:bCs w:val="0"/>
          <w:color w:val="auto"/>
          <w:sz w:val="24"/>
          <w:szCs w:val="24"/>
          <w:u w:val="none"/>
        </w:rPr>
        <w:t>Doris NwachukuNgozi</w:t>
      </w:r>
      <w:r w:rsidR="00300781">
        <w:rPr>
          <w:rStyle w:val="Hyperlink"/>
          <w:b w:val="0"/>
          <w:bCs w:val="0"/>
          <w:sz w:val="24"/>
          <w:szCs w:val="24"/>
          <w:u w:val="none"/>
        </w:rPr>
        <w:t>https://orcid.org/0009-0005-5546-8967</w:t>
      </w:r>
    </w:p>
    <w:p w14:paraId="52BABDE3" w14:textId="77777777" w:rsidR="00C86B3F" w:rsidRPr="006016AB" w:rsidRDefault="00C86B3F" w:rsidP="00C86B3F">
      <w:pPr>
        <w:pStyle w:val="Heading2"/>
        <w:rPr>
          <w:rStyle w:val="Strong"/>
          <w:b/>
          <w:bCs/>
          <w:sz w:val="24"/>
          <w:szCs w:val="24"/>
        </w:rPr>
      </w:pPr>
    </w:p>
    <w:p w14:paraId="61139E3B" w14:textId="77777777" w:rsidR="00452CB1" w:rsidRPr="006016AB" w:rsidRDefault="00286A2E" w:rsidP="00452CB1">
      <w:pPr>
        <w:pStyle w:val="Heading2"/>
        <w:jc w:val="both"/>
        <w:rPr>
          <w:b w:val="0"/>
          <w:sz w:val="24"/>
          <w:szCs w:val="24"/>
        </w:rPr>
      </w:pPr>
      <w:r w:rsidRPr="006016AB">
        <w:rPr>
          <w:rStyle w:val="Strong"/>
          <w:b/>
          <w:sz w:val="24"/>
          <w:szCs w:val="24"/>
        </w:rPr>
        <w:t>ABSTRACT</w:t>
      </w:r>
    </w:p>
    <w:p w14:paraId="48AA256F" w14:textId="77777777" w:rsidR="00740F8E" w:rsidRPr="00740F8E" w:rsidRDefault="00740F8E"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40F8E">
        <w:rPr>
          <w:rFonts w:ascii="Times New Roman" w:eastAsia="Times New Roman" w:hAnsi="Times New Roman" w:cs="Times New Roman"/>
          <w:sz w:val="24"/>
          <w:szCs w:val="24"/>
          <w:lang w:eastAsia="en-GB"/>
        </w:rPr>
        <w:t xml:space="preserve">Nigeria faces a longstanding challenge of energy insecurity, high energy dependence on fossil fuel and low access to electricity, with over 80 million people having un-reliability of power supply. With the large solar, hydropower, wind, biomass and geothermal sources of energy being available in the country, renewable energy is a viable way to attain sustainable development. The study is a critical assessment of renewable energy innovation in Nigeria aimed at identifying the potential of the resources, the trend of investments in renewable energy, and their contribution towards sustainable development goals (SDGs). Secondary data were collected from national agencies, international organizations, and development finance reports for the period 2015–2024. The data were synthesized and </w:t>
      </w:r>
      <w:proofErr w:type="spellStart"/>
      <w:r w:rsidRPr="00740F8E">
        <w:rPr>
          <w:rFonts w:ascii="Times New Roman" w:eastAsia="Times New Roman" w:hAnsi="Times New Roman" w:cs="Times New Roman"/>
          <w:sz w:val="24"/>
          <w:szCs w:val="24"/>
          <w:lang w:eastAsia="en-GB"/>
        </w:rPr>
        <w:t>analyzed</w:t>
      </w:r>
      <w:proofErr w:type="spellEnd"/>
      <w:r w:rsidRPr="00740F8E">
        <w:rPr>
          <w:rFonts w:ascii="Times New Roman" w:eastAsia="Times New Roman" w:hAnsi="Times New Roman" w:cs="Times New Roman"/>
          <w:sz w:val="24"/>
          <w:szCs w:val="24"/>
          <w:lang w:eastAsia="en-GB"/>
        </w:rPr>
        <w:t xml:space="preserve"> descriptively and comparatively. Results indicated that the solar power potential is estimated at 427,000 MW, of which only 1,250 MW (0.3%) is being utilized, while the hydroelectric potential is estimated at 14,000 MW, with 15% of this being utilized. The investments rose sharply in 2024, reaching ₦272.7 billion in 2024 versus ₦81.1 billion in 2015, which comprised public, private, and international investments. The innovations in renewable energy were identified as being sustainable and contributing to multiple SDGs, such as energy access (SDG 7), economic growth (SDG 8), innovation (SDG 9), sustainable cities (SDG 11), and climate actions (SDG 13). Despite the immense potential and investment in the renewable energy sector, the study suggests that Nigeria is yet to utilize the energy sources. It suggests more effective policy implementation, innovative financing, infrastructure development, capacity development, and linkage to SDG and climate targets to speed up the uptake of renewable energy for sustainable development.</w:t>
      </w:r>
    </w:p>
    <w:p w14:paraId="426AF1A9" w14:textId="77777777" w:rsidR="00452CB1" w:rsidRPr="006016AB" w:rsidRDefault="00452CB1" w:rsidP="00AC40E5">
      <w:pPr>
        <w:pStyle w:val="NormalWeb"/>
        <w:jc w:val="both"/>
      </w:pPr>
      <w:r w:rsidRPr="006016AB">
        <w:rPr>
          <w:rStyle w:val="Strong"/>
        </w:rPr>
        <w:t>Keywords:</w:t>
      </w:r>
      <w:r w:rsidR="00B21151">
        <w:t xml:space="preserve"> Biomass, climate action, energy a</w:t>
      </w:r>
      <w:r w:rsidR="00B21151" w:rsidRPr="006016AB">
        <w:t>ccess, renewable energy, sustainable development goals</w:t>
      </w:r>
    </w:p>
    <w:p w14:paraId="1BC5AE2C" w14:textId="77777777" w:rsidR="00452CB1" w:rsidRPr="006016AB" w:rsidRDefault="00692B7A" w:rsidP="00AC40E5">
      <w:pPr>
        <w:jc w:val="both"/>
        <w:rPr>
          <w:rFonts w:ascii="Times New Roman" w:hAnsi="Times New Roman" w:cs="Times New Roman"/>
          <w:b/>
          <w:sz w:val="24"/>
          <w:szCs w:val="24"/>
        </w:rPr>
      </w:pPr>
      <w:r>
        <w:rPr>
          <w:rFonts w:ascii="Times New Roman" w:hAnsi="Times New Roman" w:cs="Times New Roman"/>
          <w:b/>
          <w:sz w:val="24"/>
          <w:szCs w:val="24"/>
        </w:rPr>
        <w:t xml:space="preserve">1. </w:t>
      </w:r>
      <w:r w:rsidRPr="006016AB">
        <w:rPr>
          <w:rFonts w:ascii="Times New Roman" w:hAnsi="Times New Roman" w:cs="Times New Roman"/>
          <w:b/>
          <w:sz w:val="24"/>
          <w:szCs w:val="24"/>
        </w:rPr>
        <w:t>INTRODUCTION</w:t>
      </w:r>
    </w:p>
    <w:p w14:paraId="09B7964B" w14:textId="77777777" w:rsidR="00740F8E" w:rsidRPr="00740F8E" w:rsidRDefault="00740F8E"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40F8E">
        <w:rPr>
          <w:rFonts w:ascii="Times New Roman" w:eastAsia="Times New Roman" w:hAnsi="Times New Roman" w:cs="Times New Roman"/>
          <w:sz w:val="24"/>
          <w:szCs w:val="24"/>
          <w:lang w:eastAsia="en-GB"/>
        </w:rPr>
        <w:t xml:space="preserve">Nigeria is Africa's most energy-insecure country and also the most populous country and the largest economy in Africa. With its rich natural resources, the nation's energy use is overwhelmingly based on fossil fuels, especially crude oil and natural gas, which generate more than 80% of the country's electricity and export revenue (David and </w:t>
      </w:r>
      <w:r w:rsidRPr="00740F8E">
        <w:rPr>
          <w:rFonts w:ascii="Times New Roman" w:eastAsia="Times New Roman" w:hAnsi="Times New Roman" w:cs="Times New Roman"/>
          <w:sz w:val="24"/>
          <w:szCs w:val="24"/>
          <w:lang w:eastAsia="en-GB"/>
        </w:rPr>
        <w:lastRenderedPageBreak/>
        <w:t xml:space="preserve">Tijjani 2025; </w:t>
      </w:r>
      <w:proofErr w:type="spellStart"/>
      <w:r w:rsidRPr="00740F8E">
        <w:rPr>
          <w:rFonts w:ascii="Times New Roman" w:eastAsia="Times New Roman" w:hAnsi="Times New Roman" w:cs="Times New Roman"/>
          <w:sz w:val="24"/>
          <w:szCs w:val="24"/>
          <w:lang w:eastAsia="en-GB"/>
        </w:rPr>
        <w:t>Oruwari</w:t>
      </w:r>
      <w:proofErr w:type="spellEnd"/>
      <w:r w:rsidRPr="00740F8E">
        <w:rPr>
          <w:rFonts w:ascii="Times New Roman" w:eastAsia="Times New Roman" w:hAnsi="Times New Roman" w:cs="Times New Roman"/>
          <w:sz w:val="24"/>
          <w:szCs w:val="24"/>
          <w:lang w:eastAsia="en-GB"/>
        </w:rPr>
        <w:t xml:space="preserve"> et al. 2025; </w:t>
      </w:r>
      <w:proofErr w:type="spellStart"/>
      <w:r w:rsidRPr="00740F8E">
        <w:rPr>
          <w:rFonts w:ascii="Times New Roman" w:eastAsia="Times New Roman" w:hAnsi="Times New Roman" w:cs="Times New Roman"/>
          <w:sz w:val="24"/>
          <w:szCs w:val="24"/>
          <w:lang w:eastAsia="en-GB"/>
        </w:rPr>
        <w:t>Dinneya</w:t>
      </w:r>
      <w:proofErr w:type="spellEnd"/>
      <w:r w:rsidRPr="00740F8E">
        <w:rPr>
          <w:rFonts w:ascii="Times New Roman" w:eastAsia="Times New Roman" w:hAnsi="Times New Roman" w:cs="Times New Roman"/>
          <w:sz w:val="24"/>
          <w:szCs w:val="24"/>
          <w:lang w:eastAsia="en-GB"/>
        </w:rPr>
        <w:t xml:space="preserve">-Onuoha 2025; Anele and </w:t>
      </w:r>
      <w:proofErr w:type="spellStart"/>
      <w:r w:rsidRPr="00740F8E">
        <w:rPr>
          <w:rFonts w:ascii="Times New Roman" w:eastAsia="Times New Roman" w:hAnsi="Times New Roman" w:cs="Times New Roman"/>
          <w:sz w:val="24"/>
          <w:szCs w:val="24"/>
          <w:lang w:eastAsia="en-GB"/>
        </w:rPr>
        <w:t>Chinwah</w:t>
      </w:r>
      <w:proofErr w:type="spellEnd"/>
      <w:r w:rsidRPr="00740F8E">
        <w:rPr>
          <w:rFonts w:ascii="Times New Roman" w:eastAsia="Times New Roman" w:hAnsi="Times New Roman" w:cs="Times New Roman"/>
          <w:sz w:val="24"/>
          <w:szCs w:val="24"/>
          <w:lang w:eastAsia="en-GB"/>
        </w:rPr>
        <w:t xml:space="preserve"> 2026). This reliance has exposed Nigeria to the volatility of international oil prices, environmental pollution, and greenhouse gas emissions, which compound climate change. Meanwhile, an estimated 80 million Nigerians still have no access to reliable electricity while businesses are still faced with high operations costs as they depend on diesel generators (Roche et al., 2019; </w:t>
      </w:r>
      <w:proofErr w:type="spellStart"/>
      <w:r w:rsidRPr="00740F8E">
        <w:rPr>
          <w:rFonts w:ascii="Times New Roman" w:eastAsia="Times New Roman" w:hAnsi="Times New Roman" w:cs="Times New Roman"/>
          <w:sz w:val="24"/>
          <w:szCs w:val="24"/>
          <w:lang w:eastAsia="en-GB"/>
        </w:rPr>
        <w:t>Adoghe</w:t>
      </w:r>
      <w:proofErr w:type="spellEnd"/>
      <w:r w:rsidRPr="00740F8E">
        <w:rPr>
          <w:rFonts w:ascii="Times New Roman" w:eastAsia="Times New Roman" w:hAnsi="Times New Roman" w:cs="Times New Roman"/>
          <w:sz w:val="24"/>
          <w:szCs w:val="24"/>
          <w:lang w:eastAsia="en-GB"/>
        </w:rPr>
        <w:t xml:space="preserve"> et al., 2023). These difficulties highlight the need for a diversified, resilient, and sustainable energy system.</w:t>
      </w:r>
    </w:p>
    <w:p w14:paraId="630D7996" w14:textId="77777777" w:rsidR="00740F8E" w:rsidRPr="00740F8E" w:rsidRDefault="00740F8E"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40F8E">
        <w:rPr>
          <w:rFonts w:ascii="Times New Roman" w:eastAsia="Times New Roman" w:hAnsi="Times New Roman" w:cs="Times New Roman"/>
          <w:sz w:val="24"/>
          <w:szCs w:val="24"/>
          <w:lang w:eastAsia="en-GB"/>
        </w:rPr>
        <w:t xml:space="preserve">Renewable energy can be a potential solution to Nigeria's dilemma of energy poverty and environmental sustainability. The country has great renewable energy potential, such as large solar radiation in the northern part, hydropower potential from rivers, wind corridors in coastal and highland areas, and agricultural and forestry residues for biomass energy (Williams et al., 2019; Adeyanju et al., 2020; Agbo et al., 2021). The utilization of these resources might help improve energy access, boost economic growth, provide employment opportunities, lower the emissions of greenhouse gases, and contribute to Nigeria's efforts in international climate change pacts like the Paris Accord (Okoh and </w:t>
      </w:r>
      <w:proofErr w:type="spellStart"/>
      <w:r w:rsidRPr="00740F8E">
        <w:rPr>
          <w:rFonts w:ascii="Times New Roman" w:eastAsia="Times New Roman" w:hAnsi="Times New Roman" w:cs="Times New Roman"/>
          <w:sz w:val="24"/>
          <w:szCs w:val="24"/>
          <w:lang w:eastAsia="en-GB"/>
        </w:rPr>
        <w:t>Okpanachi</w:t>
      </w:r>
      <w:proofErr w:type="spellEnd"/>
      <w:r w:rsidRPr="00740F8E">
        <w:rPr>
          <w:rFonts w:ascii="Times New Roman" w:eastAsia="Times New Roman" w:hAnsi="Times New Roman" w:cs="Times New Roman"/>
          <w:sz w:val="24"/>
          <w:szCs w:val="24"/>
          <w:lang w:eastAsia="en-GB"/>
        </w:rPr>
        <w:t>, 2023; Nitte, 2023).</w:t>
      </w:r>
    </w:p>
    <w:p w14:paraId="16FE4E21" w14:textId="77777777" w:rsidR="00740F8E" w:rsidRPr="00740F8E" w:rsidRDefault="00740F8E"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40F8E">
        <w:rPr>
          <w:rFonts w:ascii="Times New Roman" w:eastAsia="Times New Roman" w:hAnsi="Times New Roman" w:cs="Times New Roman"/>
          <w:sz w:val="24"/>
          <w:szCs w:val="24"/>
          <w:lang w:eastAsia="en-GB"/>
        </w:rPr>
        <w:t xml:space="preserve">Over the past few years, there has been an influx of innovations in renewable energy technologies and financing structures that make clean energy adoption in Nigeria possible. Emerging as solutions are solar mini-grids, off-grid home systems, biomass digesters, and pilot projects in electric mobility (Obada et al., 2024; </w:t>
      </w:r>
      <w:proofErr w:type="spellStart"/>
      <w:r w:rsidRPr="00740F8E">
        <w:rPr>
          <w:rFonts w:ascii="Times New Roman" w:eastAsia="Times New Roman" w:hAnsi="Times New Roman" w:cs="Times New Roman"/>
          <w:sz w:val="24"/>
          <w:szCs w:val="24"/>
          <w:lang w:eastAsia="en-GB"/>
        </w:rPr>
        <w:t>Olujobi</w:t>
      </w:r>
      <w:proofErr w:type="spellEnd"/>
      <w:r w:rsidRPr="00740F8E">
        <w:rPr>
          <w:rFonts w:ascii="Times New Roman" w:eastAsia="Times New Roman" w:hAnsi="Times New Roman" w:cs="Times New Roman"/>
          <w:sz w:val="24"/>
          <w:szCs w:val="24"/>
          <w:lang w:eastAsia="en-GB"/>
        </w:rPr>
        <w:t xml:space="preserve">, 2024; </w:t>
      </w:r>
      <w:proofErr w:type="spellStart"/>
      <w:r w:rsidRPr="00740F8E">
        <w:rPr>
          <w:rFonts w:ascii="Times New Roman" w:eastAsia="Times New Roman" w:hAnsi="Times New Roman" w:cs="Times New Roman"/>
          <w:sz w:val="24"/>
          <w:szCs w:val="24"/>
          <w:lang w:eastAsia="en-GB"/>
        </w:rPr>
        <w:t>Obomejero</w:t>
      </w:r>
      <w:proofErr w:type="spellEnd"/>
      <w:r w:rsidRPr="00740F8E">
        <w:rPr>
          <w:rFonts w:ascii="Times New Roman" w:eastAsia="Times New Roman" w:hAnsi="Times New Roman" w:cs="Times New Roman"/>
          <w:sz w:val="24"/>
          <w:szCs w:val="24"/>
          <w:lang w:eastAsia="en-GB"/>
        </w:rPr>
        <w:t xml:space="preserve"> et al., 2025). Moreover, the magnitude of investments being made by public, private, and international partners is on the rise as renewable energy becomes a crucial enabler of sustainable development. Despite this, deployment continues at a slower rate than the country's capabilities due to policy gaps, infrastructural weaknesses, lack of technical capacity, and financing issues (Al</w:t>
      </w:r>
      <w:r w:rsidRPr="00740F8E">
        <w:rPr>
          <w:rFonts w:ascii="Cambria Math" w:eastAsia="Times New Roman" w:hAnsi="Cambria Math" w:cs="Cambria Math"/>
          <w:sz w:val="24"/>
          <w:szCs w:val="24"/>
          <w:lang w:eastAsia="en-GB"/>
        </w:rPr>
        <w:t>‐</w:t>
      </w:r>
      <w:proofErr w:type="spellStart"/>
      <w:r w:rsidRPr="00740F8E">
        <w:rPr>
          <w:rFonts w:ascii="Times New Roman" w:eastAsia="Times New Roman" w:hAnsi="Times New Roman" w:cs="Times New Roman"/>
          <w:sz w:val="24"/>
          <w:szCs w:val="24"/>
          <w:lang w:eastAsia="en-GB"/>
        </w:rPr>
        <w:t>Shetwi</w:t>
      </w:r>
      <w:proofErr w:type="spellEnd"/>
      <w:r w:rsidRPr="00740F8E">
        <w:rPr>
          <w:rFonts w:ascii="Times New Roman" w:eastAsia="Times New Roman" w:hAnsi="Times New Roman" w:cs="Times New Roman"/>
          <w:sz w:val="24"/>
          <w:szCs w:val="24"/>
          <w:lang w:eastAsia="en-GB"/>
        </w:rPr>
        <w:t xml:space="preserve">, 2022; </w:t>
      </w:r>
      <w:proofErr w:type="spellStart"/>
      <w:r w:rsidRPr="00740F8E">
        <w:rPr>
          <w:rFonts w:ascii="Times New Roman" w:eastAsia="Times New Roman" w:hAnsi="Times New Roman" w:cs="Times New Roman"/>
          <w:sz w:val="24"/>
          <w:szCs w:val="24"/>
          <w:lang w:eastAsia="en-GB"/>
        </w:rPr>
        <w:t>Awijen</w:t>
      </w:r>
      <w:proofErr w:type="spellEnd"/>
      <w:r w:rsidRPr="00740F8E">
        <w:rPr>
          <w:rFonts w:ascii="Times New Roman" w:eastAsia="Times New Roman" w:hAnsi="Times New Roman" w:cs="Times New Roman"/>
          <w:sz w:val="24"/>
          <w:szCs w:val="24"/>
          <w:lang w:eastAsia="en-GB"/>
        </w:rPr>
        <w:t xml:space="preserve"> et al., 2022; </w:t>
      </w:r>
      <w:proofErr w:type="spellStart"/>
      <w:r w:rsidRPr="00740F8E">
        <w:rPr>
          <w:rFonts w:ascii="Times New Roman" w:eastAsia="Times New Roman" w:hAnsi="Times New Roman" w:cs="Times New Roman"/>
          <w:sz w:val="24"/>
          <w:szCs w:val="24"/>
          <w:lang w:eastAsia="en-GB"/>
        </w:rPr>
        <w:t>Sambodo</w:t>
      </w:r>
      <w:proofErr w:type="spellEnd"/>
      <w:r w:rsidRPr="00740F8E">
        <w:rPr>
          <w:rFonts w:ascii="Times New Roman" w:eastAsia="Times New Roman" w:hAnsi="Times New Roman" w:cs="Times New Roman"/>
          <w:sz w:val="24"/>
          <w:szCs w:val="24"/>
          <w:lang w:eastAsia="en-GB"/>
        </w:rPr>
        <w:t xml:space="preserve"> et al., 2022; </w:t>
      </w:r>
      <w:proofErr w:type="spellStart"/>
      <w:r w:rsidRPr="00740F8E">
        <w:rPr>
          <w:rFonts w:ascii="Times New Roman" w:eastAsia="Times New Roman" w:hAnsi="Times New Roman" w:cs="Times New Roman"/>
          <w:sz w:val="24"/>
          <w:szCs w:val="24"/>
          <w:lang w:eastAsia="en-GB"/>
        </w:rPr>
        <w:t>Obuseh</w:t>
      </w:r>
      <w:proofErr w:type="spellEnd"/>
      <w:r w:rsidRPr="00740F8E">
        <w:rPr>
          <w:rFonts w:ascii="Times New Roman" w:eastAsia="Times New Roman" w:hAnsi="Times New Roman" w:cs="Times New Roman"/>
          <w:sz w:val="24"/>
          <w:szCs w:val="24"/>
          <w:lang w:eastAsia="en-GB"/>
        </w:rPr>
        <w:t xml:space="preserve"> et al., 2025).</w:t>
      </w:r>
    </w:p>
    <w:p w14:paraId="35080B46"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This article investigated renewable energy innovations for sustainable development in Nigeria, exploring the potential for renewable energy in Nigeria, investment trends in the country and the role of renewable energy in Nigeria towards the Sustainable Development Goals (SDGs). It identified opportunities, challenges and policy directions to hasten Nigeria's transition to a sustainable energy future using available data analysis.</w:t>
      </w:r>
    </w:p>
    <w:p w14:paraId="10A55A9E"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Moreover, there is positive experience in other countries such as Kenya, where solar mini-grid systems have been implemented with success, and India, which has made considerable strides in biomass energy. Additionally, there are lessons to be learnt from experience elsewhere, in the case of Kenya, from the successful introduction of solar mini-grids and, in India, from the development of biomass energy. The case studies highlight the need for policy coherence, creative financing and community participation to drive rapid action for renewable energy in the developing world.</w:t>
      </w:r>
    </w:p>
    <w:p w14:paraId="32921F3D"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Aim and Objectives</w:t>
      </w:r>
    </w:p>
    <w:p w14:paraId="2AC537B6"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Aim</w:t>
      </w:r>
    </w:p>
    <w:p w14:paraId="6AF6FEB5"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 xml:space="preserve">This study seeks to assess renewable energy innovations in Nigeria, examining the potential of renewable energy sources, investment trends in the sector, and its role in </w:t>
      </w:r>
      <w:r w:rsidRPr="008B241B">
        <w:rPr>
          <w:rFonts w:ascii="Times New Roman" w:eastAsia="Times New Roman" w:hAnsi="Times New Roman" w:cs="Times New Roman"/>
          <w:sz w:val="24"/>
          <w:szCs w:val="24"/>
          <w:lang w:eastAsia="en-GB"/>
        </w:rPr>
        <w:lastRenderedPageBreak/>
        <w:t>ensuring sustainable development and achieving its goals, while proposing solutions to accelerate the shift towards a sustainable and clean energy future in Nigeria.</w:t>
      </w:r>
    </w:p>
    <w:p w14:paraId="20964B6F"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Objectives</w:t>
      </w:r>
    </w:p>
    <w:p w14:paraId="40D8A788"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To evaluate the potentials of the renewable energy resources and the current utilisation of the resources in Nigeria (Table 1) with emphasis on solar, wind, hydropower, biomass and geothermal energy.</w:t>
      </w:r>
    </w:p>
    <w:p w14:paraId="529FEDD0"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2. To examine the trend of investments in the renewable energy sector in Nigeria from 2015 to 2024 (see Table 2) and identify the contribution of the public, private, and international funding streams to renewable energy growth.</w:t>
      </w:r>
    </w:p>
    <w:p w14:paraId="5C73237F"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To look at the role of innovations in renewable energy in promoting Sustainable Development Goals (SDGs) (as shown in Table 3), especially clean energy access, economic growth, innovation, sustainable cities and climate action in Nigeria.</w:t>
      </w:r>
    </w:p>
    <w:p w14:paraId="48259E4C"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To gain insight into the gaps, barriers, and opportunities that shape renewable energy development in Nigeria, based on the gap between the potential and utilisation of renewable energy.</w:t>
      </w:r>
    </w:p>
    <w:p w14:paraId="6636974F"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5. To propose policy and strategy interventions that will facilitate mass adoption of renewable energy and strengthen their contribution to Nigeria's sustainable development agenda.</w:t>
      </w:r>
    </w:p>
    <w:p w14:paraId="57579966" w14:textId="77777777" w:rsidR="008B241B" w:rsidRPr="008B241B" w:rsidRDefault="000930D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6. </w:t>
      </w:r>
      <w:r w:rsidR="008B241B" w:rsidRPr="008B241B">
        <w:rPr>
          <w:rFonts w:ascii="Times New Roman" w:eastAsia="Times New Roman" w:hAnsi="Times New Roman" w:cs="Times New Roman"/>
          <w:sz w:val="24"/>
          <w:szCs w:val="24"/>
          <w:lang w:eastAsia="en-GB"/>
        </w:rPr>
        <w:t>It will also delve into the role of stakeholders and policy frameworks to suggest practical strategies for Nigeria's transition to renewable energy.</w:t>
      </w:r>
    </w:p>
    <w:p w14:paraId="56A4C6E1" w14:textId="77777777" w:rsidR="008B241B" w:rsidRPr="008B241B" w:rsidRDefault="000930D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7. </w:t>
      </w:r>
      <w:r w:rsidR="008B241B" w:rsidRPr="008B241B">
        <w:rPr>
          <w:rFonts w:ascii="Times New Roman" w:eastAsia="Times New Roman" w:hAnsi="Times New Roman" w:cs="Times New Roman"/>
          <w:sz w:val="24"/>
          <w:szCs w:val="24"/>
          <w:lang w:eastAsia="en-GB"/>
        </w:rPr>
        <w:t>To assess the policy environment, institutional capacities and processes for stakeholder participation for the deployment of renewable energy in Nigeria</w:t>
      </w:r>
    </w:p>
    <w:p w14:paraId="0A6E8400" w14:textId="77777777" w:rsidR="008B241B" w:rsidRPr="008B241B" w:rsidRDefault="00692B7A" w:rsidP="008B241B">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 xml:space="preserve">2. </w:t>
      </w:r>
      <w:r w:rsidR="008B241B" w:rsidRPr="008B241B">
        <w:rPr>
          <w:rFonts w:ascii="Times New Roman" w:eastAsia="Times New Roman" w:hAnsi="Times New Roman" w:cs="Times New Roman"/>
          <w:b/>
          <w:bCs/>
          <w:sz w:val="24"/>
          <w:szCs w:val="24"/>
          <w:lang w:eastAsia="en-GB"/>
        </w:rPr>
        <w:t>MATERIALS AND METHODS</w:t>
      </w:r>
    </w:p>
    <w:p w14:paraId="4CCABACF"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The study used a descriptive and analytical research design for the study on innovations in renewable energy for sustainable development in Nigeria. The design was selected because it enabled the empirical data to be presented systematically and the interpretation of trends, policies and sectoral contributions. The research was conducted using secondary data obtained from various credible sources, both national and international, which is important to ensure the reliability and credibility of the research results.</w:t>
      </w:r>
    </w:p>
    <w:p w14:paraId="186D63A1" w14:textId="77777777" w:rsidR="008B241B" w:rsidRPr="008B241B" w:rsidRDefault="008B241B" w:rsidP="008B241B">
      <w:pPr>
        <w:spacing w:before="100" w:beforeAutospacing="1" w:after="100" w:afterAutospacing="1" w:line="240" w:lineRule="auto"/>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Data Sources</w:t>
      </w:r>
    </w:p>
    <w:p w14:paraId="3793D574"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The study was based on secondary data from the trustworthy national and international institutions. The Energy Commission of Nigeria (ECN), Federal Ministry of Power, Nigerian Investment Promotion Commission (NIPC) (</w:t>
      </w:r>
      <w:proofErr w:type="spellStart"/>
      <w:r w:rsidRPr="008B241B">
        <w:rPr>
          <w:rFonts w:ascii="Times New Roman" w:eastAsia="Times New Roman" w:hAnsi="Times New Roman" w:cs="Times New Roman"/>
          <w:sz w:val="24"/>
          <w:szCs w:val="24"/>
          <w:lang w:eastAsia="en-GB"/>
        </w:rPr>
        <w:t>Chanchangi</w:t>
      </w:r>
      <w:proofErr w:type="spellEnd"/>
      <w:r w:rsidRPr="008B241B">
        <w:rPr>
          <w:rFonts w:ascii="Times New Roman" w:eastAsia="Times New Roman" w:hAnsi="Times New Roman" w:cs="Times New Roman"/>
          <w:sz w:val="24"/>
          <w:szCs w:val="24"/>
          <w:lang w:eastAsia="en-GB"/>
        </w:rPr>
        <w:t xml:space="preserve"> et al., 2022), Rural Electrification Agency (REA), and International Renewable Energy Agency (IRENA) (Onoja and </w:t>
      </w:r>
      <w:proofErr w:type="spellStart"/>
      <w:r w:rsidRPr="008B241B">
        <w:rPr>
          <w:rFonts w:ascii="Times New Roman" w:eastAsia="Times New Roman" w:hAnsi="Times New Roman" w:cs="Times New Roman"/>
          <w:sz w:val="24"/>
          <w:szCs w:val="24"/>
          <w:lang w:eastAsia="en-GB"/>
        </w:rPr>
        <w:t>Achimugu</w:t>
      </w:r>
      <w:proofErr w:type="spellEnd"/>
      <w:r w:rsidRPr="008B241B">
        <w:rPr>
          <w:rFonts w:ascii="Times New Roman" w:eastAsia="Times New Roman" w:hAnsi="Times New Roman" w:cs="Times New Roman"/>
          <w:sz w:val="24"/>
          <w:szCs w:val="24"/>
          <w:lang w:eastAsia="en-GB"/>
        </w:rPr>
        <w:t xml:space="preserve">, 2025). The International Energy Agency (IEA), the World Bank and the United Nations Development Programme (UNDP) (Eckhouse, 2025) were among the key sources. Evidence from peer-reviewed journal articles, policy documents and statistical bulletins was used to balance the analysis. A significant effort was made to </w:t>
      </w:r>
      <w:r w:rsidRPr="008B241B">
        <w:rPr>
          <w:rFonts w:ascii="Times New Roman" w:eastAsia="Times New Roman" w:hAnsi="Times New Roman" w:cs="Times New Roman"/>
          <w:sz w:val="24"/>
          <w:szCs w:val="24"/>
          <w:lang w:eastAsia="en-GB"/>
        </w:rPr>
        <w:lastRenderedPageBreak/>
        <w:t>reduce the possible bias by choosing the data sources that are credible, up to date, and relevant. A cross-verification process was used to ensure consistency between reports.</w:t>
      </w:r>
    </w:p>
    <w:p w14:paraId="3D70A54C" w14:textId="77777777" w:rsidR="008B241B" w:rsidRPr="008B241B" w:rsidRDefault="008B241B" w:rsidP="008B241B">
      <w:pPr>
        <w:spacing w:before="100" w:beforeAutospacing="1" w:after="100" w:afterAutospacing="1" w:line="240" w:lineRule="auto"/>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Data Collection</w:t>
      </w:r>
    </w:p>
    <w:p w14:paraId="25822C81"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 xml:space="preserve">The data was systematically collected under three major themes, which align with the study purposes and tables: This </w:t>
      </w:r>
      <w:proofErr w:type="gramStart"/>
      <w:r w:rsidRPr="008B241B">
        <w:rPr>
          <w:rFonts w:ascii="Times New Roman" w:eastAsia="Times New Roman" w:hAnsi="Times New Roman" w:cs="Times New Roman"/>
          <w:sz w:val="24"/>
          <w:szCs w:val="24"/>
          <w:lang w:eastAsia="en-GB"/>
        </w:rPr>
        <w:t>included:-</w:t>
      </w:r>
      <w:proofErr w:type="gramEnd"/>
    </w:p>
    <w:p w14:paraId="0DF206D1" w14:textId="77777777" w:rsidR="008B241B" w:rsidRPr="008B241B" w:rsidRDefault="008B241B" w:rsidP="008B241B">
      <w:pPr>
        <w:spacing w:before="100" w:beforeAutospacing="1" w:after="100" w:afterAutospacing="1" w:line="240" w:lineRule="auto"/>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 xml:space="preserve">1. Renewable energy resource potentials and renewable energy utilisation: data for which were sourced from </w:t>
      </w:r>
      <w:proofErr w:type="gramStart"/>
      <w:r w:rsidRPr="008B241B">
        <w:rPr>
          <w:rFonts w:ascii="Times New Roman" w:eastAsia="Times New Roman" w:hAnsi="Times New Roman" w:cs="Times New Roman"/>
          <w:sz w:val="24"/>
          <w:szCs w:val="24"/>
          <w:lang w:eastAsia="en-GB"/>
        </w:rPr>
        <w:t>ECN,NREEEP</w:t>
      </w:r>
      <w:proofErr w:type="gramEnd"/>
      <w:r w:rsidR="000930DB">
        <w:rPr>
          <w:rFonts w:ascii="Times New Roman" w:eastAsia="Times New Roman" w:hAnsi="Times New Roman" w:cs="Times New Roman"/>
          <w:sz w:val="24"/>
          <w:szCs w:val="24"/>
          <w:lang w:eastAsia="en-GB"/>
        </w:rPr>
        <w:t xml:space="preserve"> (</w:t>
      </w:r>
      <w:r w:rsidR="000930DB" w:rsidRPr="000930DB">
        <w:rPr>
          <w:rStyle w:val="Emphasis"/>
          <w:rFonts w:ascii="Times New Roman" w:hAnsi="Times New Roman" w:cs="Times New Roman"/>
          <w:i w:val="0"/>
          <w:sz w:val="24"/>
          <w:szCs w:val="24"/>
        </w:rPr>
        <w:t>National Renewable Energy and Energy Efficiency Policy</w:t>
      </w:r>
      <w:r w:rsidR="000930DB">
        <w:rPr>
          <w:rStyle w:val="Emphasis"/>
          <w:rFonts w:ascii="Times New Roman" w:hAnsi="Times New Roman" w:cs="Times New Roman"/>
          <w:i w:val="0"/>
          <w:sz w:val="24"/>
          <w:szCs w:val="24"/>
        </w:rPr>
        <w:t>)</w:t>
      </w:r>
      <w:r w:rsidRPr="008B241B">
        <w:rPr>
          <w:rFonts w:ascii="Times New Roman" w:eastAsia="Times New Roman" w:hAnsi="Times New Roman" w:cs="Times New Roman"/>
          <w:sz w:val="24"/>
          <w:szCs w:val="24"/>
          <w:lang w:eastAsia="en-GB"/>
        </w:rPr>
        <w:t xml:space="preserve"> reports and IRENA statistics for solar, wind, hydropower, biomass and geothermal.</w:t>
      </w:r>
    </w:p>
    <w:p w14:paraId="18FC2B03"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2. Public, private and international investment inflows into renewables were collated from investment reports by NIPC, finance flow data from IRENA and World Bank/AfDB country project documents for the period 2015-2024.</w:t>
      </w:r>
    </w:p>
    <w:p w14:paraId="1D0AD694"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3. Evidence of relations between renewable energy and SDGs: Information on the connections between renewable energy and SDGs was obtained from UNDP, REA project reports, and the IEA's Tracking SDG7 reports.</w:t>
      </w:r>
    </w:p>
    <w:p w14:paraId="43D69FFE" w14:textId="77777777" w:rsidR="008B241B" w:rsidRPr="008B241B" w:rsidRDefault="008B241B" w:rsidP="008B241B">
      <w:pPr>
        <w:spacing w:before="100" w:beforeAutospacing="1" w:after="100" w:afterAutospacing="1" w:line="240" w:lineRule="auto"/>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Data Analysis</w:t>
      </w:r>
    </w:p>
    <w:p w14:paraId="1BC49DE8"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Analysis methods were mixed methods, both quantitative and qualitative. The quantitative data were tabulated in a structured form to show comparative trends of renewable energy potentials, investments and links with the SDGs. Descriptive statistics like percentages, growth rates and relative contributions were computed to show differences in endowment and utilisation and also in the volume of investments over ten years. Comparative analysis was employed to see the differences among the sources of renewable energy and to see the level of their underutilisation in relation to their potential. The role of renewable energy in sustainable development was explored, interpreted and analysed using thematic analysis, specifically on the integration of renewable energy into the national development agenda and national commitments to climate change.</w:t>
      </w:r>
    </w:p>
    <w:p w14:paraId="60EA7D75" w14:textId="77777777" w:rsidR="008B241B" w:rsidRPr="008B241B" w:rsidRDefault="008B241B" w:rsidP="008B241B">
      <w:pPr>
        <w:spacing w:before="100" w:beforeAutospacing="1" w:after="100" w:afterAutospacing="1" w:line="240" w:lineRule="auto"/>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Tools and Frameworks</w:t>
      </w:r>
    </w:p>
    <w:p w14:paraId="1EDBE9D7"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A sustainability framework was used as the analytical tool in the study, which consistently evaluated the innovations of renewable energy against the socio-economic development goals and the environmental obligations of Nigeria. The validation of the results was strengthened by having multiple sources for the data used for triangulation to ensure cross-validations and promote the robustness of the results. The study focused on the renewable energy developments in Nigeria from 2015 to 2024 and included solar, wind, hydropower, biomass and geothermal energy sources.</w:t>
      </w:r>
    </w:p>
    <w:p w14:paraId="75A6AC01" w14:textId="77777777" w:rsidR="008B241B" w:rsidRPr="008B241B" w:rsidRDefault="008B241B" w:rsidP="008B241B">
      <w:pPr>
        <w:spacing w:before="100" w:beforeAutospacing="1" w:after="100" w:afterAutospacing="1" w:line="240" w:lineRule="auto"/>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Validity and Reliability</w:t>
      </w:r>
    </w:p>
    <w:p w14:paraId="16218678"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In order to achieve validity, the data were triangulated from various credible sources such as national agencies, international organisations, and peer-reviewed studies. To ensure consistency of figures and interpretation, data trends were checked across rep</w:t>
      </w:r>
      <w:r w:rsidR="000930DB">
        <w:rPr>
          <w:rFonts w:ascii="Times New Roman" w:eastAsia="Times New Roman" w:hAnsi="Times New Roman" w:cs="Times New Roman"/>
          <w:sz w:val="24"/>
          <w:szCs w:val="24"/>
          <w:lang w:eastAsia="en-GB"/>
        </w:rPr>
        <w:t xml:space="preserve">orts to </w:t>
      </w:r>
      <w:r w:rsidR="000930DB">
        <w:rPr>
          <w:rFonts w:ascii="Times New Roman" w:eastAsia="Times New Roman" w:hAnsi="Times New Roman" w:cs="Times New Roman"/>
          <w:sz w:val="24"/>
          <w:szCs w:val="24"/>
          <w:lang w:eastAsia="en-GB"/>
        </w:rPr>
        <w:lastRenderedPageBreak/>
        <w:t>ensure reliability. W</w:t>
      </w:r>
      <w:r w:rsidRPr="008B241B">
        <w:rPr>
          <w:rFonts w:ascii="Times New Roman" w:eastAsia="Times New Roman" w:hAnsi="Times New Roman" w:cs="Times New Roman"/>
          <w:sz w:val="24"/>
          <w:szCs w:val="24"/>
          <w:lang w:eastAsia="en-GB"/>
        </w:rPr>
        <w:t xml:space="preserve">here </w:t>
      </w:r>
      <w:r w:rsidR="000930DB">
        <w:rPr>
          <w:rFonts w:ascii="Times New Roman" w:eastAsia="Times New Roman" w:hAnsi="Times New Roman" w:cs="Times New Roman"/>
          <w:sz w:val="24"/>
          <w:szCs w:val="24"/>
          <w:lang w:eastAsia="en-GB"/>
        </w:rPr>
        <w:t xml:space="preserve">there </w:t>
      </w:r>
      <w:r w:rsidRPr="008B241B">
        <w:rPr>
          <w:rFonts w:ascii="Times New Roman" w:eastAsia="Times New Roman" w:hAnsi="Times New Roman" w:cs="Times New Roman"/>
          <w:sz w:val="24"/>
          <w:szCs w:val="24"/>
          <w:lang w:eastAsia="en-GB"/>
        </w:rPr>
        <w:t>were any discrepancies, the latest and most widely referenced data sources were used.</w:t>
      </w:r>
    </w:p>
    <w:p w14:paraId="1F3076D9" w14:textId="77777777" w:rsidR="00550A47" w:rsidRPr="00385B85" w:rsidRDefault="00692B7A" w:rsidP="00452CB1">
      <w:pPr>
        <w:jc w:val="both"/>
        <w:rPr>
          <w:rFonts w:ascii="Times New Roman" w:hAnsi="Times New Roman" w:cs="Times New Roman"/>
          <w:b/>
          <w:sz w:val="24"/>
          <w:szCs w:val="24"/>
        </w:rPr>
      </w:pPr>
      <w:r>
        <w:rPr>
          <w:rFonts w:ascii="Times New Roman" w:hAnsi="Times New Roman" w:cs="Times New Roman"/>
          <w:b/>
          <w:sz w:val="24"/>
          <w:szCs w:val="24"/>
        </w:rPr>
        <w:t xml:space="preserve">3. </w:t>
      </w:r>
      <w:r w:rsidR="00550A47" w:rsidRPr="00385B85">
        <w:rPr>
          <w:rFonts w:ascii="Times New Roman" w:hAnsi="Times New Roman" w:cs="Times New Roman"/>
          <w:b/>
          <w:sz w:val="24"/>
          <w:szCs w:val="24"/>
        </w:rPr>
        <w:t xml:space="preserve">RESULTS </w:t>
      </w:r>
    </w:p>
    <w:p w14:paraId="214C20BA"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The renewable energy potential in Nigeria is presented in Table 1 below. The data show a huge untapped renewable energy potential in Nigeria, especially solar energy, which is estimated at 427,000 MW, but only 1,250 MW is installed, which is only 0.3% of this potential. Hydropower is the second largest, with a potential of 14,000 MW, of which 2062 MW is installed and is utilised at approximately 15%. Wind power is also underutilised, as just 30 MW has been installed compared to an estimated potential of 10,000 MW. The installed capacity for biomass is 70 MW with an estimated production of 144 million tonnes per year throughout the country. Although there is evidence of geothermal prospects in the Benue Trough and Niger Delta Basin, geothermal resources have been largely untapped (</w:t>
      </w:r>
      <w:proofErr w:type="spellStart"/>
      <w:r w:rsidRPr="008B241B">
        <w:rPr>
          <w:rFonts w:ascii="Times New Roman" w:eastAsia="Times New Roman" w:hAnsi="Times New Roman" w:cs="Times New Roman"/>
          <w:sz w:val="24"/>
          <w:szCs w:val="24"/>
          <w:lang w:eastAsia="en-GB"/>
        </w:rPr>
        <w:t>Alfaifi</w:t>
      </w:r>
      <w:proofErr w:type="spellEnd"/>
      <w:r w:rsidRPr="008B241B">
        <w:rPr>
          <w:rFonts w:ascii="Times New Roman" w:eastAsia="Times New Roman" w:hAnsi="Times New Roman" w:cs="Times New Roman"/>
          <w:sz w:val="24"/>
          <w:szCs w:val="24"/>
          <w:lang w:eastAsia="en-GB"/>
        </w:rPr>
        <w:t xml:space="preserve"> et al., 2022; </w:t>
      </w:r>
      <w:proofErr w:type="spellStart"/>
      <w:r w:rsidRPr="008B241B">
        <w:rPr>
          <w:rFonts w:ascii="Times New Roman" w:eastAsia="Times New Roman" w:hAnsi="Times New Roman" w:cs="Times New Roman"/>
          <w:sz w:val="24"/>
          <w:szCs w:val="24"/>
          <w:lang w:eastAsia="en-GB"/>
        </w:rPr>
        <w:t>Emetere</w:t>
      </w:r>
      <w:proofErr w:type="spellEnd"/>
      <w:r w:rsidRPr="008B241B">
        <w:rPr>
          <w:rFonts w:ascii="Times New Roman" w:eastAsia="Times New Roman" w:hAnsi="Times New Roman" w:cs="Times New Roman"/>
          <w:sz w:val="24"/>
          <w:szCs w:val="24"/>
          <w:lang w:eastAsia="en-GB"/>
        </w:rPr>
        <w:t>, 2022; Akpan et al., 2023). The gap in potential and use highlights the need to make better investments, utilise more technology and policy change to capitalise on these vast resources to achieve sustainable energy development.</w:t>
      </w:r>
    </w:p>
    <w:p w14:paraId="00903466"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 xml:space="preserve">Predictive modelling through scenario analysis could give estimates of potential impacts under different policy and investment scenarios and better understand the future trajectory of renewable energy in Nigeria (Adeshina et al., 2024; Ishaku and Quadri, 2025; </w:t>
      </w:r>
      <w:proofErr w:type="spellStart"/>
      <w:r w:rsidRPr="008B241B">
        <w:rPr>
          <w:rFonts w:ascii="Times New Roman" w:eastAsia="Times New Roman" w:hAnsi="Times New Roman" w:cs="Times New Roman"/>
          <w:sz w:val="24"/>
          <w:szCs w:val="24"/>
          <w:lang w:eastAsia="en-GB"/>
        </w:rPr>
        <w:t>Unegbua</w:t>
      </w:r>
      <w:proofErr w:type="spellEnd"/>
      <w:r w:rsidRPr="008B241B">
        <w:rPr>
          <w:rFonts w:ascii="Times New Roman" w:eastAsia="Times New Roman" w:hAnsi="Times New Roman" w:cs="Times New Roman"/>
          <w:sz w:val="24"/>
          <w:szCs w:val="24"/>
          <w:lang w:eastAsia="en-GB"/>
        </w:rPr>
        <w:t xml:space="preserve"> et al., 2025). In addition, using case studies on pilot projects such as the mini-grid solar projects in Katsina or biomass projects in the Niger Delta would illustrate proven challenges and successes with respect to implementation (</w:t>
      </w:r>
      <w:proofErr w:type="spellStart"/>
      <w:r w:rsidRPr="008B241B">
        <w:rPr>
          <w:rFonts w:ascii="Times New Roman" w:eastAsia="Times New Roman" w:hAnsi="Times New Roman" w:cs="Times New Roman"/>
          <w:sz w:val="24"/>
          <w:szCs w:val="24"/>
          <w:lang w:eastAsia="en-GB"/>
        </w:rPr>
        <w:t>Elegeonye</w:t>
      </w:r>
      <w:proofErr w:type="spellEnd"/>
      <w:r w:rsidRPr="008B241B">
        <w:rPr>
          <w:rFonts w:ascii="Times New Roman" w:eastAsia="Times New Roman" w:hAnsi="Times New Roman" w:cs="Times New Roman"/>
          <w:sz w:val="24"/>
          <w:szCs w:val="24"/>
          <w:lang w:eastAsia="en-GB"/>
        </w:rPr>
        <w:t xml:space="preserve"> et al., 2023; Carabajal et al., 2024). In addition, a discussion of social and cultural barriers (including community acceptance, local capacity for maintenance, and gender) would enhance the analysis.</w:t>
      </w:r>
    </w:p>
    <w:p w14:paraId="3736E2B4" w14:textId="77777777" w:rsidR="00937AD4" w:rsidRPr="007165FC" w:rsidRDefault="00937AD4" w:rsidP="00937AD4">
      <w:pPr>
        <w:spacing w:before="100" w:beforeAutospacing="1" w:after="100" w:afterAutospacing="1" w:line="240" w:lineRule="auto"/>
        <w:jc w:val="both"/>
        <w:outlineLvl w:val="2"/>
        <w:rPr>
          <w:rFonts w:ascii="Times New Roman" w:eastAsia="Times New Roman" w:hAnsi="Times New Roman" w:cs="Times New Roman"/>
          <w:b/>
          <w:bCs/>
          <w:sz w:val="24"/>
          <w:szCs w:val="24"/>
          <w:lang w:eastAsia="en-GB"/>
        </w:rPr>
      </w:pPr>
      <w:r w:rsidRPr="007165FC">
        <w:rPr>
          <w:rFonts w:ascii="Times New Roman" w:eastAsia="Times New Roman" w:hAnsi="Times New Roman" w:cs="Times New Roman"/>
          <w:b/>
          <w:bCs/>
          <w:sz w:val="24"/>
          <w:szCs w:val="24"/>
          <w:lang w:eastAsia="en-GB"/>
        </w:rPr>
        <w:t xml:space="preserve">Table 1: </w:t>
      </w:r>
      <w:r w:rsidRPr="004D3811">
        <w:rPr>
          <w:rFonts w:ascii="Times New Roman" w:eastAsia="Times New Roman" w:hAnsi="Times New Roman" w:cs="Times New Roman"/>
          <w:bCs/>
          <w:sz w:val="24"/>
          <w:szCs w:val="24"/>
          <w:lang w:eastAsia="en-GB"/>
        </w:rPr>
        <w:t>Renewable Energy Potential in Nigeria by Resource Type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87"/>
        <w:gridCol w:w="1651"/>
        <w:gridCol w:w="1597"/>
        <w:gridCol w:w="1378"/>
        <w:gridCol w:w="1902"/>
      </w:tblGrid>
      <w:tr w:rsidR="00937AD4" w:rsidRPr="007165FC" w14:paraId="14BFF177" w14:textId="77777777" w:rsidTr="0079360C">
        <w:trPr>
          <w:tblHeader/>
          <w:tblCellSpacing w:w="15" w:type="dxa"/>
        </w:trPr>
        <w:tc>
          <w:tcPr>
            <w:tcW w:w="0" w:type="auto"/>
            <w:tcBorders>
              <w:top w:val="single" w:sz="4" w:space="0" w:color="auto"/>
              <w:bottom w:val="single" w:sz="4" w:space="0" w:color="auto"/>
            </w:tcBorders>
            <w:vAlign w:val="center"/>
            <w:hideMark/>
          </w:tcPr>
          <w:p w14:paraId="4FA3EF54" w14:textId="77777777" w:rsidR="00937AD4" w:rsidRPr="004D3811" w:rsidRDefault="00937AD4" w:rsidP="00860768">
            <w:pPr>
              <w:spacing w:after="0" w:line="240" w:lineRule="auto"/>
              <w:jc w:val="both"/>
              <w:rPr>
                <w:rFonts w:ascii="Times New Roman" w:eastAsia="Times New Roman" w:hAnsi="Times New Roman" w:cs="Times New Roman"/>
                <w:bCs/>
                <w:sz w:val="24"/>
                <w:szCs w:val="24"/>
                <w:lang w:eastAsia="en-GB"/>
              </w:rPr>
            </w:pPr>
            <w:r w:rsidRPr="004D3811">
              <w:rPr>
                <w:rFonts w:ascii="Times New Roman" w:eastAsia="Times New Roman" w:hAnsi="Times New Roman" w:cs="Times New Roman"/>
                <w:bCs/>
                <w:sz w:val="24"/>
                <w:szCs w:val="24"/>
                <w:lang w:eastAsia="en-GB"/>
              </w:rPr>
              <w:t>Resource Type</w:t>
            </w:r>
          </w:p>
        </w:tc>
        <w:tc>
          <w:tcPr>
            <w:tcW w:w="0" w:type="auto"/>
            <w:tcBorders>
              <w:top w:val="single" w:sz="4" w:space="0" w:color="auto"/>
              <w:bottom w:val="single" w:sz="4" w:space="0" w:color="auto"/>
            </w:tcBorders>
            <w:vAlign w:val="center"/>
            <w:hideMark/>
          </w:tcPr>
          <w:p w14:paraId="5F2149F2" w14:textId="77777777" w:rsidR="00937AD4" w:rsidRPr="004D3811" w:rsidRDefault="00937AD4" w:rsidP="00860768">
            <w:pPr>
              <w:spacing w:after="0" w:line="240" w:lineRule="auto"/>
              <w:jc w:val="both"/>
              <w:rPr>
                <w:rFonts w:ascii="Times New Roman" w:eastAsia="Times New Roman" w:hAnsi="Times New Roman" w:cs="Times New Roman"/>
                <w:bCs/>
                <w:sz w:val="24"/>
                <w:szCs w:val="24"/>
                <w:lang w:eastAsia="en-GB"/>
              </w:rPr>
            </w:pPr>
            <w:r w:rsidRPr="004D3811">
              <w:rPr>
                <w:rFonts w:ascii="Times New Roman" w:eastAsia="Times New Roman" w:hAnsi="Times New Roman" w:cs="Times New Roman"/>
                <w:bCs/>
                <w:sz w:val="24"/>
                <w:szCs w:val="24"/>
                <w:lang w:eastAsia="en-GB"/>
              </w:rPr>
              <w:t>Estimated Potential</w:t>
            </w:r>
          </w:p>
        </w:tc>
        <w:tc>
          <w:tcPr>
            <w:tcW w:w="0" w:type="auto"/>
            <w:tcBorders>
              <w:top w:val="single" w:sz="4" w:space="0" w:color="auto"/>
              <w:bottom w:val="single" w:sz="4" w:space="0" w:color="auto"/>
            </w:tcBorders>
            <w:vAlign w:val="center"/>
            <w:hideMark/>
          </w:tcPr>
          <w:p w14:paraId="1B1EC05A" w14:textId="77777777" w:rsidR="00937AD4" w:rsidRPr="004D3811" w:rsidRDefault="00937AD4" w:rsidP="00860768">
            <w:pPr>
              <w:spacing w:after="0" w:line="240" w:lineRule="auto"/>
              <w:jc w:val="both"/>
              <w:rPr>
                <w:rFonts w:ascii="Times New Roman" w:eastAsia="Times New Roman" w:hAnsi="Times New Roman" w:cs="Times New Roman"/>
                <w:bCs/>
                <w:sz w:val="24"/>
                <w:szCs w:val="24"/>
                <w:lang w:eastAsia="en-GB"/>
              </w:rPr>
            </w:pPr>
            <w:r w:rsidRPr="004D3811">
              <w:rPr>
                <w:rFonts w:ascii="Times New Roman" w:eastAsia="Times New Roman" w:hAnsi="Times New Roman" w:cs="Times New Roman"/>
                <w:bCs/>
                <w:sz w:val="24"/>
                <w:szCs w:val="24"/>
                <w:lang w:eastAsia="en-GB"/>
              </w:rPr>
              <w:t>Current Installed Capacity (MW)</w:t>
            </w:r>
          </w:p>
        </w:tc>
        <w:tc>
          <w:tcPr>
            <w:tcW w:w="0" w:type="auto"/>
            <w:tcBorders>
              <w:top w:val="single" w:sz="4" w:space="0" w:color="auto"/>
              <w:bottom w:val="single" w:sz="4" w:space="0" w:color="auto"/>
            </w:tcBorders>
            <w:vAlign w:val="center"/>
            <w:hideMark/>
          </w:tcPr>
          <w:p w14:paraId="05C604B5" w14:textId="77777777" w:rsidR="00937AD4" w:rsidRPr="004D3811" w:rsidRDefault="00937AD4" w:rsidP="00860768">
            <w:pPr>
              <w:spacing w:after="0" w:line="240" w:lineRule="auto"/>
              <w:jc w:val="both"/>
              <w:rPr>
                <w:rFonts w:ascii="Times New Roman" w:eastAsia="Times New Roman" w:hAnsi="Times New Roman" w:cs="Times New Roman"/>
                <w:bCs/>
                <w:sz w:val="24"/>
                <w:szCs w:val="24"/>
                <w:lang w:eastAsia="en-GB"/>
              </w:rPr>
            </w:pPr>
            <w:r w:rsidRPr="004D3811">
              <w:rPr>
                <w:rFonts w:ascii="Times New Roman" w:eastAsia="Times New Roman" w:hAnsi="Times New Roman" w:cs="Times New Roman"/>
                <w:bCs/>
                <w:sz w:val="24"/>
                <w:szCs w:val="24"/>
                <w:lang w:eastAsia="en-GB"/>
              </w:rPr>
              <w:t>Current Utilization (%)</w:t>
            </w:r>
          </w:p>
        </w:tc>
        <w:tc>
          <w:tcPr>
            <w:tcW w:w="0" w:type="auto"/>
            <w:tcBorders>
              <w:top w:val="single" w:sz="4" w:space="0" w:color="auto"/>
              <w:bottom w:val="single" w:sz="4" w:space="0" w:color="auto"/>
            </w:tcBorders>
            <w:vAlign w:val="center"/>
            <w:hideMark/>
          </w:tcPr>
          <w:p w14:paraId="18AF3639" w14:textId="77777777" w:rsidR="00937AD4" w:rsidRPr="004D3811" w:rsidRDefault="00937AD4" w:rsidP="00860768">
            <w:pPr>
              <w:spacing w:after="0" w:line="240" w:lineRule="auto"/>
              <w:jc w:val="both"/>
              <w:rPr>
                <w:rFonts w:ascii="Times New Roman" w:eastAsia="Times New Roman" w:hAnsi="Times New Roman" w:cs="Times New Roman"/>
                <w:bCs/>
                <w:sz w:val="24"/>
                <w:szCs w:val="24"/>
                <w:lang w:eastAsia="en-GB"/>
              </w:rPr>
            </w:pPr>
            <w:r w:rsidRPr="004D3811">
              <w:rPr>
                <w:rFonts w:ascii="Times New Roman" w:eastAsia="Times New Roman" w:hAnsi="Times New Roman" w:cs="Times New Roman"/>
                <w:bCs/>
                <w:sz w:val="24"/>
                <w:szCs w:val="24"/>
                <w:lang w:eastAsia="en-GB"/>
              </w:rPr>
              <w:t>Key Locations in Nigeria</w:t>
            </w:r>
          </w:p>
        </w:tc>
      </w:tr>
      <w:tr w:rsidR="00937AD4" w:rsidRPr="007165FC" w14:paraId="78E8C492" w14:textId="77777777" w:rsidTr="0079360C">
        <w:trPr>
          <w:tblCellSpacing w:w="15" w:type="dxa"/>
        </w:trPr>
        <w:tc>
          <w:tcPr>
            <w:tcW w:w="0" w:type="auto"/>
            <w:vAlign w:val="center"/>
            <w:hideMark/>
          </w:tcPr>
          <w:p w14:paraId="229F2405"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Solar Power</w:t>
            </w:r>
          </w:p>
        </w:tc>
        <w:tc>
          <w:tcPr>
            <w:tcW w:w="0" w:type="auto"/>
            <w:vAlign w:val="center"/>
            <w:hideMark/>
          </w:tcPr>
          <w:p w14:paraId="4E3599B9"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427,000 MW</w:t>
            </w:r>
          </w:p>
        </w:tc>
        <w:tc>
          <w:tcPr>
            <w:tcW w:w="0" w:type="auto"/>
            <w:vAlign w:val="center"/>
            <w:hideMark/>
          </w:tcPr>
          <w:p w14:paraId="79573A1A"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1,250 MW</w:t>
            </w:r>
          </w:p>
        </w:tc>
        <w:tc>
          <w:tcPr>
            <w:tcW w:w="0" w:type="auto"/>
            <w:vAlign w:val="center"/>
            <w:hideMark/>
          </w:tcPr>
          <w:p w14:paraId="225CE6DE"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0.3%</w:t>
            </w:r>
          </w:p>
        </w:tc>
        <w:tc>
          <w:tcPr>
            <w:tcW w:w="0" w:type="auto"/>
            <w:vAlign w:val="center"/>
            <w:hideMark/>
          </w:tcPr>
          <w:p w14:paraId="61118A05" w14:textId="77777777" w:rsidR="00937AD4" w:rsidRPr="007165FC" w:rsidRDefault="00937AD4" w:rsidP="004D3811">
            <w:pPr>
              <w:spacing w:after="0" w:line="240" w:lineRule="auto"/>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Northern states (Kano, Sokoto, Katsina)</w:t>
            </w:r>
          </w:p>
        </w:tc>
      </w:tr>
      <w:tr w:rsidR="00937AD4" w:rsidRPr="00005FE8" w14:paraId="2E940567" w14:textId="77777777" w:rsidTr="0079360C">
        <w:trPr>
          <w:tblCellSpacing w:w="15" w:type="dxa"/>
        </w:trPr>
        <w:tc>
          <w:tcPr>
            <w:tcW w:w="0" w:type="auto"/>
            <w:vAlign w:val="center"/>
            <w:hideMark/>
          </w:tcPr>
          <w:p w14:paraId="14C9FE51"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Wind Energy</w:t>
            </w:r>
          </w:p>
        </w:tc>
        <w:tc>
          <w:tcPr>
            <w:tcW w:w="0" w:type="auto"/>
            <w:vAlign w:val="center"/>
            <w:hideMark/>
          </w:tcPr>
          <w:p w14:paraId="242E24D9"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10,000 MW</w:t>
            </w:r>
          </w:p>
        </w:tc>
        <w:tc>
          <w:tcPr>
            <w:tcW w:w="0" w:type="auto"/>
            <w:vAlign w:val="center"/>
            <w:hideMark/>
          </w:tcPr>
          <w:p w14:paraId="19484DE2"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30 MW</w:t>
            </w:r>
          </w:p>
        </w:tc>
        <w:tc>
          <w:tcPr>
            <w:tcW w:w="0" w:type="auto"/>
            <w:vAlign w:val="center"/>
            <w:hideMark/>
          </w:tcPr>
          <w:p w14:paraId="05E0A1A9"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0.2%</w:t>
            </w:r>
          </w:p>
        </w:tc>
        <w:tc>
          <w:tcPr>
            <w:tcW w:w="0" w:type="auto"/>
            <w:vAlign w:val="center"/>
            <w:hideMark/>
          </w:tcPr>
          <w:p w14:paraId="15A6799C" w14:textId="77777777" w:rsidR="00937AD4" w:rsidRPr="00005FE8" w:rsidRDefault="00937AD4" w:rsidP="004D3811">
            <w:pPr>
              <w:spacing w:after="0" w:line="240" w:lineRule="auto"/>
              <w:rPr>
                <w:rFonts w:ascii="Times New Roman" w:eastAsia="Times New Roman" w:hAnsi="Times New Roman" w:cs="Times New Roman"/>
                <w:sz w:val="24"/>
                <w:szCs w:val="24"/>
                <w:lang w:val="pt-BR" w:eastAsia="en-GB"/>
              </w:rPr>
            </w:pPr>
            <w:r w:rsidRPr="00005FE8">
              <w:rPr>
                <w:rFonts w:ascii="Times New Roman" w:eastAsia="Times New Roman" w:hAnsi="Times New Roman" w:cs="Times New Roman"/>
                <w:sz w:val="24"/>
                <w:szCs w:val="24"/>
                <w:lang w:val="pt-BR" w:eastAsia="en-GB"/>
              </w:rPr>
              <w:t>Plateau, Sokoto, Katsina, Lagos coast</w:t>
            </w:r>
          </w:p>
        </w:tc>
      </w:tr>
      <w:tr w:rsidR="00937AD4" w:rsidRPr="007165FC" w14:paraId="01B39571" w14:textId="77777777" w:rsidTr="0079360C">
        <w:trPr>
          <w:tblCellSpacing w:w="15" w:type="dxa"/>
        </w:trPr>
        <w:tc>
          <w:tcPr>
            <w:tcW w:w="0" w:type="auto"/>
            <w:vAlign w:val="center"/>
            <w:hideMark/>
          </w:tcPr>
          <w:p w14:paraId="7FA00EF0" w14:textId="77777777" w:rsidR="00937AD4" w:rsidRPr="007165FC" w:rsidRDefault="00937AD4" w:rsidP="004D3811">
            <w:pPr>
              <w:spacing w:after="0" w:line="240" w:lineRule="auto"/>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Hydropower (Large + Small)</w:t>
            </w:r>
          </w:p>
        </w:tc>
        <w:tc>
          <w:tcPr>
            <w:tcW w:w="0" w:type="auto"/>
            <w:vAlign w:val="center"/>
            <w:hideMark/>
          </w:tcPr>
          <w:p w14:paraId="3A6A1B2D"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14,000 MW</w:t>
            </w:r>
          </w:p>
        </w:tc>
        <w:tc>
          <w:tcPr>
            <w:tcW w:w="0" w:type="auto"/>
            <w:vAlign w:val="center"/>
            <w:hideMark/>
          </w:tcPr>
          <w:p w14:paraId="13A16F48"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2,062 MW</w:t>
            </w:r>
          </w:p>
        </w:tc>
        <w:tc>
          <w:tcPr>
            <w:tcW w:w="0" w:type="auto"/>
            <w:vAlign w:val="center"/>
            <w:hideMark/>
          </w:tcPr>
          <w:p w14:paraId="3336E025"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15%</w:t>
            </w:r>
          </w:p>
        </w:tc>
        <w:tc>
          <w:tcPr>
            <w:tcW w:w="0" w:type="auto"/>
            <w:vAlign w:val="center"/>
            <w:hideMark/>
          </w:tcPr>
          <w:p w14:paraId="5B41ADC0" w14:textId="77777777" w:rsidR="00937AD4" w:rsidRPr="007165FC" w:rsidRDefault="00937AD4" w:rsidP="004D3811">
            <w:pPr>
              <w:spacing w:after="0" w:line="240" w:lineRule="auto"/>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 xml:space="preserve">Kainji, </w:t>
            </w:r>
            <w:proofErr w:type="spellStart"/>
            <w:r w:rsidRPr="007165FC">
              <w:rPr>
                <w:rFonts w:ascii="Times New Roman" w:eastAsia="Times New Roman" w:hAnsi="Times New Roman" w:cs="Times New Roman"/>
                <w:sz w:val="24"/>
                <w:szCs w:val="24"/>
                <w:lang w:eastAsia="en-GB"/>
              </w:rPr>
              <w:t>Jebba</w:t>
            </w:r>
            <w:proofErr w:type="spellEnd"/>
            <w:r w:rsidRPr="007165FC">
              <w:rPr>
                <w:rFonts w:ascii="Times New Roman" w:eastAsia="Times New Roman" w:hAnsi="Times New Roman" w:cs="Times New Roman"/>
                <w:sz w:val="24"/>
                <w:szCs w:val="24"/>
                <w:lang w:eastAsia="en-GB"/>
              </w:rPr>
              <w:t xml:space="preserve">, </w:t>
            </w:r>
            <w:proofErr w:type="spellStart"/>
            <w:r w:rsidRPr="007165FC">
              <w:rPr>
                <w:rFonts w:ascii="Times New Roman" w:eastAsia="Times New Roman" w:hAnsi="Times New Roman" w:cs="Times New Roman"/>
                <w:sz w:val="24"/>
                <w:szCs w:val="24"/>
                <w:lang w:eastAsia="en-GB"/>
              </w:rPr>
              <w:t>Shiroro</w:t>
            </w:r>
            <w:proofErr w:type="spellEnd"/>
            <w:r w:rsidRPr="007165FC">
              <w:rPr>
                <w:rFonts w:ascii="Times New Roman" w:eastAsia="Times New Roman" w:hAnsi="Times New Roman" w:cs="Times New Roman"/>
                <w:sz w:val="24"/>
                <w:szCs w:val="24"/>
                <w:lang w:eastAsia="en-GB"/>
              </w:rPr>
              <w:t xml:space="preserve">, </w:t>
            </w:r>
            <w:proofErr w:type="spellStart"/>
            <w:r w:rsidRPr="007165FC">
              <w:rPr>
                <w:rFonts w:ascii="Times New Roman" w:eastAsia="Times New Roman" w:hAnsi="Times New Roman" w:cs="Times New Roman"/>
                <w:sz w:val="24"/>
                <w:szCs w:val="24"/>
                <w:lang w:eastAsia="en-GB"/>
              </w:rPr>
              <w:t>Mambilla</w:t>
            </w:r>
            <w:proofErr w:type="spellEnd"/>
          </w:p>
        </w:tc>
      </w:tr>
      <w:tr w:rsidR="00937AD4" w:rsidRPr="007165FC" w14:paraId="3180BFB6" w14:textId="77777777" w:rsidTr="0079360C">
        <w:trPr>
          <w:tblCellSpacing w:w="15" w:type="dxa"/>
        </w:trPr>
        <w:tc>
          <w:tcPr>
            <w:tcW w:w="0" w:type="auto"/>
            <w:vAlign w:val="center"/>
            <w:hideMark/>
          </w:tcPr>
          <w:p w14:paraId="6178B8BC"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Biomass/Bioenergy</w:t>
            </w:r>
          </w:p>
        </w:tc>
        <w:tc>
          <w:tcPr>
            <w:tcW w:w="0" w:type="auto"/>
            <w:vAlign w:val="center"/>
            <w:hideMark/>
          </w:tcPr>
          <w:p w14:paraId="6F53F656" w14:textId="77777777" w:rsidR="00937AD4" w:rsidRPr="007165FC" w:rsidRDefault="00937AD4" w:rsidP="004D3811">
            <w:pPr>
              <w:spacing w:after="0" w:line="240" w:lineRule="auto"/>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144 million tonnes/year</w:t>
            </w:r>
          </w:p>
        </w:tc>
        <w:tc>
          <w:tcPr>
            <w:tcW w:w="0" w:type="auto"/>
            <w:vAlign w:val="center"/>
            <w:hideMark/>
          </w:tcPr>
          <w:p w14:paraId="031E439F"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70 MW</w:t>
            </w:r>
          </w:p>
        </w:tc>
        <w:tc>
          <w:tcPr>
            <w:tcW w:w="0" w:type="auto"/>
            <w:vAlign w:val="center"/>
            <w:hideMark/>
          </w:tcPr>
          <w:p w14:paraId="3B14E056"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0.1%</w:t>
            </w:r>
          </w:p>
        </w:tc>
        <w:tc>
          <w:tcPr>
            <w:tcW w:w="0" w:type="auto"/>
            <w:vAlign w:val="center"/>
            <w:hideMark/>
          </w:tcPr>
          <w:p w14:paraId="2AEF1837"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Nationwide (agricultural zones)</w:t>
            </w:r>
          </w:p>
        </w:tc>
      </w:tr>
      <w:tr w:rsidR="00937AD4" w:rsidRPr="007165FC" w14:paraId="1BEE928C" w14:textId="77777777" w:rsidTr="0079360C">
        <w:trPr>
          <w:tblCellSpacing w:w="15" w:type="dxa"/>
        </w:trPr>
        <w:tc>
          <w:tcPr>
            <w:tcW w:w="0" w:type="auto"/>
            <w:tcBorders>
              <w:bottom w:val="single" w:sz="4" w:space="0" w:color="auto"/>
            </w:tcBorders>
            <w:vAlign w:val="center"/>
            <w:hideMark/>
          </w:tcPr>
          <w:p w14:paraId="334778C4"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Geothermal</w:t>
            </w:r>
          </w:p>
        </w:tc>
        <w:tc>
          <w:tcPr>
            <w:tcW w:w="0" w:type="auto"/>
            <w:tcBorders>
              <w:bottom w:val="single" w:sz="4" w:space="0" w:color="auto"/>
            </w:tcBorders>
            <w:vAlign w:val="center"/>
            <w:hideMark/>
          </w:tcPr>
          <w:p w14:paraId="57F0D443" w14:textId="77777777" w:rsidR="00937AD4" w:rsidRPr="007165FC" w:rsidRDefault="00937AD4" w:rsidP="004D3811">
            <w:pPr>
              <w:spacing w:after="0" w:line="240" w:lineRule="auto"/>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Undetermined</w:t>
            </w:r>
          </w:p>
        </w:tc>
        <w:tc>
          <w:tcPr>
            <w:tcW w:w="0" w:type="auto"/>
            <w:tcBorders>
              <w:bottom w:val="single" w:sz="4" w:space="0" w:color="auto"/>
            </w:tcBorders>
            <w:vAlign w:val="center"/>
            <w:hideMark/>
          </w:tcPr>
          <w:p w14:paraId="4D0BFF1B"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Negligible</w:t>
            </w:r>
          </w:p>
        </w:tc>
        <w:tc>
          <w:tcPr>
            <w:tcW w:w="0" w:type="auto"/>
            <w:tcBorders>
              <w:bottom w:val="single" w:sz="4" w:space="0" w:color="auto"/>
            </w:tcBorders>
            <w:vAlign w:val="center"/>
            <w:hideMark/>
          </w:tcPr>
          <w:p w14:paraId="604696CF" w14:textId="77777777" w:rsidR="00937AD4" w:rsidRPr="007165FC" w:rsidRDefault="00937AD4"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&lt;0.1%</w:t>
            </w:r>
          </w:p>
        </w:tc>
        <w:tc>
          <w:tcPr>
            <w:tcW w:w="0" w:type="auto"/>
            <w:tcBorders>
              <w:bottom w:val="single" w:sz="4" w:space="0" w:color="auto"/>
            </w:tcBorders>
            <w:vAlign w:val="center"/>
            <w:hideMark/>
          </w:tcPr>
          <w:p w14:paraId="0F14618A" w14:textId="77777777" w:rsidR="00937AD4" w:rsidRPr="007165FC" w:rsidRDefault="00937AD4" w:rsidP="004D3811">
            <w:pPr>
              <w:spacing w:after="0" w:line="240" w:lineRule="auto"/>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Benue Trough, Niger Delta Basin</w:t>
            </w:r>
          </w:p>
        </w:tc>
      </w:tr>
    </w:tbl>
    <w:p w14:paraId="2A78CD2B" w14:textId="77777777" w:rsidR="00937AD4" w:rsidRPr="007165FC" w:rsidRDefault="00937AD4" w:rsidP="00937AD4">
      <w:pPr>
        <w:spacing w:before="100" w:beforeAutospacing="1" w:after="100" w:afterAutospacing="1" w:line="240" w:lineRule="auto"/>
        <w:jc w:val="both"/>
        <w:rPr>
          <w:rFonts w:ascii="Times New Roman" w:eastAsia="Times New Roman" w:hAnsi="Times New Roman" w:cs="Times New Roman"/>
          <w:sz w:val="24"/>
          <w:szCs w:val="24"/>
          <w:lang w:eastAsia="en-GB"/>
        </w:rPr>
      </w:pPr>
      <w:r w:rsidRPr="007165FC">
        <w:rPr>
          <w:rFonts w:ascii="Times New Roman" w:hAnsi="Times New Roman" w:cs="Times New Roman"/>
          <w:sz w:val="24"/>
          <w:szCs w:val="24"/>
        </w:rPr>
        <w:lastRenderedPageBreak/>
        <w:t xml:space="preserve">Federal Ministry of Power, Nigeria. </w:t>
      </w:r>
      <w:r w:rsidRPr="007165FC">
        <w:rPr>
          <w:rStyle w:val="Emphasis"/>
          <w:rFonts w:ascii="Times New Roman" w:hAnsi="Times New Roman" w:cs="Times New Roman"/>
          <w:sz w:val="24"/>
          <w:szCs w:val="24"/>
        </w:rPr>
        <w:t>National Renewable Energy and Energy Efficiency Policy (NREEEP)</w:t>
      </w:r>
      <w:r w:rsidRPr="007165FC">
        <w:rPr>
          <w:rFonts w:ascii="Times New Roman" w:hAnsi="Times New Roman" w:cs="Times New Roman"/>
          <w:sz w:val="24"/>
          <w:szCs w:val="24"/>
        </w:rPr>
        <w:t>, 2015.</w:t>
      </w:r>
    </w:p>
    <w:p w14:paraId="7763A8F5"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The trend in investment in renewable energy in Nigeria from 2015 to 2024 is presented in Table 2. Funding from public, private, and international sources has been steadily rising from a total of ₦81.1 billion in 2015 to ₦272.7 billion in 2024. Private investment growth was almost 5 times as large, and public investment grew as well, due to the government's incentive policies for energy diversification and the increasing confidence of the local entrepreneurs in the renewable energy sector. The amount of funding from international funding mechanisms and donor agency actions also rose significantly in global climate finance. The growing investments in total investments also indicate that there is growing awareness of the importance of renewable energy as part of Nigeria's sustainable development; however, the growth rate is still too low to overcome the gap in energy acces</w:t>
      </w:r>
      <w:r w:rsidR="007618D4">
        <w:rPr>
          <w:rFonts w:ascii="Times New Roman" w:eastAsia="Times New Roman" w:hAnsi="Times New Roman" w:cs="Times New Roman"/>
          <w:sz w:val="24"/>
          <w:szCs w:val="24"/>
          <w:lang w:eastAsia="en-GB"/>
        </w:rPr>
        <w:t>s in the country (</w:t>
      </w:r>
      <w:proofErr w:type="spellStart"/>
      <w:r w:rsidR="007618D4">
        <w:rPr>
          <w:rFonts w:ascii="Times New Roman" w:eastAsia="Times New Roman" w:hAnsi="Times New Roman" w:cs="Times New Roman"/>
          <w:sz w:val="24"/>
          <w:szCs w:val="24"/>
          <w:lang w:eastAsia="en-GB"/>
        </w:rPr>
        <w:t>Onomhoale</w:t>
      </w:r>
      <w:proofErr w:type="spellEnd"/>
      <w:r w:rsidRPr="008B241B">
        <w:rPr>
          <w:rFonts w:ascii="Times New Roman" w:eastAsia="Times New Roman" w:hAnsi="Times New Roman" w:cs="Times New Roman"/>
          <w:sz w:val="24"/>
          <w:szCs w:val="24"/>
          <w:lang w:eastAsia="en-GB"/>
        </w:rPr>
        <w:t xml:space="preserve"> and Elishama 2023).</w:t>
      </w:r>
    </w:p>
    <w:p w14:paraId="4555C400" w14:textId="77777777" w:rsidR="004D3811" w:rsidRDefault="004D3811" w:rsidP="00A804EE">
      <w:pPr>
        <w:spacing w:before="100" w:beforeAutospacing="1" w:after="100" w:afterAutospacing="1" w:line="240" w:lineRule="auto"/>
        <w:jc w:val="both"/>
        <w:outlineLvl w:val="2"/>
        <w:rPr>
          <w:rFonts w:ascii="Times New Roman" w:eastAsia="Times New Roman" w:hAnsi="Times New Roman" w:cs="Times New Roman"/>
          <w:b/>
          <w:bCs/>
          <w:sz w:val="24"/>
          <w:szCs w:val="24"/>
          <w:lang w:eastAsia="en-GB"/>
        </w:rPr>
      </w:pPr>
    </w:p>
    <w:p w14:paraId="064D1DBA" w14:textId="77777777" w:rsidR="00A804EE" w:rsidRPr="007165FC" w:rsidRDefault="00A804EE" w:rsidP="00A804EE">
      <w:pPr>
        <w:spacing w:before="100" w:beforeAutospacing="1" w:after="100" w:afterAutospacing="1" w:line="240" w:lineRule="auto"/>
        <w:jc w:val="both"/>
        <w:outlineLvl w:val="2"/>
        <w:rPr>
          <w:rFonts w:ascii="Times New Roman" w:eastAsia="Times New Roman" w:hAnsi="Times New Roman" w:cs="Times New Roman"/>
          <w:b/>
          <w:bCs/>
          <w:sz w:val="24"/>
          <w:szCs w:val="24"/>
          <w:lang w:eastAsia="en-GB"/>
        </w:rPr>
      </w:pPr>
      <w:r w:rsidRPr="007165FC">
        <w:rPr>
          <w:rFonts w:ascii="Times New Roman" w:eastAsia="Times New Roman" w:hAnsi="Times New Roman" w:cs="Times New Roman"/>
          <w:b/>
          <w:bCs/>
          <w:sz w:val="24"/>
          <w:szCs w:val="24"/>
          <w:lang w:eastAsia="en-GB"/>
        </w:rPr>
        <w:t xml:space="preserve">Table 2: </w:t>
      </w:r>
      <w:r w:rsidRPr="004D3811">
        <w:rPr>
          <w:rFonts w:ascii="Times New Roman" w:eastAsia="Times New Roman" w:hAnsi="Times New Roman" w:cs="Times New Roman"/>
          <w:bCs/>
          <w:sz w:val="24"/>
          <w:szCs w:val="24"/>
          <w:lang w:eastAsia="en-GB"/>
        </w:rPr>
        <w:t>Renewable Energy Investment Trends in Nigeria (2015–2024)</w:t>
      </w:r>
    </w:p>
    <w:tbl>
      <w:tblPr>
        <w:tblW w:w="8892" w:type="dxa"/>
        <w:tblCellSpacing w:w="15" w:type="dxa"/>
        <w:tblCellMar>
          <w:top w:w="15" w:type="dxa"/>
          <w:left w:w="15" w:type="dxa"/>
          <w:bottom w:w="15" w:type="dxa"/>
          <w:right w:w="15" w:type="dxa"/>
        </w:tblCellMar>
        <w:tblLook w:val="04A0" w:firstRow="1" w:lastRow="0" w:firstColumn="1" w:lastColumn="0" w:noHBand="0" w:noVBand="1"/>
      </w:tblPr>
      <w:tblGrid>
        <w:gridCol w:w="851"/>
        <w:gridCol w:w="2140"/>
        <w:gridCol w:w="2177"/>
        <w:gridCol w:w="2405"/>
        <w:gridCol w:w="1319"/>
      </w:tblGrid>
      <w:tr w:rsidR="00A804EE" w:rsidRPr="007165FC" w14:paraId="567A32FC" w14:textId="77777777" w:rsidTr="004D3811">
        <w:trPr>
          <w:tblHeader/>
          <w:tblCellSpacing w:w="15" w:type="dxa"/>
        </w:trPr>
        <w:tc>
          <w:tcPr>
            <w:tcW w:w="806" w:type="dxa"/>
            <w:tcBorders>
              <w:top w:val="single" w:sz="4" w:space="0" w:color="auto"/>
              <w:bottom w:val="single" w:sz="4" w:space="0" w:color="auto"/>
            </w:tcBorders>
            <w:vAlign w:val="center"/>
            <w:hideMark/>
          </w:tcPr>
          <w:p w14:paraId="577A275C" w14:textId="77777777" w:rsidR="00A804EE" w:rsidRPr="004D3811" w:rsidRDefault="00A804EE" w:rsidP="00860768">
            <w:pPr>
              <w:spacing w:after="0" w:line="240" w:lineRule="auto"/>
              <w:jc w:val="both"/>
              <w:rPr>
                <w:rFonts w:ascii="Times New Roman" w:eastAsia="Times New Roman" w:hAnsi="Times New Roman" w:cs="Times New Roman"/>
                <w:bCs/>
                <w:sz w:val="24"/>
                <w:szCs w:val="24"/>
                <w:lang w:eastAsia="en-GB"/>
              </w:rPr>
            </w:pPr>
            <w:r w:rsidRPr="004D3811">
              <w:rPr>
                <w:rFonts w:ascii="Times New Roman" w:eastAsia="Times New Roman" w:hAnsi="Times New Roman" w:cs="Times New Roman"/>
                <w:bCs/>
                <w:sz w:val="24"/>
                <w:szCs w:val="24"/>
                <w:lang w:eastAsia="en-GB"/>
              </w:rPr>
              <w:t>Year</w:t>
            </w:r>
          </w:p>
        </w:tc>
        <w:tc>
          <w:tcPr>
            <w:tcW w:w="0" w:type="auto"/>
            <w:tcBorders>
              <w:top w:val="single" w:sz="4" w:space="0" w:color="auto"/>
              <w:bottom w:val="single" w:sz="4" w:space="0" w:color="auto"/>
            </w:tcBorders>
            <w:vAlign w:val="center"/>
            <w:hideMark/>
          </w:tcPr>
          <w:p w14:paraId="0444D682" w14:textId="77777777" w:rsidR="00A804EE" w:rsidRPr="004D3811" w:rsidRDefault="00A804EE" w:rsidP="004D3811">
            <w:pPr>
              <w:spacing w:after="0" w:line="240" w:lineRule="auto"/>
              <w:rPr>
                <w:rFonts w:ascii="Times New Roman" w:eastAsia="Times New Roman" w:hAnsi="Times New Roman" w:cs="Times New Roman"/>
                <w:bCs/>
                <w:sz w:val="24"/>
                <w:szCs w:val="24"/>
                <w:lang w:eastAsia="en-GB"/>
              </w:rPr>
            </w:pPr>
            <w:r w:rsidRPr="004D3811">
              <w:rPr>
                <w:rFonts w:ascii="Times New Roman" w:eastAsia="Times New Roman" w:hAnsi="Times New Roman" w:cs="Times New Roman"/>
                <w:bCs/>
                <w:sz w:val="24"/>
                <w:szCs w:val="24"/>
                <w:lang w:eastAsia="en-GB"/>
              </w:rPr>
              <w:t>Public Investment (₦ Billion)</w:t>
            </w:r>
          </w:p>
        </w:tc>
        <w:tc>
          <w:tcPr>
            <w:tcW w:w="0" w:type="auto"/>
            <w:tcBorders>
              <w:top w:val="single" w:sz="4" w:space="0" w:color="auto"/>
              <w:bottom w:val="single" w:sz="4" w:space="0" w:color="auto"/>
            </w:tcBorders>
            <w:vAlign w:val="center"/>
            <w:hideMark/>
          </w:tcPr>
          <w:p w14:paraId="5FE5E3C9" w14:textId="77777777" w:rsidR="00A804EE" w:rsidRPr="004D3811" w:rsidRDefault="00A804EE" w:rsidP="004D3811">
            <w:pPr>
              <w:spacing w:after="0" w:line="240" w:lineRule="auto"/>
              <w:rPr>
                <w:rFonts w:ascii="Times New Roman" w:eastAsia="Times New Roman" w:hAnsi="Times New Roman" w:cs="Times New Roman"/>
                <w:bCs/>
                <w:sz w:val="24"/>
                <w:szCs w:val="24"/>
                <w:lang w:eastAsia="en-GB"/>
              </w:rPr>
            </w:pPr>
            <w:r w:rsidRPr="004D3811">
              <w:rPr>
                <w:rFonts w:ascii="Times New Roman" w:eastAsia="Times New Roman" w:hAnsi="Times New Roman" w:cs="Times New Roman"/>
                <w:bCs/>
                <w:sz w:val="24"/>
                <w:szCs w:val="24"/>
                <w:lang w:eastAsia="en-GB"/>
              </w:rPr>
              <w:t>Private Investment (₦ Billion)</w:t>
            </w:r>
          </w:p>
        </w:tc>
        <w:tc>
          <w:tcPr>
            <w:tcW w:w="0" w:type="auto"/>
            <w:tcBorders>
              <w:top w:val="single" w:sz="4" w:space="0" w:color="auto"/>
              <w:bottom w:val="single" w:sz="4" w:space="0" w:color="auto"/>
            </w:tcBorders>
            <w:vAlign w:val="center"/>
            <w:hideMark/>
          </w:tcPr>
          <w:p w14:paraId="11607675" w14:textId="77777777" w:rsidR="00A804EE" w:rsidRPr="004D3811" w:rsidRDefault="00A804EE" w:rsidP="004D3811">
            <w:pPr>
              <w:spacing w:after="0" w:line="240" w:lineRule="auto"/>
              <w:rPr>
                <w:rFonts w:ascii="Times New Roman" w:eastAsia="Times New Roman" w:hAnsi="Times New Roman" w:cs="Times New Roman"/>
                <w:bCs/>
                <w:sz w:val="24"/>
                <w:szCs w:val="24"/>
                <w:lang w:eastAsia="en-GB"/>
              </w:rPr>
            </w:pPr>
            <w:r w:rsidRPr="004D3811">
              <w:rPr>
                <w:rFonts w:ascii="Times New Roman" w:eastAsia="Times New Roman" w:hAnsi="Times New Roman" w:cs="Times New Roman"/>
                <w:bCs/>
                <w:sz w:val="24"/>
                <w:szCs w:val="24"/>
                <w:lang w:eastAsia="en-GB"/>
              </w:rPr>
              <w:t>International Funding (₦ Billion)</w:t>
            </w:r>
          </w:p>
        </w:tc>
        <w:tc>
          <w:tcPr>
            <w:tcW w:w="0" w:type="auto"/>
            <w:tcBorders>
              <w:top w:val="single" w:sz="4" w:space="0" w:color="auto"/>
              <w:bottom w:val="single" w:sz="4" w:space="0" w:color="auto"/>
            </w:tcBorders>
            <w:vAlign w:val="center"/>
            <w:hideMark/>
          </w:tcPr>
          <w:p w14:paraId="3CAD1137" w14:textId="77777777" w:rsidR="00A804EE" w:rsidRPr="004D3811" w:rsidRDefault="00A804EE" w:rsidP="0079360C">
            <w:pPr>
              <w:spacing w:after="0" w:line="240" w:lineRule="auto"/>
              <w:rPr>
                <w:rFonts w:ascii="Times New Roman" w:eastAsia="Times New Roman" w:hAnsi="Times New Roman" w:cs="Times New Roman"/>
                <w:bCs/>
                <w:sz w:val="24"/>
                <w:szCs w:val="24"/>
                <w:lang w:eastAsia="en-GB"/>
              </w:rPr>
            </w:pPr>
            <w:r w:rsidRPr="004D3811">
              <w:rPr>
                <w:rFonts w:ascii="Times New Roman" w:eastAsia="Times New Roman" w:hAnsi="Times New Roman" w:cs="Times New Roman"/>
                <w:bCs/>
                <w:sz w:val="24"/>
                <w:szCs w:val="24"/>
                <w:lang w:eastAsia="en-GB"/>
              </w:rPr>
              <w:t>Total (₦ Billion)</w:t>
            </w:r>
          </w:p>
        </w:tc>
      </w:tr>
      <w:tr w:rsidR="00A804EE" w:rsidRPr="007165FC" w14:paraId="7E0A8FEC" w14:textId="77777777" w:rsidTr="004D3811">
        <w:trPr>
          <w:tblCellSpacing w:w="15" w:type="dxa"/>
        </w:trPr>
        <w:tc>
          <w:tcPr>
            <w:tcW w:w="806" w:type="dxa"/>
            <w:vAlign w:val="center"/>
            <w:hideMark/>
          </w:tcPr>
          <w:p w14:paraId="2902DCBE"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2015</w:t>
            </w:r>
          </w:p>
        </w:tc>
        <w:tc>
          <w:tcPr>
            <w:tcW w:w="0" w:type="auto"/>
            <w:vAlign w:val="center"/>
            <w:hideMark/>
          </w:tcPr>
          <w:p w14:paraId="6DDB2DC7"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45.6</w:t>
            </w:r>
          </w:p>
        </w:tc>
        <w:tc>
          <w:tcPr>
            <w:tcW w:w="0" w:type="auto"/>
            <w:vAlign w:val="center"/>
            <w:hideMark/>
          </w:tcPr>
          <w:p w14:paraId="0C781372"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20.3</w:t>
            </w:r>
          </w:p>
        </w:tc>
        <w:tc>
          <w:tcPr>
            <w:tcW w:w="0" w:type="auto"/>
            <w:vAlign w:val="center"/>
            <w:hideMark/>
          </w:tcPr>
          <w:p w14:paraId="758EC278"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15.2</w:t>
            </w:r>
          </w:p>
        </w:tc>
        <w:tc>
          <w:tcPr>
            <w:tcW w:w="0" w:type="auto"/>
            <w:vAlign w:val="center"/>
            <w:hideMark/>
          </w:tcPr>
          <w:p w14:paraId="00C76F6E"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81.1</w:t>
            </w:r>
          </w:p>
        </w:tc>
      </w:tr>
      <w:tr w:rsidR="00A804EE" w:rsidRPr="007165FC" w14:paraId="13A9C004" w14:textId="77777777" w:rsidTr="004D3811">
        <w:trPr>
          <w:tblCellSpacing w:w="15" w:type="dxa"/>
        </w:trPr>
        <w:tc>
          <w:tcPr>
            <w:tcW w:w="806" w:type="dxa"/>
            <w:vAlign w:val="center"/>
            <w:hideMark/>
          </w:tcPr>
          <w:p w14:paraId="76403D14"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2017</w:t>
            </w:r>
          </w:p>
        </w:tc>
        <w:tc>
          <w:tcPr>
            <w:tcW w:w="0" w:type="auto"/>
            <w:vAlign w:val="center"/>
            <w:hideMark/>
          </w:tcPr>
          <w:p w14:paraId="197426AC"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52.4</w:t>
            </w:r>
          </w:p>
        </w:tc>
        <w:tc>
          <w:tcPr>
            <w:tcW w:w="0" w:type="auto"/>
            <w:vAlign w:val="center"/>
            <w:hideMark/>
          </w:tcPr>
          <w:p w14:paraId="17FC5872"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32.5</w:t>
            </w:r>
          </w:p>
        </w:tc>
        <w:tc>
          <w:tcPr>
            <w:tcW w:w="0" w:type="auto"/>
            <w:vAlign w:val="center"/>
            <w:hideMark/>
          </w:tcPr>
          <w:p w14:paraId="46D9DD96"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20.7</w:t>
            </w:r>
          </w:p>
        </w:tc>
        <w:tc>
          <w:tcPr>
            <w:tcW w:w="0" w:type="auto"/>
            <w:vAlign w:val="center"/>
            <w:hideMark/>
          </w:tcPr>
          <w:p w14:paraId="2F16AAF8"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105.6</w:t>
            </w:r>
          </w:p>
        </w:tc>
      </w:tr>
      <w:tr w:rsidR="00A804EE" w:rsidRPr="007165FC" w14:paraId="4ADC4AAE" w14:textId="77777777" w:rsidTr="004D3811">
        <w:trPr>
          <w:tblCellSpacing w:w="15" w:type="dxa"/>
        </w:trPr>
        <w:tc>
          <w:tcPr>
            <w:tcW w:w="806" w:type="dxa"/>
            <w:vAlign w:val="center"/>
            <w:hideMark/>
          </w:tcPr>
          <w:p w14:paraId="72381DB6"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2019</w:t>
            </w:r>
          </w:p>
        </w:tc>
        <w:tc>
          <w:tcPr>
            <w:tcW w:w="0" w:type="auto"/>
            <w:vAlign w:val="center"/>
            <w:hideMark/>
          </w:tcPr>
          <w:p w14:paraId="6DD8BB29"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68.1</w:t>
            </w:r>
          </w:p>
        </w:tc>
        <w:tc>
          <w:tcPr>
            <w:tcW w:w="0" w:type="auto"/>
            <w:vAlign w:val="center"/>
            <w:hideMark/>
          </w:tcPr>
          <w:p w14:paraId="2E911167"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40.2</w:t>
            </w:r>
          </w:p>
        </w:tc>
        <w:tc>
          <w:tcPr>
            <w:tcW w:w="0" w:type="auto"/>
            <w:vAlign w:val="center"/>
            <w:hideMark/>
          </w:tcPr>
          <w:p w14:paraId="0E55597D"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35.0</w:t>
            </w:r>
          </w:p>
        </w:tc>
        <w:tc>
          <w:tcPr>
            <w:tcW w:w="0" w:type="auto"/>
            <w:vAlign w:val="center"/>
            <w:hideMark/>
          </w:tcPr>
          <w:p w14:paraId="7B56C54E"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143.3</w:t>
            </w:r>
          </w:p>
        </w:tc>
      </w:tr>
      <w:tr w:rsidR="00A804EE" w:rsidRPr="007165FC" w14:paraId="1A60CF8F" w14:textId="77777777" w:rsidTr="004D3811">
        <w:trPr>
          <w:tblCellSpacing w:w="15" w:type="dxa"/>
        </w:trPr>
        <w:tc>
          <w:tcPr>
            <w:tcW w:w="806" w:type="dxa"/>
            <w:vAlign w:val="center"/>
            <w:hideMark/>
          </w:tcPr>
          <w:p w14:paraId="0029CD1B"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2021</w:t>
            </w:r>
          </w:p>
        </w:tc>
        <w:tc>
          <w:tcPr>
            <w:tcW w:w="0" w:type="auto"/>
            <w:vAlign w:val="center"/>
            <w:hideMark/>
          </w:tcPr>
          <w:p w14:paraId="5EAE3AC1"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74.9</w:t>
            </w:r>
          </w:p>
        </w:tc>
        <w:tc>
          <w:tcPr>
            <w:tcW w:w="0" w:type="auto"/>
            <w:vAlign w:val="center"/>
            <w:hideMark/>
          </w:tcPr>
          <w:p w14:paraId="5D10F5EC"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55.7</w:t>
            </w:r>
          </w:p>
        </w:tc>
        <w:tc>
          <w:tcPr>
            <w:tcW w:w="0" w:type="auto"/>
            <w:vAlign w:val="center"/>
            <w:hideMark/>
          </w:tcPr>
          <w:p w14:paraId="6EB757F7"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45.1</w:t>
            </w:r>
          </w:p>
        </w:tc>
        <w:tc>
          <w:tcPr>
            <w:tcW w:w="0" w:type="auto"/>
            <w:vAlign w:val="center"/>
            <w:hideMark/>
          </w:tcPr>
          <w:p w14:paraId="0AB69AE4"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175.7</w:t>
            </w:r>
          </w:p>
        </w:tc>
      </w:tr>
      <w:tr w:rsidR="00A804EE" w:rsidRPr="007165FC" w14:paraId="7A3D3E51" w14:textId="77777777" w:rsidTr="004D3811">
        <w:trPr>
          <w:tblCellSpacing w:w="15" w:type="dxa"/>
        </w:trPr>
        <w:tc>
          <w:tcPr>
            <w:tcW w:w="806" w:type="dxa"/>
            <w:vAlign w:val="center"/>
            <w:hideMark/>
          </w:tcPr>
          <w:p w14:paraId="0F07534E"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2023</w:t>
            </w:r>
          </w:p>
        </w:tc>
        <w:tc>
          <w:tcPr>
            <w:tcW w:w="0" w:type="auto"/>
            <w:vAlign w:val="center"/>
            <w:hideMark/>
          </w:tcPr>
          <w:p w14:paraId="27138D36"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92.5</w:t>
            </w:r>
          </w:p>
        </w:tc>
        <w:tc>
          <w:tcPr>
            <w:tcW w:w="0" w:type="auto"/>
            <w:vAlign w:val="center"/>
            <w:hideMark/>
          </w:tcPr>
          <w:p w14:paraId="341D1B19"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78.6</w:t>
            </w:r>
          </w:p>
        </w:tc>
        <w:tc>
          <w:tcPr>
            <w:tcW w:w="0" w:type="auto"/>
            <w:vAlign w:val="center"/>
            <w:hideMark/>
          </w:tcPr>
          <w:p w14:paraId="5BA556B0"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63.8</w:t>
            </w:r>
          </w:p>
        </w:tc>
        <w:tc>
          <w:tcPr>
            <w:tcW w:w="0" w:type="auto"/>
            <w:vAlign w:val="center"/>
            <w:hideMark/>
          </w:tcPr>
          <w:p w14:paraId="70FB7826"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234.9</w:t>
            </w:r>
          </w:p>
        </w:tc>
      </w:tr>
      <w:tr w:rsidR="00A804EE" w:rsidRPr="007165FC" w14:paraId="415CE49F" w14:textId="77777777" w:rsidTr="004D3811">
        <w:trPr>
          <w:tblCellSpacing w:w="15" w:type="dxa"/>
        </w:trPr>
        <w:tc>
          <w:tcPr>
            <w:tcW w:w="806" w:type="dxa"/>
            <w:tcBorders>
              <w:bottom w:val="single" w:sz="4" w:space="0" w:color="auto"/>
            </w:tcBorders>
            <w:vAlign w:val="center"/>
            <w:hideMark/>
          </w:tcPr>
          <w:p w14:paraId="1A8C94A7"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2024</w:t>
            </w:r>
          </w:p>
        </w:tc>
        <w:tc>
          <w:tcPr>
            <w:tcW w:w="0" w:type="auto"/>
            <w:tcBorders>
              <w:bottom w:val="single" w:sz="4" w:space="0" w:color="auto"/>
            </w:tcBorders>
            <w:vAlign w:val="center"/>
            <w:hideMark/>
          </w:tcPr>
          <w:p w14:paraId="1E2F7B73"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105.3</w:t>
            </w:r>
          </w:p>
        </w:tc>
        <w:tc>
          <w:tcPr>
            <w:tcW w:w="0" w:type="auto"/>
            <w:tcBorders>
              <w:bottom w:val="single" w:sz="4" w:space="0" w:color="auto"/>
            </w:tcBorders>
            <w:vAlign w:val="center"/>
            <w:hideMark/>
          </w:tcPr>
          <w:p w14:paraId="1E9FA7C5"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95.0</w:t>
            </w:r>
          </w:p>
        </w:tc>
        <w:tc>
          <w:tcPr>
            <w:tcW w:w="0" w:type="auto"/>
            <w:tcBorders>
              <w:bottom w:val="single" w:sz="4" w:space="0" w:color="auto"/>
            </w:tcBorders>
            <w:vAlign w:val="center"/>
            <w:hideMark/>
          </w:tcPr>
          <w:p w14:paraId="6DF404DC"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72.4</w:t>
            </w:r>
          </w:p>
        </w:tc>
        <w:tc>
          <w:tcPr>
            <w:tcW w:w="0" w:type="auto"/>
            <w:tcBorders>
              <w:bottom w:val="single" w:sz="4" w:space="0" w:color="auto"/>
            </w:tcBorders>
            <w:vAlign w:val="center"/>
            <w:hideMark/>
          </w:tcPr>
          <w:p w14:paraId="456B5306" w14:textId="77777777" w:rsidR="00A804EE" w:rsidRPr="007165FC" w:rsidRDefault="00A804EE" w:rsidP="00860768">
            <w:pPr>
              <w:spacing w:after="0" w:line="240" w:lineRule="auto"/>
              <w:jc w:val="both"/>
              <w:rPr>
                <w:rFonts w:ascii="Times New Roman" w:eastAsia="Times New Roman" w:hAnsi="Times New Roman" w:cs="Times New Roman"/>
                <w:sz w:val="24"/>
                <w:szCs w:val="24"/>
                <w:lang w:eastAsia="en-GB"/>
              </w:rPr>
            </w:pPr>
            <w:r w:rsidRPr="007165FC">
              <w:rPr>
                <w:rFonts w:ascii="Times New Roman" w:eastAsia="Times New Roman" w:hAnsi="Times New Roman" w:cs="Times New Roman"/>
                <w:sz w:val="24"/>
                <w:szCs w:val="24"/>
                <w:lang w:eastAsia="en-GB"/>
              </w:rPr>
              <w:t>272.7</w:t>
            </w:r>
          </w:p>
        </w:tc>
      </w:tr>
    </w:tbl>
    <w:p w14:paraId="23BB80A1" w14:textId="77777777" w:rsidR="00A804EE" w:rsidRPr="007165FC" w:rsidRDefault="00A804EE" w:rsidP="00A804EE">
      <w:pPr>
        <w:spacing w:after="0" w:line="240" w:lineRule="auto"/>
        <w:jc w:val="both"/>
        <w:rPr>
          <w:rFonts w:ascii="Times New Roman" w:eastAsia="Times New Roman" w:hAnsi="Times New Roman" w:cs="Times New Roman"/>
          <w:sz w:val="24"/>
          <w:szCs w:val="24"/>
          <w:lang w:eastAsia="en-GB"/>
        </w:rPr>
      </w:pPr>
      <w:r w:rsidRPr="007165FC">
        <w:rPr>
          <w:rFonts w:ascii="Times New Roman" w:hAnsi="Times New Roman" w:cs="Times New Roman"/>
          <w:sz w:val="24"/>
          <w:szCs w:val="24"/>
        </w:rPr>
        <w:t xml:space="preserve">Nigerian Investment Promotion Commission (NIPC). </w:t>
      </w:r>
      <w:r w:rsidRPr="007165FC">
        <w:rPr>
          <w:rStyle w:val="Emphasis"/>
          <w:rFonts w:ascii="Times New Roman" w:hAnsi="Times New Roman" w:cs="Times New Roman"/>
          <w:sz w:val="24"/>
          <w:szCs w:val="24"/>
        </w:rPr>
        <w:t>Investment Reports</w:t>
      </w:r>
      <w:r w:rsidRPr="007165FC">
        <w:rPr>
          <w:rFonts w:ascii="Times New Roman" w:hAnsi="Times New Roman" w:cs="Times New Roman"/>
          <w:sz w:val="24"/>
          <w:szCs w:val="24"/>
        </w:rPr>
        <w:t>, 2015–2024.</w:t>
      </w:r>
    </w:p>
    <w:p w14:paraId="6B42644C" w14:textId="77777777" w:rsidR="00C1283B" w:rsidRPr="007165FC" w:rsidRDefault="00C1283B" w:rsidP="00550A47">
      <w:pPr>
        <w:rPr>
          <w:rFonts w:ascii="Times New Roman" w:hAnsi="Times New Roman" w:cs="Times New Roman"/>
          <w:sz w:val="24"/>
          <w:szCs w:val="24"/>
        </w:rPr>
      </w:pPr>
    </w:p>
    <w:p w14:paraId="6D0EA035" w14:textId="77777777" w:rsidR="008B241B" w:rsidRPr="008B241B" w:rsidRDefault="008B241B" w:rsidP="00AC40E5">
      <w:pPr>
        <w:spacing w:before="100" w:beforeAutospacing="1" w:after="100" w:afterAutospacing="1" w:line="240" w:lineRule="auto"/>
        <w:jc w:val="both"/>
        <w:rPr>
          <w:rFonts w:ascii="Times New Roman" w:eastAsia="Times New Roman" w:hAnsi="Times New Roman" w:cs="Times New Roman"/>
          <w:sz w:val="24"/>
          <w:szCs w:val="24"/>
          <w:lang w:eastAsia="en-GB"/>
        </w:rPr>
      </w:pPr>
      <w:r w:rsidRPr="008B241B">
        <w:rPr>
          <w:rFonts w:ascii="Times New Roman" w:eastAsia="Times New Roman" w:hAnsi="Times New Roman" w:cs="Times New Roman"/>
          <w:sz w:val="24"/>
          <w:szCs w:val="24"/>
          <w:lang w:eastAsia="en-GB"/>
        </w:rPr>
        <w:t>Table 3 shows the contributions of innovations in renewable energy towards the achievement of Sustainable Development Goals (SDGs) in Nigeria. Solar-powered mini-grids are one of the major ways to contribute to achieving SDG7: affordable and clean energy, particularly in rural communities without a power supply. It helps achieve SDG 8 by promoting decent jobs and economic growth by establishing green jobs in the solar startup and renewable energy businesses. In line with SDG 9, renewable technologies promote infrastructure development and innovation, such as the deployment of off-grid solar home systems, as suggested by Khalid et al. (2023), Henao and Guzman (2024), and Yavuz et al. (2025). In the context of SDG 11, cities and communities become more sustainable thanks to renewable energy, for which electric mobility pilots are examples, as these reduce urban pollution. It is particularly important for this sector to be directly contributing to SDG 13, as it lessens the GHG emissions generated by hydropower, biomass and other clean energy sources. They emphasise the various contributions renewable energy can make to Nigeria's sustainable development and dual objectives of energy poverty and climate change.</w:t>
      </w:r>
    </w:p>
    <w:p w14:paraId="652500F8" w14:textId="77777777" w:rsidR="00A804EE" w:rsidRPr="006016AB" w:rsidRDefault="00A804EE" w:rsidP="00A804EE">
      <w:pPr>
        <w:spacing w:before="100" w:beforeAutospacing="1" w:after="100" w:afterAutospacing="1" w:line="240" w:lineRule="auto"/>
        <w:jc w:val="both"/>
        <w:outlineLvl w:val="2"/>
        <w:rPr>
          <w:rFonts w:ascii="Times New Roman" w:eastAsia="Times New Roman" w:hAnsi="Times New Roman" w:cs="Times New Roman"/>
          <w:b/>
          <w:bCs/>
          <w:sz w:val="24"/>
          <w:szCs w:val="24"/>
          <w:lang w:eastAsia="en-GB"/>
        </w:rPr>
      </w:pPr>
      <w:r w:rsidRPr="006016AB">
        <w:rPr>
          <w:rFonts w:ascii="Times New Roman" w:eastAsia="Times New Roman" w:hAnsi="Times New Roman" w:cs="Times New Roman"/>
          <w:b/>
          <w:bCs/>
          <w:sz w:val="24"/>
          <w:szCs w:val="24"/>
          <w:lang w:eastAsia="en-GB"/>
        </w:rPr>
        <w:t xml:space="preserve">Table 3: </w:t>
      </w:r>
      <w:r w:rsidRPr="004D3811">
        <w:rPr>
          <w:rFonts w:ascii="Times New Roman" w:eastAsia="Times New Roman" w:hAnsi="Times New Roman" w:cs="Times New Roman"/>
          <w:bCs/>
          <w:sz w:val="24"/>
          <w:szCs w:val="24"/>
          <w:lang w:eastAsia="en-GB"/>
        </w:rPr>
        <w:t>Contribution of Renewable Energy to Sustainable Development Goals (SDGs) in Nigeria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70"/>
        <w:gridCol w:w="3615"/>
        <w:gridCol w:w="2330"/>
      </w:tblGrid>
      <w:tr w:rsidR="00A804EE" w:rsidRPr="006016AB" w14:paraId="4FD0DD3E" w14:textId="77777777" w:rsidTr="00286A2E">
        <w:trPr>
          <w:tblHeader/>
          <w:tblCellSpacing w:w="15" w:type="dxa"/>
        </w:trPr>
        <w:tc>
          <w:tcPr>
            <w:tcW w:w="0" w:type="auto"/>
            <w:tcBorders>
              <w:top w:val="single" w:sz="4" w:space="0" w:color="auto"/>
              <w:bottom w:val="single" w:sz="4" w:space="0" w:color="auto"/>
            </w:tcBorders>
            <w:vAlign w:val="center"/>
            <w:hideMark/>
          </w:tcPr>
          <w:p w14:paraId="57A323B4" w14:textId="77777777" w:rsidR="00A804EE" w:rsidRPr="004D3811" w:rsidRDefault="00A804EE" w:rsidP="00286A2E">
            <w:pPr>
              <w:spacing w:after="0" w:line="240" w:lineRule="auto"/>
              <w:rPr>
                <w:rFonts w:ascii="Times New Roman" w:eastAsia="Times New Roman" w:hAnsi="Times New Roman" w:cs="Times New Roman"/>
                <w:bCs/>
                <w:sz w:val="24"/>
                <w:szCs w:val="24"/>
                <w:lang w:eastAsia="en-GB"/>
              </w:rPr>
            </w:pPr>
            <w:r w:rsidRPr="004D3811">
              <w:rPr>
                <w:rFonts w:ascii="Times New Roman" w:eastAsia="Times New Roman" w:hAnsi="Times New Roman" w:cs="Times New Roman"/>
                <w:bCs/>
                <w:sz w:val="24"/>
                <w:szCs w:val="24"/>
                <w:lang w:eastAsia="en-GB"/>
              </w:rPr>
              <w:lastRenderedPageBreak/>
              <w:t>Sustainable Development Goal (SDG)</w:t>
            </w:r>
          </w:p>
        </w:tc>
        <w:tc>
          <w:tcPr>
            <w:tcW w:w="3585" w:type="dxa"/>
            <w:tcBorders>
              <w:top w:val="single" w:sz="4" w:space="0" w:color="auto"/>
              <w:bottom w:val="single" w:sz="4" w:space="0" w:color="auto"/>
            </w:tcBorders>
            <w:vAlign w:val="center"/>
            <w:hideMark/>
          </w:tcPr>
          <w:p w14:paraId="289D82AA" w14:textId="77777777" w:rsidR="00A804EE" w:rsidRPr="004D3811" w:rsidRDefault="00A804EE" w:rsidP="00860768">
            <w:pPr>
              <w:spacing w:after="0" w:line="240" w:lineRule="auto"/>
              <w:jc w:val="both"/>
              <w:rPr>
                <w:rFonts w:ascii="Times New Roman" w:eastAsia="Times New Roman" w:hAnsi="Times New Roman" w:cs="Times New Roman"/>
                <w:bCs/>
                <w:sz w:val="24"/>
                <w:szCs w:val="24"/>
                <w:lang w:eastAsia="en-GB"/>
              </w:rPr>
            </w:pPr>
            <w:r w:rsidRPr="004D3811">
              <w:rPr>
                <w:rFonts w:ascii="Times New Roman" w:eastAsia="Times New Roman" w:hAnsi="Times New Roman" w:cs="Times New Roman"/>
                <w:bCs/>
                <w:sz w:val="24"/>
                <w:szCs w:val="24"/>
                <w:lang w:eastAsia="en-GB"/>
              </w:rPr>
              <w:t>Renewable Energy Contribution</w:t>
            </w:r>
          </w:p>
        </w:tc>
        <w:tc>
          <w:tcPr>
            <w:tcW w:w="0" w:type="auto"/>
            <w:tcBorders>
              <w:top w:val="single" w:sz="4" w:space="0" w:color="auto"/>
              <w:bottom w:val="single" w:sz="4" w:space="0" w:color="auto"/>
            </w:tcBorders>
            <w:vAlign w:val="center"/>
            <w:hideMark/>
          </w:tcPr>
          <w:p w14:paraId="3DAA782B" w14:textId="77777777" w:rsidR="00A804EE" w:rsidRPr="004D3811" w:rsidRDefault="00A804EE" w:rsidP="00860768">
            <w:pPr>
              <w:spacing w:after="0" w:line="240" w:lineRule="auto"/>
              <w:jc w:val="both"/>
              <w:rPr>
                <w:rFonts w:ascii="Times New Roman" w:eastAsia="Times New Roman" w:hAnsi="Times New Roman" w:cs="Times New Roman"/>
                <w:bCs/>
                <w:sz w:val="24"/>
                <w:szCs w:val="24"/>
                <w:lang w:eastAsia="en-GB"/>
              </w:rPr>
            </w:pPr>
            <w:r w:rsidRPr="004D3811">
              <w:rPr>
                <w:rFonts w:ascii="Times New Roman" w:eastAsia="Times New Roman" w:hAnsi="Times New Roman" w:cs="Times New Roman"/>
                <w:bCs/>
                <w:sz w:val="24"/>
                <w:szCs w:val="24"/>
                <w:lang w:eastAsia="en-GB"/>
              </w:rPr>
              <w:t>Example Initiatives</w:t>
            </w:r>
          </w:p>
        </w:tc>
      </w:tr>
      <w:tr w:rsidR="00A804EE" w:rsidRPr="006016AB" w14:paraId="68FCA87B" w14:textId="77777777" w:rsidTr="00286A2E">
        <w:trPr>
          <w:tblCellSpacing w:w="15" w:type="dxa"/>
        </w:trPr>
        <w:tc>
          <w:tcPr>
            <w:tcW w:w="0" w:type="auto"/>
            <w:vAlign w:val="center"/>
            <w:hideMark/>
          </w:tcPr>
          <w:p w14:paraId="1AC46247" w14:textId="77777777" w:rsidR="00A804EE" w:rsidRPr="006016AB" w:rsidRDefault="008B241B" w:rsidP="00286A2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SDG 7 -</w:t>
            </w:r>
            <w:r w:rsidR="00A804EE" w:rsidRPr="006016AB">
              <w:rPr>
                <w:rFonts w:ascii="Times New Roman" w:eastAsia="Times New Roman" w:hAnsi="Times New Roman" w:cs="Times New Roman"/>
                <w:sz w:val="24"/>
                <w:szCs w:val="24"/>
                <w:lang w:eastAsia="en-GB"/>
              </w:rPr>
              <w:t xml:space="preserve"> Affordable &amp; Clean Energy</w:t>
            </w:r>
          </w:p>
        </w:tc>
        <w:tc>
          <w:tcPr>
            <w:tcW w:w="3585" w:type="dxa"/>
            <w:vAlign w:val="center"/>
            <w:hideMark/>
          </w:tcPr>
          <w:p w14:paraId="7AFAED98" w14:textId="77777777" w:rsidR="00A804EE" w:rsidRPr="006016AB" w:rsidRDefault="00A804EE" w:rsidP="00286A2E">
            <w:pPr>
              <w:spacing w:after="0" w:line="240" w:lineRule="auto"/>
              <w:rPr>
                <w:rFonts w:ascii="Times New Roman" w:eastAsia="Times New Roman" w:hAnsi="Times New Roman" w:cs="Times New Roman"/>
                <w:sz w:val="24"/>
                <w:szCs w:val="24"/>
                <w:lang w:eastAsia="en-GB"/>
              </w:rPr>
            </w:pPr>
            <w:r w:rsidRPr="006016AB">
              <w:rPr>
                <w:rFonts w:ascii="Times New Roman" w:eastAsia="Times New Roman" w:hAnsi="Times New Roman" w:cs="Times New Roman"/>
                <w:sz w:val="24"/>
                <w:szCs w:val="24"/>
                <w:lang w:eastAsia="en-GB"/>
              </w:rPr>
              <w:t>Expands electricity access to rural communities</w:t>
            </w:r>
          </w:p>
        </w:tc>
        <w:tc>
          <w:tcPr>
            <w:tcW w:w="0" w:type="auto"/>
            <w:vAlign w:val="center"/>
            <w:hideMark/>
          </w:tcPr>
          <w:p w14:paraId="0779DC14" w14:textId="77777777" w:rsidR="00A804EE" w:rsidRPr="006016AB" w:rsidRDefault="00A804EE" w:rsidP="00286A2E">
            <w:pPr>
              <w:spacing w:after="0" w:line="240" w:lineRule="auto"/>
              <w:rPr>
                <w:rFonts w:ascii="Times New Roman" w:eastAsia="Times New Roman" w:hAnsi="Times New Roman" w:cs="Times New Roman"/>
                <w:sz w:val="24"/>
                <w:szCs w:val="24"/>
                <w:lang w:eastAsia="en-GB"/>
              </w:rPr>
            </w:pPr>
            <w:r w:rsidRPr="006016AB">
              <w:rPr>
                <w:rFonts w:ascii="Times New Roman" w:eastAsia="Times New Roman" w:hAnsi="Times New Roman" w:cs="Times New Roman"/>
                <w:sz w:val="24"/>
                <w:szCs w:val="24"/>
                <w:lang w:eastAsia="en-GB"/>
              </w:rPr>
              <w:t>Solar mini-grids in Katsina, Jigawa</w:t>
            </w:r>
          </w:p>
        </w:tc>
      </w:tr>
      <w:tr w:rsidR="00A804EE" w:rsidRPr="006016AB" w14:paraId="5EDDB7EF" w14:textId="77777777" w:rsidTr="00286A2E">
        <w:trPr>
          <w:tblCellSpacing w:w="15" w:type="dxa"/>
        </w:trPr>
        <w:tc>
          <w:tcPr>
            <w:tcW w:w="0" w:type="auto"/>
            <w:vAlign w:val="center"/>
            <w:hideMark/>
          </w:tcPr>
          <w:p w14:paraId="3FD85FE2" w14:textId="77777777" w:rsidR="00A804EE" w:rsidRPr="006016AB" w:rsidRDefault="008B241B" w:rsidP="00286A2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SDG 8 -</w:t>
            </w:r>
            <w:r w:rsidR="00A804EE" w:rsidRPr="006016AB">
              <w:rPr>
                <w:rFonts w:ascii="Times New Roman" w:eastAsia="Times New Roman" w:hAnsi="Times New Roman" w:cs="Times New Roman"/>
                <w:sz w:val="24"/>
                <w:szCs w:val="24"/>
                <w:lang w:eastAsia="en-GB"/>
              </w:rPr>
              <w:t xml:space="preserve"> Decent Work &amp; Economic Growth</w:t>
            </w:r>
          </w:p>
        </w:tc>
        <w:tc>
          <w:tcPr>
            <w:tcW w:w="3585" w:type="dxa"/>
            <w:vAlign w:val="center"/>
            <w:hideMark/>
          </w:tcPr>
          <w:p w14:paraId="6AE33BD6" w14:textId="77777777" w:rsidR="00A804EE" w:rsidRPr="006016AB" w:rsidRDefault="00A804EE" w:rsidP="00860768">
            <w:pPr>
              <w:spacing w:after="0" w:line="240" w:lineRule="auto"/>
              <w:jc w:val="both"/>
              <w:rPr>
                <w:rFonts w:ascii="Times New Roman" w:eastAsia="Times New Roman" w:hAnsi="Times New Roman" w:cs="Times New Roman"/>
                <w:sz w:val="24"/>
                <w:szCs w:val="24"/>
                <w:lang w:eastAsia="en-GB"/>
              </w:rPr>
            </w:pPr>
            <w:r w:rsidRPr="006016AB">
              <w:rPr>
                <w:rFonts w:ascii="Times New Roman" w:eastAsia="Times New Roman" w:hAnsi="Times New Roman" w:cs="Times New Roman"/>
                <w:sz w:val="24"/>
                <w:szCs w:val="24"/>
                <w:lang w:eastAsia="en-GB"/>
              </w:rPr>
              <w:t>Creates green jobs in manufacturing, installation, and maintenance</w:t>
            </w:r>
          </w:p>
        </w:tc>
        <w:tc>
          <w:tcPr>
            <w:tcW w:w="0" w:type="auto"/>
            <w:vAlign w:val="center"/>
            <w:hideMark/>
          </w:tcPr>
          <w:p w14:paraId="2A7B7FAC" w14:textId="77777777" w:rsidR="00A804EE" w:rsidRPr="006016AB" w:rsidRDefault="00A804EE" w:rsidP="00286A2E">
            <w:pPr>
              <w:spacing w:after="0" w:line="240" w:lineRule="auto"/>
              <w:rPr>
                <w:rFonts w:ascii="Times New Roman" w:eastAsia="Times New Roman" w:hAnsi="Times New Roman" w:cs="Times New Roman"/>
                <w:sz w:val="24"/>
                <w:szCs w:val="24"/>
                <w:lang w:eastAsia="en-GB"/>
              </w:rPr>
            </w:pPr>
            <w:r w:rsidRPr="006016AB">
              <w:rPr>
                <w:rFonts w:ascii="Times New Roman" w:eastAsia="Times New Roman" w:hAnsi="Times New Roman" w:cs="Times New Roman"/>
                <w:sz w:val="24"/>
                <w:szCs w:val="24"/>
                <w:lang w:eastAsia="en-GB"/>
              </w:rPr>
              <w:t>REA-supported solar start-ups</w:t>
            </w:r>
          </w:p>
        </w:tc>
      </w:tr>
      <w:tr w:rsidR="00A804EE" w:rsidRPr="006016AB" w14:paraId="395A2A52" w14:textId="77777777" w:rsidTr="00286A2E">
        <w:trPr>
          <w:tblCellSpacing w:w="15" w:type="dxa"/>
        </w:trPr>
        <w:tc>
          <w:tcPr>
            <w:tcW w:w="0" w:type="auto"/>
            <w:vAlign w:val="center"/>
            <w:hideMark/>
          </w:tcPr>
          <w:p w14:paraId="7AE62C7A" w14:textId="77777777" w:rsidR="00A804EE" w:rsidRPr="006016AB" w:rsidRDefault="008B241B" w:rsidP="00286A2E">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SDG 9 -</w:t>
            </w:r>
            <w:r w:rsidR="00A804EE" w:rsidRPr="006016AB">
              <w:rPr>
                <w:rFonts w:ascii="Times New Roman" w:eastAsia="Times New Roman" w:hAnsi="Times New Roman" w:cs="Times New Roman"/>
                <w:sz w:val="24"/>
                <w:szCs w:val="24"/>
                <w:lang w:eastAsia="en-GB"/>
              </w:rPr>
              <w:t>Industry, Innovation &amp; Infrastructure</w:t>
            </w:r>
          </w:p>
        </w:tc>
        <w:tc>
          <w:tcPr>
            <w:tcW w:w="3585" w:type="dxa"/>
            <w:vAlign w:val="center"/>
            <w:hideMark/>
          </w:tcPr>
          <w:p w14:paraId="6B4550A9" w14:textId="77777777" w:rsidR="00A804EE" w:rsidRPr="006016AB" w:rsidRDefault="00A804EE" w:rsidP="00286A2E">
            <w:pPr>
              <w:spacing w:after="0" w:line="240" w:lineRule="auto"/>
              <w:rPr>
                <w:rFonts w:ascii="Times New Roman" w:eastAsia="Times New Roman" w:hAnsi="Times New Roman" w:cs="Times New Roman"/>
                <w:sz w:val="24"/>
                <w:szCs w:val="24"/>
                <w:lang w:eastAsia="en-GB"/>
              </w:rPr>
            </w:pPr>
            <w:r w:rsidRPr="006016AB">
              <w:rPr>
                <w:rFonts w:ascii="Times New Roman" w:eastAsia="Times New Roman" w:hAnsi="Times New Roman" w:cs="Times New Roman"/>
                <w:sz w:val="24"/>
                <w:szCs w:val="24"/>
                <w:lang w:eastAsia="en-GB"/>
              </w:rPr>
              <w:t>Promotes energy-efficient infrastructure and local innovations</w:t>
            </w:r>
          </w:p>
        </w:tc>
        <w:tc>
          <w:tcPr>
            <w:tcW w:w="0" w:type="auto"/>
            <w:vAlign w:val="center"/>
            <w:hideMark/>
          </w:tcPr>
          <w:p w14:paraId="5D344579" w14:textId="77777777" w:rsidR="00A804EE" w:rsidRPr="006016AB" w:rsidRDefault="00A804EE" w:rsidP="00286A2E">
            <w:pPr>
              <w:spacing w:after="0" w:line="240" w:lineRule="auto"/>
              <w:rPr>
                <w:rFonts w:ascii="Times New Roman" w:eastAsia="Times New Roman" w:hAnsi="Times New Roman" w:cs="Times New Roman"/>
                <w:sz w:val="24"/>
                <w:szCs w:val="24"/>
                <w:lang w:eastAsia="en-GB"/>
              </w:rPr>
            </w:pPr>
            <w:r w:rsidRPr="006016AB">
              <w:rPr>
                <w:rFonts w:ascii="Times New Roman" w:eastAsia="Times New Roman" w:hAnsi="Times New Roman" w:cs="Times New Roman"/>
                <w:sz w:val="24"/>
                <w:szCs w:val="24"/>
                <w:lang w:eastAsia="en-GB"/>
              </w:rPr>
              <w:t>Off-grid solar home systems</w:t>
            </w:r>
          </w:p>
        </w:tc>
      </w:tr>
      <w:tr w:rsidR="00A804EE" w:rsidRPr="006016AB" w14:paraId="010A4CA2" w14:textId="77777777" w:rsidTr="00286A2E">
        <w:trPr>
          <w:tblCellSpacing w:w="15" w:type="dxa"/>
        </w:trPr>
        <w:tc>
          <w:tcPr>
            <w:tcW w:w="0" w:type="auto"/>
            <w:vAlign w:val="center"/>
            <w:hideMark/>
          </w:tcPr>
          <w:p w14:paraId="53164CD3" w14:textId="77777777" w:rsidR="00A804EE" w:rsidRPr="006016AB" w:rsidRDefault="00A804EE" w:rsidP="00286A2E">
            <w:pPr>
              <w:spacing w:after="0" w:line="240" w:lineRule="auto"/>
              <w:rPr>
                <w:rFonts w:ascii="Times New Roman" w:eastAsia="Times New Roman" w:hAnsi="Times New Roman" w:cs="Times New Roman"/>
                <w:sz w:val="24"/>
                <w:szCs w:val="24"/>
                <w:lang w:eastAsia="en-GB"/>
              </w:rPr>
            </w:pPr>
            <w:r w:rsidRPr="006016AB">
              <w:rPr>
                <w:rFonts w:ascii="Times New Roman" w:eastAsia="Times New Roman" w:hAnsi="Times New Roman" w:cs="Times New Roman"/>
                <w:sz w:val="24"/>
                <w:szCs w:val="24"/>
                <w:lang w:eastAsia="en-GB"/>
              </w:rPr>
              <w:t xml:space="preserve">SDG 11 </w:t>
            </w:r>
            <w:r w:rsidR="00286A2E">
              <w:rPr>
                <w:rFonts w:ascii="Times New Roman" w:eastAsia="Times New Roman" w:hAnsi="Times New Roman" w:cs="Times New Roman"/>
                <w:sz w:val="24"/>
                <w:szCs w:val="24"/>
                <w:lang w:eastAsia="en-GB"/>
              </w:rPr>
              <w:t>-</w:t>
            </w:r>
            <w:r w:rsidRPr="006016AB">
              <w:rPr>
                <w:rFonts w:ascii="Times New Roman" w:eastAsia="Times New Roman" w:hAnsi="Times New Roman" w:cs="Times New Roman"/>
                <w:sz w:val="24"/>
                <w:szCs w:val="24"/>
                <w:lang w:eastAsia="en-GB"/>
              </w:rPr>
              <w:t xml:space="preserve"> Sustainable Cities &amp; Communities</w:t>
            </w:r>
          </w:p>
        </w:tc>
        <w:tc>
          <w:tcPr>
            <w:tcW w:w="3585" w:type="dxa"/>
            <w:vAlign w:val="center"/>
            <w:hideMark/>
          </w:tcPr>
          <w:p w14:paraId="198E2DF8" w14:textId="77777777" w:rsidR="00A804EE" w:rsidRPr="006016AB" w:rsidRDefault="00A804EE" w:rsidP="00860768">
            <w:pPr>
              <w:spacing w:after="0" w:line="240" w:lineRule="auto"/>
              <w:jc w:val="both"/>
              <w:rPr>
                <w:rFonts w:ascii="Times New Roman" w:eastAsia="Times New Roman" w:hAnsi="Times New Roman" w:cs="Times New Roman"/>
                <w:sz w:val="24"/>
                <w:szCs w:val="24"/>
                <w:lang w:eastAsia="en-GB"/>
              </w:rPr>
            </w:pPr>
            <w:r w:rsidRPr="006016AB">
              <w:rPr>
                <w:rFonts w:ascii="Times New Roman" w:eastAsia="Times New Roman" w:hAnsi="Times New Roman" w:cs="Times New Roman"/>
                <w:sz w:val="24"/>
                <w:szCs w:val="24"/>
                <w:lang w:eastAsia="en-GB"/>
              </w:rPr>
              <w:t>Reduces urban pollution with clean transport options</w:t>
            </w:r>
          </w:p>
        </w:tc>
        <w:tc>
          <w:tcPr>
            <w:tcW w:w="0" w:type="auto"/>
            <w:vAlign w:val="center"/>
            <w:hideMark/>
          </w:tcPr>
          <w:p w14:paraId="7E864B79" w14:textId="77777777" w:rsidR="00A804EE" w:rsidRPr="006016AB" w:rsidRDefault="00A804EE" w:rsidP="00860768">
            <w:pPr>
              <w:spacing w:after="0" w:line="240" w:lineRule="auto"/>
              <w:jc w:val="both"/>
              <w:rPr>
                <w:rFonts w:ascii="Times New Roman" w:eastAsia="Times New Roman" w:hAnsi="Times New Roman" w:cs="Times New Roman"/>
                <w:sz w:val="24"/>
                <w:szCs w:val="24"/>
                <w:lang w:eastAsia="en-GB"/>
              </w:rPr>
            </w:pPr>
            <w:r w:rsidRPr="006016AB">
              <w:rPr>
                <w:rFonts w:ascii="Times New Roman" w:eastAsia="Times New Roman" w:hAnsi="Times New Roman" w:cs="Times New Roman"/>
                <w:sz w:val="24"/>
                <w:szCs w:val="24"/>
                <w:lang w:eastAsia="en-GB"/>
              </w:rPr>
              <w:t>Electric buses in Lagos pilot scheme</w:t>
            </w:r>
          </w:p>
        </w:tc>
      </w:tr>
      <w:tr w:rsidR="00A804EE" w:rsidRPr="006016AB" w14:paraId="2564126A" w14:textId="77777777" w:rsidTr="00286A2E">
        <w:trPr>
          <w:tblCellSpacing w:w="15" w:type="dxa"/>
        </w:trPr>
        <w:tc>
          <w:tcPr>
            <w:tcW w:w="0" w:type="auto"/>
            <w:tcBorders>
              <w:bottom w:val="single" w:sz="4" w:space="0" w:color="auto"/>
            </w:tcBorders>
            <w:vAlign w:val="center"/>
            <w:hideMark/>
          </w:tcPr>
          <w:p w14:paraId="032A9715" w14:textId="77777777" w:rsidR="00A804EE" w:rsidRPr="006016AB" w:rsidRDefault="00A804EE" w:rsidP="00286A2E">
            <w:pPr>
              <w:spacing w:after="0" w:line="240" w:lineRule="auto"/>
              <w:rPr>
                <w:rFonts w:ascii="Times New Roman" w:eastAsia="Times New Roman" w:hAnsi="Times New Roman" w:cs="Times New Roman"/>
                <w:sz w:val="24"/>
                <w:szCs w:val="24"/>
                <w:lang w:eastAsia="en-GB"/>
              </w:rPr>
            </w:pPr>
            <w:r w:rsidRPr="006016AB">
              <w:rPr>
                <w:rFonts w:ascii="Times New Roman" w:eastAsia="Times New Roman" w:hAnsi="Times New Roman" w:cs="Times New Roman"/>
                <w:sz w:val="24"/>
                <w:szCs w:val="24"/>
                <w:lang w:eastAsia="en-GB"/>
              </w:rPr>
              <w:t xml:space="preserve">SDG 13 </w:t>
            </w:r>
            <w:r w:rsidR="00286A2E">
              <w:rPr>
                <w:rFonts w:ascii="Times New Roman" w:eastAsia="Times New Roman" w:hAnsi="Times New Roman" w:cs="Times New Roman"/>
                <w:sz w:val="24"/>
                <w:szCs w:val="24"/>
                <w:lang w:eastAsia="en-GB"/>
              </w:rPr>
              <w:t>-</w:t>
            </w:r>
            <w:r w:rsidRPr="006016AB">
              <w:rPr>
                <w:rFonts w:ascii="Times New Roman" w:eastAsia="Times New Roman" w:hAnsi="Times New Roman" w:cs="Times New Roman"/>
                <w:sz w:val="24"/>
                <w:szCs w:val="24"/>
                <w:lang w:eastAsia="en-GB"/>
              </w:rPr>
              <w:t xml:space="preserve"> Climate Action</w:t>
            </w:r>
          </w:p>
        </w:tc>
        <w:tc>
          <w:tcPr>
            <w:tcW w:w="3585" w:type="dxa"/>
            <w:tcBorders>
              <w:bottom w:val="single" w:sz="4" w:space="0" w:color="auto"/>
            </w:tcBorders>
            <w:vAlign w:val="center"/>
            <w:hideMark/>
          </w:tcPr>
          <w:p w14:paraId="13F2A4E6" w14:textId="77777777" w:rsidR="00A804EE" w:rsidRPr="006016AB" w:rsidRDefault="00A804EE" w:rsidP="00286A2E">
            <w:pPr>
              <w:spacing w:after="0" w:line="240" w:lineRule="auto"/>
              <w:rPr>
                <w:rFonts w:ascii="Times New Roman" w:eastAsia="Times New Roman" w:hAnsi="Times New Roman" w:cs="Times New Roman"/>
                <w:sz w:val="24"/>
                <w:szCs w:val="24"/>
                <w:lang w:eastAsia="en-GB"/>
              </w:rPr>
            </w:pPr>
            <w:r w:rsidRPr="006016AB">
              <w:rPr>
                <w:rFonts w:ascii="Times New Roman" w:eastAsia="Times New Roman" w:hAnsi="Times New Roman" w:cs="Times New Roman"/>
                <w:sz w:val="24"/>
                <w:szCs w:val="24"/>
                <w:lang w:eastAsia="en-GB"/>
              </w:rPr>
              <w:t>Cuts GHG emissions through renewable energy adoption</w:t>
            </w:r>
          </w:p>
        </w:tc>
        <w:tc>
          <w:tcPr>
            <w:tcW w:w="0" w:type="auto"/>
            <w:tcBorders>
              <w:bottom w:val="single" w:sz="4" w:space="0" w:color="auto"/>
            </w:tcBorders>
            <w:vAlign w:val="center"/>
            <w:hideMark/>
          </w:tcPr>
          <w:p w14:paraId="5EACC73B" w14:textId="77777777" w:rsidR="00A804EE" w:rsidRPr="006016AB" w:rsidRDefault="00A804EE" w:rsidP="00286A2E">
            <w:pPr>
              <w:spacing w:after="0" w:line="240" w:lineRule="auto"/>
              <w:rPr>
                <w:rFonts w:ascii="Times New Roman" w:eastAsia="Times New Roman" w:hAnsi="Times New Roman" w:cs="Times New Roman"/>
                <w:sz w:val="24"/>
                <w:szCs w:val="24"/>
                <w:lang w:eastAsia="en-GB"/>
              </w:rPr>
            </w:pPr>
            <w:r w:rsidRPr="006016AB">
              <w:rPr>
                <w:rFonts w:ascii="Times New Roman" w:eastAsia="Times New Roman" w:hAnsi="Times New Roman" w:cs="Times New Roman"/>
                <w:sz w:val="24"/>
                <w:szCs w:val="24"/>
                <w:lang w:eastAsia="en-GB"/>
              </w:rPr>
              <w:t>Hydropower and biomass projects</w:t>
            </w:r>
          </w:p>
        </w:tc>
      </w:tr>
    </w:tbl>
    <w:p w14:paraId="0B2344ED" w14:textId="77777777" w:rsidR="00A804EE" w:rsidRPr="006016AB" w:rsidRDefault="00A804EE" w:rsidP="00A804EE">
      <w:pPr>
        <w:spacing w:before="100" w:beforeAutospacing="1" w:after="100" w:afterAutospacing="1" w:line="240" w:lineRule="auto"/>
        <w:jc w:val="both"/>
        <w:rPr>
          <w:rFonts w:ascii="Times New Roman" w:eastAsia="Times New Roman" w:hAnsi="Times New Roman" w:cs="Times New Roman"/>
          <w:sz w:val="24"/>
          <w:szCs w:val="24"/>
          <w:lang w:eastAsia="en-GB"/>
        </w:rPr>
      </w:pPr>
      <w:r w:rsidRPr="006016AB">
        <w:rPr>
          <w:rFonts w:ascii="Times New Roman" w:eastAsia="Times New Roman" w:hAnsi="Times New Roman" w:cs="Times New Roman"/>
          <w:sz w:val="24"/>
          <w:szCs w:val="24"/>
          <w:lang w:eastAsia="en-GB"/>
        </w:rPr>
        <w:t xml:space="preserve">Rural Electrification Agency (REA). </w:t>
      </w:r>
      <w:r w:rsidRPr="006016AB">
        <w:rPr>
          <w:rFonts w:ascii="Times New Roman" w:eastAsia="Times New Roman" w:hAnsi="Times New Roman" w:cs="Times New Roman"/>
          <w:i/>
          <w:iCs/>
          <w:sz w:val="24"/>
          <w:szCs w:val="24"/>
          <w:lang w:eastAsia="en-GB"/>
        </w:rPr>
        <w:t>Nigeria Electrification Project Reports</w:t>
      </w:r>
      <w:r w:rsidRPr="006016AB">
        <w:rPr>
          <w:rFonts w:ascii="Times New Roman" w:eastAsia="Times New Roman" w:hAnsi="Times New Roman" w:cs="Times New Roman"/>
          <w:sz w:val="24"/>
          <w:szCs w:val="24"/>
          <w:lang w:eastAsia="en-GB"/>
        </w:rPr>
        <w:t>, 2019–2023</w:t>
      </w:r>
    </w:p>
    <w:p w14:paraId="6317F876" w14:textId="77777777" w:rsidR="00A804EE" w:rsidRPr="006016AB" w:rsidRDefault="00A804EE" w:rsidP="00A804EE">
      <w:pPr>
        <w:spacing w:before="100" w:beforeAutospacing="1" w:after="100" w:afterAutospacing="1" w:line="240" w:lineRule="auto"/>
        <w:rPr>
          <w:rFonts w:ascii="Times New Roman" w:eastAsia="Times New Roman" w:hAnsi="Times New Roman" w:cs="Times New Roman"/>
          <w:sz w:val="24"/>
          <w:szCs w:val="24"/>
          <w:lang w:eastAsia="en-GB"/>
        </w:rPr>
      </w:pPr>
      <w:r w:rsidRPr="006016AB">
        <w:rPr>
          <w:rFonts w:ascii="Times New Roman" w:eastAsia="Times New Roman" w:hAnsi="Times New Roman" w:cs="Times New Roman"/>
          <w:sz w:val="24"/>
          <w:szCs w:val="24"/>
          <w:lang w:eastAsia="en-GB"/>
        </w:rPr>
        <w:t xml:space="preserve">International Energy Agency (IEA). </w:t>
      </w:r>
      <w:r w:rsidRPr="006016AB">
        <w:rPr>
          <w:rFonts w:ascii="Times New Roman" w:eastAsia="Times New Roman" w:hAnsi="Times New Roman" w:cs="Times New Roman"/>
          <w:i/>
          <w:iCs/>
          <w:sz w:val="24"/>
          <w:szCs w:val="24"/>
          <w:lang w:eastAsia="en-GB"/>
        </w:rPr>
        <w:t>Tracking SDG7: The Energy Progress Report</w:t>
      </w:r>
      <w:r w:rsidRPr="006016AB">
        <w:rPr>
          <w:rFonts w:ascii="Times New Roman" w:eastAsia="Times New Roman" w:hAnsi="Times New Roman" w:cs="Times New Roman"/>
          <w:sz w:val="24"/>
          <w:szCs w:val="24"/>
          <w:lang w:eastAsia="en-GB"/>
        </w:rPr>
        <w:t>, 2020–2023.</w:t>
      </w:r>
    </w:p>
    <w:p w14:paraId="29A3A1D5" w14:textId="77777777" w:rsidR="000D22A3" w:rsidRPr="00C0780B" w:rsidRDefault="000D22A3" w:rsidP="00452CB1">
      <w:pPr>
        <w:spacing w:before="100" w:beforeAutospacing="1" w:after="100" w:afterAutospacing="1" w:line="240" w:lineRule="auto"/>
        <w:rPr>
          <w:rFonts w:ascii="Times New Roman" w:eastAsia="Times New Roman" w:hAnsi="Times New Roman" w:cs="Times New Roman"/>
          <w:b/>
          <w:bCs/>
          <w:sz w:val="24"/>
          <w:szCs w:val="24"/>
          <w:lang w:eastAsia="en-GB"/>
        </w:rPr>
      </w:pPr>
      <w:r w:rsidRPr="00C0780B">
        <w:rPr>
          <w:rFonts w:ascii="Times New Roman" w:eastAsia="Times New Roman" w:hAnsi="Times New Roman" w:cs="Times New Roman"/>
          <w:b/>
          <w:bCs/>
          <w:sz w:val="24"/>
          <w:szCs w:val="24"/>
          <w:lang w:eastAsia="en-GB"/>
        </w:rPr>
        <w:t>ANALYSIS OF VARIANCE</w:t>
      </w:r>
    </w:p>
    <w:tbl>
      <w:tblPr>
        <w:tblW w:w="10609" w:type="dxa"/>
        <w:jc w:val="center"/>
        <w:tblLayout w:type="fixed"/>
        <w:tblLook w:val="04A0" w:firstRow="1" w:lastRow="0" w:firstColumn="1" w:lastColumn="0" w:noHBand="0" w:noVBand="1"/>
      </w:tblPr>
      <w:tblGrid>
        <w:gridCol w:w="1843"/>
        <w:gridCol w:w="1413"/>
        <w:gridCol w:w="1412"/>
        <w:gridCol w:w="1286"/>
        <w:gridCol w:w="1134"/>
        <w:gridCol w:w="850"/>
        <w:gridCol w:w="1112"/>
        <w:gridCol w:w="1559"/>
      </w:tblGrid>
      <w:tr w:rsidR="007D4F32" w:rsidRPr="00FA6F3A" w14:paraId="0449B87D" w14:textId="77777777" w:rsidTr="004D3811">
        <w:trPr>
          <w:trHeight w:val="288"/>
          <w:jc w:val="center"/>
        </w:trPr>
        <w:tc>
          <w:tcPr>
            <w:tcW w:w="1843" w:type="dxa"/>
            <w:noWrap/>
            <w:vAlign w:val="bottom"/>
            <w:hideMark/>
          </w:tcPr>
          <w:p w14:paraId="05842F7D" w14:textId="77777777" w:rsidR="007D4F32" w:rsidRPr="00FA6F3A" w:rsidRDefault="007D4F32">
            <w:pPr>
              <w:rPr>
                <w:rFonts w:ascii="Times New Roman" w:hAnsi="Times New Roman" w:cs="Times New Roman"/>
                <w:sz w:val="24"/>
                <w:szCs w:val="24"/>
              </w:rPr>
            </w:pPr>
          </w:p>
        </w:tc>
        <w:tc>
          <w:tcPr>
            <w:tcW w:w="1413" w:type="dxa"/>
            <w:noWrap/>
            <w:vAlign w:val="bottom"/>
            <w:hideMark/>
          </w:tcPr>
          <w:p w14:paraId="3B1E9059" w14:textId="77777777" w:rsidR="007D4F32" w:rsidRPr="00FA6F3A" w:rsidRDefault="007D4F32">
            <w:pPr>
              <w:rPr>
                <w:rFonts w:ascii="Times New Roman" w:hAnsi="Times New Roman" w:cs="Times New Roman"/>
                <w:sz w:val="24"/>
                <w:szCs w:val="24"/>
                <w:lang w:eastAsia="en-GB"/>
              </w:rPr>
            </w:pPr>
          </w:p>
        </w:tc>
        <w:tc>
          <w:tcPr>
            <w:tcW w:w="1412" w:type="dxa"/>
            <w:noWrap/>
            <w:vAlign w:val="bottom"/>
            <w:hideMark/>
          </w:tcPr>
          <w:p w14:paraId="1E947A2E" w14:textId="77777777" w:rsidR="007D4F32" w:rsidRPr="00FA6F3A" w:rsidRDefault="007D4F32">
            <w:pPr>
              <w:rPr>
                <w:rFonts w:ascii="Times New Roman" w:hAnsi="Times New Roman" w:cs="Times New Roman"/>
                <w:sz w:val="24"/>
                <w:szCs w:val="24"/>
                <w:lang w:eastAsia="en-GB"/>
              </w:rPr>
            </w:pPr>
          </w:p>
        </w:tc>
        <w:tc>
          <w:tcPr>
            <w:tcW w:w="1286" w:type="dxa"/>
            <w:noWrap/>
            <w:vAlign w:val="bottom"/>
            <w:hideMark/>
          </w:tcPr>
          <w:p w14:paraId="411FF401" w14:textId="77777777" w:rsidR="007D4F32" w:rsidRPr="00FA6F3A" w:rsidRDefault="007D4F32">
            <w:pPr>
              <w:rPr>
                <w:rFonts w:ascii="Times New Roman" w:hAnsi="Times New Roman" w:cs="Times New Roman"/>
                <w:sz w:val="24"/>
                <w:szCs w:val="24"/>
                <w:lang w:eastAsia="en-GB"/>
              </w:rPr>
            </w:pPr>
          </w:p>
        </w:tc>
        <w:tc>
          <w:tcPr>
            <w:tcW w:w="1134" w:type="dxa"/>
            <w:noWrap/>
            <w:vAlign w:val="bottom"/>
            <w:hideMark/>
          </w:tcPr>
          <w:p w14:paraId="01E0942C" w14:textId="77777777" w:rsidR="007D4F32" w:rsidRPr="00FA6F3A" w:rsidRDefault="007D4F32">
            <w:pPr>
              <w:rPr>
                <w:rFonts w:ascii="Times New Roman" w:hAnsi="Times New Roman" w:cs="Times New Roman"/>
                <w:sz w:val="24"/>
                <w:szCs w:val="24"/>
                <w:lang w:eastAsia="en-GB"/>
              </w:rPr>
            </w:pPr>
          </w:p>
        </w:tc>
        <w:tc>
          <w:tcPr>
            <w:tcW w:w="850" w:type="dxa"/>
            <w:noWrap/>
            <w:vAlign w:val="bottom"/>
            <w:hideMark/>
          </w:tcPr>
          <w:p w14:paraId="1FA10C3E" w14:textId="77777777" w:rsidR="007D4F32" w:rsidRPr="00FA6F3A" w:rsidRDefault="007D4F32">
            <w:pPr>
              <w:rPr>
                <w:rFonts w:ascii="Times New Roman" w:hAnsi="Times New Roman" w:cs="Times New Roman"/>
                <w:sz w:val="24"/>
                <w:szCs w:val="24"/>
                <w:lang w:eastAsia="en-GB"/>
              </w:rPr>
            </w:pPr>
          </w:p>
        </w:tc>
        <w:tc>
          <w:tcPr>
            <w:tcW w:w="1112" w:type="dxa"/>
            <w:noWrap/>
            <w:vAlign w:val="bottom"/>
            <w:hideMark/>
          </w:tcPr>
          <w:p w14:paraId="005F591B" w14:textId="77777777" w:rsidR="007D4F32" w:rsidRPr="00FA6F3A" w:rsidRDefault="007D4F32">
            <w:pPr>
              <w:rPr>
                <w:rFonts w:ascii="Times New Roman" w:hAnsi="Times New Roman" w:cs="Times New Roman"/>
                <w:sz w:val="24"/>
                <w:szCs w:val="24"/>
                <w:lang w:eastAsia="en-GB"/>
              </w:rPr>
            </w:pPr>
          </w:p>
        </w:tc>
        <w:tc>
          <w:tcPr>
            <w:tcW w:w="1559" w:type="dxa"/>
            <w:noWrap/>
            <w:vAlign w:val="bottom"/>
            <w:hideMark/>
          </w:tcPr>
          <w:p w14:paraId="64EA1C3A" w14:textId="77777777" w:rsidR="007D4F32" w:rsidRPr="00FA6F3A" w:rsidRDefault="007D4F32">
            <w:pPr>
              <w:rPr>
                <w:rFonts w:ascii="Times New Roman" w:hAnsi="Times New Roman" w:cs="Times New Roman"/>
                <w:sz w:val="24"/>
                <w:szCs w:val="24"/>
                <w:lang w:eastAsia="en-GB"/>
              </w:rPr>
            </w:pPr>
          </w:p>
        </w:tc>
      </w:tr>
      <w:tr w:rsidR="007D4F32" w:rsidRPr="00FA6F3A" w14:paraId="3284C5B1" w14:textId="77777777" w:rsidTr="004D3811">
        <w:trPr>
          <w:trHeight w:val="399"/>
          <w:jc w:val="center"/>
        </w:trPr>
        <w:tc>
          <w:tcPr>
            <w:tcW w:w="10609" w:type="dxa"/>
            <w:gridSpan w:val="8"/>
            <w:tcBorders>
              <w:bottom w:val="single" w:sz="4" w:space="0" w:color="auto"/>
            </w:tcBorders>
            <w:noWrap/>
            <w:vAlign w:val="center"/>
            <w:hideMark/>
          </w:tcPr>
          <w:p w14:paraId="1B3745FD" w14:textId="77777777" w:rsidR="007D4F32" w:rsidRPr="00FA6F3A" w:rsidRDefault="00FA6F3A" w:rsidP="00FA6F3A">
            <w:pPr>
              <w:rPr>
                <w:rFonts w:ascii="Times New Roman" w:hAnsi="Times New Roman" w:cs="Times New Roman"/>
                <w:sz w:val="24"/>
                <w:szCs w:val="24"/>
              </w:rPr>
            </w:pPr>
            <w:r w:rsidRPr="004D3811">
              <w:rPr>
                <w:rFonts w:ascii="Times New Roman" w:hAnsi="Times New Roman" w:cs="Times New Roman"/>
                <w:b/>
                <w:sz w:val="24"/>
                <w:szCs w:val="24"/>
              </w:rPr>
              <w:t xml:space="preserve">Table </w:t>
            </w:r>
            <w:proofErr w:type="gramStart"/>
            <w:r w:rsidRPr="004D3811">
              <w:rPr>
                <w:rFonts w:ascii="Times New Roman" w:hAnsi="Times New Roman" w:cs="Times New Roman"/>
                <w:b/>
                <w:sz w:val="24"/>
                <w:szCs w:val="24"/>
              </w:rPr>
              <w:t>4:</w:t>
            </w:r>
            <w:r w:rsidRPr="00FA6F3A">
              <w:rPr>
                <w:rFonts w:ascii="Times New Roman" w:hAnsi="Times New Roman" w:cs="Times New Roman"/>
                <w:sz w:val="24"/>
                <w:szCs w:val="24"/>
              </w:rPr>
              <w:t>Analysis</w:t>
            </w:r>
            <w:proofErr w:type="gramEnd"/>
            <w:r w:rsidRPr="00FA6F3A">
              <w:rPr>
                <w:rFonts w:ascii="Times New Roman" w:hAnsi="Times New Roman" w:cs="Times New Roman"/>
                <w:sz w:val="24"/>
                <w:szCs w:val="24"/>
              </w:rPr>
              <w:t xml:space="preserve"> of Variance Table</w:t>
            </w:r>
          </w:p>
        </w:tc>
      </w:tr>
      <w:tr w:rsidR="007D4F32" w:rsidRPr="00FA6F3A" w14:paraId="70D4AB81" w14:textId="77777777" w:rsidTr="004D3811">
        <w:trPr>
          <w:trHeight w:val="720"/>
          <w:jc w:val="center"/>
        </w:trPr>
        <w:tc>
          <w:tcPr>
            <w:tcW w:w="1843" w:type="dxa"/>
            <w:tcBorders>
              <w:top w:val="single" w:sz="4" w:space="0" w:color="auto"/>
              <w:bottom w:val="single" w:sz="4" w:space="0" w:color="auto"/>
            </w:tcBorders>
            <w:vAlign w:val="center"/>
            <w:hideMark/>
          </w:tcPr>
          <w:p w14:paraId="2AA0D56B" w14:textId="77777777" w:rsidR="007D4F32" w:rsidRPr="004D3811" w:rsidRDefault="007D4F32">
            <w:pPr>
              <w:rPr>
                <w:rFonts w:ascii="Times New Roman" w:hAnsi="Times New Roman" w:cs="Times New Roman"/>
                <w:sz w:val="24"/>
                <w:szCs w:val="24"/>
              </w:rPr>
            </w:pPr>
            <w:r w:rsidRPr="004D3811">
              <w:rPr>
                <w:rFonts w:ascii="Times New Roman" w:hAnsi="Times New Roman" w:cs="Times New Roman"/>
                <w:sz w:val="24"/>
                <w:szCs w:val="24"/>
              </w:rPr>
              <w:t>Source of Variation</w:t>
            </w:r>
          </w:p>
        </w:tc>
        <w:tc>
          <w:tcPr>
            <w:tcW w:w="1413" w:type="dxa"/>
            <w:tcBorders>
              <w:top w:val="single" w:sz="4" w:space="0" w:color="auto"/>
              <w:bottom w:val="single" w:sz="4" w:space="0" w:color="auto"/>
            </w:tcBorders>
            <w:vAlign w:val="center"/>
            <w:hideMark/>
          </w:tcPr>
          <w:p w14:paraId="77283399" w14:textId="77777777" w:rsidR="007D4F32" w:rsidRPr="004D3811" w:rsidRDefault="007D4F32">
            <w:pPr>
              <w:rPr>
                <w:rFonts w:ascii="Times New Roman" w:hAnsi="Times New Roman" w:cs="Times New Roman"/>
                <w:sz w:val="24"/>
                <w:szCs w:val="24"/>
              </w:rPr>
            </w:pPr>
            <w:r w:rsidRPr="004D3811">
              <w:rPr>
                <w:rFonts w:ascii="Times New Roman" w:hAnsi="Times New Roman" w:cs="Times New Roman"/>
                <w:sz w:val="24"/>
                <w:szCs w:val="24"/>
              </w:rPr>
              <w:t>Sum of Squares (SS)</w:t>
            </w:r>
          </w:p>
        </w:tc>
        <w:tc>
          <w:tcPr>
            <w:tcW w:w="1412" w:type="dxa"/>
            <w:tcBorders>
              <w:top w:val="single" w:sz="4" w:space="0" w:color="auto"/>
              <w:bottom w:val="single" w:sz="4" w:space="0" w:color="auto"/>
            </w:tcBorders>
            <w:vAlign w:val="center"/>
            <w:hideMark/>
          </w:tcPr>
          <w:p w14:paraId="5C506A98" w14:textId="77777777" w:rsidR="007D4F32" w:rsidRPr="004D3811" w:rsidRDefault="007D4F32">
            <w:pPr>
              <w:rPr>
                <w:rFonts w:ascii="Times New Roman" w:hAnsi="Times New Roman" w:cs="Times New Roman"/>
                <w:sz w:val="24"/>
                <w:szCs w:val="24"/>
              </w:rPr>
            </w:pPr>
            <w:r w:rsidRPr="004D3811">
              <w:rPr>
                <w:rFonts w:ascii="Times New Roman" w:hAnsi="Times New Roman" w:cs="Times New Roman"/>
                <w:sz w:val="24"/>
                <w:szCs w:val="24"/>
              </w:rPr>
              <w:t>Degrees of Freedom (</w:t>
            </w:r>
            <w:proofErr w:type="spellStart"/>
            <w:r w:rsidRPr="004D3811">
              <w:rPr>
                <w:rFonts w:ascii="Times New Roman" w:hAnsi="Times New Roman" w:cs="Times New Roman"/>
                <w:sz w:val="24"/>
                <w:szCs w:val="24"/>
              </w:rPr>
              <w:t>df</w:t>
            </w:r>
            <w:proofErr w:type="spellEnd"/>
            <w:r w:rsidRPr="004D3811">
              <w:rPr>
                <w:rFonts w:ascii="Times New Roman" w:hAnsi="Times New Roman" w:cs="Times New Roman"/>
                <w:sz w:val="24"/>
                <w:szCs w:val="24"/>
              </w:rPr>
              <w:t>)</w:t>
            </w:r>
          </w:p>
        </w:tc>
        <w:tc>
          <w:tcPr>
            <w:tcW w:w="1286" w:type="dxa"/>
            <w:tcBorders>
              <w:top w:val="single" w:sz="4" w:space="0" w:color="auto"/>
              <w:bottom w:val="single" w:sz="4" w:space="0" w:color="auto"/>
            </w:tcBorders>
            <w:vAlign w:val="center"/>
            <w:hideMark/>
          </w:tcPr>
          <w:p w14:paraId="1416265C" w14:textId="77777777" w:rsidR="007D4F32" w:rsidRPr="004D3811" w:rsidRDefault="007D4F32">
            <w:pPr>
              <w:rPr>
                <w:rFonts w:ascii="Times New Roman" w:hAnsi="Times New Roman" w:cs="Times New Roman"/>
                <w:sz w:val="24"/>
                <w:szCs w:val="24"/>
              </w:rPr>
            </w:pPr>
            <w:r w:rsidRPr="004D3811">
              <w:rPr>
                <w:rFonts w:ascii="Times New Roman" w:hAnsi="Times New Roman" w:cs="Times New Roman"/>
                <w:sz w:val="24"/>
                <w:szCs w:val="24"/>
              </w:rPr>
              <w:t>Mean Square (MS)</w:t>
            </w:r>
          </w:p>
        </w:tc>
        <w:tc>
          <w:tcPr>
            <w:tcW w:w="1134" w:type="dxa"/>
            <w:tcBorders>
              <w:top w:val="single" w:sz="4" w:space="0" w:color="auto"/>
              <w:bottom w:val="single" w:sz="4" w:space="0" w:color="auto"/>
            </w:tcBorders>
            <w:vAlign w:val="center"/>
            <w:hideMark/>
          </w:tcPr>
          <w:p w14:paraId="30CA426F" w14:textId="77777777" w:rsidR="007D4F32" w:rsidRPr="004D3811" w:rsidRDefault="007D4F32">
            <w:pPr>
              <w:rPr>
                <w:rFonts w:ascii="Times New Roman" w:hAnsi="Times New Roman" w:cs="Times New Roman"/>
                <w:sz w:val="24"/>
                <w:szCs w:val="24"/>
              </w:rPr>
            </w:pPr>
            <w:r w:rsidRPr="004D3811">
              <w:rPr>
                <w:rFonts w:ascii="Times New Roman" w:hAnsi="Times New Roman" w:cs="Times New Roman"/>
                <w:sz w:val="24"/>
                <w:szCs w:val="24"/>
              </w:rPr>
              <w:t>F-Statistic</w:t>
            </w:r>
          </w:p>
        </w:tc>
        <w:tc>
          <w:tcPr>
            <w:tcW w:w="850" w:type="dxa"/>
            <w:tcBorders>
              <w:top w:val="single" w:sz="4" w:space="0" w:color="auto"/>
              <w:bottom w:val="single" w:sz="4" w:space="0" w:color="auto"/>
            </w:tcBorders>
            <w:vAlign w:val="center"/>
            <w:hideMark/>
          </w:tcPr>
          <w:p w14:paraId="5A6359D7" w14:textId="77777777" w:rsidR="007D4F32" w:rsidRPr="004D3811" w:rsidRDefault="007D4F32" w:rsidP="007F4FA4">
            <w:pPr>
              <w:ind w:left="7" w:firstLine="7"/>
              <w:rPr>
                <w:rFonts w:ascii="Times New Roman" w:hAnsi="Times New Roman" w:cs="Times New Roman"/>
                <w:sz w:val="24"/>
                <w:szCs w:val="24"/>
              </w:rPr>
            </w:pPr>
            <w:r w:rsidRPr="004D3811">
              <w:rPr>
                <w:rFonts w:ascii="Times New Roman" w:hAnsi="Times New Roman" w:cs="Times New Roman"/>
                <w:sz w:val="24"/>
                <w:szCs w:val="24"/>
              </w:rPr>
              <w:t>p-value</w:t>
            </w:r>
          </w:p>
        </w:tc>
        <w:tc>
          <w:tcPr>
            <w:tcW w:w="1112" w:type="dxa"/>
            <w:tcBorders>
              <w:top w:val="single" w:sz="4" w:space="0" w:color="auto"/>
              <w:bottom w:val="single" w:sz="4" w:space="0" w:color="auto"/>
            </w:tcBorders>
            <w:vAlign w:val="center"/>
            <w:hideMark/>
          </w:tcPr>
          <w:p w14:paraId="307A6BD1" w14:textId="77777777" w:rsidR="007D4F32" w:rsidRPr="004D3811" w:rsidRDefault="007D4F32">
            <w:pPr>
              <w:rPr>
                <w:rFonts w:ascii="Times New Roman" w:hAnsi="Times New Roman" w:cs="Times New Roman"/>
                <w:sz w:val="24"/>
                <w:szCs w:val="24"/>
              </w:rPr>
            </w:pPr>
            <w:r w:rsidRPr="004D3811">
              <w:rPr>
                <w:rFonts w:ascii="Times New Roman" w:hAnsi="Times New Roman" w:cs="Times New Roman"/>
                <w:sz w:val="24"/>
                <w:szCs w:val="24"/>
              </w:rPr>
              <w:t>F-crit</w:t>
            </w:r>
          </w:p>
          <w:p w14:paraId="6386FB2E" w14:textId="77777777" w:rsidR="007D4F32" w:rsidRPr="004D3811" w:rsidRDefault="007D4F32">
            <w:pPr>
              <w:rPr>
                <w:rFonts w:ascii="Times New Roman" w:hAnsi="Times New Roman" w:cs="Times New Roman"/>
                <w:sz w:val="24"/>
                <w:szCs w:val="24"/>
              </w:rPr>
            </w:pPr>
            <w:r w:rsidRPr="004D3811">
              <w:rPr>
                <w:rFonts w:ascii="Times New Roman" w:hAnsi="Times New Roman" w:cs="Times New Roman"/>
                <w:sz w:val="24"/>
                <w:szCs w:val="24"/>
              </w:rPr>
              <w:t>(α=0.05)</w:t>
            </w:r>
          </w:p>
        </w:tc>
        <w:tc>
          <w:tcPr>
            <w:tcW w:w="1559" w:type="dxa"/>
            <w:tcBorders>
              <w:top w:val="single" w:sz="4" w:space="0" w:color="auto"/>
              <w:bottom w:val="single" w:sz="4" w:space="0" w:color="auto"/>
            </w:tcBorders>
            <w:vAlign w:val="center"/>
            <w:hideMark/>
          </w:tcPr>
          <w:p w14:paraId="4C5EEDC6" w14:textId="77777777" w:rsidR="007D4F32" w:rsidRPr="004D3811" w:rsidRDefault="007D4F32">
            <w:pPr>
              <w:rPr>
                <w:rFonts w:ascii="Times New Roman" w:hAnsi="Times New Roman" w:cs="Times New Roman"/>
                <w:sz w:val="24"/>
                <w:szCs w:val="24"/>
              </w:rPr>
            </w:pPr>
            <w:r w:rsidRPr="004D3811">
              <w:rPr>
                <w:rFonts w:ascii="Times New Roman" w:hAnsi="Times New Roman" w:cs="Times New Roman"/>
                <w:sz w:val="24"/>
                <w:szCs w:val="24"/>
              </w:rPr>
              <w:t>F-crit (α=0.01)</w:t>
            </w:r>
          </w:p>
        </w:tc>
      </w:tr>
      <w:tr w:rsidR="007D4F32" w:rsidRPr="00FA6F3A" w14:paraId="0B5BE3BB" w14:textId="77777777" w:rsidTr="004D3811">
        <w:trPr>
          <w:trHeight w:val="528"/>
          <w:jc w:val="center"/>
        </w:trPr>
        <w:tc>
          <w:tcPr>
            <w:tcW w:w="1843" w:type="dxa"/>
            <w:tcBorders>
              <w:top w:val="single" w:sz="4" w:space="0" w:color="auto"/>
            </w:tcBorders>
            <w:vAlign w:val="center"/>
            <w:hideMark/>
          </w:tcPr>
          <w:p w14:paraId="29C46741" w14:textId="77777777" w:rsidR="007D4F32" w:rsidRPr="00FA6F3A" w:rsidRDefault="007D4F32">
            <w:pPr>
              <w:ind w:right="-1526"/>
              <w:rPr>
                <w:rFonts w:ascii="Times New Roman" w:hAnsi="Times New Roman" w:cs="Times New Roman"/>
                <w:sz w:val="24"/>
                <w:szCs w:val="24"/>
              </w:rPr>
            </w:pPr>
            <w:r w:rsidRPr="00FA6F3A">
              <w:rPr>
                <w:rFonts w:ascii="Times New Roman" w:hAnsi="Times New Roman" w:cs="Times New Roman"/>
                <w:sz w:val="24"/>
                <w:szCs w:val="24"/>
              </w:rPr>
              <w:t>Between Groups</w:t>
            </w:r>
            <w:r w:rsidRPr="00FA6F3A">
              <w:rPr>
                <w:rFonts w:ascii="Times New Roman" w:hAnsi="Times New Roman" w:cs="Times New Roman"/>
                <w:sz w:val="24"/>
                <w:szCs w:val="24"/>
              </w:rPr>
              <w:br/>
              <w:t>(Funding Source)</w:t>
            </w:r>
          </w:p>
        </w:tc>
        <w:tc>
          <w:tcPr>
            <w:tcW w:w="1413" w:type="dxa"/>
            <w:tcBorders>
              <w:top w:val="single" w:sz="4" w:space="0" w:color="auto"/>
            </w:tcBorders>
            <w:vAlign w:val="center"/>
            <w:hideMark/>
          </w:tcPr>
          <w:p w14:paraId="6EB9F7F6"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2961.4344</w:t>
            </w:r>
          </w:p>
        </w:tc>
        <w:tc>
          <w:tcPr>
            <w:tcW w:w="1412" w:type="dxa"/>
            <w:tcBorders>
              <w:top w:val="single" w:sz="4" w:space="0" w:color="auto"/>
            </w:tcBorders>
            <w:vAlign w:val="center"/>
            <w:hideMark/>
          </w:tcPr>
          <w:p w14:paraId="6F6A7FEA"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2</w:t>
            </w:r>
          </w:p>
        </w:tc>
        <w:tc>
          <w:tcPr>
            <w:tcW w:w="1286" w:type="dxa"/>
            <w:tcBorders>
              <w:top w:val="single" w:sz="4" w:space="0" w:color="auto"/>
            </w:tcBorders>
            <w:vAlign w:val="center"/>
            <w:hideMark/>
          </w:tcPr>
          <w:p w14:paraId="63BA3568"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1480.7172</w:t>
            </w:r>
          </w:p>
        </w:tc>
        <w:tc>
          <w:tcPr>
            <w:tcW w:w="1134" w:type="dxa"/>
            <w:tcBorders>
              <w:top w:val="single" w:sz="4" w:space="0" w:color="auto"/>
            </w:tcBorders>
            <w:vAlign w:val="center"/>
            <w:hideMark/>
          </w:tcPr>
          <w:p w14:paraId="799FCB4B"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2.3798</w:t>
            </w:r>
          </w:p>
        </w:tc>
        <w:tc>
          <w:tcPr>
            <w:tcW w:w="850" w:type="dxa"/>
            <w:tcBorders>
              <w:top w:val="single" w:sz="4" w:space="0" w:color="auto"/>
            </w:tcBorders>
            <w:vAlign w:val="center"/>
            <w:hideMark/>
          </w:tcPr>
          <w:p w14:paraId="0246E766"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0.126576</w:t>
            </w:r>
          </w:p>
        </w:tc>
        <w:tc>
          <w:tcPr>
            <w:tcW w:w="1112" w:type="dxa"/>
            <w:tcBorders>
              <w:top w:val="single" w:sz="4" w:space="0" w:color="auto"/>
            </w:tcBorders>
            <w:vAlign w:val="center"/>
            <w:hideMark/>
          </w:tcPr>
          <w:p w14:paraId="7527DDF0"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3.6823</w:t>
            </w:r>
          </w:p>
        </w:tc>
        <w:tc>
          <w:tcPr>
            <w:tcW w:w="1559" w:type="dxa"/>
            <w:tcBorders>
              <w:top w:val="single" w:sz="4" w:space="0" w:color="auto"/>
            </w:tcBorders>
            <w:vAlign w:val="center"/>
            <w:hideMark/>
          </w:tcPr>
          <w:p w14:paraId="157A2EA3"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6.3589</w:t>
            </w:r>
          </w:p>
        </w:tc>
      </w:tr>
      <w:tr w:rsidR="007D4F32" w:rsidRPr="00FA6F3A" w14:paraId="482F3BD3" w14:textId="77777777" w:rsidTr="004D3811">
        <w:trPr>
          <w:trHeight w:val="528"/>
          <w:jc w:val="center"/>
        </w:trPr>
        <w:tc>
          <w:tcPr>
            <w:tcW w:w="1843" w:type="dxa"/>
            <w:vAlign w:val="center"/>
            <w:hideMark/>
          </w:tcPr>
          <w:p w14:paraId="5F3C3F78"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Within Groups</w:t>
            </w:r>
            <w:r w:rsidRPr="00FA6F3A">
              <w:rPr>
                <w:rFonts w:ascii="Times New Roman" w:hAnsi="Times New Roman" w:cs="Times New Roman"/>
                <w:sz w:val="24"/>
                <w:szCs w:val="24"/>
              </w:rPr>
              <w:br/>
              <w:t>(Error)</w:t>
            </w:r>
          </w:p>
        </w:tc>
        <w:tc>
          <w:tcPr>
            <w:tcW w:w="1413" w:type="dxa"/>
            <w:vAlign w:val="center"/>
            <w:hideMark/>
          </w:tcPr>
          <w:p w14:paraId="255BC3D3"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9333.055</w:t>
            </w:r>
          </w:p>
        </w:tc>
        <w:tc>
          <w:tcPr>
            <w:tcW w:w="1412" w:type="dxa"/>
            <w:vAlign w:val="center"/>
            <w:hideMark/>
          </w:tcPr>
          <w:p w14:paraId="4C743857"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15</w:t>
            </w:r>
          </w:p>
        </w:tc>
        <w:tc>
          <w:tcPr>
            <w:tcW w:w="1286" w:type="dxa"/>
            <w:vAlign w:val="center"/>
            <w:hideMark/>
          </w:tcPr>
          <w:p w14:paraId="21A22E69"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622.2037</w:t>
            </w:r>
          </w:p>
        </w:tc>
        <w:tc>
          <w:tcPr>
            <w:tcW w:w="1134" w:type="dxa"/>
            <w:vAlign w:val="center"/>
            <w:hideMark/>
          </w:tcPr>
          <w:p w14:paraId="65DB2C96"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w:t>
            </w:r>
          </w:p>
        </w:tc>
        <w:tc>
          <w:tcPr>
            <w:tcW w:w="850" w:type="dxa"/>
            <w:vAlign w:val="center"/>
            <w:hideMark/>
          </w:tcPr>
          <w:p w14:paraId="244A6A69"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w:t>
            </w:r>
          </w:p>
        </w:tc>
        <w:tc>
          <w:tcPr>
            <w:tcW w:w="1112" w:type="dxa"/>
            <w:vAlign w:val="center"/>
            <w:hideMark/>
          </w:tcPr>
          <w:p w14:paraId="55E0F18B"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w:t>
            </w:r>
          </w:p>
        </w:tc>
        <w:tc>
          <w:tcPr>
            <w:tcW w:w="1559" w:type="dxa"/>
            <w:vAlign w:val="center"/>
            <w:hideMark/>
          </w:tcPr>
          <w:p w14:paraId="319F5290"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w:t>
            </w:r>
          </w:p>
        </w:tc>
      </w:tr>
      <w:tr w:rsidR="007D4F32" w:rsidRPr="00FA6F3A" w14:paraId="09830B04" w14:textId="77777777" w:rsidTr="004D3811">
        <w:trPr>
          <w:trHeight w:val="288"/>
          <w:jc w:val="center"/>
        </w:trPr>
        <w:tc>
          <w:tcPr>
            <w:tcW w:w="1843" w:type="dxa"/>
            <w:tcBorders>
              <w:bottom w:val="single" w:sz="4" w:space="0" w:color="auto"/>
            </w:tcBorders>
            <w:vAlign w:val="center"/>
            <w:hideMark/>
          </w:tcPr>
          <w:p w14:paraId="5716DB80"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Total</w:t>
            </w:r>
          </w:p>
        </w:tc>
        <w:tc>
          <w:tcPr>
            <w:tcW w:w="1413" w:type="dxa"/>
            <w:tcBorders>
              <w:bottom w:val="single" w:sz="4" w:space="0" w:color="auto"/>
            </w:tcBorders>
            <w:vAlign w:val="center"/>
            <w:hideMark/>
          </w:tcPr>
          <w:p w14:paraId="22EFB324"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12294.4894</w:t>
            </w:r>
          </w:p>
        </w:tc>
        <w:tc>
          <w:tcPr>
            <w:tcW w:w="1412" w:type="dxa"/>
            <w:tcBorders>
              <w:bottom w:val="single" w:sz="4" w:space="0" w:color="auto"/>
            </w:tcBorders>
            <w:vAlign w:val="center"/>
            <w:hideMark/>
          </w:tcPr>
          <w:p w14:paraId="60B8264C"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17</w:t>
            </w:r>
          </w:p>
        </w:tc>
        <w:tc>
          <w:tcPr>
            <w:tcW w:w="1286" w:type="dxa"/>
            <w:tcBorders>
              <w:bottom w:val="single" w:sz="4" w:space="0" w:color="auto"/>
            </w:tcBorders>
            <w:vAlign w:val="center"/>
            <w:hideMark/>
          </w:tcPr>
          <w:p w14:paraId="13A2109F"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w:t>
            </w:r>
          </w:p>
        </w:tc>
        <w:tc>
          <w:tcPr>
            <w:tcW w:w="1134" w:type="dxa"/>
            <w:tcBorders>
              <w:bottom w:val="single" w:sz="4" w:space="0" w:color="auto"/>
            </w:tcBorders>
            <w:vAlign w:val="center"/>
            <w:hideMark/>
          </w:tcPr>
          <w:p w14:paraId="4B646386"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w:t>
            </w:r>
          </w:p>
        </w:tc>
        <w:tc>
          <w:tcPr>
            <w:tcW w:w="850" w:type="dxa"/>
            <w:tcBorders>
              <w:bottom w:val="single" w:sz="4" w:space="0" w:color="auto"/>
            </w:tcBorders>
            <w:vAlign w:val="center"/>
            <w:hideMark/>
          </w:tcPr>
          <w:p w14:paraId="654AFB9F"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w:t>
            </w:r>
          </w:p>
        </w:tc>
        <w:tc>
          <w:tcPr>
            <w:tcW w:w="1112" w:type="dxa"/>
            <w:tcBorders>
              <w:bottom w:val="single" w:sz="4" w:space="0" w:color="auto"/>
            </w:tcBorders>
            <w:vAlign w:val="center"/>
            <w:hideMark/>
          </w:tcPr>
          <w:p w14:paraId="08A3EAD7"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w:t>
            </w:r>
          </w:p>
        </w:tc>
        <w:tc>
          <w:tcPr>
            <w:tcW w:w="1559" w:type="dxa"/>
            <w:tcBorders>
              <w:bottom w:val="single" w:sz="4" w:space="0" w:color="auto"/>
            </w:tcBorders>
            <w:vAlign w:val="center"/>
            <w:hideMark/>
          </w:tcPr>
          <w:p w14:paraId="1374F90C" w14:textId="77777777" w:rsidR="007D4F32" w:rsidRPr="00FA6F3A" w:rsidRDefault="007D4F32">
            <w:pPr>
              <w:rPr>
                <w:rFonts w:ascii="Times New Roman" w:hAnsi="Times New Roman" w:cs="Times New Roman"/>
                <w:sz w:val="24"/>
                <w:szCs w:val="24"/>
              </w:rPr>
            </w:pPr>
            <w:r w:rsidRPr="00FA6F3A">
              <w:rPr>
                <w:rFonts w:ascii="Times New Roman" w:hAnsi="Times New Roman" w:cs="Times New Roman"/>
                <w:sz w:val="24"/>
                <w:szCs w:val="24"/>
              </w:rPr>
              <w:t>—</w:t>
            </w:r>
          </w:p>
        </w:tc>
      </w:tr>
    </w:tbl>
    <w:p w14:paraId="034A6123" w14:textId="77777777" w:rsidR="00C1283B" w:rsidRDefault="00C1283B" w:rsidP="008D1C2F">
      <w:pPr>
        <w:ind w:right="-7337"/>
        <w:rPr>
          <w:color w:val="7030A0"/>
        </w:rPr>
      </w:pPr>
    </w:p>
    <w:p w14:paraId="577D3688" w14:textId="77777777" w:rsidR="008D1C2F" w:rsidRPr="000B3981" w:rsidRDefault="008D1C2F" w:rsidP="008D1C2F">
      <w:pPr>
        <w:rPr>
          <w:color w:val="7030A0"/>
        </w:rPr>
      </w:pPr>
    </w:p>
    <w:p w14:paraId="4B05D752" w14:textId="19DC8F09" w:rsidR="00750EE4" w:rsidRPr="00385B85" w:rsidRDefault="008B241B" w:rsidP="000233F2">
      <w:pPr>
        <w:spacing w:before="100" w:beforeAutospacing="1" w:after="100" w:afterAutospacing="1" w:line="240" w:lineRule="auto"/>
        <w:jc w:val="both"/>
        <w:rPr>
          <w:rFonts w:ascii="Times New Roman" w:hAnsi="Times New Roman" w:cs="Times New Roman"/>
          <w:sz w:val="24"/>
          <w:szCs w:val="24"/>
        </w:rPr>
      </w:pPr>
      <w:r w:rsidRPr="008B241B">
        <w:rPr>
          <w:rFonts w:ascii="Times New Roman" w:eastAsia="Times New Roman" w:hAnsi="Times New Roman" w:cs="Times New Roman"/>
          <w:sz w:val="24"/>
          <w:szCs w:val="24"/>
          <w:lang w:eastAsia="en-GB"/>
        </w:rPr>
        <w:t>The table above (Table 4) is a statistical output that summarizes the results of an Analysis of Variance (ANOVA) test to compare the means of three or more groups, in this case, differ</w:t>
      </w:r>
    </w:p>
    <w:sectPr w:rsidR="00750EE4" w:rsidRPr="00385B85" w:rsidSect="00B21151">
      <w:pgSz w:w="11906" w:h="16838"/>
      <w:pgMar w:top="1440" w:right="1841"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60628B"/>
    <w:multiLevelType w:val="multilevel"/>
    <w:tmpl w:val="88E09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127923"/>
    <w:multiLevelType w:val="multilevel"/>
    <w:tmpl w:val="2ADC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3095459">
    <w:abstractNumId w:val="1"/>
  </w:num>
  <w:num w:numId="2" w16cid:durableId="1552839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50A47"/>
    <w:rsid w:val="00005FE8"/>
    <w:rsid w:val="000233F2"/>
    <w:rsid w:val="0004779C"/>
    <w:rsid w:val="000808DC"/>
    <w:rsid w:val="000930DB"/>
    <w:rsid w:val="00097F97"/>
    <w:rsid w:val="000A09ED"/>
    <w:rsid w:val="000A4100"/>
    <w:rsid w:val="000A6242"/>
    <w:rsid w:val="000B3981"/>
    <w:rsid w:val="000B5DF8"/>
    <w:rsid w:val="000D22A3"/>
    <w:rsid w:val="000D5C07"/>
    <w:rsid w:val="00153CD8"/>
    <w:rsid w:val="001869E2"/>
    <w:rsid w:val="001C0273"/>
    <w:rsid w:val="001E07BE"/>
    <w:rsid w:val="00205127"/>
    <w:rsid w:val="00224CD3"/>
    <w:rsid w:val="002857FA"/>
    <w:rsid w:val="00286A2E"/>
    <w:rsid w:val="002F5BEA"/>
    <w:rsid w:val="002F7A5D"/>
    <w:rsid w:val="00300781"/>
    <w:rsid w:val="0032530C"/>
    <w:rsid w:val="00341E4B"/>
    <w:rsid w:val="00347AB6"/>
    <w:rsid w:val="0038138D"/>
    <w:rsid w:val="00383E04"/>
    <w:rsid w:val="00385B85"/>
    <w:rsid w:val="00385CB4"/>
    <w:rsid w:val="00387B5F"/>
    <w:rsid w:val="003903DC"/>
    <w:rsid w:val="003A2393"/>
    <w:rsid w:val="00452CB1"/>
    <w:rsid w:val="00481764"/>
    <w:rsid w:val="0048528A"/>
    <w:rsid w:val="00494EF9"/>
    <w:rsid w:val="0049781D"/>
    <w:rsid w:val="004D10C2"/>
    <w:rsid w:val="004D3811"/>
    <w:rsid w:val="004D4DCD"/>
    <w:rsid w:val="00500D58"/>
    <w:rsid w:val="00523F62"/>
    <w:rsid w:val="00531152"/>
    <w:rsid w:val="00550A47"/>
    <w:rsid w:val="00557DC9"/>
    <w:rsid w:val="005E1DEF"/>
    <w:rsid w:val="006016AB"/>
    <w:rsid w:val="00624067"/>
    <w:rsid w:val="00642388"/>
    <w:rsid w:val="00692B7A"/>
    <w:rsid w:val="006A6971"/>
    <w:rsid w:val="006A765E"/>
    <w:rsid w:val="006B3AE7"/>
    <w:rsid w:val="007165FC"/>
    <w:rsid w:val="0072125A"/>
    <w:rsid w:val="00721AFB"/>
    <w:rsid w:val="00740F8E"/>
    <w:rsid w:val="00750EE4"/>
    <w:rsid w:val="007618D4"/>
    <w:rsid w:val="00767983"/>
    <w:rsid w:val="007823AF"/>
    <w:rsid w:val="0079360C"/>
    <w:rsid w:val="007C690A"/>
    <w:rsid w:val="007D4F32"/>
    <w:rsid w:val="007F4FA4"/>
    <w:rsid w:val="00817332"/>
    <w:rsid w:val="00834B01"/>
    <w:rsid w:val="00845EDA"/>
    <w:rsid w:val="008626DB"/>
    <w:rsid w:val="00887745"/>
    <w:rsid w:val="0089155F"/>
    <w:rsid w:val="008B241B"/>
    <w:rsid w:val="008D1C2F"/>
    <w:rsid w:val="0090715D"/>
    <w:rsid w:val="00937AD4"/>
    <w:rsid w:val="00945F32"/>
    <w:rsid w:val="009C74A5"/>
    <w:rsid w:val="00A804EE"/>
    <w:rsid w:val="00AC40E5"/>
    <w:rsid w:val="00B06C0B"/>
    <w:rsid w:val="00B21151"/>
    <w:rsid w:val="00B61CC3"/>
    <w:rsid w:val="00B8013A"/>
    <w:rsid w:val="00BB5628"/>
    <w:rsid w:val="00BE7C62"/>
    <w:rsid w:val="00C0780B"/>
    <w:rsid w:val="00C102C0"/>
    <w:rsid w:val="00C1283B"/>
    <w:rsid w:val="00C7509A"/>
    <w:rsid w:val="00C86B3F"/>
    <w:rsid w:val="00CF7808"/>
    <w:rsid w:val="00D23049"/>
    <w:rsid w:val="00D26CBF"/>
    <w:rsid w:val="00D662AE"/>
    <w:rsid w:val="00DA356F"/>
    <w:rsid w:val="00DF678F"/>
    <w:rsid w:val="00E54177"/>
    <w:rsid w:val="00E65E70"/>
    <w:rsid w:val="00EC7B2D"/>
    <w:rsid w:val="00ED12AB"/>
    <w:rsid w:val="00FA0BB5"/>
    <w:rsid w:val="00FA6F3A"/>
    <w:rsid w:val="00FA6F7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DF571"/>
  <w15:docId w15:val="{912FEB58-3368-422E-A660-F59FD0C58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09A"/>
  </w:style>
  <w:style w:type="paragraph" w:styleId="Heading1">
    <w:name w:val="heading 1"/>
    <w:basedOn w:val="Normal"/>
    <w:next w:val="Normal"/>
    <w:link w:val="Heading1Char"/>
    <w:uiPriority w:val="9"/>
    <w:qFormat/>
    <w:rsid w:val="006A697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DA356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494E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37AD4"/>
    <w:rPr>
      <w:i/>
      <w:iCs/>
    </w:rPr>
  </w:style>
  <w:style w:type="character" w:customStyle="1" w:styleId="Heading2Char">
    <w:name w:val="Heading 2 Char"/>
    <w:basedOn w:val="DefaultParagraphFont"/>
    <w:link w:val="Heading2"/>
    <w:uiPriority w:val="9"/>
    <w:rsid w:val="00DA356F"/>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DA35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A356F"/>
    <w:rPr>
      <w:b/>
      <w:bCs/>
    </w:rPr>
  </w:style>
  <w:style w:type="character" w:styleId="Hyperlink">
    <w:name w:val="Hyperlink"/>
    <w:basedOn w:val="DefaultParagraphFont"/>
    <w:uiPriority w:val="99"/>
    <w:unhideWhenUsed/>
    <w:rsid w:val="002857FA"/>
    <w:rPr>
      <w:color w:val="0563C1" w:themeColor="hyperlink"/>
      <w:u w:val="single"/>
    </w:rPr>
  </w:style>
  <w:style w:type="character" w:customStyle="1" w:styleId="cursor-pointer">
    <w:name w:val="cursor-pointer"/>
    <w:basedOn w:val="DefaultParagraphFont"/>
    <w:rsid w:val="00C1283B"/>
  </w:style>
  <w:style w:type="paragraph" w:customStyle="1" w:styleId="c-bibliographic-informationcitation">
    <w:name w:val="c-bibliographic-information__citation"/>
    <w:basedOn w:val="Normal"/>
    <w:rsid w:val="00224CD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6A6971"/>
    <w:rPr>
      <w:rFonts w:asciiTheme="majorHAnsi" w:eastAsiaTheme="majorEastAsia" w:hAnsiTheme="majorHAnsi" w:cstheme="majorBidi"/>
      <w:color w:val="2E74B5" w:themeColor="accent1" w:themeShade="BF"/>
      <w:sz w:val="32"/>
      <w:szCs w:val="32"/>
    </w:rPr>
  </w:style>
  <w:style w:type="character" w:customStyle="1" w:styleId="creatibutor-name">
    <w:name w:val="creatibutor-name"/>
    <w:basedOn w:val="DefaultParagraphFont"/>
    <w:rsid w:val="00347AB6"/>
  </w:style>
  <w:style w:type="character" w:customStyle="1" w:styleId="Heading3Char">
    <w:name w:val="Heading 3 Char"/>
    <w:basedOn w:val="DefaultParagraphFont"/>
    <w:link w:val="Heading3"/>
    <w:uiPriority w:val="9"/>
    <w:semiHidden/>
    <w:rsid w:val="00494EF9"/>
    <w:rPr>
      <w:rFonts w:asciiTheme="majorHAnsi" w:eastAsiaTheme="majorEastAsia" w:hAnsiTheme="majorHAnsi" w:cstheme="majorBidi"/>
      <w:color w:val="1F4D78" w:themeColor="accent1" w:themeShade="7F"/>
      <w:sz w:val="24"/>
      <w:szCs w:val="24"/>
    </w:rPr>
  </w:style>
  <w:style w:type="character" w:styleId="LineNumber">
    <w:name w:val="line number"/>
    <w:basedOn w:val="DefaultParagraphFont"/>
    <w:uiPriority w:val="99"/>
    <w:semiHidden/>
    <w:unhideWhenUsed/>
    <w:rsid w:val="00B211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5690">
      <w:bodyDiv w:val="1"/>
      <w:marLeft w:val="0"/>
      <w:marRight w:val="0"/>
      <w:marTop w:val="0"/>
      <w:marBottom w:val="0"/>
      <w:divBdr>
        <w:top w:val="none" w:sz="0" w:space="0" w:color="auto"/>
        <w:left w:val="none" w:sz="0" w:space="0" w:color="auto"/>
        <w:bottom w:val="none" w:sz="0" w:space="0" w:color="auto"/>
        <w:right w:val="none" w:sz="0" w:space="0" w:color="auto"/>
      </w:divBdr>
    </w:div>
    <w:div w:id="41830167">
      <w:bodyDiv w:val="1"/>
      <w:marLeft w:val="0"/>
      <w:marRight w:val="0"/>
      <w:marTop w:val="0"/>
      <w:marBottom w:val="0"/>
      <w:divBdr>
        <w:top w:val="none" w:sz="0" w:space="0" w:color="auto"/>
        <w:left w:val="none" w:sz="0" w:space="0" w:color="auto"/>
        <w:bottom w:val="none" w:sz="0" w:space="0" w:color="auto"/>
        <w:right w:val="none" w:sz="0" w:space="0" w:color="auto"/>
      </w:divBdr>
    </w:div>
    <w:div w:id="283655909">
      <w:bodyDiv w:val="1"/>
      <w:marLeft w:val="0"/>
      <w:marRight w:val="0"/>
      <w:marTop w:val="0"/>
      <w:marBottom w:val="0"/>
      <w:divBdr>
        <w:top w:val="none" w:sz="0" w:space="0" w:color="auto"/>
        <w:left w:val="none" w:sz="0" w:space="0" w:color="auto"/>
        <w:bottom w:val="none" w:sz="0" w:space="0" w:color="auto"/>
        <w:right w:val="none" w:sz="0" w:space="0" w:color="auto"/>
      </w:divBdr>
    </w:div>
    <w:div w:id="536819020">
      <w:bodyDiv w:val="1"/>
      <w:marLeft w:val="0"/>
      <w:marRight w:val="0"/>
      <w:marTop w:val="0"/>
      <w:marBottom w:val="0"/>
      <w:divBdr>
        <w:top w:val="none" w:sz="0" w:space="0" w:color="auto"/>
        <w:left w:val="none" w:sz="0" w:space="0" w:color="auto"/>
        <w:bottom w:val="none" w:sz="0" w:space="0" w:color="auto"/>
        <w:right w:val="none" w:sz="0" w:space="0" w:color="auto"/>
      </w:divBdr>
    </w:div>
    <w:div w:id="581988766">
      <w:bodyDiv w:val="1"/>
      <w:marLeft w:val="0"/>
      <w:marRight w:val="0"/>
      <w:marTop w:val="0"/>
      <w:marBottom w:val="0"/>
      <w:divBdr>
        <w:top w:val="none" w:sz="0" w:space="0" w:color="auto"/>
        <w:left w:val="none" w:sz="0" w:space="0" w:color="auto"/>
        <w:bottom w:val="none" w:sz="0" w:space="0" w:color="auto"/>
        <w:right w:val="none" w:sz="0" w:space="0" w:color="auto"/>
      </w:divBdr>
    </w:div>
    <w:div w:id="956789941">
      <w:bodyDiv w:val="1"/>
      <w:marLeft w:val="0"/>
      <w:marRight w:val="0"/>
      <w:marTop w:val="0"/>
      <w:marBottom w:val="0"/>
      <w:divBdr>
        <w:top w:val="none" w:sz="0" w:space="0" w:color="auto"/>
        <w:left w:val="none" w:sz="0" w:space="0" w:color="auto"/>
        <w:bottom w:val="none" w:sz="0" w:space="0" w:color="auto"/>
        <w:right w:val="none" w:sz="0" w:space="0" w:color="auto"/>
      </w:divBdr>
      <w:divsChild>
        <w:div w:id="119424203">
          <w:marLeft w:val="0"/>
          <w:marRight w:val="0"/>
          <w:marTop w:val="0"/>
          <w:marBottom w:val="0"/>
          <w:divBdr>
            <w:top w:val="none" w:sz="0" w:space="0" w:color="auto"/>
            <w:left w:val="none" w:sz="0" w:space="0" w:color="auto"/>
            <w:bottom w:val="none" w:sz="0" w:space="0" w:color="auto"/>
            <w:right w:val="none" w:sz="0" w:space="0" w:color="auto"/>
          </w:divBdr>
        </w:div>
      </w:divsChild>
    </w:div>
    <w:div w:id="1009021564">
      <w:bodyDiv w:val="1"/>
      <w:marLeft w:val="0"/>
      <w:marRight w:val="0"/>
      <w:marTop w:val="0"/>
      <w:marBottom w:val="0"/>
      <w:divBdr>
        <w:top w:val="none" w:sz="0" w:space="0" w:color="auto"/>
        <w:left w:val="none" w:sz="0" w:space="0" w:color="auto"/>
        <w:bottom w:val="none" w:sz="0" w:space="0" w:color="auto"/>
        <w:right w:val="none" w:sz="0" w:space="0" w:color="auto"/>
      </w:divBdr>
    </w:div>
    <w:div w:id="1070494441">
      <w:bodyDiv w:val="1"/>
      <w:marLeft w:val="0"/>
      <w:marRight w:val="0"/>
      <w:marTop w:val="0"/>
      <w:marBottom w:val="0"/>
      <w:divBdr>
        <w:top w:val="none" w:sz="0" w:space="0" w:color="auto"/>
        <w:left w:val="none" w:sz="0" w:space="0" w:color="auto"/>
        <w:bottom w:val="none" w:sz="0" w:space="0" w:color="auto"/>
        <w:right w:val="none" w:sz="0" w:space="0" w:color="auto"/>
      </w:divBdr>
      <w:divsChild>
        <w:div w:id="659775176">
          <w:marLeft w:val="0"/>
          <w:marRight w:val="0"/>
          <w:marTop w:val="0"/>
          <w:marBottom w:val="0"/>
          <w:divBdr>
            <w:top w:val="none" w:sz="0" w:space="0" w:color="auto"/>
            <w:left w:val="none" w:sz="0" w:space="0" w:color="auto"/>
            <w:bottom w:val="none" w:sz="0" w:space="0" w:color="auto"/>
            <w:right w:val="none" w:sz="0" w:space="0" w:color="auto"/>
          </w:divBdr>
        </w:div>
      </w:divsChild>
    </w:div>
    <w:div w:id="1108086398">
      <w:bodyDiv w:val="1"/>
      <w:marLeft w:val="0"/>
      <w:marRight w:val="0"/>
      <w:marTop w:val="0"/>
      <w:marBottom w:val="0"/>
      <w:divBdr>
        <w:top w:val="none" w:sz="0" w:space="0" w:color="auto"/>
        <w:left w:val="none" w:sz="0" w:space="0" w:color="auto"/>
        <w:bottom w:val="none" w:sz="0" w:space="0" w:color="auto"/>
        <w:right w:val="none" w:sz="0" w:space="0" w:color="auto"/>
      </w:divBdr>
    </w:div>
    <w:div w:id="1128165111">
      <w:bodyDiv w:val="1"/>
      <w:marLeft w:val="0"/>
      <w:marRight w:val="0"/>
      <w:marTop w:val="0"/>
      <w:marBottom w:val="0"/>
      <w:divBdr>
        <w:top w:val="none" w:sz="0" w:space="0" w:color="auto"/>
        <w:left w:val="none" w:sz="0" w:space="0" w:color="auto"/>
        <w:bottom w:val="none" w:sz="0" w:space="0" w:color="auto"/>
        <w:right w:val="none" w:sz="0" w:space="0" w:color="auto"/>
      </w:divBdr>
    </w:div>
    <w:div w:id="1337459511">
      <w:bodyDiv w:val="1"/>
      <w:marLeft w:val="0"/>
      <w:marRight w:val="0"/>
      <w:marTop w:val="0"/>
      <w:marBottom w:val="0"/>
      <w:divBdr>
        <w:top w:val="none" w:sz="0" w:space="0" w:color="auto"/>
        <w:left w:val="none" w:sz="0" w:space="0" w:color="auto"/>
        <w:bottom w:val="none" w:sz="0" w:space="0" w:color="auto"/>
        <w:right w:val="none" w:sz="0" w:space="0" w:color="auto"/>
      </w:divBdr>
    </w:div>
    <w:div w:id="1377924983">
      <w:bodyDiv w:val="1"/>
      <w:marLeft w:val="0"/>
      <w:marRight w:val="0"/>
      <w:marTop w:val="0"/>
      <w:marBottom w:val="0"/>
      <w:divBdr>
        <w:top w:val="none" w:sz="0" w:space="0" w:color="auto"/>
        <w:left w:val="none" w:sz="0" w:space="0" w:color="auto"/>
        <w:bottom w:val="none" w:sz="0" w:space="0" w:color="auto"/>
        <w:right w:val="none" w:sz="0" w:space="0" w:color="auto"/>
      </w:divBdr>
    </w:div>
    <w:div w:id="1422600747">
      <w:bodyDiv w:val="1"/>
      <w:marLeft w:val="0"/>
      <w:marRight w:val="0"/>
      <w:marTop w:val="0"/>
      <w:marBottom w:val="0"/>
      <w:divBdr>
        <w:top w:val="none" w:sz="0" w:space="0" w:color="auto"/>
        <w:left w:val="none" w:sz="0" w:space="0" w:color="auto"/>
        <w:bottom w:val="none" w:sz="0" w:space="0" w:color="auto"/>
        <w:right w:val="none" w:sz="0" w:space="0" w:color="auto"/>
      </w:divBdr>
    </w:div>
    <w:div w:id="1439912047">
      <w:bodyDiv w:val="1"/>
      <w:marLeft w:val="0"/>
      <w:marRight w:val="0"/>
      <w:marTop w:val="0"/>
      <w:marBottom w:val="0"/>
      <w:divBdr>
        <w:top w:val="none" w:sz="0" w:space="0" w:color="auto"/>
        <w:left w:val="none" w:sz="0" w:space="0" w:color="auto"/>
        <w:bottom w:val="none" w:sz="0" w:space="0" w:color="auto"/>
        <w:right w:val="none" w:sz="0" w:space="0" w:color="auto"/>
      </w:divBdr>
    </w:div>
    <w:div w:id="1708528042">
      <w:bodyDiv w:val="1"/>
      <w:marLeft w:val="0"/>
      <w:marRight w:val="0"/>
      <w:marTop w:val="0"/>
      <w:marBottom w:val="0"/>
      <w:divBdr>
        <w:top w:val="none" w:sz="0" w:space="0" w:color="auto"/>
        <w:left w:val="none" w:sz="0" w:space="0" w:color="auto"/>
        <w:bottom w:val="none" w:sz="0" w:space="0" w:color="auto"/>
        <w:right w:val="none" w:sz="0" w:space="0" w:color="auto"/>
      </w:divBdr>
    </w:div>
    <w:div w:id="1921937302">
      <w:bodyDiv w:val="1"/>
      <w:marLeft w:val="0"/>
      <w:marRight w:val="0"/>
      <w:marTop w:val="0"/>
      <w:marBottom w:val="0"/>
      <w:divBdr>
        <w:top w:val="none" w:sz="0" w:space="0" w:color="auto"/>
        <w:left w:val="none" w:sz="0" w:space="0" w:color="auto"/>
        <w:bottom w:val="none" w:sz="0" w:space="0" w:color="auto"/>
        <w:right w:val="none" w:sz="0" w:space="0" w:color="auto"/>
      </w:divBdr>
    </w:div>
    <w:div w:id="1922714287">
      <w:bodyDiv w:val="1"/>
      <w:marLeft w:val="0"/>
      <w:marRight w:val="0"/>
      <w:marTop w:val="0"/>
      <w:marBottom w:val="0"/>
      <w:divBdr>
        <w:top w:val="none" w:sz="0" w:space="0" w:color="auto"/>
        <w:left w:val="none" w:sz="0" w:space="0" w:color="auto"/>
        <w:bottom w:val="none" w:sz="0" w:space="0" w:color="auto"/>
        <w:right w:val="none" w:sz="0" w:space="0" w:color="auto"/>
      </w:divBdr>
    </w:div>
    <w:div w:id="1965964672">
      <w:bodyDiv w:val="1"/>
      <w:marLeft w:val="0"/>
      <w:marRight w:val="0"/>
      <w:marTop w:val="0"/>
      <w:marBottom w:val="0"/>
      <w:divBdr>
        <w:top w:val="none" w:sz="0" w:space="0" w:color="auto"/>
        <w:left w:val="none" w:sz="0" w:space="0" w:color="auto"/>
        <w:bottom w:val="none" w:sz="0" w:space="0" w:color="auto"/>
        <w:right w:val="none" w:sz="0" w:space="0" w:color="auto"/>
      </w:divBdr>
    </w:div>
    <w:div w:id="211473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rcid.org/0009-0007-5017-051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900</TotalTime>
  <Pages>7</Pages>
  <Words>2724</Words>
  <Characters>15533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Ukpene</dc:creator>
  <cp:keywords/>
  <dc:description/>
  <cp:lastModifiedBy>CN-AK-PAK</cp:lastModifiedBy>
  <cp:revision>45</cp:revision>
  <dcterms:created xsi:type="dcterms:W3CDTF">2026-05-25T09:35:00Z</dcterms:created>
  <dcterms:modified xsi:type="dcterms:W3CDTF">2026-06-05T15:31:00Z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ecc74aae-077e-418b-b21a-d76be19cc197</vt:lpwstr>
  </property>
</Properties>
</file>