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FBE15" w14:textId="0616AB22" w:rsidR="00AD1B2F" w:rsidRPr="0066321E" w:rsidRDefault="00AD1B2F" w:rsidP="0066321E">
      <w:pPr>
        <w:spacing w:after="0" w:line="240" w:lineRule="auto"/>
        <w:jc w:val="both"/>
        <w:rPr>
          <w:rFonts w:ascii="Candara" w:eastAsia="Times New Roman" w:hAnsi="Candara" w:cs="Times New Roman"/>
          <w:b/>
          <w:bCs/>
          <w:sz w:val="20"/>
          <w:szCs w:val="20"/>
        </w:rPr>
      </w:pPr>
      <w:r w:rsidRPr="0066321E">
        <w:rPr>
          <w:rFonts w:ascii="Candara" w:eastAsia="Times New Roman" w:hAnsi="Candara" w:cs="Times New Roman"/>
          <w:b/>
          <w:bCs/>
          <w:sz w:val="20"/>
          <w:szCs w:val="20"/>
        </w:rPr>
        <w:t>TAPS</w:t>
      </w:r>
    </w:p>
    <w:p w14:paraId="2FFDD0F2" w14:textId="4D92E7B4" w:rsidR="009419A7" w:rsidRPr="0066321E" w:rsidRDefault="009419A7" w:rsidP="0066321E">
      <w:pPr>
        <w:spacing w:after="0" w:line="240" w:lineRule="auto"/>
        <w:jc w:val="both"/>
        <w:rPr>
          <w:rFonts w:ascii="Candara" w:eastAsia="Times New Roman" w:hAnsi="Candara" w:cs="Times New Roman"/>
          <w:sz w:val="20"/>
          <w:szCs w:val="20"/>
          <w:vertAlign w:val="superscript"/>
        </w:rPr>
      </w:pPr>
      <w:r w:rsidRPr="0066321E">
        <w:rPr>
          <w:rFonts w:ascii="Candara" w:eastAsia="Times New Roman" w:hAnsi="Candara" w:cs="Times New Roman"/>
          <w:b/>
          <w:bCs/>
          <w:sz w:val="20"/>
          <w:szCs w:val="20"/>
        </w:rPr>
        <w:t xml:space="preserve">Authors: </w:t>
      </w:r>
      <w:r w:rsidRPr="0066321E">
        <w:rPr>
          <w:rFonts w:ascii="Candara" w:eastAsia="Times New Roman" w:hAnsi="Candara" w:cs="Times New Roman"/>
          <w:sz w:val="20"/>
          <w:szCs w:val="20"/>
        </w:rPr>
        <w:t>Danciu Alexandra-Anca</w:t>
      </w:r>
      <w:r w:rsidRPr="0066321E">
        <w:rPr>
          <w:rFonts w:ascii="Candara" w:eastAsia="Times New Roman" w:hAnsi="Candara" w:cs="Times New Roman"/>
          <w:sz w:val="20"/>
          <w:szCs w:val="20"/>
          <w:vertAlign w:val="superscript"/>
        </w:rPr>
        <w:t>1</w:t>
      </w:r>
      <w:r w:rsidRPr="0066321E">
        <w:rPr>
          <w:rFonts w:ascii="Candara" w:eastAsia="Times New Roman" w:hAnsi="Candara" w:cs="Times New Roman"/>
          <w:sz w:val="20"/>
          <w:szCs w:val="20"/>
        </w:rPr>
        <w:t>, Maria Alexandra Craciun</w:t>
      </w:r>
      <w:r w:rsidRPr="0066321E">
        <w:rPr>
          <w:rFonts w:ascii="Candara" w:eastAsia="Times New Roman" w:hAnsi="Candara" w:cs="Times New Roman"/>
          <w:sz w:val="20"/>
          <w:szCs w:val="20"/>
          <w:vertAlign w:val="superscript"/>
        </w:rPr>
        <w:t>1</w:t>
      </w:r>
      <w:r w:rsidRPr="0066321E">
        <w:rPr>
          <w:rFonts w:ascii="Candara" w:eastAsia="Times New Roman" w:hAnsi="Candara" w:cs="Times New Roman"/>
          <w:sz w:val="20"/>
          <w:szCs w:val="20"/>
        </w:rPr>
        <w:t>, M Usman Khalid</w:t>
      </w:r>
      <w:r w:rsidRPr="0066321E">
        <w:rPr>
          <w:rFonts w:ascii="Candara" w:eastAsia="Times New Roman" w:hAnsi="Candara" w:cs="Times New Roman"/>
          <w:sz w:val="20"/>
          <w:szCs w:val="20"/>
          <w:vertAlign w:val="superscript"/>
        </w:rPr>
        <w:t>2</w:t>
      </w:r>
      <w:r w:rsidRPr="0066321E">
        <w:rPr>
          <w:rFonts w:ascii="Candara" w:eastAsia="Times New Roman" w:hAnsi="Candara" w:cs="Times New Roman"/>
          <w:sz w:val="20"/>
          <w:szCs w:val="20"/>
        </w:rPr>
        <w:t>, Muhammad Haider Ashraf</w:t>
      </w:r>
      <w:r w:rsidRPr="0066321E">
        <w:rPr>
          <w:rFonts w:ascii="Candara" w:eastAsia="Times New Roman" w:hAnsi="Candara" w:cs="Times New Roman"/>
          <w:sz w:val="20"/>
          <w:szCs w:val="20"/>
          <w:vertAlign w:val="superscript"/>
        </w:rPr>
        <w:t>2</w:t>
      </w:r>
      <w:r w:rsidRPr="0066321E">
        <w:rPr>
          <w:rFonts w:ascii="Candara" w:eastAsia="Times New Roman" w:hAnsi="Candara" w:cs="Times New Roman"/>
          <w:sz w:val="20"/>
          <w:szCs w:val="20"/>
        </w:rPr>
        <w:t xml:space="preserve">, </w:t>
      </w:r>
      <w:r w:rsidR="00AD1B2F" w:rsidRPr="0066321E">
        <w:rPr>
          <w:rFonts w:ascii="Candara" w:eastAsia="Times New Roman" w:hAnsi="Candara" w:cs="Times New Roman"/>
          <w:sz w:val="20"/>
          <w:szCs w:val="20"/>
        </w:rPr>
        <w:t>Rida Batool</w:t>
      </w:r>
      <w:r w:rsidR="00AD1B2F" w:rsidRPr="0066321E">
        <w:rPr>
          <w:rFonts w:ascii="Candara" w:eastAsia="Times New Roman" w:hAnsi="Candara" w:cs="Times New Roman"/>
          <w:sz w:val="20"/>
          <w:szCs w:val="20"/>
          <w:vertAlign w:val="superscript"/>
        </w:rPr>
        <w:t>3</w:t>
      </w:r>
    </w:p>
    <w:p w14:paraId="374590AF" w14:textId="77777777" w:rsidR="009419A7" w:rsidRPr="0066321E" w:rsidRDefault="009419A7" w:rsidP="0066321E">
      <w:pPr>
        <w:spacing w:after="0" w:line="240" w:lineRule="auto"/>
        <w:jc w:val="both"/>
        <w:rPr>
          <w:rFonts w:ascii="Candara" w:eastAsia="Times New Roman" w:hAnsi="Candara" w:cs="Times New Roman"/>
          <w:sz w:val="20"/>
          <w:szCs w:val="20"/>
        </w:rPr>
      </w:pPr>
      <w:r w:rsidRPr="0066321E">
        <w:rPr>
          <w:rFonts w:ascii="Candara" w:eastAsia="Times New Roman" w:hAnsi="Candara" w:cs="Times New Roman"/>
          <w:b/>
          <w:bCs/>
          <w:sz w:val="20"/>
          <w:szCs w:val="20"/>
        </w:rPr>
        <w:t>Corresponding Author:</w:t>
      </w:r>
      <w:r w:rsidRPr="0066321E">
        <w:rPr>
          <w:rFonts w:ascii="Candara" w:eastAsia="Times New Roman" w:hAnsi="Candara" w:cs="Times New Roman"/>
          <w:sz w:val="20"/>
          <w:szCs w:val="20"/>
        </w:rPr>
        <w:t xml:space="preserve"> danciualexandraanca@gmail.com</w:t>
      </w:r>
    </w:p>
    <w:p w14:paraId="02CC48F8" w14:textId="77777777" w:rsidR="009419A7" w:rsidRPr="0066321E" w:rsidRDefault="009419A7" w:rsidP="0066321E">
      <w:pPr>
        <w:spacing w:after="0" w:line="240" w:lineRule="auto"/>
        <w:jc w:val="both"/>
        <w:rPr>
          <w:rFonts w:ascii="Candara" w:eastAsia="Times New Roman" w:hAnsi="Candara" w:cs="Times New Roman"/>
          <w:sz w:val="20"/>
          <w:szCs w:val="20"/>
        </w:rPr>
      </w:pPr>
      <w:r w:rsidRPr="0066321E">
        <w:rPr>
          <w:rFonts w:ascii="Candara" w:eastAsia="Times New Roman" w:hAnsi="Candara" w:cs="Times New Roman"/>
          <w:b/>
          <w:bCs/>
          <w:sz w:val="20"/>
          <w:szCs w:val="20"/>
        </w:rPr>
        <w:t>Affiliation:</w:t>
      </w:r>
      <w:r w:rsidRPr="0066321E">
        <w:rPr>
          <w:rFonts w:ascii="Candara" w:eastAsia="Times New Roman" w:hAnsi="Candara" w:cs="Times New Roman"/>
          <w:sz w:val="20"/>
          <w:szCs w:val="20"/>
        </w:rPr>
        <w:t xml:space="preserve"> </w:t>
      </w:r>
    </w:p>
    <w:p w14:paraId="7217F8D4" w14:textId="77777777" w:rsidR="009419A7" w:rsidRPr="0066321E" w:rsidRDefault="009419A7" w:rsidP="0066321E">
      <w:pPr>
        <w:spacing w:after="0"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vertAlign w:val="superscript"/>
        </w:rPr>
        <w:t>1</w:t>
      </w:r>
      <w:r w:rsidRPr="0066321E">
        <w:rPr>
          <w:rFonts w:ascii="Candara" w:eastAsia="Times New Roman" w:hAnsi="Candara" w:cs="Times New Roman"/>
          <w:sz w:val="20"/>
          <w:szCs w:val="20"/>
        </w:rPr>
        <w:t>Department of Bioinformatics, Babeș-Bolyai University, Romania</w:t>
      </w:r>
    </w:p>
    <w:p w14:paraId="1CB1D9B3" w14:textId="77777777" w:rsidR="009419A7" w:rsidRPr="0066321E" w:rsidRDefault="009419A7" w:rsidP="0066321E">
      <w:pPr>
        <w:spacing w:after="0"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vertAlign w:val="superscript"/>
        </w:rPr>
        <w:t>2</w:t>
      </w:r>
      <w:r w:rsidRPr="0066321E">
        <w:rPr>
          <w:rFonts w:ascii="Candara" w:eastAsia="Times New Roman" w:hAnsi="Candara" w:cs="Times New Roman"/>
          <w:sz w:val="20"/>
          <w:szCs w:val="20"/>
        </w:rPr>
        <w:t>Department of Plant Breeding and Genetics, University of Agriculture Faisalabad, Pakistan</w:t>
      </w:r>
    </w:p>
    <w:p w14:paraId="50F3DEB7" w14:textId="4B2DD923" w:rsidR="008A625A" w:rsidRPr="0066321E" w:rsidRDefault="00AD1B2F" w:rsidP="0066321E">
      <w:pPr>
        <w:spacing w:after="0" w:line="240" w:lineRule="auto"/>
        <w:jc w:val="both"/>
        <w:rPr>
          <w:rFonts w:ascii="Candara" w:hAnsi="Candara" w:cs="Times New Roman"/>
          <w:sz w:val="20"/>
          <w:szCs w:val="20"/>
        </w:rPr>
      </w:pPr>
      <w:r w:rsidRPr="0066321E">
        <w:rPr>
          <w:rFonts w:ascii="Candara" w:hAnsi="Candara" w:cs="Times New Roman"/>
          <w:sz w:val="20"/>
          <w:szCs w:val="20"/>
          <w:vertAlign w:val="superscript"/>
        </w:rPr>
        <w:t>3</w:t>
      </w:r>
      <w:r w:rsidRPr="0066321E">
        <w:rPr>
          <w:rFonts w:ascii="Candara" w:hAnsi="Candara" w:cs="Times New Roman"/>
          <w:sz w:val="20"/>
          <w:szCs w:val="20"/>
        </w:rPr>
        <w:t>Department of Crop and Soil Sciences, University of Georgia, Griffin, GA 30223, USA</w:t>
      </w:r>
    </w:p>
    <w:p w14:paraId="38EFE516" w14:textId="663460DF" w:rsidR="00AD1B2F" w:rsidRPr="0066321E" w:rsidRDefault="00AD1B2F" w:rsidP="0066321E">
      <w:pPr>
        <w:spacing w:after="0" w:line="240" w:lineRule="auto"/>
        <w:jc w:val="both"/>
        <w:rPr>
          <w:rFonts w:ascii="Candara" w:hAnsi="Candara" w:cs="Times New Roman"/>
          <w:sz w:val="20"/>
          <w:szCs w:val="20"/>
        </w:rPr>
      </w:pPr>
    </w:p>
    <w:p w14:paraId="027529BA" w14:textId="77777777" w:rsidR="00AD1B2F" w:rsidRPr="0066321E" w:rsidRDefault="00AD1B2F" w:rsidP="0066321E">
      <w:pPr>
        <w:spacing w:after="0" w:line="240" w:lineRule="auto"/>
        <w:jc w:val="both"/>
        <w:rPr>
          <w:rFonts w:ascii="Candara" w:hAnsi="Candara" w:cs="Times New Roman"/>
          <w:sz w:val="20"/>
          <w:szCs w:val="20"/>
        </w:rPr>
      </w:pPr>
    </w:p>
    <w:p w14:paraId="13D8FB0C" w14:textId="5FBF4041" w:rsidR="009419A7" w:rsidRPr="0066321E" w:rsidRDefault="004C4733" w:rsidP="0066321E">
      <w:pPr>
        <w:spacing w:after="0" w:line="240" w:lineRule="auto"/>
        <w:jc w:val="both"/>
        <w:rPr>
          <w:rFonts w:ascii="Candara" w:hAnsi="Candara" w:cs="Times New Roman"/>
          <w:sz w:val="20"/>
          <w:szCs w:val="20"/>
          <w:lang w:val="pt-BR"/>
        </w:rPr>
      </w:pPr>
      <w:r w:rsidRPr="0066321E">
        <w:rPr>
          <w:rFonts w:ascii="Candara" w:eastAsia="Times New Roman" w:hAnsi="Candara" w:cs="Times New Roman"/>
          <w:sz w:val="20"/>
          <w:szCs w:val="20"/>
          <w:lang w:val="pt-BR"/>
        </w:rPr>
        <w:t xml:space="preserve">Danciu Alexandra-Anca </w:t>
      </w:r>
      <w:r w:rsidRPr="0066321E">
        <w:rPr>
          <w:rFonts w:ascii="Candara" w:hAnsi="Candara" w:cs="Times New Roman"/>
          <w:b/>
          <w:bCs/>
          <w:sz w:val="20"/>
          <w:szCs w:val="20"/>
          <w:lang w:val="pt-BR"/>
        </w:rPr>
        <w:t>ORCID</w:t>
      </w:r>
      <w:r w:rsidRPr="0066321E">
        <w:rPr>
          <w:rFonts w:ascii="Candara" w:hAnsi="Candara" w:cs="Times New Roman"/>
          <w:sz w:val="20"/>
          <w:szCs w:val="20"/>
          <w:lang w:val="pt-BR"/>
        </w:rPr>
        <w:t xml:space="preserve"> = 0009-0007-3556-1317</w:t>
      </w:r>
    </w:p>
    <w:p w14:paraId="23A08647" w14:textId="79DDD074" w:rsidR="009419A7" w:rsidRPr="0066321E" w:rsidRDefault="00AD1B2F" w:rsidP="0066321E">
      <w:pPr>
        <w:spacing w:after="0" w:line="240" w:lineRule="auto"/>
        <w:jc w:val="both"/>
        <w:rPr>
          <w:rFonts w:ascii="Candara" w:hAnsi="Candara" w:cs="Times New Roman"/>
          <w:sz w:val="20"/>
          <w:szCs w:val="20"/>
          <w:lang w:val="pt-BR"/>
        </w:rPr>
      </w:pPr>
      <w:r w:rsidRPr="0066321E">
        <w:rPr>
          <w:rFonts w:ascii="Candara" w:hAnsi="Candara" w:cs="Times New Roman"/>
          <w:sz w:val="20"/>
          <w:szCs w:val="20"/>
          <w:lang w:val="pt-BR"/>
        </w:rPr>
        <w:t xml:space="preserve">Maria Alexandra Craciun </w:t>
      </w:r>
      <w:r w:rsidRPr="0066321E">
        <w:rPr>
          <w:rFonts w:ascii="Candara" w:hAnsi="Candara" w:cs="Times New Roman"/>
          <w:b/>
          <w:bCs/>
          <w:sz w:val="20"/>
          <w:szCs w:val="20"/>
          <w:lang w:val="pt-BR"/>
        </w:rPr>
        <w:t>ORCID</w:t>
      </w:r>
      <w:r w:rsidRPr="0066321E">
        <w:rPr>
          <w:rFonts w:ascii="Candara" w:hAnsi="Candara" w:cs="Times New Roman"/>
          <w:sz w:val="20"/>
          <w:szCs w:val="20"/>
          <w:lang w:val="pt-BR"/>
        </w:rPr>
        <w:t xml:space="preserve"> = 0009-0007-0851-745X</w:t>
      </w:r>
    </w:p>
    <w:p w14:paraId="5FF733CA" w14:textId="42EF64C6" w:rsidR="009419A7" w:rsidRPr="0066321E" w:rsidRDefault="00AD1B2F"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M Usman Khalid </w:t>
      </w:r>
      <w:proofErr w:type="gramStart"/>
      <w:r w:rsidRPr="0066321E">
        <w:rPr>
          <w:rFonts w:ascii="Candara" w:hAnsi="Candara" w:cs="Times New Roman"/>
          <w:b/>
          <w:bCs/>
          <w:sz w:val="20"/>
          <w:szCs w:val="20"/>
        </w:rPr>
        <w:t xml:space="preserve">ORCID </w:t>
      </w:r>
      <w:r w:rsidRPr="0066321E">
        <w:rPr>
          <w:rFonts w:ascii="Candara" w:hAnsi="Candara" w:cs="Times New Roman"/>
          <w:sz w:val="20"/>
          <w:szCs w:val="20"/>
        </w:rPr>
        <w:t>:</w:t>
      </w:r>
      <w:proofErr w:type="gramEnd"/>
      <w:r w:rsidRPr="0066321E">
        <w:rPr>
          <w:rFonts w:ascii="Candara" w:hAnsi="Candara" w:cs="Times New Roman"/>
          <w:sz w:val="20"/>
          <w:szCs w:val="20"/>
        </w:rPr>
        <w:t xml:space="preserve"> 0009-0004-6031-8368</w:t>
      </w:r>
    </w:p>
    <w:p w14:paraId="74F9D63F" w14:textId="55D2F3F2" w:rsidR="00AD1B2F" w:rsidRPr="0066321E" w:rsidRDefault="00AD1B2F"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Muhammad Haider </w:t>
      </w:r>
      <w:proofErr w:type="gramStart"/>
      <w:r w:rsidRPr="0066321E">
        <w:rPr>
          <w:rFonts w:ascii="Candara" w:hAnsi="Candara" w:cs="Times New Roman"/>
          <w:sz w:val="20"/>
          <w:szCs w:val="20"/>
        </w:rPr>
        <w:t xml:space="preserve">Ashraf  </w:t>
      </w:r>
      <w:r w:rsidRPr="0066321E">
        <w:rPr>
          <w:rFonts w:ascii="Candara" w:hAnsi="Candara" w:cs="Times New Roman"/>
          <w:b/>
          <w:bCs/>
          <w:sz w:val="20"/>
          <w:szCs w:val="20"/>
        </w:rPr>
        <w:t>ORCID</w:t>
      </w:r>
      <w:proofErr w:type="gramEnd"/>
      <w:r w:rsidRPr="0066321E">
        <w:rPr>
          <w:rFonts w:ascii="Candara" w:hAnsi="Candara" w:cs="Times New Roman"/>
          <w:b/>
          <w:bCs/>
          <w:sz w:val="20"/>
          <w:szCs w:val="20"/>
        </w:rPr>
        <w:t xml:space="preserve"> </w:t>
      </w:r>
      <w:r w:rsidRPr="0066321E">
        <w:rPr>
          <w:rFonts w:ascii="Candara" w:hAnsi="Candara" w:cs="Times New Roman"/>
          <w:sz w:val="20"/>
          <w:szCs w:val="20"/>
        </w:rPr>
        <w:t>: 0009-0003-2862-195X</w:t>
      </w:r>
    </w:p>
    <w:p w14:paraId="475CA746" w14:textId="0BB2030C" w:rsidR="009419A7" w:rsidRPr="0066321E" w:rsidRDefault="00AD1B2F"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 </w:t>
      </w:r>
      <w:r w:rsidRPr="0066321E">
        <w:rPr>
          <w:rFonts w:ascii="Candara" w:eastAsia="Times New Roman" w:hAnsi="Candara" w:cs="Times New Roman"/>
          <w:sz w:val="20"/>
          <w:szCs w:val="20"/>
        </w:rPr>
        <w:t>Rida Batool</w:t>
      </w:r>
      <w:r w:rsidRPr="0066321E">
        <w:rPr>
          <w:rFonts w:ascii="Candara" w:eastAsia="Times New Roman" w:hAnsi="Candara" w:cs="Times New Roman"/>
          <w:sz w:val="20"/>
          <w:szCs w:val="20"/>
          <w:vertAlign w:val="superscript"/>
        </w:rPr>
        <w:t xml:space="preserve">3 </w:t>
      </w:r>
      <w:r w:rsidRPr="0066321E">
        <w:rPr>
          <w:rFonts w:ascii="Candara" w:hAnsi="Candara" w:cs="Times New Roman"/>
          <w:sz w:val="20"/>
          <w:szCs w:val="20"/>
        </w:rPr>
        <w:t xml:space="preserve">  </w:t>
      </w:r>
      <w:r w:rsidRPr="0066321E">
        <w:rPr>
          <w:rFonts w:ascii="Candara" w:hAnsi="Candara" w:cs="Times New Roman"/>
          <w:b/>
          <w:bCs/>
          <w:sz w:val="20"/>
          <w:szCs w:val="20"/>
        </w:rPr>
        <w:t>ORCID:</w:t>
      </w:r>
      <w:r w:rsidRPr="0066321E">
        <w:rPr>
          <w:rFonts w:ascii="Candara" w:hAnsi="Candara" w:cs="Times New Roman"/>
          <w:sz w:val="20"/>
          <w:szCs w:val="20"/>
        </w:rPr>
        <w:t xml:space="preserve"> https://orcid.org/0009-0007-8633-6320</w:t>
      </w:r>
    </w:p>
    <w:p w14:paraId="73E18794" w14:textId="77777777" w:rsidR="009419A7" w:rsidRPr="0066321E" w:rsidRDefault="009419A7" w:rsidP="0066321E">
      <w:pPr>
        <w:spacing w:after="0" w:line="240" w:lineRule="auto"/>
        <w:jc w:val="both"/>
        <w:rPr>
          <w:rFonts w:ascii="Candara" w:hAnsi="Candara" w:cs="Times New Roman"/>
          <w:sz w:val="20"/>
          <w:szCs w:val="20"/>
        </w:rPr>
      </w:pPr>
    </w:p>
    <w:p w14:paraId="621DF99A" w14:textId="77777777" w:rsidR="009419A7" w:rsidRPr="0066321E" w:rsidRDefault="009419A7" w:rsidP="0066321E">
      <w:pPr>
        <w:spacing w:after="0" w:line="240" w:lineRule="auto"/>
        <w:jc w:val="both"/>
        <w:rPr>
          <w:rFonts w:ascii="Candara" w:hAnsi="Candara" w:cs="Times New Roman"/>
          <w:sz w:val="20"/>
          <w:szCs w:val="20"/>
        </w:rPr>
      </w:pPr>
    </w:p>
    <w:p w14:paraId="40DA0721" w14:textId="77777777" w:rsidR="009419A7" w:rsidRPr="0066321E" w:rsidRDefault="009419A7" w:rsidP="0066321E">
      <w:pPr>
        <w:spacing w:after="0" w:line="240" w:lineRule="auto"/>
        <w:jc w:val="both"/>
        <w:rPr>
          <w:rFonts w:ascii="Candara" w:hAnsi="Candara" w:cs="Times New Roman"/>
          <w:sz w:val="20"/>
          <w:szCs w:val="20"/>
        </w:rPr>
      </w:pPr>
    </w:p>
    <w:p w14:paraId="2CF2594A" w14:textId="77777777" w:rsidR="009419A7" w:rsidRPr="0066321E" w:rsidRDefault="009419A7" w:rsidP="0066321E">
      <w:pPr>
        <w:spacing w:after="0" w:line="240" w:lineRule="auto"/>
        <w:jc w:val="both"/>
        <w:rPr>
          <w:rFonts w:ascii="Candara" w:hAnsi="Candara" w:cs="Times New Roman"/>
          <w:sz w:val="20"/>
          <w:szCs w:val="20"/>
        </w:rPr>
      </w:pPr>
    </w:p>
    <w:p w14:paraId="19F3E45C" w14:textId="77777777" w:rsidR="009419A7" w:rsidRPr="0066321E" w:rsidRDefault="009419A7" w:rsidP="0066321E">
      <w:pPr>
        <w:spacing w:after="0" w:line="240" w:lineRule="auto"/>
        <w:jc w:val="both"/>
        <w:rPr>
          <w:rFonts w:ascii="Candara" w:hAnsi="Candara" w:cs="Times New Roman"/>
          <w:sz w:val="20"/>
          <w:szCs w:val="20"/>
        </w:rPr>
      </w:pPr>
    </w:p>
    <w:p w14:paraId="718C10BF" w14:textId="77777777" w:rsidR="009419A7" w:rsidRPr="0066321E" w:rsidRDefault="009419A7" w:rsidP="0066321E">
      <w:pPr>
        <w:spacing w:after="0" w:line="240" w:lineRule="auto"/>
        <w:jc w:val="both"/>
        <w:rPr>
          <w:rFonts w:ascii="Candara" w:hAnsi="Candara" w:cs="Times New Roman"/>
          <w:sz w:val="20"/>
          <w:szCs w:val="20"/>
        </w:rPr>
      </w:pPr>
    </w:p>
    <w:p w14:paraId="21FE8FB6" w14:textId="77777777" w:rsidR="009419A7" w:rsidRPr="0066321E" w:rsidRDefault="009419A7" w:rsidP="0066321E">
      <w:pPr>
        <w:spacing w:after="0" w:line="240" w:lineRule="auto"/>
        <w:jc w:val="both"/>
        <w:rPr>
          <w:rFonts w:ascii="Candara" w:hAnsi="Candara" w:cs="Times New Roman"/>
          <w:sz w:val="20"/>
          <w:szCs w:val="20"/>
        </w:rPr>
      </w:pPr>
    </w:p>
    <w:p w14:paraId="3A94636F" w14:textId="77777777" w:rsidR="009419A7" w:rsidRPr="0066321E" w:rsidRDefault="009419A7" w:rsidP="0066321E">
      <w:pPr>
        <w:spacing w:after="0" w:line="240" w:lineRule="auto"/>
        <w:jc w:val="both"/>
        <w:rPr>
          <w:rFonts w:ascii="Candara" w:hAnsi="Candara" w:cs="Times New Roman"/>
          <w:sz w:val="20"/>
          <w:szCs w:val="20"/>
        </w:rPr>
      </w:pPr>
    </w:p>
    <w:p w14:paraId="3AD5E5F1" w14:textId="77777777" w:rsidR="009419A7" w:rsidRPr="0066321E" w:rsidRDefault="009419A7" w:rsidP="0066321E">
      <w:pPr>
        <w:spacing w:after="0" w:line="240" w:lineRule="auto"/>
        <w:jc w:val="both"/>
        <w:rPr>
          <w:rFonts w:ascii="Candara" w:hAnsi="Candara" w:cs="Times New Roman"/>
          <w:sz w:val="20"/>
          <w:szCs w:val="20"/>
        </w:rPr>
      </w:pPr>
    </w:p>
    <w:p w14:paraId="38F2E618" w14:textId="77777777" w:rsidR="009419A7" w:rsidRPr="0066321E" w:rsidRDefault="009419A7" w:rsidP="0066321E">
      <w:pPr>
        <w:spacing w:after="0" w:line="240" w:lineRule="auto"/>
        <w:jc w:val="both"/>
        <w:rPr>
          <w:rFonts w:ascii="Candara" w:hAnsi="Candara" w:cs="Times New Roman"/>
          <w:sz w:val="20"/>
          <w:szCs w:val="20"/>
        </w:rPr>
      </w:pPr>
    </w:p>
    <w:p w14:paraId="0441AE7F" w14:textId="77777777" w:rsidR="009419A7" w:rsidRPr="0066321E" w:rsidRDefault="009419A7" w:rsidP="0066321E">
      <w:pPr>
        <w:spacing w:after="0" w:line="240" w:lineRule="auto"/>
        <w:jc w:val="both"/>
        <w:rPr>
          <w:rFonts w:ascii="Candara" w:hAnsi="Candara" w:cs="Times New Roman"/>
          <w:sz w:val="20"/>
          <w:szCs w:val="20"/>
        </w:rPr>
      </w:pPr>
    </w:p>
    <w:p w14:paraId="546BEF13" w14:textId="77777777" w:rsidR="009419A7" w:rsidRPr="0066321E" w:rsidRDefault="009419A7" w:rsidP="0066321E">
      <w:pPr>
        <w:spacing w:after="0" w:line="240" w:lineRule="auto"/>
        <w:jc w:val="both"/>
        <w:rPr>
          <w:rFonts w:ascii="Candara" w:hAnsi="Candara" w:cs="Times New Roman"/>
          <w:sz w:val="20"/>
          <w:szCs w:val="20"/>
        </w:rPr>
      </w:pPr>
    </w:p>
    <w:p w14:paraId="0E916F27" w14:textId="77777777" w:rsidR="009419A7" w:rsidRPr="0066321E" w:rsidRDefault="009419A7" w:rsidP="0066321E">
      <w:pPr>
        <w:spacing w:after="0" w:line="240" w:lineRule="auto"/>
        <w:jc w:val="both"/>
        <w:rPr>
          <w:rFonts w:ascii="Candara" w:hAnsi="Candara" w:cs="Times New Roman"/>
          <w:sz w:val="20"/>
          <w:szCs w:val="20"/>
        </w:rPr>
      </w:pPr>
    </w:p>
    <w:p w14:paraId="54EBABFA" w14:textId="77777777" w:rsidR="009419A7" w:rsidRPr="0066321E" w:rsidRDefault="009419A7" w:rsidP="0066321E">
      <w:pPr>
        <w:spacing w:after="0" w:line="240" w:lineRule="auto"/>
        <w:jc w:val="both"/>
        <w:rPr>
          <w:rFonts w:ascii="Candara" w:hAnsi="Candara" w:cs="Times New Roman"/>
          <w:sz w:val="20"/>
          <w:szCs w:val="20"/>
        </w:rPr>
      </w:pPr>
    </w:p>
    <w:p w14:paraId="787F6E00" w14:textId="77777777" w:rsidR="009419A7" w:rsidRPr="0066321E" w:rsidRDefault="009419A7" w:rsidP="0066321E">
      <w:pPr>
        <w:spacing w:after="0" w:line="240" w:lineRule="auto"/>
        <w:jc w:val="both"/>
        <w:rPr>
          <w:rFonts w:ascii="Candara" w:hAnsi="Candara" w:cs="Times New Roman"/>
          <w:sz w:val="20"/>
          <w:szCs w:val="20"/>
        </w:rPr>
      </w:pPr>
    </w:p>
    <w:p w14:paraId="3968AD09" w14:textId="2058736A" w:rsidR="009419A7" w:rsidRPr="0066321E" w:rsidRDefault="009419A7"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Integrative Transcriptomics and In-silico CRISPRS Guide RNA</w:t>
      </w:r>
      <w:r w:rsidR="0066321E">
        <w:rPr>
          <w:rFonts w:ascii="Candara" w:hAnsi="Candara" w:cs="Times New Roman"/>
          <w:b/>
          <w:bCs/>
          <w:sz w:val="20"/>
          <w:szCs w:val="20"/>
        </w:rPr>
        <w:t xml:space="preserve"> </w:t>
      </w:r>
      <w:r w:rsidRPr="0066321E">
        <w:rPr>
          <w:rFonts w:ascii="Candara" w:hAnsi="Candara" w:cs="Times New Roman"/>
          <w:b/>
          <w:bCs/>
          <w:sz w:val="20"/>
          <w:szCs w:val="20"/>
        </w:rPr>
        <w:t xml:space="preserve">Design for Identification and Targeting of Disease Resistance </w:t>
      </w:r>
      <w:proofErr w:type="spellStart"/>
      <w:proofErr w:type="gramStart"/>
      <w:r w:rsidRPr="0066321E">
        <w:rPr>
          <w:rFonts w:ascii="Candara" w:hAnsi="Candara" w:cs="Times New Roman"/>
          <w:b/>
          <w:bCs/>
          <w:sz w:val="20"/>
          <w:szCs w:val="20"/>
        </w:rPr>
        <w:t>Genes:A</w:t>
      </w:r>
      <w:proofErr w:type="spellEnd"/>
      <w:proofErr w:type="gramEnd"/>
      <w:r w:rsidRPr="0066321E">
        <w:rPr>
          <w:rFonts w:ascii="Candara" w:hAnsi="Candara" w:cs="Times New Roman"/>
          <w:b/>
          <w:bCs/>
          <w:sz w:val="20"/>
          <w:szCs w:val="20"/>
        </w:rPr>
        <w:t xml:space="preserve"> Systems Biology Perspective</w:t>
      </w:r>
    </w:p>
    <w:p w14:paraId="70EC45A5" w14:textId="51CCE737" w:rsidR="009419A7" w:rsidRPr="0066321E" w:rsidRDefault="009419A7"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Abstract</w:t>
      </w:r>
    </w:p>
    <w:p w14:paraId="6F5B050D" w14:textId="2843205E" w:rsidR="009419A7" w:rsidRPr="0066321E" w:rsidRDefault="009419A7" w:rsidP="0066321E">
      <w:pPr>
        <w:spacing w:after="0" w:line="240" w:lineRule="auto"/>
        <w:jc w:val="both"/>
        <w:rPr>
          <w:rFonts w:ascii="Candara" w:hAnsi="Candara" w:cs="Times New Roman"/>
          <w:sz w:val="20"/>
          <w:szCs w:val="20"/>
        </w:rPr>
      </w:pPr>
      <w:r w:rsidRPr="0066321E">
        <w:rPr>
          <w:rFonts w:ascii="Candara" w:hAnsi="Candara" w:cs="Times New Roman"/>
          <w:sz w:val="20"/>
          <w:szCs w:val="20"/>
        </w:rPr>
        <w:t>Disease resistance genes are essential for protecting both agricultural crops and human biol</w:t>
      </w:r>
      <w:r w:rsidR="009734B4" w:rsidRPr="0066321E">
        <w:rPr>
          <w:rFonts w:ascii="Candara" w:hAnsi="Candara" w:cs="Times New Roman"/>
          <w:sz w:val="20"/>
          <w:szCs w:val="20"/>
        </w:rPr>
        <w:t xml:space="preserve">ogical systems against pathogen </w:t>
      </w:r>
      <w:r w:rsidRPr="0066321E">
        <w:rPr>
          <w:rFonts w:ascii="Candara" w:hAnsi="Candara" w:cs="Times New Roman"/>
          <w:sz w:val="20"/>
          <w:szCs w:val="20"/>
        </w:rPr>
        <w:t>induced damage. In plants, these genes safeguard yield and food security under escalating biotic stress, while in humans they underpin immune function and disease prevention. Transcriptomics, particularly RNA sequencing and co-expression network analysis, has substantially advanced the capacity to identify resistance gene networks by capturing global shifts in gene expression under disease conditions. Concurrently, CRISPR-Cas genome editing systems have emerged as programmable platforms for precise manipulation of resistance genes, with in-silico guide RNA (gRNA) design serving as a critical step to ensure targeting specificity and minimizing off-target genome alterations. Despite this progress, challenges remain, including off-target editing, multi-omics data integration complexity, and the need for robust experimental validation of computationally predicted gene functions. Future convergence of multi-omics technologies with artificial intelligence and machine learning is expected to drive more predictive, scalable, and specific genome editing strategies for engineering disease resistance in both plants and humans.</w:t>
      </w:r>
    </w:p>
    <w:p w14:paraId="1051A248" w14:textId="77777777" w:rsidR="009419A7" w:rsidRPr="0066321E" w:rsidRDefault="009419A7" w:rsidP="0066321E">
      <w:pPr>
        <w:spacing w:after="0" w:line="240" w:lineRule="auto"/>
        <w:jc w:val="both"/>
        <w:rPr>
          <w:rFonts w:ascii="Candara" w:hAnsi="Candara" w:cs="Times New Roman"/>
          <w:sz w:val="20"/>
          <w:szCs w:val="20"/>
        </w:rPr>
      </w:pPr>
      <w:r w:rsidRPr="0066321E">
        <w:rPr>
          <w:rFonts w:ascii="Candara" w:eastAsia="Times New Roman" w:hAnsi="Candara" w:cs="Times New Roman"/>
          <w:b/>
          <w:bCs/>
          <w:sz w:val="20"/>
          <w:szCs w:val="20"/>
        </w:rPr>
        <w:t xml:space="preserve">Keywords: </w:t>
      </w:r>
      <w:r w:rsidRPr="0066321E">
        <w:rPr>
          <w:rFonts w:ascii="Candara" w:hAnsi="Candara" w:cs="Times New Roman"/>
          <w:sz w:val="20"/>
          <w:szCs w:val="20"/>
        </w:rPr>
        <w:t xml:space="preserve">Disease resistance, Transcriptomics, CRISPR-Cas, In-silico design, Gene editing, </w:t>
      </w:r>
      <w:proofErr w:type="gramStart"/>
      <w:r w:rsidRPr="0066321E">
        <w:rPr>
          <w:rFonts w:ascii="Candara" w:hAnsi="Candara" w:cs="Times New Roman"/>
          <w:sz w:val="20"/>
          <w:szCs w:val="20"/>
        </w:rPr>
        <w:t>Multi-omics</w:t>
      </w:r>
      <w:proofErr w:type="gramEnd"/>
    </w:p>
    <w:p w14:paraId="5C81B753" w14:textId="7E47D00E" w:rsidR="009419A7" w:rsidRPr="0066321E" w:rsidRDefault="009419A7"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Introduction</w:t>
      </w:r>
    </w:p>
    <w:p w14:paraId="01608841" w14:textId="7F7EAF8E" w:rsidR="009419A7" w:rsidRPr="0066321E" w:rsidRDefault="009419A7" w:rsidP="0066321E">
      <w:pPr>
        <w:spacing w:after="0" w:line="240" w:lineRule="auto"/>
        <w:jc w:val="both"/>
        <w:rPr>
          <w:rFonts w:ascii="Candara" w:hAnsi="Candara" w:cs="Times New Roman"/>
          <w:sz w:val="20"/>
          <w:szCs w:val="20"/>
        </w:rPr>
      </w:pPr>
      <w:r w:rsidRPr="0066321E">
        <w:rPr>
          <w:rFonts w:ascii="Candara" w:hAnsi="Candara" w:cs="Times New Roman"/>
          <w:sz w:val="20"/>
          <w:szCs w:val="20"/>
        </w:rPr>
        <w:t>Pathogenic diseases remain a huge burden in terms of agricultural output as well as human health across the globe. Fungal, bacterial, viral and oomycete pathogens cause immense losses in crop systems every year which pose a threat to global food security and economic stability. On the same note, infectious and immune related diseases are also leading causes of morbidity and mortality in human beings despite the progress towards medical science (Anand &amp; Rajeshkumar, 2022).</w:t>
      </w:r>
    </w:p>
    <w:p w14:paraId="7B754B78" w14:textId="50D7DBE5" w:rsidR="00097B67" w:rsidRPr="0066321E" w:rsidRDefault="009419A7" w:rsidP="0066321E">
      <w:pPr>
        <w:spacing w:after="0" w:line="240" w:lineRule="auto"/>
        <w:jc w:val="both"/>
        <w:rPr>
          <w:rFonts w:ascii="Candara" w:hAnsi="Candara" w:cs="Times New Roman"/>
          <w:sz w:val="20"/>
          <w:szCs w:val="20"/>
        </w:rPr>
      </w:pPr>
      <w:r w:rsidRPr="0066321E">
        <w:rPr>
          <w:rFonts w:ascii="Candara" w:hAnsi="Candara" w:cs="Times New Roman"/>
          <w:sz w:val="20"/>
          <w:szCs w:val="20"/>
        </w:rPr>
        <w:t>These difficulties illustrate the necessity of discussing the molecular foundations of disease resistance and creating more specific and robust defense measures. The host defense mechanism is centrally based on disease resistance genes, which are also known as R-genes in plants and immune related genes in other biological systems (</w:t>
      </w:r>
      <w:proofErr w:type="spellStart"/>
      <w:r w:rsidRPr="0066321E">
        <w:rPr>
          <w:rFonts w:ascii="Candara" w:hAnsi="Candara" w:cs="Times New Roman"/>
          <w:sz w:val="20"/>
          <w:szCs w:val="20"/>
        </w:rPr>
        <w:t>Agarrwal</w:t>
      </w:r>
      <w:proofErr w:type="spellEnd"/>
      <w:r w:rsidRPr="0066321E">
        <w:rPr>
          <w:rFonts w:ascii="Candara" w:hAnsi="Candara" w:cs="Times New Roman"/>
          <w:sz w:val="20"/>
          <w:szCs w:val="20"/>
        </w:rPr>
        <w:t xml:space="preserve"> et al., 2024).</w:t>
      </w:r>
      <w:r w:rsidR="00097B67" w:rsidRPr="0066321E">
        <w:rPr>
          <w:rFonts w:ascii="Candara" w:hAnsi="Candara" w:cs="Times New Roman"/>
          <w:sz w:val="20"/>
          <w:szCs w:val="20"/>
        </w:rPr>
        <w:t xml:space="preserve"> These gene families evolve under strong selection pressure, </w:t>
      </w:r>
      <w:r w:rsidR="00097B67" w:rsidRPr="0066321E">
        <w:rPr>
          <w:rFonts w:ascii="Candara" w:hAnsi="Candara" w:cs="Times New Roman"/>
          <w:sz w:val="20"/>
          <w:szCs w:val="20"/>
        </w:rPr>
        <w:lastRenderedPageBreak/>
        <w:t>generating dynamic and heterogeneous repertoires shaped by continuous co-evolutionary interactions with pathogen effectors (Wilson et al., 2025).</w:t>
      </w:r>
    </w:p>
    <w:p w14:paraId="75B5B1C7" w14:textId="47B703F8" w:rsidR="00055A55" w:rsidRPr="0066321E" w:rsidRDefault="00055A55" w:rsidP="0066321E">
      <w:pPr>
        <w:spacing w:after="0" w:line="240" w:lineRule="auto"/>
        <w:jc w:val="both"/>
        <w:rPr>
          <w:rFonts w:ascii="Candara" w:hAnsi="Candara" w:cs="Times New Roman"/>
          <w:sz w:val="20"/>
          <w:szCs w:val="20"/>
        </w:rPr>
      </w:pPr>
      <w:r w:rsidRPr="0066321E">
        <w:rPr>
          <w:rFonts w:ascii="Candara" w:hAnsi="Candara" w:cs="Times New Roman"/>
          <w:sz w:val="20"/>
          <w:szCs w:val="20"/>
        </w:rPr>
        <w:t>Historically, disease resistance studies have been based on classical methods of genetics like linkage mapping and mutant screening. Although such approaches gave rudimentary engineering knowledge, they were normally resolved and scaled (Gangurde et al., 2022).</w:t>
      </w:r>
      <w:r w:rsidR="00477D8D" w:rsidRPr="0066321E">
        <w:rPr>
          <w:rFonts w:ascii="Candara" w:hAnsi="Candara" w:cs="Times New Roman"/>
          <w:sz w:val="20"/>
          <w:szCs w:val="20"/>
        </w:rPr>
        <w:t xml:space="preserve"> The advent of system biology, encompassing transcriptomics, proteomics, and other omics</w:t>
      </w:r>
      <w:r w:rsidR="009734B4" w:rsidRPr="0066321E">
        <w:rPr>
          <w:rFonts w:ascii="Candara" w:hAnsi="Candara" w:cs="Times New Roman"/>
          <w:sz w:val="20"/>
          <w:szCs w:val="20"/>
        </w:rPr>
        <w:t xml:space="preserve"> platforms, has enabled network </w:t>
      </w:r>
      <w:r w:rsidR="00477D8D" w:rsidRPr="0066321E">
        <w:rPr>
          <w:rFonts w:ascii="Candara" w:hAnsi="Candara" w:cs="Times New Roman"/>
          <w:sz w:val="20"/>
          <w:szCs w:val="20"/>
        </w:rPr>
        <w:t>level analysis of complex biological respons</w:t>
      </w:r>
      <w:r w:rsidR="009734B4" w:rsidRPr="0066321E">
        <w:rPr>
          <w:rFonts w:ascii="Candara" w:hAnsi="Candara" w:cs="Times New Roman"/>
          <w:sz w:val="20"/>
          <w:szCs w:val="20"/>
        </w:rPr>
        <w:t xml:space="preserve">es (Yadav </w:t>
      </w:r>
      <w:proofErr w:type="spellStart"/>
      <w:r w:rsidR="009734B4" w:rsidRPr="0066321E">
        <w:rPr>
          <w:rFonts w:ascii="Candara" w:hAnsi="Candara" w:cs="Times New Roman"/>
          <w:sz w:val="20"/>
          <w:szCs w:val="20"/>
        </w:rPr>
        <w:t>etl</w:t>
      </w:r>
      <w:proofErr w:type="spellEnd"/>
      <w:r w:rsidR="009734B4" w:rsidRPr="0066321E">
        <w:rPr>
          <w:rFonts w:ascii="Candara" w:hAnsi="Candara" w:cs="Times New Roman"/>
          <w:sz w:val="20"/>
          <w:szCs w:val="20"/>
        </w:rPr>
        <w:t xml:space="preserve"> al., 2022). Large </w:t>
      </w:r>
      <w:r w:rsidR="00477D8D" w:rsidRPr="0066321E">
        <w:rPr>
          <w:rFonts w:ascii="Candara" w:hAnsi="Candara" w:cs="Times New Roman"/>
          <w:sz w:val="20"/>
          <w:szCs w:val="20"/>
        </w:rPr>
        <w:t>scale RNA sequencing and genome-wide association datasets now allow researchers to identify novel</w:t>
      </w:r>
      <w:r w:rsidR="009734B4" w:rsidRPr="0066321E">
        <w:rPr>
          <w:rFonts w:ascii="Candara" w:hAnsi="Candara" w:cs="Times New Roman"/>
          <w:sz w:val="20"/>
          <w:szCs w:val="20"/>
        </w:rPr>
        <w:t xml:space="preserve"> regulatory elements and stress </w:t>
      </w:r>
      <w:r w:rsidR="00477D8D" w:rsidRPr="0066321E">
        <w:rPr>
          <w:rFonts w:ascii="Candara" w:hAnsi="Candara" w:cs="Times New Roman"/>
          <w:sz w:val="20"/>
          <w:szCs w:val="20"/>
        </w:rPr>
        <w:t>responsive pathways with greater precision (</w:t>
      </w:r>
      <w:proofErr w:type="spellStart"/>
      <w:r w:rsidR="00477D8D" w:rsidRPr="0066321E">
        <w:rPr>
          <w:rFonts w:ascii="Candara" w:hAnsi="Candara" w:cs="Times New Roman"/>
          <w:sz w:val="20"/>
          <w:szCs w:val="20"/>
        </w:rPr>
        <w:t>Simirenko</w:t>
      </w:r>
      <w:proofErr w:type="spellEnd"/>
      <w:r w:rsidR="00477D8D" w:rsidRPr="0066321E">
        <w:rPr>
          <w:rFonts w:ascii="Candara" w:hAnsi="Candara" w:cs="Times New Roman"/>
          <w:sz w:val="20"/>
          <w:szCs w:val="20"/>
        </w:rPr>
        <w:t xml:space="preserve"> et al.,2023). Simultaneously, machine learning approaches are enhancing predictive accuracy for candidate gene identification and functional</w:t>
      </w:r>
      <w:r w:rsidR="00A1517D" w:rsidRPr="0066321E">
        <w:rPr>
          <w:rFonts w:ascii="Candara" w:hAnsi="Candara" w:cs="Times New Roman"/>
          <w:sz w:val="20"/>
          <w:szCs w:val="20"/>
        </w:rPr>
        <w:t xml:space="preserve"> gRNA design (</w:t>
      </w:r>
      <w:proofErr w:type="spellStart"/>
      <w:r w:rsidR="00A1517D" w:rsidRPr="0066321E">
        <w:rPr>
          <w:rFonts w:ascii="Candara" w:hAnsi="Candara" w:cs="Times New Roman"/>
          <w:sz w:val="20"/>
          <w:szCs w:val="20"/>
        </w:rPr>
        <w:t>Shriniket</w:t>
      </w:r>
      <w:proofErr w:type="spellEnd"/>
      <w:r w:rsidR="00A1517D" w:rsidRPr="0066321E">
        <w:rPr>
          <w:rFonts w:ascii="Candara" w:hAnsi="Candara" w:cs="Times New Roman"/>
          <w:sz w:val="20"/>
          <w:szCs w:val="20"/>
        </w:rPr>
        <w:t xml:space="preserve"> Dixit et al., 2024; Liu, 2024).</w:t>
      </w:r>
    </w:p>
    <w:p w14:paraId="1417D0DA" w14:textId="77777777" w:rsidR="004B7D2A" w:rsidRPr="0066321E" w:rsidRDefault="00502E18"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CRISPR-Cas systems have transformed functional genomics by enabling efficient and programmable genome editing to directly test gene activity and engineer disease resistance </w:t>
      </w:r>
      <w:proofErr w:type="spellStart"/>
      <w:r w:rsidRPr="0066321E">
        <w:rPr>
          <w:rFonts w:ascii="Candara" w:hAnsi="Candara" w:cs="Times New Roman"/>
          <w:sz w:val="20"/>
          <w:szCs w:val="20"/>
        </w:rPr>
        <w:t>Devillars</w:t>
      </w:r>
      <w:proofErr w:type="spellEnd"/>
      <w:r w:rsidRPr="0066321E">
        <w:rPr>
          <w:rFonts w:ascii="Candara" w:hAnsi="Candara" w:cs="Times New Roman"/>
          <w:sz w:val="20"/>
          <w:szCs w:val="20"/>
        </w:rPr>
        <w:t xml:space="preserve"> et al., 2024). The efficacy of these applications depends critically on in-silico gRNA design strategies that guarantee targeting specificity. </w:t>
      </w:r>
      <w:r w:rsidR="004B7D2A" w:rsidRPr="0066321E">
        <w:rPr>
          <w:rFonts w:ascii="Candara" w:hAnsi="Candara" w:cs="Times New Roman"/>
          <w:sz w:val="20"/>
          <w:szCs w:val="20"/>
        </w:rPr>
        <w:t>Nonetheless, the effectiveness of CRISPR based applications critically depends on the appropriate design of guide RNAs, which define specificity of the target and reduction of off-target consequences.</w:t>
      </w:r>
    </w:p>
    <w:p w14:paraId="17D83159" w14:textId="2FAFEBDA" w:rsidR="004B7D2A" w:rsidRPr="0066321E" w:rsidRDefault="004B7D2A" w:rsidP="0066321E">
      <w:pPr>
        <w:spacing w:after="0" w:line="240" w:lineRule="auto"/>
        <w:jc w:val="both"/>
        <w:rPr>
          <w:rFonts w:ascii="Candara" w:hAnsi="Candara" w:cs="Times New Roman"/>
          <w:sz w:val="20"/>
          <w:szCs w:val="20"/>
        </w:rPr>
      </w:pPr>
      <w:r w:rsidRPr="0066321E">
        <w:rPr>
          <w:rFonts w:ascii="Candara" w:hAnsi="Candara" w:cs="Times New Roman"/>
          <w:sz w:val="20"/>
          <w:szCs w:val="20"/>
        </w:rPr>
        <w:t>In addition to these advances, the growing availability of high throughput sequencing technologies has further accelerated the discovery of disease resistance genes across diverse species. Large scale datasets generated from RNA sequencing and genome wide association studies are enabling researchers to identify novel regulatory elements and stress responsive pathways with higher precision (</w:t>
      </w:r>
      <w:proofErr w:type="spellStart"/>
      <w:r w:rsidRPr="0066321E">
        <w:rPr>
          <w:rFonts w:ascii="Candara" w:hAnsi="Candara" w:cs="Times New Roman"/>
          <w:sz w:val="20"/>
          <w:szCs w:val="20"/>
        </w:rPr>
        <w:t>Simirenko</w:t>
      </w:r>
      <w:proofErr w:type="spellEnd"/>
      <w:r w:rsidRPr="0066321E">
        <w:rPr>
          <w:rFonts w:ascii="Candara" w:hAnsi="Candara" w:cs="Times New Roman"/>
          <w:sz w:val="20"/>
          <w:szCs w:val="20"/>
        </w:rPr>
        <w:t xml:space="preserve"> et al., 2023).</w:t>
      </w:r>
      <w:r w:rsidR="00F57A5D" w:rsidRPr="0066321E">
        <w:rPr>
          <w:rFonts w:ascii="Candara" w:hAnsi="Candara" w:cs="Times New Roman"/>
          <w:sz w:val="20"/>
          <w:szCs w:val="20"/>
        </w:rPr>
        <w:t xml:space="preserve"> </w:t>
      </w:r>
      <w:r w:rsidRPr="0066321E">
        <w:rPr>
          <w:rFonts w:ascii="Candara" w:hAnsi="Candara" w:cs="Times New Roman"/>
          <w:sz w:val="20"/>
          <w:szCs w:val="20"/>
        </w:rPr>
        <w:t>This review provides a comprehensive overview of how transcriptomics and in-silico CRISPR g</w:t>
      </w:r>
      <w:r w:rsidR="004F6BA5" w:rsidRPr="0066321E">
        <w:rPr>
          <w:rFonts w:ascii="Candara" w:hAnsi="Candara" w:cs="Times New Roman"/>
          <w:sz w:val="20"/>
          <w:szCs w:val="20"/>
        </w:rPr>
        <w:t xml:space="preserve">RNA design </w:t>
      </w:r>
      <w:r w:rsidR="00B842CE" w:rsidRPr="0066321E">
        <w:rPr>
          <w:rFonts w:ascii="Candara" w:hAnsi="Candara" w:cs="Times New Roman"/>
          <w:sz w:val="20"/>
          <w:szCs w:val="20"/>
        </w:rPr>
        <w:t>is</w:t>
      </w:r>
      <w:r w:rsidR="004F6BA5" w:rsidRPr="0066321E">
        <w:rPr>
          <w:rFonts w:ascii="Candara" w:hAnsi="Candara" w:cs="Times New Roman"/>
          <w:sz w:val="20"/>
          <w:szCs w:val="20"/>
        </w:rPr>
        <w:t xml:space="preserve"> integrated for identifying and targeting disease resistance genes, covering gene discovery pipelines, computational design strategies, current challenges, and </w:t>
      </w:r>
      <w:r w:rsidR="007B656E" w:rsidRPr="0066321E">
        <w:rPr>
          <w:rFonts w:ascii="Candara" w:hAnsi="Candara" w:cs="Times New Roman"/>
          <w:sz w:val="20"/>
          <w:szCs w:val="20"/>
        </w:rPr>
        <w:t>prospects.</w:t>
      </w:r>
    </w:p>
    <w:p w14:paraId="3E011ED7" w14:textId="31F749CA" w:rsidR="007B656E" w:rsidRPr="0066321E" w:rsidRDefault="007B656E"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Disease Resistance Genes: Biological Framework</w:t>
      </w:r>
    </w:p>
    <w:p w14:paraId="206D32A7" w14:textId="23C8202D" w:rsidR="007B656E" w:rsidRPr="0066321E" w:rsidRDefault="007B656E" w:rsidP="0066321E">
      <w:pPr>
        <w:spacing w:after="0" w:line="240" w:lineRule="auto"/>
        <w:jc w:val="both"/>
        <w:rPr>
          <w:rFonts w:ascii="Candara" w:hAnsi="Candara" w:cs="Times New Roman"/>
          <w:sz w:val="20"/>
          <w:szCs w:val="20"/>
        </w:rPr>
      </w:pPr>
      <w:r w:rsidRPr="0066321E">
        <w:rPr>
          <w:rFonts w:ascii="Candara" w:hAnsi="Candara" w:cs="Times New Roman"/>
          <w:sz w:val="20"/>
          <w:szCs w:val="20"/>
        </w:rPr>
        <w:t>Disease resistance genes are the fundamental genetic elements giving living organisms the power to sense and react against the onslaught of pathogens. They are invariably called resistance (R) genes in plants and generally known as im</w:t>
      </w:r>
      <w:r w:rsidR="00F3725B" w:rsidRPr="0066321E">
        <w:rPr>
          <w:rFonts w:ascii="Candara" w:hAnsi="Candara" w:cs="Times New Roman"/>
          <w:sz w:val="20"/>
          <w:szCs w:val="20"/>
        </w:rPr>
        <w:t xml:space="preserve">mune </w:t>
      </w:r>
      <w:r w:rsidRPr="0066321E">
        <w:rPr>
          <w:rFonts w:ascii="Candara" w:hAnsi="Candara" w:cs="Times New Roman"/>
          <w:sz w:val="20"/>
          <w:szCs w:val="20"/>
        </w:rPr>
        <w:t>related genes in humans and other animals (</w:t>
      </w:r>
      <w:proofErr w:type="spellStart"/>
      <w:r w:rsidRPr="0066321E">
        <w:rPr>
          <w:rFonts w:ascii="Candara" w:hAnsi="Candara" w:cs="Times New Roman"/>
          <w:sz w:val="20"/>
          <w:szCs w:val="20"/>
        </w:rPr>
        <w:t>Kameswaran</w:t>
      </w:r>
      <w:proofErr w:type="spellEnd"/>
      <w:r w:rsidRPr="0066321E">
        <w:rPr>
          <w:rFonts w:ascii="Candara" w:hAnsi="Candara" w:cs="Times New Roman"/>
          <w:sz w:val="20"/>
          <w:szCs w:val="20"/>
        </w:rPr>
        <w:t xml:space="preserve"> et al., 2025). Despite differences in biological complexity, both systems operate on a similar functional principle, namely the ability to perceive invading pathogens and initiate downstream defense responses essential for survival (Tang et al., 2025).</w:t>
      </w:r>
    </w:p>
    <w:p w14:paraId="0DADEFC4" w14:textId="384B5250" w:rsidR="00651BE1" w:rsidRPr="0066321E" w:rsidRDefault="00F3725B"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In plants, the nucleotide binding leucine </w:t>
      </w:r>
      <w:r w:rsidR="007B656E" w:rsidRPr="0066321E">
        <w:rPr>
          <w:rFonts w:ascii="Candara" w:hAnsi="Candara" w:cs="Times New Roman"/>
          <w:sz w:val="20"/>
          <w:szCs w:val="20"/>
        </w:rPr>
        <w:t>rich repeat (NLR) family constitutes the primary class of intracellular immun</w:t>
      </w:r>
      <w:r w:rsidRPr="0066321E">
        <w:rPr>
          <w:rFonts w:ascii="Candara" w:hAnsi="Candara" w:cs="Times New Roman"/>
          <w:sz w:val="20"/>
          <w:szCs w:val="20"/>
        </w:rPr>
        <w:t xml:space="preserve">e sensors, recognizing pathogen </w:t>
      </w:r>
      <w:r w:rsidR="007B656E" w:rsidRPr="0066321E">
        <w:rPr>
          <w:rFonts w:ascii="Candara" w:hAnsi="Candara" w:cs="Times New Roman"/>
          <w:sz w:val="20"/>
          <w:szCs w:val="20"/>
        </w:rPr>
        <w:t>derived effector molecules and activating defense programs including localized cell death to restrict pathogen sp</w:t>
      </w:r>
      <w:r w:rsidRPr="0066321E">
        <w:rPr>
          <w:rFonts w:ascii="Candara" w:hAnsi="Candara" w:cs="Times New Roman"/>
          <w:sz w:val="20"/>
          <w:szCs w:val="20"/>
        </w:rPr>
        <w:t xml:space="preserve">read (Zhiqi et al., 2025). Cell surface receptor </w:t>
      </w:r>
      <w:r w:rsidR="007B656E" w:rsidRPr="0066321E">
        <w:rPr>
          <w:rFonts w:ascii="Candara" w:hAnsi="Candara" w:cs="Times New Roman"/>
          <w:sz w:val="20"/>
          <w:szCs w:val="20"/>
        </w:rPr>
        <w:t>l</w:t>
      </w:r>
      <w:r w:rsidRPr="0066321E">
        <w:rPr>
          <w:rFonts w:ascii="Candara" w:hAnsi="Candara" w:cs="Times New Roman"/>
          <w:sz w:val="20"/>
          <w:szCs w:val="20"/>
        </w:rPr>
        <w:t xml:space="preserve">ike kinases (RLKs) and receptor </w:t>
      </w:r>
      <w:r w:rsidR="007B656E" w:rsidRPr="0066321E">
        <w:rPr>
          <w:rFonts w:ascii="Candara" w:hAnsi="Candara" w:cs="Times New Roman"/>
          <w:sz w:val="20"/>
          <w:szCs w:val="20"/>
        </w:rPr>
        <w:t>like proteins (RLPs) comple</w:t>
      </w:r>
      <w:r w:rsidRPr="0066321E">
        <w:rPr>
          <w:rFonts w:ascii="Candara" w:hAnsi="Candara" w:cs="Times New Roman"/>
          <w:sz w:val="20"/>
          <w:szCs w:val="20"/>
        </w:rPr>
        <w:t xml:space="preserve">ment NLRs by detecting pathogen </w:t>
      </w:r>
      <w:r w:rsidR="007B656E" w:rsidRPr="0066321E">
        <w:rPr>
          <w:rFonts w:ascii="Candara" w:hAnsi="Candara" w:cs="Times New Roman"/>
          <w:sz w:val="20"/>
          <w:szCs w:val="20"/>
        </w:rPr>
        <w:t>associated molecular patterns (PAMPs) at the earliest stages of infection (Juma et al., 2025; G. Wang et al., 2026). In humans and other animals, pattern recognition receptors (PRRs) such as Toll-like receptors (TLRs), along with downstream signaling molecules and effector genes, orchestrate both innate and adaptive immunity (R. Wang et al., 2024). Across all systems, signaling genes serve as critical intermediaries, transmitting recognition signals into the cell to activate complex defense pathways (Mahanta et al., 2025). Table 1 consolidates the major resistance gene famili</w:t>
      </w:r>
      <w:r w:rsidRPr="0066321E">
        <w:rPr>
          <w:rFonts w:ascii="Candara" w:hAnsi="Candara" w:cs="Times New Roman"/>
          <w:sz w:val="20"/>
          <w:szCs w:val="20"/>
        </w:rPr>
        <w:t xml:space="preserve">es discussed in transcriptomics </w:t>
      </w:r>
      <w:r w:rsidR="007B656E" w:rsidRPr="0066321E">
        <w:rPr>
          <w:rFonts w:ascii="Candara" w:hAnsi="Candara" w:cs="Times New Roman"/>
          <w:sz w:val="20"/>
          <w:szCs w:val="20"/>
        </w:rPr>
        <w:t>CRISPR studies, aligning their biological roles, transcriptomic behavior, and genome editing relevance.</w:t>
      </w:r>
    </w:p>
    <w:p w14:paraId="2F785D63" w14:textId="77777777" w:rsidR="00651BE1" w:rsidRPr="0066321E" w:rsidRDefault="00651BE1" w:rsidP="0066321E">
      <w:pPr>
        <w:spacing w:after="0" w:line="240" w:lineRule="auto"/>
        <w:jc w:val="both"/>
        <w:rPr>
          <w:rFonts w:ascii="Candara" w:hAnsi="Candara" w:cs="Times New Roman"/>
          <w:sz w:val="20"/>
          <w:szCs w:val="20"/>
        </w:rPr>
      </w:pPr>
    </w:p>
    <w:p w14:paraId="7C04414E" w14:textId="601F204C" w:rsidR="0096260E" w:rsidRPr="0066321E" w:rsidRDefault="0096260E" w:rsidP="0066321E">
      <w:pPr>
        <w:pStyle w:val="Caption"/>
        <w:keepNext/>
        <w:spacing w:after="0"/>
        <w:jc w:val="both"/>
        <w:rPr>
          <w:rFonts w:ascii="Candara" w:hAnsi="Candara" w:cs="Times New Roman"/>
          <w:i w:val="0"/>
          <w:iCs w:val="0"/>
          <w:color w:val="auto"/>
          <w:sz w:val="20"/>
          <w:szCs w:val="20"/>
        </w:rPr>
      </w:pPr>
      <w:r w:rsidRPr="0066321E">
        <w:rPr>
          <w:rFonts w:ascii="Candara" w:hAnsi="Candara" w:cs="Times New Roman"/>
          <w:b/>
          <w:bCs/>
          <w:color w:val="auto"/>
          <w:sz w:val="20"/>
          <w:szCs w:val="20"/>
        </w:rPr>
        <w:t xml:space="preserve">Table </w:t>
      </w:r>
      <w:r w:rsidRPr="0066321E">
        <w:rPr>
          <w:rFonts w:ascii="Candara" w:hAnsi="Candara" w:cs="Times New Roman"/>
          <w:b/>
          <w:bCs/>
          <w:color w:val="auto"/>
          <w:sz w:val="20"/>
          <w:szCs w:val="20"/>
        </w:rPr>
        <w:fldChar w:fldCharType="begin"/>
      </w:r>
      <w:r w:rsidRPr="0066321E">
        <w:rPr>
          <w:rFonts w:ascii="Candara" w:hAnsi="Candara" w:cs="Times New Roman"/>
          <w:b/>
          <w:bCs/>
          <w:color w:val="auto"/>
          <w:sz w:val="20"/>
          <w:szCs w:val="20"/>
        </w:rPr>
        <w:instrText xml:space="preserve"> SEQ Table \* ARABIC </w:instrText>
      </w:r>
      <w:r w:rsidRPr="0066321E">
        <w:rPr>
          <w:rFonts w:ascii="Candara" w:hAnsi="Candara" w:cs="Times New Roman"/>
          <w:b/>
          <w:bCs/>
          <w:color w:val="auto"/>
          <w:sz w:val="20"/>
          <w:szCs w:val="20"/>
        </w:rPr>
        <w:fldChar w:fldCharType="separate"/>
      </w:r>
      <w:r w:rsidR="00A45552" w:rsidRPr="0066321E">
        <w:rPr>
          <w:rFonts w:ascii="Candara" w:hAnsi="Candara" w:cs="Times New Roman"/>
          <w:b/>
          <w:bCs/>
          <w:noProof/>
          <w:color w:val="auto"/>
          <w:sz w:val="20"/>
          <w:szCs w:val="20"/>
        </w:rPr>
        <w:t>1</w:t>
      </w:r>
      <w:r w:rsidRPr="0066321E">
        <w:rPr>
          <w:rFonts w:ascii="Candara" w:hAnsi="Candara" w:cs="Times New Roman"/>
          <w:b/>
          <w:bCs/>
          <w:color w:val="auto"/>
          <w:sz w:val="20"/>
          <w:szCs w:val="20"/>
        </w:rPr>
        <w:fldChar w:fldCharType="end"/>
      </w:r>
      <w:r w:rsidRPr="0066321E">
        <w:rPr>
          <w:rFonts w:ascii="Candara" w:hAnsi="Candara" w:cs="Times New Roman"/>
          <w:b/>
          <w:bCs/>
          <w:color w:val="auto"/>
          <w:sz w:val="20"/>
          <w:szCs w:val="20"/>
        </w:rPr>
        <w:t>.</w:t>
      </w:r>
      <w:r w:rsidRPr="0066321E">
        <w:rPr>
          <w:rFonts w:ascii="Candara" w:hAnsi="Candara" w:cs="Times New Roman"/>
          <w:i w:val="0"/>
          <w:iCs w:val="0"/>
          <w:color w:val="auto"/>
          <w:sz w:val="20"/>
          <w:szCs w:val="20"/>
        </w:rPr>
        <w:t xml:space="preserve"> Key Disease Resistance Gene Families Discussed in Transcriptomics–CRISPR Studies</w:t>
      </w:r>
    </w:p>
    <w:tbl>
      <w:tblPr>
        <w:tblStyle w:val="TableGrid"/>
        <w:tblW w:w="0" w:type="auto"/>
        <w:jc w:val="center"/>
        <w:tbl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insideH w:val="single" w:sz="6" w:space="0" w:color="404040" w:themeColor="text1" w:themeTint="BF"/>
          <w:insideV w:val="single" w:sz="6" w:space="0" w:color="404040" w:themeColor="text1" w:themeTint="BF"/>
        </w:tblBorders>
        <w:tblLook w:val="04A0" w:firstRow="1" w:lastRow="0" w:firstColumn="1" w:lastColumn="0" w:noHBand="0" w:noVBand="1"/>
      </w:tblPr>
      <w:tblGrid>
        <w:gridCol w:w="1360"/>
        <w:gridCol w:w="1069"/>
        <w:gridCol w:w="1349"/>
        <w:gridCol w:w="1625"/>
        <w:gridCol w:w="2420"/>
        <w:gridCol w:w="1187"/>
      </w:tblGrid>
      <w:tr w:rsidR="007B656E" w:rsidRPr="0066321E" w14:paraId="409E571E" w14:textId="77777777" w:rsidTr="00DF18C4">
        <w:trPr>
          <w:trHeight w:val="789"/>
          <w:jc w:val="center"/>
        </w:trPr>
        <w:tc>
          <w:tcPr>
            <w:tcW w:w="0" w:type="auto"/>
            <w:shd w:val="clear" w:color="auto" w:fill="D1D1D1" w:themeFill="background2" w:themeFillShade="E6"/>
            <w:hideMark/>
          </w:tcPr>
          <w:p w14:paraId="0C773577" w14:textId="77777777" w:rsidR="007B656E" w:rsidRPr="0066321E" w:rsidRDefault="007B656E" w:rsidP="0066321E">
            <w:pPr>
              <w:spacing w:line="240" w:lineRule="auto"/>
              <w:jc w:val="both"/>
              <w:rPr>
                <w:rFonts w:ascii="Candara" w:eastAsia="Times New Roman" w:hAnsi="Candara" w:cs="Times New Roman"/>
                <w:b/>
                <w:bCs/>
                <w:sz w:val="20"/>
                <w:szCs w:val="20"/>
              </w:rPr>
            </w:pPr>
            <w:r w:rsidRPr="0066321E">
              <w:rPr>
                <w:rFonts w:ascii="Candara" w:eastAsia="Times New Roman" w:hAnsi="Candara" w:cs="Times New Roman"/>
                <w:b/>
                <w:bCs/>
                <w:sz w:val="20"/>
                <w:szCs w:val="20"/>
              </w:rPr>
              <w:t>Gene/Protein Family</w:t>
            </w:r>
          </w:p>
        </w:tc>
        <w:tc>
          <w:tcPr>
            <w:tcW w:w="0" w:type="auto"/>
            <w:shd w:val="clear" w:color="auto" w:fill="D1D1D1" w:themeFill="background2" w:themeFillShade="E6"/>
            <w:hideMark/>
          </w:tcPr>
          <w:p w14:paraId="544ADBB0" w14:textId="77777777" w:rsidR="007B656E" w:rsidRPr="0066321E" w:rsidRDefault="007B656E" w:rsidP="0066321E">
            <w:pPr>
              <w:spacing w:line="240" w:lineRule="auto"/>
              <w:jc w:val="both"/>
              <w:rPr>
                <w:rFonts w:ascii="Candara" w:eastAsia="Times New Roman" w:hAnsi="Candara" w:cs="Times New Roman"/>
                <w:b/>
                <w:bCs/>
                <w:sz w:val="20"/>
                <w:szCs w:val="20"/>
              </w:rPr>
            </w:pPr>
            <w:r w:rsidRPr="0066321E">
              <w:rPr>
                <w:rFonts w:ascii="Candara" w:eastAsia="Times New Roman" w:hAnsi="Candara" w:cs="Times New Roman"/>
                <w:b/>
                <w:bCs/>
                <w:sz w:val="20"/>
                <w:szCs w:val="20"/>
              </w:rPr>
              <w:t>Biological System</w:t>
            </w:r>
          </w:p>
        </w:tc>
        <w:tc>
          <w:tcPr>
            <w:tcW w:w="0" w:type="auto"/>
            <w:shd w:val="clear" w:color="auto" w:fill="D1D1D1" w:themeFill="background2" w:themeFillShade="E6"/>
            <w:hideMark/>
          </w:tcPr>
          <w:p w14:paraId="56DAD763" w14:textId="77777777" w:rsidR="007B656E" w:rsidRPr="0066321E" w:rsidRDefault="007B656E" w:rsidP="0066321E">
            <w:pPr>
              <w:spacing w:line="240" w:lineRule="auto"/>
              <w:jc w:val="both"/>
              <w:rPr>
                <w:rFonts w:ascii="Candara" w:eastAsia="Times New Roman" w:hAnsi="Candara" w:cs="Times New Roman"/>
                <w:b/>
                <w:bCs/>
                <w:sz w:val="20"/>
                <w:szCs w:val="20"/>
              </w:rPr>
            </w:pPr>
            <w:r w:rsidRPr="0066321E">
              <w:rPr>
                <w:rFonts w:ascii="Candara" w:eastAsia="Times New Roman" w:hAnsi="Candara" w:cs="Times New Roman"/>
                <w:b/>
                <w:bCs/>
                <w:sz w:val="20"/>
                <w:szCs w:val="20"/>
              </w:rPr>
              <w:t>Function in Resistance</w:t>
            </w:r>
          </w:p>
        </w:tc>
        <w:tc>
          <w:tcPr>
            <w:tcW w:w="0" w:type="auto"/>
            <w:shd w:val="clear" w:color="auto" w:fill="D1D1D1" w:themeFill="background2" w:themeFillShade="E6"/>
            <w:hideMark/>
          </w:tcPr>
          <w:p w14:paraId="2485D2C0" w14:textId="77777777" w:rsidR="007B656E" w:rsidRPr="0066321E" w:rsidRDefault="007B656E" w:rsidP="0066321E">
            <w:pPr>
              <w:spacing w:line="240" w:lineRule="auto"/>
              <w:jc w:val="both"/>
              <w:rPr>
                <w:rFonts w:ascii="Candara" w:eastAsia="Times New Roman" w:hAnsi="Candara" w:cs="Times New Roman"/>
                <w:b/>
                <w:bCs/>
                <w:sz w:val="20"/>
                <w:szCs w:val="20"/>
              </w:rPr>
            </w:pPr>
            <w:r w:rsidRPr="0066321E">
              <w:rPr>
                <w:rFonts w:ascii="Candara" w:eastAsia="Times New Roman" w:hAnsi="Candara" w:cs="Times New Roman"/>
                <w:b/>
                <w:bCs/>
                <w:sz w:val="20"/>
                <w:szCs w:val="20"/>
              </w:rPr>
              <w:t>Role in Transcriptomics Studies</w:t>
            </w:r>
          </w:p>
        </w:tc>
        <w:tc>
          <w:tcPr>
            <w:tcW w:w="0" w:type="auto"/>
            <w:shd w:val="clear" w:color="auto" w:fill="D1D1D1" w:themeFill="background2" w:themeFillShade="E6"/>
            <w:hideMark/>
          </w:tcPr>
          <w:p w14:paraId="3CF2C4CD" w14:textId="77777777" w:rsidR="007B656E" w:rsidRPr="0066321E" w:rsidRDefault="007B656E" w:rsidP="0066321E">
            <w:pPr>
              <w:spacing w:line="240" w:lineRule="auto"/>
              <w:jc w:val="both"/>
              <w:rPr>
                <w:rFonts w:ascii="Candara" w:eastAsia="Times New Roman" w:hAnsi="Candara" w:cs="Times New Roman"/>
                <w:b/>
                <w:bCs/>
                <w:sz w:val="20"/>
                <w:szCs w:val="20"/>
              </w:rPr>
            </w:pPr>
            <w:r w:rsidRPr="0066321E">
              <w:rPr>
                <w:rFonts w:ascii="Candara" w:eastAsia="Times New Roman" w:hAnsi="Candara" w:cs="Times New Roman"/>
                <w:b/>
                <w:bCs/>
                <w:sz w:val="20"/>
                <w:szCs w:val="20"/>
              </w:rPr>
              <w:t>CRISPR Relevance</w:t>
            </w:r>
          </w:p>
        </w:tc>
        <w:tc>
          <w:tcPr>
            <w:tcW w:w="0" w:type="auto"/>
            <w:shd w:val="clear" w:color="auto" w:fill="D1D1D1" w:themeFill="background2" w:themeFillShade="E6"/>
          </w:tcPr>
          <w:p w14:paraId="4874B707" w14:textId="77777777" w:rsidR="007B656E" w:rsidRPr="0066321E" w:rsidRDefault="007B656E" w:rsidP="0066321E">
            <w:pPr>
              <w:spacing w:line="240" w:lineRule="auto"/>
              <w:jc w:val="both"/>
              <w:rPr>
                <w:rFonts w:ascii="Candara" w:eastAsia="Times New Roman" w:hAnsi="Candara" w:cs="Times New Roman"/>
                <w:b/>
                <w:bCs/>
                <w:sz w:val="20"/>
                <w:szCs w:val="20"/>
              </w:rPr>
            </w:pPr>
            <w:r w:rsidRPr="0066321E">
              <w:rPr>
                <w:rFonts w:ascii="Candara" w:eastAsia="Times New Roman" w:hAnsi="Candara" w:cs="Times New Roman"/>
                <w:b/>
                <w:bCs/>
                <w:sz w:val="20"/>
                <w:szCs w:val="20"/>
              </w:rPr>
              <w:t>References</w:t>
            </w:r>
          </w:p>
        </w:tc>
      </w:tr>
      <w:tr w:rsidR="007B656E" w:rsidRPr="0066321E" w14:paraId="1B24B1C3" w14:textId="77777777" w:rsidTr="00DF18C4">
        <w:trPr>
          <w:trHeight w:val="1068"/>
          <w:jc w:val="center"/>
        </w:trPr>
        <w:tc>
          <w:tcPr>
            <w:tcW w:w="0" w:type="auto"/>
            <w:hideMark/>
          </w:tcPr>
          <w:p w14:paraId="1580EFFE"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NLR genes</w:t>
            </w:r>
          </w:p>
        </w:tc>
        <w:tc>
          <w:tcPr>
            <w:tcW w:w="0" w:type="auto"/>
            <w:hideMark/>
          </w:tcPr>
          <w:p w14:paraId="0E83B1CD"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Plants</w:t>
            </w:r>
          </w:p>
        </w:tc>
        <w:tc>
          <w:tcPr>
            <w:tcW w:w="0" w:type="auto"/>
            <w:hideMark/>
          </w:tcPr>
          <w:p w14:paraId="6D48C6BC"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Intracellular pathogen effector recognition</w:t>
            </w:r>
          </w:p>
        </w:tc>
        <w:tc>
          <w:tcPr>
            <w:tcW w:w="0" w:type="auto"/>
            <w:hideMark/>
          </w:tcPr>
          <w:p w14:paraId="1BFCFC28"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Strongly upregulated during infection</w:t>
            </w:r>
          </w:p>
        </w:tc>
        <w:tc>
          <w:tcPr>
            <w:tcW w:w="0" w:type="auto"/>
            <w:hideMark/>
          </w:tcPr>
          <w:p w14:paraId="536246B3"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Knockout/knock-in for resistance enhancement</w:t>
            </w:r>
          </w:p>
        </w:tc>
        <w:tc>
          <w:tcPr>
            <w:tcW w:w="0" w:type="auto"/>
          </w:tcPr>
          <w:p w14:paraId="7C3F1565" w14:textId="42EDF11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fldChar w:fldCharType="begin">
                <w:fldData xml:space="preserve">PEVuZE5vdGU+PENpdGU+PEF1dGhvcj5KdW1hPC9BdXRob3I+PFllYXI+MjAyNTwvWWVhcj48UmVj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</w:fldData>
              </w:fldChar>
            </w:r>
            <w:r w:rsidR="004942BD" w:rsidRPr="0066321E">
              <w:rPr>
                <w:rFonts w:ascii="Candara" w:eastAsia="Times New Roman" w:hAnsi="Candara" w:cs="Times New Roman"/>
                <w:sz w:val="20"/>
                <w:szCs w:val="20"/>
              </w:rPr>
              <w:instrText xml:space="preserve"> ADDIN EN.CITE </w:instrText>
            </w:r>
            <w:r w:rsidR="004942BD" w:rsidRPr="0066321E">
              <w:rPr>
                <w:rFonts w:ascii="Candara" w:eastAsia="Times New Roman" w:hAnsi="Candara" w:cs="Times New Roman"/>
                <w:sz w:val="20"/>
                <w:szCs w:val="20"/>
              </w:rPr>
              <w:fldChar w:fldCharType="begin">
                <w:fldData xml:space="preserve">PEVuZE5vdGU+PENpdGU+PEF1dGhvcj5KdW1hPC9BdXRob3I+PFllYXI+MjAyNTwvWWVhcj48UmVj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</w:fldData>
              </w:fldChar>
            </w:r>
            <w:r w:rsidR="004942BD" w:rsidRPr="0066321E">
              <w:rPr>
                <w:rFonts w:ascii="Candara" w:eastAsia="Times New Roman" w:hAnsi="Candara" w:cs="Times New Roman"/>
                <w:sz w:val="20"/>
                <w:szCs w:val="20"/>
              </w:rPr>
              <w:instrText xml:space="preserve"> ADDIN EN.CITE.DATA </w:instrText>
            </w:r>
            <w:r w:rsidR="004942BD" w:rsidRPr="0066321E">
              <w:rPr>
                <w:rFonts w:ascii="Candara" w:eastAsia="Times New Roman" w:hAnsi="Candara" w:cs="Times New Roman"/>
                <w:sz w:val="20"/>
                <w:szCs w:val="20"/>
              </w:rPr>
            </w:r>
            <w:r w:rsidR="004942BD" w:rsidRPr="0066321E">
              <w:rPr>
                <w:rFonts w:ascii="Candara" w:eastAsia="Times New Roman" w:hAnsi="Candara" w:cs="Times New Roman"/>
                <w:sz w:val="20"/>
                <w:szCs w:val="20"/>
              </w:rPr>
              <w:fldChar w:fldCharType="end"/>
            </w:r>
            <w:r w:rsidRPr="0066321E">
              <w:rPr>
                <w:rFonts w:ascii="Candara" w:eastAsia="Times New Roman" w:hAnsi="Candara" w:cs="Times New Roman"/>
                <w:sz w:val="20"/>
                <w:szCs w:val="20"/>
              </w:rPr>
            </w:r>
            <w:r w:rsidRPr="0066321E">
              <w:rPr>
                <w:rFonts w:ascii="Candara" w:eastAsia="Times New Roman" w:hAnsi="Candara" w:cs="Times New Roman"/>
                <w:sz w:val="20"/>
                <w:szCs w:val="20"/>
              </w:rPr>
              <w:fldChar w:fldCharType="separate"/>
            </w:r>
            <w:r w:rsidRPr="0066321E">
              <w:rPr>
                <w:rFonts w:ascii="Candara" w:eastAsia="Times New Roman" w:hAnsi="Candara" w:cs="Times New Roman"/>
                <w:noProof/>
                <w:sz w:val="20"/>
                <w:szCs w:val="20"/>
              </w:rPr>
              <w:t>(Juma et al., 2025)</w:t>
            </w:r>
            <w:r w:rsidRPr="0066321E">
              <w:rPr>
                <w:rFonts w:ascii="Candara" w:eastAsia="Times New Roman" w:hAnsi="Candara" w:cs="Times New Roman"/>
                <w:sz w:val="20"/>
                <w:szCs w:val="20"/>
              </w:rPr>
              <w:fldChar w:fldCharType="end"/>
            </w:r>
          </w:p>
        </w:tc>
      </w:tr>
      <w:tr w:rsidR="007B656E" w:rsidRPr="0066321E" w14:paraId="122B32F5" w14:textId="77777777" w:rsidTr="00DF18C4">
        <w:trPr>
          <w:trHeight w:val="1068"/>
          <w:jc w:val="center"/>
        </w:trPr>
        <w:tc>
          <w:tcPr>
            <w:tcW w:w="0" w:type="auto"/>
            <w:hideMark/>
          </w:tcPr>
          <w:p w14:paraId="69C4593C"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RLK</w:t>
            </w:r>
          </w:p>
        </w:tc>
        <w:tc>
          <w:tcPr>
            <w:tcW w:w="0" w:type="auto"/>
            <w:hideMark/>
          </w:tcPr>
          <w:p w14:paraId="2CA03302"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Plants</w:t>
            </w:r>
          </w:p>
        </w:tc>
        <w:tc>
          <w:tcPr>
            <w:tcW w:w="0" w:type="auto"/>
            <w:hideMark/>
          </w:tcPr>
          <w:p w14:paraId="18D18FE6"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Pathogen recognition at cell surface</w:t>
            </w:r>
          </w:p>
        </w:tc>
        <w:tc>
          <w:tcPr>
            <w:tcW w:w="0" w:type="auto"/>
            <w:hideMark/>
          </w:tcPr>
          <w:p w14:paraId="3A8A1890" w14:textId="4E2CE3B8"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Early immune activation markers in RNA-seq</w:t>
            </w:r>
          </w:p>
        </w:tc>
        <w:tc>
          <w:tcPr>
            <w:tcW w:w="0" w:type="auto"/>
            <w:hideMark/>
          </w:tcPr>
          <w:p w14:paraId="5EDD1404"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Target for enhancing PAMP-triggered immunity</w:t>
            </w:r>
          </w:p>
        </w:tc>
        <w:tc>
          <w:tcPr>
            <w:tcW w:w="0" w:type="auto"/>
          </w:tcPr>
          <w:p w14:paraId="6255D723" w14:textId="29AAED42"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fldChar w:fldCharType="begin"/>
            </w:r>
            <w:r w:rsidR="004942BD" w:rsidRPr="0066321E">
              <w:rPr>
                <w:rFonts w:ascii="Candara" w:eastAsia="Times New Roman" w:hAnsi="Candara" w:cs="Times New Roman"/>
                <w:sz w:val="20"/>
                <w:szCs w:val="20"/>
              </w:rPr>
              <w:instrText xml:space="preserve"> ADDIN EN.CITE &lt;EndNote&gt;&lt;Cite&gt;&lt;Author&gt;Zhu&lt;/Author&gt;&lt;Year&gt;2025&lt;/Year&gt;&lt;RecNum&gt;17&lt;/RecNum&gt;&lt;DisplayText&gt;(Zhu et al., 2025)&lt;/DisplayText&gt;&lt;record&gt;&lt;rec-number&gt;2&lt;/rec-number&gt;&lt;foreign-keys&gt;&lt;key app="EN" db-id="95ssws9phaeprxe29pup0erbd9atdzrtttfx" timestamp="1778838288"&gt;2&lt;/key&gt;&lt;/foreign-keys&gt;&lt;ref-type name="Journal Article"&gt;17&lt;/ref-type&gt;&lt;contributors&gt;&lt;authors&gt;&lt;author&gt;Zhu, Jiaxuan&lt;/author&gt;&lt;author&gt;Li, Yan&lt;/author&gt;&lt;author&gt;Yang, Ruirui&lt;/author&gt;&lt;author&gt;Xue, Zhiyuan&lt;/author&gt;&lt;author&gt;Lv, Ruili&lt;/author&gt;&lt;author&gt;Wei, Hongbo&lt;/author&gt;&lt;author&gt;Wang, Zhengjie&lt;/author&gt;&lt;author&gt;Wang, Ruiming&lt;/author&gt;&lt;author&gt;Luan, Yushi&lt;/author&gt;&lt;/authors&gt;&lt;/contributors&gt;&lt;titles&gt;&lt;title&gt;The receptor-like kinase SlLRR-RLK94 as a positive regulator of tomato resistance to Phytophthora infestans&lt;/title&gt;&lt;secondary-title&gt;Plant Cell Reports&lt;/secondary-title&gt;&lt;/titles&gt;&lt;periodical&gt;&lt;full-title&gt;Plant Cell Reports&lt;/full-title&gt;&lt;/periodical&gt;&lt;pages&gt;257&lt;/pages&gt;&lt;volume&gt;44&lt;/volume&gt;&lt;number&gt;11&lt;/number&gt;&lt;dates&gt;&lt;year&gt;2025&lt;/year&gt;&lt;pub-dates&gt;&lt;date&gt;2025/11/01&lt;/date&gt;&lt;/pub-dates&gt;&lt;/dates&gt;&lt;isbn&gt;1432-203X&lt;/isbn&gt;&lt;urls&gt;&lt;related-urls&gt;&lt;url&gt;https://doi.org/10.1007/s00299-025-03648-x&lt;/url&gt;&lt;/related-urls&gt;&lt;/urls&gt;&lt;electronic-resource-num&gt;10.1007/s00299-025-03648-x&lt;/electronic-resource-num&gt;&lt;/record&gt;&lt;/Cite&gt;&lt;/EndNote&gt;</w:instrText>
            </w:r>
            <w:r w:rsidRPr="0066321E">
              <w:rPr>
                <w:rFonts w:ascii="Candara" w:eastAsia="Times New Roman" w:hAnsi="Candara" w:cs="Times New Roman"/>
                <w:sz w:val="20"/>
                <w:szCs w:val="20"/>
              </w:rPr>
              <w:fldChar w:fldCharType="separate"/>
            </w:r>
            <w:r w:rsidRPr="0066321E">
              <w:rPr>
                <w:rFonts w:ascii="Candara" w:eastAsia="Times New Roman" w:hAnsi="Candara" w:cs="Times New Roman"/>
                <w:noProof/>
                <w:sz w:val="20"/>
                <w:szCs w:val="20"/>
              </w:rPr>
              <w:t>(Zhu et al., 2025)</w:t>
            </w:r>
            <w:r w:rsidRPr="0066321E">
              <w:rPr>
                <w:rFonts w:ascii="Candara" w:eastAsia="Times New Roman" w:hAnsi="Candara" w:cs="Times New Roman"/>
                <w:sz w:val="20"/>
                <w:szCs w:val="20"/>
              </w:rPr>
              <w:fldChar w:fldCharType="end"/>
            </w:r>
          </w:p>
        </w:tc>
      </w:tr>
      <w:tr w:rsidR="007B656E" w:rsidRPr="0066321E" w14:paraId="472D3C8F" w14:textId="77777777" w:rsidTr="00DF18C4">
        <w:trPr>
          <w:trHeight w:val="1068"/>
          <w:jc w:val="center"/>
        </w:trPr>
        <w:tc>
          <w:tcPr>
            <w:tcW w:w="0" w:type="auto"/>
            <w:hideMark/>
          </w:tcPr>
          <w:p w14:paraId="1E4EA14B"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lastRenderedPageBreak/>
              <w:t>RLP</w:t>
            </w:r>
          </w:p>
        </w:tc>
        <w:tc>
          <w:tcPr>
            <w:tcW w:w="0" w:type="auto"/>
            <w:hideMark/>
          </w:tcPr>
          <w:p w14:paraId="498E8E3E"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Plants</w:t>
            </w:r>
          </w:p>
        </w:tc>
        <w:tc>
          <w:tcPr>
            <w:tcW w:w="0" w:type="auto"/>
            <w:hideMark/>
          </w:tcPr>
          <w:p w14:paraId="7CF3ABC0"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Co-receptors in immune signaling</w:t>
            </w:r>
          </w:p>
        </w:tc>
        <w:tc>
          <w:tcPr>
            <w:tcW w:w="0" w:type="auto"/>
            <w:hideMark/>
          </w:tcPr>
          <w:p w14:paraId="2B10CCAD"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Differential expression in infected tissues</w:t>
            </w:r>
          </w:p>
        </w:tc>
        <w:tc>
          <w:tcPr>
            <w:tcW w:w="0" w:type="auto"/>
            <w:hideMark/>
          </w:tcPr>
          <w:p w14:paraId="3E88E04A"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Functional validation via CRISPR knockout</w:t>
            </w:r>
          </w:p>
        </w:tc>
        <w:tc>
          <w:tcPr>
            <w:tcW w:w="0" w:type="auto"/>
          </w:tcPr>
          <w:p w14:paraId="24114FC0" w14:textId="413E3403"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fldChar w:fldCharType="begin"/>
            </w:r>
            <w:r w:rsidR="004942BD" w:rsidRPr="0066321E">
              <w:rPr>
                <w:rFonts w:ascii="Candara" w:eastAsia="Times New Roman" w:hAnsi="Candara" w:cs="Times New Roman"/>
                <w:sz w:val="20"/>
                <w:szCs w:val="20"/>
              </w:rPr>
              <w:instrText xml:space="preserve"> ADDIN EN.CITE &lt;EndNote&gt;&lt;Cite&gt;&lt;Author&gt;Gao&lt;/Author&gt;&lt;Year&gt;2025&lt;/Year&gt;&lt;RecNum&gt;18&lt;/RecNum&gt;&lt;DisplayText&gt;(Gao et al., 2025)&lt;/DisplayText&gt;&lt;record&gt;&lt;rec-number&gt;3&lt;/rec-number&gt;&lt;foreign-keys&gt;&lt;key app="EN" db-id="95ssws9phaeprxe29pup0erbd9atdzrtttfx" timestamp="1778838288"&gt;3&lt;/key&gt;&lt;/foreign-keys&gt;&lt;ref-type name="Journal Article"&gt;17&lt;/ref-type&gt;&lt;contributors&gt;&lt;authors&gt;&lt;author&gt;Gao, Chenfei&lt;/author&gt;&lt;author&gt;Chen, Jianping&lt;/author&gt;&lt;author&gt;Sun, Zongtao&lt;/author&gt;&lt;author&gt;Zhang, Hehong&lt;/author&gt;&lt;/authors&gt;&lt;/contributors&gt;&lt;titles&gt;&lt;title&gt;Emerging Roles of Receptor-Like Proteins in Plant Immunity: Crosstalk, Signalling Networks and Prospects for Disease Resistance Breeding&lt;/title&gt;&lt;secondary-title&gt;Molecular Plant Pathology&lt;/secondary-title&gt;&lt;/titles&gt;&lt;periodical&gt;&lt;full-title&gt;Molecular Plant Pathology&lt;/full-title&gt;&lt;/periodical&gt;&lt;pages&gt;e70167&lt;/pages&gt;&lt;volume&gt;26&lt;/volume&gt;&lt;number&gt;11&lt;/number&gt;&lt;dates&gt;&lt;year&gt;2025&lt;/year&gt;&lt;/dates&gt;&lt;isbn&gt;1464-6722&lt;/isbn&gt;&lt;urls&gt;&lt;related-urls&gt;&lt;url&gt;https://bsppjournals.onlinelibrary.wiley.com/doi/abs/10.1111/mpp.70167&lt;/url&gt;&lt;/related-urls&gt;&lt;/urls&gt;&lt;electronic-resource-num&gt;https://doi.org/10.1111/mpp.70167&lt;/electronic-resource-num&gt;&lt;/record&gt;&lt;/Cite&gt;&lt;/EndNote&gt;</w:instrText>
            </w:r>
            <w:r w:rsidRPr="0066321E">
              <w:rPr>
                <w:rFonts w:ascii="Candara" w:eastAsia="Times New Roman" w:hAnsi="Candara" w:cs="Times New Roman"/>
                <w:sz w:val="20"/>
                <w:szCs w:val="20"/>
              </w:rPr>
              <w:fldChar w:fldCharType="separate"/>
            </w:r>
            <w:r w:rsidRPr="0066321E">
              <w:rPr>
                <w:rFonts w:ascii="Candara" w:eastAsia="Times New Roman" w:hAnsi="Candara" w:cs="Times New Roman"/>
                <w:noProof/>
                <w:sz w:val="20"/>
                <w:szCs w:val="20"/>
              </w:rPr>
              <w:t>(Gao et al., 2025)</w:t>
            </w:r>
            <w:r w:rsidRPr="0066321E">
              <w:rPr>
                <w:rFonts w:ascii="Candara" w:eastAsia="Times New Roman" w:hAnsi="Candara" w:cs="Times New Roman"/>
                <w:sz w:val="20"/>
                <w:szCs w:val="20"/>
              </w:rPr>
              <w:fldChar w:fldCharType="end"/>
            </w:r>
          </w:p>
        </w:tc>
      </w:tr>
      <w:tr w:rsidR="007B656E" w:rsidRPr="0066321E" w14:paraId="61EA5F4A" w14:textId="77777777" w:rsidTr="00DF18C4">
        <w:trPr>
          <w:trHeight w:val="1068"/>
          <w:jc w:val="center"/>
        </w:trPr>
        <w:tc>
          <w:tcPr>
            <w:tcW w:w="0" w:type="auto"/>
            <w:hideMark/>
          </w:tcPr>
          <w:p w14:paraId="2D79228D"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PRRs</w:t>
            </w:r>
          </w:p>
        </w:tc>
        <w:tc>
          <w:tcPr>
            <w:tcW w:w="0" w:type="auto"/>
            <w:hideMark/>
          </w:tcPr>
          <w:p w14:paraId="1B2F4494"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Plants + Humans</w:t>
            </w:r>
          </w:p>
        </w:tc>
        <w:tc>
          <w:tcPr>
            <w:tcW w:w="0" w:type="auto"/>
            <w:hideMark/>
          </w:tcPr>
          <w:p w14:paraId="7F66B4EF"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Detect conserved pathogen motifs</w:t>
            </w:r>
          </w:p>
        </w:tc>
        <w:tc>
          <w:tcPr>
            <w:tcW w:w="0" w:type="auto"/>
            <w:hideMark/>
          </w:tcPr>
          <w:p w14:paraId="2238267E"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Hub genes in immune-related modules</w:t>
            </w:r>
          </w:p>
        </w:tc>
        <w:tc>
          <w:tcPr>
            <w:tcW w:w="0" w:type="auto"/>
            <w:hideMark/>
          </w:tcPr>
          <w:p w14:paraId="5F297861"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Editing improves immune sensitivity</w:t>
            </w:r>
          </w:p>
        </w:tc>
        <w:tc>
          <w:tcPr>
            <w:tcW w:w="0" w:type="auto"/>
          </w:tcPr>
          <w:p w14:paraId="54FBFB73" w14:textId="504B6CC6"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fldChar w:fldCharType="begin"/>
            </w:r>
            <w:r w:rsidR="004942BD" w:rsidRPr="0066321E">
              <w:rPr>
                <w:rFonts w:ascii="Candara" w:eastAsia="Times New Roman" w:hAnsi="Candara" w:cs="Times New Roman"/>
                <w:sz w:val="20"/>
                <w:szCs w:val="20"/>
              </w:rPr>
              <w:instrText xml:space="preserve"> ADDIN EN.CITE &lt;EndNote&gt;&lt;Cite&gt;&lt;Author&gt;Tiedje&lt;/Author&gt;&lt;Year&gt;2023&lt;/Year&gt;&lt;RecNum&gt;22&lt;/RecNum&gt;&lt;DisplayText&gt;(Tiedje et al., 2023)&lt;/DisplayText&gt;&lt;record&gt;&lt;rec-number&gt;4&lt;/rec-number&gt;&lt;foreign-keys&gt;&lt;key app="EN" db-id="95ssws9phaeprxe29pup0erbd9atdzrtttfx" timestamp="1778838288"&gt;4&lt;/key&gt;&lt;/foreign-keys&gt;&lt;ref-type name="Journal Article"&gt;17&lt;/ref-type&gt;&lt;contributors&gt;&lt;authors&gt;&lt;author&gt;Tiedje, James M.&lt;/author&gt;&lt;author&gt;Fu, Yuhao&lt;/author&gt;&lt;author&gt;Mei, Zhi&lt;/author&gt;&lt;author&gt;Schäffer, Andreas&lt;/author&gt;&lt;author&gt;Dou, Qingyuan&lt;/author&gt;&lt;author&gt;Amelung, Wulf&lt;/author&gt;&lt;author&gt;Elsner, Martin&lt;/author&gt;&lt;author&gt;Adu-Gyamfi, Joseph&lt;/author&gt;&lt;author&gt;Heng, Lee&lt;/author&gt;&lt;author&gt;Virta, Marko&lt;/author&gt;&lt;author&gt;Jiang, Xin&lt;/author&gt;&lt;author&gt;Smidt, Hauke&lt;/author&gt;&lt;author&gt;Topp, Edward&lt;/author&gt;&lt;author&gt;Wang, Fang&lt;/author&gt;&lt;/authors&gt;&lt;/contributors&gt;&lt;titles&gt;&lt;title&gt;Antibiotic resistance genes in food production systems support One Health opinions&lt;/title&gt;&lt;secondary-title&gt;Current Opinion in Environmental Science &amp;amp; Health&lt;/secondary-title&gt;&lt;/titles&gt;&lt;periodical&gt;&lt;full-title&gt;Current Opinion in Environmental Science &amp;amp; Health&lt;/full-title&gt;&lt;/periodical&gt;&lt;pages&gt;100492&lt;/pages&gt;&lt;volume&gt;34&lt;/volume&gt;&lt;keywords&gt;&lt;keyword&gt;Antibiotic resistance&lt;/keyword&gt;&lt;keyword&gt;Antibiotic-resistant bacteria&lt;/keyword&gt;&lt;keyword&gt;Food production&lt;/keyword&gt;&lt;keyword&gt;Food chain&lt;/keyword&gt;&lt;keyword&gt;One Health approach&lt;/keyword&gt;&lt;/keywords&gt;&lt;dates&gt;&lt;year&gt;2023&lt;/year&gt;&lt;pub-dates&gt;&lt;date&gt;2023/08/01/&lt;/date&gt;&lt;/pub-dates&gt;&lt;/dates&gt;&lt;isbn&gt;2468-5844&lt;/isbn&gt;&lt;urls&gt;&lt;related-urls&gt;&lt;url&gt;https://www.sciencedirect.com/science/article/pii/S2468584423000521&lt;/url&gt;&lt;/related-urls&gt;&lt;/urls&gt;&lt;electronic-resource-num&gt;https://doi.org/10.1016/j.coesh.2023.100492&lt;/electronic-resource-num&gt;&lt;/record&gt;&lt;/Cite&gt;&lt;/EndNote&gt;</w:instrText>
            </w:r>
            <w:r w:rsidRPr="0066321E">
              <w:rPr>
                <w:rFonts w:ascii="Candara" w:eastAsia="Times New Roman" w:hAnsi="Candara" w:cs="Times New Roman"/>
                <w:sz w:val="20"/>
                <w:szCs w:val="20"/>
              </w:rPr>
              <w:fldChar w:fldCharType="separate"/>
            </w:r>
            <w:r w:rsidRPr="0066321E">
              <w:rPr>
                <w:rFonts w:ascii="Candara" w:eastAsia="Times New Roman" w:hAnsi="Candara" w:cs="Times New Roman"/>
                <w:noProof/>
                <w:sz w:val="20"/>
                <w:szCs w:val="20"/>
              </w:rPr>
              <w:t>(Tiedje et al., 2023)</w:t>
            </w:r>
            <w:r w:rsidRPr="0066321E">
              <w:rPr>
                <w:rFonts w:ascii="Candara" w:eastAsia="Times New Roman" w:hAnsi="Candara" w:cs="Times New Roman"/>
                <w:sz w:val="20"/>
                <w:szCs w:val="20"/>
              </w:rPr>
              <w:fldChar w:fldCharType="end"/>
            </w:r>
          </w:p>
        </w:tc>
      </w:tr>
      <w:tr w:rsidR="007B656E" w:rsidRPr="0066321E" w14:paraId="32C1E083" w14:textId="77777777" w:rsidTr="00DF18C4">
        <w:trPr>
          <w:trHeight w:val="1335"/>
          <w:jc w:val="center"/>
        </w:trPr>
        <w:tc>
          <w:tcPr>
            <w:tcW w:w="0" w:type="auto"/>
            <w:hideMark/>
          </w:tcPr>
          <w:p w14:paraId="77568507"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MAPK cascade genes</w:t>
            </w:r>
          </w:p>
        </w:tc>
        <w:tc>
          <w:tcPr>
            <w:tcW w:w="0" w:type="auto"/>
            <w:hideMark/>
          </w:tcPr>
          <w:p w14:paraId="4D3A5401"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Plants + Humans</w:t>
            </w:r>
          </w:p>
        </w:tc>
        <w:tc>
          <w:tcPr>
            <w:tcW w:w="0" w:type="auto"/>
            <w:hideMark/>
          </w:tcPr>
          <w:p w14:paraId="51B58AF2"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Signal transduction amplification</w:t>
            </w:r>
          </w:p>
        </w:tc>
        <w:tc>
          <w:tcPr>
            <w:tcW w:w="0" w:type="auto"/>
            <w:hideMark/>
          </w:tcPr>
          <w:p w14:paraId="3CA044EC"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Enriched in DEG pathway analysis</w:t>
            </w:r>
          </w:p>
        </w:tc>
        <w:tc>
          <w:tcPr>
            <w:tcW w:w="0" w:type="auto"/>
            <w:hideMark/>
          </w:tcPr>
          <w:p w14:paraId="6B80F7DC"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Modulation alters defense intensity</w:t>
            </w:r>
          </w:p>
        </w:tc>
        <w:tc>
          <w:tcPr>
            <w:tcW w:w="0" w:type="auto"/>
          </w:tcPr>
          <w:p w14:paraId="4DB1A2DD" w14:textId="36E0A453"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fldChar w:fldCharType="begin"/>
            </w:r>
            <w:r w:rsidR="004942BD" w:rsidRPr="0066321E">
              <w:rPr>
                <w:rFonts w:ascii="Candara" w:eastAsia="Times New Roman" w:hAnsi="Candara" w:cs="Times New Roman"/>
                <w:sz w:val="20"/>
                <w:szCs w:val="20"/>
              </w:rPr>
              <w:instrText xml:space="preserve"> ADDIN EN.CITE &lt;EndNote&gt;&lt;Cite&gt;&lt;Author&gt;Ding&lt;/Author&gt;&lt;Year&gt;2022&lt;/Year&gt;&lt;RecNum&gt;23&lt;/RecNum&gt;&lt;DisplayText&gt;(Ding et al., 2022)&lt;/DisplayText&gt;&lt;record&gt;&lt;rec-number&gt;5&lt;/rec-number&gt;&lt;foreign-keys&gt;&lt;key app="EN" db-id="95ssws9phaeprxe29pup0erbd9atdzrtttfx" timestamp="1778838288"&gt;5&lt;/key&gt;&lt;/foreign-keys&gt;&lt;ref-type name="Journal Article"&gt;17&lt;/ref-type&gt;&lt;contributors&gt;&lt;authors&gt;&lt;author&gt;Ding, Li-Na&lt;/author&gt;&lt;author&gt;Li, Yue-Tao&lt;/author&gt;&lt;author&gt;Wu, Yuan-Zhen&lt;/author&gt;&lt;author&gt;Li, Teng&lt;/author&gt;&lt;author&gt;Geng, Rui&lt;/author&gt;&lt;author&gt;Cao, Jun&lt;/author&gt;&lt;author&gt;Zhang, Wei&lt;/author&gt;&lt;author&gt;Tan, Xiao-Li&lt;/author&gt;&lt;/authors&gt;&lt;/contributors&gt;&lt;titles&gt;&lt;title&gt;Plant Disease Resistance-Related Signaling Pathways: Recent Progress and Future Prospects&lt;/title&gt;&lt;secondary-title&gt;International Journal of Molecular Sciences&lt;/secondary-title&gt;&lt;/titles&gt;&lt;periodical&gt;&lt;full-title&gt;International Journal of Molecular Sciences&lt;/full-title&gt;&lt;/periodical&gt;&lt;pages&gt;16200&lt;/pages&gt;&lt;volume&gt;23&lt;/volume&gt;&lt;number&gt;24&lt;/number&gt;&lt;dates&gt;&lt;year&gt;2022&lt;/year&gt;&lt;/dates&gt;&lt;isbn&gt;1422-0067&lt;/isbn&gt;&lt;accession-num&gt;doi:10.3390/ijms232416200&lt;/accession-num&gt;&lt;urls&gt;&lt;related-urls&gt;&lt;url&gt;https://www.mdpi.com/1422-0067/23/24/16200&lt;/url&gt;&lt;/related-urls&gt;&lt;/urls&gt;&lt;/record&gt;&lt;/Cite&gt;&lt;/EndNote&gt;</w:instrText>
            </w:r>
            <w:r w:rsidRPr="0066321E">
              <w:rPr>
                <w:rFonts w:ascii="Candara" w:eastAsia="Times New Roman" w:hAnsi="Candara" w:cs="Times New Roman"/>
                <w:sz w:val="20"/>
                <w:szCs w:val="20"/>
              </w:rPr>
              <w:fldChar w:fldCharType="separate"/>
            </w:r>
            <w:r w:rsidRPr="0066321E">
              <w:rPr>
                <w:rFonts w:ascii="Candara" w:eastAsia="Times New Roman" w:hAnsi="Candara" w:cs="Times New Roman"/>
                <w:noProof/>
                <w:sz w:val="20"/>
                <w:szCs w:val="20"/>
              </w:rPr>
              <w:t>(Ding et al., 2022)</w:t>
            </w:r>
            <w:r w:rsidRPr="0066321E">
              <w:rPr>
                <w:rFonts w:ascii="Candara" w:eastAsia="Times New Roman" w:hAnsi="Candara" w:cs="Times New Roman"/>
                <w:sz w:val="20"/>
                <w:szCs w:val="20"/>
              </w:rPr>
              <w:fldChar w:fldCharType="end"/>
            </w:r>
          </w:p>
        </w:tc>
      </w:tr>
      <w:tr w:rsidR="007B656E" w:rsidRPr="0066321E" w14:paraId="4F6FFB57" w14:textId="77777777" w:rsidTr="00DF18C4">
        <w:trPr>
          <w:trHeight w:val="801"/>
          <w:jc w:val="center"/>
        </w:trPr>
        <w:tc>
          <w:tcPr>
            <w:tcW w:w="0" w:type="auto"/>
            <w:hideMark/>
          </w:tcPr>
          <w:p w14:paraId="52CECE77"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TLR</w:t>
            </w:r>
          </w:p>
        </w:tc>
        <w:tc>
          <w:tcPr>
            <w:tcW w:w="0" w:type="auto"/>
            <w:hideMark/>
          </w:tcPr>
          <w:p w14:paraId="62D39301"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Humans</w:t>
            </w:r>
          </w:p>
        </w:tc>
        <w:tc>
          <w:tcPr>
            <w:tcW w:w="0" w:type="auto"/>
            <w:hideMark/>
          </w:tcPr>
          <w:p w14:paraId="69BB7D27"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Innate immune activation</w:t>
            </w:r>
          </w:p>
        </w:tc>
        <w:tc>
          <w:tcPr>
            <w:tcW w:w="0" w:type="auto"/>
            <w:hideMark/>
          </w:tcPr>
          <w:p w14:paraId="58BD41AB"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Upregulated in infection transcriptomes</w:t>
            </w:r>
          </w:p>
        </w:tc>
        <w:tc>
          <w:tcPr>
            <w:tcW w:w="0" w:type="auto"/>
            <w:hideMark/>
          </w:tcPr>
          <w:p w14:paraId="6F8D2AAA"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Knockout used for mechanistic studies</w:t>
            </w:r>
          </w:p>
        </w:tc>
        <w:tc>
          <w:tcPr>
            <w:tcW w:w="0" w:type="auto"/>
          </w:tcPr>
          <w:p w14:paraId="15AAAB07" w14:textId="7F200E80"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fldChar w:fldCharType="begin"/>
            </w:r>
            <w:r w:rsidR="004942BD" w:rsidRPr="0066321E">
              <w:rPr>
                <w:rFonts w:ascii="Candara" w:eastAsia="Times New Roman" w:hAnsi="Candara" w:cs="Times New Roman"/>
                <w:sz w:val="20"/>
                <w:szCs w:val="20"/>
              </w:rPr>
              <w:instrText xml:space="preserve"> ADDIN EN.CITE &lt;EndNote&gt;&lt;Cite&gt;&lt;Author&gt;Man&lt;/Author&gt;&lt;Year&gt;2022&lt;/Year&gt;&lt;RecNum&gt;21&lt;/RecNum&gt;&lt;DisplayText&gt;(Man et al., 2022)&lt;/DisplayText&gt;&lt;record&gt;&lt;rec-number&gt;6&lt;/rec-number&gt;&lt;foreign-keys&gt;&lt;key app="EN" db-id="95ssws9phaeprxe29pup0erbd9atdzrtttfx" timestamp="1778838288"&gt;6&lt;/key&gt;&lt;/foreign-keys&gt;&lt;ref-type name="Journal Article"&gt;17&lt;/ref-type&gt;&lt;contributors&gt;&lt;authors&gt;&lt;author&gt;Man, Mingwu&lt;/author&gt;&lt;author&gt;Zhu, Yaqian&lt;/author&gt;&lt;author&gt;Liu, Lulu&lt;/author&gt;&lt;author&gt;Luo, Lei&lt;/author&gt;&lt;author&gt;Han, Xinpei&lt;/author&gt;&lt;author&gt;Qiu, Lu&lt;/author&gt;&lt;author&gt;Li, Fuguang&lt;/author&gt;&lt;author&gt;Ren, Maozhi&lt;/author&gt;&lt;author&gt;Xing, Yadi&lt;/author&gt;&lt;/authors&gt;&lt;/contributors&gt;&lt;titles&gt;&lt;title&gt;Defense Mechanisms of Cotton Fusarium and Verticillium Wilt and Comparison of Pathogenic Response in Cotton and Humans&lt;/title&gt;&lt;secondary-title&gt;International Journal of Molecular Sciences&lt;/secondary-title&gt;&lt;/titles&gt;&lt;periodical&gt;&lt;full-title&gt;International Journal of Molecular Sciences&lt;/full-title&gt;&lt;/periodical&gt;&lt;pages&gt;12217&lt;/pages&gt;&lt;volume&gt;23&lt;/volume&gt;&lt;number&gt;20&lt;/number&gt;&lt;dates&gt;&lt;year&gt;2022&lt;/year&gt;&lt;/dates&gt;&lt;isbn&gt;1422-0067&lt;/isbn&gt;&lt;accession-num&gt;doi:10.3390/ijms232012217&lt;/accession-num&gt;&lt;urls&gt;&lt;related-urls&gt;&lt;url&gt;https://www.mdpi.com/1422-0067/23/20/12217&lt;/url&gt;&lt;/related-urls&gt;&lt;/urls&gt;&lt;/record&gt;&lt;/Cite&gt;&lt;/EndNote&gt;</w:instrText>
            </w:r>
            <w:r w:rsidRPr="0066321E">
              <w:rPr>
                <w:rFonts w:ascii="Candara" w:eastAsia="Times New Roman" w:hAnsi="Candara" w:cs="Times New Roman"/>
                <w:sz w:val="20"/>
                <w:szCs w:val="20"/>
              </w:rPr>
              <w:fldChar w:fldCharType="separate"/>
            </w:r>
            <w:r w:rsidRPr="0066321E">
              <w:rPr>
                <w:rFonts w:ascii="Candara" w:eastAsia="Times New Roman" w:hAnsi="Candara" w:cs="Times New Roman"/>
                <w:noProof/>
                <w:sz w:val="20"/>
                <w:szCs w:val="20"/>
              </w:rPr>
              <w:t>(Man et al., 2022)</w:t>
            </w:r>
            <w:r w:rsidRPr="0066321E">
              <w:rPr>
                <w:rFonts w:ascii="Candara" w:eastAsia="Times New Roman" w:hAnsi="Candara" w:cs="Times New Roman"/>
                <w:sz w:val="20"/>
                <w:szCs w:val="20"/>
              </w:rPr>
              <w:fldChar w:fldCharType="end"/>
            </w:r>
          </w:p>
        </w:tc>
      </w:tr>
      <w:tr w:rsidR="007B656E" w:rsidRPr="0066321E" w14:paraId="089558C1" w14:textId="77777777" w:rsidTr="00DF18C4">
        <w:trPr>
          <w:trHeight w:val="1068"/>
          <w:jc w:val="center"/>
        </w:trPr>
        <w:tc>
          <w:tcPr>
            <w:tcW w:w="0" w:type="auto"/>
            <w:hideMark/>
          </w:tcPr>
          <w:p w14:paraId="160A239B"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WRKY transcription factors</w:t>
            </w:r>
          </w:p>
        </w:tc>
        <w:tc>
          <w:tcPr>
            <w:tcW w:w="0" w:type="auto"/>
            <w:hideMark/>
          </w:tcPr>
          <w:p w14:paraId="1E04B379"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Plants</w:t>
            </w:r>
          </w:p>
        </w:tc>
        <w:tc>
          <w:tcPr>
            <w:tcW w:w="0" w:type="auto"/>
            <w:hideMark/>
          </w:tcPr>
          <w:p w14:paraId="3565EB58" w14:textId="58F3166B"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Regulation of defense gene expression</w:t>
            </w:r>
          </w:p>
        </w:tc>
        <w:tc>
          <w:tcPr>
            <w:tcW w:w="0" w:type="auto"/>
            <w:hideMark/>
          </w:tcPr>
          <w:p w14:paraId="22026643"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Identified as hub genes in WGCNA modules</w:t>
            </w:r>
          </w:p>
        </w:tc>
        <w:tc>
          <w:tcPr>
            <w:tcW w:w="0" w:type="auto"/>
            <w:hideMark/>
          </w:tcPr>
          <w:p w14:paraId="5119E344" w14:textId="77777777"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Overexpression/knockout improves resistance</w:t>
            </w:r>
          </w:p>
        </w:tc>
        <w:tc>
          <w:tcPr>
            <w:tcW w:w="0" w:type="auto"/>
          </w:tcPr>
          <w:p w14:paraId="69309A1E" w14:textId="37257125" w:rsidR="007B656E" w:rsidRPr="0066321E" w:rsidRDefault="007B656E"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fldChar w:fldCharType="begin"/>
            </w:r>
            <w:r w:rsidR="004942BD" w:rsidRPr="0066321E">
              <w:rPr>
                <w:rFonts w:ascii="Candara" w:eastAsia="Times New Roman" w:hAnsi="Candara" w:cs="Times New Roman"/>
                <w:sz w:val="20"/>
                <w:szCs w:val="20"/>
              </w:rPr>
              <w:instrText xml:space="preserve"> ADDIN EN.CITE &lt;EndNote&gt;&lt;Cite&gt;&lt;Author&gt;Saha&lt;/Author&gt;&lt;Year&gt;2023&lt;/Year&gt;&lt;RecNum&gt;20&lt;/RecNum&gt;&lt;DisplayText&gt;(Saha et al., 2023)&lt;/DisplayText&gt;&lt;record&gt;&lt;rec-number&gt;7&lt;/rec-number&gt;&lt;foreign-keys&gt;&lt;key app="EN" db-id="95ssws9phaeprxe29pup0erbd9atdzrtttfx" timestamp="1778838288"&gt;7&lt;/key&gt;&lt;/foreign-keys&gt;&lt;ref-type name="Journal Article"&gt;17&lt;/ref-type&gt;&lt;contributors&gt;&lt;authors&gt;&lt;author&gt;Saha, Baisista&lt;/author&gt;&lt;author&gt;Nayak, Jagatjeet&lt;/author&gt;&lt;author&gt;Srivastava, Richa&lt;/author&gt;&lt;author&gt;Samal, Swarnmala&lt;/author&gt;&lt;author&gt;Kumar, Deepak&lt;/author&gt;&lt;author&gt;Chanwala, Jeky&lt;/author&gt;&lt;author&gt;Dey, Nrisingha&lt;/author&gt;&lt;author&gt;Giri, Mrunmay Kumar&lt;/author&gt;&lt;/authors&gt;&lt;/contributors&gt;&lt;titles&gt;&lt;title&gt;Unraveling the involvement of WRKY TFs in regulating plant disease defense signaling&lt;/title&gt;&lt;secondary-title&gt;Planta&lt;/secondary-title&gt;&lt;/titles&gt;&lt;periodical&gt;&lt;full-title&gt;Planta&lt;/full-title&gt;&lt;/periodical&gt;&lt;pages&gt;7&lt;/pages&gt;&lt;volume&gt;259&lt;/volume&gt;&lt;number&gt;1&lt;/number&gt;&lt;dates&gt;&lt;year&gt;2023&lt;/year&gt;&lt;pub-dates&gt;&lt;date&gt;2023/11/28&lt;/date&gt;&lt;/pub-dates&gt;&lt;/dates&gt;&lt;isbn&gt;1432-2048&lt;/isbn&gt;&lt;urls&gt;&lt;related-urls&gt;&lt;url&gt;https://doi.org/10.1007/s00425-023-04269-y&lt;/url&gt;&lt;/related-urls&gt;&lt;/urls&gt;&lt;electronic-resource-num&gt;10.1007/s00425-023-04269-y&lt;/electronic-resource-num&gt;&lt;/record&gt;&lt;/Cite&gt;&lt;/EndNote&gt;</w:instrText>
            </w:r>
            <w:r w:rsidRPr="0066321E">
              <w:rPr>
                <w:rFonts w:ascii="Candara" w:eastAsia="Times New Roman" w:hAnsi="Candara" w:cs="Times New Roman"/>
                <w:sz w:val="20"/>
                <w:szCs w:val="20"/>
              </w:rPr>
              <w:fldChar w:fldCharType="separate"/>
            </w:r>
            <w:r w:rsidRPr="0066321E">
              <w:rPr>
                <w:rFonts w:ascii="Candara" w:eastAsia="Times New Roman" w:hAnsi="Candara" w:cs="Times New Roman"/>
                <w:noProof/>
                <w:sz w:val="20"/>
                <w:szCs w:val="20"/>
              </w:rPr>
              <w:t>(Saha et al., 2023)</w:t>
            </w:r>
            <w:r w:rsidRPr="0066321E">
              <w:rPr>
                <w:rFonts w:ascii="Candara" w:eastAsia="Times New Roman" w:hAnsi="Candara" w:cs="Times New Roman"/>
                <w:sz w:val="20"/>
                <w:szCs w:val="20"/>
              </w:rPr>
              <w:fldChar w:fldCharType="end"/>
            </w:r>
          </w:p>
        </w:tc>
      </w:tr>
    </w:tbl>
    <w:p w14:paraId="2DD6B01C" w14:textId="77777777" w:rsidR="006B3A66" w:rsidRPr="0066321E" w:rsidRDefault="006B3A66" w:rsidP="0066321E">
      <w:pPr>
        <w:pStyle w:val="NormalWeb"/>
        <w:pBdr>
          <w:bottom w:val="single" w:sz="12" w:space="1" w:color="auto"/>
        </w:pBdr>
        <w:spacing w:before="0" w:beforeAutospacing="0" w:after="0" w:afterAutospacing="0"/>
        <w:jc w:val="both"/>
        <w:rPr>
          <w:rFonts w:ascii="Candara" w:hAnsi="Candara"/>
          <w:sz w:val="20"/>
          <w:szCs w:val="20"/>
        </w:rPr>
      </w:pPr>
      <w:r w:rsidRPr="0066321E">
        <w:rPr>
          <w:rFonts w:ascii="Candara" w:hAnsi="Candara"/>
          <w:sz w:val="20"/>
          <w:szCs w:val="20"/>
        </w:rPr>
        <w:t>NLR (Nucleotide binding Leucine rich Repeat), RLK (Receptor like Kinases), RLP (Receptor like Proteins) PRRs (Pattern Recognition Receptors), TLR (Toll like receptors)</w:t>
      </w:r>
    </w:p>
    <w:p w14:paraId="6685AA14" w14:textId="0AF7DDE5" w:rsidR="00DF18C4" w:rsidRPr="0066321E" w:rsidRDefault="00DF18C4" w:rsidP="0066321E">
      <w:pPr>
        <w:spacing w:after="0" w:line="240" w:lineRule="auto"/>
        <w:jc w:val="both"/>
        <w:rPr>
          <w:rFonts w:ascii="Candara" w:hAnsi="Candara" w:cs="Times New Roman"/>
          <w:sz w:val="20"/>
          <w:szCs w:val="20"/>
        </w:rPr>
      </w:pPr>
    </w:p>
    <w:p w14:paraId="2BD33DE3" w14:textId="51574439" w:rsidR="006B3A66" w:rsidRPr="0066321E" w:rsidRDefault="006B3A66"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Molecular Mechanisms of Resistance</w:t>
      </w:r>
    </w:p>
    <w:p w14:paraId="078AF695" w14:textId="086C4958" w:rsidR="00651BE1" w:rsidRPr="0066321E" w:rsidRDefault="006B3A66" w:rsidP="0066321E">
      <w:pPr>
        <w:spacing w:after="0" w:line="240" w:lineRule="auto"/>
        <w:jc w:val="both"/>
        <w:rPr>
          <w:rFonts w:ascii="Candara" w:hAnsi="Candara" w:cs="Times New Roman"/>
          <w:sz w:val="20"/>
          <w:szCs w:val="20"/>
        </w:rPr>
      </w:pPr>
      <w:r w:rsidRPr="0066321E">
        <w:rPr>
          <w:rFonts w:ascii="Candara" w:hAnsi="Candara" w:cs="Times New Roman"/>
          <w:sz w:val="20"/>
          <w:szCs w:val="20"/>
        </w:rPr>
        <w:t>Disease resistance unfolds as a tightly regulated sequence of molecular events beginning with pathogen recognition. Host cells detect conserved microbial signatu</w:t>
      </w:r>
      <w:r w:rsidR="00F3725B" w:rsidRPr="0066321E">
        <w:rPr>
          <w:rFonts w:ascii="Candara" w:hAnsi="Candara" w:cs="Times New Roman"/>
          <w:sz w:val="20"/>
          <w:szCs w:val="20"/>
        </w:rPr>
        <w:t xml:space="preserve">res, PAMPs or specific pathogen </w:t>
      </w:r>
      <w:r w:rsidRPr="0066321E">
        <w:rPr>
          <w:rFonts w:ascii="Candara" w:hAnsi="Candara" w:cs="Times New Roman"/>
          <w:sz w:val="20"/>
          <w:szCs w:val="20"/>
        </w:rPr>
        <w:t xml:space="preserve">derived effectors through PRRs and intracellular NLRs in plants, and through analogous innate immune receptors such as TLRs in animals (Yan Wang et al., 2022; Singh et al., 2025; Chen et al., 2025). Recognition triggers rapid signal transduction involving protein phosphorylation cascades, calcium influx, and reactive oxygen species (ROS) generation (Liu et al., 2025). In plants, phytohormones including salicylic acid, </w:t>
      </w:r>
      <w:proofErr w:type="spellStart"/>
      <w:r w:rsidRPr="0066321E">
        <w:rPr>
          <w:rFonts w:ascii="Candara" w:hAnsi="Candara" w:cs="Times New Roman"/>
          <w:sz w:val="20"/>
          <w:szCs w:val="20"/>
        </w:rPr>
        <w:t>jasmonic</w:t>
      </w:r>
      <w:proofErr w:type="spellEnd"/>
      <w:r w:rsidRPr="0066321E">
        <w:rPr>
          <w:rFonts w:ascii="Candara" w:hAnsi="Candara" w:cs="Times New Roman"/>
          <w:sz w:val="20"/>
          <w:szCs w:val="20"/>
        </w:rPr>
        <w:t xml:space="preserve"> acid, and ethylene modulate the immune response, with cytokine signaling playing a parallel coordinating role in animals (Nawaz et al., 2023). The fina</w:t>
      </w:r>
      <w:r w:rsidR="00F3725B" w:rsidRPr="0066321E">
        <w:rPr>
          <w:rFonts w:ascii="Candara" w:hAnsi="Candara" w:cs="Times New Roman"/>
          <w:sz w:val="20"/>
          <w:szCs w:val="20"/>
        </w:rPr>
        <w:t xml:space="preserve">l effector phase involves large </w:t>
      </w:r>
      <w:r w:rsidRPr="0066321E">
        <w:rPr>
          <w:rFonts w:ascii="Candara" w:hAnsi="Candara" w:cs="Times New Roman"/>
          <w:sz w:val="20"/>
          <w:szCs w:val="20"/>
        </w:rPr>
        <w:t>scale upregulation of defense genes, production of antimicrobial proteins and secondary metabolites, cell wall reinforcement, and induction of programmed cell death at infection sites; systemic signaling can further prime distal tissues for heightened resistance (Nabi et al., 2024).</w:t>
      </w:r>
    </w:p>
    <w:p w14:paraId="0DF5145A" w14:textId="4FF50DC5" w:rsidR="006B3A66" w:rsidRPr="0066321E" w:rsidRDefault="006B3A66"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Evolutionary Dynamics</w:t>
      </w:r>
    </w:p>
    <w:p w14:paraId="62CFBBED" w14:textId="37D63127" w:rsidR="006B3A66" w:rsidRPr="0066321E" w:rsidRDefault="006B3A66" w:rsidP="0066321E">
      <w:pPr>
        <w:spacing w:after="0" w:line="240" w:lineRule="auto"/>
        <w:jc w:val="both"/>
        <w:rPr>
          <w:rFonts w:ascii="Candara" w:eastAsia="Arial" w:hAnsi="Candara" w:cs="Times New Roman"/>
          <w:sz w:val="20"/>
          <w:szCs w:val="20"/>
        </w:rPr>
      </w:pPr>
      <w:r w:rsidRPr="0066321E">
        <w:rPr>
          <w:rFonts w:ascii="Candara" w:eastAsia="Arial" w:hAnsi="Candara" w:cs="Times New Roman"/>
          <w:sz w:val="20"/>
          <w:szCs w:val="20"/>
        </w:rPr>
        <w:t>Resistance genes evolve under intense and continuous selection pressure driven by co-evolutionary arms races with rapidly adapting pathogens (Hossain &amp; Chowdhury, 2024). Gene duplication generates expanded gene family copies that can diverge in recognition specificity over time (</w:t>
      </w:r>
      <w:proofErr w:type="spellStart"/>
      <w:r w:rsidRPr="0066321E">
        <w:rPr>
          <w:rFonts w:ascii="Candara" w:eastAsia="Arial" w:hAnsi="Candara" w:cs="Times New Roman"/>
          <w:sz w:val="20"/>
          <w:szCs w:val="20"/>
        </w:rPr>
        <w:t>Maddamsetti</w:t>
      </w:r>
      <w:proofErr w:type="spellEnd"/>
      <w:r w:rsidRPr="0066321E">
        <w:rPr>
          <w:rFonts w:ascii="Candara" w:eastAsia="Arial" w:hAnsi="Candara" w:cs="Times New Roman"/>
          <w:sz w:val="20"/>
          <w:szCs w:val="20"/>
        </w:rPr>
        <w:t xml:space="preserve"> et al., 202</w:t>
      </w:r>
      <w:r w:rsidR="004942BD" w:rsidRPr="0066321E">
        <w:rPr>
          <w:rFonts w:ascii="Candara" w:eastAsia="Arial" w:hAnsi="Candara" w:cs="Times New Roman"/>
          <w:sz w:val="20"/>
          <w:szCs w:val="20"/>
        </w:rPr>
        <w:t>4)</w:t>
      </w:r>
      <w:r w:rsidRPr="0066321E">
        <w:rPr>
          <w:rFonts w:ascii="Candara" w:eastAsia="Arial" w:hAnsi="Candara" w:cs="Times New Roman"/>
          <w:b/>
          <w:bCs/>
          <w:sz w:val="20"/>
          <w:szCs w:val="20"/>
        </w:rPr>
        <w:t>,</w:t>
      </w:r>
      <w:r w:rsidRPr="0066321E">
        <w:rPr>
          <w:rFonts w:ascii="Candara" w:eastAsia="Arial" w:hAnsi="Candara" w:cs="Times New Roman"/>
          <w:sz w:val="20"/>
          <w:szCs w:val="20"/>
        </w:rPr>
        <w:t xml:space="preserve"> while natural selection progressively retains beneficial alleles and eliminates </w:t>
      </w:r>
      <w:proofErr w:type="gramStart"/>
      <w:r w:rsidRPr="0066321E">
        <w:rPr>
          <w:rFonts w:ascii="Candara" w:eastAsia="Arial" w:hAnsi="Candara" w:cs="Times New Roman"/>
          <w:sz w:val="20"/>
          <w:szCs w:val="20"/>
        </w:rPr>
        <w:t>less</w:t>
      </w:r>
      <w:proofErr w:type="gramEnd"/>
      <w:r w:rsidRPr="0066321E">
        <w:rPr>
          <w:rFonts w:ascii="Candara" w:eastAsia="Arial" w:hAnsi="Candara" w:cs="Times New Roman"/>
          <w:sz w:val="20"/>
          <w:szCs w:val="20"/>
        </w:rPr>
        <w:t xml:space="preserve"> effective variants across generations (Arunkumar et al., 2023). This process produces highly polymorphic resistance gene families capable of responding to diverse pathogenic pressures. The resulting reciprocal adaptive innovations, new host defense mechanisms triggering new pathogen evasion strategies and vice versa, maintain the diversity and dynamism of resistance gene repertoires observed across plant and animal systems (Nordgren et al., 2026; Kong &amp; Yang, 2023).</w:t>
      </w:r>
    </w:p>
    <w:p w14:paraId="1D126899" w14:textId="77777777" w:rsidR="001C0751" w:rsidRPr="0066321E" w:rsidRDefault="001C0751"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Transcriptomics for Identification of Resistance Genes</w:t>
      </w:r>
    </w:p>
    <w:p w14:paraId="6B8F0667" w14:textId="66437857" w:rsidR="001C0751" w:rsidRPr="0066321E" w:rsidRDefault="001C0751"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Transcriptomics has proved one of the most effective methods of comprehending disease resistance mechanisms on genome wide basis. Transcriptomic technologies enable the researcher to obtain a comprehensive view of the global change in gene expression in response to pathogens or environmental stresses unlike traditional one gene at a time studies (Satrio et al., 2024). This system level viewpoint is especially critical to the resistance genes discovery endeavor since most defense mechanisms can be regulated by intricate gene networks and not individual genes. Transcriptomics offers firsthand information on the perception of organisms to stress and the way they respond to activate defense programs in actual </w:t>
      </w:r>
      <w:r w:rsidRPr="0066321E">
        <w:rPr>
          <w:rFonts w:ascii="Candara" w:hAnsi="Candara" w:cs="Times New Roman"/>
          <w:sz w:val="20"/>
          <w:szCs w:val="20"/>
        </w:rPr>
        <w:lastRenderedPageBreak/>
        <w:t xml:space="preserve">biological systems by comparing the expression profiles under various conditions (Rurek &amp; </w:t>
      </w:r>
      <w:proofErr w:type="spellStart"/>
      <w:r w:rsidRPr="0066321E">
        <w:rPr>
          <w:rFonts w:ascii="Candara" w:hAnsi="Candara" w:cs="Times New Roman"/>
          <w:sz w:val="20"/>
          <w:szCs w:val="20"/>
        </w:rPr>
        <w:t>Smolibowski</w:t>
      </w:r>
      <w:proofErr w:type="spellEnd"/>
      <w:r w:rsidRPr="0066321E">
        <w:rPr>
          <w:rFonts w:ascii="Candara" w:hAnsi="Candara" w:cs="Times New Roman"/>
          <w:sz w:val="20"/>
          <w:szCs w:val="20"/>
        </w:rPr>
        <w:t>, 2024).</w:t>
      </w:r>
    </w:p>
    <w:p w14:paraId="0B1B7A18" w14:textId="06274C2D" w:rsidR="001C0751" w:rsidRPr="0066321E" w:rsidRDefault="001C0751"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RNA-seq and Differential Gene Expression Analysis</w:t>
      </w:r>
    </w:p>
    <w:p w14:paraId="5F9A4D97" w14:textId="0CAB2821" w:rsidR="001C0751" w:rsidRPr="0066321E" w:rsidRDefault="00FF036F"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RNA sequencing has become the primary method for profiling the molecular basis of disease responses. Its ability to simultaneously capture </w:t>
      </w:r>
      <w:r w:rsidR="00F3725B" w:rsidRPr="0066321E">
        <w:rPr>
          <w:rFonts w:ascii="Candara" w:hAnsi="Candara" w:cs="Times New Roman"/>
          <w:sz w:val="20"/>
          <w:szCs w:val="20"/>
        </w:rPr>
        <w:t xml:space="preserve">transcriptome </w:t>
      </w:r>
      <w:r w:rsidRPr="0066321E">
        <w:rPr>
          <w:rFonts w:ascii="Candara" w:hAnsi="Candara" w:cs="Times New Roman"/>
          <w:sz w:val="20"/>
          <w:szCs w:val="20"/>
        </w:rPr>
        <w:t>wide activity enables investigators to compare expression landscapes between control and infected or stressed samples, identifying genes specifically activated or repressed during pathogen attack, many of which are directly implicated in defense mechanisms (Kido et al., 2022; Sáez et al., 2022). Differential gene expression (DEG) analysis pipelines process raw sequencing data through quality control, reference genome alignment, transcript quantification, and statistical modeling correcting for sequencing depth and batch variability to yield lists of significantly altered genes (Choudhary et al., 2022; Costa-Silva et al., 2023; Nixon et al., 2025). Strongly upregulated genes commonly reflect defense activation processes, pathogen recognition, signal initiation, protective compound biosynthesis, while downregulated genes may indicate metabolic reallocation under stress (</w:t>
      </w:r>
      <w:proofErr w:type="spellStart"/>
      <w:r w:rsidRPr="0066321E">
        <w:rPr>
          <w:rFonts w:ascii="Candara" w:hAnsi="Candara" w:cs="Times New Roman"/>
          <w:sz w:val="20"/>
          <w:szCs w:val="20"/>
        </w:rPr>
        <w:t>Kambona</w:t>
      </w:r>
      <w:proofErr w:type="spellEnd"/>
      <w:r w:rsidRPr="0066321E">
        <w:rPr>
          <w:rFonts w:ascii="Candara" w:hAnsi="Candara" w:cs="Times New Roman"/>
          <w:sz w:val="20"/>
          <w:szCs w:val="20"/>
        </w:rPr>
        <w:t xml:space="preserve"> et al., 2023; Sheet et al., 2024).</w:t>
      </w:r>
    </w:p>
    <w:p w14:paraId="5C14AA0F" w14:textId="77777777" w:rsidR="00FF036F" w:rsidRPr="0066321E" w:rsidRDefault="00FF036F" w:rsidP="0066321E">
      <w:pPr>
        <w:keepNext/>
        <w:spacing w:after="0" w:line="240" w:lineRule="auto"/>
        <w:jc w:val="both"/>
        <w:rPr>
          <w:rFonts w:ascii="Candara" w:hAnsi="Candara" w:cs="Times New Roman"/>
          <w:sz w:val="20"/>
          <w:szCs w:val="20"/>
        </w:rPr>
      </w:pPr>
      <w:r w:rsidRPr="0066321E">
        <w:rPr>
          <w:rFonts w:ascii="Candara" w:hAnsi="Candara" w:cs="Times New Roman"/>
          <w:noProof/>
          <w:sz w:val="20"/>
          <w:szCs w:val="20"/>
        </w:rPr>
        <w:drawing>
          <wp:inline distT="0" distB="0" distL="0" distR="0" wp14:anchorId="39B6F6DB" wp14:editId="399FAD3C">
            <wp:extent cx="5731510" cy="2848802"/>
            <wp:effectExtent l="0" t="0" r="2540" b="8890"/>
            <wp:docPr id="11488612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861241" name="Picture 1148861241"/>
                    <pic:cNvPicPr/>
                  </pic:nvPicPr>
                  <pic:blipFill rotWithShape="1">
                    <a:blip r:embed="rId4" cstate="print">
                      <a:extLst>
                        <a:ext uri="{28A0092B-C50C-407E-A947-70E740481C1C}">
                          <a14:useLocalDpi xmlns:a14="http://schemas.microsoft.com/office/drawing/2010/main" val="0"/>
                        </a:ext>
                      </a:extLst>
                    </a:blip>
                    <a:srcRect l="4652" t="9542" r="3918" b="9669"/>
                    <a:stretch>
                      <a:fillRect/>
                    </a:stretch>
                  </pic:blipFill>
                  <pic:spPr bwMode="auto">
                    <a:xfrm>
                      <a:off x="0" y="0"/>
                      <a:ext cx="5731510" cy="2848802"/>
                    </a:xfrm>
                    <a:prstGeom prst="rect">
                      <a:avLst/>
                    </a:prstGeom>
                    <a:ln>
                      <a:noFill/>
                    </a:ln>
                    <a:extLst>
                      <a:ext uri="{53640926-AAD7-44D8-BBD7-CCE9431645EC}">
                        <a14:shadowObscured xmlns:a14="http://schemas.microsoft.com/office/drawing/2010/main"/>
                      </a:ext>
                    </a:extLst>
                  </pic:spPr>
                </pic:pic>
              </a:graphicData>
            </a:graphic>
          </wp:inline>
        </w:drawing>
      </w:r>
    </w:p>
    <w:p w14:paraId="1AE301BB" w14:textId="103E8575" w:rsidR="00FF036F" w:rsidRPr="0066321E" w:rsidRDefault="00FF036F" w:rsidP="0066321E">
      <w:pPr>
        <w:pStyle w:val="Caption"/>
        <w:spacing w:after="0"/>
        <w:jc w:val="both"/>
        <w:rPr>
          <w:rFonts w:ascii="Candara" w:hAnsi="Candara" w:cs="Times New Roman"/>
          <w:sz w:val="20"/>
          <w:szCs w:val="20"/>
        </w:rPr>
      </w:pPr>
      <w:r w:rsidRPr="0066321E">
        <w:rPr>
          <w:rFonts w:ascii="Candara" w:hAnsi="Candara" w:cs="Times New Roman"/>
          <w:b/>
          <w:bCs/>
          <w:color w:val="auto"/>
          <w:sz w:val="20"/>
          <w:szCs w:val="20"/>
        </w:rPr>
        <w:t xml:space="preserve">Figure </w:t>
      </w:r>
      <w:r w:rsidRPr="0066321E">
        <w:rPr>
          <w:rFonts w:ascii="Candara" w:hAnsi="Candara" w:cs="Times New Roman"/>
          <w:b/>
          <w:bCs/>
          <w:color w:val="auto"/>
          <w:sz w:val="20"/>
          <w:szCs w:val="20"/>
        </w:rPr>
        <w:fldChar w:fldCharType="begin"/>
      </w:r>
      <w:r w:rsidRPr="0066321E">
        <w:rPr>
          <w:rFonts w:ascii="Candara" w:hAnsi="Candara" w:cs="Times New Roman"/>
          <w:b/>
          <w:bCs/>
          <w:color w:val="auto"/>
          <w:sz w:val="20"/>
          <w:szCs w:val="20"/>
        </w:rPr>
        <w:instrText xml:space="preserve"> SEQ Figure \* ARABIC </w:instrText>
      </w:r>
      <w:r w:rsidRPr="0066321E">
        <w:rPr>
          <w:rFonts w:ascii="Candara" w:hAnsi="Candara" w:cs="Times New Roman"/>
          <w:b/>
          <w:bCs/>
          <w:color w:val="auto"/>
          <w:sz w:val="20"/>
          <w:szCs w:val="20"/>
        </w:rPr>
        <w:fldChar w:fldCharType="separate"/>
      </w:r>
      <w:r w:rsidRPr="0066321E">
        <w:rPr>
          <w:rFonts w:ascii="Candara" w:hAnsi="Candara" w:cs="Times New Roman"/>
          <w:b/>
          <w:bCs/>
          <w:noProof/>
          <w:color w:val="auto"/>
          <w:sz w:val="20"/>
          <w:szCs w:val="20"/>
        </w:rPr>
        <w:t>1</w:t>
      </w:r>
      <w:r w:rsidRPr="0066321E">
        <w:rPr>
          <w:rFonts w:ascii="Candara" w:hAnsi="Candara" w:cs="Times New Roman"/>
          <w:b/>
          <w:bCs/>
          <w:color w:val="auto"/>
          <w:sz w:val="20"/>
          <w:szCs w:val="20"/>
        </w:rPr>
        <w:fldChar w:fldCharType="end"/>
      </w:r>
      <w:r w:rsidRPr="0066321E">
        <w:rPr>
          <w:rFonts w:ascii="Candara" w:hAnsi="Candara" w:cs="Times New Roman"/>
          <w:b/>
          <w:bCs/>
          <w:color w:val="auto"/>
          <w:sz w:val="20"/>
          <w:szCs w:val="20"/>
        </w:rPr>
        <w:t>.</w:t>
      </w:r>
      <w:r w:rsidRPr="0066321E">
        <w:rPr>
          <w:rFonts w:ascii="Candara" w:hAnsi="Candara" w:cs="Times New Roman"/>
          <w:color w:val="auto"/>
          <w:sz w:val="20"/>
          <w:szCs w:val="20"/>
        </w:rPr>
        <w:t xml:space="preserve"> </w:t>
      </w:r>
      <w:r w:rsidRPr="0066321E">
        <w:rPr>
          <w:rFonts w:ascii="Candara" w:hAnsi="Candara" w:cs="Times New Roman"/>
          <w:i w:val="0"/>
          <w:iCs w:val="0"/>
          <w:color w:val="auto"/>
          <w:sz w:val="20"/>
          <w:szCs w:val="20"/>
        </w:rPr>
        <w:t>Integrative Pipeline for RNA-seq and DEG Analysis</w:t>
      </w:r>
    </w:p>
    <w:p w14:paraId="252FBEC5" w14:textId="72BE037A" w:rsidR="006B3A66" w:rsidRPr="0066321E" w:rsidRDefault="00EB5832" w:rsidP="0066321E">
      <w:pPr>
        <w:spacing w:after="0" w:line="240" w:lineRule="auto"/>
        <w:jc w:val="both"/>
        <w:rPr>
          <w:rFonts w:ascii="Candara" w:hAnsi="Candara" w:cs="Times New Roman"/>
          <w:sz w:val="20"/>
          <w:szCs w:val="20"/>
        </w:rPr>
      </w:pPr>
      <w:r w:rsidRPr="0066321E">
        <w:rPr>
          <w:rFonts w:ascii="Candara" w:hAnsi="Candara" w:cs="Times New Roman"/>
          <w:sz w:val="20"/>
          <w:szCs w:val="20"/>
        </w:rPr>
        <w:t>Figure 1 illustrates the i</w:t>
      </w:r>
      <w:r w:rsidR="00F57A5D" w:rsidRPr="0066321E">
        <w:rPr>
          <w:rFonts w:ascii="Candara" w:hAnsi="Candara" w:cs="Times New Roman"/>
          <w:sz w:val="20"/>
          <w:szCs w:val="20"/>
        </w:rPr>
        <w:t xml:space="preserve">ntegrative workflow for RNA-seq </w:t>
      </w:r>
      <w:r w:rsidRPr="0066321E">
        <w:rPr>
          <w:rFonts w:ascii="Candara" w:hAnsi="Candara" w:cs="Times New Roman"/>
          <w:sz w:val="20"/>
          <w:szCs w:val="20"/>
        </w:rPr>
        <w:t>based differential gene expression analysis. The process begins with sample collection, consisting of one control group and one treatment group, followed by RNA extraction and sequencing. Raw sequencing data are then subjected to data processing steps, including quality control and read alignment. Subsequently, DEG analysis is performed to identify significantly upregulated and downregulated genes between the two conditions. Finally, the results are visualized using approaches such as heatmaps and volcano plots to facilitate interpretation of gene expression patterns and biological differences between the samples.</w:t>
      </w:r>
    </w:p>
    <w:p w14:paraId="2FCAD93A"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Co-expression Network Analysis</w:t>
      </w:r>
    </w:p>
    <w:p w14:paraId="4FFBCD3A" w14:textId="0234BC05"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Co-expression network analysis extends DEG studies by identifying groups of genes with coordinated expression patterns across conditions, revealing functional relationships that individual gene lists cannot capture, particularly valuable in the context of immune and stress responses governed by complex gene networks (</w:t>
      </w:r>
      <w:proofErr w:type="spellStart"/>
      <w:r w:rsidRPr="0066321E">
        <w:rPr>
          <w:rFonts w:ascii="Candara" w:hAnsi="Candara" w:cs="Times New Roman"/>
          <w:sz w:val="20"/>
          <w:szCs w:val="20"/>
        </w:rPr>
        <w:t>Patowary</w:t>
      </w:r>
      <w:proofErr w:type="spellEnd"/>
      <w:r w:rsidRPr="0066321E">
        <w:rPr>
          <w:rFonts w:ascii="Candara" w:hAnsi="Candara" w:cs="Times New Roman"/>
          <w:sz w:val="20"/>
          <w:szCs w:val="20"/>
        </w:rPr>
        <w:t xml:space="preserve"> </w:t>
      </w:r>
      <w:r w:rsidR="00F3725B" w:rsidRPr="0066321E">
        <w:rPr>
          <w:rFonts w:ascii="Candara" w:hAnsi="Candara" w:cs="Times New Roman"/>
          <w:sz w:val="20"/>
          <w:szCs w:val="20"/>
        </w:rPr>
        <w:t>et al., 2025). Weighted Gene Co-</w:t>
      </w:r>
      <w:r w:rsidRPr="0066321E">
        <w:rPr>
          <w:rFonts w:ascii="Candara" w:hAnsi="Candara" w:cs="Times New Roman"/>
          <w:sz w:val="20"/>
          <w:szCs w:val="20"/>
        </w:rPr>
        <w:t>expression Network Analysis (WGCNA) is the most widely applied framework, clustering genes into modules that correlate with biological traits such as disease presence or resistance level to identify the most relevant groups (</w:t>
      </w:r>
      <w:proofErr w:type="spellStart"/>
      <w:r w:rsidRPr="0066321E">
        <w:rPr>
          <w:rFonts w:ascii="Candara" w:hAnsi="Candara" w:cs="Times New Roman"/>
          <w:sz w:val="20"/>
          <w:szCs w:val="20"/>
        </w:rPr>
        <w:t>Delplace</w:t>
      </w:r>
      <w:proofErr w:type="spellEnd"/>
      <w:r w:rsidRPr="0066321E">
        <w:rPr>
          <w:rFonts w:ascii="Candara" w:hAnsi="Candara" w:cs="Times New Roman"/>
          <w:sz w:val="20"/>
          <w:szCs w:val="20"/>
        </w:rPr>
        <w:t xml:space="preserve"> et al., 2022). Within these modules, hub genes, defined by high connectivity to other module members, are considered master regulators of resistance pathways and prioritized as candidates for functional testing and genome editing (Hou et al., 2022).</w:t>
      </w:r>
    </w:p>
    <w:p w14:paraId="09FD08A2"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Single-cell and Spatial Transcriptomics</w:t>
      </w:r>
    </w:p>
    <w:p w14:paraId="148AB2EE" w14:textId="7215BF4E"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Single-cell transcriptomics has transformed the study of disease resistance by resolving gene expression at the level of individual cells, overcoming the averaging effect of bulk RNA-seq that obscures biologically meaningful variation between cell types (Zhou et al., 2023). This resolution is essential for understanding how specific cell populations initiate effector mechanisms while others serve supportive or bystander roles a dimension of immune complexity invisible to conventional transcriptomic approaches (Delannoy et al., </w:t>
      </w:r>
      <w:r w:rsidRPr="0066321E">
        <w:rPr>
          <w:rFonts w:ascii="Candara" w:hAnsi="Candara" w:cs="Times New Roman"/>
          <w:sz w:val="20"/>
          <w:szCs w:val="20"/>
        </w:rPr>
        <w:lastRenderedPageBreak/>
        <w:t xml:space="preserve">2023; Soni &amp; Pandey, 2024). Spatial transcriptomics further enriches this picture by preserving the positional context of gene expression within tissues, enabling mapping of resistance gene activity across different tissue zones during infection and providing insight into how immune responses are organized spatially (Gulati et al., 2025; </w:t>
      </w:r>
      <w:proofErr w:type="spellStart"/>
      <w:r w:rsidRPr="0066321E">
        <w:rPr>
          <w:rFonts w:ascii="Candara" w:hAnsi="Candara" w:cs="Times New Roman"/>
          <w:sz w:val="20"/>
          <w:szCs w:val="20"/>
        </w:rPr>
        <w:t>Thingujam</w:t>
      </w:r>
      <w:proofErr w:type="spellEnd"/>
      <w:r w:rsidRPr="0066321E">
        <w:rPr>
          <w:rFonts w:ascii="Candara" w:hAnsi="Candara" w:cs="Times New Roman"/>
          <w:sz w:val="20"/>
          <w:szCs w:val="20"/>
        </w:rPr>
        <w:t xml:space="preserve"> et al., 2026; Zhou et al., 2023).</w:t>
      </w:r>
    </w:p>
    <w:p w14:paraId="27FF13ED"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Functional Annotation and Pathway Enrichment</w:t>
      </w:r>
    </w:p>
    <w:p w14:paraId="0E0026D2" w14:textId="6A6893AA"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Converting large DEG lists into biological insight requires systematic functional annotation. Gene Ontology (GO) analysis classifies genes by biological process, molecular function, and cellular component, helping contextualize discovered genes within immune signaling, stress response, or metabolic categories (</w:t>
      </w:r>
      <w:proofErr w:type="spellStart"/>
      <w:r w:rsidRPr="0066321E">
        <w:rPr>
          <w:rFonts w:ascii="Candara" w:hAnsi="Candara" w:cs="Times New Roman"/>
          <w:sz w:val="20"/>
          <w:szCs w:val="20"/>
        </w:rPr>
        <w:t>Ersoz</w:t>
      </w:r>
      <w:proofErr w:type="spellEnd"/>
      <w:r w:rsidRPr="0066321E">
        <w:rPr>
          <w:rFonts w:ascii="Candara" w:hAnsi="Candara" w:cs="Times New Roman"/>
          <w:sz w:val="20"/>
          <w:szCs w:val="20"/>
        </w:rPr>
        <w:t xml:space="preserve"> et al., 2023; Lu et al., 2023). KEGG pathway analysis maps genes onto known coordinated networks, immune signaling cascades, hormone regulatory systems, stress response </w:t>
      </w:r>
      <w:r w:rsidR="004533E1" w:rsidRPr="0066321E">
        <w:rPr>
          <w:rFonts w:ascii="Candara" w:hAnsi="Candara" w:cs="Times New Roman"/>
          <w:sz w:val="20"/>
          <w:szCs w:val="20"/>
        </w:rPr>
        <w:t>pathways, that</w:t>
      </w:r>
      <w:r w:rsidRPr="0066321E">
        <w:rPr>
          <w:rFonts w:ascii="Candara" w:hAnsi="Candara" w:cs="Times New Roman"/>
          <w:sz w:val="20"/>
          <w:szCs w:val="20"/>
        </w:rPr>
        <w:t xml:space="preserve"> are central to disease resistance (Chowdhury &amp; Vijaykumar, 2025). Visualization tools such as </w:t>
      </w:r>
      <w:proofErr w:type="spellStart"/>
      <w:r w:rsidRPr="0066321E">
        <w:rPr>
          <w:rFonts w:ascii="Candara" w:hAnsi="Candara" w:cs="Times New Roman"/>
          <w:sz w:val="20"/>
          <w:szCs w:val="20"/>
        </w:rPr>
        <w:t>MapMan</w:t>
      </w:r>
      <w:proofErr w:type="spellEnd"/>
      <w:r w:rsidRPr="0066321E">
        <w:rPr>
          <w:rFonts w:ascii="Candara" w:hAnsi="Candara" w:cs="Times New Roman"/>
          <w:sz w:val="20"/>
          <w:szCs w:val="20"/>
        </w:rPr>
        <w:t xml:space="preserve"> further simplify interpretation of complex transcriptomic datasets. Collectively, these approaches move analysis beyond gene identification toward understanding the large-scale biological systems governing resistance responses (Manzoor et al., 2025).</w:t>
      </w:r>
    </w:p>
    <w:p w14:paraId="36DE03CE"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Multi-condition and Time-resolved Transcriptomic Integration</w:t>
      </w:r>
    </w:p>
    <w:p w14:paraId="3A1D8FE0" w14:textId="72708DFB"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Integrating transcriptomic data across multiple conditions provides richer insight into resistance mechanisms t</w:t>
      </w:r>
      <w:r w:rsidR="00F3725B" w:rsidRPr="0066321E">
        <w:rPr>
          <w:rFonts w:ascii="Candara" w:hAnsi="Candara" w:cs="Times New Roman"/>
          <w:sz w:val="20"/>
          <w:szCs w:val="20"/>
        </w:rPr>
        <w:t xml:space="preserve">han single </w:t>
      </w:r>
      <w:r w:rsidRPr="0066321E">
        <w:rPr>
          <w:rFonts w:ascii="Candara" w:hAnsi="Candara" w:cs="Times New Roman"/>
          <w:sz w:val="20"/>
          <w:szCs w:val="20"/>
        </w:rPr>
        <w:t xml:space="preserve">condition studies. Combining biotic stress datasets (pathogen infections) with abiotic stress data (drought, heat, salinity) reveal genes responsive to multiple stressor types, likely serving as core regulatory hubs, and distinguishes broadly stress-responsive genes from those specific to a given defense context (Shikha Dixit et al., 2024; </w:t>
      </w:r>
      <w:proofErr w:type="spellStart"/>
      <w:r w:rsidRPr="0066321E">
        <w:rPr>
          <w:rFonts w:ascii="Candara" w:hAnsi="Candara" w:cs="Times New Roman"/>
          <w:sz w:val="20"/>
          <w:szCs w:val="20"/>
        </w:rPr>
        <w:t>Patanita</w:t>
      </w:r>
      <w:proofErr w:type="spellEnd"/>
      <w:r w:rsidRPr="0066321E">
        <w:rPr>
          <w:rFonts w:ascii="Candara" w:hAnsi="Candara" w:cs="Times New Roman"/>
          <w:sz w:val="20"/>
          <w:szCs w:val="20"/>
        </w:rPr>
        <w:t xml:space="preserve"> et al.,</w:t>
      </w:r>
      <w:r w:rsidR="00F3725B" w:rsidRPr="0066321E">
        <w:rPr>
          <w:rFonts w:ascii="Candara" w:hAnsi="Candara" w:cs="Times New Roman"/>
          <w:sz w:val="20"/>
          <w:szCs w:val="20"/>
        </w:rPr>
        <w:t xml:space="preserve"> 2025; Xuan et al., 2023). Time </w:t>
      </w:r>
      <w:r w:rsidRPr="0066321E">
        <w:rPr>
          <w:rFonts w:ascii="Candara" w:hAnsi="Candara" w:cs="Times New Roman"/>
          <w:sz w:val="20"/>
          <w:szCs w:val="20"/>
        </w:rPr>
        <w:t>course transcriptomics adds a temporal dimension, uncovering genes driving early pathogen recognition and rapid signaling versus those mediating sustained defense, repair, and cellular recovery at later stages (Nayak et al., 2024; Wu et al., 2022). Together, multi-condition and time-resolved datasets enable construction of dynamic gene regulatory networks that capture the sequential an</w:t>
      </w:r>
      <w:r w:rsidR="00F3725B" w:rsidRPr="0066321E">
        <w:rPr>
          <w:rFonts w:ascii="Candara" w:hAnsi="Candara" w:cs="Times New Roman"/>
          <w:sz w:val="20"/>
          <w:szCs w:val="20"/>
        </w:rPr>
        <w:t xml:space="preserve">d integrated nature of organism </w:t>
      </w:r>
      <w:r w:rsidRPr="0066321E">
        <w:rPr>
          <w:rFonts w:ascii="Candara" w:hAnsi="Candara" w:cs="Times New Roman"/>
          <w:sz w:val="20"/>
          <w:szCs w:val="20"/>
        </w:rPr>
        <w:t>level responses to environmental and pathogenic challenges (</w:t>
      </w:r>
      <w:proofErr w:type="spellStart"/>
      <w:r w:rsidRPr="0066321E">
        <w:rPr>
          <w:rFonts w:ascii="Candara" w:hAnsi="Candara" w:cs="Times New Roman"/>
          <w:sz w:val="20"/>
          <w:szCs w:val="20"/>
        </w:rPr>
        <w:t>Maizels</w:t>
      </w:r>
      <w:proofErr w:type="spellEnd"/>
      <w:r w:rsidRPr="0066321E">
        <w:rPr>
          <w:rFonts w:ascii="Candara" w:hAnsi="Candara" w:cs="Times New Roman"/>
          <w:sz w:val="20"/>
          <w:szCs w:val="20"/>
        </w:rPr>
        <w:t xml:space="preserve"> &amp; Briscoe, 2026).</w:t>
      </w:r>
    </w:p>
    <w:p w14:paraId="43033771"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Prioritization of Candidate Disease Resistance Genes</w:t>
      </w:r>
    </w:p>
    <w:p w14:paraId="6D72B534" w14:textId="77777777"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The large gene pools produced by transcriptomic analyses necessitate rigorous prioritization to focus downstream resources on the most functionally relevant candidates. Not all differentially expressed genes contribute equally to resistance; effective prioritization combines expression-based, network-based, and multi-omics criteria to distinguish bona fide regulatory genes from background noise (Masoodi et al., 2022; Perrone et al., 2024).</w:t>
      </w:r>
    </w:p>
    <w:p w14:paraId="649E6CD9" w14:textId="6B32C671"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Expression fold change provides a primary filter, identifying genes most actively responding during pathogen challenge. Strongly upregulated genes associated with defense activation and strongly downregulated genes reflecting metabolic reallocation both warrant further investigation (Das et al., 2024; Saha et al., 2023). However, high fold change alone is insufficient, as some strongly responsive genes may be indirectly affected by stress rather than functionally central to resistance (Dorostkar et al., 2022). Network centrality from co-expression analysis identifies hub genes occupying key </w:t>
      </w:r>
      <w:r w:rsidR="00F3725B" w:rsidRPr="0066321E">
        <w:rPr>
          <w:rFonts w:ascii="Candara" w:hAnsi="Candara" w:cs="Times New Roman"/>
          <w:sz w:val="20"/>
          <w:szCs w:val="20"/>
        </w:rPr>
        <w:t xml:space="preserve">regulatory positions in defense </w:t>
      </w:r>
      <w:r w:rsidRPr="0066321E">
        <w:rPr>
          <w:rFonts w:ascii="Candara" w:hAnsi="Candara" w:cs="Times New Roman"/>
          <w:sz w:val="20"/>
          <w:szCs w:val="20"/>
        </w:rPr>
        <w:t>related modules, while pathway involvement ensures that selected candidates are conn</w:t>
      </w:r>
      <w:r w:rsidR="00F3725B" w:rsidRPr="0066321E">
        <w:rPr>
          <w:rFonts w:ascii="Candara" w:hAnsi="Candara" w:cs="Times New Roman"/>
          <w:sz w:val="20"/>
          <w:szCs w:val="20"/>
        </w:rPr>
        <w:t xml:space="preserve">ected to established resistance </w:t>
      </w:r>
      <w:r w:rsidRPr="0066321E">
        <w:rPr>
          <w:rFonts w:ascii="Candara" w:hAnsi="Candara" w:cs="Times New Roman"/>
          <w:sz w:val="20"/>
          <w:szCs w:val="20"/>
        </w:rPr>
        <w:t>relevant pathways including hormone signaling, MAPK cascades, and PRR systems (Wei et al., 2022; Nawaz et al., 2023; Nemati et al., 2023).</w:t>
      </w:r>
    </w:p>
    <w:p w14:paraId="40F9870D" w14:textId="34ED87B5"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Integration with genomic and epigenomic data further strengthens candidate selection. Overlap of </w:t>
      </w:r>
      <w:proofErr w:type="spellStart"/>
      <w:r w:rsidRPr="0066321E">
        <w:rPr>
          <w:rFonts w:ascii="Candara" w:hAnsi="Candara" w:cs="Times New Roman"/>
          <w:sz w:val="20"/>
          <w:szCs w:val="20"/>
        </w:rPr>
        <w:t>transcriptomically</w:t>
      </w:r>
      <w:proofErr w:type="spellEnd"/>
      <w:r w:rsidRPr="0066321E">
        <w:rPr>
          <w:rFonts w:ascii="Candara" w:hAnsi="Candara" w:cs="Times New Roman"/>
          <w:sz w:val="20"/>
          <w:szCs w:val="20"/>
        </w:rPr>
        <w:t xml:space="preserve"> i</w:t>
      </w:r>
      <w:r w:rsidR="002D06E4" w:rsidRPr="0066321E">
        <w:rPr>
          <w:rFonts w:ascii="Candara" w:hAnsi="Candara" w:cs="Times New Roman"/>
          <w:sz w:val="20"/>
          <w:szCs w:val="20"/>
        </w:rPr>
        <w:t xml:space="preserve">dentified genes with resistance </w:t>
      </w:r>
      <w:r w:rsidRPr="0066321E">
        <w:rPr>
          <w:rFonts w:ascii="Candara" w:hAnsi="Candara" w:cs="Times New Roman"/>
          <w:sz w:val="20"/>
          <w:szCs w:val="20"/>
        </w:rPr>
        <w:t xml:space="preserve">associated genomic regions from GWAS and QTL mapping provides genetic validation of functional implication (Liu, 2024; </w:t>
      </w:r>
      <w:proofErr w:type="spellStart"/>
      <w:r w:rsidRPr="0066321E">
        <w:rPr>
          <w:rFonts w:ascii="Candara" w:hAnsi="Candara" w:cs="Times New Roman"/>
          <w:sz w:val="20"/>
          <w:szCs w:val="20"/>
        </w:rPr>
        <w:t>Leprévost</w:t>
      </w:r>
      <w:proofErr w:type="spellEnd"/>
      <w:r w:rsidRPr="0066321E">
        <w:rPr>
          <w:rFonts w:ascii="Candara" w:hAnsi="Candara" w:cs="Times New Roman"/>
          <w:sz w:val="20"/>
          <w:szCs w:val="20"/>
        </w:rPr>
        <w:t xml:space="preserve"> et al., 2023; Y. Wang et al., 2026). Epigenomic data, including DNA methylation patterns and chromatin accessibility profiles, reveals whether candidate genes are epigenetically activated or silenced under pathogen attack, adding a regulatory layer of evidence (Muhammad et al., 2022; Srivastava et al., 2024). Table 2</w:t>
      </w:r>
      <w:r w:rsidR="004533E1" w:rsidRPr="0066321E">
        <w:rPr>
          <w:rFonts w:ascii="Candara" w:hAnsi="Candara" w:cs="Times New Roman"/>
          <w:sz w:val="20"/>
          <w:szCs w:val="20"/>
        </w:rPr>
        <w:t xml:space="preserve"> and figure 2</w:t>
      </w:r>
      <w:r w:rsidRPr="0066321E">
        <w:rPr>
          <w:rFonts w:ascii="Candara" w:hAnsi="Candara" w:cs="Times New Roman"/>
          <w:sz w:val="20"/>
          <w:szCs w:val="20"/>
        </w:rPr>
        <w:t xml:space="preserve"> summarizes the multi-omics evidence types supporting robust gene prioritization.</w:t>
      </w:r>
    </w:p>
    <w:p w14:paraId="4596A07F" w14:textId="10C7BC58" w:rsidR="004533E1" w:rsidRPr="0066321E" w:rsidRDefault="004533E1" w:rsidP="0066321E">
      <w:pPr>
        <w:spacing w:after="0" w:line="240" w:lineRule="auto"/>
        <w:jc w:val="both"/>
        <w:rPr>
          <w:rFonts w:ascii="Candara" w:hAnsi="Candara" w:cs="Times New Roman"/>
          <w:sz w:val="20"/>
          <w:szCs w:val="20"/>
        </w:rPr>
      </w:pPr>
      <w:r w:rsidRPr="0066321E">
        <w:rPr>
          <w:rFonts w:ascii="Candara" w:hAnsi="Candara" w:cs="Times New Roman"/>
          <w:noProof/>
          <w:sz w:val="20"/>
          <w:szCs w:val="20"/>
        </w:rPr>
        <w:lastRenderedPageBreak/>
        <w:drawing>
          <wp:inline distT="0" distB="0" distL="0" distR="0" wp14:anchorId="5991300B" wp14:editId="066FB93F">
            <wp:extent cx="5477483" cy="3448433"/>
            <wp:effectExtent l="0" t="0" r="9525" b="0"/>
            <wp:docPr id="9095640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564034" name="Picture 4"/>
                    <pic:cNvPicPr/>
                  </pic:nvPicPr>
                  <pic:blipFill>
                    <a:blip r:embed="rId5">
                      <a:extLst>
                        <a:ext uri="{28A0092B-C50C-407E-A947-70E740481C1C}">
                          <a14:useLocalDpi xmlns:a14="http://schemas.microsoft.com/office/drawing/2010/main" val="0"/>
                        </a:ext>
                      </a:extLst>
                    </a:blip>
                    <a:srcRect l="63" r="63"/>
                    <a:stretch>
                      <a:fillRect/>
                    </a:stretch>
                  </pic:blipFill>
                  <pic:spPr bwMode="auto">
                    <a:xfrm>
                      <a:off x="0" y="0"/>
                      <a:ext cx="5477483" cy="3448433"/>
                    </a:xfrm>
                    <a:prstGeom prst="rect">
                      <a:avLst/>
                    </a:prstGeom>
                    <a:ln>
                      <a:noFill/>
                    </a:ln>
                    <a:extLst>
                      <a:ext uri="{53640926-AAD7-44D8-BBD7-CCE9431645EC}">
                        <a14:shadowObscured xmlns:a14="http://schemas.microsoft.com/office/drawing/2010/main"/>
                      </a:ext>
                    </a:extLst>
                  </pic:spPr>
                </pic:pic>
              </a:graphicData>
            </a:graphic>
          </wp:inline>
        </w:drawing>
      </w:r>
    </w:p>
    <w:p w14:paraId="08E8D240" w14:textId="2FC2957D" w:rsidR="004533E1" w:rsidRPr="0066321E" w:rsidRDefault="004533E1" w:rsidP="0066321E">
      <w:pPr>
        <w:pStyle w:val="Caption"/>
        <w:spacing w:after="0"/>
        <w:jc w:val="both"/>
        <w:rPr>
          <w:rFonts w:ascii="Candara" w:hAnsi="Candara" w:cs="Times New Roman"/>
          <w:color w:val="auto"/>
          <w:sz w:val="20"/>
          <w:szCs w:val="20"/>
        </w:rPr>
      </w:pPr>
      <w:r w:rsidRPr="0066321E">
        <w:rPr>
          <w:rFonts w:ascii="Candara" w:hAnsi="Candara" w:cs="Times New Roman"/>
          <w:b/>
          <w:bCs/>
          <w:color w:val="auto"/>
          <w:sz w:val="20"/>
          <w:szCs w:val="20"/>
        </w:rPr>
        <w:t>Figure 2.</w:t>
      </w:r>
      <w:r w:rsidRPr="0066321E">
        <w:rPr>
          <w:rFonts w:ascii="Candara" w:hAnsi="Candara" w:cs="Times New Roman"/>
          <w:color w:val="auto"/>
          <w:sz w:val="20"/>
          <w:szCs w:val="20"/>
        </w:rPr>
        <w:t xml:space="preserve"> </w:t>
      </w:r>
      <w:r w:rsidRPr="0066321E">
        <w:rPr>
          <w:rFonts w:ascii="Candara" w:hAnsi="Candara" w:cs="Times New Roman"/>
          <w:noProof/>
          <w:color w:val="auto"/>
          <w:sz w:val="20"/>
          <w:szCs w:val="20"/>
        </w:rPr>
        <w:t>Multi-omics Integration for resistance gene</w:t>
      </w:r>
    </w:p>
    <w:p w14:paraId="4C83BEA5" w14:textId="298C9710" w:rsidR="004533E1" w:rsidRPr="0066321E" w:rsidRDefault="004533E1" w:rsidP="0066321E">
      <w:pPr>
        <w:spacing w:after="0" w:line="240" w:lineRule="auto"/>
        <w:jc w:val="both"/>
        <w:rPr>
          <w:rFonts w:ascii="Candara" w:hAnsi="Candara" w:cs="Times New Roman"/>
          <w:sz w:val="20"/>
          <w:szCs w:val="20"/>
        </w:rPr>
      </w:pPr>
      <w:r w:rsidRPr="0066321E">
        <w:rPr>
          <w:rFonts w:ascii="Candara" w:hAnsi="Candara" w:cs="Times New Roman"/>
          <w:sz w:val="20"/>
          <w:szCs w:val="20"/>
        </w:rPr>
        <w:t>Figure 2 illustrates an overview of multi-omics integration for the identification of candidate disease resistance genes. Transcriptomics data provides gene expression profiles, while genomics identifies trait-associated loci. Epigenomics reveals regulatory modifications, proteomics validates protein-level activity, and metabolomics confirms pathway functionality. The integration of these complementary data layers enables the prioritization of biologically relevant candidate genes.</w:t>
      </w:r>
    </w:p>
    <w:p w14:paraId="39EF7A8B" w14:textId="3E729325" w:rsidR="00A45552" w:rsidRPr="0066321E" w:rsidRDefault="00A45552" w:rsidP="0066321E">
      <w:pPr>
        <w:pStyle w:val="Caption"/>
        <w:keepNext/>
        <w:spacing w:after="0"/>
        <w:jc w:val="both"/>
        <w:rPr>
          <w:rFonts w:ascii="Candara" w:hAnsi="Candara" w:cs="Times New Roman"/>
          <w:i w:val="0"/>
          <w:iCs w:val="0"/>
          <w:color w:val="auto"/>
          <w:sz w:val="20"/>
          <w:szCs w:val="20"/>
        </w:rPr>
      </w:pPr>
      <w:r w:rsidRPr="0066321E">
        <w:rPr>
          <w:rFonts w:ascii="Candara" w:hAnsi="Candara" w:cs="Times New Roman"/>
          <w:b/>
          <w:bCs/>
          <w:color w:val="auto"/>
          <w:sz w:val="20"/>
          <w:szCs w:val="20"/>
        </w:rPr>
        <w:t xml:space="preserve">Table </w:t>
      </w:r>
      <w:r w:rsidRPr="0066321E">
        <w:rPr>
          <w:rFonts w:ascii="Candara" w:hAnsi="Candara" w:cs="Times New Roman"/>
          <w:b/>
          <w:bCs/>
          <w:color w:val="auto"/>
          <w:sz w:val="20"/>
          <w:szCs w:val="20"/>
        </w:rPr>
        <w:fldChar w:fldCharType="begin"/>
      </w:r>
      <w:r w:rsidRPr="0066321E">
        <w:rPr>
          <w:rFonts w:ascii="Candara" w:hAnsi="Candara" w:cs="Times New Roman"/>
          <w:b/>
          <w:bCs/>
          <w:color w:val="auto"/>
          <w:sz w:val="20"/>
          <w:szCs w:val="20"/>
        </w:rPr>
        <w:instrText xml:space="preserve"> SEQ Table \* ARABIC </w:instrText>
      </w:r>
      <w:r w:rsidRPr="0066321E">
        <w:rPr>
          <w:rFonts w:ascii="Candara" w:hAnsi="Candara" w:cs="Times New Roman"/>
          <w:b/>
          <w:bCs/>
          <w:color w:val="auto"/>
          <w:sz w:val="20"/>
          <w:szCs w:val="20"/>
        </w:rPr>
        <w:fldChar w:fldCharType="separate"/>
      </w:r>
      <w:r w:rsidRPr="0066321E">
        <w:rPr>
          <w:rFonts w:ascii="Candara" w:hAnsi="Candara" w:cs="Times New Roman"/>
          <w:b/>
          <w:bCs/>
          <w:noProof/>
          <w:color w:val="auto"/>
          <w:sz w:val="20"/>
          <w:szCs w:val="20"/>
        </w:rPr>
        <w:t>2</w:t>
      </w:r>
      <w:r w:rsidRPr="0066321E">
        <w:rPr>
          <w:rFonts w:ascii="Candara" w:hAnsi="Candara" w:cs="Times New Roman"/>
          <w:b/>
          <w:bCs/>
          <w:color w:val="auto"/>
          <w:sz w:val="20"/>
          <w:szCs w:val="20"/>
        </w:rPr>
        <w:fldChar w:fldCharType="end"/>
      </w:r>
      <w:r w:rsidRPr="0066321E">
        <w:rPr>
          <w:rFonts w:ascii="Candara" w:hAnsi="Candara" w:cs="Times New Roman"/>
          <w:b/>
          <w:bCs/>
          <w:color w:val="auto"/>
          <w:sz w:val="20"/>
          <w:szCs w:val="20"/>
        </w:rPr>
        <w:t>.</w:t>
      </w:r>
      <w:r w:rsidRPr="0066321E">
        <w:rPr>
          <w:rFonts w:ascii="Candara" w:hAnsi="Candara" w:cs="Times New Roman"/>
          <w:i w:val="0"/>
          <w:iCs w:val="0"/>
          <w:color w:val="auto"/>
          <w:sz w:val="20"/>
          <w:szCs w:val="20"/>
        </w:rPr>
        <w:t xml:space="preserve"> Integrated Multi-Omics Evidence Supporting Gene Selection</w:t>
      </w:r>
    </w:p>
    <w:tbl>
      <w:tblPr>
        <w:tblStyle w:val="ListTable7Colorful"/>
        <w:tblW w:w="0" w:type="auto"/>
        <w:tblLook w:val="04A0" w:firstRow="1" w:lastRow="0" w:firstColumn="1" w:lastColumn="0" w:noHBand="0" w:noVBand="1"/>
      </w:tblPr>
      <w:tblGrid>
        <w:gridCol w:w="1755"/>
        <w:gridCol w:w="2041"/>
        <w:gridCol w:w="2060"/>
        <w:gridCol w:w="1652"/>
        <w:gridCol w:w="1502"/>
      </w:tblGrid>
      <w:tr w:rsidR="00A45552" w:rsidRPr="0066321E" w14:paraId="0AD49F19" w14:textId="77777777" w:rsidTr="00DF18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D1D1D1" w:themeFill="background2" w:themeFillShade="E6"/>
            <w:hideMark/>
          </w:tcPr>
          <w:p w14:paraId="106A7C92" w14:textId="77777777" w:rsidR="00A45552" w:rsidRPr="0066321E" w:rsidRDefault="00A45552" w:rsidP="0066321E">
            <w:pPr>
              <w:spacing w:line="240" w:lineRule="auto"/>
              <w:jc w:val="both"/>
              <w:rPr>
                <w:rFonts w:ascii="Candara" w:eastAsia="Times New Roman" w:hAnsi="Candara" w:cs="Times New Roman"/>
                <w:b/>
                <w:bCs/>
                <w:sz w:val="20"/>
                <w:szCs w:val="20"/>
              </w:rPr>
            </w:pPr>
            <w:r w:rsidRPr="0066321E">
              <w:rPr>
                <w:rFonts w:ascii="Candara" w:eastAsia="Times New Roman" w:hAnsi="Candara" w:cs="Times New Roman"/>
                <w:b/>
                <w:bCs/>
                <w:sz w:val="20"/>
                <w:szCs w:val="20"/>
              </w:rPr>
              <w:t>Data Source</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D1D1D1" w:themeFill="background2" w:themeFillShade="E6"/>
            <w:hideMark/>
          </w:tcPr>
          <w:p w14:paraId="6039A070" w14:textId="77777777" w:rsidR="00A45552" w:rsidRPr="0066321E" w:rsidRDefault="00A45552" w:rsidP="0066321E">
            <w:pPr>
              <w:spacing w:line="240" w:lineRule="auto"/>
              <w:jc w:val="both"/>
              <w:cnfStyle w:val="100000000000" w:firstRow="1" w:lastRow="0" w:firstColumn="0" w:lastColumn="0" w:oddVBand="0" w:evenVBand="0" w:oddHBand="0" w:evenHBand="0" w:firstRowFirstColumn="0" w:firstRowLastColumn="0" w:lastRowFirstColumn="0" w:lastRowLastColumn="0"/>
              <w:rPr>
                <w:rFonts w:ascii="Candara" w:eastAsia="Times New Roman" w:hAnsi="Candara" w:cs="Times New Roman"/>
                <w:b/>
                <w:bCs/>
                <w:sz w:val="20"/>
                <w:szCs w:val="20"/>
              </w:rPr>
            </w:pPr>
            <w:r w:rsidRPr="0066321E">
              <w:rPr>
                <w:rFonts w:ascii="Candara" w:eastAsia="Times New Roman" w:hAnsi="Candara" w:cs="Times New Roman"/>
                <w:b/>
                <w:bCs/>
                <w:sz w:val="20"/>
                <w:szCs w:val="20"/>
              </w:rPr>
              <w:t>Type of Evidence</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D1D1D1" w:themeFill="background2" w:themeFillShade="E6"/>
            <w:hideMark/>
          </w:tcPr>
          <w:p w14:paraId="1DCCD9C2" w14:textId="77777777" w:rsidR="00A45552" w:rsidRPr="0066321E" w:rsidRDefault="00A45552" w:rsidP="0066321E">
            <w:pPr>
              <w:spacing w:line="240" w:lineRule="auto"/>
              <w:jc w:val="both"/>
              <w:cnfStyle w:val="100000000000" w:firstRow="1" w:lastRow="0" w:firstColumn="0" w:lastColumn="0" w:oddVBand="0" w:evenVBand="0" w:oddHBand="0" w:evenHBand="0" w:firstRowFirstColumn="0" w:firstRowLastColumn="0" w:lastRowFirstColumn="0" w:lastRowLastColumn="0"/>
              <w:rPr>
                <w:rFonts w:ascii="Candara" w:eastAsia="Times New Roman" w:hAnsi="Candara" w:cs="Times New Roman"/>
                <w:b/>
                <w:bCs/>
                <w:sz w:val="20"/>
                <w:szCs w:val="20"/>
              </w:rPr>
            </w:pPr>
            <w:r w:rsidRPr="0066321E">
              <w:rPr>
                <w:rFonts w:ascii="Candara" w:eastAsia="Times New Roman" w:hAnsi="Candara" w:cs="Times New Roman"/>
                <w:b/>
                <w:bCs/>
                <w:sz w:val="20"/>
                <w:szCs w:val="20"/>
              </w:rPr>
              <w:t>Contribution to Gene Prioritization</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D1D1D1" w:themeFill="background2" w:themeFillShade="E6"/>
            <w:hideMark/>
          </w:tcPr>
          <w:p w14:paraId="56CA9E9F" w14:textId="77777777" w:rsidR="00A45552" w:rsidRPr="0066321E" w:rsidRDefault="00A45552" w:rsidP="0066321E">
            <w:pPr>
              <w:spacing w:line="240" w:lineRule="auto"/>
              <w:jc w:val="both"/>
              <w:cnfStyle w:val="100000000000" w:firstRow="1" w:lastRow="0" w:firstColumn="0" w:lastColumn="0" w:oddVBand="0" w:evenVBand="0" w:oddHBand="0" w:evenHBand="0" w:firstRowFirstColumn="0" w:firstRowLastColumn="0" w:lastRowFirstColumn="0" w:lastRowLastColumn="0"/>
              <w:rPr>
                <w:rFonts w:ascii="Candara" w:eastAsia="Times New Roman" w:hAnsi="Candara" w:cs="Times New Roman"/>
                <w:b/>
                <w:bCs/>
                <w:sz w:val="20"/>
                <w:szCs w:val="20"/>
              </w:rPr>
            </w:pPr>
            <w:r w:rsidRPr="0066321E">
              <w:rPr>
                <w:rFonts w:ascii="Candara" w:eastAsia="Times New Roman" w:hAnsi="Candara" w:cs="Times New Roman"/>
                <w:b/>
                <w:bCs/>
                <w:sz w:val="20"/>
                <w:szCs w:val="20"/>
              </w:rPr>
              <w:t>Example Genes</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D1D1D1" w:themeFill="background2" w:themeFillShade="E6"/>
          </w:tcPr>
          <w:p w14:paraId="36342DFA" w14:textId="77777777" w:rsidR="00A45552" w:rsidRPr="0066321E" w:rsidRDefault="00A45552" w:rsidP="0066321E">
            <w:pPr>
              <w:spacing w:line="240" w:lineRule="auto"/>
              <w:jc w:val="both"/>
              <w:cnfStyle w:val="100000000000" w:firstRow="1" w:lastRow="0" w:firstColumn="0" w:lastColumn="0" w:oddVBand="0" w:evenVBand="0" w:oddHBand="0" w:evenHBand="0" w:firstRowFirstColumn="0" w:firstRowLastColumn="0" w:lastRowFirstColumn="0" w:lastRowLastColumn="0"/>
              <w:rPr>
                <w:rFonts w:ascii="Candara" w:eastAsia="Times New Roman" w:hAnsi="Candara" w:cs="Times New Roman"/>
                <w:b/>
                <w:bCs/>
                <w:sz w:val="20"/>
                <w:szCs w:val="20"/>
              </w:rPr>
            </w:pPr>
            <w:r w:rsidRPr="0066321E">
              <w:rPr>
                <w:rFonts w:ascii="Candara" w:eastAsia="Times New Roman" w:hAnsi="Candara" w:cs="Times New Roman"/>
                <w:b/>
                <w:bCs/>
                <w:sz w:val="20"/>
                <w:szCs w:val="20"/>
              </w:rPr>
              <w:t>References</w:t>
            </w:r>
          </w:p>
        </w:tc>
      </w:tr>
      <w:tr w:rsidR="00A45552" w:rsidRPr="0066321E" w14:paraId="79167DDC" w14:textId="77777777" w:rsidTr="00DF18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19E83C4E" w14:textId="77777777" w:rsidR="00A45552" w:rsidRPr="0066321E" w:rsidRDefault="00A45552"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Transcriptomics</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auto"/>
            <w:hideMark/>
          </w:tcPr>
          <w:p w14:paraId="7D5E34FA" w14:textId="77777777" w:rsidR="00A45552" w:rsidRPr="0066321E" w:rsidRDefault="00A45552" w:rsidP="0066321E">
            <w:pPr>
              <w:spacing w:line="240" w:lineRule="auto"/>
              <w:jc w:val="both"/>
              <w:cnfStyle w:val="000000100000" w:firstRow="0" w:lastRow="0" w:firstColumn="0" w:lastColumn="0" w:oddVBand="0" w:evenVBand="0" w:oddHBand="1"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Expression response under stress</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auto"/>
            <w:hideMark/>
          </w:tcPr>
          <w:p w14:paraId="22236750" w14:textId="77777777" w:rsidR="00A45552" w:rsidRPr="0066321E" w:rsidRDefault="00A45552" w:rsidP="0066321E">
            <w:pPr>
              <w:spacing w:line="240" w:lineRule="auto"/>
              <w:jc w:val="both"/>
              <w:cnfStyle w:val="000000100000" w:firstRow="0" w:lastRow="0" w:firstColumn="0" w:lastColumn="0" w:oddVBand="0" w:evenVBand="0" w:oddHBand="1"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Identifies responsive genes</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auto"/>
            <w:hideMark/>
          </w:tcPr>
          <w:p w14:paraId="433F31B8" w14:textId="77777777" w:rsidR="00A45552" w:rsidRPr="0066321E" w:rsidRDefault="00A45552" w:rsidP="0066321E">
            <w:pPr>
              <w:spacing w:line="240" w:lineRule="auto"/>
              <w:jc w:val="both"/>
              <w:cnfStyle w:val="000000100000" w:firstRow="0" w:lastRow="0" w:firstColumn="0" w:lastColumn="0" w:oddVBand="0" w:evenVBand="0" w:oddHBand="1"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WRKY33, NPR1</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auto"/>
          </w:tcPr>
          <w:p w14:paraId="6A632886" w14:textId="58B8C3F9" w:rsidR="00A45552" w:rsidRPr="0066321E" w:rsidRDefault="00A45552" w:rsidP="0066321E">
            <w:pPr>
              <w:spacing w:line="240" w:lineRule="auto"/>
              <w:jc w:val="both"/>
              <w:cnfStyle w:val="000000100000" w:firstRow="0" w:lastRow="0" w:firstColumn="0" w:lastColumn="0" w:oddVBand="0" w:evenVBand="0" w:oddHBand="1"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fldChar w:fldCharType="begin"/>
            </w:r>
            <w:r w:rsidR="004942BD" w:rsidRPr="0066321E">
              <w:rPr>
                <w:rFonts w:ascii="Candara" w:eastAsia="Times New Roman" w:hAnsi="Candara" w:cs="Times New Roman"/>
                <w:sz w:val="20"/>
                <w:szCs w:val="20"/>
              </w:rPr>
              <w:instrText xml:space="preserve"> ADDIN EN.CITE &lt;EndNote&gt;&lt;Cite&gt;&lt;Author&gt;Wang&lt;/Author&gt;&lt;Year&gt;2026&lt;/Year&gt;&lt;RecNum&gt;14&lt;/RecNum&gt;&lt;DisplayText&gt;(G. Wang et al., 2026)&lt;/DisplayText&gt;&lt;record&gt;&lt;rec-number&gt;8&lt;/rec-number&gt;&lt;foreign-keys&gt;&lt;key app="EN" db-id="95ssws9phaeprxe29pup0erbd9atdzrtttfx" timestamp="1778838288"&gt;8&lt;/key&gt;&lt;/foreign-keys&gt;&lt;ref-type name="Journal Article"&gt;17&lt;/ref-type&gt;&lt;contributors&gt;&lt;authors&gt;&lt;author&gt;Wang, Guilin&lt;/author&gt;&lt;author&gt;Si, Qingxin&lt;/author&gt;&lt;author&gt;Chen, Zhiguo&lt;/author&gt;&lt;author&gt;Yu, Zhe&lt;/author&gt;&lt;author&gt;Guo, Zhan&lt;/author&gt;&lt;author&gt;Wang, Lu&lt;/author&gt;&lt;author&gt;Li, Weixi&lt;/author&gt;&lt;author&gt;Guo, Wangzhen&lt;/author&gt;&lt;/authors&gt;&lt;/contributors&gt;&lt;titles&gt;&lt;title&gt;GbWAKL20 Phosphorylates GbNFYB8 to Modulate Verticillium Wilt Resistance in Cotton&lt;/title&gt;&lt;secondary-title&gt;Advanced Science&lt;/secondary-title&gt;&lt;/titles&gt;&lt;periodical&gt;&lt;full-title&gt;Advanced Science&lt;/full-title&gt;&lt;/periodical&gt;&lt;pages&gt;e15724&lt;/pages&gt;&lt;volume&gt;13&lt;/volume&gt;&lt;number&gt;16&lt;/number&gt;&lt;dates&gt;&lt;year&gt;2026&lt;/year&gt;&lt;/dates&gt;&lt;isbn&gt;2198-3844&lt;/isbn&gt;&lt;urls&gt;&lt;related-urls&gt;&lt;url&gt;https://advanced.onlinelibrary.wiley.com/doi/abs/10.1002/advs.202515724&lt;/url&gt;&lt;/related-urls&gt;&lt;/urls&gt;&lt;electronic-resource-num&gt;https://doi.org/10.1002/advs.202515724&lt;/electronic-resource-num&gt;&lt;/record&gt;&lt;/Cite&gt;&lt;/EndNote&gt;</w:instrText>
            </w:r>
            <w:r w:rsidRPr="0066321E">
              <w:rPr>
                <w:rFonts w:ascii="Candara" w:eastAsia="Times New Roman" w:hAnsi="Candara" w:cs="Times New Roman"/>
                <w:sz w:val="20"/>
                <w:szCs w:val="20"/>
              </w:rPr>
              <w:fldChar w:fldCharType="separate"/>
            </w:r>
            <w:r w:rsidRPr="0066321E">
              <w:rPr>
                <w:rFonts w:ascii="Candara" w:eastAsia="Times New Roman" w:hAnsi="Candara" w:cs="Times New Roman"/>
                <w:noProof/>
                <w:sz w:val="20"/>
                <w:szCs w:val="20"/>
              </w:rPr>
              <w:t>(G. Wang et al., 2026)</w:t>
            </w:r>
            <w:r w:rsidRPr="0066321E">
              <w:rPr>
                <w:rFonts w:ascii="Candara" w:eastAsia="Times New Roman" w:hAnsi="Candara" w:cs="Times New Roman"/>
                <w:sz w:val="20"/>
                <w:szCs w:val="20"/>
              </w:rPr>
              <w:fldChar w:fldCharType="end"/>
            </w:r>
          </w:p>
        </w:tc>
      </w:tr>
      <w:tr w:rsidR="00A45552" w:rsidRPr="0066321E" w14:paraId="6FAD4A50" w14:textId="77777777" w:rsidTr="00DF18C4">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6EE75150" w14:textId="77777777" w:rsidR="00A45552" w:rsidRPr="0066321E" w:rsidRDefault="00A45552"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Genomics (QTL/GWAS)</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3B275596" w14:textId="77777777" w:rsidR="00A45552" w:rsidRPr="0066321E" w:rsidRDefault="00A45552" w:rsidP="0066321E">
            <w:pPr>
              <w:spacing w:line="240" w:lineRule="auto"/>
              <w:jc w:val="both"/>
              <w:cnfStyle w:val="000000000000" w:firstRow="0" w:lastRow="0" w:firstColumn="0" w:lastColumn="0" w:oddVBand="0" w:evenVBand="0" w:oddHBand="0"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Trait association regions</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6F0B2824" w14:textId="77777777" w:rsidR="00A45552" w:rsidRPr="0066321E" w:rsidRDefault="00A45552" w:rsidP="0066321E">
            <w:pPr>
              <w:spacing w:line="240" w:lineRule="auto"/>
              <w:jc w:val="both"/>
              <w:cnfStyle w:val="000000000000" w:firstRow="0" w:lastRow="0" w:firstColumn="0" w:lastColumn="0" w:oddVBand="0" w:evenVBand="0" w:oddHBand="0"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Confirms genetic linkage</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1A0FE651" w14:textId="77777777" w:rsidR="00A45552" w:rsidRPr="0066321E" w:rsidRDefault="00A45552" w:rsidP="0066321E">
            <w:pPr>
              <w:spacing w:line="240" w:lineRule="auto"/>
              <w:jc w:val="both"/>
              <w:cnfStyle w:val="000000000000" w:firstRow="0" w:lastRow="0" w:firstColumn="0" w:lastColumn="0" w:oddVBand="0" w:evenVBand="0" w:oddHBand="0"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NLR clusters</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6F036101" w14:textId="0B106C72" w:rsidR="00A45552" w:rsidRPr="0066321E" w:rsidRDefault="00A45552" w:rsidP="0066321E">
            <w:pPr>
              <w:spacing w:line="240" w:lineRule="auto"/>
              <w:jc w:val="both"/>
              <w:cnfStyle w:val="000000000000" w:firstRow="0" w:lastRow="0" w:firstColumn="0" w:lastColumn="0" w:oddVBand="0" w:evenVBand="0" w:oddHBand="0"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fldChar w:fldCharType="begin"/>
            </w:r>
            <w:r w:rsidR="004942BD" w:rsidRPr="0066321E">
              <w:rPr>
                <w:rFonts w:ascii="Candara" w:eastAsia="Times New Roman" w:hAnsi="Candara" w:cs="Times New Roman"/>
                <w:sz w:val="20"/>
                <w:szCs w:val="20"/>
              </w:rPr>
              <w:instrText xml:space="preserve"> ADDIN EN.CITE &lt;EndNote&gt;&lt;Cite&gt;&lt;Author&gt;Nabi&lt;/Author&gt;&lt;Year&gt;2024&lt;/Year&gt;&lt;RecNum&gt;29&lt;/RecNum&gt;&lt;DisplayText&gt;(Nabi et al., 2024)&lt;/DisplayText&gt;&lt;record&gt;&lt;rec-number&gt;9&lt;/rec-number&gt;&lt;foreign-keys&gt;&lt;key app="EN" db-id="95ssws9phaeprxe29pup0erbd9atdzrtttfx" timestamp="1778838288"&gt;9&lt;/key&gt;&lt;/foreign-keys&gt;&lt;ref-type name="Journal Article"&gt;17&lt;/ref-type&gt;&lt;contributors&gt;&lt;authors&gt;&lt;author&gt;Nabi, Zarka&lt;/author&gt;&lt;author&gt;Manzoor, Subaya&lt;/author&gt;&lt;author&gt;Nabi, Sajad Un&lt;/author&gt;&lt;author&gt;Wani, Tanveer Ahmad&lt;/author&gt;&lt;author&gt;Gulzar, Humira&lt;/author&gt;&lt;author&gt;Farooq, Mehreena&lt;/author&gt;&lt;author&gt;Arya, Vivak M.&lt;/author&gt;&lt;author&gt;Baloch, Faheem Shehzad&lt;/author&gt;&lt;author&gt;Vlădulescu, Carmen&lt;/author&gt;&lt;author&gt;Popescu, Simona Mariana&lt;/author&gt;&lt;author&gt;Mansoor, Sheikh&lt;/author&gt;&lt;/authors&gt;&lt;/contributors&gt;&lt;titles&gt;&lt;title&gt;Pattern-Triggered Immunity  and Effector-Triggered Immunity: crosstalk and cooperation of PRR and NLR-mediated plant defense pathways during host–pathogen interactions&lt;/title&gt;&lt;secondary-title&gt;Physiology and Molecular Biology of Plants&lt;/secondary-title&gt;&lt;/titles&gt;&lt;periodical&gt;&lt;full-title&gt;Physiology and Molecular Biology of Plants&lt;/full-title&gt;&lt;/periodical&gt;&lt;pages&gt;587-604&lt;/pages&gt;&lt;volume&gt;30&lt;/volume&gt;&lt;number&gt;4&lt;/number&gt;&lt;dates&gt;&lt;year&gt;2024&lt;/year&gt;&lt;pub-dates&gt;&lt;date&gt;2024/04/01&lt;/date&gt;&lt;/pub-dates&gt;&lt;/dates&gt;&lt;isbn&gt;0974-0430&lt;/isbn&gt;&lt;urls&gt;&lt;related-urls&gt;&lt;url&gt;https://doi.org/10.1007/s12298-024-01452-7&lt;/url&gt;&lt;/related-urls&gt;&lt;/urls&gt;&lt;electronic-resource-num&gt;10.1007/s12298-024-01452-7&lt;/electronic-resource-num&gt;&lt;/record&gt;&lt;/Cite&gt;&lt;/EndNote&gt;</w:instrText>
            </w:r>
            <w:r w:rsidRPr="0066321E">
              <w:rPr>
                <w:rFonts w:ascii="Candara" w:eastAsia="Times New Roman" w:hAnsi="Candara" w:cs="Times New Roman"/>
                <w:sz w:val="20"/>
                <w:szCs w:val="20"/>
              </w:rPr>
              <w:fldChar w:fldCharType="separate"/>
            </w:r>
            <w:r w:rsidRPr="0066321E">
              <w:rPr>
                <w:rFonts w:ascii="Candara" w:eastAsia="Times New Roman" w:hAnsi="Candara" w:cs="Times New Roman"/>
                <w:noProof/>
                <w:sz w:val="20"/>
                <w:szCs w:val="20"/>
              </w:rPr>
              <w:t>(Nabi et al., 2024)</w:t>
            </w:r>
            <w:r w:rsidRPr="0066321E">
              <w:rPr>
                <w:rFonts w:ascii="Candara" w:eastAsia="Times New Roman" w:hAnsi="Candara" w:cs="Times New Roman"/>
                <w:sz w:val="20"/>
                <w:szCs w:val="20"/>
              </w:rPr>
              <w:fldChar w:fldCharType="end"/>
            </w:r>
          </w:p>
        </w:tc>
      </w:tr>
      <w:tr w:rsidR="00A45552" w:rsidRPr="0066321E" w14:paraId="28A5CE52" w14:textId="77777777" w:rsidTr="00DF18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6608CF14" w14:textId="77777777" w:rsidR="00A45552" w:rsidRPr="0066321E" w:rsidRDefault="00A45552"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Epigenomics</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auto"/>
            <w:hideMark/>
          </w:tcPr>
          <w:p w14:paraId="7AFD2162" w14:textId="77777777" w:rsidR="00A45552" w:rsidRPr="0066321E" w:rsidRDefault="00A45552" w:rsidP="0066321E">
            <w:pPr>
              <w:spacing w:line="240" w:lineRule="auto"/>
              <w:jc w:val="both"/>
              <w:cnfStyle w:val="000000100000" w:firstRow="0" w:lastRow="0" w:firstColumn="0" w:lastColumn="0" w:oddVBand="0" w:evenVBand="0" w:oddHBand="1"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DNA methylation, chromatin state</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auto"/>
            <w:hideMark/>
          </w:tcPr>
          <w:p w14:paraId="5BF694C0" w14:textId="77777777" w:rsidR="00A45552" w:rsidRPr="0066321E" w:rsidRDefault="00A45552" w:rsidP="0066321E">
            <w:pPr>
              <w:spacing w:line="240" w:lineRule="auto"/>
              <w:jc w:val="both"/>
              <w:cnfStyle w:val="000000100000" w:firstRow="0" w:lastRow="0" w:firstColumn="0" w:lastColumn="0" w:oddVBand="0" w:evenVBand="0" w:oddHBand="1"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Regulatory control evidence</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auto"/>
            <w:hideMark/>
          </w:tcPr>
          <w:p w14:paraId="1DB5762C" w14:textId="77777777" w:rsidR="00A45552" w:rsidRPr="0066321E" w:rsidRDefault="00A45552" w:rsidP="0066321E">
            <w:pPr>
              <w:spacing w:line="240" w:lineRule="auto"/>
              <w:jc w:val="both"/>
              <w:cnfStyle w:val="000000100000" w:firstRow="0" w:lastRow="0" w:firstColumn="0" w:lastColumn="0" w:oddVBand="0" w:evenVBand="0" w:oddHBand="1"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WRKY family</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auto"/>
          </w:tcPr>
          <w:p w14:paraId="55834974" w14:textId="636D3CC3" w:rsidR="00A45552" w:rsidRPr="0066321E" w:rsidRDefault="00A45552" w:rsidP="0066321E">
            <w:pPr>
              <w:spacing w:line="240" w:lineRule="auto"/>
              <w:jc w:val="both"/>
              <w:cnfStyle w:val="000000100000" w:firstRow="0" w:lastRow="0" w:firstColumn="0" w:lastColumn="0" w:oddVBand="0" w:evenVBand="0" w:oddHBand="1"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fldChar w:fldCharType="begin"/>
            </w:r>
            <w:r w:rsidR="004942BD" w:rsidRPr="0066321E">
              <w:rPr>
                <w:rFonts w:ascii="Candara" w:eastAsia="Times New Roman" w:hAnsi="Candara" w:cs="Times New Roman"/>
                <w:sz w:val="20"/>
                <w:szCs w:val="20"/>
              </w:rPr>
              <w:instrText xml:space="preserve"> ADDIN EN.CITE &lt;EndNote&gt;&lt;Cite&gt;&lt;Author&gt;Saha&lt;/Author&gt;&lt;Year&gt;2023&lt;/Year&gt;&lt;RecNum&gt;19&lt;/RecNum&gt;&lt;DisplayText&gt;(Saha et al., 2023)&lt;/DisplayText&gt;&lt;record&gt;&lt;rec-number&gt;7&lt;/rec-number&gt;&lt;foreign-keys&gt;&lt;key app="EN" db-id="95ssws9phaeprxe29pup0erbd9atdzrtttfx" timestamp="1778838288"&gt;7&lt;/key&gt;&lt;/foreign-keys&gt;&lt;ref-type name="Journal Article"&gt;17&lt;/ref-type&gt;&lt;contributors&gt;&lt;authors&gt;&lt;author&gt;Saha, Baisista&lt;/author&gt;&lt;author&gt;Nayak, Jagatjeet&lt;/author&gt;&lt;author&gt;Srivastava, Richa&lt;/author&gt;&lt;author&gt;Samal, Swarnmala&lt;/author&gt;&lt;author&gt;Kumar, Deepak&lt;/author&gt;&lt;author&gt;Chanwala, Jeky&lt;/author&gt;&lt;author&gt;Dey, Nrisingha&lt;/author&gt;&lt;author&gt;Giri, Mrunmay Kumar&lt;/author&gt;&lt;/authors&gt;&lt;/contributors&gt;&lt;titles&gt;&lt;title&gt;Unraveling the involvement of WRKY TFs in regulating plant disease defense signaling&lt;/title&gt;&lt;secondary-title&gt;Planta&lt;/secondary-title&gt;&lt;/titles&gt;&lt;periodical&gt;&lt;full-title&gt;Planta&lt;/full-title&gt;&lt;/periodical&gt;&lt;pages&gt;7&lt;/pages&gt;&lt;volume&gt;259&lt;/volume&gt;&lt;number&gt;1&lt;/number&gt;&lt;dates&gt;&lt;year&gt;2023&lt;/year&gt;&lt;pub-dates&gt;&lt;date&gt;2023/11/28&lt;/date&gt;&lt;/pub-dates&gt;&lt;/dates&gt;&lt;isbn&gt;1432-2048&lt;/isbn&gt;&lt;urls&gt;&lt;related-urls&gt;&lt;url&gt;https://doi.org/10.1007/s00425-023-04269-y&lt;/url&gt;&lt;/related-urls&gt;&lt;/urls&gt;&lt;electronic-resource-num&gt;10.1007/s00425-023-04269-y&lt;/electronic-resource-num&gt;&lt;/record&gt;&lt;/Cite&gt;&lt;/EndNote&gt;</w:instrText>
            </w:r>
            <w:r w:rsidRPr="0066321E">
              <w:rPr>
                <w:rFonts w:ascii="Candara" w:eastAsia="Times New Roman" w:hAnsi="Candara" w:cs="Times New Roman"/>
                <w:sz w:val="20"/>
                <w:szCs w:val="20"/>
              </w:rPr>
              <w:fldChar w:fldCharType="separate"/>
            </w:r>
            <w:r w:rsidRPr="0066321E">
              <w:rPr>
                <w:rFonts w:ascii="Candara" w:eastAsia="Times New Roman" w:hAnsi="Candara" w:cs="Times New Roman"/>
                <w:noProof/>
                <w:sz w:val="20"/>
                <w:szCs w:val="20"/>
              </w:rPr>
              <w:t>(Saha et al., 2023)</w:t>
            </w:r>
            <w:r w:rsidRPr="0066321E">
              <w:rPr>
                <w:rFonts w:ascii="Candara" w:eastAsia="Times New Roman" w:hAnsi="Candara" w:cs="Times New Roman"/>
                <w:sz w:val="20"/>
                <w:szCs w:val="20"/>
              </w:rPr>
              <w:fldChar w:fldCharType="end"/>
            </w:r>
          </w:p>
        </w:tc>
      </w:tr>
      <w:tr w:rsidR="00A45552" w:rsidRPr="0066321E" w14:paraId="2EEFBC74" w14:textId="77777777" w:rsidTr="00DF18C4">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7BE8D7D5" w14:textId="77777777" w:rsidR="00A45552" w:rsidRPr="0066321E" w:rsidRDefault="00A45552"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Proteomics</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2EAD017D" w14:textId="77777777" w:rsidR="00A45552" w:rsidRPr="0066321E" w:rsidRDefault="00A45552" w:rsidP="0066321E">
            <w:pPr>
              <w:spacing w:line="240" w:lineRule="auto"/>
              <w:jc w:val="both"/>
              <w:cnfStyle w:val="000000000000" w:firstRow="0" w:lastRow="0" w:firstColumn="0" w:lastColumn="0" w:oddVBand="0" w:evenVBand="0" w:oddHBand="0"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Protein abundance</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3E1EDCAC" w14:textId="77777777" w:rsidR="00A45552" w:rsidRPr="0066321E" w:rsidRDefault="00A45552" w:rsidP="0066321E">
            <w:pPr>
              <w:spacing w:line="240" w:lineRule="auto"/>
              <w:jc w:val="both"/>
              <w:cnfStyle w:val="000000000000" w:firstRow="0" w:lastRow="0" w:firstColumn="0" w:lastColumn="0" w:oddVBand="0" w:evenVBand="0" w:oddHBand="0"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Functional validation</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4104782B" w14:textId="77777777" w:rsidR="00A45552" w:rsidRPr="0066321E" w:rsidRDefault="00A45552" w:rsidP="0066321E">
            <w:pPr>
              <w:spacing w:line="240" w:lineRule="auto"/>
              <w:jc w:val="both"/>
              <w:cnfStyle w:val="000000000000" w:firstRow="0" w:lastRow="0" w:firstColumn="0" w:lastColumn="0" w:oddVBand="0" w:evenVBand="0" w:oddHBand="0"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MAPK proteins</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6382E09C" w14:textId="6D62322A" w:rsidR="00A45552" w:rsidRPr="0066321E" w:rsidRDefault="00A45552" w:rsidP="0066321E">
            <w:pPr>
              <w:spacing w:line="240" w:lineRule="auto"/>
              <w:jc w:val="both"/>
              <w:cnfStyle w:val="000000000000" w:firstRow="0" w:lastRow="0" w:firstColumn="0" w:lastColumn="0" w:oddVBand="0" w:evenVBand="0" w:oddHBand="0"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fldChar w:fldCharType="begin"/>
            </w:r>
            <w:r w:rsidR="004942BD" w:rsidRPr="0066321E">
              <w:rPr>
                <w:rFonts w:ascii="Candara" w:eastAsia="Times New Roman" w:hAnsi="Candara" w:cs="Times New Roman"/>
                <w:sz w:val="20"/>
                <w:szCs w:val="20"/>
              </w:rPr>
              <w:instrText xml:space="preserve"> ADDIN EN.CITE &lt;EndNote&gt;&lt;Cite&gt;&lt;Author&gt;Wang&lt;/Author&gt;&lt;Year&gt;2026&lt;/Year&gt;&lt;RecNum&gt;14&lt;/RecNum&gt;&lt;DisplayText&gt;(G. Wang et al., 2026)&lt;/DisplayText&gt;&lt;record&gt;&lt;rec-number&gt;8&lt;/rec-number&gt;&lt;foreign-keys&gt;&lt;key app="EN" db-id="95ssws9phaeprxe29pup0erbd9atdzrtttfx" timestamp="1778838288"&gt;8&lt;/key&gt;&lt;/foreign-keys&gt;&lt;ref-type name="Journal Article"&gt;17&lt;/ref-type&gt;&lt;contributors&gt;&lt;authors&gt;&lt;author&gt;Wang, Guilin&lt;/author&gt;&lt;author&gt;Si, Qingxin&lt;/author&gt;&lt;author&gt;Chen, Zhiguo&lt;/author&gt;&lt;author&gt;Yu, Zhe&lt;/author&gt;&lt;author&gt;Guo, Zhan&lt;/author&gt;&lt;author&gt;Wang, Lu&lt;/author&gt;&lt;author&gt;Li, Weixi&lt;/author&gt;&lt;author&gt;Guo, Wangzhen&lt;/author&gt;&lt;/authors&gt;&lt;/contributors&gt;&lt;titles&gt;&lt;title&gt;GbWAKL20 Phosphorylates GbNFYB8 to Modulate Verticillium Wilt Resistance in Cotton&lt;/title&gt;&lt;secondary-title&gt;Advanced Science&lt;/secondary-title&gt;&lt;/titles&gt;&lt;periodical&gt;&lt;full-title&gt;Advanced Science&lt;/full-title&gt;&lt;/periodical&gt;&lt;pages&gt;e15724&lt;/pages&gt;&lt;volume&gt;13&lt;/volume&gt;&lt;number&gt;16&lt;/number&gt;&lt;dates&gt;&lt;year&gt;2026&lt;/year&gt;&lt;/dates&gt;&lt;isbn&gt;2198-3844&lt;/isbn&gt;&lt;urls&gt;&lt;related-urls&gt;&lt;url&gt;https://advanced.onlinelibrary.wiley.com/doi/abs/10.1002/advs.202515724&lt;/url&gt;&lt;/related-urls&gt;&lt;/urls&gt;&lt;electronic-resource-num&gt;https://doi.org/10.1002/advs.202515724&lt;/electronic-resource-num&gt;&lt;/record&gt;&lt;/Cite&gt;&lt;/EndNote&gt;</w:instrText>
            </w:r>
            <w:r w:rsidRPr="0066321E">
              <w:rPr>
                <w:rFonts w:ascii="Candara" w:eastAsia="Times New Roman" w:hAnsi="Candara" w:cs="Times New Roman"/>
                <w:sz w:val="20"/>
                <w:szCs w:val="20"/>
              </w:rPr>
              <w:fldChar w:fldCharType="separate"/>
            </w:r>
            <w:r w:rsidRPr="0066321E">
              <w:rPr>
                <w:rFonts w:ascii="Candara" w:eastAsia="Times New Roman" w:hAnsi="Candara" w:cs="Times New Roman"/>
                <w:noProof/>
                <w:sz w:val="20"/>
                <w:szCs w:val="20"/>
              </w:rPr>
              <w:t>(G. Wang et al., 2026)</w:t>
            </w:r>
            <w:r w:rsidRPr="0066321E">
              <w:rPr>
                <w:rFonts w:ascii="Candara" w:eastAsia="Times New Roman" w:hAnsi="Candara" w:cs="Times New Roman"/>
                <w:sz w:val="20"/>
                <w:szCs w:val="20"/>
              </w:rPr>
              <w:fldChar w:fldCharType="end"/>
            </w:r>
          </w:p>
        </w:tc>
      </w:tr>
      <w:tr w:rsidR="00A45552" w:rsidRPr="0066321E" w14:paraId="648A9515" w14:textId="77777777" w:rsidTr="00DF18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hideMark/>
          </w:tcPr>
          <w:p w14:paraId="3E1D8AAD" w14:textId="77777777" w:rsidR="00A45552" w:rsidRPr="0066321E" w:rsidRDefault="00A45552" w:rsidP="0066321E">
            <w:pPr>
              <w:spacing w:line="240" w:lineRule="auto"/>
              <w:jc w:val="both"/>
              <w:rPr>
                <w:rFonts w:ascii="Candara" w:eastAsia="Times New Roman" w:hAnsi="Candara" w:cs="Times New Roman"/>
                <w:sz w:val="20"/>
                <w:szCs w:val="20"/>
              </w:rPr>
            </w:pPr>
            <w:r w:rsidRPr="0066321E">
              <w:rPr>
                <w:rFonts w:ascii="Candara" w:eastAsia="Times New Roman" w:hAnsi="Candara" w:cs="Times New Roman"/>
                <w:sz w:val="20"/>
                <w:szCs w:val="20"/>
              </w:rPr>
              <w:t>Metabolomics</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auto"/>
            <w:hideMark/>
          </w:tcPr>
          <w:p w14:paraId="0E5DF534" w14:textId="77777777" w:rsidR="00A45552" w:rsidRPr="0066321E" w:rsidRDefault="00A45552" w:rsidP="0066321E">
            <w:pPr>
              <w:spacing w:line="240" w:lineRule="auto"/>
              <w:jc w:val="both"/>
              <w:cnfStyle w:val="000000100000" w:firstRow="0" w:lastRow="0" w:firstColumn="0" w:lastColumn="0" w:oddVBand="0" w:evenVBand="0" w:oddHBand="1"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Defense metabolite production</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auto"/>
            <w:hideMark/>
          </w:tcPr>
          <w:p w14:paraId="45948403" w14:textId="77777777" w:rsidR="00A45552" w:rsidRPr="0066321E" w:rsidRDefault="00A45552" w:rsidP="0066321E">
            <w:pPr>
              <w:spacing w:line="240" w:lineRule="auto"/>
              <w:jc w:val="both"/>
              <w:cnfStyle w:val="000000100000" w:firstRow="0" w:lastRow="0" w:firstColumn="0" w:lastColumn="0" w:oddVBand="0" w:evenVBand="0" w:oddHBand="1"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Pathway activity confirmation</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auto"/>
            <w:hideMark/>
          </w:tcPr>
          <w:p w14:paraId="6D9942CD" w14:textId="77777777" w:rsidR="00A45552" w:rsidRPr="0066321E" w:rsidRDefault="00A45552" w:rsidP="0066321E">
            <w:pPr>
              <w:spacing w:line="240" w:lineRule="auto"/>
              <w:jc w:val="both"/>
              <w:cnfStyle w:val="000000100000" w:firstRow="0" w:lastRow="0" w:firstColumn="0" w:lastColumn="0" w:oddVBand="0" w:evenVBand="0" w:oddHBand="1"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t>Salicylic acid pathway genes</w:t>
            </w:r>
          </w:p>
        </w:tc>
        <w:tc>
          <w:tcPr>
            <w:tcW w:w="0" w:type="auto"/>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shd w:val="clear" w:color="auto" w:fill="auto"/>
          </w:tcPr>
          <w:p w14:paraId="2BA498E7" w14:textId="203D45F8" w:rsidR="00A45552" w:rsidRPr="0066321E" w:rsidRDefault="00A45552" w:rsidP="0066321E">
            <w:pPr>
              <w:spacing w:line="240" w:lineRule="auto"/>
              <w:jc w:val="both"/>
              <w:cnfStyle w:val="000000100000" w:firstRow="0" w:lastRow="0" w:firstColumn="0" w:lastColumn="0" w:oddVBand="0" w:evenVBand="0" w:oddHBand="1" w:evenHBand="0" w:firstRowFirstColumn="0" w:firstRowLastColumn="0" w:lastRowFirstColumn="0" w:lastRowLastColumn="0"/>
              <w:rPr>
                <w:rFonts w:ascii="Candara" w:eastAsia="Times New Roman" w:hAnsi="Candara" w:cs="Times New Roman"/>
                <w:sz w:val="20"/>
                <w:szCs w:val="20"/>
              </w:rPr>
            </w:pPr>
            <w:r w:rsidRPr="0066321E">
              <w:rPr>
                <w:rFonts w:ascii="Candara" w:eastAsia="Times New Roman" w:hAnsi="Candara" w:cs="Times New Roman"/>
                <w:sz w:val="20"/>
                <w:szCs w:val="20"/>
              </w:rPr>
              <w:fldChar w:fldCharType="begin"/>
            </w:r>
            <w:r w:rsidR="004942BD" w:rsidRPr="0066321E">
              <w:rPr>
                <w:rFonts w:ascii="Candara" w:eastAsia="Times New Roman" w:hAnsi="Candara" w:cs="Times New Roman"/>
                <w:sz w:val="20"/>
                <w:szCs w:val="20"/>
              </w:rPr>
              <w:instrText xml:space="preserve"> ADDIN EN.CITE &lt;EndNote&gt;&lt;Cite&gt;&lt;Author&gt;Yang&lt;/Author&gt;&lt;Year&gt;2022&lt;/Year&gt;&lt;RecNum&gt;84&lt;/RecNum&gt;&lt;DisplayText&gt;(Yang et al., 2022)&lt;/DisplayText&gt;&lt;record&gt;&lt;rec-number&gt;10&lt;/rec-number&gt;&lt;foreign-keys&gt;&lt;key app="EN" db-id="95ssws9phaeprxe29pup0erbd9atdzrtttfx" timestamp="1778838288"&gt;10&lt;/key&gt;&lt;/foreign-keys&gt;&lt;ref-type name="Journal Article"&gt;17&lt;/ref-type&gt;&lt;contributors&gt;&lt;authors&gt;&lt;author&gt;Yang, Fazhong&lt;/author&gt;&lt;author&gt;Wu, Chunhua&lt;/author&gt;&lt;author&gt;Zhu, Guolei&lt;/author&gt;&lt;author&gt;Yang, Qi&lt;/author&gt;&lt;author&gt;Wang, Kejian&lt;/author&gt;&lt;author&gt;Li, Yunxian&lt;/author&gt;&lt;/authors&gt;&lt;/contributors&gt;&lt;titles&gt;&lt;title&gt;An integrated transcriptomic and metabolomic analysis for changes in rose plant induced by rose powdery mildew and exogenous salicylic acid&lt;/title&gt;&lt;secondary-title&gt;Genomics&lt;/secondary-title&gt;&lt;/titles&gt;&lt;periodical&gt;&lt;full-title&gt;Genomics&lt;/full-title&gt;&lt;/periodical&gt;&lt;pages&gt;110516&lt;/pages&gt;&lt;volume&gt;114&lt;/volume&gt;&lt;number&gt;6&lt;/number&gt;&lt;keywords&gt;&lt;keyword&gt;Induced resistance&lt;/keyword&gt;&lt;keyword&gt;Transcriptome&lt;/keyword&gt;&lt;keyword&gt;Metabolome&lt;/keyword&gt;&lt;keyword&gt;Plant-fungus interaction&lt;/keyword&gt;&lt;keyword&gt;Salicylic acid pathway&lt;/keyword&gt;&lt;/keywords&gt;&lt;dates&gt;&lt;year&gt;2022&lt;/year&gt;&lt;pub-dates&gt;&lt;date&gt;2022/11/01/&lt;/date&gt;&lt;/pub-dates&gt;&lt;/dates&gt;&lt;isbn&gt;0888-7543&lt;/isbn&gt;&lt;urls&gt;&lt;related-urls&gt;&lt;url&gt;https://www.sciencedirect.com/science/article/pii/S0888754322002610&lt;/url&gt;&lt;/related-urls&gt;&lt;/urls&gt;&lt;electronic-resource-num&gt;https://doi.org/10.1016/j.ygeno.2022.110516&lt;/electronic-resource-num&gt;&lt;/record&gt;&lt;/Cite&gt;&lt;/EndNote&gt;</w:instrText>
            </w:r>
            <w:r w:rsidRPr="0066321E">
              <w:rPr>
                <w:rFonts w:ascii="Candara" w:eastAsia="Times New Roman" w:hAnsi="Candara" w:cs="Times New Roman"/>
                <w:sz w:val="20"/>
                <w:szCs w:val="20"/>
              </w:rPr>
              <w:fldChar w:fldCharType="separate"/>
            </w:r>
            <w:r w:rsidRPr="0066321E">
              <w:rPr>
                <w:rFonts w:ascii="Candara" w:eastAsia="Times New Roman" w:hAnsi="Candara" w:cs="Times New Roman"/>
                <w:noProof/>
                <w:sz w:val="20"/>
                <w:szCs w:val="20"/>
              </w:rPr>
              <w:t>(Yang et al., 2022)</w:t>
            </w:r>
            <w:r w:rsidRPr="0066321E">
              <w:rPr>
                <w:rFonts w:ascii="Candara" w:eastAsia="Times New Roman" w:hAnsi="Candara" w:cs="Times New Roman"/>
                <w:sz w:val="20"/>
                <w:szCs w:val="20"/>
              </w:rPr>
              <w:fldChar w:fldCharType="end"/>
            </w:r>
          </w:p>
        </w:tc>
      </w:tr>
    </w:tbl>
    <w:p w14:paraId="64D16D67" w14:textId="77777777" w:rsidR="00A45552" w:rsidRPr="0066321E" w:rsidRDefault="00A45552" w:rsidP="0066321E">
      <w:pPr>
        <w:spacing w:after="0" w:line="240" w:lineRule="auto"/>
        <w:jc w:val="both"/>
        <w:rPr>
          <w:rFonts w:ascii="Candara" w:hAnsi="Candara" w:cs="Times New Roman"/>
          <w:sz w:val="20"/>
          <w:szCs w:val="20"/>
        </w:rPr>
      </w:pPr>
    </w:p>
    <w:p w14:paraId="68393766"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CRISPR-Cas Systems for Functional Targeting</w:t>
      </w:r>
    </w:p>
    <w:p w14:paraId="502A3155" w14:textId="6FAEDFDB" w:rsidR="00C97C7D" w:rsidRPr="0066321E" w:rsidRDefault="00C97C7D" w:rsidP="0066321E">
      <w:pPr>
        <w:pStyle w:val="NormalWeb"/>
        <w:spacing w:before="0" w:beforeAutospacing="0" w:after="0" w:afterAutospacing="0"/>
        <w:jc w:val="both"/>
        <w:rPr>
          <w:rFonts w:ascii="Candara" w:hAnsi="Candara"/>
          <w:sz w:val="20"/>
          <w:szCs w:val="20"/>
        </w:rPr>
      </w:pPr>
      <w:r w:rsidRPr="0066321E">
        <w:rPr>
          <w:rFonts w:ascii="Candara" w:hAnsi="Candara"/>
          <w:sz w:val="20"/>
          <w:szCs w:val="20"/>
        </w:rPr>
        <w:t xml:space="preserve">The CRISPR-Cas systems have transformed modern functional genomics by enabling an accurate, effective, and customizable system of genome editing. They are now commonly employed to assay gene functionality or to manipulate desired changes in plant and animal systems </w:t>
      </w:r>
      <w:r w:rsidRPr="0066321E">
        <w:rPr>
          <w:rFonts w:ascii="Candara" w:hAnsi="Candara"/>
          <w:sz w:val="20"/>
          <w:szCs w:val="20"/>
        </w:rPr>
        <w:fldChar w:fldCharType="begin"/>
      </w:r>
      <w:r w:rsidR="004942BD" w:rsidRPr="0066321E">
        <w:rPr>
          <w:rFonts w:ascii="Candara" w:hAnsi="Candara"/>
          <w:sz w:val="20"/>
          <w:szCs w:val="20"/>
        </w:rPr>
        <w:instrText xml:space="preserve"> ADDIN EN.CITE &lt;EndNote&gt;&lt;Cite&gt;&lt;Author&gt;Yang&lt;/Author&gt;&lt;Year&gt;2022&lt;/Year&gt;&lt;RecNum&gt;84&lt;/RecNum&gt;&lt;DisplayText&gt;(Yang et al., 2022)&lt;/DisplayText&gt;&lt;record&gt;&lt;rec-number&gt;10&lt;/rec-number&gt;&lt;foreign-keys&gt;&lt;key app="EN" db-id="95ssws9phaeprxe29pup0erbd9atdzrtttfx" timestamp="1778838288"&gt;10&lt;/key&gt;&lt;/foreign-keys&gt;&lt;ref-type name="Journal Article"&gt;17&lt;/ref-type&gt;&lt;contributors&gt;&lt;authors&gt;&lt;author&gt;Yang, Fazhong&lt;/author&gt;&lt;author&gt;Wu, Chunhua&lt;/author&gt;&lt;author&gt;Zhu, Guolei&lt;/author&gt;&lt;author&gt;Yang, Qi&lt;/author&gt;&lt;author&gt;Wang, Kejian&lt;/author&gt;&lt;author&gt;Li, Yunxian&lt;/author&gt;&lt;/authors&gt;&lt;/contributors&gt;&lt;titles&gt;&lt;title&gt;An integrated transcriptomic and metabolomic analysis for changes in rose plant induced by rose powdery mildew and exogenous salicylic acid&lt;/title&gt;&lt;secondary-title&gt;Genomics&lt;/secondary-title&gt;&lt;/titles&gt;&lt;periodical&gt;&lt;full-title&gt;Genomics&lt;/full-title&gt;&lt;/periodical&gt;&lt;pages&gt;110516&lt;/pages&gt;&lt;volume&gt;114&lt;/volume&gt;&lt;number&gt;6&lt;/number&gt;&lt;keywords&gt;&lt;keyword&gt;Induced resistance&lt;/keyword&gt;&lt;keyword&gt;Transcriptome&lt;/keyword&gt;&lt;keyword&gt;Metabolome&lt;/keyword&gt;&lt;keyword&gt;Plant-fungus interaction&lt;/keyword&gt;&lt;keyword&gt;Salicylic acid pathway&lt;/keyword&gt;&lt;/keywords&gt;&lt;dates&gt;&lt;year&gt;2022&lt;/year&gt;&lt;pub-dates&gt;&lt;date&gt;2022/11/01/&lt;/date&gt;&lt;/pub-dates&gt;&lt;/dates&gt;&lt;isbn&gt;0888-7543&lt;/isbn&gt;&lt;urls&gt;&lt;related-urls&gt;&lt;url&gt;https://www.sciencedirect.com/science/article/pii/S0888754322002610&lt;/url&gt;&lt;/related-urls&gt;&lt;/urls&gt;&lt;electronic-resource-num&gt;https://doi.org/10.1016/j.ygeno.2022.110516&lt;/electronic-resource-num&gt;&lt;/record&gt;&lt;/Cite&gt;&lt;/EndNote&gt;</w:instrText>
      </w:r>
      <w:r w:rsidRPr="0066321E">
        <w:rPr>
          <w:rFonts w:ascii="Candara" w:hAnsi="Candara"/>
          <w:sz w:val="20"/>
          <w:szCs w:val="20"/>
        </w:rPr>
        <w:fldChar w:fldCharType="separate"/>
      </w:r>
      <w:r w:rsidRPr="0066321E">
        <w:rPr>
          <w:rFonts w:ascii="Candara" w:hAnsi="Candara"/>
          <w:noProof/>
          <w:sz w:val="20"/>
          <w:szCs w:val="20"/>
        </w:rPr>
        <w:t>(Yang et al., 2022)</w:t>
      </w:r>
      <w:r w:rsidRPr="0066321E">
        <w:rPr>
          <w:rFonts w:ascii="Candara" w:hAnsi="Candara"/>
          <w:sz w:val="20"/>
          <w:szCs w:val="20"/>
        </w:rPr>
        <w:fldChar w:fldCharType="end"/>
      </w:r>
      <w:r w:rsidRPr="0066321E">
        <w:rPr>
          <w:rFonts w:ascii="Candara" w:hAnsi="Candara"/>
          <w:sz w:val="20"/>
          <w:szCs w:val="20"/>
        </w:rPr>
        <w:t xml:space="preserve">. Their greatest strength is that they can directly interact with select DNA sequences and this means that researchers can experimentally determine one of the candidate disease resistance genes found by transcriptomic analyses to indeed play a role in immune responses. This has endowed the CRISPR technology to be a vital bridge between computational discovery of genes and experimental validation to pursue disease resistance research with a great deal of speed </w:t>
      </w:r>
      <w:r w:rsidRPr="0066321E">
        <w:rPr>
          <w:rFonts w:ascii="Candara" w:hAnsi="Candara"/>
          <w:sz w:val="20"/>
          <w:szCs w:val="20"/>
        </w:rPr>
        <w:fldChar w:fldCharType="begin"/>
      </w:r>
      <w:r w:rsidR="004942BD" w:rsidRPr="0066321E">
        <w:rPr>
          <w:rFonts w:ascii="Candara" w:hAnsi="Candara"/>
          <w:sz w:val="20"/>
          <w:szCs w:val="20"/>
        </w:rPr>
        <w:instrText xml:space="preserve"> ADDIN EN.CITE &lt;EndNote&gt;&lt;Cite&gt;&lt;Author&gt;Younas&lt;/Author&gt;&lt;Year&gt;2024&lt;/Year&gt;&lt;RecNum&gt;86&lt;/RecNum&gt;&lt;DisplayText&gt;(Younas et al., 2024)&lt;/DisplayText&gt;&lt;record&gt;&lt;rec-number&gt;11&lt;/rec-number&gt;&lt;foreign-keys&gt;&lt;key app="EN" db-id="95ssws9phaeprxe29pup0erbd9atdzrtttfx" timestamp="1778838288"&gt;11&lt;/key&gt;&lt;/foreign-keys&gt;&lt;ref-type name="Journal Article"&gt;17&lt;/ref-type&gt;&lt;contributors&gt;&lt;authors&gt;&lt;author&gt;Younas, Muhammad Usama&lt;/author&gt;&lt;author&gt;Ahmad, Irshad&lt;/author&gt;&lt;author&gt;Qasim, Muhammad&lt;/author&gt;&lt;author&gt;Ijaz, Zainab&lt;/author&gt;&lt;author&gt;Rajput, Nimra&lt;/author&gt;&lt;author&gt;Parveen Memon, Saima&lt;/author&gt;&lt;author&gt;UL Zaman, Waqar&lt;/author&gt;&lt;author&gt;Jiang, Xiaohong&lt;/author&gt;&lt;author&gt;Zhang, Yi&lt;/author&gt;&lt;author&gt;Zuo, Shimin&lt;/author&gt;&lt;/authors&gt;&lt;/contributors&gt;&lt;titles&gt;&lt;title&gt;Progress in the Management of Rice Blast Disease: The Role of Avirulence and Resistance Genes through Gene-for-Gene Interactions&lt;/title&gt;&lt;secondary-title&gt;Agronomy&lt;/secondary-title&gt;&lt;/titles&gt;&lt;periodical&gt;&lt;full-title&gt;Agronomy&lt;/full-title&gt;&lt;/periodical&gt;&lt;pages&gt;163&lt;/pages&gt;&lt;volume&gt;14&lt;/volume&gt;&lt;number&gt;1&lt;/number&gt;&lt;dates&gt;&lt;year&gt;2024&lt;/year&gt;&lt;/dates&gt;&lt;isbn&gt;2073-4395&lt;/isbn&gt;&lt;accession-num&gt;doi:10.3390/agronomy14010163&lt;/accession-num&gt;&lt;urls&gt;&lt;related-urls&gt;&lt;url&gt;https://www.mdpi.com/2073-4395/14/1/163&lt;/url&gt;&lt;/related-urls&gt;&lt;/urls&gt;&lt;/record&gt;&lt;/Cite&gt;&lt;/EndNote&gt;</w:instrText>
      </w:r>
      <w:r w:rsidRPr="0066321E">
        <w:rPr>
          <w:rFonts w:ascii="Candara" w:hAnsi="Candara"/>
          <w:sz w:val="20"/>
          <w:szCs w:val="20"/>
        </w:rPr>
        <w:fldChar w:fldCharType="separate"/>
      </w:r>
      <w:r w:rsidRPr="0066321E">
        <w:rPr>
          <w:rFonts w:ascii="Candara" w:hAnsi="Candara"/>
          <w:noProof/>
          <w:sz w:val="20"/>
          <w:szCs w:val="20"/>
        </w:rPr>
        <w:t>(Younas et al., 2024)</w:t>
      </w:r>
      <w:r w:rsidRPr="0066321E">
        <w:rPr>
          <w:rFonts w:ascii="Candara" w:hAnsi="Candara"/>
          <w:sz w:val="20"/>
          <w:szCs w:val="20"/>
        </w:rPr>
        <w:fldChar w:fldCharType="end"/>
      </w:r>
      <w:r w:rsidRPr="0066321E">
        <w:rPr>
          <w:rFonts w:ascii="Candara" w:hAnsi="Candara"/>
          <w:sz w:val="20"/>
          <w:szCs w:val="20"/>
        </w:rPr>
        <w:t>.</w:t>
      </w:r>
    </w:p>
    <w:p w14:paraId="7DB35A93" w14:textId="6215DA87" w:rsidR="00C97C7D" w:rsidRPr="0066321E" w:rsidRDefault="00C97C7D" w:rsidP="0066321E">
      <w:pPr>
        <w:pStyle w:val="NormalWeb"/>
        <w:spacing w:before="0" w:beforeAutospacing="0" w:after="0" w:afterAutospacing="0"/>
        <w:jc w:val="both"/>
        <w:rPr>
          <w:rFonts w:ascii="Candara" w:hAnsi="Candara"/>
          <w:sz w:val="20"/>
          <w:szCs w:val="20"/>
        </w:rPr>
      </w:pPr>
      <w:r w:rsidRPr="0066321E">
        <w:rPr>
          <w:rFonts w:ascii="Candara" w:hAnsi="Candara"/>
          <w:sz w:val="20"/>
          <w:szCs w:val="20"/>
        </w:rPr>
        <w:t xml:space="preserve">CRISPR toolkit comprises a variety of systems that have varying editing features, allowing various genetic manipulations to be done. The most common of these is called Cas9 and it is used to create two-strand breaks at the preferential genomic sites within a guided RNA sequence used to knock out a gene or undertake other targeted modifications </w:t>
      </w:r>
      <w:r w:rsidRPr="0066321E">
        <w:rPr>
          <w:rFonts w:ascii="Candara" w:hAnsi="Candara"/>
          <w:sz w:val="20"/>
          <w:szCs w:val="20"/>
        </w:rPr>
        <w:fldChar w:fldCharType="begin">
          <w:fldData xml:space="preserve">PEVuZE5vdGU+PENpdGU+PEF1dGhvcj5MaTwvQXV0aG9yPjxZZWFyPjIwMjM8L1llYXI+PFJlY051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</w:fldData>
        </w:fldChar>
      </w:r>
      <w:r w:rsidR="004942BD" w:rsidRPr="0066321E">
        <w:rPr>
          <w:rFonts w:ascii="Candara" w:hAnsi="Candara"/>
          <w:sz w:val="20"/>
          <w:szCs w:val="20"/>
        </w:rPr>
        <w:instrText xml:space="preserve"> ADDIN EN.CITE </w:instrText>
      </w:r>
      <w:r w:rsidR="004942BD" w:rsidRPr="0066321E">
        <w:rPr>
          <w:rFonts w:ascii="Candara" w:hAnsi="Candara"/>
          <w:sz w:val="20"/>
          <w:szCs w:val="20"/>
        </w:rPr>
        <w:fldChar w:fldCharType="begin">
          <w:fldData xml:space="preserve">PEVuZE5vdGU+PENpdGU+PEF1dGhvcj5MaTwvQXV0aG9yPjxZZWFyPjIwMjM8L1llYXI+PFJlY051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</w:fldData>
        </w:fldChar>
      </w:r>
      <w:r w:rsidR="004942BD" w:rsidRPr="0066321E">
        <w:rPr>
          <w:rFonts w:ascii="Candara" w:hAnsi="Candara"/>
          <w:sz w:val="20"/>
          <w:szCs w:val="20"/>
        </w:rPr>
        <w:instrText xml:space="preserve"> ADDIN EN.CITE.DATA </w:instrText>
      </w:r>
      <w:r w:rsidR="004942BD" w:rsidRPr="0066321E">
        <w:rPr>
          <w:rFonts w:ascii="Candara" w:hAnsi="Candara"/>
          <w:sz w:val="20"/>
          <w:szCs w:val="20"/>
        </w:rPr>
      </w:r>
      <w:r w:rsidR="004942BD" w:rsidRPr="0066321E">
        <w:rPr>
          <w:rFonts w:ascii="Candara" w:hAnsi="Candara"/>
          <w:sz w:val="20"/>
          <w:szCs w:val="20"/>
        </w:rPr>
        <w:fldChar w:fldCharType="end"/>
      </w:r>
      <w:r w:rsidRPr="0066321E">
        <w:rPr>
          <w:rFonts w:ascii="Candara" w:hAnsi="Candara"/>
          <w:sz w:val="20"/>
          <w:szCs w:val="20"/>
        </w:rPr>
      </w:r>
      <w:r w:rsidRPr="0066321E">
        <w:rPr>
          <w:rFonts w:ascii="Candara" w:hAnsi="Candara"/>
          <w:sz w:val="20"/>
          <w:szCs w:val="20"/>
        </w:rPr>
        <w:fldChar w:fldCharType="separate"/>
      </w:r>
      <w:r w:rsidRPr="0066321E">
        <w:rPr>
          <w:rFonts w:ascii="Candara" w:hAnsi="Candara"/>
          <w:noProof/>
          <w:sz w:val="20"/>
          <w:szCs w:val="20"/>
        </w:rPr>
        <w:t>(Devillars et al., 2024; Li et al., 2023)</w:t>
      </w:r>
      <w:r w:rsidRPr="0066321E">
        <w:rPr>
          <w:rFonts w:ascii="Candara" w:hAnsi="Candara"/>
          <w:sz w:val="20"/>
          <w:szCs w:val="20"/>
        </w:rPr>
        <w:fldChar w:fldCharType="end"/>
      </w:r>
      <w:r w:rsidRPr="0066321E">
        <w:rPr>
          <w:rFonts w:ascii="Candara" w:hAnsi="Candara"/>
          <w:sz w:val="20"/>
          <w:szCs w:val="20"/>
        </w:rPr>
        <w:t xml:space="preserve">. Cas12 is another noteworthy system that can provide alternative modes of cleavage and even greater specificity in some cases, such as </w:t>
      </w:r>
      <w:r w:rsidRPr="0066321E">
        <w:rPr>
          <w:rFonts w:ascii="Candara" w:hAnsi="Candara"/>
          <w:sz w:val="20"/>
          <w:szCs w:val="20"/>
        </w:rPr>
        <w:lastRenderedPageBreak/>
        <w:t xml:space="preserve">multiplex genome editing and diagnostic systems. More than these nucleases, new sophisticated tools like base edifiers have transformed the ability to make base-edits with high precision without causing a break of the two strands of DNA, thus reducing the unwanted genomic damage </w:t>
      </w:r>
      <w:r w:rsidRPr="0066321E">
        <w:rPr>
          <w:rFonts w:ascii="Candara" w:hAnsi="Candara"/>
          <w:sz w:val="20"/>
          <w:szCs w:val="20"/>
        </w:rPr>
        <w:fldChar w:fldCharType="begin"/>
      </w:r>
      <w:r w:rsidR="004942BD" w:rsidRPr="0066321E">
        <w:rPr>
          <w:rFonts w:ascii="Candara" w:hAnsi="Candara"/>
          <w:sz w:val="20"/>
          <w:szCs w:val="20"/>
        </w:rPr>
        <w:instrText xml:space="preserve"> ADDIN EN.CITE &lt;EndNote&gt;&lt;Cite&gt;&lt;Author&gt;Li&lt;/Author&gt;&lt;Year&gt;2023&lt;/Year&gt;&lt;RecNum&gt;87&lt;/RecNum&gt;&lt;DisplayText&gt;(Li et al., 2023)&lt;/DisplayText&gt;&lt;record&gt;&lt;rec-number&gt;12&lt;/rec-number&gt;&lt;foreign-keys&gt;&lt;key app="EN" db-id="95ssws9phaeprxe29pup0erbd9atdzrtttfx" timestamp="1778838288"&gt;12&lt;/key&gt;&lt;/foreign-keys&gt;&lt;ref-type name="Journal Article"&gt;17&lt;/ref-type&gt;&lt;contributors&gt;&lt;authors&gt;&lt;author&gt;Li, Chao&lt;/author&gt;&lt;author&gt;Chu, Wen&lt;/author&gt;&lt;author&gt;Gill, Rafaqat Ali&lt;/author&gt;&lt;author&gt;Sang, Shifei&lt;/author&gt;&lt;author&gt;Shi, Yuqin&lt;/author&gt;&lt;author&gt;Hu, Xuezhi&lt;/author&gt;&lt;author&gt;Yang, Yuting&lt;/author&gt;&lt;author&gt;Zaman, Qamar U&lt;/author&gt;&lt;author&gt;Zhang, Baohong&lt;/author&gt;&lt;/authors&gt;&lt;/contributors&gt;&lt;titles&gt;&lt;title&gt;Computational tools and resources for CRISPR/Cas genome editing&lt;/title&gt;&lt;secondary-title&gt;Genomics, proteomics &amp;amp; bioinformatics&lt;/secondary-title&gt;&lt;/titles&gt;&lt;periodical&gt;&lt;full-title&gt;Genomics, proteomics &amp;amp; bioinformatics&lt;/full-title&gt;&lt;/periodical&gt;&lt;pages&gt;108-126&lt;/pages&gt;&lt;volume&gt;21&lt;/volume&gt;&lt;number&gt;1&lt;/number&gt;&lt;dates&gt;&lt;year&gt;2023&lt;/year&gt;&lt;/dates&gt;&lt;isbn&gt;1672-0229&lt;/isbn&gt;&lt;urls&gt;&lt;/urls&gt;&lt;/record&gt;&lt;/Cite&gt;&lt;/EndNote&gt;</w:instrText>
      </w:r>
      <w:r w:rsidRPr="0066321E">
        <w:rPr>
          <w:rFonts w:ascii="Candara" w:hAnsi="Candara"/>
          <w:sz w:val="20"/>
          <w:szCs w:val="20"/>
        </w:rPr>
        <w:fldChar w:fldCharType="separate"/>
      </w:r>
      <w:r w:rsidRPr="0066321E">
        <w:rPr>
          <w:rFonts w:ascii="Candara" w:hAnsi="Candara"/>
          <w:noProof/>
          <w:sz w:val="20"/>
          <w:szCs w:val="20"/>
        </w:rPr>
        <w:t>(Li et al., 2023)</w:t>
      </w:r>
      <w:r w:rsidRPr="0066321E">
        <w:rPr>
          <w:rFonts w:ascii="Candara" w:hAnsi="Candara"/>
          <w:sz w:val="20"/>
          <w:szCs w:val="20"/>
        </w:rPr>
        <w:fldChar w:fldCharType="end"/>
      </w:r>
      <w:r w:rsidRPr="0066321E">
        <w:rPr>
          <w:rFonts w:ascii="Candara" w:hAnsi="Candara"/>
          <w:sz w:val="20"/>
          <w:szCs w:val="20"/>
        </w:rPr>
        <w:t xml:space="preserve">. Moreover, prime editing has become one of the most versatile methodologies that can make precise insertions, deletions, and substitutes. Collectively, these technologies offer a versatile and holistic genome editing framework of exquisite functional targeting of disease resistance genes </w:t>
      </w:r>
      <w:r w:rsidRPr="0066321E">
        <w:rPr>
          <w:rFonts w:ascii="Candara" w:hAnsi="Candara"/>
          <w:sz w:val="20"/>
          <w:szCs w:val="20"/>
        </w:rPr>
        <w:fldChar w:fldCharType="begin"/>
      </w:r>
      <w:r w:rsidR="004942BD" w:rsidRPr="0066321E">
        <w:rPr>
          <w:rFonts w:ascii="Candara" w:hAnsi="Candara"/>
          <w:sz w:val="20"/>
          <w:szCs w:val="20"/>
        </w:rPr>
        <w:instrText xml:space="preserve"> ADDIN EN.CITE &lt;EndNote&gt;&lt;Cite&gt;&lt;Author&gt;Jiang&lt;/Author&gt;&lt;Year&gt;2022&lt;/Year&gt;&lt;RecNum&gt;90&lt;/RecNum&gt;&lt;DisplayText&gt;(Jiang et al., 2022)&lt;/DisplayText&gt;&lt;record&gt;&lt;rec-number&gt;14&lt;/rec-number&gt;&lt;foreign-keys&gt;&lt;key app="EN" db-id="95ssws9phaeprxe29pup0erbd9atdzrtttfx" timestamp="1778838289"&gt;14&lt;/key&gt;&lt;/foreign-keys&gt;&lt;ref-type name="Journal Article"&gt;17&lt;/ref-type&gt;&lt;contributors&gt;&lt;authors&gt;&lt;author&gt;Jiang, Tingting&lt;/author&gt;&lt;author&gt;Zhang, Xiao-Ou&lt;/author&gt;&lt;author&gt;Weng, Zhiping&lt;/author&gt;&lt;author&gt;Xue, Wen&lt;/author&gt;&lt;/authors&gt;&lt;/contributors&gt;&lt;titles&gt;&lt;title&gt;Deletion and replacement of long genomic sequences using prime editing&lt;/title&gt;&lt;secondary-title&gt;Nature Biotechnology&lt;/secondary-title&gt;&lt;/titles&gt;&lt;periodical&gt;&lt;full-title&gt;Nature Biotechnology&lt;/full-title&gt;&lt;/periodical&gt;&lt;pages&gt;227-234&lt;/pages&gt;&lt;volume&gt;40&lt;/volume&gt;&lt;number&gt;2&lt;/number&gt;&lt;dates&gt;&lt;year&gt;2022&lt;/year&gt;&lt;pub-dates&gt;&lt;date&gt;2022/02/01&lt;/date&gt;&lt;/pub-dates&gt;&lt;/dates&gt;&lt;isbn&gt;1546-1696&lt;/isbn&gt;&lt;urls&gt;&lt;related-urls&gt;&lt;url&gt;https://doi.org/10.1038/s41587-021-01026-y&lt;/url&gt;&lt;/related-urls&gt;&lt;/urls&gt;&lt;electronic-resource-num&gt;10.1038/s41587-021-01026-y&lt;/electronic-resource-num&gt;&lt;/record&gt;&lt;/Cite&gt;&lt;/EndNote&gt;</w:instrText>
      </w:r>
      <w:r w:rsidRPr="0066321E">
        <w:rPr>
          <w:rFonts w:ascii="Candara" w:hAnsi="Candara"/>
          <w:sz w:val="20"/>
          <w:szCs w:val="20"/>
        </w:rPr>
        <w:fldChar w:fldCharType="separate"/>
      </w:r>
      <w:r w:rsidRPr="0066321E">
        <w:rPr>
          <w:rFonts w:ascii="Candara" w:hAnsi="Candara"/>
          <w:noProof/>
          <w:sz w:val="20"/>
          <w:szCs w:val="20"/>
        </w:rPr>
        <w:t>(Jiang et al., 2022)</w:t>
      </w:r>
      <w:r w:rsidRPr="0066321E">
        <w:rPr>
          <w:rFonts w:ascii="Candara" w:hAnsi="Candara"/>
          <w:sz w:val="20"/>
          <w:szCs w:val="20"/>
        </w:rPr>
        <w:fldChar w:fldCharType="end"/>
      </w:r>
      <w:r w:rsidRPr="0066321E">
        <w:rPr>
          <w:rFonts w:ascii="Candara" w:hAnsi="Candara"/>
          <w:sz w:val="20"/>
          <w:szCs w:val="20"/>
        </w:rPr>
        <w:t>.</w:t>
      </w:r>
    </w:p>
    <w:p w14:paraId="64A6AB4B" w14:textId="77777777" w:rsidR="00C97C7D" w:rsidRPr="0066321E" w:rsidRDefault="00C97C7D" w:rsidP="0066321E">
      <w:pPr>
        <w:pStyle w:val="NormalWeb"/>
        <w:keepNext/>
        <w:spacing w:before="0" w:beforeAutospacing="0" w:after="0" w:afterAutospacing="0"/>
        <w:jc w:val="both"/>
        <w:rPr>
          <w:rFonts w:ascii="Candara" w:hAnsi="Candara"/>
          <w:sz w:val="20"/>
          <w:szCs w:val="20"/>
        </w:rPr>
      </w:pPr>
      <w:r w:rsidRPr="0066321E">
        <w:rPr>
          <w:rFonts w:ascii="Candara" w:hAnsi="Candara"/>
          <w:noProof/>
          <w:sz w:val="20"/>
          <w:szCs w:val="20"/>
        </w:rPr>
        <w:drawing>
          <wp:inline distT="0" distB="0" distL="0" distR="0" wp14:anchorId="57411CE6" wp14:editId="1996DB9A">
            <wp:extent cx="5662826" cy="2870200"/>
            <wp:effectExtent l="0" t="0" r="0" b="6350"/>
            <wp:docPr id="7413116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311652" name="Picture 741311652"/>
                    <pic:cNvPicPr/>
                  </pic:nvPicPr>
                  <pic:blipFill rotWithShape="1">
                    <a:blip r:embed="rId6" cstate="print">
                      <a:extLst>
                        <a:ext uri="{28A0092B-C50C-407E-A947-70E740481C1C}">
                          <a14:useLocalDpi xmlns:a14="http://schemas.microsoft.com/office/drawing/2010/main" val="0"/>
                        </a:ext>
                      </a:extLst>
                    </a:blip>
                    <a:srcRect l="21652" t="9404" r="20637" b="10501"/>
                    <a:stretch>
                      <a:fillRect/>
                    </a:stretch>
                  </pic:blipFill>
                  <pic:spPr bwMode="auto">
                    <a:xfrm>
                      <a:off x="0" y="0"/>
                      <a:ext cx="5728696" cy="2903586"/>
                    </a:xfrm>
                    <a:prstGeom prst="rect">
                      <a:avLst/>
                    </a:prstGeom>
                    <a:ln>
                      <a:noFill/>
                    </a:ln>
                    <a:extLst>
                      <a:ext uri="{53640926-AAD7-44D8-BBD7-CCE9431645EC}">
                        <a14:shadowObscured xmlns:a14="http://schemas.microsoft.com/office/drawing/2010/main"/>
                      </a:ext>
                    </a:extLst>
                  </pic:spPr>
                </pic:pic>
              </a:graphicData>
            </a:graphic>
          </wp:inline>
        </w:drawing>
      </w:r>
    </w:p>
    <w:p w14:paraId="690639AE" w14:textId="432175CB" w:rsidR="00C97C7D" w:rsidRPr="0066321E" w:rsidRDefault="00C97C7D" w:rsidP="0066321E">
      <w:pPr>
        <w:pStyle w:val="Caption"/>
        <w:spacing w:after="0"/>
        <w:jc w:val="both"/>
        <w:rPr>
          <w:rFonts w:ascii="Candara" w:hAnsi="Candara" w:cs="Times New Roman"/>
          <w:i w:val="0"/>
          <w:iCs w:val="0"/>
          <w:noProof/>
          <w:color w:val="auto"/>
          <w:sz w:val="20"/>
          <w:szCs w:val="20"/>
        </w:rPr>
      </w:pPr>
      <w:r w:rsidRPr="0066321E">
        <w:rPr>
          <w:rFonts w:ascii="Candara" w:hAnsi="Candara" w:cs="Times New Roman"/>
          <w:b/>
          <w:bCs/>
          <w:color w:val="auto"/>
          <w:sz w:val="20"/>
          <w:szCs w:val="20"/>
        </w:rPr>
        <w:t>Figure</w:t>
      </w:r>
      <w:r w:rsidR="00A45552" w:rsidRPr="0066321E">
        <w:rPr>
          <w:rFonts w:ascii="Candara" w:hAnsi="Candara" w:cs="Times New Roman"/>
          <w:b/>
          <w:bCs/>
          <w:color w:val="auto"/>
          <w:sz w:val="20"/>
          <w:szCs w:val="20"/>
        </w:rPr>
        <w:t xml:space="preserve"> </w:t>
      </w:r>
      <w:r w:rsidR="004533E1" w:rsidRPr="0066321E">
        <w:rPr>
          <w:rFonts w:ascii="Candara" w:hAnsi="Candara" w:cs="Times New Roman"/>
          <w:b/>
          <w:bCs/>
          <w:color w:val="auto"/>
          <w:sz w:val="20"/>
          <w:szCs w:val="20"/>
        </w:rPr>
        <w:t>3</w:t>
      </w:r>
      <w:r w:rsidRPr="0066321E">
        <w:rPr>
          <w:rFonts w:ascii="Candara" w:hAnsi="Candara" w:cs="Times New Roman"/>
          <w:b/>
          <w:bCs/>
          <w:color w:val="auto"/>
          <w:sz w:val="20"/>
          <w:szCs w:val="20"/>
        </w:rPr>
        <w:t>.</w:t>
      </w:r>
      <w:r w:rsidRPr="0066321E">
        <w:rPr>
          <w:rFonts w:ascii="Candara" w:hAnsi="Candara" w:cs="Times New Roman"/>
          <w:i w:val="0"/>
          <w:iCs w:val="0"/>
          <w:noProof/>
          <w:color w:val="auto"/>
          <w:sz w:val="20"/>
          <w:szCs w:val="20"/>
        </w:rPr>
        <w:t xml:space="preserve"> CRISPR-Cas9 Target Recognition and DNA Cleavage Mechanism</w:t>
      </w:r>
    </w:p>
    <w:p w14:paraId="743769C5" w14:textId="1A37F4BC"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Figure </w:t>
      </w:r>
      <w:r w:rsidR="004533E1" w:rsidRPr="0066321E">
        <w:rPr>
          <w:rFonts w:ascii="Candara" w:hAnsi="Candara" w:cs="Times New Roman"/>
          <w:sz w:val="20"/>
          <w:szCs w:val="20"/>
        </w:rPr>
        <w:t>3</w:t>
      </w:r>
      <w:r w:rsidRPr="0066321E">
        <w:rPr>
          <w:rFonts w:ascii="Candara" w:hAnsi="Candara" w:cs="Times New Roman"/>
          <w:sz w:val="20"/>
          <w:szCs w:val="20"/>
        </w:rPr>
        <w:t xml:space="preserve"> shows the process of CRISPR-Cas9 target recognition and DNA cleavage by displaying the attachment of guide RNA, Cas protein, and genomic DNA. The graphical one makes the explanation of the molecular nature of genome editing easy to understand, contributing to the comprehension of specificity and targeted alteration. It supports the links between computational gRNA design and experimental genome editing results.</w:t>
      </w:r>
    </w:p>
    <w:p w14:paraId="0CE1AE85"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In-silico gRNA Design Pipeline</w:t>
      </w:r>
    </w:p>
    <w:p w14:paraId="48F0D2D9" w14:textId="77777777"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In-silico gRNA design is the computational backbone of CRISPR-based genome editing, translating </w:t>
      </w:r>
      <w:proofErr w:type="spellStart"/>
      <w:r w:rsidRPr="0066321E">
        <w:rPr>
          <w:rFonts w:ascii="Candara" w:hAnsi="Candara" w:cs="Times New Roman"/>
          <w:sz w:val="20"/>
          <w:szCs w:val="20"/>
        </w:rPr>
        <w:t>transcriptomically</w:t>
      </w:r>
      <w:proofErr w:type="spellEnd"/>
      <w:r w:rsidRPr="0066321E">
        <w:rPr>
          <w:rFonts w:ascii="Candara" w:hAnsi="Candara" w:cs="Times New Roman"/>
          <w:sz w:val="20"/>
          <w:szCs w:val="20"/>
        </w:rPr>
        <w:t xml:space="preserve"> identified candidate genes into actionable targeting strategies by systematically optimizing gRNA specificity, efficiency, and safety before any experimental intervention (Kim et al., 2026; Zhang et al., 2023; </w:t>
      </w:r>
      <w:proofErr w:type="spellStart"/>
      <w:r w:rsidRPr="0066321E">
        <w:rPr>
          <w:rFonts w:ascii="Candara" w:hAnsi="Candara" w:cs="Times New Roman"/>
          <w:sz w:val="20"/>
          <w:szCs w:val="20"/>
        </w:rPr>
        <w:t>Sinharay</w:t>
      </w:r>
      <w:proofErr w:type="spellEnd"/>
      <w:r w:rsidRPr="0066321E">
        <w:rPr>
          <w:rFonts w:ascii="Candara" w:hAnsi="Candara" w:cs="Times New Roman"/>
          <w:sz w:val="20"/>
          <w:szCs w:val="20"/>
        </w:rPr>
        <w:t xml:space="preserve"> et al., 2026).</w:t>
      </w:r>
    </w:p>
    <w:p w14:paraId="59D5A0F4"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Target Sequence Identification</w:t>
      </w:r>
    </w:p>
    <w:p w14:paraId="738C8D79" w14:textId="5B3ABDCB"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Pipeline initiation begins with retrieval of genomic sequences for prioritized candidate genes from reference databases following transcriptomic screening (</w:t>
      </w:r>
      <w:proofErr w:type="spellStart"/>
      <w:r w:rsidRPr="0066321E">
        <w:rPr>
          <w:rFonts w:ascii="Candara" w:hAnsi="Candara" w:cs="Times New Roman"/>
          <w:sz w:val="20"/>
          <w:szCs w:val="20"/>
        </w:rPr>
        <w:t>Simirenko</w:t>
      </w:r>
      <w:proofErr w:type="spellEnd"/>
      <w:r w:rsidRPr="0066321E">
        <w:rPr>
          <w:rFonts w:ascii="Candara" w:hAnsi="Candara" w:cs="Times New Roman"/>
          <w:sz w:val="20"/>
          <w:szCs w:val="20"/>
        </w:rPr>
        <w:t xml:space="preserve"> et al., 2023). Sequence accuracy at this stage is paramount, as errors propagate directly into downstream gRNA design and targeting performance (Kim et al., 2024). Researchers preferentially target early exons and functionally conserved domains</w:t>
      </w:r>
      <w:r w:rsidR="00B31952" w:rsidRPr="0066321E">
        <w:rPr>
          <w:rFonts w:ascii="Candara" w:hAnsi="Candara" w:cs="Times New Roman"/>
          <w:sz w:val="20"/>
          <w:szCs w:val="20"/>
        </w:rPr>
        <w:t>,</w:t>
      </w:r>
      <w:r w:rsidRPr="0066321E">
        <w:rPr>
          <w:rFonts w:ascii="Candara" w:hAnsi="Candara" w:cs="Times New Roman"/>
          <w:sz w:val="20"/>
          <w:szCs w:val="20"/>
        </w:rPr>
        <w:t xml:space="preserve"> such as catalytic or binding sites — since mutations in these regions most reliably produce complete knockouts or disrupt critical protein functions (Hamed et al., 2025; Y. Wang et al., 2024). Where multiple transcript isoforms exist, targeting sequences common to major isoforms </w:t>
      </w:r>
      <w:r w:rsidR="00B31952" w:rsidRPr="0066321E">
        <w:rPr>
          <w:rFonts w:ascii="Candara" w:hAnsi="Candara" w:cs="Times New Roman"/>
          <w:sz w:val="20"/>
          <w:szCs w:val="20"/>
        </w:rPr>
        <w:t>maximize</w:t>
      </w:r>
      <w:r w:rsidRPr="0066321E">
        <w:rPr>
          <w:rFonts w:ascii="Candara" w:hAnsi="Candara" w:cs="Times New Roman"/>
          <w:sz w:val="20"/>
          <w:szCs w:val="20"/>
        </w:rPr>
        <w:t xml:space="preserve"> editing breadth (Liu et al., 2024). Thorough target sequence assessment is thus a prerequisite for successful and biologically meaningful genome editing experiments (Tao et al., 2023).</w:t>
      </w:r>
    </w:p>
    <w:p w14:paraId="147DF80A" w14:textId="6AE3BD3F" w:rsidR="00B842CE" w:rsidRPr="0066321E" w:rsidRDefault="00B842CE" w:rsidP="0066321E">
      <w:pPr>
        <w:spacing w:after="0" w:line="240" w:lineRule="auto"/>
        <w:jc w:val="both"/>
        <w:rPr>
          <w:rFonts w:ascii="Candara" w:hAnsi="Candara" w:cs="Times New Roman"/>
          <w:sz w:val="20"/>
          <w:szCs w:val="20"/>
        </w:rPr>
      </w:pPr>
      <w:r w:rsidRPr="0066321E">
        <w:rPr>
          <w:rFonts w:ascii="Candara" w:hAnsi="Candara" w:cs="Times New Roman"/>
          <w:noProof/>
          <w:sz w:val="20"/>
          <w:szCs w:val="20"/>
        </w:rPr>
        <w:lastRenderedPageBreak/>
        <w:drawing>
          <wp:inline distT="0" distB="0" distL="0" distR="0" wp14:anchorId="3DE008B5" wp14:editId="3335F18A">
            <wp:extent cx="5731510" cy="5191268"/>
            <wp:effectExtent l="0" t="0" r="2540" b="9525"/>
            <wp:docPr id="1408552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552795" name="Picture 1"/>
                    <pic:cNvPicPr/>
                  </pic:nvPicPr>
                  <pic:blipFill>
                    <a:blip r:embed="rId7">
                      <a:extLst>
                        <a:ext uri="{28A0092B-C50C-407E-A947-70E740481C1C}">
                          <a14:useLocalDpi xmlns:a14="http://schemas.microsoft.com/office/drawing/2010/main" val="0"/>
                        </a:ext>
                      </a:extLst>
                    </a:blip>
                    <a:srcRect l="24" r="24"/>
                    <a:stretch>
                      <a:fillRect/>
                    </a:stretch>
                  </pic:blipFill>
                  <pic:spPr bwMode="auto">
                    <a:xfrm>
                      <a:off x="0" y="0"/>
                      <a:ext cx="5731510" cy="5191268"/>
                    </a:xfrm>
                    <a:prstGeom prst="rect">
                      <a:avLst/>
                    </a:prstGeom>
                    <a:ln>
                      <a:noFill/>
                    </a:ln>
                    <a:extLst>
                      <a:ext uri="{53640926-AAD7-44D8-BBD7-CCE9431645EC}">
                        <a14:shadowObscured xmlns:a14="http://schemas.microsoft.com/office/drawing/2010/main"/>
                      </a:ext>
                    </a:extLst>
                  </pic:spPr>
                </pic:pic>
              </a:graphicData>
            </a:graphic>
          </wp:inline>
        </w:drawing>
      </w:r>
    </w:p>
    <w:p w14:paraId="5A5E43F2" w14:textId="774D1A47" w:rsidR="004533E1" w:rsidRPr="0066321E" w:rsidRDefault="004533E1" w:rsidP="0066321E">
      <w:pPr>
        <w:spacing w:after="0" w:line="240" w:lineRule="auto"/>
        <w:jc w:val="both"/>
        <w:rPr>
          <w:rFonts w:ascii="Candara" w:hAnsi="Candara" w:cs="Times New Roman"/>
          <w:sz w:val="20"/>
          <w:szCs w:val="20"/>
        </w:rPr>
      </w:pPr>
      <w:r w:rsidRPr="0066321E">
        <w:rPr>
          <w:rFonts w:ascii="Candara" w:hAnsi="Candara" w:cs="Times New Roman"/>
          <w:b/>
          <w:bCs/>
          <w:i/>
          <w:iCs/>
          <w:noProof/>
          <w:sz w:val="20"/>
          <w:szCs w:val="20"/>
        </w:rPr>
        <w:t>Figure 4.</w:t>
      </w:r>
      <w:r w:rsidRPr="0066321E">
        <w:rPr>
          <w:rFonts w:ascii="Candara" w:hAnsi="Candara" w:cs="Times New Roman"/>
          <w:noProof/>
          <w:sz w:val="20"/>
          <w:szCs w:val="20"/>
        </w:rPr>
        <w:t xml:space="preserve"> Multi-omics Integration for resistance gene</w:t>
      </w:r>
    </w:p>
    <w:p w14:paraId="70936035" w14:textId="059904EA" w:rsidR="00B842CE" w:rsidRPr="0066321E" w:rsidRDefault="00B842CE"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Figure </w:t>
      </w:r>
      <w:r w:rsidR="004533E1" w:rsidRPr="0066321E">
        <w:rPr>
          <w:rFonts w:ascii="Candara" w:hAnsi="Candara" w:cs="Times New Roman"/>
          <w:sz w:val="20"/>
          <w:szCs w:val="20"/>
        </w:rPr>
        <w:t>4</w:t>
      </w:r>
      <w:r w:rsidRPr="0066321E">
        <w:rPr>
          <w:rFonts w:ascii="Candara" w:hAnsi="Candara" w:cs="Times New Roman"/>
          <w:sz w:val="20"/>
          <w:szCs w:val="20"/>
        </w:rPr>
        <w:t xml:space="preserve"> illustrates the key steps involved in CRISPR gRNA design and target recognition. The process begins with the selection of a target DNA region containing a PAM sequence, followed by gRNA binding and Cas9-mediated DNA cleavage. To minimize unintended edits, the analysis includes genome wide off-target process. Efficiency scoring is then applied based on features such as GC content, off-target risk and predicted on-target activity. Together, these steps ensure the selection of efficient and specific gRNAs for precise genome editing applications.</w:t>
      </w:r>
    </w:p>
    <w:p w14:paraId="721C5D2E"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gRNA Design Principles</w:t>
      </w:r>
    </w:p>
    <w:p w14:paraId="452FA239" w14:textId="2147FE1D"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Effective gRNA design is governed by sequence-based rules that directly determine editing efficiency. The presence of a protospacer adjacent motif (PAM</w:t>
      </w:r>
      <w:r w:rsidR="00651BE1" w:rsidRPr="0066321E">
        <w:rPr>
          <w:rFonts w:ascii="Candara" w:hAnsi="Candara" w:cs="Times New Roman"/>
          <w:sz w:val="20"/>
          <w:szCs w:val="20"/>
        </w:rPr>
        <w:t>), recognized</w:t>
      </w:r>
      <w:r w:rsidRPr="0066321E">
        <w:rPr>
          <w:rFonts w:ascii="Candara" w:hAnsi="Candara" w:cs="Times New Roman"/>
          <w:sz w:val="20"/>
          <w:szCs w:val="20"/>
        </w:rPr>
        <w:t xml:space="preserve"> by the specific Cas nuclease is a non-negotiable prerequisite; in its absence, CRISPR binding and cleavage cannot occur (Aksoy et al., 2022; Yu et al., 2026). GC content optimization is equally important: moderate GC levels promote favorable binding affinity and structural stability, while extreme values can impair specificity or induce secondary structure formation (</w:t>
      </w:r>
      <w:proofErr w:type="spellStart"/>
      <w:r w:rsidRPr="0066321E">
        <w:rPr>
          <w:rFonts w:ascii="Candara" w:hAnsi="Candara" w:cs="Times New Roman"/>
          <w:sz w:val="20"/>
          <w:szCs w:val="20"/>
        </w:rPr>
        <w:t>Rybnicky</w:t>
      </w:r>
      <w:proofErr w:type="spellEnd"/>
      <w:r w:rsidRPr="0066321E">
        <w:rPr>
          <w:rFonts w:ascii="Candara" w:hAnsi="Candara" w:cs="Times New Roman"/>
          <w:sz w:val="20"/>
          <w:szCs w:val="20"/>
        </w:rPr>
        <w:t xml:space="preserve"> et al., 2022; Chen et al., 2024). Targeting early coding regions maximizes knockout probability, and directing edits to conserved protein domains ensures functional disruption rather than silent or partial modifications (Shakirova et al., 2023).</w:t>
      </w:r>
    </w:p>
    <w:p w14:paraId="4F6F4FEE"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Computational Tools and Off-target Management</w:t>
      </w:r>
    </w:p>
    <w:p w14:paraId="7C5A3486" w14:textId="5069D96F"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Platforms such as CHOPCHOP, CRISPOR, and </w:t>
      </w:r>
      <w:proofErr w:type="spellStart"/>
      <w:r w:rsidRPr="0066321E">
        <w:rPr>
          <w:rFonts w:ascii="Candara" w:hAnsi="Candara" w:cs="Times New Roman"/>
          <w:sz w:val="20"/>
          <w:szCs w:val="20"/>
        </w:rPr>
        <w:t>Benchling</w:t>
      </w:r>
      <w:proofErr w:type="spellEnd"/>
      <w:r w:rsidRPr="0066321E">
        <w:rPr>
          <w:rFonts w:ascii="Candara" w:hAnsi="Candara" w:cs="Times New Roman"/>
          <w:sz w:val="20"/>
          <w:szCs w:val="20"/>
        </w:rPr>
        <w:t xml:space="preserve"> integrate PAM compatibility, GC content, sequence specificity, and predicted efficiency to generate r</w:t>
      </w:r>
      <w:r w:rsidR="00F3725B" w:rsidRPr="0066321E">
        <w:rPr>
          <w:rFonts w:ascii="Candara" w:hAnsi="Candara" w:cs="Times New Roman"/>
          <w:sz w:val="20"/>
          <w:szCs w:val="20"/>
        </w:rPr>
        <w:t xml:space="preserve">anked gRNA candidates from user </w:t>
      </w:r>
      <w:r w:rsidRPr="0066321E">
        <w:rPr>
          <w:rFonts w:ascii="Candara" w:hAnsi="Candara" w:cs="Times New Roman"/>
          <w:sz w:val="20"/>
          <w:szCs w:val="20"/>
        </w:rPr>
        <w:t>supplied target sequences (</w:t>
      </w:r>
      <w:proofErr w:type="spellStart"/>
      <w:r w:rsidRPr="0066321E">
        <w:rPr>
          <w:rFonts w:ascii="Candara" w:hAnsi="Candara" w:cs="Times New Roman"/>
          <w:sz w:val="20"/>
          <w:szCs w:val="20"/>
        </w:rPr>
        <w:t>Motoche</w:t>
      </w:r>
      <w:proofErr w:type="spellEnd"/>
      <w:r w:rsidRPr="0066321E">
        <w:rPr>
          <w:rFonts w:ascii="Candara" w:hAnsi="Candara" w:cs="Times New Roman"/>
          <w:sz w:val="20"/>
          <w:szCs w:val="20"/>
        </w:rPr>
        <w:t xml:space="preserve">-Monar et al., 2023; Saraswat &amp; Ranjan, 2025). Advanced </w:t>
      </w:r>
      <w:r w:rsidR="00651BE1" w:rsidRPr="0066321E">
        <w:rPr>
          <w:rFonts w:ascii="Candara" w:hAnsi="Candara" w:cs="Times New Roman"/>
          <w:sz w:val="20"/>
          <w:szCs w:val="20"/>
        </w:rPr>
        <w:t>algorithms increasingly</w:t>
      </w:r>
      <w:r w:rsidRPr="0066321E">
        <w:rPr>
          <w:rFonts w:ascii="Candara" w:hAnsi="Candara" w:cs="Times New Roman"/>
          <w:sz w:val="20"/>
          <w:szCs w:val="20"/>
        </w:rPr>
        <w:t xml:space="preserve"> incorporating machine learning and deep learning models trained on large experimental datasets predict on-target efficiency by analyzing nucleotide composition, thermo</w:t>
      </w:r>
      <w:r w:rsidR="00F3725B" w:rsidRPr="0066321E">
        <w:rPr>
          <w:rFonts w:ascii="Candara" w:hAnsi="Candara" w:cs="Times New Roman"/>
          <w:sz w:val="20"/>
          <w:szCs w:val="20"/>
        </w:rPr>
        <w:t xml:space="preserve">dynamic stability, and position </w:t>
      </w:r>
      <w:r w:rsidRPr="0066321E">
        <w:rPr>
          <w:rFonts w:ascii="Candara" w:hAnsi="Candara" w:cs="Times New Roman"/>
          <w:sz w:val="20"/>
          <w:szCs w:val="20"/>
        </w:rPr>
        <w:t xml:space="preserve">specific </w:t>
      </w:r>
      <w:r w:rsidRPr="0066321E">
        <w:rPr>
          <w:rFonts w:ascii="Candara" w:hAnsi="Candara" w:cs="Times New Roman"/>
          <w:sz w:val="20"/>
          <w:szCs w:val="20"/>
        </w:rPr>
        <w:lastRenderedPageBreak/>
        <w:t>preferences, enabling selection of high-confidence gRNAs while substantially reducing experimental tri</w:t>
      </w:r>
      <w:r w:rsidR="00F3725B" w:rsidRPr="0066321E">
        <w:rPr>
          <w:rFonts w:ascii="Candara" w:hAnsi="Candara" w:cs="Times New Roman"/>
          <w:sz w:val="20"/>
          <w:szCs w:val="20"/>
        </w:rPr>
        <w:t xml:space="preserve">al and </w:t>
      </w:r>
      <w:r w:rsidRPr="0066321E">
        <w:rPr>
          <w:rFonts w:ascii="Candara" w:hAnsi="Candara" w:cs="Times New Roman"/>
          <w:sz w:val="20"/>
          <w:szCs w:val="20"/>
        </w:rPr>
        <w:t>error (de Roest et al., 2025; Liu, 2024).</w:t>
      </w:r>
    </w:p>
    <w:p w14:paraId="66C38373" w14:textId="0C35C307"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Off-target prediction is a parallel and equally critical component of in-silico pipelines. Genome-wide alignment algorithms identify candidate off-target sites based on sequence similarity and mismatch patterns, with mismatch </w:t>
      </w:r>
      <w:r w:rsidR="00651BE1" w:rsidRPr="0066321E">
        <w:rPr>
          <w:rFonts w:ascii="Candara" w:hAnsi="Candara" w:cs="Times New Roman"/>
          <w:sz w:val="20"/>
          <w:szCs w:val="20"/>
        </w:rPr>
        <w:t>position particularly</w:t>
      </w:r>
      <w:r w:rsidRPr="0066321E">
        <w:rPr>
          <w:rFonts w:ascii="Candara" w:hAnsi="Candara" w:cs="Times New Roman"/>
          <w:sz w:val="20"/>
          <w:szCs w:val="20"/>
        </w:rPr>
        <w:t xml:space="preserve"> proximity to the </w:t>
      </w:r>
      <w:r w:rsidR="004533E1" w:rsidRPr="0066321E">
        <w:rPr>
          <w:rFonts w:ascii="Candara" w:hAnsi="Candara" w:cs="Times New Roman"/>
          <w:sz w:val="20"/>
          <w:szCs w:val="20"/>
        </w:rPr>
        <w:t>PAM weighted</w:t>
      </w:r>
      <w:r w:rsidRPr="0066321E">
        <w:rPr>
          <w:rFonts w:ascii="Candara" w:hAnsi="Candara" w:cs="Times New Roman"/>
          <w:sz w:val="20"/>
          <w:szCs w:val="20"/>
        </w:rPr>
        <w:t xml:space="preserve"> differentially in specificity scoring models (Kalter et al., 2025; </w:t>
      </w:r>
      <w:proofErr w:type="spellStart"/>
      <w:r w:rsidRPr="0066321E">
        <w:rPr>
          <w:rFonts w:ascii="Candara" w:hAnsi="Candara" w:cs="Times New Roman"/>
          <w:sz w:val="20"/>
          <w:szCs w:val="20"/>
        </w:rPr>
        <w:t>Sturme</w:t>
      </w:r>
      <w:proofErr w:type="spellEnd"/>
      <w:r w:rsidRPr="0066321E">
        <w:rPr>
          <w:rFonts w:ascii="Candara" w:hAnsi="Candara" w:cs="Times New Roman"/>
          <w:sz w:val="20"/>
          <w:szCs w:val="20"/>
        </w:rPr>
        <w:t xml:space="preserve"> et al., 2022; Yu et al., 202</w:t>
      </w:r>
      <w:r w:rsidR="00F3725B" w:rsidRPr="0066321E">
        <w:rPr>
          <w:rFonts w:ascii="Candara" w:hAnsi="Candara" w:cs="Times New Roman"/>
          <w:sz w:val="20"/>
          <w:szCs w:val="20"/>
        </w:rPr>
        <w:t xml:space="preserve">6; </w:t>
      </w:r>
      <w:proofErr w:type="spellStart"/>
      <w:r w:rsidR="00F3725B" w:rsidRPr="0066321E">
        <w:rPr>
          <w:rFonts w:ascii="Candara" w:hAnsi="Candara" w:cs="Times New Roman"/>
          <w:sz w:val="20"/>
          <w:szCs w:val="20"/>
        </w:rPr>
        <w:t>Rybnicky</w:t>
      </w:r>
      <w:proofErr w:type="spellEnd"/>
      <w:r w:rsidR="00F3725B" w:rsidRPr="0066321E">
        <w:rPr>
          <w:rFonts w:ascii="Candara" w:hAnsi="Candara" w:cs="Times New Roman"/>
          <w:sz w:val="20"/>
          <w:szCs w:val="20"/>
        </w:rPr>
        <w:t xml:space="preserve"> et al., 2022). High </w:t>
      </w:r>
      <w:r w:rsidRPr="0066321E">
        <w:rPr>
          <w:rFonts w:ascii="Candara" w:hAnsi="Candara" w:cs="Times New Roman"/>
          <w:sz w:val="20"/>
          <w:szCs w:val="20"/>
        </w:rPr>
        <w:t>specificity gRNAs minimizing off-target potential are required for experimental reliability, and comprehensive predictive off-target screening is fundamental to ensuring the safety and accuracy of CRISPR-mediated editing in disease resistance research (Shahid et al., 2026).</w:t>
      </w:r>
    </w:p>
    <w:p w14:paraId="7596C078"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Integrative Workflow: Transcriptomics to CRISPR Targeting</w:t>
      </w:r>
    </w:p>
    <w:p w14:paraId="3362B8CD" w14:textId="2B04169D"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The integration of transcriptomics and CRISPR genome editing into a unified pipeline represents a holistic strategy for discovering and validating disease resist</w:t>
      </w:r>
      <w:r w:rsidR="00F3725B" w:rsidRPr="0066321E">
        <w:rPr>
          <w:rFonts w:ascii="Candara" w:hAnsi="Candara" w:cs="Times New Roman"/>
          <w:sz w:val="20"/>
          <w:szCs w:val="20"/>
        </w:rPr>
        <w:t xml:space="preserve">ance genes. By connecting large </w:t>
      </w:r>
      <w:r w:rsidRPr="0066321E">
        <w:rPr>
          <w:rFonts w:ascii="Candara" w:hAnsi="Candara" w:cs="Times New Roman"/>
          <w:sz w:val="20"/>
          <w:szCs w:val="20"/>
        </w:rPr>
        <w:t xml:space="preserve">scale expression profiling with targeted genetic manipulation, this workflow reduces the gap between computational discovery and experimental confirmation (Erdoğan et al., 2023; </w:t>
      </w:r>
      <w:proofErr w:type="spellStart"/>
      <w:r w:rsidRPr="0066321E">
        <w:rPr>
          <w:rFonts w:ascii="Candara" w:hAnsi="Candara" w:cs="Times New Roman"/>
          <w:sz w:val="20"/>
          <w:szCs w:val="20"/>
        </w:rPr>
        <w:t>Simirenko</w:t>
      </w:r>
      <w:proofErr w:type="spellEnd"/>
      <w:r w:rsidRPr="0066321E">
        <w:rPr>
          <w:rFonts w:ascii="Candara" w:hAnsi="Candara" w:cs="Times New Roman"/>
          <w:sz w:val="20"/>
          <w:szCs w:val="20"/>
        </w:rPr>
        <w:t xml:space="preserve"> et al., 2023).</w:t>
      </w:r>
      <w:r w:rsidR="00B842CE" w:rsidRPr="0066321E">
        <w:rPr>
          <w:rFonts w:ascii="Candara" w:hAnsi="Candara" w:cs="Times New Roman"/>
          <w:sz w:val="20"/>
          <w:szCs w:val="20"/>
        </w:rPr>
        <w:t xml:space="preserve"> </w:t>
      </w:r>
    </w:p>
    <w:p w14:paraId="0BF4AF8C" w14:textId="44FF4ADA" w:rsidR="00B842CE" w:rsidRPr="0066321E" w:rsidRDefault="00B842CE" w:rsidP="0066321E">
      <w:pPr>
        <w:spacing w:after="0" w:line="240" w:lineRule="auto"/>
        <w:jc w:val="both"/>
        <w:rPr>
          <w:rFonts w:ascii="Candara" w:hAnsi="Candara" w:cs="Times New Roman"/>
          <w:sz w:val="20"/>
          <w:szCs w:val="20"/>
        </w:rPr>
      </w:pPr>
      <w:r w:rsidRPr="0066321E">
        <w:rPr>
          <w:rFonts w:ascii="Candara" w:hAnsi="Candara" w:cs="Times New Roman"/>
          <w:noProof/>
          <w:sz w:val="20"/>
          <w:szCs w:val="20"/>
        </w:rPr>
        <w:drawing>
          <wp:inline distT="0" distB="0" distL="0" distR="0" wp14:anchorId="10E7617E" wp14:editId="48D978CF">
            <wp:extent cx="4010025" cy="4686300"/>
            <wp:effectExtent l="0" t="0" r="9525" b="0"/>
            <wp:docPr id="1956123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123962" name="Picture 2"/>
                    <pic:cNvPicPr/>
                  </pic:nvPicPr>
                  <pic:blipFill>
                    <a:blip r:embed="rId8">
                      <a:extLst>
                        <a:ext uri="{28A0092B-C50C-407E-A947-70E740481C1C}">
                          <a14:useLocalDpi xmlns:a14="http://schemas.microsoft.com/office/drawing/2010/main" val="0"/>
                        </a:ext>
                      </a:extLst>
                    </a:blip>
                    <a:srcRect l="40" r="40"/>
                    <a:stretch>
                      <a:fillRect/>
                    </a:stretch>
                  </pic:blipFill>
                  <pic:spPr bwMode="auto">
                    <a:xfrm>
                      <a:off x="0" y="0"/>
                      <a:ext cx="4010025" cy="4686300"/>
                    </a:xfrm>
                    <a:prstGeom prst="rect">
                      <a:avLst/>
                    </a:prstGeom>
                    <a:ln>
                      <a:noFill/>
                    </a:ln>
                    <a:extLst>
                      <a:ext uri="{53640926-AAD7-44D8-BBD7-CCE9431645EC}">
                        <a14:shadowObscured xmlns:a14="http://schemas.microsoft.com/office/drawing/2010/main"/>
                      </a:ext>
                    </a:extLst>
                  </pic:spPr>
                </pic:pic>
              </a:graphicData>
            </a:graphic>
          </wp:inline>
        </w:drawing>
      </w:r>
    </w:p>
    <w:p w14:paraId="5C6F30DE" w14:textId="6172907E" w:rsidR="004533E1" w:rsidRPr="0066321E" w:rsidRDefault="004533E1" w:rsidP="0066321E">
      <w:pPr>
        <w:pStyle w:val="Caption"/>
        <w:spacing w:after="0"/>
        <w:jc w:val="both"/>
        <w:rPr>
          <w:rFonts w:ascii="Candara" w:hAnsi="Candara" w:cs="Times New Roman"/>
          <w:i w:val="0"/>
          <w:iCs w:val="0"/>
          <w:noProof/>
          <w:color w:val="auto"/>
          <w:sz w:val="20"/>
          <w:szCs w:val="20"/>
        </w:rPr>
      </w:pPr>
      <w:r w:rsidRPr="0066321E">
        <w:rPr>
          <w:rFonts w:ascii="Candara" w:hAnsi="Candara" w:cs="Times New Roman"/>
          <w:b/>
          <w:bCs/>
          <w:color w:val="auto"/>
          <w:sz w:val="20"/>
          <w:szCs w:val="20"/>
        </w:rPr>
        <w:t>Figure 6.</w:t>
      </w:r>
      <w:r w:rsidRPr="0066321E">
        <w:rPr>
          <w:rFonts w:ascii="Candara" w:hAnsi="Candara" w:cs="Times New Roman"/>
          <w:noProof/>
          <w:color w:val="auto"/>
          <w:sz w:val="20"/>
          <w:szCs w:val="20"/>
        </w:rPr>
        <w:t xml:space="preserve"> </w:t>
      </w:r>
      <w:r w:rsidRPr="0066321E">
        <w:rPr>
          <w:rFonts w:ascii="Candara" w:hAnsi="Candara" w:cs="Times New Roman"/>
          <w:i w:val="0"/>
          <w:iCs w:val="0"/>
          <w:noProof/>
          <w:color w:val="auto"/>
          <w:sz w:val="20"/>
          <w:szCs w:val="20"/>
        </w:rPr>
        <w:t>Integrative Workflow from Trasncriptomics to CRISPR Targeting</w:t>
      </w:r>
    </w:p>
    <w:p w14:paraId="3660966A" w14:textId="2CB06C5F" w:rsidR="00B842CE" w:rsidRPr="0066321E" w:rsidRDefault="00B842CE" w:rsidP="0066321E">
      <w:pPr>
        <w:pStyle w:val="NormalWeb"/>
        <w:spacing w:before="0" w:beforeAutospacing="0" w:after="0" w:afterAutospacing="0"/>
        <w:jc w:val="both"/>
        <w:rPr>
          <w:rFonts w:ascii="Candara" w:hAnsi="Candara"/>
          <w:sz w:val="20"/>
          <w:szCs w:val="20"/>
        </w:rPr>
      </w:pPr>
      <w:r w:rsidRPr="0066321E">
        <w:rPr>
          <w:rFonts w:ascii="Candara" w:hAnsi="Candara"/>
          <w:sz w:val="20"/>
          <w:szCs w:val="20"/>
        </w:rPr>
        <w:t xml:space="preserve">Figure </w:t>
      </w:r>
      <w:r w:rsidR="00FF3E10" w:rsidRPr="0066321E">
        <w:rPr>
          <w:rFonts w:ascii="Candara" w:hAnsi="Candara"/>
          <w:sz w:val="20"/>
          <w:szCs w:val="20"/>
        </w:rPr>
        <w:t xml:space="preserve">6 illustrates an </w:t>
      </w:r>
      <w:proofErr w:type="gramStart"/>
      <w:r w:rsidR="00FF3E10" w:rsidRPr="0066321E">
        <w:rPr>
          <w:rFonts w:ascii="Candara" w:hAnsi="Candara"/>
          <w:sz w:val="20"/>
          <w:szCs w:val="20"/>
        </w:rPr>
        <w:t xml:space="preserve">end to </w:t>
      </w:r>
      <w:r w:rsidRPr="0066321E">
        <w:rPr>
          <w:rFonts w:ascii="Candara" w:hAnsi="Candara"/>
          <w:sz w:val="20"/>
          <w:szCs w:val="20"/>
        </w:rPr>
        <w:t>end</w:t>
      </w:r>
      <w:proofErr w:type="gramEnd"/>
      <w:r w:rsidRPr="0066321E">
        <w:rPr>
          <w:rFonts w:ascii="Candara" w:hAnsi="Candara"/>
          <w:sz w:val="20"/>
          <w:szCs w:val="20"/>
        </w:rPr>
        <w:t xml:space="preserve"> w</w:t>
      </w:r>
      <w:r w:rsidR="00FF3E10" w:rsidRPr="0066321E">
        <w:rPr>
          <w:rFonts w:ascii="Candara" w:hAnsi="Candara"/>
          <w:sz w:val="20"/>
          <w:szCs w:val="20"/>
        </w:rPr>
        <w:t xml:space="preserve">orkflow linking </w:t>
      </w:r>
      <w:proofErr w:type="gramStart"/>
      <w:r w:rsidR="00FF3E10" w:rsidRPr="0066321E">
        <w:rPr>
          <w:rFonts w:ascii="Candara" w:hAnsi="Candara"/>
          <w:sz w:val="20"/>
          <w:szCs w:val="20"/>
        </w:rPr>
        <w:t xml:space="preserve">transcriptomics </w:t>
      </w:r>
      <w:r w:rsidRPr="0066321E">
        <w:rPr>
          <w:rFonts w:ascii="Candara" w:hAnsi="Candara"/>
          <w:sz w:val="20"/>
          <w:szCs w:val="20"/>
        </w:rPr>
        <w:t>based</w:t>
      </w:r>
      <w:proofErr w:type="gramEnd"/>
      <w:r w:rsidRPr="0066321E">
        <w:rPr>
          <w:rFonts w:ascii="Candara" w:hAnsi="Candara"/>
          <w:sz w:val="20"/>
          <w:szCs w:val="20"/>
        </w:rPr>
        <w:t xml:space="preserve"> gene discovery to CRISPR mediated genome editing. The workflow begins with transcriptomics analysis, including RNA-seq data generation and differential expression analysis, followed by co-expression network modeling to identify biologically relevant hub genes. Candidate genes are prioritized using multiple criteria, including pathway enrichment, network centrality and multi-omics integration. These genes serve as targets for guiding RNA design, incorporating efficiency optimization. The process culminates in CRISPR genome editing and experimental validation, with iterative feedback used to refine selection and improve accuracy.</w:t>
      </w:r>
    </w:p>
    <w:p w14:paraId="6D585807" w14:textId="23A2106C" w:rsidR="00C97C7D" w:rsidRPr="0066321E" w:rsidRDefault="00F3725B"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A typical end to </w:t>
      </w:r>
      <w:r w:rsidR="00C97C7D" w:rsidRPr="0066321E">
        <w:rPr>
          <w:rFonts w:ascii="Candara" w:hAnsi="Candara" w:cs="Times New Roman"/>
          <w:sz w:val="20"/>
          <w:szCs w:val="20"/>
        </w:rPr>
        <w:t>end workflow proceeds from RNA sequencing of control and infected samples to DEG analysis, followed by co-expression network analysis to identify hub genes within resistance-associated modules (</w:t>
      </w:r>
      <w:proofErr w:type="spellStart"/>
      <w:r w:rsidR="00C97C7D" w:rsidRPr="0066321E">
        <w:rPr>
          <w:rFonts w:ascii="Candara" w:hAnsi="Candara" w:cs="Times New Roman"/>
          <w:sz w:val="20"/>
          <w:szCs w:val="20"/>
        </w:rPr>
        <w:t>Tzec-Interián</w:t>
      </w:r>
      <w:proofErr w:type="spellEnd"/>
      <w:r w:rsidR="00C97C7D" w:rsidRPr="0066321E">
        <w:rPr>
          <w:rFonts w:ascii="Candara" w:hAnsi="Candara" w:cs="Times New Roman"/>
          <w:sz w:val="20"/>
          <w:szCs w:val="20"/>
        </w:rPr>
        <w:t xml:space="preserve"> et al., 2025; Chu et al., 2022; </w:t>
      </w:r>
      <w:proofErr w:type="spellStart"/>
      <w:r w:rsidR="00C97C7D" w:rsidRPr="0066321E">
        <w:rPr>
          <w:rFonts w:ascii="Candara" w:hAnsi="Candara" w:cs="Times New Roman"/>
          <w:sz w:val="20"/>
          <w:szCs w:val="20"/>
        </w:rPr>
        <w:t>Vanrobaeys</w:t>
      </w:r>
      <w:proofErr w:type="spellEnd"/>
      <w:r w:rsidR="00C97C7D" w:rsidRPr="0066321E">
        <w:rPr>
          <w:rFonts w:ascii="Candara" w:hAnsi="Candara" w:cs="Times New Roman"/>
          <w:sz w:val="20"/>
          <w:szCs w:val="20"/>
        </w:rPr>
        <w:t xml:space="preserve"> et al., 2023; </w:t>
      </w:r>
      <w:proofErr w:type="spellStart"/>
      <w:r w:rsidR="00C97C7D" w:rsidRPr="0066321E">
        <w:rPr>
          <w:rFonts w:ascii="Candara" w:hAnsi="Candara" w:cs="Times New Roman"/>
          <w:sz w:val="20"/>
          <w:szCs w:val="20"/>
        </w:rPr>
        <w:t>Patowary</w:t>
      </w:r>
      <w:proofErr w:type="spellEnd"/>
      <w:r w:rsidR="00C97C7D" w:rsidRPr="0066321E">
        <w:rPr>
          <w:rFonts w:ascii="Candara" w:hAnsi="Candara" w:cs="Times New Roman"/>
          <w:sz w:val="20"/>
          <w:szCs w:val="20"/>
        </w:rPr>
        <w:t xml:space="preserve"> et al., 2025). Prioritized hig</w:t>
      </w:r>
      <w:r w:rsidRPr="0066321E">
        <w:rPr>
          <w:rFonts w:ascii="Candara" w:hAnsi="Candara" w:cs="Times New Roman"/>
          <w:sz w:val="20"/>
          <w:szCs w:val="20"/>
        </w:rPr>
        <w:t xml:space="preserve">h </w:t>
      </w:r>
      <w:r w:rsidR="00C97C7D" w:rsidRPr="0066321E">
        <w:rPr>
          <w:rFonts w:ascii="Candara" w:hAnsi="Candara" w:cs="Times New Roman"/>
          <w:sz w:val="20"/>
          <w:szCs w:val="20"/>
        </w:rPr>
        <w:t xml:space="preserve">confidence candidates then enter the gRNA design pipeline, which encompasses target site selection, </w:t>
      </w:r>
      <w:r w:rsidR="00C97C7D" w:rsidRPr="0066321E">
        <w:rPr>
          <w:rFonts w:ascii="Candara" w:hAnsi="Candara" w:cs="Times New Roman"/>
          <w:sz w:val="20"/>
          <w:szCs w:val="20"/>
        </w:rPr>
        <w:lastRenderedPageBreak/>
        <w:t>PAM verification, off-target minimization, and efficiency prediction before CRISPR constructs are generated (Șerban et al., 2025; Gangurde et al., 2022).</w:t>
      </w:r>
    </w:p>
    <w:p w14:paraId="7135F04A" w14:textId="77777777"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Bioinformatics integration frameworks underpin this workflow by harmonizing multi-omics data layers and increasingly automating gene selection and gRNA design through machine learning-driven systems (Kant et al., 2025; Roychowdhury et al., 2023; Yang et al., 2026; Erbe et al., 2022; </w:t>
      </w:r>
      <w:proofErr w:type="spellStart"/>
      <w:r w:rsidRPr="0066321E">
        <w:rPr>
          <w:rFonts w:ascii="Candara" w:hAnsi="Candara" w:cs="Times New Roman"/>
          <w:sz w:val="20"/>
          <w:szCs w:val="20"/>
        </w:rPr>
        <w:t>Simirenko</w:t>
      </w:r>
      <w:proofErr w:type="spellEnd"/>
      <w:r w:rsidRPr="0066321E">
        <w:rPr>
          <w:rFonts w:ascii="Candara" w:hAnsi="Candara" w:cs="Times New Roman"/>
          <w:sz w:val="20"/>
          <w:szCs w:val="20"/>
        </w:rPr>
        <w:t xml:space="preserve"> et al., 2023). Such automation reduces manual effort and bias while improving cross-study consistency, progressively converting traditional workflows into high-throughput, data-driven pipelines.</w:t>
      </w:r>
    </w:p>
    <w:p w14:paraId="3D502884"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Experimental Validation</w:t>
      </w:r>
    </w:p>
    <w:p w14:paraId="758BB7A0" w14:textId="19782685"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Computational predictions require biological confirmation. In vitro gRNA validation through cleavage assays or transient co-expression systems provides a preliminary assessment of editing efficie</w:t>
      </w:r>
      <w:r w:rsidR="00F3725B" w:rsidRPr="0066321E">
        <w:rPr>
          <w:rFonts w:ascii="Candara" w:hAnsi="Candara" w:cs="Times New Roman"/>
          <w:sz w:val="20"/>
          <w:szCs w:val="20"/>
        </w:rPr>
        <w:t xml:space="preserve">ncy before progression to whole </w:t>
      </w:r>
      <w:r w:rsidRPr="0066321E">
        <w:rPr>
          <w:rFonts w:ascii="Candara" w:hAnsi="Candara" w:cs="Times New Roman"/>
          <w:sz w:val="20"/>
          <w:szCs w:val="20"/>
        </w:rPr>
        <w:t>organism experiments (Liu et al., 2026; Abdi et al., 2024). CRISPR constructs are then introduced into t</w:t>
      </w:r>
      <w:r w:rsidR="00F3725B" w:rsidRPr="0066321E">
        <w:rPr>
          <w:rFonts w:ascii="Candara" w:hAnsi="Candara" w:cs="Times New Roman"/>
          <w:sz w:val="20"/>
          <w:szCs w:val="20"/>
        </w:rPr>
        <w:t xml:space="preserve">arget systems via Agrobacterium </w:t>
      </w:r>
      <w:r w:rsidRPr="0066321E">
        <w:rPr>
          <w:rFonts w:ascii="Candara" w:hAnsi="Candara" w:cs="Times New Roman"/>
          <w:sz w:val="20"/>
          <w:szCs w:val="20"/>
        </w:rPr>
        <w:t xml:space="preserve">mediated transformation or </w:t>
      </w:r>
      <w:proofErr w:type="spellStart"/>
      <w:r w:rsidRPr="0066321E">
        <w:rPr>
          <w:rFonts w:ascii="Candara" w:hAnsi="Candara" w:cs="Times New Roman"/>
          <w:sz w:val="20"/>
          <w:szCs w:val="20"/>
        </w:rPr>
        <w:t>biolistics</w:t>
      </w:r>
      <w:proofErr w:type="spellEnd"/>
      <w:r w:rsidRPr="0066321E">
        <w:rPr>
          <w:rFonts w:ascii="Candara" w:hAnsi="Candara" w:cs="Times New Roman"/>
          <w:sz w:val="20"/>
          <w:szCs w:val="20"/>
        </w:rPr>
        <w:t xml:space="preserve"> in plants, and transfection or viral delivery in animal systems (Pandey et al., 2026). Phenotypic resistance assays on edited organisms provide direct evidence of gene function under pathogenic or environmental challenge (Lakhani et al., 2025), while qPCR and sequencing confirm transcript-level and DNA-level editing outcomes (Yang et al., 2023; Tiedje et al., 2023).</w:t>
      </w:r>
    </w:p>
    <w:p w14:paraId="0C106632"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Challenges and Limitations</w:t>
      </w:r>
    </w:p>
    <w:p w14:paraId="6C2D4362" w14:textId="29F621A0"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Despite significant progress, several interconnected challenges limit the precision and</w:t>
      </w:r>
      <w:r w:rsidR="00F3725B" w:rsidRPr="0066321E">
        <w:rPr>
          <w:rFonts w:ascii="Candara" w:hAnsi="Candara" w:cs="Times New Roman"/>
          <w:sz w:val="20"/>
          <w:szCs w:val="20"/>
        </w:rPr>
        <w:t xml:space="preserve"> scalability of transcriptomics </w:t>
      </w:r>
      <w:r w:rsidRPr="0066321E">
        <w:rPr>
          <w:rFonts w:ascii="Candara" w:hAnsi="Candara" w:cs="Times New Roman"/>
          <w:sz w:val="20"/>
          <w:szCs w:val="20"/>
        </w:rPr>
        <w:t>CRISPR integrated approaches. Off-target editing, where CRISPR-Cas systems inadvertently modify genomic regions with partial sequence similarity to the target, poses a persistent concern; while computational prediction tools have improved substantially, eliminating this risk entirely remains elusive (Kalter et al., 2025; Yaxin Wang et al., 2022). Transcriptomic analyses are concurrently susceptible to technical noise and batch effects introduced by sample preparation variability and platform differences, which can skew expression profiles and compromise candidate identification (Li et al., 2023).</w:t>
      </w:r>
    </w:p>
    <w:p w14:paraId="1F7F01C9" w14:textId="542FA033"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Functional redundancy within large resistance gene families</w:t>
      </w:r>
      <w:r w:rsidR="00B31952" w:rsidRPr="0066321E">
        <w:rPr>
          <w:rFonts w:ascii="Candara" w:hAnsi="Candara" w:cs="Times New Roman"/>
          <w:sz w:val="20"/>
          <w:szCs w:val="20"/>
        </w:rPr>
        <w:t xml:space="preserve">, </w:t>
      </w:r>
      <w:r w:rsidRPr="0066321E">
        <w:rPr>
          <w:rFonts w:ascii="Candara" w:hAnsi="Candara" w:cs="Times New Roman"/>
          <w:sz w:val="20"/>
          <w:szCs w:val="20"/>
        </w:rPr>
        <w:t xml:space="preserve">common in complex plant </w:t>
      </w:r>
      <w:r w:rsidR="00B31952" w:rsidRPr="0066321E">
        <w:rPr>
          <w:rFonts w:ascii="Candara" w:hAnsi="Candara" w:cs="Times New Roman"/>
          <w:sz w:val="20"/>
          <w:szCs w:val="20"/>
        </w:rPr>
        <w:t xml:space="preserve">genomes, </w:t>
      </w:r>
      <w:r w:rsidRPr="0066321E">
        <w:rPr>
          <w:rFonts w:ascii="Candara" w:hAnsi="Candara" w:cs="Times New Roman"/>
          <w:sz w:val="20"/>
          <w:szCs w:val="20"/>
        </w:rPr>
        <w:t xml:space="preserve">means that individual gene knockouts may not produce discernible phenotypes, </w:t>
      </w:r>
      <w:r w:rsidR="00B31952" w:rsidRPr="0066321E">
        <w:rPr>
          <w:rFonts w:ascii="Candara" w:hAnsi="Candara" w:cs="Times New Roman"/>
          <w:sz w:val="20"/>
          <w:szCs w:val="20"/>
        </w:rPr>
        <w:t>complicate</w:t>
      </w:r>
      <w:r w:rsidRPr="0066321E">
        <w:rPr>
          <w:rFonts w:ascii="Candara" w:hAnsi="Candara" w:cs="Times New Roman"/>
          <w:sz w:val="20"/>
          <w:szCs w:val="20"/>
        </w:rPr>
        <w:t xml:space="preserve"> functional validation and sometimes necessitating multiplex editing of multiple paralogous genes simultaneously (Berman et al., 2025). Delivery efficiency remains a bottleneck particularly in plants</w:t>
      </w:r>
      <w:r w:rsidR="00B31952" w:rsidRPr="0066321E">
        <w:rPr>
          <w:rFonts w:ascii="Candara" w:hAnsi="Candara" w:cs="Times New Roman"/>
          <w:sz w:val="20"/>
          <w:szCs w:val="20"/>
        </w:rPr>
        <w:t>,</w:t>
      </w:r>
      <w:r w:rsidRPr="0066321E">
        <w:rPr>
          <w:rFonts w:ascii="Candara" w:hAnsi="Candara" w:cs="Times New Roman"/>
          <w:sz w:val="20"/>
          <w:szCs w:val="20"/>
        </w:rPr>
        <w:t xml:space="preserve"> constrained by transformation efficiency, tissue selectivity, and potential cytotoxicity</w:t>
      </w:r>
      <w:r w:rsidR="00B31952" w:rsidRPr="0066321E">
        <w:rPr>
          <w:rFonts w:ascii="Candara" w:hAnsi="Candara" w:cs="Times New Roman"/>
          <w:sz w:val="20"/>
          <w:szCs w:val="20"/>
        </w:rPr>
        <w:t>,</w:t>
      </w:r>
      <w:r w:rsidRPr="0066321E">
        <w:rPr>
          <w:rFonts w:ascii="Candara" w:hAnsi="Candara" w:cs="Times New Roman"/>
          <w:sz w:val="20"/>
          <w:szCs w:val="20"/>
        </w:rPr>
        <w:t xml:space="preserve"> with regeneration of transformed plant tissues being additiona</w:t>
      </w:r>
      <w:r w:rsidR="00F3725B" w:rsidRPr="0066321E">
        <w:rPr>
          <w:rFonts w:ascii="Candara" w:hAnsi="Candara" w:cs="Times New Roman"/>
          <w:sz w:val="20"/>
          <w:szCs w:val="20"/>
        </w:rPr>
        <w:t xml:space="preserve">lly time-consuming and genotype </w:t>
      </w:r>
      <w:r w:rsidRPr="0066321E">
        <w:rPr>
          <w:rFonts w:ascii="Candara" w:hAnsi="Candara" w:cs="Times New Roman"/>
          <w:sz w:val="20"/>
          <w:szCs w:val="20"/>
        </w:rPr>
        <w:t xml:space="preserve">dependent (Yang et al., 2023; </w:t>
      </w:r>
      <w:proofErr w:type="spellStart"/>
      <w:r w:rsidRPr="0066321E">
        <w:rPr>
          <w:rFonts w:ascii="Candara" w:hAnsi="Candara" w:cs="Times New Roman"/>
          <w:sz w:val="20"/>
          <w:szCs w:val="20"/>
        </w:rPr>
        <w:t>Chehelgerdi</w:t>
      </w:r>
      <w:proofErr w:type="spellEnd"/>
      <w:r w:rsidRPr="0066321E">
        <w:rPr>
          <w:rFonts w:ascii="Candara" w:hAnsi="Candara" w:cs="Times New Roman"/>
          <w:sz w:val="20"/>
          <w:szCs w:val="20"/>
        </w:rPr>
        <w:t xml:space="preserve"> et al., 2024).</w:t>
      </w:r>
    </w:p>
    <w:p w14:paraId="15DB43F2" w14:textId="6EC45130"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Ethical and regulatory dimensions add further complexity. Safety concerns, long-term consequences of genomic modifications, and the potential for misuse raise significant ethical questions in human systems, while variable international regulatory frameworks governing genetically edited crops affect the translation and commercialization of CRISPR-based agricultural solutions (Gerardi &amp; </w:t>
      </w:r>
      <w:proofErr w:type="spellStart"/>
      <w:r w:rsidRPr="0066321E">
        <w:rPr>
          <w:rFonts w:ascii="Candara" w:hAnsi="Candara" w:cs="Times New Roman"/>
          <w:sz w:val="20"/>
          <w:szCs w:val="20"/>
        </w:rPr>
        <w:t>Xinaris</w:t>
      </w:r>
      <w:proofErr w:type="spellEnd"/>
      <w:r w:rsidRPr="0066321E">
        <w:rPr>
          <w:rFonts w:ascii="Candara" w:hAnsi="Candara" w:cs="Times New Roman"/>
          <w:sz w:val="20"/>
          <w:szCs w:val="20"/>
        </w:rPr>
        <w:t xml:space="preserve">, 2025; </w:t>
      </w:r>
      <w:proofErr w:type="spellStart"/>
      <w:r w:rsidRPr="0066321E">
        <w:rPr>
          <w:rFonts w:ascii="Candara" w:hAnsi="Candara" w:cs="Times New Roman"/>
          <w:sz w:val="20"/>
          <w:szCs w:val="20"/>
        </w:rPr>
        <w:t>Ghouri</w:t>
      </w:r>
      <w:proofErr w:type="spellEnd"/>
      <w:r w:rsidRPr="0066321E">
        <w:rPr>
          <w:rFonts w:ascii="Candara" w:hAnsi="Candara" w:cs="Times New Roman"/>
          <w:sz w:val="20"/>
          <w:szCs w:val="20"/>
        </w:rPr>
        <w:t xml:space="preserve"> et al., 2023; Molinari et al., 2024). Addressing these challenges collectively requires continued advancement in computational tools, improved delivery methods, and harmonized regulatory frameworks to ensure safe and responsible application of genome editing in disease resistance research.</w:t>
      </w:r>
    </w:p>
    <w:p w14:paraId="17CA500A"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Future Perspectives</w:t>
      </w:r>
    </w:p>
    <w:p w14:paraId="476D6128" w14:textId="6584FA1B"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The trajectory of disease resistance research points toward increasingly sophisticated integration of computational and experimental capacities. AI-driven CRISPR design systems leveraging deep learning algorithms are expected to substantially improve gRNA design accuracy, off-target prediction, and editing efficiency prediction by processing vast biological datasets, enabling more precise identification of optimal editing sites and more reliable outcome forecasting than current methods allow. Parallel expansion of multi-omics </w:t>
      </w:r>
      <w:r w:rsidR="00651BE1" w:rsidRPr="0066321E">
        <w:rPr>
          <w:rFonts w:ascii="Candara" w:hAnsi="Candara" w:cs="Times New Roman"/>
          <w:sz w:val="20"/>
          <w:szCs w:val="20"/>
        </w:rPr>
        <w:t>integration coupling</w:t>
      </w:r>
      <w:r w:rsidRPr="0066321E">
        <w:rPr>
          <w:rFonts w:ascii="Candara" w:hAnsi="Candara" w:cs="Times New Roman"/>
          <w:sz w:val="20"/>
          <w:szCs w:val="20"/>
        </w:rPr>
        <w:t xml:space="preserve"> transcriptomics with proteomics and metabolomics will enable interrogation of resistance mechanisms beyond gene expression to encompass functional protein dynamics and metabolic reprogramming, sharpening identification of the most influential regulatory targets.</w:t>
      </w:r>
    </w:p>
    <w:p w14:paraId="73C47905" w14:textId="1CAB372B" w:rsidR="000F2CC1"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Emerging technologies including single-cell CRISPR screening will enable high-throughput functional genomics at cell</w:t>
      </w:r>
      <w:r w:rsidR="00F3725B" w:rsidRPr="0066321E">
        <w:rPr>
          <w:rFonts w:ascii="Candara" w:hAnsi="Candara" w:cs="Times New Roman"/>
          <w:sz w:val="20"/>
          <w:szCs w:val="20"/>
        </w:rPr>
        <w:t xml:space="preserve">ular resolution, revealing cell type </w:t>
      </w:r>
      <w:r w:rsidRPr="0066321E">
        <w:rPr>
          <w:rFonts w:ascii="Candara" w:hAnsi="Candara" w:cs="Times New Roman"/>
          <w:sz w:val="20"/>
          <w:szCs w:val="20"/>
        </w:rPr>
        <w:t>specific resistance mechanisms and heterogeneity that bulk approaches cannot access. In applied domains, precision breeding protocols and gene therapy approaches are advancing toward delivering specific, genomically targeted improvements to plant disease resistance and treatment of human genetic immune disorders, respectively. Synthetic biology offers an additional frontier, with engineered synthetic gene circuits capable of amplifying or redirecting immune responses in novel ways. Collectively, these developments are converging toward more accurate, efficient, and scalable solutions for engineering disease resistance across agricultural and biomedical contexts.</w:t>
      </w:r>
    </w:p>
    <w:p w14:paraId="625B0C74" w14:textId="77777777" w:rsidR="00C97C7D" w:rsidRPr="0066321E" w:rsidRDefault="00C97C7D"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Conclusion</w:t>
      </w:r>
    </w:p>
    <w:p w14:paraId="59F9B799" w14:textId="4A69F7CC" w:rsidR="00C97C7D"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The integration of transcriptomics and CRISPR genome editing constitutes a transformative and genuinely effective approach to understanding and engineering disease resistance in plants and humans. </w:t>
      </w:r>
      <w:r w:rsidRPr="0066321E">
        <w:rPr>
          <w:rFonts w:ascii="Candara" w:hAnsi="Candara" w:cs="Times New Roman"/>
          <w:sz w:val="20"/>
          <w:szCs w:val="20"/>
        </w:rPr>
        <w:lastRenderedPageBreak/>
        <w:t xml:space="preserve">Transcriptomic profiling provides a comprehensive view of gene network reconfiguration under pathogen challenge, identifying key regulatory genes, pathways, and </w:t>
      </w:r>
      <w:r w:rsidR="00F3725B" w:rsidRPr="0066321E">
        <w:rPr>
          <w:rFonts w:ascii="Candara" w:hAnsi="Candara" w:cs="Times New Roman"/>
          <w:sz w:val="20"/>
          <w:szCs w:val="20"/>
        </w:rPr>
        <w:t xml:space="preserve">hubs that drive defense. CRISPR </w:t>
      </w:r>
      <w:r w:rsidRPr="0066321E">
        <w:rPr>
          <w:rFonts w:ascii="Candara" w:hAnsi="Candara" w:cs="Times New Roman"/>
          <w:sz w:val="20"/>
          <w:szCs w:val="20"/>
        </w:rPr>
        <w:t>based tools then enable precise experimental interrogation and manipulation of these targets, confirming functional roles and enriching resistance characteristics. The resulting pipeline seamlessly connecting gene discovery to targeted genetic intervention accelerates research timelines and substantially narrows the gap between computational prediction and experimental validation.</w:t>
      </w:r>
    </w:p>
    <w:p w14:paraId="55A1770A" w14:textId="5FFE11F3" w:rsidR="002962D2" w:rsidRPr="0066321E" w:rsidRDefault="00C97C7D" w:rsidP="0066321E">
      <w:pPr>
        <w:spacing w:after="0" w:line="240" w:lineRule="auto"/>
        <w:jc w:val="both"/>
        <w:rPr>
          <w:rFonts w:ascii="Candara" w:hAnsi="Candara" w:cs="Times New Roman"/>
          <w:sz w:val="20"/>
          <w:szCs w:val="20"/>
        </w:rPr>
      </w:pPr>
      <w:r w:rsidRPr="0066321E">
        <w:rPr>
          <w:rFonts w:ascii="Candara" w:hAnsi="Candara" w:cs="Times New Roman"/>
          <w:sz w:val="20"/>
          <w:szCs w:val="20"/>
        </w:rPr>
        <w:t xml:space="preserve">This integrative approach is especially significant for next-generation disease resistance strategies where precision and adaptability are paramount. In agriculture, it provides a route to resistant crop varieties with reduced chemical dependency and resilience to variable environmental conditions. In biomedicine, it deepens understanding of immune-relevant genes and opens pathways to targeted therapeutic interventions. Remaining </w:t>
      </w:r>
      <w:r w:rsidR="002962D2" w:rsidRPr="0066321E">
        <w:rPr>
          <w:rFonts w:ascii="Candara" w:hAnsi="Candara" w:cs="Times New Roman"/>
          <w:sz w:val="20"/>
          <w:szCs w:val="20"/>
        </w:rPr>
        <w:t>challenges of</w:t>
      </w:r>
      <w:r w:rsidRPr="0066321E">
        <w:rPr>
          <w:rFonts w:ascii="Candara" w:hAnsi="Candara" w:cs="Times New Roman"/>
          <w:sz w:val="20"/>
          <w:szCs w:val="20"/>
        </w:rPr>
        <w:t xml:space="preserve"> off-target editing, data integration complexity, and validation constraints underscore the need for continued refinement of both computational and experimental methods. Ultimately, the synergy between advanced bioinformatics tools and rigorous experimental validation, amplified by artificial intelligence, mult</w:t>
      </w:r>
      <w:r w:rsidR="00F3725B" w:rsidRPr="0066321E">
        <w:rPr>
          <w:rFonts w:ascii="Candara" w:hAnsi="Candara" w:cs="Times New Roman"/>
          <w:sz w:val="20"/>
          <w:szCs w:val="20"/>
        </w:rPr>
        <w:t xml:space="preserve">i-omics data analysis, and high </w:t>
      </w:r>
      <w:r w:rsidRPr="0066321E">
        <w:rPr>
          <w:rFonts w:ascii="Candara" w:hAnsi="Candara" w:cs="Times New Roman"/>
          <w:sz w:val="20"/>
          <w:szCs w:val="20"/>
        </w:rPr>
        <w:t>throughput screening</w:t>
      </w:r>
      <w:r w:rsidR="00F3725B" w:rsidRPr="0066321E">
        <w:rPr>
          <w:rFonts w:ascii="Candara" w:hAnsi="Candara" w:cs="Times New Roman"/>
          <w:sz w:val="20"/>
          <w:szCs w:val="20"/>
        </w:rPr>
        <w:t xml:space="preserve">, positions the transcriptomics </w:t>
      </w:r>
      <w:r w:rsidRPr="0066321E">
        <w:rPr>
          <w:rFonts w:ascii="Candara" w:hAnsi="Candara" w:cs="Times New Roman"/>
          <w:sz w:val="20"/>
          <w:szCs w:val="20"/>
        </w:rPr>
        <w:t>CRISPR framework to lead a new era of precision biology for sustainable and scalable disease resistance engineering.</w:t>
      </w:r>
    </w:p>
    <w:p w14:paraId="0AA33FCA" w14:textId="77777777" w:rsidR="00AD1B2F" w:rsidRPr="0066321E" w:rsidRDefault="00AD1B2F"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Declaration</w:t>
      </w:r>
    </w:p>
    <w:p w14:paraId="33D2E0CE" w14:textId="77777777" w:rsidR="00AD1B2F" w:rsidRPr="0066321E" w:rsidRDefault="00AD1B2F"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Funding:</w:t>
      </w:r>
    </w:p>
    <w:p w14:paraId="3C07100F" w14:textId="77777777" w:rsidR="00AD1B2F" w:rsidRPr="0066321E" w:rsidRDefault="00AD1B2F" w:rsidP="0066321E">
      <w:pPr>
        <w:spacing w:after="0" w:line="240" w:lineRule="auto"/>
        <w:jc w:val="both"/>
        <w:rPr>
          <w:rFonts w:ascii="Candara" w:hAnsi="Candara" w:cs="Times New Roman"/>
          <w:sz w:val="20"/>
          <w:szCs w:val="20"/>
        </w:rPr>
      </w:pPr>
      <w:r w:rsidRPr="0066321E">
        <w:rPr>
          <w:rFonts w:ascii="Candara" w:hAnsi="Candara" w:cs="Times New Roman"/>
          <w:sz w:val="20"/>
          <w:szCs w:val="20"/>
        </w:rPr>
        <w:t>This research received no external funding and was conducted without financial support from any public, commercial, or non-profit organization.</w:t>
      </w:r>
    </w:p>
    <w:p w14:paraId="75FFE564" w14:textId="77777777" w:rsidR="00AD1B2F" w:rsidRPr="0066321E" w:rsidRDefault="00AD1B2F"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Acknowledgement:</w:t>
      </w:r>
    </w:p>
    <w:p w14:paraId="75101447" w14:textId="77777777" w:rsidR="00AD1B2F" w:rsidRPr="0066321E" w:rsidRDefault="00AD1B2F" w:rsidP="0066321E">
      <w:pPr>
        <w:spacing w:after="0" w:line="240" w:lineRule="auto"/>
        <w:jc w:val="both"/>
        <w:rPr>
          <w:rFonts w:ascii="Candara" w:hAnsi="Candara" w:cs="Times New Roman"/>
          <w:sz w:val="20"/>
          <w:szCs w:val="20"/>
        </w:rPr>
      </w:pPr>
      <w:r w:rsidRPr="0066321E">
        <w:rPr>
          <w:rFonts w:ascii="Candara" w:hAnsi="Candara" w:cs="Times New Roman"/>
          <w:sz w:val="20"/>
          <w:szCs w:val="20"/>
        </w:rPr>
        <w:t>The authors would like to acknowledge their respective institutions for providing academic support and access to scientific resources necessary for the completion of this review.</w:t>
      </w:r>
    </w:p>
    <w:p w14:paraId="04E6D7D1" w14:textId="77777777" w:rsidR="00AD1B2F" w:rsidRPr="0066321E" w:rsidRDefault="00AD1B2F"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Conflicts of Interest:</w:t>
      </w:r>
    </w:p>
    <w:p w14:paraId="26F20F52" w14:textId="77777777" w:rsidR="00AD1B2F" w:rsidRPr="0066321E" w:rsidRDefault="00AD1B2F" w:rsidP="0066321E">
      <w:pPr>
        <w:spacing w:after="0" w:line="240" w:lineRule="auto"/>
        <w:jc w:val="both"/>
        <w:rPr>
          <w:rFonts w:ascii="Candara" w:hAnsi="Candara" w:cs="Times New Roman"/>
          <w:sz w:val="20"/>
          <w:szCs w:val="20"/>
        </w:rPr>
      </w:pPr>
      <w:r w:rsidRPr="0066321E">
        <w:rPr>
          <w:rFonts w:ascii="Candara" w:hAnsi="Candara" w:cs="Times New Roman"/>
          <w:sz w:val="20"/>
          <w:szCs w:val="20"/>
        </w:rPr>
        <w:t>The authors declare that there are no conflicts of interest regarding the publication of this manuscript.</w:t>
      </w:r>
    </w:p>
    <w:p w14:paraId="2F427E94" w14:textId="77777777" w:rsidR="00AD1B2F" w:rsidRPr="0066321E" w:rsidRDefault="00AD1B2F"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Data Availability:</w:t>
      </w:r>
    </w:p>
    <w:p w14:paraId="24FEB9AD" w14:textId="77777777" w:rsidR="00AD1B2F" w:rsidRPr="0066321E" w:rsidRDefault="00AD1B2F" w:rsidP="0066321E">
      <w:pPr>
        <w:spacing w:after="0" w:line="240" w:lineRule="auto"/>
        <w:jc w:val="both"/>
        <w:rPr>
          <w:rFonts w:ascii="Candara" w:hAnsi="Candara" w:cs="Times New Roman"/>
          <w:sz w:val="20"/>
          <w:szCs w:val="20"/>
        </w:rPr>
      </w:pPr>
      <w:r w:rsidRPr="0066321E">
        <w:rPr>
          <w:rFonts w:ascii="Candara" w:hAnsi="Candara" w:cs="Times New Roman"/>
          <w:sz w:val="20"/>
          <w:szCs w:val="20"/>
        </w:rPr>
        <w:t>This article is a narrative review based exclusively on previously published literature. All data supporting the findings of this study are available within the cited references. No new datasets were generated or analyzed during this study.</w:t>
      </w:r>
    </w:p>
    <w:p w14:paraId="5B25E761" w14:textId="77777777" w:rsidR="00AD1B2F" w:rsidRPr="0066321E" w:rsidRDefault="00AD1B2F"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Ethics Statement:</w:t>
      </w:r>
    </w:p>
    <w:p w14:paraId="582A63A8" w14:textId="77777777" w:rsidR="00AD1B2F" w:rsidRPr="0066321E" w:rsidRDefault="00AD1B2F" w:rsidP="0066321E">
      <w:pPr>
        <w:spacing w:after="0" w:line="240" w:lineRule="auto"/>
        <w:jc w:val="both"/>
        <w:rPr>
          <w:rFonts w:ascii="Candara" w:hAnsi="Candara" w:cs="Times New Roman"/>
          <w:sz w:val="20"/>
          <w:szCs w:val="20"/>
        </w:rPr>
      </w:pPr>
      <w:r w:rsidRPr="0066321E">
        <w:rPr>
          <w:rFonts w:ascii="Candara" w:hAnsi="Candara" w:cs="Times New Roman"/>
          <w:sz w:val="20"/>
          <w:szCs w:val="20"/>
        </w:rPr>
        <w:t>As this manuscript is based solely on previously published studies and does not involve human participants, animals, or primary data collection, ethical approval was not required.</w:t>
      </w:r>
    </w:p>
    <w:p w14:paraId="6D3E01B0" w14:textId="77777777" w:rsidR="00AD1B2F" w:rsidRPr="0066321E" w:rsidRDefault="00AD1B2F" w:rsidP="0066321E">
      <w:pPr>
        <w:spacing w:after="0" w:line="240" w:lineRule="auto"/>
        <w:jc w:val="both"/>
        <w:rPr>
          <w:rFonts w:ascii="Candara" w:hAnsi="Candara" w:cs="Times New Roman"/>
          <w:b/>
          <w:bCs/>
          <w:sz w:val="20"/>
          <w:szCs w:val="20"/>
        </w:rPr>
      </w:pPr>
      <w:r w:rsidRPr="0066321E">
        <w:rPr>
          <w:rFonts w:ascii="Candara" w:hAnsi="Candara" w:cs="Times New Roman"/>
          <w:b/>
          <w:bCs/>
          <w:sz w:val="20"/>
          <w:szCs w:val="20"/>
        </w:rPr>
        <w:t>Author’s Contributions:</w:t>
      </w:r>
    </w:p>
    <w:p w14:paraId="3A9E7A30" w14:textId="77777777" w:rsidR="00AD1B2F" w:rsidRPr="0066321E" w:rsidRDefault="00AD1B2F" w:rsidP="0066321E">
      <w:pPr>
        <w:spacing w:after="0" w:line="240" w:lineRule="auto"/>
        <w:jc w:val="both"/>
        <w:rPr>
          <w:rFonts w:ascii="Candara" w:hAnsi="Candara" w:cstheme="majorBidi"/>
          <w:sz w:val="20"/>
          <w:szCs w:val="20"/>
        </w:rPr>
      </w:pPr>
      <w:r w:rsidRPr="0066321E">
        <w:rPr>
          <w:rFonts w:ascii="Candara" w:hAnsi="Candara" w:cstheme="majorBidi"/>
          <w:sz w:val="20"/>
          <w:szCs w:val="20"/>
        </w:rPr>
        <w:t>Danciu Alexandra-Anca conceptualized the review, designed its structure, and supervised the manuscript preparation. Maria Alexandra Craciun, M Usman Khalid, and Muhammad Haider Ashraf contributed to literature search, data compilation, and manuscript drafting. Rida Batool assisted in literature analysis, interpretation, and critical revision of the manuscript. All authors read and approved the final manuscript.</w:t>
      </w:r>
    </w:p>
    <w:p w14:paraId="41BD433E" w14:textId="7A44C09F" w:rsidR="00AD1B2F" w:rsidRPr="0066321E" w:rsidRDefault="00AD1B2F" w:rsidP="0066321E">
      <w:pPr>
        <w:spacing w:after="0" w:line="240" w:lineRule="auto"/>
        <w:jc w:val="both"/>
        <w:rPr>
          <w:rFonts w:ascii="Candara" w:hAnsi="Candara" w:cs="Times New Roman"/>
          <w:sz w:val="20"/>
          <w:szCs w:val="20"/>
        </w:rPr>
      </w:pPr>
      <w:r w:rsidRPr="0066321E">
        <w:rPr>
          <w:rFonts w:ascii="Candara" w:hAnsi="Candara" w:cs="Times New Roman"/>
          <w:b/>
          <w:bCs/>
          <w:sz w:val="20"/>
          <w:szCs w:val="20"/>
        </w:rPr>
        <w:t>Generative AI Statements:</w:t>
      </w:r>
      <w:r w:rsidRPr="0066321E">
        <w:rPr>
          <w:rFonts w:ascii="Candara" w:hAnsi="Candara" w:cs="Times New Roman"/>
          <w:sz w:val="20"/>
          <w:szCs w:val="20"/>
        </w:rPr>
        <w:t xml:space="preserve"> The authors confirm that no generative artificial </w:t>
      </w:r>
      <w:proofErr w:type="gramStart"/>
      <w:r w:rsidRPr="0066321E">
        <w:rPr>
          <w:rFonts w:ascii="Candara" w:hAnsi="Candara" w:cs="Times New Roman"/>
          <w:sz w:val="20"/>
          <w:szCs w:val="20"/>
        </w:rPr>
        <w:t>intelligence based</w:t>
      </w:r>
      <w:proofErr w:type="gramEnd"/>
      <w:r w:rsidRPr="0066321E">
        <w:rPr>
          <w:rFonts w:ascii="Candara" w:hAnsi="Candara" w:cs="Times New Roman"/>
          <w:sz w:val="20"/>
          <w:szCs w:val="20"/>
        </w:rPr>
        <w:t xml:space="preserve"> tools were employed for content generation or interpretation. All intellectual content, interpretations, and conclusions are the sole responsibility of the authors.                                                                            </w:t>
      </w:r>
    </w:p>
    <w:p w14:paraId="5B92A688" w14:textId="14C97C57" w:rsidR="00AD1B2F" w:rsidRPr="0066321E" w:rsidRDefault="00AD1B2F" w:rsidP="0066321E">
      <w:pPr>
        <w:spacing w:after="0" w:line="240" w:lineRule="auto"/>
        <w:jc w:val="both"/>
        <w:rPr>
          <w:rFonts w:ascii="Candara" w:hAnsi="Candara" w:cs="Times New Roman"/>
          <w:sz w:val="20"/>
          <w:szCs w:val="20"/>
        </w:rPr>
      </w:pPr>
      <w:r w:rsidRPr="0066321E">
        <w:rPr>
          <w:rFonts w:ascii="Candara" w:hAnsi="Candara" w:cs="Times New Roman"/>
          <w:b/>
          <w:bCs/>
          <w:sz w:val="20"/>
          <w:szCs w:val="20"/>
        </w:rPr>
        <w:t>Publisher’s Note:</w:t>
      </w:r>
      <w:r w:rsidRPr="0066321E">
        <w:rPr>
          <w:rFonts w:ascii="Candara" w:hAnsi="Candara" w:cs="Times New Roman"/>
          <w:sz w:val="20"/>
          <w:szCs w:val="20"/>
        </w:rPr>
        <w:t xml:space="preserve"> All opinions, analyses, and conclusions presented in this publication are those of the authors alone. They do not necessarily correspond to the positions of the publisher, editorial team, reviewers, or affiliated institutions. The publisher neither certifies nor endorses any products, procedures, or claims discussed and accepts no liability arising from their use.</w:t>
      </w:r>
    </w:p>
    <w:p w14:paraId="4F3D947F" w14:textId="77777777" w:rsidR="002962D2" w:rsidRPr="0066321E" w:rsidRDefault="002962D2" w:rsidP="0066321E">
      <w:pPr>
        <w:pStyle w:val="NormalWeb"/>
        <w:spacing w:before="0" w:beforeAutospacing="0" w:after="0" w:afterAutospacing="0"/>
        <w:jc w:val="both"/>
        <w:rPr>
          <w:rFonts w:ascii="Candara" w:hAnsi="Candara"/>
          <w:b/>
          <w:bCs/>
          <w:sz w:val="20"/>
          <w:szCs w:val="20"/>
        </w:rPr>
      </w:pPr>
      <w:r w:rsidRPr="0066321E">
        <w:rPr>
          <w:rFonts w:ascii="Candara" w:hAnsi="Candara"/>
          <w:b/>
          <w:bCs/>
          <w:sz w:val="20"/>
          <w:szCs w:val="20"/>
        </w:rPr>
        <w:t>References</w:t>
      </w:r>
    </w:p>
    <w:p w14:paraId="08769BFA"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b/>
          <w:bCs/>
          <w:sz w:val="20"/>
          <w:szCs w:val="20"/>
        </w:rPr>
        <w:fldChar w:fldCharType="begin"/>
      </w:r>
      <w:r w:rsidRPr="0066321E">
        <w:rPr>
          <w:rFonts w:ascii="Candara" w:hAnsi="Candara"/>
          <w:b/>
          <w:bCs/>
          <w:sz w:val="20"/>
          <w:szCs w:val="20"/>
        </w:rPr>
        <w:instrText xml:space="preserve"> ADDIN EN.REFLIST </w:instrText>
      </w:r>
      <w:r w:rsidRPr="0066321E">
        <w:rPr>
          <w:rFonts w:ascii="Candara" w:hAnsi="Candara"/>
          <w:b/>
          <w:bCs/>
          <w:sz w:val="20"/>
          <w:szCs w:val="20"/>
        </w:rPr>
        <w:fldChar w:fldCharType="separate"/>
      </w:r>
      <w:r w:rsidRPr="0066321E">
        <w:rPr>
          <w:rFonts w:ascii="Candara" w:hAnsi="Candara"/>
          <w:sz w:val="20"/>
          <w:szCs w:val="20"/>
        </w:rPr>
        <w:t xml:space="preserve">Abdi, G., Patil, N., Mishra, P., Tariq, M., Dhariwal, R., Parveen, S., Dave, K., Jain, M., Tarighat, M. A., &amp; Mudgal, G. (2024). Genomic Precision: Unveiling the Transformative Role of Genome Editing in Advancing Genomics Research and Applications. In V. Singh (Ed.), </w:t>
      </w:r>
      <w:r w:rsidRPr="0066321E">
        <w:rPr>
          <w:rFonts w:ascii="Candara" w:hAnsi="Candara"/>
          <w:i/>
          <w:sz w:val="20"/>
          <w:szCs w:val="20"/>
        </w:rPr>
        <w:t>Advances in Genomics: Methods and Applications</w:t>
      </w:r>
      <w:r w:rsidRPr="0066321E">
        <w:rPr>
          <w:rFonts w:ascii="Candara" w:hAnsi="Candara"/>
          <w:sz w:val="20"/>
          <w:szCs w:val="20"/>
        </w:rPr>
        <w:t xml:space="preserve"> (pp. 265-306). Springer Nature Singapore. </w:t>
      </w:r>
      <w:hyperlink r:id="rId9" w:history="1">
        <w:r w:rsidRPr="0066321E">
          <w:rPr>
            <w:rStyle w:val="Hyperlink"/>
            <w:rFonts w:ascii="Candara" w:hAnsi="Candara"/>
            <w:sz w:val="20"/>
            <w:szCs w:val="20"/>
          </w:rPr>
          <w:t>https://doi.org/10.1007/978-981-97-3169-5_13</w:t>
        </w:r>
      </w:hyperlink>
      <w:r w:rsidRPr="0066321E">
        <w:rPr>
          <w:rFonts w:ascii="Candara" w:hAnsi="Candara"/>
          <w:sz w:val="20"/>
          <w:szCs w:val="20"/>
        </w:rPr>
        <w:t xml:space="preserve"> </w:t>
      </w:r>
    </w:p>
    <w:p w14:paraId="494A7AB8"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Agarrwal, R., Ahire, T. P., Manjunatha, N., Pokhare, S. S., Ojha, R., &amp; Salvi, P. (2024). Imperative Role of R-Genes and Associated Molecular Mechanisms in Plant Disease Resistance. In K. Singh, R. Kaur, &amp; R. Deshmukh (Eds.), </w:t>
      </w:r>
      <w:r w:rsidRPr="0066321E">
        <w:rPr>
          <w:rFonts w:ascii="Candara" w:hAnsi="Candara"/>
          <w:i/>
          <w:sz w:val="20"/>
          <w:szCs w:val="20"/>
        </w:rPr>
        <w:t>Biotechnological Advances for Disease Tolerance in Plants</w:t>
      </w:r>
      <w:r w:rsidRPr="0066321E">
        <w:rPr>
          <w:rFonts w:ascii="Candara" w:hAnsi="Candara"/>
          <w:sz w:val="20"/>
          <w:szCs w:val="20"/>
        </w:rPr>
        <w:t xml:space="preserve"> (pp. 73-97). Springer Nature Singapore. </w:t>
      </w:r>
      <w:hyperlink r:id="rId10" w:history="1">
        <w:r w:rsidRPr="0066321E">
          <w:rPr>
            <w:rStyle w:val="Hyperlink"/>
            <w:rFonts w:ascii="Candara" w:hAnsi="Candara"/>
            <w:sz w:val="20"/>
            <w:szCs w:val="20"/>
          </w:rPr>
          <w:t>https://doi.org/10.1007/978-981-99-8874-7_4</w:t>
        </w:r>
      </w:hyperlink>
      <w:r w:rsidRPr="0066321E">
        <w:rPr>
          <w:rFonts w:ascii="Candara" w:hAnsi="Candara"/>
          <w:sz w:val="20"/>
          <w:szCs w:val="20"/>
        </w:rPr>
        <w:t xml:space="preserve"> </w:t>
      </w:r>
    </w:p>
    <w:p w14:paraId="4952C7D3"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Aksoy, E., Yildirim, K., Kavas, M., Kayihan, C., Yerlikaya, B. A., Çalik, I., Sevgen, İ., &amp; Demirel, U. (2022). General guidelines for CRISPR/Cas-based genome editing in plants. </w:t>
      </w:r>
      <w:r w:rsidRPr="0066321E">
        <w:rPr>
          <w:rFonts w:ascii="Candara" w:hAnsi="Candara"/>
          <w:i/>
          <w:sz w:val="20"/>
          <w:szCs w:val="20"/>
        </w:rPr>
        <w:t>Molecular Biology Reports</w:t>
      </w:r>
      <w:r w:rsidRPr="0066321E">
        <w:rPr>
          <w:rFonts w:ascii="Candara" w:hAnsi="Candara"/>
          <w:sz w:val="20"/>
          <w:szCs w:val="20"/>
        </w:rPr>
        <w:t>,</w:t>
      </w:r>
      <w:r w:rsidRPr="0066321E">
        <w:rPr>
          <w:rFonts w:ascii="Candara" w:hAnsi="Candara"/>
          <w:i/>
          <w:sz w:val="20"/>
          <w:szCs w:val="20"/>
        </w:rPr>
        <w:t xml:space="preserve"> 49</w:t>
      </w:r>
      <w:r w:rsidRPr="0066321E">
        <w:rPr>
          <w:rFonts w:ascii="Candara" w:hAnsi="Candara"/>
          <w:sz w:val="20"/>
          <w:szCs w:val="20"/>
        </w:rPr>
        <w:t xml:space="preserve">(12), 12151-12164. </w:t>
      </w:r>
      <w:hyperlink r:id="rId11" w:history="1">
        <w:r w:rsidRPr="0066321E">
          <w:rPr>
            <w:rStyle w:val="Hyperlink"/>
            <w:rFonts w:ascii="Candara" w:hAnsi="Candara"/>
            <w:sz w:val="20"/>
            <w:szCs w:val="20"/>
          </w:rPr>
          <w:t>https://doi.org/10.1007/s11033-022-07773-8</w:t>
        </w:r>
      </w:hyperlink>
      <w:r w:rsidRPr="0066321E">
        <w:rPr>
          <w:rFonts w:ascii="Candara" w:hAnsi="Candara"/>
          <w:sz w:val="20"/>
          <w:szCs w:val="20"/>
        </w:rPr>
        <w:t xml:space="preserve"> </w:t>
      </w:r>
    </w:p>
    <w:p w14:paraId="07C8C179"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lastRenderedPageBreak/>
        <w:t xml:space="preserve">Anand, G., &amp; Rajeshkumar, K. C. (2022). Challenges and Threats Posed by Plant Pathogenic Fungi on Agricultural Productivity and Economy. In V. R. Rajpal, I. Singh, &amp; S. S. Navi (Eds.), </w:t>
      </w:r>
      <w:r w:rsidRPr="0066321E">
        <w:rPr>
          <w:rFonts w:ascii="Candara" w:hAnsi="Candara"/>
          <w:i/>
          <w:sz w:val="20"/>
          <w:szCs w:val="20"/>
        </w:rPr>
        <w:t>Fungal diversity, ecology and control management</w:t>
      </w:r>
      <w:r w:rsidRPr="0066321E">
        <w:rPr>
          <w:rFonts w:ascii="Candara" w:hAnsi="Candara"/>
          <w:sz w:val="20"/>
          <w:szCs w:val="20"/>
        </w:rPr>
        <w:t xml:space="preserve"> (pp. 483-493). Springer Nature Singapore. </w:t>
      </w:r>
      <w:hyperlink r:id="rId12" w:history="1">
        <w:r w:rsidRPr="0066321E">
          <w:rPr>
            <w:rStyle w:val="Hyperlink"/>
            <w:rFonts w:ascii="Candara" w:hAnsi="Candara"/>
            <w:sz w:val="20"/>
            <w:szCs w:val="20"/>
          </w:rPr>
          <w:t>https://doi.org/10.1007/978-981-16-8877-5_23</w:t>
        </w:r>
      </w:hyperlink>
      <w:r w:rsidRPr="0066321E">
        <w:rPr>
          <w:rFonts w:ascii="Candara" w:hAnsi="Candara"/>
          <w:sz w:val="20"/>
          <w:szCs w:val="20"/>
        </w:rPr>
        <w:t xml:space="preserve"> </w:t>
      </w:r>
    </w:p>
    <w:p w14:paraId="3BB2EDF0"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Arunkumar, R., Zhou, S. O., Day, J. P., Bakare, S., Pitton, S., Zhang, Y., Hsing, C.-Y., O’Boyle, S., Pascual-Gil, J., Clark, B., Chandler, R. J., Leitão, A. B., &amp; Jiggins, F. M. (2023). Natural selection has driven the recurrent loss of an immunity gene that protects &lt;i&gt;Drosophila&lt;/i&gt; against a major natural parasite. </w:t>
      </w:r>
      <w:r w:rsidRPr="0066321E">
        <w:rPr>
          <w:rFonts w:ascii="Candara" w:hAnsi="Candara"/>
          <w:i/>
          <w:sz w:val="20"/>
          <w:szCs w:val="20"/>
        </w:rPr>
        <w:t>Proceedings of the National Academy of Sciences</w:t>
      </w:r>
      <w:r w:rsidRPr="0066321E">
        <w:rPr>
          <w:rFonts w:ascii="Candara" w:hAnsi="Candara"/>
          <w:sz w:val="20"/>
          <w:szCs w:val="20"/>
        </w:rPr>
        <w:t>,</w:t>
      </w:r>
      <w:r w:rsidRPr="0066321E">
        <w:rPr>
          <w:rFonts w:ascii="Candara" w:hAnsi="Candara"/>
          <w:i/>
          <w:sz w:val="20"/>
          <w:szCs w:val="20"/>
        </w:rPr>
        <w:t xml:space="preserve"> 120</w:t>
      </w:r>
      <w:r w:rsidRPr="0066321E">
        <w:rPr>
          <w:rFonts w:ascii="Candara" w:hAnsi="Candara"/>
          <w:sz w:val="20"/>
          <w:szCs w:val="20"/>
        </w:rPr>
        <w:t xml:space="preserve">(33), e2211019120. </w:t>
      </w:r>
      <w:hyperlink r:id="rId13" w:history="1">
        <w:r w:rsidRPr="0066321E">
          <w:rPr>
            <w:rStyle w:val="Hyperlink"/>
            <w:rFonts w:ascii="Candara" w:hAnsi="Candara"/>
            <w:sz w:val="20"/>
            <w:szCs w:val="20"/>
          </w:rPr>
          <w:t>https://doi.org/doi:10.1073/pnas.2211019120</w:t>
        </w:r>
      </w:hyperlink>
      <w:r w:rsidRPr="0066321E">
        <w:rPr>
          <w:rFonts w:ascii="Candara" w:hAnsi="Candara"/>
          <w:sz w:val="20"/>
          <w:szCs w:val="20"/>
        </w:rPr>
        <w:t xml:space="preserve"> </w:t>
      </w:r>
    </w:p>
    <w:p w14:paraId="5A5EE5C1"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Badonyi, M., &amp; Marsh, J. A. (2025). Prevalence of loss-of-function, gain-of-function and dominant-negative mechanisms across genetic disease phenotypes. </w:t>
      </w:r>
      <w:r w:rsidRPr="0066321E">
        <w:rPr>
          <w:rFonts w:ascii="Candara" w:hAnsi="Candara"/>
          <w:i/>
          <w:sz w:val="20"/>
          <w:szCs w:val="20"/>
        </w:rPr>
        <w:t>Nature Communications</w:t>
      </w:r>
      <w:r w:rsidRPr="0066321E">
        <w:rPr>
          <w:rFonts w:ascii="Candara" w:hAnsi="Candara"/>
          <w:sz w:val="20"/>
          <w:szCs w:val="20"/>
        </w:rPr>
        <w:t>,</w:t>
      </w:r>
      <w:r w:rsidRPr="0066321E">
        <w:rPr>
          <w:rFonts w:ascii="Candara" w:hAnsi="Candara"/>
          <w:i/>
          <w:sz w:val="20"/>
          <w:szCs w:val="20"/>
        </w:rPr>
        <w:t xml:space="preserve"> 16</w:t>
      </w:r>
      <w:r w:rsidRPr="0066321E">
        <w:rPr>
          <w:rFonts w:ascii="Candara" w:hAnsi="Candara"/>
          <w:sz w:val="20"/>
          <w:szCs w:val="20"/>
        </w:rPr>
        <w:t xml:space="preserve">(1), 8392. </w:t>
      </w:r>
      <w:hyperlink r:id="rId14" w:history="1">
        <w:r w:rsidRPr="0066321E">
          <w:rPr>
            <w:rStyle w:val="Hyperlink"/>
            <w:rFonts w:ascii="Candara" w:hAnsi="Candara"/>
            <w:sz w:val="20"/>
            <w:szCs w:val="20"/>
          </w:rPr>
          <w:t>https://doi.org/10.1038/s41467-025-63234-3</w:t>
        </w:r>
      </w:hyperlink>
      <w:r w:rsidRPr="0066321E">
        <w:rPr>
          <w:rFonts w:ascii="Candara" w:hAnsi="Candara"/>
          <w:sz w:val="20"/>
          <w:szCs w:val="20"/>
        </w:rPr>
        <w:t xml:space="preserve"> </w:t>
      </w:r>
    </w:p>
    <w:p w14:paraId="05A10797"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Benning, L., Peintner, A., &amp; Peintner, L. (2022). Advances in and the Applicability of Machine Learning-Based Screening and Early Detection Approaches for Cancer: A Primer. </w:t>
      </w:r>
      <w:r w:rsidRPr="0066321E">
        <w:rPr>
          <w:rFonts w:ascii="Candara" w:hAnsi="Candara"/>
          <w:i/>
          <w:sz w:val="20"/>
          <w:szCs w:val="20"/>
        </w:rPr>
        <w:t>Cancers</w:t>
      </w:r>
      <w:r w:rsidRPr="0066321E">
        <w:rPr>
          <w:rFonts w:ascii="Candara" w:hAnsi="Candara"/>
          <w:sz w:val="20"/>
          <w:szCs w:val="20"/>
        </w:rPr>
        <w:t>,</w:t>
      </w:r>
      <w:r w:rsidRPr="0066321E">
        <w:rPr>
          <w:rFonts w:ascii="Candara" w:hAnsi="Candara"/>
          <w:i/>
          <w:sz w:val="20"/>
          <w:szCs w:val="20"/>
        </w:rPr>
        <w:t xml:space="preserve"> 14</w:t>
      </w:r>
      <w:r w:rsidRPr="0066321E">
        <w:rPr>
          <w:rFonts w:ascii="Candara" w:hAnsi="Candara"/>
          <w:sz w:val="20"/>
          <w:szCs w:val="20"/>
        </w:rPr>
        <w:t xml:space="preserve">(3), 623. </w:t>
      </w:r>
      <w:hyperlink r:id="rId15" w:history="1">
        <w:r w:rsidRPr="0066321E">
          <w:rPr>
            <w:rStyle w:val="Hyperlink"/>
            <w:rFonts w:ascii="Candara" w:hAnsi="Candara"/>
            <w:sz w:val="20"/>
            <w:szCs w:val="20"/>
          </w:rPr>
          <w:t>https://www.mdpi.com/2072-6694/14/3/623</w:t>
        </w:r>
      </w:hyperlink>
      <w:r w:rsidRPr="0066321E">
        <w:rPr>
          <w:rFonts w:ascii="Candara" w:hAnsi="Candara"/>
          <w:sz w:val="20"/>
          <w:szCs w:val="20"/>
        </w:rPr>
        <w:t xml:space="preserve"> </w:t>
      </w:r>
    </w:p>
    <w:p w14:paraId="0DACE39B"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Berman, A., Su, N., Li, Z., Landau, U., Chakraborty, J., Gerbi, N., Liu, J., Qin, Y., Yuan, B., Wei, W., Yanai, O., Mayrose, I., Zhang, Y., &amp; Shani, E. (2025). Construction of multi-targeted CRISPR libraries in tomato to overcome functional redundancy at genome-scale level. </w:t>
      </w:r>
      <w:r w:rsidRPr="0066321E">
        <w:rPr>
          <w:rFonts w:ascii="Candara" w:hAnsi="Candara"/>
          <w:i/>
          <w:sz w:val="20"/>
          <w:szCs w:val="20"/>
        </w:rPr>
        <w:t>Nature Communications</w:t>
      </w:r>
      <w:r w:rsidRPr="0066321E">
        <w:rPr>
          <w:rFonts w:ascii="Candara" w:hAnsi="Candara"/>
          <w:sz w:val="20"/>
          <w:szCs w:val="20"/>
        </w:rPr>
        <w:t>,</w:t>
      </w:r>
      <w:r w:rsidRPr="0066321E">
        <w:rPr>
          <w:rFonts w:ascii="Candara" w:hAnsi="Candara"/>
          <w:i/>
          <w:sz w:val="20"/>
          <w:szCs w:val="20"/>
        </w:rPr>
        <w:t xml:space="preserve"> 16</w:t>
      </w:r>
      <w:r w:rsidRPr="0066321E">
        <w:rPr>
          <w:rFonts w:ascii="Candara" w:hAnsi="Candara"/>
          <w:sz w:val="20"/>
          <w:szCs w:val="20"/>
        </w:rPr>
        <w:t xml:space="preserve">(1), 4111. </w:t>
      </w:r>
      <w:hyperlink r:id="rId16" w:history="1">
        <w:r w:rsidRPr="0066321E">
          <w:rPr>
            <w:rStyle w:val="Hyperlink"/>
            <w:rFonts w:ascii="Candara" w:hAnsi="Candara"/>
            <w:sz w:val="20"/>
            <w:szCs w:val="20"/>
          </w:rPr>
          <w:t>https://doi.org/10.1038/s41467-025-59280-6</w:t>
        </w:r>
      </w:hyperlink>
      <w:r w:rsidRPr="0066321E">
        <w:rPr>
          <w:rFonts w:ascii="Candara" w:hAnsi="Candara"/>
          <w:sz w:val="20"/>
          <w:szCs w:val="20"/>
        </w:rPr>
        <w:t xml:space="preserve"> </w:t>
      </w:r>
    </w:p>
    <w:p w14:paraId="3CA46A2E"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Chattopadhyay, A., Purohit, J., Mehta, S., Parmar, H., Karippadakam, S., Rashid, A., Balamurugan, A., Bansal, S., Prakash, G., Achary, V. M. M., &amp; Reddy, M. K. (2022). Precision Genome Editing Toolbox: Applications and Approaches for Improving Rice’s Genetic Resistance to Pathogens. </w:t>
      </w:r>
      <w:r w:rsidRPr="0066321E">
        <w:rPr>
          <w:rFonts w:ascii="Candara" w:hAnsi="Candara"/>
          <w:i/>
          <w:sz w:val="20"/>
          <w:szCs w:val="20"/>
        </w:rPr>
        <w:t>Agronomy</w:t>
      </w:r>
      <w:r w:rsidRPr="0066321E">
        <w:rPr>
          <w:rFonts w:ascii="Candara" w:hAnsi="Candara"/>
          <w:sz w:val="20"/>
          <w:szCs w:val="20"/>
        </w:rPr>
        <w:t>,</w:t>
      </w:r>
      <w:r w:rsidRPr="0066321E">
        <w:rPr>
          <w:rFonts w:ascii="Candara" w:hAnsi="Candara"/>
          <w:i/>
          <w:sz w:val="20"/>
          <w:szCs w:val="20"/>
        </w:rPr>
        <w:t xml:space="preserve"> 12</w:t>
      </w:r>
      <w:r w:rsidRPr="0066321E">
        <w:rPr>
          <w:rFonts w:ascii="Candara" w:hAnsi="Candara"/>
          <w:sz w:val="20"/>
          <w:szCs w:val="20"/>
        </w:rPr>
        <w:t xml:space="preserve">(3), 565. </w:t>
      </w:r>
      <w:hyperlink r:id="rId17" w:history="1">
        <w:r w:rsidRPr="0066321E">
          <w:rPr>
            <w:rStyle w:val="Hyperlink"/>
            <w:rFonts w:ascii="Candara" w:hAnsi="Candara"/>
            <w:sz w:val="20"/>
            <w:szCs w:val="20"/>
          </w:rPr>
          <w:t>https://doi.org/10.3390/agronomy12030565</w:t>
        </w:r>
      </w:hyperlink>
      <w:r w:rsidRPr="0066321E">
        <w:rPr>
          <w:rFonts w:ascii="Candara" w:hAnsi="Candara"/>
          <w:sz w:val="20"/>
          <w:szCs w:val="20"/>
        </w:rPr>
        <w:t xml:space="preserve"> </w:t>
      </w:r>
    </w:p>
    <w:p w14:paraId="0A8A3B62"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Chehelgerdi, M., Chehelgerdi, M., Khorramian-Ghahfarokhi, M., Shafieizadeh, M., Mahmoudi, E., Eskandari, F., Rashidi, M., Arshi, A., &amp; Mokhtari-Farsani, A. (2024). Comprehensive review of CRISPR-based gene editing: mechanisms, challenges, and applications in cancer therapy. </w:t>
      </w:r>
      <w:r w:rsidRPr="0066321E">
        <w:rPr>
          <w:rFonts w:ascii="Candara" w:hAnsi="Candara"/>
          <w:i/>
          <w:sz w:val="20"/>
          <w:szCs w:val="20"/>
        </w:rPr>
        <w:t>Molecular Cancer</w:t>
      </w:r>
      <w:r w:rsidRPr="0066321E">
        <w:rPr>
          <w:rFonts w:ascii="Candara" w:hAnsi="Candara"/>
          <w:sz w:val="20"/>
          <w:szCs w:val="20"/>
        </w:rPr>
        <w:t>,</w:t>
      </w:r>
      <w:r w:rsidRPr="0066321E">
        <w:rPr>
          <w:rFonts w:ascii="Candara" w:hAnsi="Candara"/>
          <w:i/>
          <w:sz w:val="20"/>
          <w:szCs w:val="20"/>
        </w:rPr>
        <w:t xml:space="preserve"> 23</w:t>
      </w:r>
      <w:r w:rsidRPr="0066321E">
        <w:rPr>
          <w:rFonts w:ascii="Candara" w:hAnsi="Candara"/>
          <w:sz w:val="20"/>
          <w:szCs w:val="20"/>
        </w:rPr>
        <w:t xml:space="preserve">(1), 9. </w:t>
      </w:r>
      <w:hyperlink r:id="rId18" w:history="1">
        <w:r w:rsidRPr="0066321E">
          <w:rPr>
            <w:rStyle w:val="Hyperlink"/>
            <w:rFonts w:ascii="Candara" w:hAnsi="Candara"/>
            <w:sz w:val="20"/>
            <w:szCs w:val="20"/>
          </w:rPr>
          <w:t>https://doi.org/10.1186/s12943-023-01925-5</w:t>
        </w:r>
      </w:hyperlink>
      <w:r w:rsidRPr="0066321E">
        <w:rPr>
          <w:rFonts w:ascii="Candara" w:hAnsi="Candara"/>
          <w:sz w:val="20"/>
          <w:szCs w:val="20"/>
        </w:rPr>
        <w:t xml:space="preserve"> </w:t>
      </w:r>
    </w:p>
    <w:p w14:paraId="7414DBD1" w14:textId="77777777" w:rsidR="002962D2" w:rsidRPr="0066321E" w:rsidRDefault="002962D2" w:rsidP="0066321E">
      <w:pPr>
        <w:pStyle w:val="EndNoteBibliography"/>
        <w:spacing w:after="0"/>
        <w:jc w:val="both"/>
        <w:rPr>
          <w:rFonts w:ascii="Candara" w:hAnsi="Candara"/>
          <w:color w:val="EE0000"/>
          <w:sz w:val="20"/>
          <w:szCs w:val="20"/>
        </w:rPr>
      </w:pPr>
      <w:r w:rsidRPr="0066321E">
        <w:rPr>
          <w:rFonts w:ascii="Candara" w:hAnsi="Candara"/>
          <w:sz w:val="20"/>
          <w:szCs w:val="20"/>
        </w:rPr>
        <w:t xml:space="preserve">Chen, J.-X., Hu, Y.-T., Zhang, C.-C., Luo, M.-S., &amp; Zhang, W.-Q. (2024). sgRNA structure optimization and PTG/Cas9 system synergistically boost gene knockout efficiency in an insect. </w:t>
      </w:r>
      <w:r w:rsidRPr="0066321E">
        <w:rPr>
          <w:rFonts w:ascii="Candara" w:hAnsi="Candara"/>
          <w:i/>
          <w:sz w:val="20"/>
          <w:szCs w:val="20"/>
        </w:rPr>
        <w:t>International Journal of Biological Macromolecules</w:t>
      </w:r>
      <w:r w:rsidRPr="0066321E">
        <w:rPr>
          <w:rFonts w:ascii="Candara" w:hAnsi="Candara"/>
          <w:sz w:val="20"/>
          <w:szCs w:val="20"/>
        </w:rPr>
        <w:t>,</w:t>
      </w:r>
      <w:r w:rsidRPr="0066321E">
        <w:rPr>
          <w:rFonts w:ascii="Candara" w:hAnsi="Candara"/>
          <w:i/>
          <w:sz w:val="20"/>
          <w:szCs w:val="20"/>
        </w:rPr>
        <w:t xml:space="preserve"> 280</w:t>
      </w:r>
      <w:r w:rsidRPr="0066321E">
        <w:rPr>
          <w:rFonts w:ascii="Candara" w:hAnsi="Candara"/>
          <w:sz w:val="20"/>
          <w:szCs w:val="20"/>
        </w:rPr>
        <w:t xml:space="preserve">, 135413. </w:t>
      </w:r>
      <w:hyperlink r:id="rId19" w:history="1">
        <w:r w:rsidRPr="0066321E">
          <w:rPr>
            <w:rStyle w:val="Hyperlink"/>
            <w:rFonts w:ascii="Candara" w:hAnsi="Candara"/>
            <w:color w:val="auto"/>
            <w:sz w:val="20"/>
            <w:szCs w:val="20"/>
          </w:rPr>
          <w:t>https://doi.org/https://doi.org/10.1016/j.ijbiomac.2024.135413</w:t>
        </w:r>
      </w:hyperlink>
      <w:r w:rsidRPr="0066321E">
        <w:rPr>
          <w:rFonts w:ascii="Candara" w:hAnsi="Candara"/>
          <w:sz w:val="20"/>
          <w:szCs w:val="20"/>
        </w:rPr>
        <w:t xml:space="preserve"> </w:t>
      </w:r>
    </w:p>
    <w:p w14:paraId="5F41CA20"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Chen, R., Zou, J., Chen, J., Zhong, X., Kang, R., &amp; Tang, D. (2025). Pattern recognition receptors: function, regulation and therapeutic potential. </w:t>
      </w:r>
      <w:r w:rsidRPr="0066321E">
        <w:rPr>
          <w:rFonts w:ascii="Candara" w:hAnsi="Candara"/>
          <w:i/>
          <w:sz w:val="20"/>
          <w:szCs w:val="20"/>
        </w:rPr>
        <w:t>Signal Transduction and Targeted Therapy</w:t>
      </w:r>
      <w:r w:rsidRPr="0066321E">
        <w:rPr>
          <w:rFonts w:ascii="Candara" w:hAnsi="Candara"/>
          <w:sz w:val="20"/>
          <w:szCs w:val="20"/>
        </w:rPr>
        <w:t>,</w:t>
      </w:r>
      <w:r w:rsidRPr="0066321E">
        <w:rPr>
          <w:rFonts w:ascii="Candara" w:hAnsi="Candara"/>
          <w:i/>
          <w:sz w:val="20"/>
          <w:szCs w:val="20"/>
        </w:rPr>
        <w:t xml:space="preserve"> 10</w:t>
      </w:r>
      <w:r w:rsidRPr="0066321E">
        <w:rPr>
          <w:rFonts w:ascii="Candara" w:hAnsi="Candara"/>
          <w:sz w:val="20"/>
          <w:szCs w:val="20"/>
        </w:rPr>
        <w:t xml:space="preserve">(1), 216. </w:t>
      </w:r>
      <w:hyperlink r:id="rId20" w:history="1">
        <w:r w:rsidRPr="0066321E">
          <w:rPr>
            <w:rStyle w:val="Hyperlink"/>
            <w:rFonts w:ascii="Candara" w:hAnsi="Candara"/>
            <w:sz w:val="20"/>
            <w:szCs w:val="20"/>
          </w:rPr>
          <w:t>https://doi.org/10.1038/s41392-025-02264-1</w:t>
        </w:r>
      </w:hyperlink>
      <w:r w:rsidRPr="0066321E">
        <w:rPr>
          <w:rFonts w:ascii="Candara" w:hAnsi="Candara"/>
          <w:sz w:val="20"/>
          <w:szCs w:val="20"/>
        </w:rPr>
        <w:t xml:space="preserve"> </w:t>
      </w:r>
    </w:p>
    <w:p w14:paraId="79F4085C"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Choudhary, E., Sharma, R., Pal, P., &amp; Agarwal, N. (2022). Deciphering the proteomic landscape of Mycobacterium tuberculosis in response to acid and oxidative stresses. </w:t>
      </w:r>
      <w:r w:rsidRPr="0066321E">
        <w:rPr>
          <w:rFonts w:ascii="Candara" w:hAnsi="Candara"/>
          <w:i/>
          <w:sz w:val="20"/>
          <w:szCs w:val="20"/>
        </w:rPr>
        <w:t>ACS omega</w:t>
      </w:r>
      <w:r w:rsidRPr="0066321E">
        <w:rPr>
          <w:rFonts w:ascii="Candara" w:hAnsi="Candara"/>
          <w:sz w:val="20"/>
          <w:szCs w:val="20"/>
        </w:rPr>
        <w:t>,</w:t>
      </w:r>
      <w:r w:rsidRPr="0066321E">
        <w:rPr>
          <w:rFonts w:ascii="Candara" w:hAnsi="Candara"/>
          <w:i/>
          <w:sz w:val="20"/>
          <w:szCs w:val="20"/>
        </w:rPr>
        <w:t xml:space="preserve"> 7</w:t>
      </w:r>
      <w:r w:rsidRPr="0066321E">
        <w:rPr>
          <w:rFonts w:ascii="Candara" w:hAnsi="Candara"/>
          <w:sz w:val="20"/>
          <w:szCs w:val="20"/>
        </w:rPr>
        <w:t xml:space="preserve">(30), 26749-26766. </w:t>
      </w:r>
    </w:p>
    <w:p w14:paraId="21F1B05A"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Chowdhury, M. R., &amp; Vijaykumar, S. D. (2025). Application of Artificial Intelligence in Recognition of Gene Regulation and Metabolic Pathways. In </w:t>
      </w:r>
      <w:r w:rsidRPr="0066321E">
        <w:rPr>
          <w:rFonts w:ascii="Candara" w:hAnsi="Candara"/>
          <w:i/>
          <w:sz w:val="20"/>
          <w:szCs w:val="20"/>
        </w:rPr>
        <w:t>Computational Techniques for Biological Sequence Analysis</w:t>
      </w:r>
      <w:r w:rsidRPr="0066321E">
        <w:rPr>
          <w:rFonts w:ascii="Candara" w:hAnsi="Candara"/>
          <w:sz w:val="20"/>
          <w:szCs w:val="20"/>
        </w:rPr>
        <w:t xml:space="preserve"> (pp. 34-60). CRC Press. </w:t>
      </w:r>
    </w:p>
    <w:p w14:paraId="50073B25"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Chu, T., Wang, Z., Pe’er, D., &amp; Danko, C. G. (2022). Cell type and gene expression deconvolution with BayesPrism enables Bayesian integrative analysis across bulk and single-cell RNA sequencing in oncology. </w:t>
      </w:r>
      <w:r w:rsidRPr="0066321E">
        <w:rPr>
          <w:rFonts w:ascii="Candara" w:hAnsi="Candara"/>
          <w:i/>
          <w:sz w:val="20"/>
          <w:szCs w:val="20"/>
        </w:rPr>
        <w:t>Nature Cancer</w:t>
      </w:r>
      <w:r w:rsidRPr="0066321E">
        <w:rPr>
          <w:rFonts w:ascii="Candara" w:hAnsi="Candara"/>
          <w:sz w:val="20"/>
          <w:szCs w:val="20"/>
        </w:rPr>
        <w:t>,</w:t>
      </w:r>
      <w:r w:rsidRPr="0066321E">
        <w:rPr>
          <w:rFonts w:ascii="Candara" w:hAnsi="Candara"/>
          <w:i/>
          <w:sz w:val="20"/>
          <w:szCs w:val="20"/>
        </w:rPr>
        <w:t xml:space="preserve"> 3</w:t>
      </w:r>
      <w:r w:rsidRPr="0066321E">
        <w:rPr>
          <w:rFonts w:ascii="Candara" w:hAnsi="Candara"/>
          <w:sz w:val="20"/>
          <w:szCs w:val="20"/>
        </w:rPr>
        <w:t xml:space="preserve">(4), 505-517. </w:t>
      </w:r>
      <w:hyperlink r:id="rId21" w:history="1">
        <w:r w:rsidRPr="0066321E">
          <w:rPr>
            <w:rStyle w:val="Hyperlink"/>
            <w:rFonts w:ascii="Candara" w:hAnsi="Candara"/>
            <w:sz w:val="20"/>
            <w:szCs w:val="20"/>
          </w:rPr>
          <w:t>https://doi.org/10.1038/s43018-022-00356-3</w:t>
        </w:r>
      </w:hyperlink>
      <w:r w:rsidRPr="0066321E">
        <w:rPr>
          <w:rFonts w:ascii="Candara" w:hAnsi="Candara"/>
          <w:sz w:val="20"/>
          <w:szCs w:val="20"/>
        </w:rPr>
        <w:t xml:space="preserve"> </w:t>
      </w:r>
    </w:p>
    <w:p w14:paraId="4074DB19" w14:textId="77777777" w:rsidR="002962D2" w:rsidRPr="0066321E" w:rsidRDefault="002962D2" w:rsidP="0066321E">
      <w:pPr>
        <w:pStyle w:val="EndNoteBibliography"/>
        <w:spacing w:after="0"/>
        <w:jc w:val="both"/>
        <w:rPr>
          <w:rFonts w:ascii="Candara" w:hAnsi="Candara"/>
          <w:sz w:val="20"/>
          <w:szCs w:val="20"/>
          <w:lang w:val="pt-BR"/>
        </w:rPr>
      </w:pPr>
      <w:r w:rsidRPr="0066321E">
        <w:rPr>
          <w:rFonts w:ascii="Candara" w:hAnsi="Candara"/>
          <w:sz w:val="20"/>
          <w:szCs w:val="20"/>
        </w:rPr>
        <w:t xml:space="preserve">Citterico, M., Neubergerová, M., Porcher, A., Zeiner, A., Pejchar, P., Korec Podmanická, T., Potocký, M., Kangasjärvi, S., Pleskot, R., &amp; Wrzaczek, M. (2026). Unstructured regions differentially modulate the activation of RBOHD and RBOHH. </w:t>
      </w:r>
      <w:r w:rsidRPr="0066321E">
        <w:rPr>
          <w:rFonts w:ascii="Candara" w:hAnsi="Candara"/>
          <w:i/>
          <w:sz w:val="20"/>
          <w:szCs w:val="20"/>
        </w:rPr>
        <w:t>bioRxiv</w:t>
      </w:r>
      <w:r w:rsidRPr="0066321E">
        <w:rPr>
          <w:rFonts w:ascii="Candara" w:hAnsi="Candara"/>
          <w:sz w:val="20"/>
          <w:szCs w:val="20"/>
        </w:rPr>
        <w:t xml:space="preserve">, 2026.2003. </w:t>
      </w:r>
      <w:r w:rsidRPr="0066321E">
        <w:rPr>
          <w:rFonts w:ascii="Candara" w:hAnsi="Candara"/>
          <w:sz w:val="20"/>
          <w:szCs w:val="20"/>
          <w:lang w:val="pt-BR"/>
        </w:rPr>
        <w:t xml:space="preserve">2031.715192. </w:t>
      </w:r>
    </w:p>
    <w:p w14:paraId="5E06340F" w14:textId="77777777" w:rsidR="002962D2" w:rsidRPr="0066321E" w:rsidRDefault="002962D2" w:rsidP="0066321E">
      <w:pPr>
        <w:pStyle w:val="EndNoteBibliography"/>
        <w:spacing w:after="0"/>
        <w:jc w:val="both"/>
        <w:rPr>
          <w:rFonts w:ascii="Candara" w:hAnsi="Candara"/>
          <w:sz w:val="20"/>
          <w:szCs w:val="20"/>
          <w:lang w:val="pt-BR"/>
        </w:rPr>
      </w:pPr>
      <w:r w:rsidRPr="0066321E">
        <w:rPr>
          <w:rFonts w:ascii="Candara" w:hAnsi="Candara"/>
          <w:sz w:val="20"/>
          <w:szCs w:val="20"/>
          <w:lang w:val="pt-BR"/>
        </w:rPr>
        <w:t xml:space="preserve">Contreras, M. P., Lüdke, D., Pai, H., Toghani, A., &amp; Kamoun, S. (2023). </w:t>
      </w:r>
      <w:r w:rsidRPr="0066321E">
        <w:rPr>
          <w:rFonts w:ascii="Candara" w:hAnsi="Candara"/>
          <w:sz w:val="20"/>
          <w:szCs w:val="20"/>
        </w:rPr>
        <w:t xml:space="preserve">NLR receptors in plant immunity: making sense of the alphabet soup. </w:t>
      </w:r>
      <w:r w:rsidRPr="0066321E">
        <w:rPr>
          <w:rFonts w:ascii="Candara" w:hAnsi="Candara"/>
          <w:i/>
          <w:sz w:val="20"/>
          <w:szCs w:val="20"/>
          <w:lang w:val="pt-BR"/>
        </w:rPr>
        <w:t>The EMBO Reports</w:t>
      </w:r>
      <w:r w:rsidRPr="0066321E">
        <w:rPr>
          <w:rFonts w:ascii="Candara" w:hAnsi="Candara"/>
          <w:sz w:val="20"/>
          <w:szCs w:val="20"/>
          <w:lang w:val="pt-BR"/>
        </w:rPr>
        <w:t>,</w:t>
      </w:r>
      <w:r w:rsidRPr="0066321E">
        <w:rPr>
          <w:rFonts w:ascii="Candara" w:hAnsi="Candara"/>
          <w:i/>
          <w:sz w:val="20"/>
          <w:szCs w:val="20"/>
          <w:lang w:val="pt-BR"/>
        </w:rPr>
        <w:t xml:space="preserve"> 24</w:t>
      </w:r>
      <w:r w:rsidRPr="0066321E">
        <w:rPr>
          <w:rFonts w:ascii="Candara" w:hAnsi="Candara"/>
          <w:sz w:val="20"/>
          <w:szCs w:val="20"/>
          <w:lang w:val="pt-BR"/>
        </w:rPr>
        <w:t xml:space="preserve">(10), EMBR202357495. </w:t>
      </w:r>
      <w:hyperlink r:id="rId22" w:history="1">
        <w:r w:rsidRPr="0066321E">
          <w:rPr>
            <w:rStyle w:val="Hyperlink"/>
            <w:rFonts w:ascii="Candara" w:hAnsi="Candara"/>
            <w:sz w:val="20"/>
            <w:szCs w:val="20"/>
            <w:lang w:val="pt-BR"/>
          </w:rPr>
          <w:t>https://doi.org/10.15252/embr.202357495</w:t>
        </w:r>
      </w:hyperlink>
      <w:r w:rsidRPr="0066321E">
        <w:rPr>
          <w:rFonts w:ascii="Candara" w:hAnsi="Candara"/>
          <w:sz w:val="20"/>
          <w:szCs w:val="20"/>
          <w:lang w:val="pt-BR"/>
        </w:rPr>
        <w:t xml:space="preserve"> </w:t>
      </w:r>
    </w:p>
    <w:p w14:paraId="61C62375" w14:textId="3F41458A"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lang w:val="pt-BR"/>
        </w:rPr>
        <w:t xml:space="preserve">Costa-Silva, J., Domingues, D. S., Menotti, D., Hungria, M., &amp; Lopes, F. M. (2023). </w:t>
      </w:r>
      <w:r w:rsidRPr="0066321E">
        <w:rPr>
          <w:rFonts w:ascii="Candara" w:hAnsi="Candara"/>
          <w:sz w:val="20"/>
          <w:szCs w:val="20"/>
        </w:rPr>
        <w:t xml:space="preserve">Temporal progress of gene expression analysis with RNA-Seq data: A review on the relationship between computational methods. </w:t>
      </w:r>
      <w:r w:rsidRPr="0066321E">
        <w:rPr>
          <w:rFonts w:ascii="Candara" w:hAnsi="Candara"/>
          <w:i/>
          <w:sz w:val="20"/>
          <w:szCs w:val="20"/>
        </w:rPr>
        <w:t>Computational and Structural Biotechnology Journal</w:t>
      </w:r>
      <w:r w:rsidRPr="0066321E">
        <w:rPr>
          <w:rFonts w:ascii="Candara" w:hAnsi="Candara"/>
          <w:sz w:val="20"/>
          <w:szCs w:val="20"/>
        </w:rPr>
        <w:t>,</w:t>
      </w:r>
      <w:r w:rsidRPr="0066321E">
        <w:rPr>
          <w:rFonts w:ascii="Candara" w:hAnsi="Candara"/>
          <w:i/>
          <w:sz w:val="20"/>
          <w:szCs w:val="20"/>
        </w:rPr>
        <w:t xml:space="preserve"> 21</w:t>
      </w:r>
      <w:r w:rsidRPr="0066321E">
        <w:rPr>
          <w:rFonts w:ascii="Candara" w:hAnsi="Candara"/>
          <w:sz w:val="20"/>
          <w:szCs w:val="20"/>
        </w:rPr>
        <w:t xml:space="preserve">, 86-98. </w:t>
      </w:r>
      <w:hyperlink r:id="rId23" w:history="1">
        <w:r w:rsidRPr="0066321E">
          <w:rPr>
            <w:rStyle w:val="Hyperlink"/>
            <w:rFonts w:ascii="Candara" w:hAnsi="Candara"/>
            <w:sz w:val="20"/>
            <w:szCs w:val="20"/>
          </w:rPr>
          <w:t>https://doi.org/https://doi.org/10.1016/j.csbj.2022.11.051</w:t>
        </w:r>
      </w:hyperlink>
      <w:r w:rsidRPr="0066321E">
        <w:rPr>
          <w:rFonts w:ascii="Candara" w:hAnsi="Candara"/>
          <w:sz w:val="20"/>
          <w:szCs w:val="20"/>
        </w:rPr>
        <w:t xml:space="preserve">  </w:t>
      </w:r>
    </w:p>
    <w:p w14:paraId="094B2410"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Das, D., Chowdhury, N., Sharma, M., Suma, R., Saikia, B., Velmurugan, N., &amp; Chikkaputtaiah, C. (2024). Screening for brown-spot disease and drought stress response and identification of dual-stress responsive genes in rice cultivars of Northeast India. </w:t>
      </w:r>
      <w:r w:rsidRPr="0066321E">
        <w:rPr>
          <w:rFonts w:ascii="Candara" w:hAnsi="Candara"/>
          <w:i/>
          <w:sz w:val="20"/>
          <w:szCs w:val="20"/>
        </w:rPr>
        <w:t>Physiology and Molecular Biology of Plants</w:t>
      </w:r>
      <w:r w:rsidRPr="0066321E">
        <w:rPr>
          <w:rFonts w:ascii="Candara" w:hAnsi="Candara"/>
          <w:sz w:val="20"/>
          <w:szCs w:val="20"/>
        </w:rPr>
        <w:t>,</w:t>
      </w:r>
      <w:r w:rsidRPr="0066321E">
        <w:rPr>
          <w:rFonts w:ascii="Candara" w:hAnsi="Candara"/>
          <w:i/>
          <w:sz w:val="20"/>
          <w:szCs w:val="20"/>
        </w:rPr>
        <w:t xml:space="preserve"> 30</w:t>
      </w:r>
      <w:r w:rsidRPr="0066321E">
        <w:rPr>
          <w:rFonts w:ascii="Candara" w:hAnsi="Candara"/>
          <w:sz w:val="20"/>
          <w:szCs w:val="20"/>
        </w:rPr>
        <w:t xml:space="preserve">(4), 647-663. </w:t>
      </w:r>
      <w:hyperlink r:id="rId24" w:history="1">
        <w:r w:rsidRPr="0066321E">
          <w:rPr>
            <w:rStyle w:val="Hyperlink"/>
            <w:rFonts w:ascii="Candara" w:hAnsi="Candara"/>
            <w:sz w:val="20"/>
            <w:szCs w:val="20"/>
          </w:rPr>
          <w:t>https://doi.org/10.1007/s12298-024-01447-4</w:t>
        </w:r>
      </w:hyperlink>
      <w:r w:rsidRPr="0066321E">
        <w:rPr>
          <w:rFonts w:ascii="Candara" w:hAnsi="Candara"/>
          <w:sz w:val="20"/>
          <w:szCs w:val="20"/>
        </w:rPr>
        <w:t xml:space="preserve"> </w:t>
      </w:r>
    </w:p>
    <w:p w14:paraId="22B32426" w14:textId="77777777" w:rsidR="002962D2" w:rsidRPr="0066321E" w:rsidRDefault="002962D2" w:rsidP="0066321E">
      <w:pPr>
        <w:pStyle w:val="EndNoteBibliography"/>
        <w:spacing w:after="0"/>
        <w:jc w:val="both"/>
        <w:rPr>
          <w:rFonts w:ascii="Candara" w:hAnsi="Candara"/>
          <w:sz w:val="20"/>
          <w:szCs w:val="20"/>
          <w:lang w:val="fr-FR"/>
        </w:rPr>
      </w:pPr>
      <w:r w:rsidRPr="0066321E">
        <w:rPr>
          <w:rFonts w:ascii="Candara" w:hAnsi="Candara"/>
          <w:sz w:val="20"/>
          <w:szCs w:val="20"/>
        </w:rPr>
        <w:t xml:space="preserve">de Roest, R. H., Buijze, M., Veth, M., de Lint, K., Pai, G., Rooimans, M. A., Wolthuis, R. M., Brink, A., Poell, J. B., &amp; Brakenhoff, R. H. (2025). An unexpected role of CLASP1 in radiation response and S-phase regulation of head and neck cancer cells. </w:t>
      </w:r>
      <w:r w:rsidRPr="0066321E">
        <w:rPr>
          <w:rFonts w:ascii="Candara" w:hAnsi="Candara"/>
          <w:i/>
          <w:sz w:val="20"/>
          <w:szCs w:val="20"/>
          <w:lang w:val="fr-FR"/>
        </w:rPr>
        <w:t>PLoS One</w:t>
      </w:r>
      <w:r w:rsidRPr="0066321E">
        <w:rPr>
          <w:rFonts w:ascii="Candara" w:hAnsi="Candara"/>
          <w:sz w:val="20"/>
          <w:szCs w:val="20"/>
          <w:lang w:val="fr-FR"/>
        </w:rPr>
        <w:t>,</w:t>
      </w:r>
      <w:r w:rsidRPr="0066321E">
        <w:rPr>
          <w:rFonts w:ascii="Candara" w:hAnsi="Candara"/>
          <w:i/>
          <w:sz w:val="20"/>
          <w:szCs w:val="20"/>
          <w:lang w:val="fr-FR"/>
        </w:rPr>
        <w:t xml:space="preserve"> 20</w:t>
      </w:r>
      <w:r w:rsidRPr="0066321E">
        <w:rPr>
          <w:rFonts w:ascii="Candara" w:hAnsi="Candara"/>
          <w:sz w:val="20"/>
          <w:szCs w:val="20"/>
          <w:lang w:val="fr-FR"/>
        </w:rPr>
        <w:t xml:space="preserve">(8), e0329731. </w:t>
      </w:r>
    </w:p>
    <w:p w14:paraId="4D7E9155" w14:textId="77777777" w:rsidR="002962D2" w:rsidRPr="0066321E" w:rsidRDefault="002962D2" w:rsidP="0066321E">
      <w:pPr>
        <w:pStyle w:val="EndNoteBibliography"/>
        <w:spacing w:after="0"/>
        <w:jc w:val="both"/>
        <w:rPr>
          <w:rFonts w:ascii="Candara" w:hAnsi="Candara"/>
          <w:sz w:val="20"/>
          <w:szCs w:val="20"/>
          <w:lang w:val="fr-FR"/>
        </w:rPr>
      </w:pPr>
      <w:r w:rsidRPr="0066321E">
        <w:rPr>
          <w:rFonts w:ascii="Candara" w:hAnsi="Candara"/>
          <w:sz w:val="20"/>
          <w:szCs w:val="20"/>
          <w:lang w:val="fr-FR"/>
        </w:rPr>
        <w:lastRenderedPageBreak/>
        <w:t xml:space="preserve">Delannoy, E., Batardiere, B., Pateyron, S., Soubigou-Taconnat, L., Chiquet, J., Colcombet, J., &amp; Lang, J. (2023). </w:t>
      </w:r>
      <w:r w:rsidRPr="0066321E">
        <w:rPr>
          <w:rFonts w:ascii="Candara" w:hAnsi="Candara"/>
          <w:sz w:val="20"/>
          <w:szCs w:val="20"/>
        </w:rPr>
        <w:t xml:space="preserve">Cell specialization and coordination in Arabidopsis leaves upon pathogenic attack revealed by scRNA-seq. </w:t>
      </w:r>
      <w:r w:rsidRPr="0066321E">
        <w:rPr>
          <w:rFonts w:ascii="Candara" w:hAnsi="Candara"/>
          <w:i/>
          <w:sz w:val="20"/>
          <w:szCs w:val="20"/>
          <w:lang w:val="fr-FR"/>
        </w:rPr>
        <w:t>Plant communications</w:t>
      </w:r>
      <w:r w:rsidRPr="0066321E">
        <w:rPr>
          <w:rFonts w:ascii="Candara" w:hAnsi="Candara"/>
          <w:sz w:val="20"/>
          <w:szCs w:val="20"/>
          <w:lang w:val="fr-FR"/>
        </w:rPr>
        <w:t>,</w:t>
      </w:r>
      <w:r w:rsidRPr="0066321E">
        <w:rPr>
          <w:rFonts w:ascii="Candara" w:hAnsi="Candara"/>
          <w:i/>
          <w:sz w:val="20"/>
          <w:szCs w:val="20"/>
          <w:lang w:val="fr-FR"/>
        </w:rPr>
        <w:t xml:space="preserve"> 4</w:t>
      </w:r>
      <w:r w:rsidRPr="0066321E">
        <w:rPr>
          <w:rFonts w:ascii="Candara" w:hAnsi="Candara"/>
          <w:sz w:val="20"/>
          <w:szCs w:val="20"/>
          <w:lang w:val="fr-FR"/>
        </w:rPr>
        <w:t xml:space="preserve">(5). </w:t>
      </w:r>
    </w:p>
    <w:p w14:paraId="0B9A4751"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lang w:val="fr-FR"/>
        </w:rPr>
        <w:t xml:space="preserve">Delplace, F., Huard-Chauveau, C., Berthomé, R., &amp; Roby, D. (2022). </w:t>
      </w:r>
      <w:r w:rsidRPr="0066321E">
        <w:rPr>
          <w:rFonts w:ascii="Candara" w:hAnsi="Candara"/>
          <w:sz w:val="20"/>
          <w:szCs w:val="20"/>
        </w:rPr>
        <w:t xml:space="preserve">Network organization of the plant immune system: from pathogen perception to robust defense induction. </w:t>
      </w:r>
      <w:r w:rsidRPr="0066321E">
        <w:rPr>
          <w:rFonts w:ascii="Candara" w:hAnsi="Candara"/>
          <w:i/>
          <w:sz w:val="20"/>
          <w:szCs w:val="20"/>
        </w:rPr>
        <w:t>The Plant Journal</w:t>
      </w:r>
      <w:r w:rsidRPr="0066321E">
        <w:rPr>
          <w:rFonts w:ascii="Candara" w:hAnsi="Candara"/>
          <w:sz w:val="20"/>
          <w:szCs w:val="20"/>
        </w:rPr>
        <w:t>,</w:t>
      </w:r>
      <w:r w:rsidRPr="0066321E">
        <w:rPr>
          <w:rFonts w:ascii="Candara" w:hAnsi="Candara"/>
          <w:i/>
          <w:sz w:val="20"/>
          <w:szCs w:val="20"/>
        </w:rPr>
        <w:t xml:space="preserve"> 109</w:t>
      </w:r>
      <w:r w:rsidRPr="0066321E">
        <w:rPr>
          <w:rFonts w:ascii="Candara" w:hAnsi="Candara"/>
          <w:sz w:val="20"/>
          <w:szCs w:val="20"/>
        </w:rPr>
        <w:t xml:space="preserve">(2), 447-470. </w:t>
      </w:r>
      <w:hyperlink r:id="rId25" w:history="1">
        <w:r w:rsidRPr="0066321E">
          <w:rPr>
            <w:rStyle w:val="Hyperlink"/>
            <w:rFonts w:ascii="Candara" w:hAnsi="Candara"/>
            <w:sz w:val="20"/>
            <w:szCs w:val="20"/>
          </w:rPr>
          <w:t>https://doi.org/https://doi.org/10.1111/tpj.15462</w:t>
        </w:r>
      </w:hyperlink>
      <w:r w:rsidRPr="0066321E">
        <w:rPr>
          <w:rFonts w:ascii="Candara" w:hAnsi="Candara"/>
          <w:sz w:val="20"/>
          <w:szCs w:val="20"/>
        </w:rPr>
        <w:t xml:space="preserve"> </w:t>
      </w:r>
    </w:p>
    <w:p w14:paraId="38AEB54F"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Devillars, A., Magon, G., Pirrello, C., Palumbo, F., Farinati, S., Barcaccia, G., Lucchin, M., &amp; Vannozzi, A. (2024). Not Only Editing: A Cas-Cade of CRISPR/Cas-Based Tools for Functional Genomics in Plants and Animals. </w:t>
      </w:r>
      <w:r w:rsidRPr="0066321E">
        <w:rPr>
          <w:rFonts w:ascii="Candara" w:hAnsi="Candara"/>
          <w:i/>
          <w:sz w:val="20"/>
          <w:szCs w:val="20"/>
        </w:rPr>
        <w:t>International Journal of Molecular Sciences</w:t>
      </w:r>
      <w:r w:rsidRPr="0066321E">
        <w:rPr>
          <w:rFonts w:ascii="Candara" w:hAnsi="Candara"/>
          <w:sz w:val="20"/>
          <w:szCs w:val="20"/>
        </w:rPr>
        <w:t>,</w:t>
      </w:r>
      <w:r w:rsidRPr="0066321E">
        <w:rPr>
          <w:rFonts w:ascii="Candara" w:hAnsi="Candara"/>
          <w:i/>
          <w:sz w:val="20"/>
          <w:szCs w:val="20"/>
        </w:rPr>
        <w:t xml:space="preserve"> 25</w:t>
      </w:r>
      <w:r w:rsidRPr="0066321E">
        <w:rPr>
          <w:rFonts w:ascii="Candara" w:hAnsi="Candara"/>
          <w:sz w:val="20"/>
          <w:szCs w:val="20"/>
        </w:rPr>
        <w:t xml:space="preserve">(6), 3271. </w:t>
      </w:r>
      <w:hyperlink r:id="rId26" w:history="1">
        <w:r w:rsidRPr="0066321E">
          <w:rPr>
            <w:rStyle w:val="Hyperlink"/>
            <w:rFonts w:ascii="Candara" w:hAnsi="Candara"/>
            <w:sz w:val="20"/>
            <w:szCs w:val="20"/>
          </w:rPr>
          <w:t>https://www.mdpi.com/1422-0067/25/6/3271</w:t>
        </w:r>
      </w:hyperlink>
      <w:r w:rsidRPr="0066321E">
        <w:rPr>
          <w:rFonts w:ascii="Candara" w:hAnsi="Candara"/>
          <w:sz w:val="20"/>
          <w:szCs w:val="20"/>
        </w:rPr>
        <w:t xml:space="preserve"> </w:t>
      </w:r>
    </w:p>
    <w:p w14:paraId="216E6B19"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Ding, L.-N., Li, Y.-T., Wu, Y.-Z., Li, T., Geng, R., Cao, J., Zhang, W., &amp; Tan, X.-L. (2022). Plant Disease Resistance-Related Signaling Pathways: Recent Progress and Future Prospects. </w:t>
      </w:r>
      <w:r w:rsidRPr="0066321E">
        <w:rPr>
          <w:rFonts w:ascii="Candara" w:hAnsi="Candara"/>
          <w:i/>
          <w:sz w:val="20"/>
          <w:szCs w:val="20"/>
        </w:rPr>
        <w:t>International Journal of Molecular Sciences</w:t>
      </w:r>
      <w:r w:rsidRPr="0066321E">
        <w:rPr>
          <w:rFonts w:ascii="Candara" w:hAnsi="Candara"/>
          <w:sz w:val="20"/>
          <w:szCs w:val="20"/>
        </w:rPr>
        <w:t>,</w:t>
      </w:r>
      <w:r w:rsidRPr="0066321E">
        <w:rPr>
          <w:rFonts w:ascii="Candara" w:hAnsi="Candara"/>
          <w:i/>
          <w:sz w:val="20"/>
          <w:szCs w:val="20"/>
        </w:rPr>
        <w:t xml:space="preserve"> 23</w:t>
      </w:r>
      <w:r w:rsidRPr="0066321E">
        <w:rPr>
          <w:rFonts w:ascii="Candara" w:hAnsi="Candara"/>
          <w:sz w:val="20"/>
          <w:szCs w:val="20"/>
        </w:rPr>
        <w:t xml:space="preserve">(24), 16200. </w:t>
      </w:r>
      <w:hyperlink r:id="rId27" w:history="1">
        <w:r w:rsidRPr="0066321E">
          <w:rPr>
            <w:rStyle w:val="Hyperlink"/>
            <w:rFonts w:ascii="Candara" w:hAnsi="Candara"/>
            <w:sz w:val="20"/>
            <w:szCs w:val="20"/>
          </w:rPr>
          <w:t>https://www.mdpi.com/1422-0067/23/24/16200</w:t>
        </w:r>
      </w:hyperlink>
      <w:r w:rsidRPr="0066321E">
        <w:rPr>
          <w:rFonts w:ascii="Candara" w:hAnsi="Candara"/>
          <w:sz w:val="20"/>
          <w:szCs w:val="20"/>
        </w:rPr>
        <w:t xml:space="preserve"> </w:t>
      </w:r>
    </w:p>
    <w:p w14:paraId="240F57EE"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Dixit, S., Kumar, A., Srinivasan, K., Vincent, P. M. D. R., &amp; Ramu Krishnan, N. (2024). Advancing genome editing with artificial intelligence: opportunities, challenges, and future directions [Review]. </w:t>
      </w:r>
      <w:r w:rsidRPr="0066321E">
        <w:rPr>
          <w:rFonts w:ascii="Candara" w:hAnsi="Candara"/>
          <w:i/>
          <w:sz w:val="20"/>
          <w:szCs w:val="20"/>
        </w:rPr>
        <w:t>Frontiers in Bioengineering and Biotechnology</w:t>
      </w:r>
      <w:r w:rsidRPr="0066321E">
        <w:rPr>
          <w:rFonts w:ascii="Candara" w:hAnsi="Candara"/>
          <w:sz w:val="20"/>
          <w:szCs w:val="20"/>
        </w:rPr>
        <w:t>,</w:t>
      </w:r>
      <w:r w:rsidRPr="0066321E">
        <w:rPr>
          <w:rFonts w:ascii="Candara" w:hAnsi="Candara"/>
          <w:i/>
          <w:sz w:val="20"/>
          <w:szCs w:val="20"/>
        </w:rPr>
        <w:t xml:space="preserve"> Volume 11 - 2023</w:t>
      </w:r>
      <w:r w:rsidRPr="0066321E">
        <w:rPr>
          <w:rFonts w:ascii="Candara" w:hAnsi="Candara"/>
          <w:sz w:val="20"/>
          <w:szCs w:val="20"/>
        </w:rPr>
        <w:t xml:space="preserve">. </w:t>
      </w:r>
      <w:hyperlink r:id="rId28" w:history="1">
        <w:r w:rsidRPr="0066321E">
          <w:rPr>
            <w:rStyle w:val="Hyperlink"/>
            <w:rFonts w:ascii="Candara" w:hAnsi="Candara"/>
            <w:sz w:val="20"/>
            <w:szCs w:val="20"/>
          </w:rPr>
          <w:t>https://doi.org/10.3389/fbioe.2023.1335901</w:t>
        </w:r>
      </w:hyperlink>
      <w:r w:rsidRPr="0066321E">
        <w:rPr>
          <w:rFonts w:ascii="Candara" w:hAnsi="Candara"/>
          <w:sz w:val="20"/>
          <w:szCs w:val="20"/>
        </w:rPr>
        <w:t xml:space="preserve"> </w:t>
      </w:r>
    </w:p>
    <w:p w14:paraId="7BAD01A0"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Dixit, S., Sivalingam, P. N., Baskaran, R. K. M., Senthil-Kumar, M., &amp; Ghosh, P. K. (2024). Plant responses to concurrent abiotic and biotic stress: unravelling physiological and morphological mechanisms. </w:t>
      </w:r>
      <w:r w:rsidRPr="0066321E">
        <w:rPr>
          <w:rFonts w:ascii="Candara" w:hAnsi="Candara"/>
          <w:i/>
          <w:sz w:val="20"/>
          <w:szCs w:val="20"/>
        </w:rPr>
        <w:t>Plant Physiology Reports</w:t>
      </w:r>
      <w:r w:rsidRPr="0066321E">
        <w:rPr>
          <w:rFonts w:ascii="Candara" w:hAnsi="Candara"/>
          <w:sz w:val="20"/>
          <w:szCs w:val="20"/>
        </w:rPr>
        <w:t>,</w:t>
      </w:r>
      <w:r w:rsidRPr="0066321E">
        <w:rPr>
          <w:rFonts w:ascii="Candara" w:hAnsi="Candara"/>
          <w:i/>
          <w:sz w:val="20"/>
          <w:szCs w:val="20"/>
        </w:rPr>
        <w:t xml:space="preserve"> 29</w:t>
      </w:r>
      <w:r w:rsidRPr="0066321E">
        <w:rPr>
          <w:rFonts w:ascii="Candara" w:hAnsi="Candara"/>
          <w:sz w:val="20"/>
          <w:szCs w:val="20"/>
        </w:rPr>
        <w:t xml:space="preserve">(1), 6-17. </w:t>
      </w:r>
      <w:hyperlink r:id="rId29" w:history="1">
        <w:r w:rsidRPr="0066321E">
          <w:rPr>
            <w:rStyle w:val="Hyperlink"/>
            <w:rFonts w:ascii="Candara" w:hAnsi="Candara"/>
            <w:sz w:val="20"/>
            <w:szCs w:val="20"/>
          </w:rPr>
          <w:t>https://doi.org/10.1007/s40502-023-00766-0</w:t>
        </w:r>
      </w:hyperlink>
      <w:r w:rsidRPr="0066321E">
        <w:rPr>
          <w:rFonts w:ascii="Candara" w:hAnsi="Candara"/>
          <w:sz w:val="20"/>
          <w:szCs w:val="20"/>
        </w:rPr>
        <w:t xml:space="preserve"> </w:t>
      </w:r>
    </w:p>
    <w:p w14:paraId="372451DC"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Dorostkar, S., Dadkhodaie, A., Ebrahimie, E., Heidari, B., &amp; Ahmadi-Kordshooli, M. (2022). Comparative transcriptome analysis of two contrasting resistant and susceptible Aegilops tauschii accessions to wheat leaf rust (Puccinia triticina) using RNA-sequencing. </w:t>
      </w:r>
      <w:r w:rsidRPr="0066321E">
        <w:rPr>
          <w:rFonts w:ascii="Candara" w:hAnsi="Candara"/>
          <w:i/>
          <w:sz w:val="20"/>
          <w:szCs w:val="20"/>
        </w:rPr>
        <w:t>Scientific Reports</w:t>
      </w:r>
      <w:r w:rsidRPr="0066321E">
        <w:rPr>
          <w:rFonts w:ascii="Candara" w:hAnsi="Candara"/>
          <w:sz w:val="20"/>
          <w:szCs w:val="20"/>
        </w:rPr>
        <w:t>,</w:t>
      </w:r>
      <w:r w:rsidRPr="0066321E">
        <w:rPr>
          <w:rFonts w:ascii="Candara" w:hAnsi="Candara"/>
          <w:i/>
          <w:sz w:val="20"/>
          <w:szCs w:val="20"/>
        </w:rPr>
        <w:t xml:space="preserve"> 12</w:t>
      </w:r>
      <w:r w:rsidRPr="0066321E">
        <w:rPr>
          <w:rFonts w:ascii="Candara" w:hAnsi="Candara"/>
          <w:sz w:val="20"/>
          <w:szCs w:val="20"/>
        </w:rPr>
        <w:t xml:space="preserve">(1), 821. </w:t>
      </w:r>
      <w:hyperlink r:id="rId30" w:history="1">
        <w:r w:rsidRPr="0066321E">
          <w:rPr>
            <w:rStyle w:val="Hyperlink"/>
            <w:rFonts w:ascii="Candara" w:hAnsi="Candara"/>
            <w:sz w:val="20"/>
            <w:szCs w:val="20"/>
          </w:rPr>
          <w:t>https://doi.org/10.1038/s41598-021-04329-x</w:t>
        </w:r>
      </w:hyperlink>
      <w:r w:rsidRPr="0066321E">
        <w:rPr>
          <w:rFonts w:ascii="Candara" w:hAnsi="Candara"/>
          <w:sz w:val="20"/>
          <w:szCs w:val="20"/>
        </w:rPr>
        <w:t xml:space="preserve"> </w:t>
      </w:r>
    </w:p>
    <w:p w14:paraId="07652CC8"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Erbe, R., Gore, J., Gemmill, K., Gaykalova, D. A., &amp; Fertig, E. J. (2022). The use of machine learning to discover regulatory networks controlling biological systems. </w:t>
      </w:r>
      <w:r w:rsidRPr="0066321E">
        <w:rPr>
          <w:rFonts w:ascii="Candara" w:hAnsi="Candara"/>
          <w:i/>
          <w:sz w:val="20"/>
          <w:szCs w:val="20"/>
        </w:rPr>
        <w:t>Molecular Cell</w:t>
      </w:r>
      <w:r w:rsidRPr="0066321E">
        <w:rPr>
          <w:rFonts w:ascii="Candara" w:hAnsi="Candara"/>
          <w:sz w:val="20"/>
          <w:szCs w:val="20"/>
        </w:rPr>
        <w:t>,</w:t>
      </w:r>
      <w:r w:rsidRPr="0066321E">
        <w:rPr>
          <w:rFonts w:ascii="Candara" w:hAnsi="Candara"/>
          <w:i/>
          <w:sz w:val="20"/>
          <w:szCs w:val="20"/>
        </w:rPr>
        <w:t xml:space="preserve"> 82</w:t>
      </w:r>
      <w:r w:rsidRPr="0066321E">
        <w:rPr>
          <w:rFonts w:ascii="Candara" w:hAnsi="Candara"/>
          <w:sz w:val="20"/>
          <w:szCs w:val="20"/>
        </w:rPr>
        <w:t xml:space="preserve">(2), 260-273. </w:t>
      </w:r>
      <w:hyperlink r:id="rId31" w:history="1">
        <w:r w:rsidRPr="0066321E">
          <w:rPr>
            <w:rStyle w:val="Hyperlink"/>
            <w:rFonts w:ascii="Candara" w:hAnsi="Candara"/>
            <w:sz w:val="20"/>
            <w:szCs w:val="20"/>
          </w:rPr>
          <w:t>https://doi.org/10.1016/j.molcel.2021.12.011</w:t>
        </w:r>
      </w:hyperlink>
      <w:r w:rsidRPr="0066321E">
        <w:rPr>
          <w:rFonts w:ascii="Candara" w:hAnsi="Candara"/>
          <w:sz w:val="20"/>
          <w:szCs w:val="20"/>
        </w:rPr>
        <w:t xml:space="preserve"> </w:t>
      </w:r>
    </w:p>
    <w:p w14:paraId="4F73AF8D"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Erdoğan, İ., Cevher-Keskin, B., Bilir, Ö., Hong, Y., &amp; Tör, M. (2023). Recent Developments in CRISPR/Cas9 Genome-Editing Technology Related to Plant Disease Resistance and Abiotic Stress Tolerance. </w:t>
      </w:r>
      <w:r w:rsidRPr="0066321E">
        <w:rPr>
          <w:rFonts w:ascii="Candara" w:hAnsi="Candara"/>
          <w:i/>
          <w:sz w:val="20"/>
          <w:szCs w:val="20"/>
        </w:rPr>
        <w:t>Biology</w:t>
      </w:r>
      <w:r w:rsidRPr="0066321E">
        <w:rPr>
          <w:rFonts w:ascii="Candara" w:hAnsi="Candara"/>
          <w:sz w:val="20"/>
          <w:szCs w:val="20"/>
        </w:rPr>
        <w:t>,</w:t>
      </w:r>
      <w:r w:rsidRPr="0066321E">
        <w:rPr>
          <w:rFonts w:ascii="Candara" w:hAnsi="Candara"/>
          <w:i/>
          <w:sz w:val="20"/>
          <w:szCs w:val="20"/>
        </w:rPr>
        <w:t xml:space="preserve"> 12</w:t>
      </w:r>
      <w:r w:rsidRPr="0066321E">
        <w:rPr>
          <w:rFonts w:ascii="Candara" w:hAnsi="Candara"/>
          <w:sz w:val="20"/>
          <w:szCs w:val="20"/>
        </w:rPr>
        <w:t xml:space="preserve">(7), 1037. </w:t>
      </w:r>
      <w:hyperlink r:id="rId32" w:history="1">
        <w:r w:rsidRPr="0066321E">
          <w:rPr>
            <w:rStyle w:val="Hyperlink"/>
            <w:rFonts w:ascii="Candara" w:hAnsi="Candara"/>
            <w:sz w:val="20"/>
            <w:szCs w:val="20"/>
          </w:rPr>
          <w:t>https://www.mdpi.com/2079-7737/12/7/1037</w:t>
        </w:r>
      </w:hyperlink>
      <w:r w:rsidRPr="0066321E">
        <w:rPr>
          <w:rFonts w:ascii="Candara" w:hAnsi="Candara"/>
          <w:sz w:val="20"/>
          <w:szCs w:val="20"/>
        </w:rPr>
        <w:t xml:space="preserve"> </w:t>
      </w:r>
    </w:p>
    <w:p w14:paraId="24228539"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Ersoz, N. S., Bakir-Gungor, B., &amp; Yousef, M. (2023). GeNetOntology: identifying affected gene ontology terms via grouping, scoring, and modeling of gene expression data utilizing biological knowledge-based machine learning [Original Research]. </w:t>
      </w:r>
      <w:r w:rsidRPr="0066321E">
        <w:rPr>
          <w:rFonts w:ascii="Candara" w:hAnsi="Candara"/>
          <w:i/>
          <w:sz w:val="20"/>
          <w:szCs w:val="20"/>
        </w:rPr>
        <w:t>Frontiers in Genetics</w:t>
      </w:r>
      <w:r w:rsidRPr="0066321E">
        <w:rPr>
          <w:rFonts w:ascii="Candara" w:hAnsi="Candara"/>
          <w:sz w:val="20"/>
          <w:szCs w:val="20"/>
        </w:rPr>
        <w:t>,</w:t>
      </w:r>
      <w:r w:rsidRPr="0066321E">
        <w:rPr>
          <w:rFonts w:ascii="Candara" w:hAnsi="Candara"/>
          <w:i/>
          <w:sz w:val="20"/>
          <w:szCs w:val="20"/>
        </w:rPr>
        <w:t xml:space="preserve"> Volume 14 - 2023</w:t>
      </w:r>
      <w:r w:rsidRPr="0066321E">
        <w:rPr>
          <w:rFonts w:ascii="Candara" w:hAnsi="Candara"/>
          <w:sz w:val="20"/>
          <w:szCs w:val="20"/>
        </w:rPr>
        <w:t xml:space="preserve">. </w:t>
      </w:r>
      <w:hyperlink r:id="rId33" w:history="1">
        <w:r w:rsidRPr="0066321E">
          <w:rPr>
            <w:rStyle w:val="Hyperlink"/>
            <w:rFonts w:ascii="Candara" w:hAnsi="Candara"/>
            <w:sz w:val="20"/>
            <w:szCs w:val="20"/>
          </w:rPr>
          <w:t>https://doi.org/10.3389/fgene.2023.1139082</w:t>
        </w:r>
      </w:hyperlink>
      <w:r w:rsidRPr="0066321E">
        <w:rPr>
          <w:rFonts w:ascii="Candara" w:hAnsi="Candara"/>
          <w:sz w:val="20"/>
          <w:szCs w:val="20"/>
        </w:rPr>
        <w:t xml:space="preserve"> </w:t>
      </w:r>
    </w:p>
    <w:p w14:paraId="5B5D9CBE"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Gangurde, S. S., Xavier, A., Naik, Y. D., Jha, U. C., Rangari, S. K., Kumar, R., Reddy, M. S. S., Channale, S., Elango, D., Mir, R. R., Zwart, R., Laxuman, C., Sudini, H. K., Pandey, M. K., Punnuri, S., Mendu, V., Reddy, U. K., Guo, B., Gangarao, N. V. P. R., . . . Thudi, M. (2022). Two decades of association mapping: Insights on disease resistance in major crops [Review]. </w:t>
      </w:r>
      <w:r w:rsidRPr="0066321E">
        <w:rPr>
          <w:rFonts w:ascii="Candara" w:hAnsi="Candara"/>
          <w:i/>
          <w:sz w:val="20"/>
          <w:szCs w:val="20"/>
        </w:rPr>
        <w:t>Frontiers in Plant Science</w:t>
      </w:r>
      <w:r w:rsidRPr="0066321E">
        <w:rPr>
          <w:rFonts w:ascii="Candara" w:hAnsi="Candara"/>
          <w:sz w:val="20"/>
          <w:szCs w:val="20"/>
        </w:rPr>
        <w:t>,</w:t>
      </w:r>
      <w:r w:rsidRPr="0066321E">
        <w:rPr>
          <w:rFonts w:ascii="Candara" w:hAnsi="Candara"/>
          <w:i/>
          <w:sz w:val="20"/>
          <w:szCs w:val="20"/>
        </w:rPr>
        <w:t xml:space="preserve"> Volume 13 - 2022</w:t>
      </w:r>
      <w:r w:rsidRPr="0066321E">
        <w:rPr>
          <w:rFonts w:ascii="Candara" w:hAnsi="Candara"/>
          <w:sz w:val="20"/>
          <w:szCs w:val="20"/>
        </w:rPr>
        <w:t xml:space="preserve">. </w:t>
      </w:r>
      <w:hyperlink r:id="rId34" w:history="1">
        <w:r w:rsidRPr="0066321E">
          <w:rPr>
            <w:rStyle w:val="Hyperlink"/>
            <w:rFonts w:ascii="Candara" w:hAnsi="Candara"/>
            <w:sz w:val="20"/>
            <w:szCs w:val="20"/>
          </w:rPr>
          <w:t>https://doi.org/10.3389/fpls.2022.1064059</w:t>
        </w:r>
      </w:hyperlink>
      <w:r w:rsidRPr="0066321E">
        <w:rPr>
          <w:rFonts w:ascii="Candara" w:hAnsi="Candara"/>
          <w:sz w:val="20"/>
          <w:szCs w:val="20"/>
        </w:rPr>
        <w:t xml:space="preserve"> </w:t>
      </w:r>
    </w:p>
    <w:p w14:paraId="31531857"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Gao, C., Chen, J., Sun, Z., &amp; Zhang, H. (2025). Emerging Roles of Receptor-Like Proteins in Plant Immunity: Crosstalk, Signalling Networks and Prospects for Disease Resistance Breeding. </w:t>
      </w:r>
      <w:r w:rsidRPr="0066321E">
        <w:rPr>
          <w:rFonts w:ascii="Candara" w:hAnsi="Candara"/>
          <w:i/>
          <w:sz w:val="20"/>
          <w:szCs w:val="20"/>
        </w:rPr>
        <w:t>Molecular Plant Pathology</w:t>
      </w:r>
      <w:r w:rsidRPr="0066321E">
        <w:rPr>
          <w:rFonts w:ascii="Candara" w:hAnsi="Candara"/>
          <w:sz w:val="20"/>
          <w:szCs w:val="20"/>
        </w:rPr>
        <w:t>,</w:t>
      </w:r>
      <w:r w:rsidRPr="0066321E">
        <w:rPr>
          <w:rFonts w:ascii="Candara" w:hAnsi="Candara"/>
          <w:i/>
          <w:sz w:val="20"/>
          <w:szCs w:val="20"/>
        </w:rPr>
        <w:t xml:space="preserve"> 26</w:t>
      </w:r>
      <w:r w:rsidRPr="0066321E">
        <w:rPr>
          <w:rFonts w:ascii="Candara" w:hAnsi="Candara"/>
          <w:sz w:val="20"/>
          <w:szCs w:val="20"/>
        </w:rPr>
        <w:t xml:space="preserve">(11), e70167. </w:t>
      </w:r>
      <w:hyperlink r:id="rId35" w:history="1">
        <w:r w:rsidRPr="0066321E">
          <w:rPr>
            <w:rStyle w:val="Hyperlink"/>
            <w:rFonts w:ascii="Candara" w:hAnsi="Candara"/>
            <w:sz w:val="20"/>
            <w:szCs w:val="20"/>
          </w:rPr>
          <w:t>https://doi.org/https://doi.org/10.1111/mpp.70167</w:t>
        </w:r>
      </w:hyperlink>
      <w:r w:rsidRPr="0066321E">
        <w:rPr>
          <w:rFonts w:ascii="Candara" w:hAnsi="Candara"/>
          <w:sz w:val="20"/>
          <w:szCs w:val="20"/>
        </w:rPr>
        <w:t xml:space="preserve"> </w:t>
      </w:r>
    </w:p>
    <w:p w14:paraId="5BD989FC"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Gerardi, C., &amp; Xinaris, C. (2025). Beyond human limits: the ethical, social, and regulatory implications of human enhancement [Perspective]. </w:t>
      </w:r>
      <w:r w:rsidRPr="0066321E">
        <w:rPr>
          <w:rFonts w:ascii="Candara" w:hAnsi="Candara"/>
          <w:i/>
          <w:sz w:val="20"/>
          <w:szCs w:val="20"/>
        </w:rPr>
        <w:t>Frontiers in Medicine</w:t>
      </w:r>
      <w:r w:rsidRPr="0066321E">
        <w:rPr>
          <w:rFonts w:ascii="Candara" w:hAnsi="Candara"/>
          <w:sz w:val="20"/>
          <w:szCs w:val="20"/>
        </w:rPr>
        <w:t>,</w:t>
      </w:r>
      <w:r w:rsidRPr="0066321E">
        <w:rPr>
          <w:rFonts w:ascii="Candara" w:hAnsi="Candara"/>
          <w:i/>
          <w:sz w:val="20"/>
          <w:szCs w:val="20"/>
        </w:rPr>
        <w:t xml:space="preserve"> Volume 12 - 2025</w:t>
      </w:r>
      <w:r w:rsidRPr="0066321E">
        <w:rPr>
          <w:rFonts w:ascii="Candara" w:hAnsi="Candara"/>
          <w:sz w:val="20"/>
          <w:szCs w:val="20"/>
        </w:rPr>
        <w:t xml:space="preserve">. </w:t>
      </w:r>
      <w:hyperlink r:id="rId36" w:history="1">
        <w:r w:rsidRPr="0066321E">
          <w:rPr>
            <w:rStyle w:val="Hyperlink"/>
            <w:rFonts w:ascii="Candara" w:hAnsi="Candara"/>
            <w:sz w:val="20"/>
            <w:szCs w:val="20"/>
          </w:rPr>
          <w:t>https://doi.org/10.3389/fmed.2025.1595213</w:t>
        </w:r>
      </w:hyperlink>
      <w:r w:rsidRPr="0066321E">
        <w:rPr>
          <w:rFonts w:ascii="Candara" w:hAnsi="Candara"/>
          <w:sz w:val="20"/>
          <w:szCs w:val="20"/>
        </w:rPr>
        <w:t xml:space="preserve"> </w:t>
      </w:r>
    </w:p>
    <w:p w14:paraId="438F7438"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Ghouri, M. Z., Munawar, N., Aftab, S. O., &amp; Ahmad, A. (2023). Chapter 15 - Regulation of CRISPR edited food and feed: legislation and future. In M. A. Nawaz, G. Chung, K. S. Golokhvast, &amp; A. M. Tsatsakis (Eds.), </w:t>
      </w:r>
      <w:r w:rsidRPr="0066321E">
        <w:rPr>
          <w:rFonts w:ascii="Candara" w:hAnsi="Candara"/>
          <w:i/>
          <w:sz w:val="20"/>
          <w:szCs w:val="20"/>
        </w:rPr>
        <w:t>GMOs and Political Stance</w:t>
      </w:r>
      <w:r w:rsidRPr="0066321E">
        <w:rPr>
          <w:rFonts w:ascii="Candara" w:hAnsi="Candara"/>
          <w:sz w:val="20"/>
          <w:szCs w:val="20"/>
        </w:rPr>
        <w:t xml:space="preserve"> (pp. 261-287). Academic Press. </w:t>
      </w:r>
      <w:hyperlink r:id="rId37" w:history="1">
        <w:r w:rsidRPr="0066321E">
          <w:rPr>
            <w:rStyle w:val="Hyperlink"/>
            <w:rFonts w:ascii="Candara" w:hAnsi="Candara"/>
            <w:sz w:val="20"/>
            <w:szCs w:val="20"/>
          </w:rPr>
          <w:t>https://doi.org/https://doi.org/10.1016/B978-0-12-823903-2.00004-4</w:t>
        </w:r>
      </w:hyperlink>
      <w:r w:rsidRPr="0066321E">
        <w:rPr>
          <w:rFonts w:ascii="Candara" w:hAnsi="Candara"/>
          <w:sz w:val="20"/>
          <w:szCs w:val="20"/>
        </w:rPr>
        <w:t xml:space="preserve"> </w:t>
      </w:r>
    </w:p>
    <w:p w14:paraId="716A62DB"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Gómez-Herranz, M., Taylor, J., &amp; Sloan, R. D. (2023). IFITM proteins: Understanding their diverse roles in viral infection, cancer, and immunity. </w:t>
      </w:r>
      <w:r w:rsidRPr="0066321E">
        <w:rPr>
          <w:rFonts w:ascii="Candara" w:hAnsi="Candara"/>
          <w:i/>
          <w:sz w:val="20"/>
          <w:szCs w:val="20"/>
        </w:rPr>
        <w:t>Journal of Biological Chemistry</w:t>
      </w:r>
      <w:r w:rsidRPr="0066321E">
        <w:rPr>
          <w:rFonts w:ascii="Candara" w:hAnsi="Candara"/>
          <w:sz w:val="20"/>
          <w:szCs w:val="20"/>
        </w:rPr>
        <w:t>,</w:t>
      </w:r>
      <w:r w:rsidRPr="0066321E">
        <w:rPr>
          <w:rFonts w:ascii="Candara" w:hAnsi="Candara"/>
          <w:i/>
          <w:sz w:val="20"/>
          <w:szCs w:val="20"/>
        </w:rPr>
        <w:t xml:space="preserve"> 299</w:t>
      </w:r>
      <w:r w:rsidRPr="0066321E">
        <w:rPr>
          <w:rFonts w:ascii="Candara" w:hAnsi="Candara"/>
          <w:sz w:val="20"/>
          <w:szCs w:val="20"/>
        </w:rPr>
        <w:t xml:space="preserve">(1), 102741. </w:t>
      </w:r>
      <w:hyperlink r:id="rId38" w:history="1">
        <w:r w:rsidRPr="0066321E">
          <w:rPr>
            <w:rStyle w:val="Hyperlink"/>
            <w:rFonts w:ascii="Candara" w:hAnsi="Candara"/>
            <w:sz w:val="20"/>
            <w:szCs w:val="20"/>
          </w:rPr>
          <w:t>https://doi.org/https://doi.org/10.1016/j.jbc.2022.102741</w:t>
        </w:r>
      </w:hyperlink>
      <w:r w:rsidRPr="0066321E">
        <w:rPr>
          <w:rFonts w:ascii="Candara" w:hAnsi="Candara"/>
          <w:sz w:val="20"/>
          <w:szCs w:val="20"/>
        </w:rPr>
        <w:t xml:space="preserve"> </w:t>
      </w:r>
    </w:p>
    <w:p w14:paraId="195F5596"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Gulati, G. S., D’Silva, J. P., Liu, Y., Wang, L., &amp; Newman, A. M. (2025). Profiling cell identity and tissue architecture with single-cell and spatial transcriptomics. </w:t>
      </w:r>
      <w:r w:rsidRPr="0066321E">
        <w:rPr>
          <w:rFonts w:ascii="Candara" w:hAnsi="Candara"/>
          <w:i/>
          <w:sz w:val="20"/>
          <w:szCs w:val="20"/>
        </w:rPr>
        <w:t>Nature Reviews Molecular Cell Biology</w:t>
      </w:r>
      <w:r w:rsidRPr="0066321E">
        <w:rPr>
          <w:rFonts w:ascii="Candara" w:hAnsi="Candara"/>
          <w:sz w:val="20"/>
          <w:szCs w:val="20"/>
        </w:rPr>
        <w:t>,</w:t>
      </w:r>
      <w:r w:rsidRPr="0066321E">
        <w:rPr>
          <w:rFonts w:ascii="Candara" w:hAnsi="Candara"/>
          <w:i/>
          <w:sz w:val="20"/>
          <w:szCs w:val="20"/>
        </w:rPr>
        <w:t xml:space="preserve"> 26</w:t>
      </w:r>
      <w:r w:rsidRPr="0066321E">
        <w:rPr>
          <w:rFonts w:ascii="Candara" w:hAnsi="Candara"/>
          <w:sz w:val="20"/>
          <w:szCs w:val="20"/>
        </w:rPr>
        <w:t xml:space="preserve">(1), 11-31. </w:t>
      </w:r>
      <w:hyperlink r:id="rId39" w:history="1">
        <w:r w:rsidRPr="0066321E">
          <w:rPr>
            <w:rStyle w:val="Hyperlink"/>
            <w:rFonts w:ascii="Candara" w:hAnsi="Candara"/>
            <w:sz w:val="20"/>
            <w:szCs w:val="20"/>
          </w:rPr>
          <w:t>https://doi.org/10.1038/s41580-024-00768-2</w:t>
        </w:r>
      </w:hyperlink>
      <w:r w:rsidRPr="0066321E">
        <w:rPr>
          <w:rFonts w:ascii="Candara" w:hAnsi="Candara"/>
          <w:sz w:val="20"/>
          <w:szCs w:val="20"/>
        </w:rPr>
        <w:t xml:space="preserve"> </w:t>
      </w:r>
    </w:p>
    <w:p w14:paraId="79630FDD"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Hamed, B. A., Farghaly, H. M., Omar, A., &amp; Abd El-Hafeez, T. (2025). Identifying key genetic variants in Alzheimer’s disease progression using Graph Convolutional Networks (GCN) and biological impact analysis. </w:t>
      </w:r>
      <w:r w:rsidRPr="0066321E">
        <w:rPr>
          <w:rFonts w:ascii="Candara" w:hAnsi="Candara"/>
          <w:i/>
          <w:sz w:val="20"/>
          <w:szCs w:val="20"/>
        </w:rPr>
        <w:t>Journal of Big Data</w:t>
      </w:r>
      <w:r w:rsidRPr="0066321E">
        <w:rPr>
          <w:rFonts w:ascii="Candara" w:hAnsi="Candara"/>
          <w:sz w:val="20"/>
          <w:szCs w:val="20"/>
        </w:rPr>
        <w:t>,</w:t>
      </w:r>
      <w:r w:rsidRPr="0066321E">
        <w:rPr>
          <w:rFonts w:ascii="Candara" w:hAnsi="Candara"/>
          <w:i/>
          <w:sz w:val="20"/>
          <w:szCs w:val="20"/>
        </w:rPr>
        <w:t xml:space="preserve"> 12</w:t>
      </w:r>
      <w:r w:rsidRPr="0066321E">
        <w:rPr>
          <w:rFonts w:ascii="Candara" w:hAnsi="Candara"/>
          <w:sz w:val="20"/>
          <w:szCs w:val="20"/>
        </w:rPr>
        <w:t xml:space="preserve">(1), 171. </w:t>
      </w:r>
      <w:hyperlink r:id="rId40" w:history="1">
        <w:r w:rsidRPr="0066321E">
          <w:rPr>
            <w:rStyle w:val="Hyperlink"/>
            <w:rFonts w:ascii="Candara" w:hAnsi="Candara"/>
            <w:sz w:val="20"/>
            <w:szCs w:val="20"/>
          </w:rPr>
          <w:t>https://doi.org/10.1186/s40537-025-01228-0</w:t>
        </w:r>
      </w:hyperlink>
      <w:r w:rsidRPr="0066321E">
        <w:rPr>
          <w:rFonts w:ascii="Candara" w:hAnsi="Candara"/>
          <w:sz w:val="20"/>
          <w:szCs w:val="20"/>
        </w:rPr>
        <w:t xml:space="preserve"> </w:t>
      </w:r>
    </w:p>
    <w:p w14:paraId="68649036"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lastRenderedPageBreak/>
        <w:t xml:space="preserve">Hossain, A. K. M. Z., &amp; Chowdhury, A. M. M. A. (2024). Understanding the Evolution and Transmission Dynamics of Antibiotic Resistance Genes: A Comprehensive Review. </w:t>
      </w:r>
      <w:r w:rsidRPr="0066321E">
        <w:rPr>
          <w:rFonts w:ascii="Candara" w:hAnsi="Candara"/>
          <w:i/>
          <w:sz w:val="20"/>
          <w:szCs w:val="20"/>
        </w:rPr>
        <w:t>Journal of Basic Microbiology</w:t>
      </w:r>
      <w:r w:rsidRPr="0066321E">
        <w:rPr>
          <w:rFonts w:ascii="Candara" w:hAnsi="Candara"/>
          <w:sz w:val="20"/>
          <w:szCs w:val="20"/>
        </w:rPr>
        <w:t>,</w:t>
      </w:r>
      <w:r w:rsidRPr="0066321E">
        <w:rPr>
          <w:rFonts w:ascii="Candara" w:hAnsi="Candara"/>
          <w:i/>
          <w:sz w:val="20"/>
          <w:szCs w:val="20"/>
        </w:rPr>
        <w:t xml:space="preserve"> 64</w:t>
      </w:r>
      <w:r w:rsidRPr="0066321E">
        <w:rPr>
          <w:rFonts w:ascii="Candara" w:hAnsi="Candara"/>
          <w:sz w:val="20"/>
          <w:szCs w:val="20"/>
        </w:rPr>
        <w:t xml:space="preserve">(10), e2400259. </w:t>
      </w:r>
      <w:hyperlink r:id="rId41" w:history="1">
        <w:r w:rsidRPr="0066321E">
          <w:rPr>
            <w:rStyle w:val="Hyperlink"/>
            <w:rFonts w:ascii="Candara" w:hAnsi="Candara"/>
            <w:sz w:val="20"/>
            <w:szCs w:val="20"/>
          </w:rPr>
          <w:t>https://doi.org/https://doi.org/10.1002/jobm.202400259</w:t>
        </w:r>
      </w:hyperlink>
      <w:r w:rsidRPr="0066321E">
        <w:rPr>
          <w:rFonts w:ascii="Candara" w:hAnsi="Candara"/>
          <w:sz w:val="20"/>
          <w:szCs w:val="20"/>
        </w:rPr>
        <w:t xml:space="preserve"> </w:t>
      </w:r>
    </w:p>
    <w:p w14:paraId="74FD5C6D"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Hou, J., Ye, X., Feng, W., Zhang, Q., Han, Y., Liu, Y., Li, Y., &amp; Wei, Y. (2022). Distance correlation application to gene co-expression network analysis. </w:t>
      </w:r>
      <w:r w:rsidRPr="0066321E">
        <w:rPr>
          <w:rFonts w:ascii="Candara" w:hAnsi="Candara"/>
          <w:i/>
          <w:sz w:val="20"/>
          <w:szCs w:val="20"/>
        </w:rPr>
        <w:t>BMC Bioinformatics</w:t>
      </w:r>
      <w:r w:rsidRPr="0066321E">
        <w:rPr>
          <w:rFonts w:ascii="Candara" w:hAnsi="Candara"/>
          <w:sz w:val="20"/>
          <w:szCs w:val="20"/>
        </w:rPr>
        <w:t>,</w:t>
      </w:r>
      <w:r w:rsidRPr="0066321E">
        <w:rPr>
          <w:rFonts w:ascii="Candara" w:hAnsi="Candara"/>
          <w:i/>
          <w:sz w:val="20"/>
          <w:szCs w:val="20"/>
        </w:rPr>
        <w:t xml:space="preserve"> 23</w:t>
      </w:r>
      <w:r w:rsidRPr="0066321E">
        <w:rPr>
          <w:rFonts w:ascii="Candara" w:hAnsi="Candara"/>
          <w:sz w:val="20"/>
          <w:szCs w:val="20"/>
        </w:rPr>
        <w:t xml:space="preserve">(1), 81. </w:t>
      </w:r>
      <w:hyperlink r:id="rId42" w:history="1">
        <w:r w:rsidRPr="0066321E">
          <w:rPr>
            <w:rStyle w:val="Hyperlink"/>
            <w:rFonts w:ascii="Candara" w:hAnsi="Candara"/>
            <w:sz w:val="20"/>
            <w:szCs w:val="20"/>
          </w:rPr>
          <w:t>https://doi.org/10.1186/s12859-022-04609-x</w:t>
        </w:r>
      </w:hyperlink>
      <w:r w:rsidRPr="0066321E">
        <w:rPr>
          <w:rFonts w:ascii="Candara" w:hAnsi="Candara"/>
          <w:sz w:val="20"/>
          <w:szCs w:val="20"/>
        </w:rPr>
        <w:t xml:space="preserve"> </w:t>
      </w:r>
    </w:p>
    <w:p w14:paraId="36CFC89F"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Jiang, T., Zhang, X.-O., Weng, Z., &amp; Xue, W. (2022). Deletion and replacement of long genomic sequences using prime editing. </w:t>
      </w:r>
      <w:r w:rsidRPr="0066321E">
        <w:rPr>
          <w:rFonts w:ascii="Candara" w:hAnsi="Candara"/>
          <w:i/>
          <w:sz w:val="20"/>
          <w:szCs w:val="20"/>
        </w:rPr>
        <w:t>Nature Biotechnology</w:t>
      </w:r>
      <w:r w:rsidRPr="0066321E">
        <w:rPr>
          <w:rFonts w:ascii="Candara" w:hAnsi="Candara"/>
          <w:sz w:val="20"/>
          <w:szCs w:val="20"/>
        </w:rPr>
        <w:t>,</w:t>
      </w:r>
      <w:r w:rsidRPr="0066321E">
        <w:rPr>
          <w:rFonts w:ascii="Candara" w:hAnsi="Candara"/>
          <w:i/>
          <w:sz w:val="20"/>
          <w:szCs w:val="20"/>
        </w:rPr>
        <w:t xml:space="preserve"> 40</w:t>
      </w:r>
      <w:r w:rsidRPr="0066321E">
        <w:rPr>
          <w:rFonts w:ascii="Candara" w:hAnsi="Candara"/>
          <w:sz w:val="20"/>
          <w:szCs w:val="20"/>
        </w:rPr>
        <w:t xml:space="preserve">(2), 227-234. </w:t>
      </w:r>
      <w:hyperlink r:id="rId43" w:history="1">
        <w:r w:rsidRPr="0066321E">
          <w:rPr>
            <w:rStyle w:val="Hyperlink"/>
            <w:rFonts w:ascii="Candara" w:hAnsi="Candara"/>
            <w:sz w:val="20"/>
            <w:szCs w:val="20"/>
          </w:rPr>
          <w:t>https://doi.org/10.1038/s41587-021-01026-y</w:t>
        </w:r>
      </w:hyperlink>
      <w:r w:rsidRPr="0066321E">
        <w:rPr>
          <w:rFonts w:ascii="Candara" w:hAnsi="Candara"/>
          <w:sz w:val="20"/>
          <w:szCs w:val="20"/>
        </w:rPr>
        <w:t xml:space="preserve"> </w:t>
      </w:r>
    </w:p>
    <w:p w14:paraId="5C503B86"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Juma, B. S., Oxholm, O. A., Abuley, I. K., Sørensen, C. K., &amp; Hebelstrup, K. H. (2025). Deciphering the Molecular Interplay Between RXLR-Encoded Avr Genes and NLRs During Phytophthora infestans Infection in Potato: A Comprehensive Review. </w:t>
      </w:r>
      <w:r w:rsidRPr="0066321E">
        <w:rPr>
          <w:rFonts w:ascii="Candara" w:hAnsi="Candara"/>
          <w:i/>
          <w:sz w:val="20"/>
          <w:szCs w:val="20"/>
        </w:rPr>
        <w:t>Int J Mol Sci</w:t>
      </w:r>
      <w:r w:rsidRPr="0066321E">
        <w:rPr>
          <w:rFonts w:ascii="Candara" w:hAnsi="Candara"/>
          <w:sz w:val="20"/>
          <w:szCs w:val="20"/>
        </w:rPr>
        <w:t>,</w:t>
      </w:r>
      <w:r w:rsidRPr="0066321E">
        <w:rPr>
          <w:rFonts w:ascii="Candara" w:hAnsi="Candara"/>
          <w:i/>
          <w:sz w:val="20"/>
          <w:szCs w:val="20"/>
        </w:rPr>
        <w:t xml:space="preserve"> 26</w:t>
      </w:r>
      <w:r w:rsidRPr="0066321E">
        <w:rPr>
          <w:rFonts w:ascii="Candara" w:hAnsi="Candara"/>
          <w:sz w:val="20"/>
          <w:szCs w:val="20"/>
        </w:rPr>
        <w:t xml:space="preserve">(17). </w:t>
      </w:r>
      <w:hyperlink r:id="rId44" w:history="1">
        <w:r w:rsidRPr="0066321E">
          <w:rPr>
            <w:rStyle w:val="Hyperlink"/>
            <w:rFonts w:ascii="Candara" w:hAnsi="Candara"/>
            <w:sz w:val="20"/>
            <w:szCs w:val="20"/>
          </w:rPr>
          <w:t>https://doi.org/10.3390/ijms26178153</w:t>
        </w:r>
      </w:hyperlink>
      <w:r w:rsidRPr="0066321E">
        <w:rPr>
          <w:rFonts w:ascii="Candara" w:hAnsi="Candara"/>
          <w:sz w:val="20"/>
          <w:szCs w:val="20"/>
        </w:rPr>
        <w:t xml:space="preserve"> </w:t>
      </w:r>
    </w:p>
    <w:p w14:paraId="0D0873A0"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Kalter, N., Fuster-García, C., Silva, A., Ronco-Díaz, V., Roncelli, S., Turchiano, G., Gorodkin, J., Cathomen, T., Benabdellah, K., Lee, C., &amp; Hendel, A. (2025). Off-target effects in CRISPR-Cas genome editing for human therapeutics: Progress and challenges. </w:t>
      </w:r>
      <w:r w:rsidRPr="0066321E">
        <w:rPr>
          <w:rFonts w:ascii="Candara" w:hAnsi="Candara"/>
          <w:i/>
          <w:sz w:val="20"/>
          <w:szCs w:val="20"/>
        </w:rPr>
        <w:t>Molecular Therapy Nucleic Acids</w:t>
      </w:r>
      <w:r w:rsidRPr="0066321E">
        <w:rPr>
          <w:rFonts w:ascii="Candara" w:hAnsi="Candara"/>
          <w:sz w:val="20"/>
          <w:szCs w:val="20"/>
        </w:rPr>
        <w:t>,</w:t>
      </w:r>
      <w:r w:rsidRPr="0066321E">
        <w:rPr>
          <w:rFonts w:ascii="Candara" w:hAnsi="Candara"/>
          <w:i/>
          <w:sz w:val="20"/>
          <w:szCs w:val="20"/>
        </w:rPr>
        <w:t xml:space="preserve"> 36</w:t>
      </w:r>
      <w:r w:rsidRPr="0066321E">
        <w:rPr>
          <w:rFonts w:ascii="Candara" w:hAnsi="Candara"/>
          <w:sz w:val="20"/>
          <w:szCs w:val="20"/>
        </w:rPr>
        <w:t xml:space="preserve">(3). </w:t>
      </w:r>
      <w:hyperlink r:id="rId45" w:history="1">
        <w:r w:rsidRPr="0066321E">
          <w:rPr>
            <w:rStyle w:val="Hyperlink"/>
            <w:rFonts w:ascii="Candara" w:hAnsi="Candara"/>
            <w:sz w:val="20"/>
            <w:szCs w:val="20"/>
          </w:rPr>
          <w:t>https://doi.org/10.1016/j.omtn.2025.102636</w:t>
        </w:r>
      </w:hyperlink>
      <w:r w:rsidRPr="0066321E">
        <w:rPr>
          <w:rFonts w:ascii="Candara" w:hAnsi="Candara"/>
          <w:sz w:val="20"/>
          <w:szCs w:val="20"/>
        </w:rPr>
        <w:t xml:space="preserve"> </w:t>
      </w:r>
    </w:p>
    <w:p w14:paraId="184882D7"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Kambona, C. M., Koua, P. A., Léon, J., &amp; Ballvora, A. (2023). Stress memory and its regulation in plants experiencing recurrent drought conditions. </w:t>
      </w:r>
      <w:r w:rsidRPr="0066321E">
        <w:rPr>
          <w:rFonts w:ascii="Candara" w:hAnsi="Candara"/>
          <w:i/>
          <w:sz w:val="20"/>
          <w:szCs w:val="20"/>
        </w:rPr>
        <w:t>Theoretical and Applied Genetics</w:t>
      </w:r>
      <w:r w:rsidRPr="0066321E">
        <w:rPr>
          <w:rFonts w:ascii="Candara" w:hAnsi="Candara"/>
          <w:sz w:val="20"/>
          <w:szCs w:val="20"/>
        </w:rPr>
        <w:t>,</w:t>
      </w:r>
      <w:r w:rsidRPr="0066321E">
        <w:rPr>
          <w:rFonts w:ascii="Candara" w:hAnsi="Candara"/>
          <w:i/>
          <w:sz w:val="20"/>
          <w:szCs w:val="20"/>
        </w:rPr>
        <w:t xml:space="preserve"> 136</w:t>
      </w:r>
      <w:r w:rsidRPr="0066321E">
        <w:rPr>
          <w:rFonts w:ascii="Candara" w:hAnsi="Candara"/>
          <w:sz w:val="20"/>
          <w:szCs w:val="20"/>
        </w:rPr>
        <w:t xml:space="preserve">(2), 26. </w:t>
      </w:r>
      <w:hyperlink r:id="rId46" w:history="1">
        <w:r w:rsidRPr="0066321E">
          <w:rPr>
            <w:rStyle w:val="Hyperlink"/>
            <w:rFonts w:ascii="Candara" w:hAnsi="Candara"/>
            <w:sz w:val="20"/>
            <w:szCs w:val="20"/>
          </w:rPr>
          <w:t>https://doi.org/10.1007/s00122-023-04313-1</w:t>
        </w:r>
      </w:hyperlink>
      <w:r w:rsidRPr="0066321E">
        <w:rPr>
          <w:rFonts w:ascii="Candara" w:hAnsi="Candara"/>
          <w:sz w:val="20"/>
          <w:szCs w:val="20"/>
        </w:rPr>
        <w:t xml:space="preserve"> </w:t>
      </w:r>
    </w:p>
    <w:p w14:paraId="30D0310C"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Kameswaran, S., Pitchika, G., Ramesh, B., Bangeppagari, M., Swapna, B., Ramakrishna, M., &amp; Reddy, P. S. (2025). Disease-Resistant Genes and Signal Transduction Pathways and Their Applications in Disease Management. In J.-T. Chen, M. Khan, A. Parveen, &amp; J. K. Patra (Eds.), </w:t>
      </w:r>
      <w:r w:rsidRPr="0066321E">
        <w:rPr>
          <w:rFonts w:ascii="Candara" w:hAnsi="Candara"/>
          <w:i/>
          <w:sz w:val="20"/>
          <w:szCs w:val="20"/>
        </w:rPr>
        <w:t>Molecular and Biotechnological Tools for Plant Disease Management</w:t>
      </w:r>
      <w:r w:rsidRPr="0066321E">
        <w:rPr>
          <w:rFonts w:ascii="Candara" w:hAnsi="Candara"/>
          <w:sz w:val="20"/>
          <w:szCs w:val="20"/>
        </w:rPr>
        <w:t xml:space="preserve"> (pp. 427-463). Springer Nature Singapore. </w:t>
      </w:r>
      <w:hyperlink r:id="rId47" w:history="1">
        <w:r w:rsidRPr="0066321E">
          <w:rPr>
            <w:rStyle w:val="Hyperlink"/>
            <w:rFonts w:ascii="Candara" w:hAnsi="Candara"/>
            <w:sz w:val="20"/>
            <w:szCs w:val="20"/>
          </w:rPr>
          <w:t>https://doi.org/10.1007/978-981-97-7510-1_15</w:t>
        </w:r>
      </w:hyperlink>
      <w:r w:rsidRPr="0066321E">
        <w:rPr>
          <w:rFonts w:ascii="Candara" w:hAnsi="Candara"/>
          <w:sz w:val="20"/>
          <w:szCs w:val="20"/>
        </w:rPr>
        <w:t xml:space="preserve"> </w:t>
      </w:r>
    </w:p>
    <w:p w14:paraId="3DF66304" w14:textId="77777777" w:rsidR="002962D2" w:rsidRPr="0066321E" w:rsidRDefault="002962D2" w:rsidP="0066321E">
      <w:pPr>
        <w:pStyle w:val="EndNoteBibliography"/>
        <w:spacing w:after="0"/>
        <w:jc w:val="both"/>
        <w:rPr>
          <w:rFonts w:ascii="Candara" w:hAnsi="Candara"/>
          <w:sz w:val="20"/>
          <w:szCs w:val="20"/>
          <w:lang w:val="pt-BR"/>
        </w:rPr>
      </w:pPr>
      <w:r w:rsidRPr="0066321E">
        <w:rPr>
          <w:rFonts w:ascii="Candara" w:hAnsi="Candara"/>
          <w:sz w:val="20"/>
          <w:szCs w:val="20"/>
        </w:rPr>
        <w:t xml:space="preserve">Kant, S., Deepika, &amp; Roy, S. (2025). Integrative Multi-Omics and Artificial Intelligence: A New Paradigm for Systems Biology. </w:t>
      </w:r>
      <w:r w:rsidRPr="0066321E">
        <w:rPr>
          <w:rFonts w:ascii="Candara" w:hAnsi="Candara"/>
          <w:i/>
          <w:sz w:val="20"/>
          <w:szCs w:val="20"/>
          <w:lang w:val="pt-BR"/>
        </w:rPr>
        <w:t>OMICS: A Journal of Integrative Biology</w:t>
      </w:r>
      <w:r w:rsidRPr="0066321E">
        <w:rPr>
          <w:rFonts w:ascii="Candara" w:hAnsi="Candara"/>
          <w:sz w:val="20"/>
          <w:szCs w:val="20"/>
          <w:lang w:val="pt-BR"/>
        </w:rPr>
        <w:t>,</w:t>
      </w:r>
      <w:r w:rsidRPr="0066321E">
        <w:rPr>
          <w:rFonts w:ascii="Candara" w:hAnsi="Candara"/>
          <w:i/>
          <w:sz w:val="20"/>
          <w:szCs w:val="20"/>
          <w:lang w:val="pt-BR"/>
        </w:rPr>
        <w:t xml:space="preserve"> 29</w:t>
      </w:r>
      <w:r w:rsidRPr="0066321E">
        <w:rPr>
          <w:rFonts w:ascii="Candara" w:hAnsi="Candara"/>
          <w:sz w:val="20"/>
          <w:szCs w:val="20"/>
          <w:lang w:val="pt-BR"/>
        </w:rPr>
        <w:t xml:space="preserve">(12), 576-587. </w:t>
      </w:r>
    </w:p>
    <w:p w14:paraId="30415923"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lang w:val="pt-BR"/>
        </w:rPr>
        <w:t xml:space="preserve">Kido, É. A., Ferreira-Neto, J. R. C., Binneck, E., da Silva, M., da Silva, W., &amp; Benko-Iseppon, A. M. (2022). </w:t>
      </w:r>
      <w:r w:rsidRPr="0066321E">
        <w:rPr>
          <w:rFonts w:ascii="Candara" w:hAnsi="Candara"/>
          <w:sz w:val="20"/>
          <w:szCs w:val="20"/>
        </w:rPr>
        <w:t xml:space="preserve">Chapter 10 - Explore the RNA-sequencing and the next-generation sequencing in crops responding to abiotic stress. In P. Sharma, D. Yadav, &amp; R. K. Gaur (Eds.), </w:t>
      </w:r>
      <w:r w:rsidRPr="0066321E">
        <w:rPr>
          <w:rFonts w:ascii="Candara" w:hAnsi="Candara"/>
          <w:i/>
          <w:sz w:val="20"/>
          <w:szCs w:val="20"/>
        </w:rPr>
        <w:t>Bioinformatics in Agriculture</w:t>
      </w:r>
      <w:r w:rsidRPr="0066321E">
        <w:rPr>
          <w:rFonts w:ascii="Candara" w:hAnsi="Candara"/>
          <w:sz w:val="20"/>
          <w:szCs w:val="20"/>
        </w:rPr>
        <w:t xml:space="preserve"> (pp. 161-175). Academic Press. </w:t>
      </w:r>
      <w:hyperlink r:id="rId48" w:history="1">
        <w:r w:rsidRPr="0066321E">
          <w:rPr>
            <w:rStyle w:val="Hyperlink"/>
            <w:rFonts w:ascii="Candara" w:hAnsi="Candara"/>
            <w:sz w:val="20"/>
            <w:szCs w:val="20"/>
          </w:rPr>
          <w:t>https://doi.org/https://doi.org/10.1016/B978-0-323-89778-5.00005-2</w:t>
        </w:r>
      </w:hyperlink>
      <w:r w:rsidRPr="0066321E">
        <w:rPr>
          <w:rFonts w:ascii="Candara" w:hAnsi="Candara"/>
          <w:sz w:val="20"/>
          <w:szCs w:val="20"/>
        </w:rPr>
        <w:t xml:space="preserve"> </w:t>
      </w:r>
    </w:p>
    <w:p w14:paraId="56054E88"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Kim, H. H., Kim, D.-W., Woo, J., &amp; Lee, K. (2024). Explicable prioritization of genetic variants by integration of rule-based and machine learning algorithms for diagnosis of rare Mendelian disorders. </w:t>
      </w:r>
      <w:r w:rsidRPr="0066321E">
        <w:rPr>
          <w:rFonts w:ascii="Candara" w:hAnsi="Candara"/>
          <w:i/>
          <w:sz w:val="20"/>
          <w:szCs w:val="20"/>
        </w:rPr>
        <w:t>Human Genomics</w:t>
      </w:r>
      <w:r w:rsidRPr="0066321E">
        <w:rPr>
          <w:rFonts w:ascii="Candara" w:hAnsi="Candara"/>
          <w:sz w:val="20"/>
          <w:szCs w:val="20"/>
        </w:rPr>
        <w:t>,</w:t>
      </w:r>
      <w:r w:rsidRPr="0066321E">
        <w:rPr>
          <w:rFonts w:ascii="Candara" w:hAnsi="Candara"/>
          <w:i/>
          <w:sz w:val="20"/>
          <w:szCs w:val="20"/>
        </w:rPr>
        <w:t xml:space="preserve"> 18</w:t>
      </w:r>
      <w:r w:rsidRPr="0066321E">
        <w:rPr>
          <w:rFonts w:ascii="Candara" w:hAnsi="Candara"/>
          <w:sz w:val="20"/>
          <w:szCs w:val="20"/>
        </w:rPr>
        <w:t xml:space="preserve">(1), 28. </w:t>
      </w:r>
      <w:hyperlink r:id="rId49" w:history="1">
        <w:r w:rsidRPr="0066321E">
          <w:rPr>
            <w:rStyle w:val="Hyperlink"/>
            <w:rFonts w:ascii="Candara" w:hAnsi="Candara"/>
            <w:sz w:val="20"/>
            <w:szCs w:val="20"/>
          </w:rPr>
          <w:t>https://doi.org/10.1186/s40246-024-00595-8</w:t>
        </w:r>
      </w:hyperlink>
      <w:r w:rsidRPr="0066321E">
        <w:rPr>
          <w:rFonts w:ascii="Candara" w:hAnsi="Candara"/>
          <w:sz w:val="20"/>
          <w:szCs w:val="20"/>
        </w:rPr>
        <w:t xml:space="preserve"> </w:t>
      </w:r>
    </w:p>
    <w:p w14:paraId="24A2A7CD"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Kim, K., Lee, J., Lee, N., &amp; Cho, B.-K. (2026). CRISPR-Based Approaches to Engineer Nonmodel Bacteria for Bioproduction and Biotherapeutics. </w:t>
      </w:r>
      <w:r w:rsidRPr="0066321E">
        <w:rPr>
          <w:rFonts w:ascii="Candara" w:hAnsi="Candara"/>
          <w:i/>
          <w:sz w:val="20"/>
          <w:szCs w:val="20"/>
        </w:rPr>
        <w:t>Biochemistry</w:t>
      </w:r>
      <w:r w:rsidRPr="0066321E">
        <w:rPr>
          <w:rFonts w:ascii="Candara" w:hAnsi="Candara"/>
          <w:sz w:val="20"/>
          <w:szCs w:val="20"/>
        </w:rPr>
        <w:t>,</w:t>
      </w:r>
      <w:r w:rsidRPr="0066321E">
        <w:rPr>
          <w:rFonts w:ascii="Candara" w:hAnsi="Candara"/>
          <w:i/>
          <w:sz w:val="20"/>
          <w:szCs w:val="20"/>
        </w:rPr>
        <w:t xml:space="preserve"> 65</w:t>
      </w:r>
      <w:r w:rsidRPr="0066321E">
        <w:rPr>
          <w:rFonts w:ascii="Candara" w:hAnsi="Candara"/>
          <w:sz w:val="20"/>
          <w:szCs w:val="20"/>
        </w:rPr>
        <w:t xml:space="preserve">(2), 166-194. </w:t>
      </w:r>
      <w:hyperlink r:id="rId50" w:history="1">
        <w:r w:rsidRPr="0066321E">
          <w:rPr>
            <w:rStyle w:val="Hyperlink"/>
            <w:rFonts w:ascii="Candara" w:hAnsi="Candara"/>
            <w:sz w:val="20"/>
            <w:szCs w:val="20"/>
          </w:rPr>
          <w:t>https://doi.org/10.1021/acs.biochem.5c00613</w:t>
        </w:r>
      </w:hyperlink>
      <w:r w:rsidRPr="0066321E">
        <w:rPr>
          <w:rFonts w:ascii="Candara" w:hAnsi="Candara"/>
          <w:sz w:val="20"/>
          <w:szCs w:val="20"/>
        </w:rPr>
        <w:t xml:space="preserve"> </w:t>
      </w:r>
    </w:p>
    <w:p w14:paraId="0F0C28A3"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Kong, F., &amp; Yang, L. (2023). Pathogen-triggered changes in plant development: Virulence strategies or host defense mechanism? [Review]. </w:t>
      </w:r>
      <w:r w:rsidRPr="0066321E">
        <w:rPr>
          <w:rFonts w:ascii="Candara" w:hAnsi="Candara"/>
          <w:i/>
          <w:sz w:val="20"/>
          <w:szCs w:val="20"/>
        </w:rPr>
        <w:t>Frontiers in Microbiology</w:t>
      </w:r>
      <w:r w:rsidRPr="0066321E">
        <w:rPr>
          <w:rFonts w:ascii="Candara" w:hAnsi="Candara"/>
          <w:sz w:val="20"/>
          <w:szCs w:val="20"/>
        </w:rPr>
        <w:t>,</w:t>
      </w:r>
      <w:r w:rsidRPr="0066321E">
        <w:rPr>
          <w:rFonts w:ascii="Candara" w:hAnsi="Candara"/>
          <w:i/>
          <w:sz w:val="20"/>
          <w:szCs w:val="20"/>
        </w:rPr>
        <w:t xml:space="preserve"> Volume 14 - 2023</w:t>
      </w:r>
      <w:r w:rsidRPr="0066321E">
        <w:rPr>
          <w:rFonts w:ascii="Candara" w:hAnsi="Candara"/>
          <w:sz w:val="20"/>
          <w:szCs w:val="20"/>
        </w:rPr>
        <w:t xml:space="preserve">. </w:t>
      </w:r>
      <w:hyperlink r:id="rId51" w:history="1">
        <w:r w:rsidRPr="0066321E">
          <w:rPr>
            <w:rStyle w:val="Hyperlink"/>
            <w:rFonts w:ascii="Candara" w:hAnsi="Candara"/>
            <w:sz w:val="20"/>
            <w:szCs w:val="20"/>
          </w:rPr>
          <w:t>https://doi.org/10.3389/fmicb.2023.1122947</w:t>
        </w:r>
      </w:hyperlink>
      <w:r w:rsidRPr="0066321E">
        <w:rPr>
          <w:rFonts w:ascii="Candara" w:hAnsi="Candara"/>
          <w:sz w:val="20"/>
          <w:szCs w:val="20"/>
        </w:rPr>
        <w:t xml:space="preserve"> </w:t>
      </w:r>
    </w:p>
    <w:p w14:paraId="607F9B6D"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Lakhani, H., Kumar, N., Jangra, A., Negi, S., Dholariya, T., &amp; Tiwari, S. (2025). Streamlined protoplast transfection system for in-vivo validation and transgene-free genome editing in Banana. </w:t>
      </w:r>
      <w:r w:rsidRPr="0066321E">
        <w:rPr>
          <w:rFonts w:ascii="Candara" w:hAnsi="Candara"/>
          <w:i/>
          <w:sz w:val="20"/>
          <w:szCs w:val="20"/>
        </w:rPr>
        <w:t>Transgenic research</w:t>
      </w:r>
      <w:r w:rsidRPr="0066321E">
        <w:rPr>
          <w:rFonts w:ascii="Candara" w:hAnsi="Candara"/>
          <w:sz w:val="20"/>
          <w:szCs w:val="20"/>
        </w:rPr>
        <w:t>,</w:t>
      </w:r>
      <w:r w:rsidRPr="0066321E">
        <w:rPr>
          <w:rFonts w:ascii="Candara" w:hAnsi="Candara"/>
          <w:i/>
          <w:sz w:val="20"/>
          <w:szCs w:val="20"/>
        </w:rPr>
        <w:t xml:space="preserve"> 34</w:t>
      </w:r>
      <w:r w:rsidRPr="0066321E">
        <w:rPr>
          <w:rFonts w:ascii="Candara" w:hAnsi="Candara"/>
          <w:sz w:val="20"/>
          <w:szCs w:val="20"/>
        </w:rPr>
        <w:t xml:space="preserve">(1), 28. </w:t>
      </w:r>
    </w:p>
    <w:p w14:paraId="1A7A96DE"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Leprévost, T., Boutet, G., Lesné, A., Rivière, J.-P., Vetel, P., Glory, I., Miteul, H., Le Rat, A., Dufour, P., Regnault-Kraut, C., Sugio, A., Lavaud, C., &amp; Pilet-Nayel, M.-L. (2023). Advanced backcross QTL analysis and comparative mapping with RIL QTL studies and GWAS provide an overview of QTL and marker haplotype diversity for resistance to Aphanomyces root rot in pea (Pisum sativum) [Original Research]. </w:t>
      </w:r>
      <w:r w:rsidRPr="0066321E">
        <w:rPr>
          <w:rFonts w:ascii="Candara" w:hAnsi="Candara"/>
          <w:i/>
          <w:sz w:val="20"/>
          <w:szCs w:val="20"/>
        </w:rPr>
        <w:t>Frontiers in Plant Science</w:t>
      </w:r>
      <w:r w:rsidRPr="0066321E">
        <w:rPr>
          <w:rFonts w:ascii="Candara" w:hAnsi="Candara"/>
          <w:sz w:val="20"/>
          <w:szCs w:val="20"/>
        </w:rPr>
        <w:t>,</w:t>
      </w:r>
      <w:r w:rsidRPr="0066321E">
        <w:rPr>
          <w:rFonts w:ascii="Candara" w:hAnsi="Candara"/>
          <w:i/>
          <w:sz w:val="20"/>
          <w:szCs w:val="20"/>
        </w:rPr>
        <w:t xml:space="preserve"> Volume 14 - 2023</w:t>
      </w:r>
      <w:r w:rsidRPr="0066321E">
        <w:rPr>
          <w:rFonts w:ascii="Candara" w:hAnsi="Candara"/>
          <w:sz w:val="20"/>
          <w:szCs w:val="20"/>
        </w:rPr>
        <w:t xml:space="preserve">. </w:t>
      </w:r>
      <w:hyperlink r:id="rId52" w:history="1">
        <w:r w:rsidRPr="0066321E">
          <w:rPr>
            <w:rStyle w:val="Hyperlink"/>
            <w:rFonts w:ascii="Candara" w:hAnsi="Candara"/>
            <w:sz w:val="20"/>
            <w:szCs w:val="20"/>
          </w:rPr>
          <w:t>https://doi.org/10.3389/fpls.2023.1189289</w:t>
        </w:r>
      </w:hyperlink>
      <w:r w:rsidRPr="0066321E">
        <w:rPr>
          <w:rFonts w:ascii="Candara" w:hAnsi="Candara"/>
          <w:sz w:val="20"/>
          <w:szCs w:val="20"/>
        </w:rPr>
        <w:t xml:space="preserve"> </w:t>
      </w:r>
    </w:p>
    <w:p w14:paraId="6BFA7632"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Li, C., Chu, W., Gill, R. A., Sang, S., Shi, Y., Hu, X., Yang, Y., Zaman, Q. U., &amp; Zhang, B. (2023). Computational tools and resources for CRISPR/Cas genome editing. </w:t>
      </w:r>
      <w:r w:rsidRPr="0066321E">
        <w:rPr>
          <w:rFonts w:ascii="Candara" w:hAnsi="Candara"/>
          <w:i/>
          <w:sz w:val="20"/>
          <w:szCs w:val="20"/>
        </w:rPr>
        <w:t>Genomics, proteomics &amp; bioinformatics</w:t>
      </w:r>
      <w:r w:rsidRPr="0066321E">
        <w:rPr>
          <w:rFonts w:ascii="Candara" w:hAnsi="Candara"/>
          <w:sz w:val="20"/>
          <w:szCs w:val="20"/>
        </w:rPr>
        <w:t>,</w:t>
      </w:r>
      <w:r w:rsidRPr="0066321E">
        <w:rPr>
          <w:rFonts w:ascii="Candara" w:hAnsi="Candara"/>
          <w:i/>
          <w:sz w:val="20"/>
          <w:szCs w:val="20"/>
        </w:rPr>
        <w:t xml:space="preserve"> 21</w:t>
      </w:r>
      <w:r w:rsidRPr="0066321E">
        <w:rPr>
          <w:rFonts w:ascii="Candara" w:hAnsi="Candara"/>
          <w:sz w:val="20"/>
          <w:szCs w:val="20"/>
        </w:rPr>
        <w:t xml:space="preserve">(1), 108-126. </w:t>
      </w:r>
    </w:p>
    <w:p w14:paraId="02955B2C"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Liu, H. (2024). Integrative Approaches in Computational Genomics: Combining Omics Data to Study Gene Evolution. </w:t>
      </w:r>
      <w:r w:rsidRPr="0066321E">
        <w:rPr>
          <w:rFonts w:ascii="Candara" w:hAnsi="Candara"/>
          <w:i/>
          <w:sz w:val="20"/>
          <w:szCs w:val="20"/>
        </w:rPr>
        <w:t>Computational Molecular Biology</w:t>
      </w:r>
      <w:r w:rsidRPr="0066321E">
        <w:rPr>
          <w:rFonts w:ascii="Candara" w:hAnsi="Candara"/>
          <w:sz w:val="20"/>
          <w:szCs w:val="20"/>
        </w:rPr>
        <w:t>,</w:t>
      </w:r>
      <w:r w:rsidRPr="0066321E">
        <w:rPr>
          <w:rFonts w:ascii="Candara" w:hAnsi="Candara"/>
          <w:i/>
          <w:sz w:val="20"/>
          <w:szCs w:val="20"/>
        </w:rPr>
        <w:t xml:space="preserve"> 14</w:t>
      </w:r>
      <w:r w:rsidRPr="0066321E">
        <w:rPr>
          <w:rFonts w:ascii="Candara" w:hAnsi="Candara"/>
          <w:sz w:val="20"/>
          <w:szCs w:val="20"/>
        </w:rPr>
        <w:t xml:space="preserve">. </w:t>
      </w:r>
      <w:hyperlink r:id="rId53" w:history="1">
        <w:r w:rsidRPr="0066321E">
          <w:rPr>
            <w:rStyle w:val="Hyperlink"/>
            <w:rFonts w:ascii="Candara" w:hAnsi="Candara"/>
            <w:sz w:val="20"/>
            <w:szCs w:val="20"/>
          </w:rPr>
          <w:t>https://doi.org/10.5376/cmb.2024.14.0025</w:t>
        </w:r>
      </w:hyperlink>
      <w:r w:rsidRPr="0066321E">
        <w:rPr>
          <w:rFonts w:ascii="Candara" w:hAnsi="Candara"/>
          <w:sz w:val="20"/>
          <w:szCs w:val="20"/>
        </w:rPr>
        <w:t xml:space="preserve"> </w:t>
      </w:r>
    </w:p>
    <w:p w14:paraId="36D755F7"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Liu, S., Liu, J., Wang, Y., Deng, F., &amp; Deng, Z. (2025). Oxidative Stress: Signaling Pathways, Biological Functions, and Disease. </w:t>
      </w:r>
      <w:r w:rsidRPr="0066321E">
        <w:rPr>
          <w:rFonts w:ascii="Candara" w:hAnsi="Candara"/>
          <w:i/>
          <w:sz w:val="20"/>
          <w:szCs w:val="20"/>
        </w:rPr>
        <w:t>MedComm</w:t>
      </w:r>
      <w:r w:rsidRPr="0066321E">
        <w:rPr>
          <w:rFonts w:ascii="Candara" w:hAnsi="Candara"/>
          <w:sz w:val="20"/>
          <w:szCs w:val="20"/>
        </w:rPr>
        <w:t>,</w:t>
      </w:r>
      <w:r w:rsidRPr="0066321E">
        <w:rPr>
          <w:rFonts w:ascii="Candara" w:hAnsi="Candara"/>
          <w:i/>
          <w:sz w:val="20"/>
          <w:szCs w:val="20"/>
        </w:rPr>
        <w:t xml:space="preserve"> 6</w:t>
      </w:r>
      <w:r w:rsidRPr="0066321E">
        <w:rPr>
          <w:rFonts w:ascii="Candara" w:hAnsi="Candara"/>
          <w:sz w:val="20"/>
          <w:szCs w:val="20"/>
        </w:rPr>
        <w:t xml:space="preserve">(7), e70268. </w:t>
      </w:r>
      <w:hyperlink r:id="rId54" w:history="1">
        <w:r w:rsidRPr="0066321E">
          <w:rPr>
            <w:rStyle w:val="Hyperlink"/>
            <w:rFonts w:ascii="Candara" w:hAnsi="Candara"/>
            <w:sz w:val="20"/>
            <w:szCs w:val="20"/>
          </w:rPr>
          <w:t>https://doi.org/https://doi.org/10.1002/mco2.70268</w:t>
        </w:r>
      </w:hyperlink>
      <w:r w:rsidRPr="0066321E">
        <w:rPr>
          <w:rFonts w:ascii="Candara" w:hAnsi="Candara"/>
          <w:sz w:val="20"/>
          <w:szCs w:val="20"/>
        </w:rPr>
        <w:t xml:space="preserve"> </w:t>
      </w:r>
    </w:p>
    <w:p w14:paraId="7E09BA4C"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Liu, W.-W., Zheng, S.-Q., Li, T., Fei, Y.-F., Wang, C., Zhang, S., Wang, F., Jiang, G.-M., &amp; Wang, H. (2024). RNA modifications in cellular metabolism: implications for metabolism-targeted therapy and immunotherapy. </w:t>
      </w:r>
      <w:r w:rsidRPr="0066321E">
        <w:rPr>
          <w:rFonts w:ascii="Candara" w:hAnsi="Candara"/>
          <w:i/>
          <w:sz w:val="20"/>
          <w:szCs w:val="20"/>
        </w:rPr>
        <w:t>Signal Transduction and Targeted Therapy</w:t>
      </w:r>
      <w:r w:rsidRPr="0066321E">
        <w:rPr>
          <w:rFonts w:ascii="Candara" w:hAnsi="Candara"/>
          <w:sz w:val="20"/>
          <w:szCs w:val="20"/>
        </w:rPr>
        <w:t>,</w:t>
      </w:r>
      <w:r w:rsidRPr="0066321E">
        <w:rPr>
          <w:rFonts w:ascii="Candara" w:hAnsi="Candara"/>
          <w:i/>
          <w:sz w:val="20"/>
          <w:szCs w:val="20"/>
        </w:rPr>
        <w:t xml:space="preserve"> 9</w:t>
      </w:r>
      <w:r w:rsidRPr="0066321E">
        <w:rPr>
          <w:rFonts w:ascii="Candara" w:hAnsi="Candara"/>
          <w:sz w:val="20"/>
          <w:szCs w:val="20"/>
        </w:rPr>
        <w:t xml:space="preserve">(1), 70. </w:t>
      </w:r>
      <w:hyperlink r:id="rId55" w:history="1">
        <w:r w:rsidRPr="0066321E">
          <w:rPr>
            <w:rStyle w:val="Hyperlink"/>
            <w:rFonts w:ascii="Candara" w:hAnsi="Candara"/>
            <w:sz w:val="20"/>
            <w:szCs w:val="20"/>
          </w:rPr>
          <w:t>https://doi.org/10.1038/s41392-024-01777-5</w:t>
        </w:r>
      </w:hyperlink>
      <w:r w:rsidRPr="0066321E">
        <w:rPr>
          <w:rFonts w:ascii="Candara" w:hAnsi="Candara"/>
          <w:sz w:val="20"/>
          <w:szCs w:val="20"/>
        </w:rPr>
        <w:t xml:space="preserve"> </w:t>
      </w:r>
    </w:p>
    <w:p w14:paraId="563CF716"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Liu, Z., Cloots, K., &amp; Geuten, K. (2026). Accelerating Resistance Breeding: Emerging Methods to Identify and Validate Plant Immunity Genes. </w:t>
      </w:r>
      <w:r w:rsidRPr="0066321E">
        <w:rPr>
          <w:rFonts w:ascii="Candara" w:hAnsi="Candara"/>
          <w:i/>
          <w:sz w:val="20"/>
          <w:szCs w:val="20"/>
        </w:rPr>
        <w:t>Plants</w:t>
      </w:r>
      <w:r w:rsidRPr="0066321E">
        <w:rPr>
          <w:rFonts w:ascii="Candara" w:hAnsi="Candara"/>
          <w:sz w:val="20"/>
          <w:szCs w:val="20"/>
        </w:rPr>
        <w:t>,</w:t>
      </w:r>
      <w:r w:rsidRPr="0066321E">
        <w:rPr>
          <w:rFonts w:ascii="Candara" w:hAnsi="Candara"/>
          <w:i/>
          <w:sz w:val="20"/>
          <w:szCs w:val="20"/>
        </w:rPr>
        <w:t xml:space="preserve"> 15</w:t>
      </w:r>
      <w:r w:rsidRPr="0066321E">
        <w:rPr>
          <w:rFonts w:ascii="Candara" w:hAnsi="Candara"/>
          <w:sz w:val="20"/>
          <w:szCs w:val="20"/>
        </w:rPr>
        <w:t xml:space="preserve">(5), 685. </w:t>
      </w:r>
      <w:hyperlink r:id="rId56" w:history="1">
        <w:r w:rsidRPr="0066321E">
          <w:rPr>
            <w:rStyle w:val="Hyperlink"/>
            <w:rFonts w:ascii="Candara" w:hAnsi="Candara"/>
            <w:sz w:val="20"/>
            <w:szCs w:val="20"/>
          </w:rPr>
          <w:t>https://www.mdpi.com/2223-7747/15/5/685</w:t>
        </w:r>
      </w:hyperlink>
      <w:r w:rsidRPr="0066321E">
        <w:rPr>
          <w:rFonts w:ascii="Candara" w:hAnsi="Candara"/>
          <w:sz w:val="20"/>
          <w:szCs w:val="20"/>
        </w:rPr>
        <w:t xml:space="preserve"> </w:t>
      </w:r>
    </w:p>
    <w:p w14:paraId="7BDFDC08"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lastRenderedPageBreak/>
        <w:t xml:space="preserve">Lu, Y., Pang, Z., &amp; Xia, J. (2023). Comprehensive investigation of pathway enrichment methods for functional interpretation of LC–MS global metabolomics data. </w:t>
      </w:r>
      <w:r w:rsidRPr="0066321E">
        <w:rPr>
          <w:rFonts w:ascii="Candara" w:hAnsi="Candara"/>
          <w:i/>
          <w:sz w:val="20"/>
          <w:szCs w:val="20"/>
        </w:rPr>
        <w:t>Briefings in Bioinformatics</w:t>
      </w:r>
      <w:r w:rsidRPr="0066321E">
        <w:rPr>
          <w:rFonts w:ascii="Candara" w:hAnsi="Candara"/>
          <w:sz w:val="20"/>
          <w:szCs w:val="20"/>
        </w:rPr>
        <w:t>,</w:t>
      </w:r>
      <w:r w:rsidRPr="0066321E">
        <w:rPr>
          <w:rFonts w:ascii="Candara" w:hAnsi="Candara"/>
          <w:i/>
          <w:sz w:val="20"/>
          <w:szCs w:val="20"/>
        </w:rPr>
        <w:t xml:space="preserve"> 24</w:t>
      </w:r>
      <w:r w:rsidRPr="0066321E">
        <w:rPr>
          <w:rFonts w:ascii="Candara" w:hAnsi="Candara"/>
          <w:sz w:val="20"/>
          <w:szCs w:val="20"/>
        </w:rPr>
        <w:t xml:space="preserve">(1), bbac553. </w:t>
      </w:r>
    </w:p>
    <w:p w14:paraId="56092554" w14:textId="77777777" w:rsidR="002962D2" w:rsidRPr="0066321E" w:rsidRDefault="002962D2" w:rsidP="0066321E">
      <w:pPr>
        <w:pStyle w:val="EndNoteBibliography"/>
        <w:spacing w:after="0"/>
        <w:jc w:val="both"/>
        <w:rPr>
          <w:rFonts w:ascii="Candara" w:hAnsi="Candara"/>
          <w:sz w:val="20"/>
          <w:szCs w:val="20"/>
          <w:lang w:val="fr-FR"/>
        </w:rPr>
      </w:pPr>
      <w:r w:rsidRPr="0066321E">
        <w:rPr>
          <w:rFonts w:ascii="Candara" w:hAnsi="Candara"/>
          <w:sz w:val="20"/>
          <w:szCs w:val="20"/>
        </w:rPr>
        <w:t xml:space="preserve">Maddamsetti, R., Yao, Y., Wang, T., Gao, J., Huang, V. T., Hamrick, G. S., Son, H.-I., &amp; You, L. (2024). Duplicated antibiotic resistance genes reveal ongoing selection and horizontal gene transfer in bacteria. </w:t>
      </w:r>
      <w:r w:rsidRPr="0066321E">
        <w:rPr>
          <w:rFonts w:ascii="Candara" w:hAnsi="Candara"/>
          <w:i/>
          <w:sz w:val="20"/>
          <w:szCs w:val="20"/>
          <w:lang w:val="fr-FR"/>
        </w:rPr>
        <w:t>Nature Communications</w:t>
      </w:r>
      <w:r w:rsidRPr="0066321E">
        <w:rPr>
          <w:rFonts w:ascii="Candara" w:hAnsi="Candara"/>
          <w:sz w:val="20"/>
          <w:szCs w:val="20"/>
          <w:lang w:val="fr-FR"/>
        </w:rPr>
        <w:t>,</w:t>
      </w:r>
      <w:r w:rsidRPr="0066321E">
        <w:rPr>
          <w:rFonts w:ascii="Candara" w:hAnsi="Candara"/>
          <w:i/>
          <w:sz w:val="20"/>
          <w:szCs w:val="20"/>
          <w:lang w:val="fr-FR"/>
        </w:rPr>
        <w:t xml:space="preserve"> 15</w:t>
      </w:r>
      <w:r w:rsidRPr="0066321E">
        <w:rPr>
          <w:rFonts w:ascii="Candara" w:hAnsi="Candara"/>
          <w:sz w:val="20"/>
          <w:szCs w:val="20"/>
          <w:lang w:val="fr-FR"/>
        </w:rPr>
        <w:t xml:space="preserve">(1), 1449. </w:t>
      </w:r>
      <w:hyperlink r:id="rId57" w:history="1">
        <w:r w:rsidRPr="0066321E">
          <w:rPr>
            <w:rStyle w:val="Hyperlink"/>
            <w:rFonts w:ascii="Candara" w:hAnsi="Candara"/>
            <w:sz w:val="20"/>
            <w:szCs w:val="20"/>
            <w:lang w:val="fr-FR"/>
          </w:rPr>
          <w:t>https://doi.org/10.1038/s41467-024-45638-9</w:t>
        </w:r>
      </w:hyperlink>
      <w:r w:rsidRPr="0066321E">
        <w:rPr>
          <w:rFonts w:ascii="Candara" w:hAnsi="Candara"/>
          <w:sz w:val="20"/>
          <w:szCs w:val="20"/>
          <w:lang w:val="fr-FR"/>
        </w:rPr>
        <w:t xml:space="preserve"> </w:t>
      </w:r>
    </w:p>
    <w:p w14:paraId="37E9DC43"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lang w:val="fr-FR"/>
        </w:rPr>
        <w:t xml:space="preserve">Mahanta, D. K., Komal, J., Samal, I., Bhoi, T. K., Kumar, P. V. D., Mohapatra, S., Athulya, R., Majhi, P. K., &amp; Mastinu, A. (2025). </w:t>
      </w:r>
      <w:r w:rsidRPr="0066321E">
        <w:rPr>
          <w:rFonts w:ascii="Candara" w:hAnsi="Candara"/>
          <w:sz w:val="20"/>
          <w:szCs w:val="20"/>
        </w:rPr>
        <w:t xml:space="preserve">Plant Defense Responses to Insect Herbivores Through Molecular Signaling, Secondary Metabolites, and Associated Epigenetic Regulation. </w:t>
      </w:r>
      <w:r w:rsidRPr="0066321E">
        <w:rPr>
          <w:rFonts w:ascii="Candara" w:hAnsi="Candara"/>
          <w:i/>
          <w:sz w:val="20"/>
          <w:szCs w:val="20"/>
        </w:rPr>
        <w:t>Plant-Environment Interactions</w:t>
      </w:r>
      <w:r w:rsidRPr="0066321E">
        <w:rPr>
          <w:rFonts w:ascii="Candara" w:hAnsi="Candara"/>
          <w:sz w:val="20"/>
          <w:szCs w:val="20"/>
        </w:rPr>
        <w:t>,</w:t>
      </w:r>
      <w:r w:rsidRPr="0066321E">
        <w:rPr>
          <w:rFonts w:ascii="Candara" w:hAnsi="Candara"/>
          <w:i/>
          <w:sz w:val="20"/>
          <w:szCs w:val="20"/>
        </w:rPr>
        <w:t xml:space="preserve"> 6</w:t>
      </w:r>
      <w:r w:rsidRPr="0066321E">
        <w:rPr>
          <w:rFonts w:ascii="Candara" w:hAnsi="Candara"/>
          <w:sz w:val="20"/>
          <w:szCs w:val="20"/>
        </w:rPr>
        <w:t xml:space="preserve">(1), e70035. </w:t>
      </w:r>
      <w:hyperlink r:id="rId58" w:history="1">
        <w:r w:rsidRPr="0066321E">
          <w:rPr>
            <w:rStyle w:val="Hyperlink"/>
            <w:rFonts w:ascii="Candara" w:hAnsi="Candara"/>
            <w:sz w:val="20"/>
            <w:szCs w:val="20"/>
          </w:rPr>
          <w:t>https://doi.org/https://doi.org/10.1002/pei3.70035</w:t>
        </w:r>
      </w:hyperlink>
      <w:r w:rsidRPr="0066321E">
        <w:rPr>
          <w:rFonts w:ascii="Candara" w:hAnsi="Candara"/>
          <w:sz w:val="20"/>
          <w:szCs w:val="20"/>
        </w:rPr>
        <w:t xml:space="preserve"> </w:t>
      </w:r>
    </w:p>
    <w:p w14:paraId="21B3BA87"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Maizels, R. J., &amp; Briscoe, J. (2026). Gene regulatory networks: from correlative models to causal explanations. </w:t>
      </w:r>
      <w:r w:rsidRPr="0066321E">
        <w:rPr>
          <w:rFonts w:ascii="Candara" w:hAnsi="Candara"/>
          <w:i/>
          <w:sz w:val="20"/>
          <w:szCs w:val="20"/>
        </w:rPr>
        <w:t>Nature Reviews Genetics</w:t>
      </w:r>
      <w:r w:rsidRPr="0066321E">
        <w:rPr>
          <w:rFonts w:ascii="Candara" w:hAnsi="Candara"/>
          <w:sz w:val="20"/>
          <w:szCs w:val="20"/>
        </w:rPr>
        <w:t xml:space="preserve">. </w:t>
      </w:r>
      <w:hyperlink r:id="rId59" w:history="1">
        <w:r w:rsidRPr="0066321E">
          <w:rPr>
            <w:rStyle w:val="Hyperlink"/>
            <w:rFonts w:ascii="Candara" w:hAnsi="Candara"/>
            <w:sz w:val="20"/>
            <w:szCs w:val="20"/>
          </w:rPr>
          <w:t>https://doi.org/10.1038/s41576-026-00939-1</w:t>
        </w:r>
      </w:hyperlink>
      <w:r w:rsidRPr="0066321E">
        <w:rPr>
          <w:rFonts w:ascii="Candara" w:hAnsi="Candara"/>
          <w:sz w:val="20"/>
          <w:szCs w:val="20"/>
        </w:rPr>
        <w:t xml:space="preserve"> </w:t>
      </w:r>
    </w:p>
    <w:p w14:paraId="07078BC3"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Man, M., Zhu, Y., Liu, L., Luo, L., Han, X., Qiu, L., Li, F., Ren, M., &amp; Xing, Y. (2022). Defense Mechanisms of Cotton Fusarium and Verticillium Wilt and Comparison of Pathogenic Response in Cotton and Humans. </w:t>
      </w:r>
      <w:r w:rsidRPr="0066321E">
        <w:rPr>
          <w:rFonts w:ascii="Candara" w:hAnsi="Candara"/>
          <w:i/>
          <w:sz w:val="20"/>
          <w:szCs w:val="20"/>
        </w:rPr>
        <w:t>International Journal of Molecular Sciences</w:t>
      </w:r>
      <w:r w:rsidRPr="0066321E">
        <w:rPr>
          <w:rFonts w:ascii="Candara" w:hAnsi="Candara"/>
          <w:sz w:val="20"/>
          <w:szCs w:val="20"/>
        </w:rPr>
        <w:t>,</w:t>
      </w:r>
      <w:r w:rsidRPr="0066321E">
        <w:rPr>
          <w:rFonts w:ascii="Candara" w:hAnsi="Candara"/>
          <w:i/>
          <w:sz w:val="20"/>
          <w:szCs w:val="20"/>
        </w:rPr>
        <w:t xml:space="preserve"> 23</w:t>
      </w:r>
      <w:r w:rsidRPr="0066321E">
        <w:rPr>
          <w:rFonts w:ascii="Candara" w:hAnsi="Candara"/>
          <w:sz w:val="20"/>
          <w:szCs w:val="20"/>
        </w:rPr>
        <w:t xml:space="preserve">(20), 12217. </w:t>
      </w:r>
      <w:hyperlink r:id="rId60" w:history="1">
        <w:r w:rsidRPr="0066321E">
          <w:rPr>
            <w:rStyle w:val="Hyperlink"/>
            <w:rFonts w:ascii="Candara" w:hAnsi="Candara"/>
            <w:sz w:val="20"/>
            <w:szCs w:val="20"/>
          </w:rPr>
          <w:t>https://www.mdpi.com/1422-0067/23/20/12217</w:t>
        </w:r>
      </w:hyperlink>
      <w:r w:rsidRPr="0066321E">
        <w:rPr>
          <w:rFonts w:ascii="Candara" w:hAnsi="Candara"/>
          <w:sz w:val="20"/>
          <w:szCs w:val="20"/>
        </w:rPr>
        <w:t xml:space="preserve"> </w:t>
      </w:r>
    </w:p>
    <w:p w14:paraId="47896C97"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Manzoor, F., Tsurgeon, C. A., &amp; Gupta, V. (2025). Exploring RNA-Seq Data Analysis Through Visualization Techniques and Tools: A Systematic Review of Opportunities and Limitations for Clinical Applications. </w:t>
      </w:r>
      <w:r w:rsidRPr="0066321E">
        <w:rPr>
          <w:rFonts w:ascii="Candara" w:hAnsi="Candara"/>
          <w:i/>
          <w:sz w:val="20"/>
          <w:szCs w:val="20"/>
        </w:rPr>
        <w:t>Bioengineering</w:t>
      </w:r>
      <w:r w:rsidRPr="0066321E">
        <w:rPr>
          <w:rFonts w:ascii="Candara" w:hAnsi="Candara"/>
          <w:sz w:val="20"/>
          <w:szCs w:val="20"/>
        </w:rPr>
        <w:t>,</w:t>
      </w:r>
      <w:r w:rsidRPr="0066321E">
        <w:rPr>
          <w:rFonts w:ascii="Candara" w:hAnsi="Candara"/>
          <w:i/>
          <w:sz w:val="20"/>
          <w:szCs w:val="20"/>
        </w:rPr>
        <w:t xml:space="preserve"> 12</w:t>
      </w:r>
      <w:r w:rsidRPr="0066321E">
        <w:rPr>
          <w:rFonts w:ascii="Candara" w:hAnsi="Candara"/>
          <w:sz w:val="20"/>
          <w:szCs w:val="20"/>
        </w:rPr>
        <w:t xml:space="preserve">(1), 56. </w:t>
      </w:r>
      <w:hyperlink r:id="rId61" w:history="1">
        <w:r w:rsidRPr="0066321E">
          <w:rPr>
            <w:rStyle w:val="Hyperlink"/>
            <w:rFonts w:ascii="Candara" w:hAnsi="Candara"/>
            <w:sz w:val="20"/>
            <w:szCs w:val="20"/>
          </w:rPr>
          <w:t>https://www.mdpi.com/2306-5354/12/1/56</w:t>
        </w:r>
      </w:hyperlink>
      <w:r w:rsidRPr="0066321E">
        <w:rPr>
          <w:rFonts w:ascii="Candara" w:hAnsi="Candara"/>
          <w:sz w:val="20"/>
          <w:szCs w:val="20"/>
        </w:rPr>
        <w:t xml:space="preserve"> </w:t>
      </w:r>
    </w:p>
    <w:p w14:paraId="7E17B1E5"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Masoodi, K. Z., Ahmed, N., Mir, M. A., Bhat, B., Shafi, A., Mansoor, S., Rasool, R. S., Yaseen, M., Dar, Z. A., Mir, J. I., Andrabi, S. M., &amp; Ganai, N. A. (2022). Comparative transcriptomics unravels new genes imparting scab resistance in apple (Malus x domestica Borkh.). </w:t>
      </w:r>
      <w:r w:rsidRPr="0066321E">
        <w:rPr>
          <w:rFonts w:ascii="Candara" w:hAnsi="Candara"/>
          <w:i/>
          <w:sz w:val="20"/>
          <w:szCs w:val="20"/>
        </w:rPr>
        <w:t>Functional &amp; Integrative Genomics</w:t>
      </w:r>
      <w:r w:rsidRPr="0066321E">
        <w:rPr>
          <w:rFonts w:ascii="Candara" w:hAnsi="Candara"/>
          <w:sz w:val="20"/>
          <w:szCs w:val="20"/>
        </w:rPr>
        <w:t>,</w:t>
      </w:r>
      <w:r w:rsidRPr="0066321E">
        <w:rPr>
          <w:rFonts w:ascii="Candara" w:hAnsi="Candara"/>
          <w:i/>
          <w:sz w:val="20"/>
          <w:szCs w:val="20"/>
        </w:rPr>
        <w:t xml:space="preserve"> 22</w:t>
      </w:r>
      <w:r w:rsidRPr="0066321E">
        <w:rPr>
          <w:rFonts w:ascii="Candara" w:hAnsi="Candara"/>
          <w:sz w:val="20"/>
          <w:szCs w:val="20"/>
        </w:rPr>
        <w:t xml:space="preserve">(6), 1315-1330. </w:t>
      </w:r>
      <w:hyperlink r:id="rId62" w:history="1">
        <w:r w:rsidRPr="0066321E">
          <w:rPr>
            <w:rStyle w:val="Hyperlink"/>
            <w:rFonts w:ascii="Candara" w:hAnsi="Candara"/>
            <w:sz w:val="20"/>
            <w:szCs w:val="20"/>
          </w:rPr>
          <w:t>https://doi.org/10.1007/s10142-022-00889-x</w:t>
        </w:r>
      </w:hyperlink>
      <w:r w:rsidRPr="0066321E">
        <w:rPr>
          <w:rFonts w:ascii="Candara" w:hAnsi="Candara"/>
          <w:sz w:val="20"/>
          <w:szCs w:val="20"/>
        </w:rPr>
        <w:t xml:space="preserve"> </w:t>
      </w:r>
    </w:p>
    <w:p w14:paraId="6E10A49C"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Molinari, M. D. C., Pagliarini, R. F., Florentino, L. H., Lima, R. N., Arraes, F. B. M., Abbad, S. V., de Farias, M. P., Mertz-Henning, L. M., Rech, E., Nepomuceno, A. L., &amp; Molinari, H. B. C. (2024). Navigating the Path from Lab to Market: Regulatory Challenges and Opportunities for Genome Editing Technologies for Agriculture. In J.-T. Chen &amp; S. Ahmar (Eds.), </w:t>
      </w:r>
      <w:r w:rsidRPr="0066321E">
        <w:rPr>
          <w:rFonts w:ascii="Candara" w:hAnsi="Candara"/>
          <w:i/>
          <w:sz w:val="20"/>
          <w:szCs w:val="20"/>
        </w:rPr>
        <w:t>Plant Genome Editing Technologies: Speed Breeding, Crop Improvement and Sustainable Agriculture</w:t>
      </w:r>
      <w:r w:rsidRPr="0066321E">
        <w:rPr>
          <w:rFonts w:ascii="Candara" w:hAnsi="Candara"/>
          <w:sz w:val="20"/>
          <w:szCs w:val="20"/>
        </w:rPr>
        <w:t xml:space="preserve"> (pp. 25-63). Springer Nature Singapore. </w:t>
      </w:r>
      <w:hyperlink r:id="rId63" w:history="1">
        <w:r w:rsidRPr="0066321E">
          <w:rPr>
            <w:rStyle w:val="Hyperlink"/>
            <w:rFonts w:ascii="Candara" w:hAnsi="Candara"/>
            <w:sz w:val="20"/>
            <w:szCs w:val="20"/>
          </w:rPr>
          <w:t>https://doi.org/10.1007/978-981-99-9338-3_2</w:t>
        </w:r>
      </w:hyperlink>
      <w:r w:rsidRPr="0066321E">
        <w:rPr>
          <w:rFonts w:ascii="Candara" w:hAnsi="Candara"/>
          <w:sz w:val="20"/>
          <w:szCs w:val="20"/>
        </w:rPr>
        <w:t xml:space="preserve"> </w:t>
      </w:r>
    </w:p>
    <w:p w14:paraId="0F87EFC8"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Motoche-Monar, C., Ordoñez, J. E., Chang, O., &amp; Gonzales-Zubiate, F. A. (2023). gRNA Design: How Its Evolution Impacted on CRISPR/Cas9 Systems Refinement. </w:t>
      </w:r>
      <w:r w:rsidRPr="0066321E">
        <w:rPr>
          <w:rFonts w:ascii="Candara" w:hAnsi="Candara"/>
          <w:i/>
          <w:sz w:val="20"/>
          <w:szCs w:val="20"/>
        </w:rPr>
        <w:t>Biomolecules</w:t>
      </w:r>
      <w:r w:rsidRPr="0066321E">
        <w:rPr>
          <w:rFonts w:ascii="Candara" w:hAnsi="Candara"/>
          <w:sz w:val="20"/>
          <w:szCs w:val="20"/>
        </w:rPr>
        <w:t>,</w:t>
      </w:r>
      <w:r w:rsidRPr="0066321E">
        <w:rPr>
          <w:rFonts w:ascii="Candara" w:hAnsi="Candara"/>
          <w:i/>
          <w:sz w:val="20"/>
          <w:szCs w:val="20"/>
        </w:rPr>
        <w:t xml:space="preserve"> 13</w:t>
      </w:r>
      <w:r w:rsidRPr="0066321E">
        <w:rPr>
          <w:rFonts w:ascii="Candara" w:hAnsi="Candara"/>
          <w:sz w:val="20"/>
          <w:szCs w:val="20"/>
        </w:rPr>
        <w:t xml:space="preserve">(12), 1698. </w:t>
      </w:r>
      <w:hyperlink r:id="rId64" w:history="1">
        <w:r w:rsidRPr="0066321E">
          <w:rPr>
            <w:rStyle w:val="Hyperlink"/>
            <w:rFonts w:ascii="Candara" w:hAnsi="Candara"/>
            <w:sz w:val="20"/>
            <w:szCs w:val="20"/>
          </w:rPr>
          <w:t>https://www.mdpi.com/2218-273X/13/12/1698</w:t>
        </w:r>
      </w:hyperlink>
      <w:r w:rsidRPr="0066321E">
        <w:rPr>
          <w:rFonts w:ascii="Candara" w:hAnsi="Candara"/>
          <w:sz w:val="20"/>
          <w:szCs w:val="20"/>
        </w:rPr>
        <w:t xml:space="preserve"> </w:t>
      </w:r>
    </w:p>
    <w:p w14:paraId="6D068FEA"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Muhammad, J. S., Khan, N. A., Maciver, S. K., Alharbi, A. M., Alfahemi, H., &amp; Siddiqui, R. (2022). Epigenetic-Mediated Antimicrobial Resistance: Host versus Pathogen Epigenetic Alterations. </w:t>
      </w:r>
      <w:r w:rsidRPr="0066321E">
        <w:rPr>
          <w:rFonts w:ascii="Candara" w:hAnsi="Candara"/>
          <w:i/>
          <w:sz w:val="20"/>
          <w:szCs w:val="20"/>
        </w:rPr>
        <w:t>Antibiotics</w:t>
      </w:r>
      <w:r w:rsidRPr="0066321E">
        <w:rPr>
          <w:rFonts w:ascii="Candara" w:hAnsi="Candara"/>
          <w:sz w:val="20"/>
          <w:szCs w:val="20"/>
        </w:rPr>
        <w:t>,</w:t>
      </w:r>
      <w:r w:rsidRPr="0066321E">
        <w:rPr>
          <w:rFonts w:ascii="Candara" w:hAnsi="Candara"/>
          <w:i/>
          <w:sz w:val="20"/>
          <w:szCs w:val="20"/>
        </w:rPr>
        <w:t xml:space="preserve"> 11</w:t>
      </w:r>
      <w:r w:rsidRPr="0066321E">
        <w:rPr>
          <w:rFonts w:ascii="Candara" w:hAnsi="Candara"/>
          <w:sz w:val="20"/>
          <w:szCs w:val="20"/>
        </w:rPr>
        <w:t xml:space="preserve">(6), 809. </w:t>
      </w:r>
      <w:hyperlink r:id="rId65" w:history="1">
        <w:r w:rsidRPr="0066321E">
          <w:rPr>
            <w:rStyle w:val="Hyperlink"/>
            <w:rFonts w:ascii="Candara" w:hAnsi="Candara"/>
            <w:sz w:val="20"/>
            <w:szCs w:val="20"/>
          </w:rPr>
          <w:t>https://doi.org/10.3390/antibiotics11060809</w:t>
        </w:r>
      </w:hyperlink>
      <w:r w:rsidRPr="0066321E">
        <w:rPr>
          <w:rFonts w:ascii="Candara" w:hAnsi="Candara"/>
          <w:sz w:val="20"/>
          <w:szCs w:val="20"/>
        </w:rPr>
        <w:t xml:space="preserve"> </w:t>
      </w:r>
    </w:p>
    <w:p w14:paraId="2FCBF00E"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Nabi, Z., Manzoor, S., Nabi, S. U., Wani, T. A., Gulzar, H., Farooq, M., Arya, V. M., Baloch, F. S., Vlădulescu, C., Popescu, S. M., &amp; Mansoor, S. (2024). Pattern-Triggered Immunity  and Effector-Triggered Immunity: crosstalk and cooperation of PRR and NLR-mediated plant defense pathways during host–pathogen interactions. </w:t>
      </w:r>
      <w:r w:rsidRPr="0066321E">
        <w:rPr>
          <w:rFonts w:ascii="Candara" w:hAnsi="Candara"/>
          <w:i/>
          <w:sz w:val="20"/>
          <w:szCs w:val="20"/>
        </w:rPr>
        <w:t>Physiology and Molecular Biology of Plants</w:t>
      </w:r>
      <w:r w:rsidRPr="0066321E">
        <w:rPr>
          <w:rFonts w:ascii="Candara" w:hAnsi="Candara"/>
          <w:sz w:val="20"/>
          <w:szCs w:val="20"/>
        </w:rPr>
        <w:t>,</w:t>
      </w:r>
      <w:r w:rsidRPr="0066321E">
        <w:rPr>
          <w:rFonts w:ascii="Candara" w:hAnsi="Candara"/>
          <w:i/>
          <w:sz w:val="20"/>
          <w:szCs w:val="20"/>
        </w:rPr>
        <w:t xml:space="preserve"> 30</w:t>
      </w:r>
      <w:r w:rsidRPr="0066321E">
        <w:rPr>
          <w:rFonts w:ascii="Candara" w:hAnsi="Candara"/>
          <w:sz w:val="20"/>
          <w:szCs w:val="20"/>
        </w:rPr>
        <w:t xml:space="preserve">(4), 587-604. </w:t>
      </w:r>
      <w:hyperlink r:id="rId66" w:history="1">
        <w:r w:rsidRPr="0066321E">
          <w:rPr>
            <w:rStyle w:val="Hyperlink"/>
            <w:rFonts w:ascii="Candara" w:hAnsi="Candara"/>
            <w:sz w:val="20"/>
            <w:szCs w:val="20"/>
          </w:rPr>
          <w:t>https://doi.org/10.1007/s12298-024-01452-7</w:t>
        </w:r>
      </w:hyperlink>
      <w:r w:rsidRPr="0066321E">
        <w:rPr>
          <w:rFonts w:ascii="Candara" w:hAnsi="Candara"/>
          <w:sz w:val="20"/>
          <w:szCs w:val="20"/>
        </w:rPr>
        <w:t xml:space="preserve"> </w:t>
      </w:r>
    </w:p>
    <w:p w14:paraId="3DC5203A"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Nawaz, H., Irum, A., Nasim, W., Hussain, N., Usman, M., &amp; Alam, J. (2023). Chapter 1 - Hormonal cross-talk mechanisms and plant immunity or defense: an overview. In A. Husen &amp; W. Zhang (Eds.), </w:t>
      </w:r>
      <w:r w:rsidRPr="0066321E">
        <w:rPr>
          <w:rFonts w:ascii="Candara" w:hAnsi="Candara"/>
          <w:i/>
          <w:sz w:val="20"/>
          <w:szCs w:val="20"/>
        </w:rPr>
        <w:t>Hormonal Cross-Talk, Plant Defense and Development</w:t>
      </w:r>
      <w:r w:rsidRPr="0066321E">
        <w:rPr>
          <w:rFonts w:ascii="Candara" w:hAnsi="Candara"/>
          <w:sz w:val="20"/>
          <w:szCs w:val="20"/>
        </w:rPr>
        <w:t xml:space="preserve"> (pp. 1-12). Academic Press. </w:t>
      </w:r>
      <w:hyperlink r:id="rId67" w:history="1">
        <w:r w:rsidRPr="0066321E">
          <w:rPr>
            <w:rStyle w:val="Hyperlink"/>
            <w:rFonts w:ascii="Candara" w:hAnsi="Candara"/>
            <w:sz w:val="20"/>
            <w:szCs w:val="20"/>
          </w:rPr>
          <w:t>https://doi.org/https://doi.org/10.1016/B978-0-323-95375-7.00005-7</w:t>
        </w:r>
      </w:hyperlink>
      <w:r w:rsidRPr="0066321E">
        <w:rPr>
          <w:rFonts w:ascii="Candara" w:hAnsi="Candara"/>
          <w:sz w:val="20"/>
          <w:szCs w:val="20"/>
        </w:rPr>
        <w:t xml:space="preserve"> </w:t>
      </w:r>
    </w:p>
    <w:p w14:paraId="4E72346D"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Nayak, B. N., Palanisamy, P., Venkataraman, S., &amp; Subbiah, M. (2024). A time series transcriptome profiling of host cell responses to Newcastle disease virus infection. </w:t>
      </w:r>
      <w:r w:rsidRPr="0066321E">
        <w:rPr>
          <w:rFonts w:ascii="Candara" w:hAnsi="Candara"/>
          <w:i/>
          <w:sz w:val="20"/>
          <w:szCs w:val="20"/>
        </w:rPr>
        <w:t>Archives of Virology</w:t>
      </w:r>
      <w:r w:rsidRPr="0066321E">
        <w:rPr>
          <w:rFonts w:ascii="Candara" w:hAnsi="Candara"/>
          <w:sz w:val="20"/>
          <w:szCs w:val="20"/>
        </w:rPr>
        <w:t>,</w:t>
      </w:r>
      <w:r w:rsidRPr="0066321E">
        <w:rPr>
          <w:rFonts w:ascii="Candara" w:hAnsi="Candara"/>
          <w:i/>
          <w:sz w:val="20"/>
          <w:szCs w:val="20"/>
        </w:rPr>
        <w:t xml:space="preserve"> 169</w:t>
      </w:r>
      <w:r w:rsidRPr="0066321E">
        <w:rPr>
          <w:rFonts w:ascii="Candara" w:hAnsi="Candara"/>
          <w:sz w:val="20"/>
          <w:szCs w:val="20"/>
        </w:rPr>
        <w:t xml:space="preserve">(9), 175. </w:t>
      </w:r>
      <w:hyperlink r:id="rId68" w:history="1">
        <w:r w:rsidRPr="0066321E">
          <w:rPr>
            <w:rStyle w:val="Hyperlink"/>
            <w:rFonts w:ascii="Candara" w:hAnsi="Candara"/>
            <w:sz w:val="20"/>
            <w:szCs w:val="20"/>
          </w:rPr>
          <w:t>https://doi.org/10.1007/s00705-024-06100-9</w:t>
        </w:r>
      </w:hyperlink>
      <w:r w:rsidRPr="0066321E">
        <w:rPr>
          <w:rFonts w:ascii="Candara" w:hAnsi="Candara"/>
          <w:sz w:val="20"/>
          <w:szCs w:val="20"/>
        </w:rPr>
        <w:t xml:space="preserve"> </w:t>
      </w:r>
    </w:p>
    <w:p w14:paraId="0E520DE5" w14:textId="77777777" w:rsidR="002962D2" w:rsidRPr="0066321E" w:rsidRDefault="002962D2" w:rsidP="0066321E">
      <w:pPr>
        <w:pStyle w:val="EndNoteBibliography"/>
        <w:spacing w:after="0"/>
        <w:jc w:val="both"/>
        <w:rPr>
          <w:rFonts w:ascii="Candara" w:hAnsi="Candara"/>
          <w:sz w:val="20"/>
          <w:szCs w:val="20"/>
          <w:lang w:val="pt-BR"/>
        </w:rPr>
      </w:pPr>
      <w:r w:rsidRPr="0066321E">
        <w:rPr>
          <w:rFonts w:ascii="Candara" w:hAnsi="Candara"/>
          <w:sz w:val="20"/>
          <w:szCs w:val="20"/>
        </w:rPr>
        <w:t xml:space="preserve">Nemati, M., Zare, N., Hedayat-Evrigh, N., &amp; Asghari, R. (2023). Identification of Key Gene Network Modules and Hub Genes Associated with Wheat Response to Biotic Stress Using Combined Microarray Meta-analysis and WGCN Analysis. </w:t>
      </w:r>
      <w:r w:rsidRPr="0066321E">
        <w:rPr>
          <w:rFonts w:ascii="Candara" w:hAnsi="Candara"/>
          <w:i/>
          <w:sz w:val="20"/>
          <w:szCs w:val="20"/>
          <w:lang w:val="pt-BR"/>
        </w:rPr>
        <w:t>Molecular Biotechnology</w:t>
      </w:r>
      <w:r w:rsidRPr="0066321E">
        <w:rPr>
          <w:rFonts w:ascii="Candara" w:hAnsi="Candara"/>
          <w:sz w:val="20"/>
          <w:szCs w:val="20"/>
          <w:lang w:val="pt-BR"/>
        </w:rPr>
        <w:t>,</w:t>
      </w:r>
      <w:r w:rsidRPr="0066321E">
        <w:rPr>
          <w:rFonts w:ascii="Candara" w:hAnsi="Candara"/>
          <w:i/>
          <w:sz w:val="20"/>
          <w:szCs w:val="20"/>
          <w:lang w:val="pt-BR"/>
        </w:rPr>
        <w:t xml:space="preserve"> 65</w:t>
      </w:r>
      <w:r w:rsidRPr="0066321E">
        <w:rPr>
          <w:rFonts w:ascii="Candara" w:hAnsi="Candara"/>
          <w:sz w:val="20"/>
          <w:szCs w:val="20"/>
          <w:lang w:val="pt-BR"/>
        </w:rPr>
        <w:t xml:space="preserve">(3), 453-465. </w:t>
      </w:r>
      <w:hyperlink r:id="rId69" w:history="1">
        <w:r w:rsidRPr="0066321E">
          <w:rPr>
            <w:rStyle w:val="Hyperlink"/>
            <w:rFonts w:ascii="Candara" w:hAnsi="Candara"/>
            <w:sz w:val="20"/>
            <w:szCs w:val="20"/>
            <w:lang w:val="pt-BR"/>
          </w:rPr>
          <w:t>https://doi.org/10.1007/s12033-022-00541-w</w:t>
        </w:r>
      </w:hyperlink>
      <w:r w:rsidRPr="0066321E">
        <w:rPr>
          <w:rFonts w:ascii="Candara" w:hAnsi="Candara"/>
          <w:sz w:val="20"/>
          <w:szCs w:val="20"/>
          <w:lang w:val="pt-BR"/>
        </w:rPr>
        <w:t xml:space="preserve"> </w:t>
      </w:r>
    </w:p>
    <w:p w14:paraId="7CEBCAED"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lang w:val="pt-BR"/>
        </w:rPr>
        <w:t xml:space="preserve">Nissa, M. u., Feng, Y., Ali, S., &amp; Bao, B. (2026). </w:t>
      </w:r>
      <w:r w:rsidRPr="0066321E">
        <w:rPr>
          <w:rFonts w:ascii="Candara" w:hAnsi="Candara"/>
          <w:sz w:val="20"/>
          <w:szCs w:val="20"/>
        </w:rPr>
        <w:t xml:space="preserve">Precision, Reproducibility, and Validation in Zebrafish Genome Editing: A Critical Review of CRISPR, Base, and Prime Editing Technologies. </w:t>
      </w:r>
      <w:r w:rsidRPr="0066321E">
        <w:rPr>
          <w:rFonts w:ascii="Candara" w:hAnsi="Candara"/>
          <w:i/>
          <w:sz w:val="20"/>
          <w:szCs w:val="20"/>
        </w:rPr>
        <w:t>Fishes</w:t>
      </w:r>
      <w:r w:rsidRPr="0066321E">
        <w:rPr>
          <w:rFonts w:ascii="Candara" w:hAnsi="Candara"/>
          <w:sz w:val="20"/>
          <w:szCs w:val="20"/>
        </w:rPr>
        <w:t>,</w:t>
      </w:r>
      <w:r w:rsidRPr="0066321E">
        <w:rPr>
          <w:rFonts w:ascii="Candara" w:hAnsi="Candara"/>
          <w:i/>
          <w:sz w:val="20"/>
          <w:szCs w:val="20"/>
        </w:rPr>
        <w:t xml:space="preserve"> 11</w:t>
      </w:r>
      <w:r w:rsidRPr="0066321E">
        <w:rPr>
          <w:rFonts w:ascii="Candara" w:hAnsi="Candara"/>
          <w:sz w:val="20"/>
          <w:szCs w:val="20"/>
        </w:rPr>
        <w:t xml:space="preserve">(1), 41. </w:t>
      </w:r>
      <w:hyperlink r:id="rId70" w:history="1">
        <w:r w:rsidRPr="0066321E">
          <w:rPr>
            <w:rStyle w:val="Hyperlink"/>
            <w:rFonts w:ascii="Candara" w:hAnsi="Candara"/>
            <w:sz w:val="20"/>
            <w:szCs w:val="20"/>
          </w:rPr>
          <w:t>https://www.mdpi.com/2410-3888/11/1/41</w:t>
        </w:r>
      </w:hyperlink>
      <w:r w:rsidRPr="0066321E">
        <w:rPr>
          <w:rFonts w:ascii="Candara" w:hAnsi="Candara"/>
          <w:sz w:val="20"/>
          <w:szCs w:val="20"/>
        </w:rPr>
        <w:t xml:space="preserve"> </w:t>
      </w:r>
    </w:p>
    <w:p w14:paraId="7CD4E3E6"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Nixon, M. P., Gloor, G. B., &amp; Silverman, J. D. (2025). Incorporating scale uncertainty in microbiome and gene expression analysis as an extension of normalization. </w:t>
      </w:r>
      <w:r w:rsidRPr="0066321E">
        <w:rPr>
          <w:rFonts w:ascii="Candara" w:hAnsi="Candara"/>
          <w:i/>
          <w:sz w:val="20"/>
          <w:szCs w:val="20"/>
        </w:rPr>
        <w:t>Genome Biology</w:t>
      </w:r>
      <w:r w:rsidRPr="0066321E">
        <w:rPr>
          <w:rFonts w:ascii="Candara" w:hAnsi="Candara"/>
          <w:sz w:val="20"/>
          <w:szCs w:val="20"/>
        </w:rPr>
        <w:t>,</w:t>
      </w:r>
      <w:r w:rsidRPr="0066321E">
        <w:rPr>
          <w:rFonts w:ascii="Candara" w:hAnsi="Candara"/>
          <w:i/>
          <w:sz w:val="20"/>
          <w:szCs w:val="20"/>
        </w:rPr>
        <w:t xml:space="preserve"> 26</w:t>
      </w:r>
      <w:r w:rsidRPr="0066321E">
        <w:rPr>
          <w:rFonts w:ascii="Candara" w:hAnsi="Candara"/>
          <w:sz w:val="20"/>
          <w:szCs w:val="20"/>
        </w:rPr>
        <w:t xml:space="preserve">(1), 139. </w:t>
      </w:r>
      <w:hyperlink r:id="rId71" w:history="1">
        <w:r w:rsidRPr="0066321E">
          <w:rPr>
            <w:rStyle w:val="Hyperlink"/>
            <w:rFonts w:ascii="Candara" w:hAnsi="Candara"/>
            <w:sz w:val="20"/>
            <w:szCs w:val="20"/>
          </w:rPr>
          <w:t>https://doi.org/10.1186/s13059-025-03609-3</w:t>
        </w:r>
      </w:hyperlink>
      <w:r w:rsidRPr="0066321E">
        <w:rPr>
          <w:rFonts w:ascii="Candara" w:hAnsi="Candara"/>
          <w:sz w:val="20"/>
          <w:szCs w:val="20"/>
        </w:rPr>
        <w:t xml:space="preserve"> </w:t>
      </w:r>
    </w:p>
    <w:p w14:paraId="0E37EDDC"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Nordgren, J., Ågren, R., Hagbom, M., Zeberg, H., &amp; Svensson, L. (2026). Ancestral FUT2 genetic adaptation confers resistance to modern norovirus and rotavirus infections. </w:t>
      </w:r>
      <w:r w:rsidRPr="0066321E">
        <w:rPr>
          <w:rFonts w:ascii="Candara" w:hAnsi="Candara"/>
          <w:i/>
          <w:sz w:val="20"/>
          <w:szCs w:val="20"/>
        </w:rPr>
        <w:t>Current Opinion in Virology</w:t>
      </w:r>
      <w:r w:rsidRPr="0066321E">
        <w:rPr>
          <w:rFonts w:ascii="Candara" w:hAnsi="Candara"/>
          <w:sz w:val="20"/>
          <w:szCs w:val="20"/>
        </w:rPr>
        <w:t>,</w:t>
      </w:r>
      <w:r w:rsidRPr="0066321E">
        <w:rPr>
          <w:rFonts w:ascii="Candara" w:hAnsi="Candara"/>
          <w:i/>
          <w:sz w:val="20"/>
          <w:szCs w:val="20"/>
        </w:rPr>
        <w:t xml:space="preserve"> 75</w:t>
      </w:r>
      <w:r w:rsidRPr="0066321E">
        <w:rPr>
          <w:rFonts w:ascii="Candara" w:hAnsi="Candara"/>
          <w:sz w:val="20"/>
          <w:szCs w:val="20"/>
        </w:rPr>
        <w:t xml:space="preserve">, 101513. </w:t>
      </w:r>
      <w:hyperlink r:id="rId72" w:history="1">
        <w:r w:rsidRPr="0066321E">
          <w:rPr>
            <w:rStyle w:val="Hyperlink"/>
            <w:rFonts w:ascii="Candara" w:hAnsi="Candara"/>
            <w:sz w:val="20"/>
            <w:szCs w:val="20"/>
          </w:rPr>
          <w:t>https://doi.org/https://doi.org/10.1016/j.coviro.2026.101513</w:t>
        </w:r>
      </w:hyperlink>
      <w:r w:rsidRPr="0066321E">
        <w:rPr>
          <w:rFonts w:ascii="Candara" w:hAnsi="Candara"/>
          <w:sz w:val="20"/>
          <w:szCs w:val="20"/>
        </w:rPr>
        <w:t xml:space="preserve"> </w:t>
      </w:r>
    </w:p>
    <w:p w14:paraId="12ACDBC7" w14:textId="77777777" w:rsidR="002962D2" w:rsidRPr="0066321E" w:rsidRDefault="002962D2" w:rsidP="0066321E">
      <w:pPr>
        <w:pStyle w:val="EndNoteBibliography"/>
        <w:spacing w:after="0"/>
        <w:jc w:val="both"/>
        <w:rPr>
          <w:rFonts w:ascii="Candara" w:hAnsi="Candara"/>
          <w:sz w:val="20"/>
          <w:szCs w:val="20"/>
          <w:lang w:val="pt-BR"/>
        </w:rPr>
      </w:pPr>
      <w:r w:rsidRPr="0066321E">
        <w:rPr>
          <w:rFonts w:ascii="Candara" w:hAnsi="Candara"/>
          <w:sz w:val="20"/>
          <w:szCs w:val="20"/>
        </w:rPr>
        <w:lastRenderedPageBreak/>
        <w:t xml:space="preserve">Pandey, H., Sharma, A., Misra, V., Mall, A. K., &amp; Ceasar, S. A. (2026). Pre-validation strategies for CRISPR/Cas-based genome editing in plants: a critical analysis of in vitro RNP cleavage assays. </w:t>
      </w:r>
      <w:r w:rsidRPr="0066321E">
        <w:rPr>
          <w:rFonts w:ascii="Candara" w:hAnsi="Candara"/>
          <w:i/>
          <w:sz w:val="20"/>
          <w:szCs w:val="20"/>
          <w:lang w:val="pt-BR"/>
        </w:rPr>
        <w:t>Physiology and Molecular Biology of Plants</w:t>
      </w:r>
      <w:r w:rsidRPr="0066321E">
        <w:rPr>
          <w:rFonts w:ascii="Candara" w:hAnsi="Candara"/>
          <w:sz w:val="20"/>
          <w:szCs w:val="20"/>
          <w:lang w:val="pt-BR"/>
        </w:rPr>
        <w:t xml:space="preserve">. </w:t>
      </w:r>
      <w:hyperlink r:id="rId73" w:history="1">
        <w:r w:rsidRPr="0066321E">
          <w:rPr>
            <w:rStyle w:val="Hyperlink"/>
            <w:rFonts w:ascii="Candara" w:hAnsi="Candara"/>
            <w:sz w:val="20"/>
            <w:szCs w:val="20"/>
            <w:lang w:val="pt-BR"/>
          </w:rPr>
          <w:t>https://doi.org/10.1007/s12298-026-01706-6</w:t>
        </w:r>
      </w:hyperlink>
      <w:r w:rsidRPr="0066321E">
        <w:rPr>
          <w:rFonts w:ascii="Candara" w:hAnsi="Candara"/>
          <w:sz w:val="20"/>
          <w:szCs w:val="20"/>
          <w:lang w:val="pt-BR"/>
        </w:rPr>
        <w:t xml:space="preserve"> </w:t>
      </w:r>
    </w:p>
    <w:p w14:paraId="0C782661"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lang w:val="pt-BR"/>
        </w:rPr>
        <w:t xml:space="preserve">Patanita, M., Campos, M. D., Albuquerque, A., Ribeiro, J. A., Pimentel, D., Ramiro, R. S., Monteiro, T., Basaloco, M., Santos, F., Castro, I., &amp; Félix, M. R. (2025). </w:t>
      </w:r>
      <w:r w:rsidRPr="0066321E">
        <w:rPr>
          <w:rFonts w:ascii="Candara" w:hAnsi="Candara"/>
          <w:sz w:val="20"/>
          <w:szCs w:val="20"/>
        </w:rPr>
        <w:t xml:space="preserve">Transcriptome profiling of symptomatic vs. asymptomatic grapevine plants reveals candidate genes for plant improvement against trunk diseases. </w:t>
      </w:r>
      <w:r w:rsidRPr="0066321E">
        <w:rPr>
          <w:rFonts w:ascii="Candara" w:hAnsi="Candara"/>
          <w:i/>
          <w:sz w:val="20"/>
          <w:szCs w:val="20"/>
        </w:rPr>
        <w:t>BMC Plant Biology</w:t>
      </w:r>
      <w:r w:rsidRPr="0066321E">
        <w:rPr>
          <w:rFonts w:ascii="Candara" w:hAnsi="Candara"/>
          <w:sz w:val="20"/>
          <w:szCs w:val="20"/>
        </w:rPr>
        <w:t>,</w:t>
      </w:r>
      <w:r w:rsidRPr="0066321E">
        <w:rPr>
          <w:rFonts w:ascii="Candara" w:hAnsi="Candara"/>
          <w:i/>
          <w:sz w:val="20"/>
          <w:szCs w:val="20"/>
        </w:rPr>
        <w:t xml:space="preserve"> 25</w:t>
      </w:r>
      <w:r w:rsidRPr="0066321E">
        <w:rPr>
          <w:rFonts w:ascii="Candara" w:hAnsi="Candara"/>
          <w:sz w:val="20"/>
          <w:szCs w:val="20"/>
        </w:rPr>
        <w:t xml:space="preserve">(1), 811. </w:t>
      </w:r>
      <w:hyperlink r:id="rId74" w:history="1">
        <w:r w:rsidRPr="0066321E">
          <w:rPr>
            <w:rStyle w:val="Hyperlink"/>
            <w:rFonts w:ascii="Candara" w:hAnsi="Candara"/>
            <w:sz w:val="20"/>
            <w:szCs w:val="20"/>
          </w:rPr>
          <w:t>https://doi.org/10.1186/s12870-025-06763-9</w:t>
        </w:r>
      </w:hyperlink>
      <w:r w:rsidRPr="0066321E">
        <w:rPr>
          <w:rFonts w:ascii="Candara" w:hAnsi="Candara"/>
          <w:sz w:val="20"/>
          <w:szCs w:val="20"/>
        </w:rPr>
        <w:t xml:space="preserve"> </w:t>
      </w:r>
    </w:p>
    <w:p w14:paraId="78651CD8"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Patowary, P., Bhattacharyya, D. K., &amp; Kalita, J. K. (2025). A comprehensive survey of gene co-expression network analysis: methods, tools, challenges, and future directions. </w:t>
      </w:r>
      <w:r w:rsidRPr="0066321E">
        <w:rPr>
          <w:rFonts w:ascii="Candara" w:hAnsi="Candara"/>
          <w:i/>
          <w:sz w:val="20"/>
          <w:szCs w:val="20"/>
        </w:rPr>
        <w:t>Network Modeling Analysis in Health Informatics and Bioinformatics</w:t>
      </w:r>
      <w:r w:rsidRPr="0066321E">
        <w:rPr>
          <w:rFonts w:ascii="Candara" w:hAnsi="Candara"/>
          <w:sz w:val="20"/>
          <w:szCs w:val="20"/>
        </w:rPr>
        <w:t>,</w:t>
      </w:r>
      <w:r w:rsidRPr="0066321E">
        <w:rPr>
          <w:rFonts w:ascii="Candara" w:hAnsi="Candara"/>
          <w:i/>
          <w:sz w:val="20"/>
          <w:szCs w:val="20"/>
        </w:rPr>
        <w:t xml:space="preserve"> 14</w:t>
      </w:r>
      <w:r w:rsidRPr="0066321E">
        <w:rPr>
          <w:rFonts w:ascii="Candara" w:hAnsi="Candara"/>
          <w:sz w:val="20"/>
          <w:szCs w:val="20"/>
        </w:rPr>
        <w:t xml:space="preserve">(1), 114. </w:t>
      </w:r>
      <w:hyperlink r:id="rId75" w:history="1">
        <w:r w:rsidRPr="0066321E">
          <w:rPr>
            <w:rStyle w:val="Hyperlink"/>
            <w:rFonts w:ascii="Candara" w:hAnsi="Candara"/>
            <w:sz w:val="20"/>
            <w:szCs w:val="20"/>
          </w:rPr>
          <w:t>https://doi.org/10.1007/s13721-025-00612-3</w:t>
        </w:r>
      </w:hyperlink>
      <w:r w:rsidRPr="0066321E">
        <w:rPr>
          <w:rFonts w:ascii="Candara" w:hAnsi="Candara"/>
          <w:sz w:val="20"/>
          <w:szCs w:val="20"/>
        </w:rPr>
        <w:t xml:space="preserve"> </w:t>
      </w:r>
    </w:p>
    <w:p w14:paraId="5A1080DB"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Perrone, M. C., Lerner, M. G., Dunworth, M., Ewald, A. J., &amp; Bader, J. S. (2024). Prioritizing drug targets by perturbing biological network response functions. </w:t>
      </w:r>
      <w:r w:rsidRPr="0066321E">
        <w:rPr>
          <w:rFonts w:ascii="Candara" w:hAnsi="Candara"/>
          <w:i/>
          <w:sz w:val="20"/>
          <w:szCs w:val="20"/>
        </w:rPr>
        <w:t>PLoS computational biology</w:t>
      </w:r>
      <w:r w:rsidRPr="0066321E">
        <w:rPr>
          <w:rFonts w:ascii="Candara" w:hAnsi="Candara"/>
          <w:sz w:val="20"/>
          <w:szCs w:val="20"/>
        </w:rPr>
        <w:t>,</w:t>
      </w:r>
      <w:r w:rsidRPr="0066321E">
        <w:rPr>
          <w:rFonts w:ascii="Candara" w:hAnsi="Candara"/>
          <w:i/>
          <w:sz w:val="20"/>
          <w:szCs w:val="20"/>
        </w:rPr>
        <w:t xml:space="preserve"> 20</w:t>
      </w:r>
      <w:r w:rsidRPr="0066321E">
        <w:rPr>
          <w:rFonts w:ascii="Candara" w:hAnsi="Candara"/>
          <w:sz w:val="20"/>
          <w:szCs w:val="20"/>
        </w:rPr>
        <w:t xml:space="preserve">(6), e1012195. </w:t>
      </w:r>
    </w:p>
    <w:p w14:paraId="462C2B19"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Roychowdhury, R., Das, S. P., Gupta, A., Parihar, P., Chandrasekhar, K., Sarker, U., Kumar, A., Ramrao, D. P., &amp; Sudhakar, C. (2023). Multi-Omics Pipeline and Omics-Integration Approach to Decipher Plant’s Abiotic Stress Tolerance Responses. </w:t>
      </w:r>
      <w:r w:rsidRPr="0066321E">
        <w:rPr>
          <w:rFonts w:ascii="Candara" w:hAnsi="Candara"/>
          <w:i/>
          <w:sz w:val="20"/>
          <w:szCs w:val="20"/>
        </w:rPr>
        <w:t>Genes</w:t>
      </w:r>
      <w:r w:rsidRPr="0066321E">
        <w:rPr>
          <w:rFonts w:ascii="Candara" w:hAnsi="Candara"/>
          <w:sz w:val="20"/>
          <w:szCs w:val="20"/>
        </w:rPr>
        <w:t>,</w:t>
      </w:r>
      <w:r w:rsidRPr="0066321E">
        <w:rPr>
          <w:rFonts w:ascii="Candara" w:hAnsi="Candara"/>
          <w:i/>
          <w:sz w:val="20"/>
          <w:szCs w:val="20"/>
        </w:rPr>
        <w:t xml:space="preserve"> 14</w:t>
      </w:r>
      <w:r w:rsidRPr="0066321E">
        <w:rPr>
          <w:rFonts w:ascii="Candara" w:hAnsi="Candara"/>
          <w:sz w:val="20"/>
          <w:szCs w:val="20"/>
        </w:rPr>
        <w:t xml:space="preserve">(6), 1281. </w:t>
      </w:r>
      <w:hyperlink r:id="rId76" w:history="1">
        <w:r w:rsidRPr="0066321E">
          <w:rPr>
            <w:rStyle w:val="Hyperlink"/>
            <w:rFonts w:ascii="Candara" w:hAnsi="Candara"/>
            <w:sz w:val="20"/>
            <w:szCs w:val="20"/>
          </w:rPr>
          <w:t>https://www.mdpi.com/2073-4425/14/6/1281</w:t>
        </w:r>
      </w:hyperlink>
      <w:r w:rsidRPr="0066321E">
        <w:rPr>
          <w:rFonts w:ascii="Candara" w:hAnsi="Candara"/>
          <w:sz w:val="20"/>
          <w:szCs w:val="20"/>
        </w:rPr>
        <w:t xml:space="preserve"> </w:t>
      </w:r>
    </w:p>
    <w:p w14:paraId="277E3A3F"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Rurek, M., &amp; Smolibowski, M. (2024). Variability of plant transcriptomic responses under stress acclimation: a review from high throughput studies [Review]. </w:t>
      </w:r>
      <w:r w:rsidRPr="0066321E">
        <w:rPr>
          <w:rFonts w:ascii="Candara" w:hAnsi="Candara"/>
          <w:i/>
          <w:sz w:val="20"/>
          <w:szCs w:val="20"/>
        </w:rPr>
        <w:t>Acta Biochimica Polonica</w:t>
      </w:r>
      <w:r w:rsidRPr="0066321E">
        <w:rPr>
          <w:rFonts w:ascii="Candara" w:hAnsi="Candara"/>
          <w:sz w:val="20"/>
          <w:szCs w:val="20"/>
        </w:rPr>
        <w:t>,</w:t>
      </w:r>
      <w:r w:rsidRPr="0066321E">
        <w:rPr>
          <w:rFonts w:ascii="Candara" w:hAnsi="Candara"/>
          <w:i/>
          <w:sz w:val="20"/>
          <w:szCs w:val="20"/>
        </w:rPr>
        <w:t xml:space="preserve"> Volume 71 - 2024</w:t>
      </w:r>
      <w:r w:rsidRPr="0066321E">
        <w:rPr>
          <w:rFonts w:ascii="Candara" w:hAnsi="Candara"/>
          <w:sz w:val="20"/>
          <w:szCs w:val="20"/>
        </w:rPr>
        <w:t xml:space="preserve">. </w:t>
      </w:r>
      <w:hyperlink r:id="rId77" w:history="1">
        <w:r w:rsidRPr="0066321E">
          <w:rPr>
            <w:rStyle w:val="Hyperlink"/>
            <w:rFonts w:ascii="Candara" w:hAnsi="Candara"/>
            <w:sz w:val="20"/>
            <w:szCs w:val="20"/>
          </w:rPr>
          <w:t>https://doi.org/10.3389/abp.2024.13585</w:t>
        </w:r>
      </w:hyperlink>
      <w:r w:rsidRPr="0066321E">
        <w:rPr>
          <w:rFonts w:ascii="Candara" w:hAnsi="Candara"/>
          <w:sz w:val="20"/>
          <w:szCs w:val="20"/>
        </w:rPr>
        <w:t xml:space="preserve"> </w:t>
      </w:r>
    </w:p>
    <w:p w14:paraId="308D4666"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Rybnicky, G. A., Fackler, N. A., Karim, A. S., Köpke, M., &amp; Jewett, M. C. (2022). Spacer2PAM: A computational framework to guide experimental determination of functional CRISPR-Cas system PAM sequences. </w:t>
      </w:r>
      <w:r w:rsidRPr="0066321E">
        <w:rPr>
          <w:rFonts w:ascii="Candara" w:hAnsi="Candara"/>
          <w:i/>
          <w:sz w:val="20"/>
          <w:szCs w:val="20"/>
        </w:rPr>
        <w:t>Nucleic Acids Research</w:t>
      </w:r>
      <w:r w:rsidRPr="0066321E">
        <w:rPr>
          <w:rFonts w:ascii="Candara" w:hAnsi="Candara"/>
          <w:sz w:val="20"/>
          <w:szCs w:val="20"/>
        </w:rPr>
        <w:t>,</w:t>
      </w:r>
      <w:r w:rsidRPr="0066321E">
        <w:rPr>
          <w:rFonts w:ascii="Candara" w:hAnsi="Candara"/>
          <w:i/>
          <w:sz w:val="20"/>
          <w:szCs w:val="20"/>
        </w:rPr>
        <w:t xml:space="preserve"> 50</w:t>
      </w:r>
      <w:r w:rsidRPr="0066321E">
        <w:rPr>
          <w:rFonts w:ascii="Candara" w:hAnsi="Candara"/>
          <w:sz w:val="20"/>
          <w:szCs w:val="20"/>
        </w:rPr>
        <w:t xml:space="preserve">(6), 3523-3534. </w:t>
      </w:r>
    </w:p>
    <w:p w14:paraId="36D283C8"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Sáez, C., Flores-León, A., Montero-Pau, J., Sifres, A., Dhillon, N. P. S., López, C., &amp; Picó, B. (2022). RNA-Seq Transcriptome Analysis Provides Candidate Genes for Resistance to Tomato Leaf Curl New Delhi Virus in Melon [Original Research]. </w:t>
      </w:r>
      <w:r w:rsidRPr="0066321E">
        <w:rPr>
          <w:rFonts w:ascii="Candara" w:hAnsi="Candara"/>
          <w:i/>
          <w:sz w:val="20"/>
          <w:szCs w:val="20"/>
        </w:rPr>
        <w:t>Frontiers in Plant Science</w:t>
      </w:r>
      <w:r w:rsidRPr="0066321E">
        <w:rPr>
          <w:rFonts w:ascii="Candara" w:hAnsi="Candara"/>
          <w:sz w:val="20"/>
          <w:szCs w:val="20"/>
        </w:rPr>
        <w:t>,</w:t>
      </w:r>
      <w:r w:rsidRPr="0066321E">
        <w:rPr>
          <w:rFonts w:ascii="Candara" w:hAnsi="Candara"/>
          <w:i/>
          <w:sz w:val="20"/>
          <w:szCs w:val="20"/>
        </w:rPr>
        <w:t xml:space="preserve"> Volume 12 - 2021</w:t>
      </w:r>
      <w:r w:rsidRPr="0066321E">
        <w:rPr>
          <w:rFonts w:ascii="Candara" w:hAnsi="Candara"/>
          <w:sz w:val="20"/>
          <w:szCs w:val="20"/>
        </w:rPr>
        <w:t xml:space="preserve">. </w:t>
      </w:r>
      <w:hyperlink r:id="rId78" w:history="1">
        <w:r w:rsidRPr="0066321E">
          <w:rPr>
            <w:rStyle w:val="Hyperlink"/>
            <w:rFonts w:ascii="Candara" w:hAnsi="Candara"/>
            <w:sz w:val="20"/>
            <w:szCs w:val="20"/>
          </w:rPr>
          <w:t>https://doi.org/10.3389/fpls.2021.798858</w:t>
        </w:r>
      </w:hyperlink>
      <w:r w:rsidRPr="0066321E">
        <w:rPr>
          <w:rFonts w:ascii="Candara" w:hAnsi="Candara"/>
          <w:sz w:val="20"/>
          <w:szCs w:val="20"/>
        </w:rPr>
        <w:t xml:space="preserve"> </w:t>
      </w:r>
    </w:p>
    <w:p w14:paraId="4516697F"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Saha, B., Nayak, J., Srivastava, R., Samal, S., Kumar, D., Chanwala, J., Dey, N., &amp; Giri, M. K. (2023). Unraveling the involvement of WRKY TFs in regulating plant disease defense signaling. </w:t>
      </w:r>
      <w:r w:rsidRPr="0066321E">
        <w:rPr>
          <w:rFonts w:ascii="Candara" w:hAnsi="Candara"/>
          <w:i/>
          <w:sz w:val="20"/>
          <w:szCs w:val="20"/>
        </w:rPr>
        <w:t>Planta</w:t>
      </w:r>
      <w:r w:rsidRPr="0066321E">
        <w:rPr>
          <w:rFonts w:ascii="Candara" w:hAnsi="Candara"/>
          <w:sz w:val="20"/>
          <w:szCs w:val="20"/>
        </w:rPr>
        <w:t>,</w:t>
      </w:r>
      <w:r w:rsidRPr="0066321E">
        <w:rPr>
          <w:rFonts w:ascii="Candara" w:hAnsi="Candara"/>
          <w:i/>
          <w:sz w:val="20"/>
          <w:szCs w:val="20"/>
        </w:rPr>
        <w:t xml:space="preserve"> 259</w:t>
      </w:r>
      <w:r w:rsidRPr="0066321E">
        <w:rPr>
          <w:rFonts w:ascii="Candara" w:hAnsi="Candara"/>
          <w:sz w:val="20"/>
          <w:szCs w:val="20"/>
        </w:rPr>
        <w:t xml:space="preserve">(1), 7. </w:t>
      </w:r>
      <w:hyperlink r:id="rId79" w:history="1">
        <w:r w:rsidRPr="0066321E">
          <w:rPr>
            <w:rStyle w:val="Hyperlink"/>
            <w:rFonts w:ascii="Candara" w:hAnsi="Candara"/>
            <w:sz w:val="20"/>
            <w:szCs w:val="20"/>
          </w:rPr>
          <w:t>https://doi.org/10.1007/s00425-023-04269-y</w:t>
        </w:r>
      </w:hyperlink>
      <w:r w:rsidRPr="0066321E">
        <w:rPr>
          <w:rFonts w:ascii="Candara" w:hAnsi="Candara"/>
          <w:sz w:val="20"/>
          <w:szCs w:val="20"/>
        </w:rPr>
        <w:t xml:space="preserve"> </w:t>
      </w:r>
    </w:p>
    <w:p w14:paraId="07D9FED0"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Saraswat, P., &amp; Ranjan, R. (2025). Unlocking the potential of CRISPR tools and databases for precision genome editing [Review]. </w:t>
      </w:r>
      <w:r w:rsidRPr="0066321E">
        <w:rPr>
          <w:rFonts w:ascii="Candara" w:hAnsi="Candara"/>
          <w:i/>
          <w:sz w:val="20"/>
          <w:szCs w:val="20"/>
        </w:rPr>
        <w:t>Frontiers in Plant Science</w:t>
      </w:r>
      <w:r w:rsidRPr="0066321E">
        <w:rPr>
          <w:rFonts w:ascii="Candara" w:hAnsi="Candara"/>
          <w:sz w:val="20"/>
          <w:szCs w:val="20"/>
        </w:rPr>
        <w:t>,</w:t>
      </w:r>
      <w:r w:rsidRPr="0066321E">
        <w:rPr>
          <w:rFonts w:ascii="Candara" w:hAnsi="Candara"/>
          <w:i/>
          <w:sz w:val="20"/>
          <w:szCs w:val="20"/>
        </w:rPr>
        <w:t xml:space="preserve"> Volume 16 - 2025</w:t>
      </w:r>
      <w:r w:rsidRPr="0066321E">
        <w:rPr>
          <w:rFonts w:ascii="Candara" w:hAnsi="Candara"/>
          <w:sz w:val="20"/>
          <w:szCs w:val="20"/>
        </w:rPr>
        <w:t xml:space="preserve">. </w:t>
      </w:r>
      <w:hyperlink r:id="rId80" w:history="1">
        <w:r w:rsidRPr="0066321E">
          <w:rPr>
            <w:rStyle w:val="Hyperlink"/>
            <w:rFonts w:ascii="Candara" w:hAnsi="Candara"/>
            <w:sz w:val="20"/>
            <w:szCs w:val="20"/>
          </w:rPr>
          <w:t>https://doi.org/10.3389/fpls.2025.1563711</w:t>
        </w:r>
      </w:hyperlink>
      <w:r w:rsidRPr="0066321E">
        <w:rPr>
          <w:rFonts w:ascii="Candara" w:hAnsi="Candara"/>
          <w:sz w:val="20"/>
          <w:szCs w:val="20"/>
        </w:rPr>
        <w:t xml:space="preserve"> </w:t>
      </w:r>
    </w:p>
    <w:p w14:paraId="51112497"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Satrio, R. D., Fendiyanto, M. H., &amp; Miftahudin, M. (2024). Tools and Techniques Used at Global Scale Through Genomics, Transcriptomics, Proteomics, and Metabolomics to Investigate Plant Stress Responses at the Molecular Level. In M. Shahid &amp; R. Gaur (Eds.), </w:t>
      </w:r>
      <w:r w:rsidRPr="0066321E">
        <w:rPr>
          <w:rFonts w:ascii="Candara" w:hAnsi="Candara"/>
          <w:i/>
          <w:sz w:val="20"/>
          <w:szCs w:val="20"/>
        </w:rPr>
        <w:t>Molecular Dynamics of Plant Stress and its Management</w:t>
      </w:r>
      <w:r w:rsidRPr="0066321E">
        <w:rPr>
          <w:rFonts w:ascii="Candara" w:hAnsi="Candara"/>
          <w:sz w:val="20"/>
          <w:szCs w:val="20"/>
        </w:rPr>
        <w:t xml:space="preserve"> (pp. 555-607). Springer Nature Singapore. </w:t>
      </w:r>
      <w:hyperlink r:id="rId81" w:history="1">
        <w:r w:rsidRPr="0066321E">
          <w:rPr>
            <w:rStyle w:val="Hyperlink"/>
            <w:rFonts w:ascii="Candara" w:hAnsi="Candara"/>
            <w:sz w:val="20"/>
            <w:szCs w:val="20"/>
          </w:rPr>
          <w:t>https://doi.org/10.1007/978-981-97-1699-9_25</w:t>
        </w:r>
      </w:hyperlink>
      <w:r w:rsidRPr="0066321E">
        <w:rPr>
          <w:rFonts w:ascii="Candara" w:hAnsi="Candara"/>
          <w:sz w:val="20"/>
          <w:szCs w:val="20"/>
        </w:rPr>
        <w:t xml:space="preserve"> </w:t>
      </w:r>
    </w:p>
    <w:p w14:paraId="19B58315"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Șerban, M., Toader, C., &amp; Covache-Busuioc, R.-A. (2025). CRISPR and Artificial Intelligence in Neuroregeneration: Closed-Loop Strategies for Precision Medicine, Spinal Cord Repair, and Adaptive Neuro-Oncology. </w:t>
      </w:r>
      <w:r w:rsidRPr="0066321E">
        <w:rPr>
          <w:rFonts w:ascii="Candara" w:hAnsi="Candara"/>
          <w:i/>
          <w:sz w:val="20"/>
          <w:szCs w:val="20"/>
        </w:rPr>
        <w:t>International Journal of Molecular Sciences</w:t>
      </w:r>
      <w:r w:rsidRPr="0066321E">
        <w:rPr>
          <w:rFonts w:ascii="Candara" w:hAnsi="Candara"/>
          <w:sz w:val="20"/>
          <w:szCs w:val="20"/>
        </w:rPr>
        <w:t>,</w:t>
      </w:r>
      <w:r w:rsidRPr="0066321E">
        <w:rPr>
          <w:rFonts w:ascii="Candara" w:hAnsi="Candara"/>
          <w:i/>
          <w:sz w:val="20"/>
          <w:szCs w:val="20"/>
        </w:rPr>
        <w:t xml:space="preserve"> 26</w:t>
      </w:r>
      <w:r w:rsidRPr="0066321E">
        <w:rPr>
          <w:rFonts w:ascii="Candara" w:hAnsi="Candara"/>
          <w:sz w:val="20"/>
          <w:szCs w:val="20"/>
        </w:rPr>
        <w:t xml:space="preserve">(19), 9409. </w:t>
      </w:r>
      <w:hyperlink r:id="rId82" w:history="1">
        <w:r w:rsidRPr="0066321E">
          <w:rPr>
            <w:rStyle w:val="Hyperlink"/>
            <w:rFonts w:ascii="Candara" w:hAnsi="Candara"/>
            <w:sz w:val="20"/>
            <w:szCs w:val="20"/>
          </w:rPr>
          <w:t>https://www.mdpi.com/1422-0067/26/19/9409</w:t>
        </w:r>
      </w:hyperlink>
      <w:r w:rsidRPr="0066321E">
        <w:rPr>
          <w:rFonts w:ascii="Candara" w:hAnsi="Candara"/>
          <w:sz w:val="20"/>
          <w:szCs w:val="20"/>
        </w:rPr>
        <w:t xml:space="preserve"> </w:t>
      </w:r>
    </w:p>
    <w:p w14:paraId="63728861"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Shahid, A., Zahra, A., Aslam, S., Shamim, A., Ali, W. R., Aslam, B., Khan, S. H., &amp; Arshad, M. I. (2026). Appraisal of CRISPR Technology as an Innovative Screening to Therapeutic Toolkit for Genetic Disorders. </w:t>
      </w:r>
      <w:r w:rsidRPr="0066321E">
        <w:rPr>
          <w:rFonts w:ascii="Candara" w:hAnsi="Candara"/>
          <w:i/>
          <w:sz w:val="20"/>
          <w:szCs w:val="20"/>
        </w:rPr>
        <w:t>Molecular Biotechnology</w:t>
      </w:r>
      <w:r w:rsidRPr="0066321E">
        <w:rPr>
          <w:rFonts w:ascii="Candara" w:hAnsi="Candara"/>
          <w:sz w:val="20"/>
          <w:szCs w:val="20"/>
        </w:rPr>
        <w:t>,</w:t>
      </w:r>
      <w:r w:rsidRPr="0066321E">
        <w:rPr>
          <w:rFonts w:ascii="Candara" w:hAnsi="Candara"/>
          <w:i/>
          <w:sz w:val="20"/>
          <w:szCs w:val="20"/>
        </w:rPr>
        <w:t xml:space="preserve"> 68</w:t>
      </w:r>
      <w:r w:rsidRPr="0066321E">
        <w:rPr>
          <w:rFonts w:ascii="Candara" w:hAnsi="Candara"/>
          <w:sz w:val="20"/>
          <w:szCs w:val="20"/>
        </w:rPr>
        <w:t xml:space="preserve">(1), 71-94. </w:t>
      </w:r>
      <w:hyperlink r:id="rId83" w:history="1">
        <w:r w:rsidRPr="0066321E">
          <w:rPr>
            <w:rStyle w:val="Hyperlink"/>
            <w:rFonts w:ascii="Candara" w:hAnsi="Candara"/>
            <w:sz w:val="20"/>
            <w:szCs w:val="20"/>
          </w:rPr>
          <w:t>https://doi.org/10.1007/s12033-025-01374-z</w:t>
        </w:r>
      </w:hyperlink>
      <w:r w:rsidRPr="0066321E">
        <w:rPr>
          <w:rFonts w:ascii="Candara" w:hAnsi="Candara"/>
          <w:sz w:val="20"/>
          <w:szCs w:val="20"/>
        </w:rPr>
        <w:t xml:space="preserve"> </w:t>
      </w:r>
    </w:p>
    <w:p w14:paraId="3BE6E394"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Shakirova, A., Karpov, T., Komarova, Y., &amp; Lepik, K. (2023). In search of an ideal template for therapeutic genome editing: A review of current developments for structure optimization [Review]. </w:t>
      </w:r>
      <w:r w:rsidRPr="0066321E">
        <w:rPr>
          <w:rFonts w:ascii="Candara" w:hAnsi="Candara"/>
          <w:i/>
          <w:sz w:val="20"/>
          <w:szCs w:val="20"/>
        </w:rPr>
        <w:t>Frontiers in Genome Editing</w:t>
      </w:r>
      <w:r w:rsidRPr="0066321E">
        <w:rPr>
          <w:rFonts w:ascii="Candara" w:hAnsi="Candara"/>
          <w:sz w:val="20"/>
          <w:szCs w:val="20"/>
        </w:rPr>
        <w:t>,</w:t>
      </w:r>
      <w:r w:rsidRPr="0066321E">
        <w:rPr>
          <w:rFonts w:ascii="Candara" w:hAnsi="Candara"/>
          <w:i/>
          <w:sz w:val="20"/>
          <w:szCs w:val="20"/>
        </w:rPr>
        <w:t xml:space="preserve"> Volume 5 - 2023</w:t>
      </w:r>
      <w:r w:rsidRPr="0066321E">
        <w:rPr>
          <w:rFonts w:ascii="Candara" w:hAnsi="Candara"/>
          <w:sz w:val="20"/>
          <w:szCs w:val="20"/>
        </w:rPr>
        <w:t xml:space="preserve">. </w:t>
      </w:r>
      <w:hyperlink r:id="rId84" w:history="1">
        <w:r w:rsidRPr="0066321E">
          <w:rPr>
            <w:rStyle w:val="Hyperlink"/>
            <w:rFonts w:ascii="Candara" w:hAnsi="Candara"/>
            <w:sz w:val="20"/>
            <w:szCs w:val="20"/>
          </w:rPr>
          <w:t>https://doi.org/10.3389/fgeed.2023.1068637</w:t>
        </w:r>
      </w:hyperlink>
      <w:r w:rsidRPr="0066321E">
        <w:rPr>
          <w:rFonts w:ascii="Candara" w:hAnsi="Candara"/>
          <w:sz w:val="20"/>
          <w:szCs w:val="20"/>
        </w:rPr>
        <w:t xml:space="preserve"> </w:t>
      </w:r>
    </w:p>
    <w:p w14:paraId="23B585A6"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Sheet, S., Jang, S. S., Kim, J. H., Park, W., &amp; Kim, D. (2024). A transcriptomic analysis of skeletal muscle tissues reveals promising candidate genes and pathways accountable for different daily weight gain in Hanwoo cattle. </w:t>
      </w:r>
      <w:r w:rsidRPr="0066321E">
        <w:rPr>
          <w:rFonts w:ascii="Candara" w:hAnsi="Candara"/>
          <w:i/>
          <w:sz w:val="20"/>
          <w:szCs w:val="20"/>
        </w:rPr>
        <w:t>Scientific Reports</w:t>
      </w:r>
      <w:r w:rsidRPr="0066321E">
        <w:rPr>
          <w:rFonts w:ascii="Candara" w:hAnsi="Candara"/>
          <w:sz w:val="20"/>
          <w:szCs w:val="20"/>
        </w:rPr>
        <w:t>,</w:t>
      </w:r>
      <w:r w:rsidRPr="0066321E">
        <w:rPr>
          <w:rFonts w:ascii="Candara" w:hAnsi="Candara"/>
          <w:i/>
          <w:sz w:val="20"/>
          <w:szCs w:val="20"/>
        </w:rPr>
        <w:t xml:space="preserve"> 14</w:t>
      </w:r>
      <w:r w:rsidRPr="0066321E">
        <w:rPr>
          <w:rFonts w:ascii="Candara" w:hAnsi="Candara"/>
          <w:sz w:val="20"/>
          <w:szCs w:val="20"/>
        </w:rPr>
        <w:t xml:space="preserve">(1), 315. </w:t>
      </w:r>
      <w:hyperlink r:id="rId85" w:history="1">
        <w:r w:rsidRPr="0066321E">
          <w:rPr>
            <w:rStyle w:val="Hyperlink"/>
            <w:rFonts w:ascii="Candara" w:hAnsi="Candara"/>
            <w:sz w:val="20"/>
            <w:szCs w:val="20"/>
          </w:rPr>
          <w:t>https://doi.org/10.1038/s41598-023-51037-9</w:t>
        </w:r>
      </w:hyperlink>
      <w:r w:rsidRPr="0066321E">
        <w:rPr>
          <w:rFonts w:ascii="Candara" w:hAnsi="Candara"/>
          <w:sz w:val="20"/>
          <w:szCs w:val="20"/>
        </w:rPr>
        <w:t xml:space="preserve"> </w:t>
      </w:r>
    </w:p>
    <w:p w14:paraId="05D505D4"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Simirenko, L., Cheng, J.-F., &amp; Blaby, I. (2023). gRNA-SeqRET: a universal tool for targeted and genome-scale gRNA design and sequence extraction for prokaryotes and eukaryotes [Methods]. </w:t>
      </w:r>
      <w:r w:rsidRPr="0066321E">
        <w:rPr>
          <w:rFonts w:ascii="Candara" w:hAnsi="Candara"/>
          <w:i/>
          <w:sz w:val="20"/>
          <w:szCs w:val="20"/>
        </w:rPr>
        <w:t>Frontiers in Bioengineering and Biotechnology</w:t>
      </w:r>
      <w:r w:rsidRPr="0066321E">
        <w:rPr>
          <w:rFonts w:ascii="Candara" w:hAnsi="Candara"/>
          <w:sz w:val="20"/>
          <w:szCs w:val="20"/>
        </w:rPr>
        <w:t>,</w:t>
      </w:r>
      <w:r w:rsidRPr="0066321E">
        <w:rPr>
          <w:rFonts w:ascii="Candara" w:hAnsi="Candara"/>
          <w:i/>
          <w:sz w:val="20"/>
          <w:szCs w:val="20"/>
        </w:rPr>
        <w:t xml:space="preserve"> Volume 11 - 2023</w:t>
      </w:r>
      <w:r w:rsidRPr="0066321E">
        <w:rPr>
          <w:rFonts w:ascii="Candara" w:hAnsi="Candara"/>
          <w:sz w:val="20"/>
          <w:szCs w:val="20"/>
        </w:rPr>
        <w:t xml:space="preserve">. </w:t>
      </w:r>
      <w:hyperlink r:id="rId86" w:history="1">
        <w:r w:rsidRPr="0066321E">
          <w:rPr>
            <w:rStyle w:val="Hyperlink"/>
            <w:rFonts w:ascii="Candara" w:hAnsi="Candara"/>
            <w:sz w:val="20"/>
            <w:szCs w:val="20"/>
          </w:rPr>
          <w:t>https://doi.org/10.3389/fbioe.2023.1217811</w:t>
        </w:r>
      </w:hyperlink>
      <w:r w:rsidRPr="0066321E">
        <w:rPr>
          <w:rFonts w:ascii="Candara" w:hAnsi="Candara"/>
          <w:sz w:val="20"/>
          <w:szCs w:val="20"/>
        </w:rPr>
        <w:t xml:space="preserve"> </w:t>
      </w:r>
    </w:p>
    <w:p w14:paraId="584D454B"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Singh, J., Thakur, S., Akshay Kumar, H. M., Sree, V. L. S., &amp; Chahal, K. S. (2025). Melatonin Involvement in PAMP-Triggered Immunity (PTI) and Effector-Triggered Immunity (ETI) Against Fungal Diseases. In R. K. Tiwari, M. K. Lal, R. Kumar, &amp; M. A. Altaf (Eds.), </w:t>
      </w:r>
      <w:r w:rsidRPr="0066321E">
        <w:rPr>
          <w:rFonts w:ascii="Candara" w:hAnsi="Candara"/>
          <w:i/>
          <w:sz w:val="20"/>
          <w:szCs w:val="20"/>
        </w:rPr>
        <w:t>Melatonin: Signal Transduction Mechanisms and Defense Networks in Plants</w:t>
      </w:r>
      <w:r w:rsidRPr="0066321E">
        <w:rPr>
          <w:rFonts w:ascii="Candara" w:hAnsi="Candara"/>
          <w:sz w:val="20"/>
          <w:szCs w:val="20"/>
        </w:rPr>
        <w:t xml:space="preserve"> (pp. 205-225). Springer Nature Singapore. </w:t>
      </w:r>
      <w:hyperlink r:id="rId87" w:history="1">
        <w:r w:rsidRPr="0066321E">
          <w:rPr>
            <w:rStyle w:val="Hyperlink"/>
            <w:rFonts w:ascii="Candara" w:hAnsi="Candara"/>
            <w:sz w:val="20"/>
            <w:szCs w:val="20"/>
          </w:rPr>
          <w:t>https://doi.org/10.1007/978-981-96-8869-2_9</w:t>
        </w:r>
      </w:hyperlink>
      <w:r w:rsidRPr="0066321E">
        <w:rPr>
          <w:rFonts w:ascii="Candara" w:hAnsi="Candara"/>
          <w:sz w:val="20"/>
          <w:szCs w:val="20"/>
        </w:rPr>
        <w:t xml:space="preserve"> </w:t>
      </w:r>
    </w:p>
    <w:p w14:paraId="27683FB0"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lastRenderedPageBreak/>
        <w:t xml:space="preserve">Sinharay, A., Raut, M., &amp; Kale, A. (2026). In silico aptamer design: from sequence selection to structural optimization and computational modelling strategies. </w:t>
      </w:r>
      <w:r w:rsidRPr="0066321E">
        <w:rPr>
          <w:rFonts w:ascii="Candara" w:hAnsi="Candara"/>
          <w:i/>
          <w:sz w:val="20"/>
          <w:szCs w:val="20"/>
        </w:rPr>
        <w:t>Journal of Computer-Aided Molecular Design</w:t>
      </w:r>
      <w:r w:rsidRPr="0066321E">
        <w:rPr>
          <w:rFonts w:ascii="Candara" w:hAnsi="Candara"/>
          <w:sz w:val="20"/>
          <w:szCs w:val="20"/>
        </w:rPr>
        <w:t>,</w:t>
      </w:r>
      <w:r w:rsidRPr="0066321E">
        <w:rPr>
          <w:rFonts w:ascii="Candara" w:hAnsi="Candara"/>
          <w:i/>
          <w:sz w:val="20"/>
          <w:szCs w:val="20"/>
        </w:rPr>
        <w:t xml:space="preserve"> 40</w:t>
      </w:r>
      <w:r w:rsidRPr="0066321E">
        <w:rPr>
          <w:rFonts w:ascii="Candara" w:hAnsi="Candara"/>
          <w:sz w:val="20"/>
          <w:szCs w:val="20"/>
        </w:rPr>
        <w:t xml:space="preserve">(1), 95. </w:t>
      </w:r>
      <w:hyperlink r:id="rId88" w:history="1">
        <w:r w:rsidRPr="0066321E">
          <w:rPr>
            <w:rStyle w:val="Hyperlink"/>
            <w:rFonts w:ascii="Candara" w:hAnsi="Candara"/>
            <w:sz w:val="20"/>
            <w:szCs w:val="20"/>
          </w:rPr>
          <w:t>https://doi.org/10.1007/s10822-026-00800-x</w:t>
        </w:r>
      </w:hyperlink>
      <w:r w:rsidRPr="0066321E">
        <w:rPr>
          <w:rFonts w:ascii="Candara" w:hAnsi="Candara"/>
          <w:sz w:val="20"/>
          <w:szCs w:val="20"/>
        </w:rPr>
        <w:t xml:space="preserve"> </w:t>
      </w:r>
    </w:p>
    <w:p w14:paraId="65601CED"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Soni, J., &amp; Pandey, R. (2024). Single cell genomics based insights into the impact of cell-type specific microbial internalization on disease severity [Review]. </w:t>
      </w:r>
      <w:r w:rsidRPr="0066321E">
        <w:rPr>
          <w:rFonts w:ascii="Candara" w:hAnsi="Candara"/>
          <w:i/>
          <w:sz w:val="20"/>
          <w:szCs w:val="20"/>
        </w:rPr>
        <w:t>Frontiers in Immunology</w:t>
      </w:r>
      <w:r w:rsidRPr="0066321E">
        <w:rPr>
          <w:rFonts w:ascii="Candara" w:hAnsi="Candara"/>
          <w:sz w:val="20"/>
          <w:szCs w:val="20"/>
        </w:rPr>
        <w:t>,</w:t>
      </w:r>
      <w:r w:rsidRPr="0066321E">
        <w:rPr>
          <w:rFonts w:ascii="Candara" w:hAnsi="Candara"/>
          <w:i/>
          <w:sz w:val="20"/>
          <w:szCs w:val="20"/>
        </w:rPr>
        <w:t xml:space="preserve"> Volume 15 - 2024</w:t>
      </w:r>
      <w:r w:rsidRPr="0066321E">
        <w:rPr>
          <w:rFonts w:ascii="Candara" w:hAnsi="Candara"/>
          <w:sz w:val="20"/>
          <w:szCs w:val="20"/>
        </w:rPr>
        <w:t xml:space="preserve">. </w:t>
      </w:r>
      <w:hyperlink r:id="rId89" w:history="1">
        <w:r w:rsidRPr="0066321E">
          <w:rPr>
            <w:rStyle w:val="Hyperlink"/>
            <w:rFonts w:ascii="Candara" w:hAnsi="Candara"/>
            <w:sz w:val="20"/>
            <w:szCs w:val="20"/>
          </w:rPr>
          <w:t>https://doi.org/10.3389/fimmu.2024.1401320</w:t>
        </w:r>
      </w:hyperlink>
      <w:r w:rsidRPr="0066321E">
        <w:rPr>
          <w:rFonts w:ascii="Candara" w:hAnsi="Candara"/>
          <w:sz w:val="20"/>
          <w:szCs w:val="20"/>
        </w:rPr>
        <w:t xml:space="preserve"> </w:t>
      </w:r>
    </w:p>
    <w:p w14:paraId="33428FB5"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Srivastava, U., Kanchan, S., Kesheri, M., Gupta, M. K., &amp; Singh, S. (2024). Chapter 2 - Types of omics data: Genomics, metagenomics, epigenomics, transcriptomics, proteomics, metabolomics, and phenomics. In M. K. Gupta, P. Katara, S. Mondal, &amp; R. L. Singh (Eds.), </w:t>
      </w:r>
      <w:r w:rsidRPr="0066321E">
        <w:rPr>
          <w:rFonts w:ascii="Candara" w:hAnsi="Candara"/>
          <w:i/>
          <w:sz w:val="20"/>
          <w:szCs w:val="20"/>
        </w:rPr>
        <w:t>Integrative Omics</w:t>
      </w:r>
      <w:r w:rsidRPr="0066321E">
        <w:rPr>
          <w:rFonts w:ascii="Candara" w:hAnsi="Candara"/>
          <w:sz w:val="20"/>
          <w:szCs w:val="20"/>
        </w:rPr>
        <w:t xml:space="preserve"> (pp. 13-34). Academic Press. </w:t>
      </w:r>
      <w:hyperlink r:id="rId90" w:history="1">
        <w:r w:rsidRPr="0066321E">
          <w:rPr>
            <w:rStyle w:val="Hyperlink"/>
            <w:rFonts w:ascii="Candara" w:hAnsi="Candara"/>
            <w:sz w:val="20"/>
            <w:szCs w:val="20"/>
          </w:rPr>
          <w:t>https://doi.org/https://doi.org/10.1016/B978-0-443-16092-9.00002-3</w:t>
        </w:r>
      </w:hyperlink>
      <w:r w:rsidRPr="0066321E">
        <w:rPr>
          <w:rFonts w:ascii="Candara" w:hAnsi="Candara"/>
          <w:sz w:val="20"/>
          <w:szCs w:val="20"/>
        </w:rPr>
        <w:t xml:space="preserve"> </w:t>
      </w:r>
    </w:p>
    <w:p w14:paraId="1B8FE3E7"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Sturme, M. H. J., van der Berg, J. P., Bouwman, L. M. S., De Schrijver, A., de Maagd, R. A., Kleter, G. A., &amp; Battaglia-de Wilde, E. (2022). Occurrence and Nature of Off-Target Modifications by CRISPR-Cas Genome Editing in Plants. </w:t>
      </w:r>
      <w:r w:rsidRPr="0066321E">
        <w:rPr>
          <w:rFonts w:ascii="Candara" w:hAnsi="Candara"/>
          <w:i/>
          <w:sz w:val="20"/>
          <w:szCs w:val="20"/>
        </w:rPr>
        <w:t>ACS Agricultural Science &amp; Technology</w:t>
      </w:r>
      <w:r w:rsidRPr="0066321E">
        <w:rPr>
          <w:rFonts w:ascii="Candara" w:hAnsi="Candara"/>
          <w:sz w:val="20"/>
          <w:szCs w:val="20"/>
        </w:rPr>
        <w:t>,</w:t>
      </w:r>
      <w:r w:rsidRPr="0066321E">
        <w:rPr>
          <w:rFonts w:ascii="Candara" w:hAnsi="Candara"/>
          <w:i/>
          <w:sz w:val="20"/>
          <w:szCs w:val="20"/>
        </w:rPr>
        <w:t xml:space="preserve"> 2</w:t>
      </w:r>
      <w:r w:rsidRPr="0066321E">
        <w:rPr>
          <w:rFonts w:ascii="Candara" w:hAnsi="Candara"/>
          <w:sz w:val="20"/>
          <w:szCs w:val="20"/>
        </w:rPr>
        <w:t xml:space="preserve">(2), 192-201. </w:t>
      </w:r>
      <w:hyperlink r:id="rId91" w:history="1">
        <w:r w:rsidRPr="0066321E">
          <w:rPr>
            <w:rStyle w:val="Hyperlink"/>
            <w:rFonts w:ascii="Candara" w:hAnsi="Candara"/>
            <w:sz w:val="20"/>
            <w:szCs w:val="20"/>
          </w:rPr>
          <w:t>https://doi.org/10.1021/acsagscitech.1c00270</w:t>
        </w:r>
      </w:hyperlink>
      <w:r w:rsidRPr="0066321E">
        <w:rPr>
          <w:rFonts w:ascii="Candara" w:hAnsi="Candara"/>
          <w:sz w:val="20"/>
          <w:szCs w:val="20"/>
        </w:rPr>
        <w:t xml:space="preserve"> </w:t>
      </w:r>
    </w:p>
    <w:p w14:paraId="7A26E3E4"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Tang, Z., Mou, R., &amp; Xu, G. (2025). Defense strategies for plant health: Disease resistance and tolerance. </w:t>
      </w:r>
      <w:r w:rsidRPr="0066321E">
        <w:rPr>
          <w:rFonts w:ascii="Candara" w:hAnsi="Candara"/>
          <w:i/>
          <w:sz w:val="20"/>
          <w:szCs w:val="20"/>
        </w:rPr>
        <w:t>The Plant Cell</w:t>
      </w:r>
      <w:r w:rsidRPr="0066321E">
        <w:rPr>
          <w:rFonts w:ascii="Candara" w:hAnsi="Candara"/>
          <w:sz w:val="20"/>
          <w:szCs w:val="20"/>
        </w:rPr>
        <w:t>,</w:t>
      </w:r>
      <w:r w:rsidRPr="0066321E">
        <w:rPr>
          <w:rFonts w:ascii="Candara" w:hAnsi="Candara"/>
          <w:i/>
          <w:sz w:val="20"/>
          <w:szCs w:val="20"/>
        </w:rPr>
        <w:t xml:space="preserve"> 37</w:t>
      </w:r>
      <w:r w:rsidRPr="0066321E">
        <w:rPr>
          <w:rFonts w:ascii="Candara" w:hAnsi="Candara"/>
          <w:sz w:val="20"/>
          <w:szCs w:val="20"/>
        </w:rPr>
        <w:t xml:space="preserve">(8), koaf186. </w:t>
      </w:r>
    </w:p>
    <w:p w14:paraId="41018CE7"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Tao, J., Bauer, D. E., &amp; Chiarle, R. (2023). Assessing and advancing the safety of CRISPR-Cas tools: from DNA to RNA editing. </w:t>
      </w:r>
      <w:r w:rsidRPr="0066321E">
        <w:rPr>
          <w:rFonts w:ascii="Candara" w:hAnsi="Candara"/>
          <w:i/>
          <w:sz w:val="20"/>
          <w:szCs w:val="20"/>
        </w:rPr>
        <w:t>Nature Communications</w:t>
      </w:r>
      <w:r w:rsidRPr="0066321E">
        <w:rPr>
          <w:rFonts w:ascii="Candara" w:hAnsi="Candara"/>
          <w:sz w:val="20"/>
          <w:szCs w:val="20"/>
        </w:rPr>
        <w:t>,</w:t>
      </w:r>
      <w:r w:rsidRPr="0066321E">
        <w:rPr>
          <w:rFonts w:ascii="Candara" w:hAnsi="Candara"/>
          <w:i/>
          <w:sz w:val="20"/>
          <w:szCs w:val="20"/>
        </w:rPr>
        <w:t xml:space="preserve"> 14</w:t>
      </w:r>
      <w:r w:rsidRPr="0066321E">
        <w:rPr>
          <w:rFonts w:ascii="Candara" w:hAnsi="Candara"/>
          <w:sz w:val="20"/>
          <w:szCs w:val="20"/>
        </w:rPr>
        <w:t xml:space="preserve">(1), 212. </w:t>
      </w:r>
      <w:hyperlink r:id="rId92" w:history="1">
        <w:r w:rsidRPr="0066321E">
          <w:rPr>
            <w:rStyle w:val="Hyperlink"/>
            <w:rFonts w:ascii="Candara" w:hAnsi="Candara"/>
            <w:sz w:val="20"/>
            <w:szCs w:val="20"/>
          </w:rPr>
          <w:t>https://doi.org/10.1038/s41467-023-35886-6</w:t>
        </w:r>
      </w:hyperlink>
      <w:r w:rsidRPr="0066321E">
        <w:rPr>
          <w:rFonts w:ascii="Candara" w:hAnsi="Candara"/>
          <w:sz w:val="20"/>
          <w:szCs w:val="20"/>
        </w:rPr>
        <w:t xml:space="preserve"> </w:t>
      </w:r>
    </w:p>
    <w:p w14:paraId="7387431F"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Thingujam, D., Tan, Z., Wang, Y., Phukan, U. J., &amp; Mukhtar, M. S. (2026). Systems-level understanding of plant immune networks through single-cell and spatial omics. </w:t>
      </w:r>
      <w:r w:rsidRPr="0066321E">
        <w:rPr>
          <w:rFonts w:ascii="Candara" w:hAnsi="Candara"/>
          <w:i/>
          <w:sz w:val="20"/>
          <w:szCs w:val="20"/>
        </w:rPr>
        <w:t>Current Opinion in Plant Biology</w:t>
      </w:r>
      <w:r w:rsidRPr="0066321E">
        <w:rPr>
          <w:rFonts w:ascii="Candara" w:hAnsi="Candara"/>
          <w:sz w:val="20"/>
          <w:szCs w:val="20"/>
        </w:rPr>
        <w:t>,</w:t>
      </w:r>
      <w:r w:rsidRPr="0066321E">
        <w:rPr>
          <w:rFonts w:ascii="Candara" w:hAnsi="Candara"/>
          <w:i/>
          <w:sz w:val="20"/>
          <w:szCs w:val="20"/>
        </w:rPr>
        <w:t xml:space="preserve"> 90</w:t>
      </w:r>
      <w:r w:rsidRPr="0066321E">
        <w:rPr>
          <w:rFonts w:ascii="Candara" w:hAnsi="Candara"/>
          <w:sz w:val="20"/>
          <w:szCs w:val="20"/>
        </w:rPr>
        <w:t xml:space="preserve">, 102870. </w:t>
      </w:r>
      <w:hyperlink r:id="rId93" w:history="1">
        <w:r w:rsidRPr="0066321E">
          <w:rPr>
            <w:rStyle w:val="Hyperlink"/>
            <w:rFonts w:ascii="Candara" w:hAnsi="Candara"/>
            <w:sz w:val="20"/>
            <w:szCs w:val="20"/>
          </w:rPr>
          <w:t>https://doi.org/https://doi.org/10.1016/j.pbi.2026.102870</w:t>
        </w:r>
      </w:hyperlink>
      <w:r w:rsidRPr="0066321E">
        <w:rPr>
          <w:rFonts w:ascii="Candara" w:hAnsi="Candara"/>
          <w:sz w:val="20"/>
          <w:szCs w:val="20"/>
        </w:rPr>
        <w:t xml:space="preserve"> </w:t>
      </w:r>
    </w:p>
    <w:p w14:paraId="2726E7DC"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Tiedje, J. M., Fu, Y., Mei, Z., Schäffer, A., Dou, Q., Amelung, W., Elsner, M., Adu-Gyamfi, J., Heng, L., Virta, M., Jiang, X., Smidt, H., Topp, E., &amp; Wang, F. (2023). Antibiotic resistance genes in food production systems support One Health opinions. </w:t>
      </w:r>
      <w:r w:rsidRPr="0066321E">
        <w:rPr>
          <w:rFonts w:ascii="Candara" w:hAnsi="Candara"/>
          <w:i/>
          <w:sz w:val="20"/>
          <w:szCs w:val="20"/>
        </w:rPr>
        <w:t>Current Opinion in Environmental Science &amp; Health</w:t>
      </w:r>
      <w:r w:rsidRPr="0066321E">
        <w:rPr>
          <w:rFonts w:ascii="Candara" w:hAnsi="Candara"/>
          <w:sz w:val="20"/>
          <w:szCs w:val="20"/>
        </w:rPr>
        <w:t>,</w:t>
      </w:r>
      <w:r w:rsidRPr="0066321E">
        <w:rPr>
          <w:rFonts w:ascii="Candara" w:hAnsi="Candara"/>
          <w:i/>
          <w:sz w:val="20"/>
          <w:szCs w:val="20"/>
        </w:rPr>
        <w:t xml:space="preserve"> 34</w:t>
      </w:r>
      <w:r w:rsidRPr="0066321E">
        <w:rPr>
          <w:rFonts w:ascii="Candara" w:hAnsi="Candara"/>
          <w:sz w:val="20"/>
          <w:szCs w:val="20"/>
        </w:rPr>
        <w:t xml:space="preserve">, 100492. </w:t>
      </w:r>
      <w:hyperlink r:id="rId94" w:history="1">
        <w:r w:rsidRPr="0066321E">
          <w:rPr>
            <w:rStyle w:val="Hyperlink"/>
            <w:rFonts w:ascii="Candara" w:hAnsi="Candara"/>
            <w:sz w:val="20"/>
            <w:szCs w:val="20"/>
          </w:rPr>
          <w:t>https://doi.org/https://doi.org/10.1016/j.coesh.2023.100492</w:t>
        </w:r>
      </w:hyperlink>
      <w:r w:rsidRPr="0066321E">
        <w:rPr>
          <w:rFonts w:ascii="Candara" w:hAnsi="Candara"/>
          <w:sz w:val="20"/>
          <w:szCs w:val="20"/>
        </w:rPr>
        <w:t xml:space="preserve"> </w:t>
      </w:r>
    </w:p>
    <w:p w14:paraId="1A99B678"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Tzec-Interián, J. A., González-Padilla, D., &amp; Góngora-Castillo, E. B. (2025). Bioinformatics perspectives on transcriptomics: A comprehensive review of bulk and single-cell RNA sequencing analyses. </w:t>
      </w:r>
      <w:r w:rsidRPr="0066321E">
        <w:rPr>
          <w:rFonts w:ascii="Candara" w:hAnsi="Candara"/>
          <w:i/>
          <w:sz w:val="20"/>
          <w:szCs w:val="20"/>
        </w:rPr>
        <w:t>Quantitative Biology</w:t>
      </w:r>
      <w:r w:rsidRPr="0066321E">
        <w:rPr>
          <w:rFonts w:ascii="Candara" w:hAnsi="Candara"/>
          <w:sz w:val="20"/>
          <w:szCs w:val="20"/>
        </w:rPr>
        <w:t>,</w:t>
      </w:r>
      <w:r w:rsidRPr="0066321E">
        <w:rPr>
          <w:rFonts w:ascii="Candara" w:hAnsi="Candara"/>
          <w:i/>
          <w:sz w:val="20"/>
          <w:szCs w:val="20"/>
        </w:rPr>
        <w:t xml:space="preserve"> 13</w:t>
      </w:r>
      <w:r w:rsidRPr="0066321E">
        <w:rPr>
          <w:rFonts w:ascii="Candara" w:hAnsi="Candara"/>
          <w:sz w:val="20"/>
          <w:szCs w:val="20"/>
        </w:rPr>
        <w:t xml:space="preserve">(2), e78. </w:t>
      </w:r>
      <w:hyperlink r:id="rId95" w:history="1">
        <w:r w:rsidRPr="0066321E">
          <w:rPr>
            <w:rStyle w:val="Hyperlink"/>
            <w:rFonts w:ascii="Candara" w:hAnsi="Candara"/>
            <w:sz w:val="20"/>
            <w:szCs w:val="20"/>
          </w:rPr>
          <w:t>https://doi.org/https://doi.org/10.1002/qub2.78</w:t>
        </w:r>
      </w:hyperlink>
      <w:r w:rsidRPr="0066321E">
        <w:rPr>
          <w:rFonts w:ascii="Candara" w:hAnsi="Candara"/>
          <w:sz w:val="20"/>
          <w:szCs w:val="20"/>
        </w:rPr>
        <w:t xml:space="preserve"> </w:t>
      </w:r>
    </w:p>
    <w:p w14:paraId="15F9E161"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Vanrobaeys, Y., Peterson, Z. J., Walsh, E. N., Chatterjee, S., Lin, L.-C., Lyons, L. C., Nickl-Jockschat, T., &amp; Abel, T. (2023). Spatial transcriptomics reveals unique gene expression changes in different brain regions after sleep deprivation. </w:t>
      </w:r>
      <w:r w:rsidRPr="0066321E">
        <w:rPr>
          <w:rFonts w:ascii="Candara" w:hAnsi="Candara"/>
          <w:i/>
          <w:sz w:val="20"/>
          <w:szCs w:val="20"/>
        </w:rPr>
        <w:t>Nature Communications</w:t>
      </w:r>
      <w:r w:rsidRPr="0066321E">
        <w:rPr>
          <w:rFonts w:ascii="Candara" w:hAnsi="Candara"/>
          <w:sz w:val="20"/>
          <w:szCs w:val="20"/>
        </w:rPr>
        <w:t>,</w:t>
      </w:r>
      <w:r w:rsidRPr="0066321E">
        <w:rPr>
          <w:rFonts w:ascii="Candara" w:hAnsi="Candara"/>
          <w:i/>
          <w:sz w:val="20"/>
          <w:szCs w:val="20"/>
        </w:rPr>
        <w:t xml:space="preserve"> 14</w:t>
      </w:r>
      <w:r w:rsidRPr="0066321E">
        <w:rPr>
          <w:rFonts w:ascii="Candara" w:hAnsi="Candara"/>
          <w:sz w:val="20"/>
          <w:szCs w:val="20"/>
        </w:rPr>
        <w:t xml:space="preserve">(1), 7095. </w:t>
      </w:r>
      <w:hyperlink r:id="rId96" w:history="1">
        <w:r w:rsidRPr="0066321E">
          <w:rPr>
            <w:rStyle w:val="Hyperlink"/>
            <w:rFonts w:ascii="Candara" w:hAnsi="Candara"/>
            <w:sz w:val="20"/>
            <w:szCs w:val="20"/>
          </w:rPr>
          <w:t>https://doi.org/10.1038/s41467-023-42751-z</w:t>
        </w:r>
      </w:hyperlink>
      <w:r w:rsidRPr="0066321E">
        <w:rPr>
          <w:rFonts w:ascii="Candara" w:hAnsi="Candara"/>
          <w:sz w:val="20"/>
          <w:szCs w:val="20"/>
        </w:rPr>
        <w:t xml:space="preserve"> </w:t>
      </w:r>
    </w:p>
    <w:p w14:paraId="2E47FA2A"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Wang, G., Si, Q., Chen, Z., Yu, Z., Guo, Z., Wang, L., Li, W., &amp; Guo, W. (2026). GbWAKL20 Phosphorylates GbNFYB8 to Modulate Verticillium Wilt Resistance in Cotton. </w:t>
      </w:r>
      <w:r w:rsidRPr="0066321E">
        <w:rPr>
          <w:rFonts w:ascii="Candara" w:hAnsi="Candara"/>
          <w:i/>
          <w:sz w:val="20"/>
          <w:szCs w:val="20"/>
        </w:rPr>
        <w:t>Advanced Science</w:t>
      </w:r>
      <w:r w:rsidRPr="0066321E">
        <w:rPr>
          <w:rFonts w:ascii="Candara" w:hAnsi="Candara"/>
          <w:sz w:val="20"/>
          <w:szCs w:val="20"/>
        </w:rPr>
        <w:t>,</w:t>
      </w:r>
      <w:r w:rsidRPr="0066321E">
        <w:rPr>
          <w:rFonts w:ascii="Candara" w:hAnsi="Candara"/>
          <w:i/>
          <w:sz w:val="20"/>
          <w:szCs w:val="20"/>
        </w:rPr>
        <w:t xml:space="preserve"> 13</w:t>
      </w:r>
      <w:r w:rsidRPr="0066321E">
        <w:rPr>
          <w:rFonts w:ascii="Candara" w:hAnsi="Candara"/>
          <w:sz w:val="20"/>
          <w:szCs w:val="20"/>
        </w:rPr>
        <w:t xml:space="preserve">(16), e15724. </w:t>
      </w:r>
      <w:hyperlink r:id="rId97" w:history="1">
        <w:r w:rsidRPr="0066321E">
          <w:rPr>
            <w:rStyle w:val="Hyperlink"/>
            <w:rFonts w:ascii="Candara" w:hAnsi="Candara"/>
            <w:sz w:val="20"/>
            <w:szCs w:val="20"/>
          </w:rPr>
          <w:t>https://doi.org/https://doi.org/10.1002/advs.202515724</w:t>
        </w:r>
      </w:hyperlink>
      <w:r w:rsidRPr="0066321E">
        <w:rPr>
          <w:rFonts w:ascii="Candara" w:hAnsi="Candara"/>
          <w:sz w:val="20"/>
          <w:szCs w:val="20"/>
        </w:rPr>
        <w:t xml:space="preserve"> </w:t>
      </w:r>
    </w:p>
    <w:p w14:paraId="1A54F261"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Wang, R., Lan, C., Benlagha, K., Camara, N. O. S., Miller, H., Kubo, M., Heegaard, S., Lee, P., Yang, L., Forsman, H., Li, X., Zhai, Z., &amp; Liu, C. (2024). The interaction of innate immune and adaptive immune system. </w:t>
      </w:r>
      <w:r w:rsidRPr="0066321E">
        <w:rPr>
          <w:rFonts w:ascii="Candara" w:hAnsi="Candara"/>
          <w:i/>
          <w:sz w:val="20"/>
          <w:szCs w:val="20"/>
        </w:rPr>
        <w:t>MedComm</w:t>
      </w:r>
      <w:r w:rsidRPr="0066321E">
        <w:rPr>
          <w:rFonts w:ascii="Candara" w:hAnsi="Candara"/>
          <w:sz w:val="20"/>
          <w:szCs w:val="20"/>
        </w:rPr>
        <w:t>,</w:t>
      </w:r>
      <w:r w:rsidRPr="0066321E">
        <w:rPr>
          <w:rFonts w:ascii="Candara" w:hAnsi="Candara"/>
          <w:i/>
          <w:sz w:val="20"/>
          <w:szCs w:val="20"/>
        </w:rPr>
        <w:t xml:space="preserve"> 5</w:t>
      </w:r>
      <w:r w:rsidRPr="0066321E">
        <w:rPr>
          <w:rFonts w:ascii="Candara" w:hAnsi="Candara"/>
          <w:sz w:val="20"/>
          <w:szCs w:val="20"/>
        </w:rPr>
        <w:t xml:space="preserve">(10), e714. </w:t>
      </w:r>
      <w:hyperlink r:id="rId98" w:history="1">
        <w:r w:rsidRPr="0066321E">
          <w:rPr>
            <w:rStyle w:val="Hyperlink"/>
            <w:rFonts w:ascii="Candara" w:hAnsi="Candara"/>
            <w:sz w:val="20"/>
            <w:szCs w:val="20"/>
          </w:rPr>
          <w:t>https://doi.org/https://doi.org/10.1002/mco2.714</w:t>
        </w:r>
      </w:hyperlink>
      <w:r w:rsidRPr="0066321E">
        <w:rPr>
          <w:rFonts w:ascii="Candara" w:hAnsi="Candara"/>
          <w:sz w:val="20"/>
          <w:szCs w:val="20"/>
        </w:rPr>
        <w:t xml:space="preserve"> </w:t>
      </w:r>
    </w:p>
    <w:p w14:paraId="47E333E7"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Wang, Y., Long, Y., Jin, S., Yang, Y., Fang, S., Wu, X., Liu, T., &amp; Ai, X. (2026). Integrative Genome-Wide Association and Transcriptome Analyses Identify Candidate Genes for Salt Tolerance During Cotton Germination. </w:t>
      </w:r>
      <w:r w:rsidRPr="0066321E">
        <w:rPr>
          <w:rFonts w:ascii="Candara" w:hAnsi="Candara"/>
          <w:i/>
          <w:sz w:val="20"/>
          <w:szCs w:val="20"/>
        </w:rPr>
        <w:t>Plants</w:t>
      </w:r>
      <w:r w:rsidRPr="0066321E">
        <w:rPr>
          <w:rFonts w:ascii="Candara" w:hAnsi="Candara"/>
          <w:sz w:val="20"/>
          <w:szCs w:val="20"/>
        </w:rPr>
        <w:t>,</w:t>
      </w:r>
      <w:r w:rsidRPr="0066321E">
        <w:rPr>
          <w:rFonts w:ascii="Candara" w:hAnsi="Candara"/>
          <w:i/>
          <w:sz w:val="20"/>
          <w:szCs w:val="20"/>
        </w:rPr>
        <w:t xml:space="preserve"> 15</w:t>
      </w:r>
      <w:r w:rsidRPr="0066321E">
        <w:rPr>
          <w:rFonts w:ascii="Candara" w:hAnsi="Candara"/>
          <w:sz w:val="20"/>
          <w:szCs w:val="20"/>
        </w:rPr>
        <w:t xml:space="preserve">(6), 937. </w:t>
      </w:r>
      <w:hyperlink r:id="rId99" w:history="1">
        <w:r w:rsidRPr="0066321E">
          <w:rPr>
            <w:rStyle w:val="Hyperlink"/>
            <w:rFonts w:ascii="Candara" w:hAnsi="Candara"/>
            <w:sz w:val="20"/>
            <w:szCs w:val="20"/>
          </w:rPr>
          <w:t>https://doi.org/10.3390/plants15060937</w:t>
        </w:r>
      </w:hyperlink>
      <w:r w:rsidRPr="0066321E">
        <w:rPr>
          <w:rFonts w:ascii="Candara" w:hAnsi="Candara"/>
          <w:sz w:val="20"/>
          <w:szCs w:val="20"/>
        </w:rPr>
        <w:t xml:space="preserve"> </w:t>
      </w:r>
    </w:p>
    <w:p w14:paraId="724AF563"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Wang, Y., Pruitt, R. N., Nürnberger, T., &amp; Wang, Y. (2022). Evasion of plant immunity by microbial pathogens. </w:t>
      </w:r>
      <w:r w:rsidRPr="0066321E">
        <w:rPr>
          <w:rFonts w:ascii="Candara" w:hAnsi="Candara"/>
          <w:i/>
          <w:sz w:val="20"/>
          <w:szCs w:val="20"/>
        </w:rPr>
        <w:t>Nature Reviews Microbiology</w:t>
      </w:r>
      <w:r w:rsidRPr="0066321E">
        <w:rPr>
          <w:rFonts w:ascii="Candara" w:hAnsi="Candara"/>
          <w:sz w:val="20"/>
          <w:szCs w:val="20"/>
        </w:rPr>
        <w:t>,</w:t>
      </w:r>
      <w:r w:rsidRPr="0066321E">
        <w:rPr>
          <w:rFonts w:ascii="Candara" w:hAnsi="Candara"/>
          <w:i/>
          <w:sz w:val="20"/>
          <w:szCs w:val="20"/>
        </w:rPr>
        <w:t xml:space="preserve"> 20</w:t>
      </w:r>
      <w:r w:rsidRPr="0066321E">
        <w:rPr>
          <w:rFonts w:ascii="Candara" w:hAnsi="Candara"/>
          <w:sz w:val="20"/>
          <w:szCs w:val="20"/>
        </w:rPr>
        <w:t xml:space="preserve">(8), 449-464. </w:t>
      </w:r>
      <w:hyperlink r:id="rId100" w:history="1">
        <w:r w:rsidRPr="0066321E">
          <w:rPr>
            <w:rStyle w:val="Hyperlink"/>
            <w:rFonts w:ascii="Candara" w:hAnsi="Candara"/>
            <w:sz w:val="20"/>
            <w:szCs w:val="20"/>
          </w:rPr>
          <w:t>https://doi.org/10.1038/s41579-022-00710-3</w:t>
        </w:r>
      </w:hyperlink>
      <w:r w:rsidRPr="0066321E">
        <w:rPr>
          <w:rFonts w:ascii="Candara" w:hAnsi="Candara"/>
          <w:sz w:val="20"/>
          <w:szCs w:val="20"/>
        </w:rPr>
        <w:t xml:space="preserve"> </w:t>
      </w:r>
    </w:p>
    <w:p w14:paraId="40B4DA50"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Wang, Y., Zafar, N., Ali, Q., Manghwar, H., Wang, G., Yu, L., Ding, X., Ding, F., Hong, N., Wang, G., &amp; Jin, S. (2022). CRISPR/Cas Genome Editing Technologies for Plant Improvement against Biotic and Abiotic Stresses: Advances, Limitations, and Future Perspectives. </w:t>
      </w:r>
      <w:r w:rsidRPr="0066321E">
        <w:rPr>
          <w:rFonts w:ascii="Candara" w:hAnsi="Candara"/>
          <w:i/>
          <w:sz w:val="20"/>
          <w:szCs w:val="20"/>
        </w:rPr>
        <w:t>Cells</w:t>
      </w:r>
      <w:r w:rsidRPr="0066321E">
        <w:rPr>
          <w:rFonts w:ascii="Candara" w:hAnsi="Candara"/>
          <w:sz w:val="20"/>
          <w:szCs w:val="20"/>
        </w:rPr>
        <w:t>,</w:t>
      </w:r>
      <w:r w:rsidRPr="0066321E">
        <w:rPr>
          <w:rFonts w:ascii="Candara" w:hAnsi="Candara"/>
          <w:i/>
          <w:sz w:val="20"/>
          <w:szCs w:val="20"/>
        </w:rPr>
        <w:t xml:space="preserve"> 11</w:t>
      </w:r>
      <w:r w:rsidRPr="0066321E">
        <w:rPr>
          <w:rFonts w:ascii="Candara" w:hAnsi="Candara"/>
          <w:sz w:val="20"/>
          <w:szCs w:val="20"/>
        </w:rPr>
        <w:t xml:space="preserve">(23), 3928. </w:t>
      </w:r>
      <w:hyperlink r:id="rId101" w:history="1">
        <w:r w:rsidRPr="0066321E">
          <w:rPr>
            <w:rStyle w:val="Hyperlink"/>
            <w:rFonts w:ascii="Candara" w:hAnsi="Candara"/>
            <w:sz w:val="20"/>
            <w:szCs w:val="20"/>
          </w:rPr>
          <w:t>https://www.mdpi.com/2073-4409/11/23/3928</w:t>
        </w:r>
      </w:hyperlink>
      <w:r w:rsidRPr="0066321E">
        <w:rPr>
          <w:rFonts w:ascii="Candara" w:hAnsi="Candara"/>
          <w:sz w:val="20"/>
          <w:szCs w:val="20"/>
        </w:rPr>
        <w:t xml:space="preserve"> </w:t>
      </w:r>
    </w:p>
    <w:p w14:paraId="752818EF"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Wang, Y., Zhai, Y., Zhang, M., Song, C., Zhang, Y., &amp; Zhang, G. (2024). Escaping from CRISPR–Cas-mediated knockout: the facts, mechanisms, and applications. </w:t>
      </w:r>
      <w:r w:rsidRPr="0066321E">
        <w:rPr>
          <w:rFonts w:ascii="Candara" w:hAnsi="Candara"/>
          <w:i/>
          <w:sz w:val="20"/>
          <w:szCs w:val="20"/>
        </w:rPr>
        <w:t>Cellular &amp; Molecular Biology Letters</w:t>
      </w:r>
      <w:r w:rsidRPr="0066321E">
        <w:rPr>
          <w:rFonts w:ascii="Candara" w:hAnsi="Candara"/>
          <w:sz w:val="20"/>
          <w:szCs w:val="20"/>
        </w:rPr>
        <w:t>,</w:t>
      </w:r>
      <w:r w:rsidRPr="0066321E">
        <w:rPr>
          <w:rFonts w:ascii="Candara" w:hAnsi="Candara"/>
          <w:i/>
          <w:sz w:val="20"/>
          <w:szCs w:val="20"/>
        </w:rPr>
        <w:t xml:space="preserve"> 29</w:t>
      </w:r>
      <w:r w:rsidRPr="0066321E">
        <w:rPr>
          <w:rFonts w:ascii="Candara" w:hAnsi="Candara"/>
          <w:sz w:val="20"/>
          <w:szCs w:val="20"/>
        </w:rPr>
        <w:t xml:space="preserve">(1), 48. </w:t>
      </w:r>
      <w:hyperlink r:id="rId102" w:history="1">
        <w:r w:rsidRPr="0066321E">
          <w:rPr>
            <w:rStyle w:val="Hyperlink"/>
            <w:rFonts w:ascii="Candara" w:hAnsi="Candara"/>
            <w:sz w:val="20"/>
            <w:szCs w:val="20"/>
          </w:rPr>
          <w:t>https://doi.org/10.1186/s11658-024-00565-x</w:t>
        </w:r>
      </w:hyperlink>
      <w:r w:rsidRPr="0066321E">
        <w:rPr>
          <w:rFonts w:ascii="Candara" w:hAnsi="Candara"/>
          <w:sz w:val="20"/>
          <w:szCs w:val="20"/>
        </w:rPr>
        <w:t xml:space="preserve"> </w:t>
      </w:r>
    </w:p>
    <w:p w14:paraId="1E517BEB"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Wei, R., Qiao, J., Cui, D., Pan, Q., &amp; Guo, L. (2022). Screening and Identification of Hub Genes in the Development of Early Diabetic Kidney Disease Based on Weighted Gene Co-Expression Network Analysis [Original Research]. </w:t>
      </w:r>
      <w:r w:rsidRPr="0066321E">
        <w:rPr>
          <w:rFonts w:ascii="Candara" w:hAnsi="Candara"/>
          <w:i/>
          <w:sz w:val="20"/>
          <w:szCs w:val="20"/>
        </w:rPr>
        <w:t>Frontiers in Endocrinology</w:t>
      </w:r>
      <w:r w:rsidRPr="0066321E">
        <w:rPr>
          <w:rFonts w:ascii="Candara" w:hAnsi="Candara"/>
          <w:sz w:val="20"/>
          <w:szCs w:val="20"/>
        </w:rPr>
        <w:t>,</w:t>
      </w:r>
      <w:r w:rsidRPr="0066321E">
        <w:rPr>
          <w:rFonts w:ascii="Candara" w:hAnsi="Candara"/>
          <w:i/>
          <w:sz w:val="20"/>
          <w:szCs w:val="20"/>
        </w:rPr>
        <w:t xml:space="preserve"> Volume 13 - 2022</w:t>
      </w:r>
      <w:r w:rsidRPr="0066321E">
        <w:rPr>
          <w:rFonts w:ascii="Candara" w:hAnsi="Candara"/>
          <w:sz w:val="20"/>
          <w:szCs w:val="20"/>
        </w:rPr>
        <w:t xml:space="preserve">. </w:t>
      </w:r>
      <w:hyperlink r:id="rId103" w:history="1">
        <w:r w:rsidRPr="0066321E">
          <w:rPr>
            <w:rStyle w:val="Hyperlink"/>
            <w:rFonts w:ascii="Candara" w:hAnsi="Candara"/>
            <w:sz w:val="20"/>
            <w:szCs w:val="20"/>
          </w:rPr>
          <w:t>https://doi.org/10.3389/fendo.2022.883658</w:t>
        </w:r>
      </w:hyperlink>
      <w:r w:rsidRPr="0066321E">
        <w:rPr>
          <w:rFonts w:ascii="Candara" w:hAnsi="Candara"/>
          <w:sz w:val="20"/>
          <w:szCs w:val="20"/>
        </w:rPr>
        <w:t xml:space="preserve"> </w:t>
      </w:r>
    </w:p>
    <w:p w14:paraId="370B99D9"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Wilson, H., Bar, I., Hobson, K., Vaghefi, N., Petronaitis, T., &amp; Ford, R. (2025). Integrated Disease Management, Adaptation and Genomics of Fungal Plant Pathogens in Cropping Systems. </w:t>
      </w:r>
      <w:r w:rsidRPr="0066321E">
        <w:rPr>
          <w:rFonts w:ascii="Candara" w:hAnsi="Candara"/>
          <w:i/>
          <w:sz w:val="20"/>
          <w:szCs w:val="20"/>
        </w:rPr>
        <w:t>Plant Pathology</w:t>
      </w:r>
      <w:r w:rsidRPr="0066321E">
        <w:rPr>
          <w:rFonts w:ascii="Candara" w:hAnsi="Candara"/>
          <w:sz w:val="20"/>
          <w:szCs w:val="20"/>
        </w:rPr>
        <w:t>,</w:t>
      </w:r>
      <w:r w:rsidRPr="0066321E">
        <w:rPr>
          <w:rFonts w:ascii="Candara" w:hAnsi="Candara"/>
          <w:i/>
          <w:sz w:val="20"/>
          <w:szCs w:val="20"/>
        </w:rPr>
        <w:t xml:space="preserve"> 74</w:t>
      </w:r>
      <w:r w:rsidRPr="0066321E">
        <w:rPr>
          <w:rFonts w:ascii="Candara" w:hAnsi="Candara"/>
          <w:sz w:val="20"/>
          <w:szCs w:val="20"/>
        </w:rPr>
        <w:t xml:space="preserve">(6), 1445-1469. </w:t>
      </w:r>
      <w:hyperlink r:id="rId104" w:history="1">
        <w:r w:rsidRPr="0066321E">
          <w:rPr>
            <w:rStyle w:val="Hyperlink"/>
            <w:rFonts w:ascii="Candara" w:hAnsi="Candara"/>
            <w:sz w:val="20"/>
            <w:szCs w:val="20"/>
          </w:rPr>
          <w:t>https://doi.org/https://doi.org/10.1111/ppa.14114</w:t>
        </w:r>
      </w:hyperlink>
      <w:r w:rsidRPr="0066321E">
        <w:rPr>
          <w:rFonts w:ascii="Candara" w:hAnsi="Candara"/>
          <w:sz w:val="20"/>
          <w:szCs w:val="20"/>
        </w:rPr>
        <w:t xml:space="preserve"> </w:t>
      </w:r>
    </w:p>
    <w:p w14:paraId="5319EB81"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Wu, Q., Han, Y., Wu, X., Wang, Y., Su, Q., Shen, Y., Guan, K., Michal, J. J., Jiang, Z., Liu, B., &amp; Zhou, X. (2022). Integrated time-series transcriptomic and metabolomic analyses reveal different inflammatory and adaptive </w:t>
      </w:r>
      <w:r w:rsidRPr="0066321E">
        <w:rPr>
          <w:rFonts w:ascii="Candara" w:hAnsi="Candara"/>
          <w:sz w:val="20"/>
          <w:szCs w:val="20"/>
        </w:rPr>
        <w:lastRenderedPageBreak/>
        <w:t xml:space="preserve">immune responses contributing to host resistance to PRRSV [Original Research]. </w:t>
      </w:r>
      <w:r w:rsidRPr="0066321E">
        <w:rPr>
          <w:rFonts w:ascii="Candara" w:hAnsi="Candara"/>
          <w:i/>
          <w:sz w:val="20"/>
          <w:szCs w:val="20"/>
        </w:rPr>
        <w:t>Frontiers in Immunology</w:t>
      </w:r>
      <w:r w:rsidRPr="0066321E">
        <w:rPr>
          <w:rFonts w:ascii="Candara" w:hAnsi="Candara"/>
          <w:sz w:val="20"/>
          <w:szCs w:val="20"/>
        </w:rPr>
        <w:t>,</w:t>
      </w:r>
      <w:r w:rsidRPr="0066321E">
        <w:rPr>
          <w:rFonts w:ascii="Candara" w:hAnsi="Candara"/>
          <w:i/>
          <w:sz w:val="20"/>
          <w:szCs w:val="20"/>
        </w:rPr>
        <w:t xml:space="preserve"> Volume 13 - 2022</w:t>
      </w:r>
      <w:r w:rsidRPr="0066321E">
        <w:rPr>
          <w:rFonts w:ascii="Candara" w:hAnsi="Candara"/>
          <w:sz w:val="20"/>
          <w:szCs w:val="20"/>
        </w:rPr>
        <w:t xml:space="preserve">. </w:t>
      </w:r>
      <w:hyperlink r:id="rId105" w:history="1">
        <w:r w:rsidRPr="0066321E">
          <w:rPr>
            <w:rStyle w:val="Hyperlink"/>
            <w:rFonts w:ascii="Candara" w:hAnsi="Candara"/>
            <w:sz w:val="20"/>
            <w:szCs w:val="20"/>
          </w:rPr>
          <w:t>https://doi.org/10.3389/fimmu.2022.960709</w:t>
        </w:r>
      </w:hyperlink>
      <w:r w:rsidRPr="0066321E">
        <w:rPr>
          <w:rFonts w:ascii="Candara" w:hAnsi="Candara"/>
          <w:sz w:val="20"/>
          <w:szCs w:val="20"/>
        </w:rPr>
        <w:t xml:space="preserve"> </w:t>
      </w:r>
    </w:p>
    <w:p w14:paraId="246C8D41" w14:textId="77777777" w:rsidR="002962D2" w:rsidRPr="0066321E" w:rsidRDefault="002962D2" w:rsidP="0066321E">
      <w:pPr>
        <w:pStyle w:val="EndNoteBibliography"/>
        <w:spacing w:after="0"/>
        <w:jc w:val="both"/>
        <w:rPr>
          <w:rFonts w:ascii="Candara" w:hAnsi="Candara"/>
          <w:sz w:val="20"/>
          <w:szCs w:val="20"/>
          <w:lang w:val="pt-BR"/>
        </w:rPr>
      </w:pPr>
      <w:r w:rsidRPr="0066321E">
        <w:rPr>
          <w:rFonts w:ascii="Candara" w:hAnsi="Candara"/>
          <w:sz w:val="20"/>
          <w:szCs w:val="20"/>
        </w:rPr>
        <w:t xml:space="preserve">Xuan, L., Ju, Z., Skonieczna, M., Zhou, P.-K., &amp; Huang, R. (2023). Nanoparticles-induced potential toxicity on human health: Applications, toxicity mechanisms, and evaluation models. </w:t>
      </w:r>
      <w:r w:rsidRPr="0066321E">
        <w:rPr>
          <w:rFonts w:ascii="Candara" w:hAnsi="Candara"/>
          <w:i/>
          <w:sz w:val="20"/>
          <w:szCs w:val="20"/>
          <w:lang w:val="pt-BR"/>
        </w:rPr>
        <w:t>MedComm</w:t>
      </w:r>
      <w:r w:rsidRPr="0066321E">
        <w:rPr>
          <w:rFonts w:ascii="Candara" w:hAnsi="Candara"/>
          <w:sz w:val="20"/>
          <w:szCs w:val="20"/>
          <w:lang w:val="pt-BR"/>
        </w:rPr>
        <w:t>,</w:t>
      </w:r>
      <w:r w:rsidRPr="0066321E">
        <w:rPr>
          <w:rFonts w:ascii="Candara" w:hAnsi="Candara"/>
          <w:i/>
          <w:sz w:val="20"/>
          <w:szCs w:val="20"/>
          <w:lang w:val="pt-BR"/>
        </w:rPr>
        <w:t xml:space="preserve"> 4</w:t>
      </w:r>
      <w:r w:rsidRPr="0066321E">
        <w:rPr>
          <w:rFonts w:ascii="Candara" w:hAnsi="Candara"/>
          <w:sz w:val="20"/>
          <w:szCs w:val="20"/>
          <w:lang w:val="pt-BR"/>
        </w:rPr>
        <w:t xml:space="preserve">(4), e327. </w:t>
      </w:r>
      <w:hyperlink r:id="rId106" w:history="1">
        <w:r w:rsidRPr="0066321E">
          <w:rPr>
            <w:rStyle w:val="Hyperlink"/>
            <w:rFonts w:ascii="Candara" w:hAnsi="Candara"/>
            <w:sz w:val="20"/>
            <w:szCs w:val="20"/>
            <w:lang w:val="pt-BR"/>
          </w:rPr>
          <w:t>https://doi.org/https://doi.org/10.1002/mco2.327</w:t>
        </w:r>
      </w:hyperlink>
      <w:r w:rsidRPr="0066321E">
        <w:rPr>
          <w:rFonts w:ascii="Candara" w:hAnsi="Candara"/>
          <w:sz w:val="20"/>
          <w:szCs w:val="20"/>
          <w:lang w:val="pt-BR"/>
        </w:rPr>
        <w:t xml:space="preserve"> </w:t>
      </w:r>
    </w:p>
    <w:p w14:paraId="7373C4D6"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lang w:val="pt-BR"/>
        </w:rPr>
        <w:t xml:space="preserve">Yadav, A. K., Banerjee, S. K., Das, B., &amp; Chaudhary, K. (2022). </w:t>
      </w:r>
      <w:r w:rsidRPr="0066321E">
        <w:rPr>
          <w:rFonts w:ascii="Candara" w:hAnsi="Candara"/>
          <w:sz w:val="20"/>
          <w:szCs w:val="20"/>
        </w:rPr>
        <w:t xml:space="preserve">Editorial: Systems Biology and Omics Approaches for Understanding Complex Disease Biology [Editorial]. </w:t>
      </w:r>
      <w:r w:rsidRPr="0066321E">
        <w:rPr>
          <w:rFonts w:ascii="Candara" w:hAnsi="Candara"/>
          <w:i/>
          <w:sz w:val="20"/>
          <w:szCs w:val="20"/>
        </w:rPr>
        <w:t>Frontiers in Genetics</w:t>
      </w:r>
      <w:r w:rsidRPr="0066321E">
        <w:rPr>
          <w:rFonts w:ascii="Candara" w:hAnsi="Candara"/>
          <w:sz w:val="20"/>
          <w:szCs w:val="20"/>
        </w:rPr>
        <w:t>,</w:t>
      </w:r>
      <w:r w:rsidRPr="0066321E">
        <w:rPr>
          <w:rFonts w:ascii="Candara" w:hAnsi="Candara"/>
          <w:i/>
          <w:sz w:val="20"/>
          <w:szCs w:val="20"/>
        </w:rPr>
        <w:t xml:space="preserve"> Volume 13 - 2022</w:t>
      </w:r>
      <w:r w:rsidRPr="0066321E">
        <w:rPr>
          <w:rFonts w:ascii="Candara" w:hAnsi="Candara"/>
          <w:sz w:val="20"/>
          <w:szCs w:val="20"/>
        </w:rPr>
        <w:t xml:space="preserve">. </w:t>
      </w:r>
      <w:hyperlink r:id="rId107" w:history="1">
        <w:r w:rsidRPr="0066321E">
          <w:rPr>
            <w:rStyle w:val="Hyperlink"/>
            <w:rFonts w:ascii="Candara" w:hAnsi="Candara"/>
            <w:sz w:val="20"/>
            <w:szCs w:val="20"/>
          </w:rPr>
          <w:t>https://doi.org/10.3389/fgene.2022.896818</w:t>
        </w:r>
      </w:hyperlink>
      <w:r w:rsidRPr="0066321E">
        <w:rPr>
          <w:rFonts w:ascii="Candara" w:hAnsi="Candara"/>
          <w:sz w:val="20"/>
          <w:szCs w:val="20"/>
        </w:rPr>
        <w:t xml:space="preserve"> </w:t>
      </w:r>
    </w:p>
    <w:p w14:paraId="3B5337DC"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Yang, F., Wu, C., Zhu, G., Yang, Q., Wang, K., &amp; Li, Y. (2022). An integrated transcriptomic and metabolomic analysis for changes in rose plant induced by rose powdery mildew and exogenous salicylic acid. </w:t>
      </w:r>
      <w:r w:rsidRPr="0066321E">
        <w:rPr>
          <w:rFonts w:ascii="Candara" w:hAnsi="Candara"/>
          <w:i/>
          <w:sz w:val="20"/>
          <w:szCs w:val="20"/>
        </w:rPr>
        <w:t>Genomics</w:t>
      </w:r>
      <w:r w:rsidRPr="0066321E">
        <w:rPr>
          <w:rFonts w:ascii="Candara" w:hAnsi="Candara"/>
          <w:sz w:val="20"/>
          <w:szCs w:val="20"/>
        </w:rPr>
        <w:t>,</w:t>
      </w:r>
      <w:r w:rsidRPr="0066321E">
        <w:rPr>
          <w:rFonts w:ascii="Candara" w:hAnsi="Candara"/>
          <w:i/>
          <w:sz w:val="20"/>
          <w:szCs w:val="20"/>
        </w:rPr>
        <w:t xml:space="preserve"> 114</w:t>
      </w:r>
      <w:r w:rsidRPr="0066321E">
        <w:rPr>
          <w:rFonts w:ascii="Candara" w:hAnsi="Candara"/>
          <w:sz w:val="20"/>
          <w:szCs w:val="20"/>
        </w:rPr>
        <w:t xml:space="preserve">(6), 110516. </w:t>
      </w:r>
      <w:hyperlink r:id="rId108" w:history="1">
        <w:r w:rsidRPr="0066321E">
          <w:rPr>
            <w:rStyle w:val="Hyperlink"/>
            <w:rFonts w:ascii="Candara" w:hAnsi="Candara"/>
            <w:sz w:val="20"/>
            <w:szCs w:val="20"/>
          </w:rPr>
          <w:t>https://doi.org/https://doi.org/10.1016/j.ygeno.2022.110516</w:t>
        </w:r>
      </w:hyperlink>
      <w:r w:rsidRPr="0066321E">
        <w:rPr>
          <w:rFonts w:ascii="Candara" w:hAnsi="Candara"/>
          <w:sz w:val="20"/>
          <w:szCs w:val="20"/>
        </w:rPr>
        <w:t xml:space="preserve"> </w:t>
      </w:r>
    </w:p>
    <w:p w14:paraId="0292BEFA"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Yang, J., Liu, Y., Muñoz-Zavala, C., Zheng, H., Dhliwayo, T., Vicente, F. S., Hu, G., Zhang, X., &amp; Sun, X. (2026). Integrating Genetic Mapping and Genomic Prediction to Elucidate the Genetic Architecture of Fusarium Ear Rot Resistance in Tropical Maize. </w:t>
      </w:r>
      <w:r w:rsidRPr="0066321E">
        <w:rPr>
          <w:rFonts w:ascii="Candara" w:hAnsi="Candara"/>
          <w:i/>
          <w:sz w:val="20"/>
          <w:szCs w:val="20"/>
        </w:rPr>
        <w:t>Agronomy</w:t>
      </w:r>
      <w:r w:rsidRPr="0066321E">
        <w:rPr>
          <w:rFonts w:ascii="Candara" w:hAnsi="Candara"/>
          <w:sz w:val="20"/>
          <w:szCs w:val="20"/>
        </w:rPr>
        <w:t>,</w:t>
      </w:r>
      <w:r w:rsidRPr="0066321E">
        <w:rPr>
          <w:rFonts w:ascii="Candara" w:hAnsi="Candara"/>
          <w:i/>
          <w:sz w:val="20"/>
          <w:szCs w:val="20"/>
        </w:rPr>
        <w:t xml:space="preserve"> 16</w:t>
      </w:r>
      <w:r w:rsidRPr="0066321E">
        <w:rPr>
          <w:rFonts w:ascii="Candara" w:hAnsi="Candara"/>
          <w:sz w:val="20"/>
          <w:szCs w:val="20"/>
        </w:rPr>
        <w:t xml:space="preserve">(7), 719. </w:t>
      </w:r>
      <w:hyperlink r:id="rId109" w:history="1">
        <w:r w:rsidRPr="0066321E">
          <w:rPr>
            <w:rStyle w:val="Hyperlink"/>
            <w:rFonts w:ascii="Candara" w:hAnsi="Candara"/>
            <w:sz w:val="20"/>
            <w:szCs w:val="20"/>
          </w:rPr>
          <w:t>https://www.mdpi.com/2073-4395/16/7/719</w:t>
        </w:r>
      </w:hyperlink>
      <w:r w:rsidRPr="0066321E">
        <w:rPr>
          <w:rFonts w:ascii="Candara" w:hAnsi="Candara"/>
          <w:sz w:val="20"/>
          <w:szCs w:val="20"/>
        </w:rPr>
        <w:t xml:space="preserve"> </w:t>
      </w:r>
    </w:p>
    <w:p w14:paraId="52B53E4F"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Yang, L., Li, H., Han, Y., Song, Y., Wei, M., Fang, M., &amp; Sun, Y. (2023). CRISPR/Cas9 Gene Editing System Can Alter Gene Expression and Induce DNA Damage Accumulation. </w:t>
      </w:r>
      <w:r w:rsidRPr="0066321E">
        <w:rPr>
          <w:rFonts w:ascii="Candara" w:hAnsi="Candara"/>
          <w:i/>
          <w:sz w:val="20"/>
          <w:szCs w:val="20"/>
        </w:rPr>
        <w:t>Genes</w:t>
      </w:r>
      <w:r w:rsidRPr="0066321E">
        <w:rPr>
          <w:rFonts w:ascii="Candara" w:hAnsi="Candara"/>
          <w:sz w:val="20"/>
          <w:szCs w:val="20"/>
        </w:rPr>
        <w:t>,</w:t>
      </w:r>
      <w:r w:rsidRPr="0066321E">
        <w:rPr>
          <w:rFonts w:ascii="Candara" w:hAnsi="Candara"/>
          <w:i/>
          <w:sz w:val="20"/>
          <w:szCs w:val="20"/>
        </w:rPr>
        <w:t xml:space="preserve"> 14</w:t>
      </w:r>
      <w:r w:rsidRPr="0066321E">
        <w:rPr>
          <w:rFonts w:ascii="Candara" w:hAnsi="Candara"/>
          <w:sz w:val="20"/>
          <w:szCs w:val="20"/>
        </w:rPr>
        <w:t xml:space="preserve">(4), 806. </w:t>
      </w:r>
      <w:hyperlink r:id="rId110" w:history="1">
        <w:r w:rsidRPr="0066321E">
          <w:rPr>
            <w:rStyle w:val="Hyperlink"/>
            <w:rFonts w:ascii="Candara" w:hAnsi="Candara"/>
            <w:sz w:val="20"/>
            <w:szCs w:val="20"/>
          </w:rPr>
          <w:t>https://www.mdpi.com/2073-4425/14/4/806</w:t>
        </w:r>
      </w:hyperlink>
      <w:r w:rsidRPr="0066321E">
        <w:rPr>
          <w:rFonts w:ascii="Candara" w:hAnsi="Candara"/>
          <w:sz w:val="20"/>
          <w:szCs w:val="20"/>
        </w:rPr>
        <w:t xml:space="preserve"> </w:t>
      </w:r>
    </w:p>
    <w:p w14:paraId="0E242D1A"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Younas, M. U., Ahmad, I., Qasim, M., Ijaz, Z., Rajput, N., Parveen Memon, S., UL Zaman, W., Jiang, X., Zhang, Y., &amp; Zuo, S. (2024). Progress in the Management of Rice Blast Disease: The Role of Avirulence and Resistance Genes through Gene-for-Gene Interactions. </w:t>
      </w:r>
      <w:r w:rsidRPr="0066321E">
        <w:rPr>
          <w:rFonts w:ascii="Candara" w:hAnsi="Candara"/>
          <w:i/>
          <w:sz w:val="20"/>
          <w:szCs w:val="20"/>
        </w:rPr>
        <w:t>Agronomy</w:t>
      </w:r>
      <w:r w:rsidRPr="0066321E">
        <w:rPr>
          <w:rFonts w:ascii="Candara" w:hAnsi="Candara"/>
          <w:sz w:val="20"/>
          <w:szCs w:val="20"/>
        </w:rPr>
        <w:t>,</w:t>
      </w:r>
      <w:r w:rsidRPr="0066321E">
        <w:rPr>
          <w:rFonts w:ascii="Candara" w:hAnsi="Candara"/>
          <w:i/>
          <w:sz w:val="20"/>
          <w:szCs w:val="20"/>
        </w:rPr>
        <w:t xml:space="preserve"> 14</w:t>
      </w:r>
      <w:r w:rsidRPr="0066321E">
        <w:rPr>
          <w:rFonts w:ascii="Candara" w:hAnsi="Candara"/>
          <w:sz w:val="20"/>
          <w:szCs w:val="20"/>
        </w:rPr>
        <w:t xml:space="preserve">(1), 163. </w:t>
      </w:r>
      <w:hyperlink r:id="rId111" w:history="1">
        <w:r w:rsidRPr="0066321E">
          <w:rPr>
            <w:rStyle w:val="Hyperlink"/>
            <w:rFonts w:ascii="Candara" w:hAnsi="Candara"/>
            <w:sz w:val="20"/>
            <w:szCs w:val="20"/>
          </w:rPr>
          <w:t>https://www.mdpi.com/2073-4395/14/1/163</w:t>
        </w:r>
      </w:hyperlink>
      <w:r w:rsidRPr="0066321E">
        <w:rPr>
          <w:rFonts w:ascii="Candara" w:hAnsi="Candara"/>
          <w:sz w:val="20"/>
          <w:szCs w:val="20"/>
        </w:rPr>
        <w:t xml:space="preserve"> </w:t>
      </w:r>
    </w:p>
    <w:p w14:paraId="1CE3051B"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Yu, M., Ai, L., Wang, B., Lian, S., Ip, L., Liu, J., Li, L., Tsai, S. Q., Kleinstiver, B. P., &amp; Zheng, Z. (2026). GenomePAM directs PAM characterization and engineering of CRISPR-Cas nucleases using mammalian genome repeats. </w:t>
      </w:r>
      <w:r w:rsidRPr="0066321E">
        <w:rPr>
          <w:rFonts w:ascii="Candara" w:hAnsi="Candara"/>
          <w:i/>
          <w:sz w:val="20"/>
          <w:szCs w:val="20"/>
        </w:rPr>
        <w:t>Nature Biomedical Engineering</w:t>
      </w:r>
      <w:r w:rsidRPr="0066321E">
        <w:rPr>
          <w:rFonts w:ascii="Candara" w:hAnsi="Candara"/>
          <w:sz w:val="20"/>
          <w:szCs w:val="20"/>
        </w:rPr>
        <w:t>,</w:t>
      </w:r>
      <w:r w:rsidRPr="0066321E">
        <w:rPr>
          <w:rFonts w:ascii="Candara" w:hAnsi="Candara"/>
          <w:i/>
          <w:sz w:val="20"/>
          <w:szCs w:val="20"/>
        </w:rPr>
        <w:t xml:space="preserve"> 10</w:t>
      </w:r>
      <w:r w:rsidRPr="0066321E">
        <w:rPr>
          <w:rFonts w:ascii="Candara" w:hAnsi="Candara"/>
          <w:sz w:val="20"/>
          <w:szCs w:val="20"/>
        </w:rPr>
        <w:t xml:space="preserve">(2), 231-244. </w:t>
      </w:r>
      <w:hyperlink r:id="rId112" w:history="1">
        <w:r w:rsidRPr="0066321E">
          <w:rPr>
            <w:rStyle w:val="Hyperlink"/>
            <w:rFonts w:ascii="Candara" w:hAnsi="Candara"/>
            <w:sz w:val="20"/>
            <w:szCs w:val="20"/>
          </w:rPr>
          <w:t>https://doi.org/10.1038/s41551-025-01464-y</w:t>
        </w:r>
      </w:hyperlink>
      <w:r w:rsidRPr="0066321E">
        <w:rPr>
          <w:rFonts w:ascii="Candara" w:hAnsi="Candara"/>
          <w:sz w:val="20"/>
          <w:szCs w:val="20"/>
        </w:rPr>
        <w:t xml:space="preserve"> </w:t>
      </w:r>
    </w:p>
    <w:p w14:paraId="4C479B4C"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Zavaliev, R., &amp; Dong, X. (2024). NPR1, a key immune regulator for plant survival under biotic and abiotic stresses. </w:t>
      </w:r>
      <w:r w:rsidRPr="0066321E">
        <w:rPr>
          <w:rFonts w:ascii="Candara" w:hAnsi="Candara"/>
          <w:i/>
          <w:sz w:val="20"/>
          <w:szCs w:val="20"/>
        </w:rPr>
        <w:t>Molecular Cell</w:t>
      </w:r>
      <w:r w:rsidRPr="0066321E">
        <w:rPr>
          <w:rFonts w:ascii="Candara" w:hAnsi="Candara"/>
          <w:sz w:val="20"/>
          <w:szCs w:val="20"/>
        </w:rPr>
        <w:t>,</w:t>
      </w:r>
      <w:r w:rsidRPr="0066321E">
        <w:rPr>
          <w:rFonts w:ascii="Candara" w:hAnsi="Candara"/>
          <w:i/>
          <w:sz w:val="20"/>
          <w:szCs w:val="20"/>
        </w:rPr>
        <w:t xml:space="preserve"> 84</w:t>
      </w:r>
      <w:r w:rsidRPr="0066321E">
        <w:rPr>
          <w:rFonts w:ascii="Candara" w:hAnsi="Candara"/>
          <w:sz w:val="20"/>
          <w:szCs w:val="20"/>
        </w:rPr>
        <w:t xml:space="preserve">(1), 131-141. </w:t>
      </w:r>
      <w:hyperlink r:id="rId113" w:history="1">
        <w:r w:rsidRPr="0066321E">
          <w:rPr>
            <w:rStyle w:val="Hyperlink"/>
            <w:rFonts w:ascii="Candara" w:hAnsi="Candara"/>
            <w:sz w:val="20"/>
            <w:szCs w:val="20"/>
          </w:rPr>
          <w:t>https://doi.org/10.1016/j.molcel.2023.11.018</w:t>
        </w:r>
      </w:hyperlink>
      <w:r w:rsidRPr="0066321E">
        <w:rPr>
          <w:rFonts w:ascii="Candara" w:hAnsi="Candara"/>
          <w:sz w:val="20"/>
          <w:szCs w:val="20"/>
        </w:rPr>
        <w:t xml:space="preserve"> </w:t>
      </w:r>
    </w:p>
    <w:p w14:paraId="721D9F2E"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Zhang, C., Fang, X., Zhang, J., Wang, X., Liu, Z., Liu, S., Song, Z., Gao, P., &amp; Luan, F. (2025). Weighted Gene Co-Expression Network Analysis Identifies Hub Genes Governing Resistance to Fusarium oxysporum f. sp. niveum in Watermelon (Citrullus lanatus). </w:t>
      </w:r>
      <w:r w:rsidRPr="0066321E">
        <w:rPr>
          <w:rFonts w:ascii="Candara" w:hAnsi="Candara"/>
          <w:i/>
          <w:sz w:val="20"/>
          <w:szCs w:val="20"/>
        </w:rPr>
        <w:t>Horticulturae</w:t>
      </w:r>
      <w:r w:rsidRPr="0066321E">
        <w:rPr>
          <w:rFonts w:ascii="Candara" w:hAnsi="Candara"/>
          <w:sz w:val="20"/>
          <w:szCs w:val="20"/>
        </w:rPr>
        <w:t>,</w:t>
      </w:r>
      <w:r w:rsidRPr="0066321E">
        <w:rPr>
          <w:rFonts w:ascii="Candara" w:hAnsi="Candara"/>
          <w:i/>
          <w:sz w:val="20"/>
          <w:szCs w:val="20"/>
        </w:rPr>
        <w:t xml:space="preserve"> 11</w:t>
      </w:r>
      <w:r w:rsidRPr="0066321E">
        <w:rPr>
          <w:rFonts w:ascii="Candara" w:hAnsi="Candara"/>
          <w:sz w:val="20"/>
          <w:szCs w:val="20"/>
        </w:rPr>
        <w:t xml:space="preserve">(6), 625. </w:t>
      </w:r>
      <w:hyperlink r:id="rId114" w:history="1">
        <w:r w:rsidRPr="0066321E">
          <w:rPr>
            <w:rStyle w:val="Hyperlink"/>
            <w:rFonts w:ascii="Candara" w:hAnsi="Candara"/>
            <w:sz w:val="20"/>
            <w:szCs w:val="20"/>
          </w:rPr>
          <w:t>https://www.mdpi.com/2311-7524/11/6/625</w:t>
        </w:r>
      </w:hyperlink>
      <w:r w:rsidRPr="0066321E">
        <w:rPr>
          <w:rFonts w:ascii="Candara" w:hAnsi="Candara"/>
          <w:sz w:val="20"/>
          <w:szCs w:val="20"/>
        </w:rPr>
        <w:t xml:space="preserve"> </w:t>
      </w:r>
    </w:p>
    <w:p w14:paraId="7570891D"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Zhang, G., Luo, Y., Dai, X., &amp; Dai, Z. (2023). Benchmarking deep learning methods for predicting CRISPR/Cas9 sgRNA on-and off-target activities. </w:t>
      </w:r>
      <w:r w:rsidRPr="0066321E">
        <w:rPr>
          <w:rFonts w:ascii="Candara" w:hAnsi="Candara"/>
          <w:i/>
          <w:sz w:val="20"/>
          <w:szCs w:val="20"/>
        </w:rPr>
        <w:t>Briefings in Bioinformatics</w:t>
      </w:r>
      <w:r w:rsidRPr="0066321E">
        <w:rPr>
          <w:rFonts w:ascii="Candara" w:hAnsi="Candara"/>
          <w:sz w:val="20"/>
          <w:szCs w:val="20"/>
        </w:rPr>
        <w:t>,</w:t>
      </w:r>
      <w:r w:rsidRPr="0066321E">
        <w:rPr>
          <w:rFonts w:ascii="Candara" w:hAnsi="Candara"/>
          <w:i/>
          <w:sz w:val="20"/>
          <w:szCs w:val="20"/>
        </w:rPr>
        <w:t xml:space="preserve"> 24</w:t>
      </w:r>
      <w:r w:rsidRPr="0066321E">
        <w:rPr>
          <w:rFonts w:ascii="Candara" w:hAnsi="Candara"/>
          <w:sz w:val="20"/>
          <w:szCs w:val="20"/>
        </w:rPr>
        <w:t xml:space="preserve">(6), bbad333. </w:t>
      </w:r>
    </w:p>
    <w:p w14:paraId="794922D4"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Zhang, H., Li, Y., Li, H., Liu, S., Wang, D., Chen, H., Liu, Q., &amp; Wang, X. (2026). Single-cell RNA sequencing offers novel perspectives in viral infection research [Review]. </w:t>
      </w:r>
      <w:r w:rsidRPr="0066321E">
        <w:rPr>
          <w:rFonts w:ascii="Candara" w:hAnsi="Candara"/>
          <w:i/>
          <w:sz w:val="20"/>
          <w:szCs w:val="20"/>
        </w:rPr>
        <w:t>Frontiers in Cellular and Infection Microbiology</w:t>
      </w:r>
      <w:r w:rsidRPr="0066321E">
        <w:rPr>
          <w:rFonts w:ascii="Candara" w:hAnsi="Candara"/>
          <w:sz w:val="20"/>
          <w:szCs w:val="20"/>
        </w:rPr>
        <w:t>,</w:t>
      </w:r>
      <w:r w:rsidRPr="0066321E">
        <w:rPr>
          <w:rFonts w:ascii="Candara" w:hAnsi="Candara"/>
          <w:i/>
          <w:sz w:val="20"/>
          <w:szCs w:val="20"/>
        </w:rPr>
        <w:t xml:space="preserve"> Volume 16 - 2026</w:t>
      </w:r>
      <w:r w:rsidRPr="0066321E">
        <w:rPr>
          <w:rFonts w:ascii="Candara" w:hAnsi="Candara"/>
          <w:sz w:val="20"/>
          <w:szCs w:val="20"/>
        </w:rPr>
        <w:t xml:space="preserve">. </w:t>
      </w:r>
      <w:hyperlink r:id="rId115" w:history="1">
        <w:r w:rsidRPr="0066321E">
          <w:rPr>
            <w:rStyle w:val="Hyperlink"/>
            <w:rFonts w:ascii="Candara" w:hAnsi="Candara"/>
            <w:sz w:val="20"/>
            <w:szCs w:val="20"/>
          </w:rPr>
          <w:t>https://doi.org/10.3389/fcimb.2026.1798303</w:t>
        </w:r>
      </w:hyperlink>
      <w:r w:rsidRPr="0066321E">
        <w:rPr>
          <w:rFonts w:ascii="Candara" w:hAnsi="Candara"/>
          <w:sz w:val="20"/>
          <w:szCs w:val="20"/>
        </w:rPr>
        <w:t xml:space="preserve"> </w:t>
      </w:r>
    </w:p>
    <w:p w14:paraId="05CA249E" w14:textId="77777777" w:rsidR="002962D2" w:rsidRPr="0066321E" w:rsidRDefault="002962D2" w:rsidP="0066321E">
      <w:pPr>
        <w:pStyle w:val="EndNoteBibliography"/>
        <w:spacing w:after="0"/>
        <w:jc w:val="both"/>
        <w:rPr>
          <w:rFonts w:ascii="Candara" w:hAnsi="Candara"/>
          <w:sz w:val="20"/>
          <w:szCs w:val="20"/>
          <w:lang w:val="fr-FR"/>
        </w:rPr>
      </w:pPr>
      <w:r w:rsidRPr="0066321E">
        <w:rPr>
          <w:rFonts w:ascii="Candara" w:hAnsi="Candara"/>
          <w:sz w:val="20"/>
          <w:szCs w:val="20"/>
        </w:rPr>
        <w:t xml:space="preserve">Zhiqi, H., Tingyi, W., Dongdong, C., Lan, S., Guangheng, Z., Qian, Q., &amp; Li, Z. (2025). Leucine-Rich Repeat Protein Family Regulates Stress Tolerance and Development in Plants. </w:t>
      </w:r>
      <w:r w:rsidRPr="0066321E">
        <w:rPr>
          <w:rFonts w:ascii="Candara" w:hAnsi="Candara"/>
          <w:i/>
          <w:sz w:val="20"/>
          <w:szCs w:val="20"/>
          <w:lang w:val="fr-FR"/>
        </w:rPr>
        <w:t>Rice Science</w:t>
      </w:r>
      <w:r w:rsidRPr="0066321E">
        <w:rPr>
          <w:rFonts w:ascii="Candara" w:hAnsi="Candara"/>
          <w:sz w:val="20"/>
          <w:szCs w:val="20"/>
          <w:lang w:val="fr-FR"/>
        </w:rPr>
        <w:t>,</w:t>
      </w:r>
      <w:r w:rsidRPr="0066321E">
        <w:rPr>
          <w:rFonts w:ascii="Candara" w:hAnsi="Candara"/>
          <w:i/>
          <w:sz w:val="20"/>
          <w:szCs w:val="20"/>
          <w:lang w:val="fr-FR"/>
        </w:rPr>
        <w:t xml:space="preserve"> 32</w:t>
      </w:r>
      <w:r w:rsidRPr="0066321E">
        <w:rPr>
          <w:rFonts w:ascii="Candara" w:hAnsi="Candara"/>
          <w:sz w:val="20"/>
          <w:szCs w:val="20"/>
          <w:lang w:val="fr-FR"/>
        </w:rPr>
        <w:t xml:space="preserve">(1), 32-43. </w:t>
      </w:r>
      <w:hyperlink r:id="rId116" w:history="1">
        <w:r w:rsidRPr="0066321E">
          <w:rPr>
            <w:rStyle w:val="Hyperlink"/>
            <w:rFonts w:ascii="Candara" w:hAnsi="Candara"/>
            <w:sz w:val="20"/>
            <w:szCs w:val="20"/>
            <w:lang w:val="fr-FR"/>
          </w:rPr>
          <w:t>https://doi.org/https://doi.org/10.1016/j.rsci.2024.12.003</w:t>
        </w:r>
      </w:hyperlink>
      <w:r w:rsidRPr="0066321E">
        <w:rPr>
          <w:rFonts w:ascii="Candara" w:hAnsi="Candara"/>
          <w:sz w:val="20"/>
          <w:szCs w:val="20"/>
          <w:lang w:val="fr-FR"/>
        </w:rPr>
        <w:t xml:space="preserve"> </w:t>
      </w:r>
    </w:p>
    <w:p w14:paraId="36EB6FC8"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lang w:val="fr-FR"/>
        </w:rPr>
        <w:t xml:space="preserve">Zhou, R., Yang, G., Zhang, Y., &amp; Wang, Y. (2023). </w:t>
      </w:r>
      <w:r w:rsidRPr="0066321E">
        <w:rPr>
          <w:rFonts w:ascii="Candara" w:hAnsi="Candara"/>
          <w:sz w:val="20"/>
          <w:szCs w:val="20"/>
        </w:rPr>
        <w:t xml:space="preserve">Spatial transcriptomics in development and disease. </w:t>
      </w:r>
      <w:r w:rsidRPr="0066321E">
        <w:rPr>
          <w:rFonts w:ascii="Candara" w:hAnsi="Candara"/>
          <w:i/>
          <w:sz w:val="20"/>
          <w:szCs w:val="20"/>
        </w:rPr>
        <w:t>Molecular Biomedicine</w:t>
      </w:r>
      <w:r w:rsidRPr="0066321E">
        <w:rPr>
          <w:rFonts w:ascii="Candara" w:hAnsi="Candara"/>
          <w:sz w:val="20"/>
          <w:szCs w:val="20"/>
        </w:rPr>
        <w:t>,</w:t>
      </w:r>
      <w:r w:rsidRPr="0066321E">
        <w:rPr>
          <w:rFonts w:ascii="Candara" w:hAnsi="Candara"/>
          <w:i/>
          <w:sz w:val="20"/>
          <w:szCs w:val="20"/>
        </w:rPr>
        <w:t xml:space="preserve"> 4</w:t>
      </w:r>
      <w:r w:rsidRPr="0066321E">
        <w:rPr>
          <w:rFonts w:ascii="Candara" w:hAnsi="Candara"/>
          <w:sz w:val="20"/>
          <w:szCs w:val="20"/>
        </w:rPr>
        <w:t xml:space="preserve">(1), 32. </w:t>
      </w:r>
      <w:hyperlink r:id="rId117" w:history="1">
        <w:r w:rsidRPr="0066321E">
          <w:rPr>
            <w:rStyle w:val="Hyperlink"/>
            <w:rFonts w:ascii="Candara" w:hAnsi="Candara"/>
            <w:sz w:val="20"/>
            <w:szCs w:val="20"/>
          </w:rPr>
          <w:t>https://doi.org/10.1186/s43556-023-00144-0</w:t>
        </w:r>
      </w:hyperlink>
      <w:r w:rsidRPr="0066321E">
        <w:rPr>
          <w:rFonts w:ascii="Candara" w:hAnsi="Candara"/>
          <w:sz w:val="20"/>
          <w:szCs w:val="20"/>
        </w:rPr>
        <w:t xml:space="preserve"> </w:t>
      </w:r>
    </w:p>
    <w:p w14:paraId="012C0FD8"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Zhou, Y., Qin, A., Li, M., Zhao, Q., Kong, L., Yan, L., Li, C., Liu, H., Zhang, Y., Long, J., Liao, M., Zhou, M., Fan, X., Wang, B., Kang, W., Wang, S., Liu, Z., &amp; Sun, X. (2026). Single-Cell Transcriptomics Reveals FLS2-Dependent Hypoxia Signaling and ERF13-Mediated Transcription During flg22-Triggered Immunity. </w:t>
      </w:r>
      <w:r w:rsidRPr="0066321E">
        <w:rPr>
          <w:rFonts w:ascii="Candara" w:hAnsi="Candara"/>
          <w:i/>
          <w:sz w:val="20"/>
          <w:szCs w:val="20"/>
        </w:rPr>
        <w:t>Advanced Science</w:t>
      </w:r>
      <w:r w:rsidRPr="0066321E">
        <w:rPr>
          <w:rFonts w:ascii="Candara" w:hAnsi="Candara"/>
          <w:sz w:val="20"/>
          <w:szCs w:val="20"/>
        </w:rPr>
        <w:t>,</w:t>
      </w:r>
      <w:r w:rsidRPr="0066321E">
        <w:rPr>
          <w:rFonts w:ascii="Candara" w:hAnsi="Candara"/>
          <w:i/>
          <w:sz w:val="20"/>
          <w:szCs w:val="20"/>
        </w:rPr>
        <w:t xml:space="preserve"> n/a</w:t>
      </w:r>
      <w:r w:rsidRPr="0066321E">
        <w:rPr>
          <w:rFonts w:ascii="Candara" w:hAnsi="Candara"/>
          <w:sz w:val="20"/>
          <w:szCs w:val="20"/>
        </w:rPr>
        <w:t xml:space="preserve">(n/a), e16380. </w:t>
      </w:r>
      <w:hyperlink r:id="rId118" w:history="1">
        <w:r w:rsidRPr="0066321E">
          <w:rPr>
            <w:rStyle w:val="Hyperlink"/>
            <w:rFonts w:ascii="Candara" w:hAnsi="Candara"/>
            <w:sz w:val="20"/>
            <w:szCs w:val="20"/>
          </w:rPr>
          <w:t>https://doi.org/https://doi.org/10.1002/advs.202516380</w:t>
        </w:r>
      </w:hyperlink>
      <w:r w:rsidRPr="0066321E">
        <w:rPr>
          <w:rFonts w:ascii="Candara" w:hAnsi="Candara"/>
          <w:sz w:val="20"/>
          <w:szCs w:val="20"/>
        </w:rPr>
        <w:t xml:space="preserve"> </w:t>
      </w:r>
    </w:p>
    <w:p w14:paraId="12689030" w14:textId="77777777" w:rsidR="002962D2" w:rsidRPr="0066321E" w:rsidRDefault="002962D2" w:rsidP="0066321E">
      <w:pPr>
        <w:pStyle w:val="EndNoteBibliography"/>
        <w:spacing w:after="0"/>
        <w:jc w:val="both"/>
        <w:rPr>
          <w:rFonts w:ascii="Candara" w:hAnsi="Candara"/>
          <w:sz w:val="20"/>
          <w:szCs w:val="20"/>
        </w:rPr>
      </w:pPr>
      <w:r w:rsidRPr="0066321E">
        <w:rPr>
          <w:rFonts w:ascii="Candara" w:hAnsi="Candara"/>
          <w:sz w:val="20"/>
          <w:szCs w:val="20"/>
        </w:rPr>
        <w:t xml:space="preserve">Zhu, J., Li, Y., Yang, R., Xue, Z., Lv, R., Wei, H., Wang, Z., Wang, R., &amp; Luan, Y. (2025). The receptor-like kinase SlLRR-RLK94 as a positive regulator of tomato resistance to Phytophthora infestans. </w:t>
      </w:r>
      <w:r w:rsidRPr="0066321E">
        <w:rPr>
          <w:rFonts w:ascii="Candara" w:hAnsi="Candara"/>
          <w:i/>
          <w:sz w:val="20"/>
          <w:szCs w:val="20"/>
        </w:rPr>
        <w:t>Plant Cell Reports</w:t>
      </w:r>
      <w:r w:rsidRPr="0066321E">
        <w:rPr>
          <w:rFonts w:ascii="Candara" w:hAnsi="Candara"/>
          <w:sz w:val="20"/>
          <w:szCs w:val="20"/>
        </w:rPr>
        <w:t>,</w:t>
      </w:r>
      <w:r w:rsidRPr="0066321E">
        <w:rPr>
          <w:rFonts w:ascii="Candara" w:hAnsi="Candara"/>
          <w:i/>
          <w:sz w:val="20"/>
          <w:szCs w:val="20"/>
        </w:rPr>
        <w:t xml:space="preserve"> 44</w:t>
      </w:r>
      <w:r w:rsidRPr="0066321E">
        <w:rPr>
          <w:rFonts w:ascii="Candara" w:hAnsi="Candara"/>
          <w:sz w:val="20"/>
          <w:szCs w:val="20"/>
        </w:rPr>
        <w:t xml:space="preserve">(11), 257. </w:t>
      </w:r>
      <w:hyperlink r:id="rId119" w:history="1">
        <w:r w:rsidRPr="0066321E">
          <w:rPr>
            <w:rStyle w:val="Hyperlink"/>
            <w:rFonts w:ascii="Candara" w:hAnsi="Candara"/>
            <w:sz w:val="20"/>
            <w:szCs w:val="20"/>
          </w:rPr>
          <w:t>https://doi.org/10.1007/s00299-025-03648-x</w:t>
        </w:r>
      </w:hyperlink>
      <w:r w:rsidRPr="0066321E">
        <w:rPr>
          <w:rFonts w:ascii="Candara" w:hAnsi="Candara"/>
          <w:sz w:val="20"/>
          <w:szCs w:val="20"/>
        </w:rPr>
        <w:t xml:space="preserve"> </w:t>
      </w:r>
    </w:p>
    <w:p w14:paraId="517716FB" w14:textId="50703630" w:rsidR="002962D2" w:rsidRPr="0066321E" w:rsidRDefault="002962D2" w:rsidP="0066321E">
      <w:pPr>
        <w:spacing w:after="0" w:line="240" w:lineRule="auto"/>
        <w:jc w:val="both"/>
        <w:rPr>
          <w:rFonts w:ascii="Candara" w:hAnsi="Candara" w:cs="Times New Roman"/>
          <w:sz w:val="20"/>
          <w:szCs w:val="20"/>
        </w:rPr>
      </w:pPr>
      <w:r w:rsidRPr="0066321E">
        <w:rPr>
          <w:rFonts w:ascii="Candara" w:hAnsi="Candara" w:cs="Times New Roman"/>
          <w:b/>
          <w:bCs/>
          <w:sz w:val="20"/>
          <w:szCs w:val="20"/>
        </w:rPr>
        <w:fldChar w:fldCharType="end"/>
      </w:r>
    </w:p>
    <w:p w14:paraId="0F4F506F" w14:textId="77777777" w:rsidR="004B7D2A" w:rsidRPr="0066321E" w:rsidRDefault="004B7D2A" w:rsidP="0066321E">
      <w:pPr>
        <w:spacing w:after="0" w:line="240" w:lineRule="auto"/>
        <w:jc w:val="both"/>
        <w:rPr>
          <w:rFonts w:ascii="Candara" w:eastAsia="Arial" w:hAnsi="Candara" w:cs="Times New Roman"/>
          <w:sz w:val="20"/>
          <w:szCs w:val="20"/>
        </w:rPr>
      </w:pPr>
    </w:p>
    <w:p w14:paraId="65FCEC91" w14:textId="77777777" w:rsidR="00502E18" w:rsidRPr="0066321E" w:rsidRDefault="00502E18" w:rsidP="0066321E">
      <w:pPr>
        <w:spacing w:after="0" w:line="240" w:lineRule="auto"/>
        <w:jc w:val="both"/>
        <w:rPr>
          <w:rFonts w:ascii="Candara" w:hAnsi="Candara" w:cs="Times New Roman"/>
          <w:sz w:val="20"/>
          <w:szCs w:val="20"/>
        </w:rPr>
      </w:pPr>
    </w:p>
    <w:p w14:paraId="18F4BDE5" w14:textId="77777777" w:rsidR="00477D8D" w:rsidRPr="0066321E" w:rsidRDefault="00477D8D" w:rsidP="0066321E">
      <w:pPr>
        <w:spacing w:after="0" w:line="240" w:lineRule="auto"/>
        <w:jc w:val="both"/>
        <w:rPr>
          <w:rFonts w:ascii="Candara" w:hAnsi="Candara" w:cs="Times New Roman"/>
          <w:sz w:val="20"/>
          <w:szCs w:val="20"/>
        </w:rPr>
      </w:pPr>
    </w:p>
    <w:p w14:paraId="766E8581" w14:textId="77777777" w:rsidR="00477D8D" w:rsidRPr="0066321E" w:rsidRDefault="00477D8D" w:rsidP="0066321E">
      <w:pPr>
        <w:spacing w:after="0" w:line="240" w:lineRule="auto"/>
        <w:jc w:val="both"/>
        <w:rPr>
          <w:rFonts w:ascii="Candara" w:hAnsi="Candara" w:cs="Times New Roman"/>
          <w:sz w:val="20"/>
          <w:szCs w:val="20"/>
        </w:rPr>
      </w:pPr>
    </w:p>
    <w:p w14:paraId="2BF5C14A" w14:textId="77777777" w:rsidR="009419A7" w:rsidRPr="0066321E" w:rsidRDefault="009419A7" w:rsidP="0066321E">
      <w:pPr>
        <w:spacing w:after="0" w:line="240" w:lineRule="auto"/>
        <w:jc w:val="both"/>
        <w:rPr>
          <w:rFonts w:ascii="Candara" w:hAnsi="Candara" w:cs="Times New Roman"/>
          <w:b/>
          <w:bCs/>
          <w:sz w:val="20"/>
          <w:szCs w:val="20"/>
        </w:rPr>
      </w:pPr>
    </w:p>
    <w:p w14:paraId="35D3A158" w14:textId="77777777" w:rsidR="009419A7" w:rsidRPr="0066321E" w:rsidRDefault="009419A7" w:rsidP="0066321E">
      <w:pPr>
        <w:spacing w:after="0" w:line="240" w:lineRule="auto"/>
        <w:jc w:val="both"/>
        <w:rPr>
          <w:rFonts w:ascii="Candara" w:hAnsi="Candara" w:cs="Times New Roman"/>
          <w:sz w:val="20"/>
          <w:szCs w:val="20"/>
        </w:rPr>
      </w:pPr>
    </w:p>
    <w:sectPr w:rsidR="009419A7" w:rsidRPr="006632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ibraries" w:val="&lt;Libraries&gt;&lt;item db-id=&quot;95ssws9phaeprxe29pup0erbd9atdzrtttfx&quot;&gt;ROMANIAN TAPS&lt;record-ids&gt;&lt;item&gt;1&lt;/item&gt;&lt;item&gt;2&lt;/item&gt;&lt;item&gt;3&lt;/item&gt;&lt;item&gt;4&lt;/item&gt;&lt;item&gt;5&lt;/item&gt;&lt;item&gt;6&lt;/item&gt;&lt;item&gt;7&lt;/item&gt;&lt;item&gt;8&lt;/item&gt;&lt;item&gt;9&lt;/item&gt;&lt;item&gt;10&lt;/item&gt;&lt;item&gt;11&lt;/item&gt;&lt;item&gt;12&lt;/item&gt;&lt;item&gt;13&lt;/item&gt;&lt;item&gt;14&lt;/item&gt;&lt;/record-ids&gt;&lt;/item&gt;&lt;/Libraries&gt;"/>
  </w:docVars>
  <w:rsids>
    <w:rsidRoot w:val="009419A7"/>
    <w:rsid w:val="00055A55"/>
    <w:rsid w:val="00097B67"/>
    <w:rsid w:val="000C1CDE"/>
    <w:rsid w:val="000F2CC1"/>
    <w:rsid w:val="001C0751"/>
    <w:rsid w:val="002962D2"/>
    <w:rsid w:val="002D06E4"/>
    <w:rsid w:val="00347239"/>
    <w:rsid w:val="004533E1"/>
    <w:rsid w:val="00477D8D"/>
    <w:rsid w:val="004942BD"/>
    <w:rsid w:val="004B7D2A"/>
    <w:rsid w:val="004C4733"/>
    <w:rsid w:val="004F6BA5"/>
    <w:rsid w:val="00502E18"/>
    <w:rsid w:val="00620BD6"/>
    <w:rsid w:val="00651BE1"/>
    <w:rsid w:val="0066321E"/>
    <w:rsid w:val="006B3A66"/>
    <w:rsid w:val="007B656E"/>
    <w:rsid w:val="0085336B"/>
    <w:rsid w:val="008A625A"/>
    <w:rsid w:val="008C6180"/>
    <w:rsid w:val="009307B2"/>
    <w:rsid w:val="009419A7"/>
    <w:rsid w:val="0096260E"/>
    <w:rsid w:val="009734B4"/>
    <w:rsid w:val="0098753B"/>
    <w:rsid w:val="009A733C"/>
    <w:rsid w:val="00A1517D"/>
    <w:rsid w:val="00A45552"/>
    <w:rsid w:val="00AA135F"/>
    <w:rsid w:val="00AD1B2F"/>
    <w:rsid w:val="00B31952"/>
    <w:rsid w:val="00B842CE"/>
    <w:rsid w:val="00BC3330"/>
    <w:rsid w:val="00BE2965"/>
    <w:rsid w:val="00C054DD"/>
    <w:rsid w:val="00C8018C"/>
    <w:rsid w:val="00C97C7D"/>
    <w:rsid w:val="00DF18C4"/>
    <w:rsid w:val="00E1743D"/>
    <w:rsid w:val="00EB5832"/>
    <w:rsid w:val="00EC1FFD"/>
    <w:rsid w:val="00F3725B"/>
    <w:rsid w:val="00F57A5D"/>
    <w:rsid w:val="00F95255"/>
    <w:rsid w:val="00FF036F"/>
    <w:rsid w:val="00FF3E1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BEC72"/>
  <w15:chartTrackingRefBased/>
  <w15:docId w15:val="{941B61F9-BFDC-434D-BB26-6D8C7FF31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9A7"/>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9419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419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19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19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19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19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19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19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19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9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419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19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19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19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19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19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19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19A7"/>
    <w:rPr>
      <w:rFonts w:eastAsiaTheme="majorEastAsia" w:cstheme="majorBidi"/>
      <w:color w:val="272727" w:themeColor="text1" w:themeTint="D8"/>
    </w:rPr>
  </w:style>
  <w:style w:type="paragraph" w:styleId="Title">
    <w:name w:val="Title"/>
    <w:basedOn w:val="Normal"/>
    <w:next w:val="Normal"/>
    <w:link w:val="TitleChar"/>
    <w:uiPriority w:val="10"/>
    <w:qFormat/>
    <w:rsid w:val="009419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19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19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19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19A7"/>
    <w:pPr>
      <w:spacing w:before="160"/>
      <w:jc w:val="center"/>
    </w:pPr>
    <w:rPr>
      <w:i/>
      <w:iCs/>
      <w:color w:val="404040" w:themeColor="text1" w:themeTint="BF"/>
    </w:rPr>
  </w:style>
  <w:style w:type="character" w:customStyle="1" w:styleId="QuoteChar">
    <w:name w:val="Quote Char"/>
    <w:basedOn w:val="DefaultParagraphFont"/>
    <w:link w:val="Quote"/>
    <w:uiPriority w:val="29"/>
    <w:rsid w:val="009419A7"/>
    <w:rPr>
      <w:i/>
      <w:iCs/>
      <w:color w:val="404040" w:themeColor="text1" w:themeTint="BF"/>
    </w:rPr>
  </w:style>
  <w:style w:type="paragraph" w:styleId="ListParagraph">
    <w:name w:val="List Paragraph"/>
    <w:basedOn w:val="Normal"/>
    <w:uiPriority w:val="34"/>
    <w:qFormat/>
    <w:rsid w:val="009419A7"/>
    <w:pPr>
      <w:ind w:left="720"/>
      <w:contextualSpacing/>
    </w:pPr>
  </w:style>
  <w:style w:type="character" w:styleId="IntenseEmphasis">
    <w:name w:val="Intense Emphasis"/>
    <w:basedOn w:val="DefaultParagraphFont"/>
    <w:uiPriority w:val="21"/>
    <w:qFormat/>
    <w:rsid w:val="009419A7"/>
    <w:rPr>
      <w:i/>
      <w:iCs/>
      <w:color w:val="0F4761" w:themeColor="accent1" w:themeShade="BF"/>
    </w:rPr>
  </w:style>
  <w:style w:type="paragraph" w:styleId="IntenseQuote">
    <w:name w:val="Intense Quote"/>
    <w:basedOn w:val="Normal"/>
    <w:next w:val="Normal"/>
    <w:link w:val="IntenseQuoteChar"/>
    <w:uiPriority w:val="30"/>
    <w:qFormat/>
    <w:rsid w:val="009419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19A7"/>
    <w:rPr>
      <w:i/>
      <w:iCs/>
      <w:color w:val="0F4761" w:themeColor="accent1" w:themeShade="BF"/>
    </w:rPr>
  </w:style>
  <w:style w:type="character" w:styleId="IntenseReference">
    <w:name w:val="Intense Reference"/>
    <w:basedOn w:val="DefaultParagraphFont"/>
    <w:uiPriority w:val="32"/>
    <w:qFormat/>
    <w:rsid w:val="009419A7"/>
    <w:rPr>
      <w:b/>
      <w:bCs/>
      <w:smallCaps/>
      <w:color w:val="0F4761" w:themeColor="accent1" w:themeShade="BF"/>
      <w:spacing w:val="5"/>
    </w:rPr>
  </w:style>
  <w:style w:type="table" w:styleId="TableGrid">
    <w:name w:val="Table Grid"/>
    <w:basedOn w:val="TableNormal"/>
    <w:uiPriority w:val="39"/>
    <w:rsid w:val="007B656E"/>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6260E"/>
    <w:pPr>
      <w:spacing w:after="200" w:line="240" w:lineRule="auto"/>
    </w:pPr>
    <w:rPr>
      <w:i/>
      <w:iCs/>
      <w:color w:val="0E2841" w:themeColor="text2"/>
      <w:sz w:val="18"/>
      <w:szCs w:val="18"/>
    </w:rPr>
  </w:style>
  <w:style w:type="paragraph" w:styleId="NormalWeb">
    <w:name w:val="Normal (Web)"/>
    <w:basedOn w:val="Normal"/>
    <w:uiPriority w:val="99"/>
    <w:unhideWhenUsed/>
    <w:rsid w:val="006B3A6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62D2"/>
    <w:rPr>
      <w:b/>
      <w:bCs/>
    </w:rPr>
  </w:style>
  <w:style w:type="paragraph" w:customStyle="1" w:styleId="EndNoteBibliographyTitle">
    <w:name w:val="EndNote Bibliography Title"/>
    <w:basedOn w:val="Normal"/>
    <w:link w:val="EndNoteBibliographyTitleChar"/>
    <w:rsid w:val="002962D2"/>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2962D2"/>
    <w:rPr>
      <w:rFonts w:ascii="Times New Roman" w:hAnsi="Times New Roman" w:cs="Times New Roman"/>
      <w:noProof/>
      <w:kern w:val="0"/>
      <w:szCs w:val="22"/>
      <w:lang w:val="en-US"/>
      <w14:ligatures w14:val="none"/>
    </w:rPr>
  </w:style>
  <w:style w:type="paragraph" w:customStyle="1" w:styleId="EndNoteBibliography">
    <w:name w:val="EndNote Bibliography"/>
    <w:basedOn w:val="Normal"/>
    <w:link w:val="EndNoteBibliographyChar"/>
    <w:rsid w:val="002962D2"/>
    <w:pPr>
      <w:spacing w:line="24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2962D2"/>
    <w:rPr>
      <w:rFonts w:ascii="Times New Roman" w:hAnsi="Times New Roman" w:cs="Times New Roman"/>
      <w:noProof/>
      <w:kern w:val="0"/>
      <w:szCs w:val="22"/>
      <w:lang w:val="en-US"/>
      <w14:ligatures w14:val="none"/>
    </w:rPr>
  </w:style>
  <w:style w:type="character" w:styleId="Hyperlink">
    <w:name w:val="Hyperlink"/>
    <w:basedOn w:val="DefaultParagraphFont"/>
    <w:uiPriority w:val="99"/>
    <w:unhideWhenUsed/>
    <w:rsid w:val="002962D2"/>
    <w:rPr>
      <w:color w:val="467886" w:themeColor="hyperlink"/>
      <w:u w:val="single"/>
    </w:rPr>
  </w:style>
  <w:style w:type="character" w:customStyle="1" w:styleId="UnresolvedMention1">
    <w:name w:val="Unresolved Mention1"/>
    <w:basedOn w:val="DefaultParagraphFont"/>
    <w:uiPriority w:val="99"/>
    <w:semiHidden/>
    <w:unhideWhenUsed/>
    <w:rsid w:val="002962D2"/>
    <w:rPr>
      <w:color w:val="605E5C"/>
      <w:shd w:val="clear" w:color="auto" w:fill="E1DFDD"/>
    </w:rPr>
  </w:style>
  <w:style w:type="character" w:customStyle="1" w:styleId="UnresolvedMention2">
    <w:name w:val="Unresolved Mention2"/>
    <w:basedOn w:val="DefaultParagraphFont"/>
    <w:uiPriority w:val="99"/>
    <w:semiHidden/>
    <w:unhideWhenUsed/>
    <w:rsid w:val="002962D2"/>
    <w:rPr>
      <w:color w:val="605E5C"/>
      <w:shd w:val="clear" w:color="auto" w:fill="E1DFDD"/>
    </w:rPr>
  </w:style>
  <w:style w:type="character" w:styleId="FollowedHyperlink">
    <w:name w:val="FollowedHyperlink"/>
    <w:basedOn w:val="DefaultParagraphFont"/>
    <w:uiPriority w:val="99"/>
    <w:semiHidden/>
    <w:unhideWhenUsed/>
    <w:rsid w:val="002962D2"/>
    <w:rPr>
      <w:color w:val="96607D" w:themeColor="followedHyperlink"/>
      <w:u w:val="single"/>
    </w:rPr>
  </w:style>
  <w:style w:type="table" w:styleId="ListTable7Colorful">
    <w:name w:val="List Table 7 Colorful"/>
    <w:basedOn w:val="TableNormal"/>
    <w:uiPriority w:val="52"/>
    <w:rsid w:val="004533E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dpi.com/1422-0067/25/6/3271" TargetMode="External"/><Relationship Id="rId117" Type="http://schemas.openxmlformats.org/officeDocument/2006/relationships/hyperlink" Target="https://doi.org/10.1186/s43556-023-00144-0" TargetMode="External"/><Relationship Id="rId21" Type="http://schemas.openxmlformats.org/officeDocument/2006/relationships/hyperlink" Target="https://doi.org/10.1038/s43018-022-00356-3" TargetMode="External"/><Relationship Id="rId42" Type="http://schemas.openxmlformats.org/officeDocument/2006/relationships/hyperlink" Target="https://doi.org/10.1186/s12859-022-04609-x" TargetMode="External"/><Relationship Id="rId47" Type="http://schemas.openxmlformats.org/officeDocument/2006/relationships/hyperlink" Target="https://doi.org/10.1007/978-981-97-7510-1_15" TargetMode="External"/><Relationship Id="rId63" Type="http://schemas.openxmlformats.org/officeDocument/2006/relationships/hyperlink" Target="https://doi.org/10.1007/978-981-99-9338-3_2" TargetMode="External"/><Relationship Id="rId68" Type="http://schemas.openxmlformats.org/officeDocument/2006/relationships/hyperlink" Target="https://doi.org/10.1007/s00705-024-06100-9" TargetMode="External"/><Relationship Id="rId84" Type="http://schemas.openxmlformats.org/officeDocument/2006/relationships/hyperlink" Target="https://doi.org/10.3389/fgeed.2023.1068637" TargetMode="External"/><Relationship Id="rId89" Type="http://schemas.openxmlformats.org/officeDocument/2006/relationships/hyperlink" Target="https://doi.org/10.3389/fimmu.2024.1401320" TargetMode="External"/><Relationship Id="rId112" Type="http://schemas.openxmlformats.org/officeDocument/2006/relationships/hyperlink" Target="https://doi.org/10.1038/s41551-025-01464-y" TargetMode="External"/><Relationship Id="rId16" Type="http://schemas.openxmlformats.org/officeDocument/2006/relationships/hyperlink" Target="https://doi.org/10.1038/s41467-025-59280-6" TargetMode="External"/><Relationship Id="rId107" Type="http://schemas.openxmlformats.org/officeDocument/2006/relationships/hyperlink" Target="https://doi.org/10.3389/fgene.2022.896818" TargetMode="External"/><Relationship Id="rId11" Type="http://schemas.openxmlformats.org/officeDocument/2006/relationships/hyperlink" Target="https://doi.org/10.1007/s11033-022-07773-8" TargetMode="External"/><Relationship Id="rId32" Type="http://schemas.openxmlformats.org/officeDocument/2006/relationships/hyperlink" Target="https://www.mdpi.com/2079-7737/12/7/1037" TargetMode="External"/><Relationship Id="rId37" Type="http://schemas.openxmlformats.org/officeDocument/2006/relationships/hyperlink" Target="https://doi.org/https://doi.org/10.1016/B978-0-12-823903-2.00004-4" TargetMode="External"/><Relationship Id="rId53" Type="http://schemas.openxmlformats.org/officeDocument/2006/relationships/hyperlink" Target="https://doi.org/10.5376/cmb.2024.14.0025" TargetMode="External"/><Relationship Id="rId58" Type="http://schemas.openxmlformats.org/officeDocument/2006/relationships/hyperlink" Target="https://doi.org/https://doi.org/10.1002/pei3.70035" TargetMode="External"/><Relationship Id="rId74" Type="http://schemas.openxmlformats.org/officeDocument/2006/relationships/hyperlink" Target="https://doi.org/10.1186/s12870-025-06763-9" TargetMode="External"/><Relationship Id="rId79" Type="http://schemas.openxmlformats.org/officeDocument/2006/relationships/hyperlink" Target="https://doi.org/10.1007/s00425-023-04269-y" TargetMode="External"/><Relationship Id="rId102" Type="http://schemas.openxmlformats.org/officeDocument/2006/relationships/hyperlink" Target="https://doi.org/10.1186/s11658-024-00565-x" TargetMode="External"/><Relationship Id="rId5" Type="http://schemas.openxmlformats.org/officeDocument/2006/relationships/image" Target="media/image2.png"/><Relationship Id="rId90" Type="http://schemas.openxmlformats.org/officeDocument/2006/relationships/hyperlink" Target="https://doi.org/https://doi.org/10.1016/B978-0-443-16092-9.00002-3" TargetMode="External"/><Relationship Id="rId95" Type="http://schemas.openxmlformats.org/officeDocument/2006/relationships/hyperlink" Target="https://doi.org/https://doi.org/10.1002/qub2.78" TargetMode="External"/><Relationship Id="rId22" Type="http://schemas.openxmlformats.org/officeDocument/2006/relationships/hyperlink" Target="https://doi.org/10.15252/embr.202357495" TargetMode="External"/><Relationship Id="rId27" Type="http://schemas.openxmlformats.org/officeDocument/2006/relationships/hyperlink" Target="https://www.mdpi.com/1422-0067/23/24/16200" TargetMode="External"/><Relationship Id="rId43" Type="http://schemas.openxmlformats.org/officeDocument/2006/relationships/hyperlink" Target="https://doi.org/10.1038/s41587-021-01026-y" TargetMode="External"/><Relationship Id="rId48" Type="http://schemas.openxmlformats.org/officeDocument/2006/relationships/hyperlink" Target="https://doi.org/https://doi.org/10.1016/B978-0-323-89778-5.00005-2" TargetMode="External"/><Relationship Id="rId64" Type="http://schemas.openxmlformats.org/officeDocument/2006/relationships/hyperlink" Target="https://www.mdpi.com/2218-273X/13/12/1698" TargetMode="External"/><Relationship Id="rId69" Type="http://schemas.openxmlformats.org/officeDocument/2006/relationships/hyperlink" Target="https://doi.org/10.1007/s12033-022-00541-w" TargetMode="External"/><Relationship Id="rId113" Type="http://schemas.openxmlformats.org/officeDocument/2006/relationships/hyperlink" Target="https://doi.org/10.1016/j.molcel.2023.11.018" TargetMode="External"/><Relationship Id="rId118" Type="http://schemas.openxmlformats.org/officeDocument/2006/relationships/hyperlink" Target="https://doi.org/https://doi.org/10.1002/advs.202516380" TargetMode="External"/><Relationship Id="rId80" Type="http://schemas.openxmlformats.org/officeDocument/2006/relationships/hyperlink" Target="https://doi.org/10.3389/fpls.2025.1563711" TargetMode="External"/><Relationship Id="rId85" Type="http://schemas.openxmlformats.org/officeDocument/2006/relationships/hyperlink" Target="https://doi.org/10.1038/s41598-023-51037-9" TargetMode="External"/><Relationship Id="rId12" Type="http://schemas.openxmlformats.org/officeDocument/2006/relationships/hyperlink" Target="https://doi.org/10.1007/978-981-16-8877-5_23" TargetMode="External"/><Relationship Id="rId17" Type="http://schemas.openxmlformats.org/officeDocument/2006/relationships/hyperlink" Target="https://doi.org/10.3390/agronomy12030565" TargetMode="External"/><Relationship Id="rId33" Type="http://schemas.openxmlformats.org/officeDocument/2006/relationships/hyperlink" Target="https://doi.org/10.3389/fgene.2023.1139082" TargetMode="External"/><Relationship Id="rId38" Type="http://schemas.openxmlformats.org/officeDocument/2006/relationships/hyperlink" Target="https://doi.org/https://doi.org/10.1016/j.jbc.2022.102741" TargetMode="External"/><Relationship Id="rId59" Type="http://schemas.openxmlformats.org/officeDocument/2006/relationships/hyperlink" Target="https://doi.org/10.1038/s41576-026-00939-1" TargetMode="External"/><Relationship Id="rId103" Type="http://schemas.openxmlformats.org/officeDocument/2006/relationships/hyperlink" Target="https://doi.org/10.3389/fendo.2022.883658" TargetMode="External"/><Relationship Id="rId108" Type="http://schemas.openxmlformats.org/officeDocument/2006/relationships/hyperlink" Target="https://doi.org/https://doi.org/10.1016/j.ygeno.2022.110516" TargetMode="External"/><Relationship Id="rId54" Type="http://schemas.openxmlformats.org/officeDocument/2006/relationships/hyperlink" Target="https://doi.org/https://doi.org/10.1002/mco2.70268" TargetMode="External"/><Relationship Id="rId70" Type="http://schemas.openxmlformats.org/officeDocument/2006/relationships/hyperlink" Target="https://www.mdpi.com/2410-3888/11/1/41" TargetMode="External"/><Relationship Id="rId75" Type="http://schemas.openxmlformats.org/officeDocument/2006/relationships/hyperlink" Target="https://doi.org/10.1007/s13721-025-00612-3" TargetMode="External"/><Relationship Id="rId91" Type="http://schemas.openxmlformats.org/officeDocument/2006/relationships/hyperlink" Target="https://doi.org/10.1021/acsagscitech.1c00270" TargetMode="External"/><Relationship Id="rId96" Type="http://schemas.openxmlformats.org/officeDocument/2006/relationships/hyperlink" Target="https://doi.org/10.1038/s41467-023-42751-z" TargetMode="External"/><Relationship Id="rId1" Type="http://schemas.openxmlformats.org/officeDocument/2006/relationships/styles" Target="styles.xml"/><Relationship Id="rId6" Type="http://schemas.openxmlformats.org/officeDocument/2006/relationships/image" Target="media/image3.png"/><Relationship Id="rId23" Type="http://schemas.openxmlformats.org/officeDocument/2006/relationships/hyperlink" Target="https://doi.org/https://doi.org/10.1016/j.csbj.2022.11.051" TargetMode="External"/><Relationship Id="rId28" Type="http://schemas.openxmlformats.org/officeDocument/2006/relationships/hyperlink" Target="https://doi.org/10.3389/fbioe.2023.1335901" TargetMode="External"/><Relationship Id="rId49" Type="http://schemas.openxmlformats.org/officeDocument/2006/relationships/hyperlink" Target="https://doi.org/10.1186/s40246-024-00595-8" TargetMode="External"/><Relationship Id="rId114" Type="http://schemas.openxmlformats.org/officeDocument/2006/relationships/hyperlink" Target="https://www.mdpi.com/2311-7524/11/6/625" TargetMode="External"/><Relationship Id="rId119" Type="http://schemas.openxmlformats.org/officeDocument/2006/relationships/hyperlink" Target="https://doi.org/10.1007/s00299-025-03648-x" TargetMode="External"/><Relationship Id="rId44" Type="http://schemas.openxmlformats.org/officeDocument/2006/relationships/hyperlink" Target="https://doi.org/10.3390/ijms26178153" TargetMode="External"/><Relationship Id="rId60" Type="http://schemas.openxmlformats.org/officeDocument/2006/relationships/hyperlink" Target="https://www.mdpi.com/1422-0067/23/20/12217" TargetMode="External"/><Relationship Id="rId65" Type="http://schemas.openxmlformats.org/officeDocument/2006/relationships/hyperlink" Target="https://doi.org/10.3390/antibiotics11060809" TargetMode="External"/><Relationship Id="rId81" Type="http://schemas.openxmlformats.org/officeDocument/2006/relationships/hyperlink" Target="https://doi.org/10.1007/978-981-97-1699-9_25" TargetMode="External"/><Relationship Id="rId86" Type="http://schemas.openxmlformats.org/officeDocument/2006/relationships/hyperlink" Target="https://doi.org/10.3389/fbioe.2023.1217811" TargetMode="External"/><Relationship Id="rId4" Type="http://schemas.openxmlformats.org/officeDocument/2006/relationships/image" Target="media/image1.png"/><Relationship Id="rId9" Type="http://schemas.openxmlformats.org/officeDocument/2006/relationships/hyperlink" Target="https://doi.org/10.1007/978-981-97-3169-5_13" TargetMode="External"/><Relationship Id="rId13" Type="http://schemas.openxmlformats.org/officeDocument/2006/relationships/hyperlink" Target="https://doi.org/doi:10.1073/pnas.2211019120" TargetMode="External"/><Relationship Id="rId18" Type="http://schemas.openxmlformats.org/officeDocument/2006/relationships/hyperlink" Target="https://doi.org/10.1186/s12943-023-01925-5" TargetMode="External"/><Relationship Id="rId39" Type="http://schemas.openxmlformats.org/officeDocument/2006/relationships/hyperlink" Target="https://doi.org/10.1038/s41580-024-00768-2" TargetMode="External"/><Relationship Id="rId109" Type="http://schemas.openxmlformats.org/officeDocument/2006/relationships/hyperlink" Target="https://www.mdpi.com/2073-4395/16/7/719" TargetMode="External"/><Relationship Id="rId34" Type="http://schemas.openxmlformats.org/officeDocument/2006/relationships/hyperlink" Target="https://doi.org/10.3389/fpls.2022.1064059" TargetMode="External"/><Relationship Id="rId50" Type="http://schemas.openxmlformats.org/officeDocument/2006/relationships/hyperlink" Target="https://doi.org/10.1021/acs.biochem.5c00613" TargetMode="External"/><Relationship Id="rId55" Type="http://schemas.openxmlformats.org/officeDocument/2006/relationships/hyperlink" Target="https://doi.org/10.1038/s41392-024-01777-5" TargetMode="External"/><Relationship Id="rId76" Type="http://schemas.openxmlformats.org/officeDocument/2006/relationships/hyperlink" Target="https://www.mdpi.com/2073-4425/14/6/1281" TargetMode="External"/><Relationship Id="rId97" Type="http://schemas.openxmlformats.org/officeDocument/2006/relationships/hyperlink" Target="https://doi.org/https://doi.org/10.1002/advs.202515724" TargetMode="External"/><Relationship Id="rId104" Type="http://schemas.openxmlformats.org/officeDocument/2006/relationships/hyperlink" Target="https://doi.org/https://doi.org/10.1111/ppa.14114" TargetMode="External"/><Relationship Id="rId120" Type="http://schemas.openxmlformats.org/officeDocument/2006/relationships/fontTable" Target="fontTable.xml"/><Relationship Id="rId7" Type="http://schemas.openxmlformats.org/officeDocument/2006/relationships/image" Target="media/image4.png"/><Relationship Id="rId71" Type="http://schemas.openxmlformats.org/officeDocument/2006/relationships/hyperlink" Target="https://doi.org/10.1186/s13059-025-03609-3" TargetMode="External"/><Relationship Id="rId92" Type="http://schemas.openxmlformats.org/officeDocument/2006/relationships/hyperlink" Target="https://doi.org/10.1038/s41467-023-35886-6" TargetMode="External"/><Relationship Id="rId2" Type="http://schemas.openxmlformats.org/officeDocument/2006/relationships/settings" Target="settings.xml"/><Relationship Id="rId29" Type="http://schemas.openxmlformats.org/officeDocument/2006/relationships/hyperlink" Target="https://doi.org/10.1007/s40502-023-00766-0" TargetMode="External"/><Relationship Id="rId24" Type="http://schemas.openxmlformats.org/officeDocument/2006/relationships/hyperlink" Target="https://doi.org/10.1007/s12298-024-01447-4" TargetMode="External"/><Relationship Id="rId40" Type="http://schemas.openxmlformats.org/officeDocument/2006/relationships/hyperlink" Target="https://doi.org/10.1186/s40537-025-01228-0" TargetMode="External"/><Relationship Id="rId45" Type="http://schemas.openxmlformats.org/officeDocument/2006/relationships/hyperlink" Target="https://doi.org/10.1016/j.omtn.2025.102636" TargetMode="External"/><Relationship Id="rId66" Type="http://schemas.openxmlformats.org/officeDocument/2006/relationships/hyperlink" Target="https://doi.org/10.1007/s12298-024-01452-7" TargetMode="External"/><Relationship Id="rId87" Type="http://schemas.openxmlformats.org/officeDocument/2006/relationships/hyperlink" Target="https://doi.org/10.1007/978-981-96-8869-2_9" TargetMode="External"/><Relationship Id="rId110" Type="http://schemas.openxmlformats.org/officeDocument/2006/relationships/hyperlink" Target="https://www.mdpi.com/2073-4425/14/4/806" TargetMode="External"/><Relationship Id="rId115" Type="http://schemas.openxmlformats.org/officeDocument/2006/relationships/hyperlink" Target="https://doi.org/10.3389/fcimb.2026.1798303" TargetMode="External"/><Relationship Id="rId61" Type="http://schemas.openxmlformats.org/officeDocument/2006/relationships/hyperlink" Target="https://www.mdpi.com/2306-5354/12/1/56" TargetMode="External"/><Relationship Id="rId82" Type="http://schemas.openxmlformats.org/officeDocument/2006/relationships/hyperlink" Target="https://www.mdpi.com/1422-0067/26/19/9409" TargetMode="External"/><Relationship Id="rId19" Type="http://schemas.openxmlformats.org/officeDocument/2006/relationships/hyperlink" Target="https://doi.org/https://doi.org/10.1016/j.ijbiomac.2024.135413" TargetMode="External"/><Relationship Id="rId14" Type="http://schemas.openxmlformats.org/officeDocument/2006/relationships/hyperlink" Target="https://doi.org/10.1038/s41467-025-63234-3" TargetMode="External"/><Relationship Id="rId30" Type="http://schemas.openxmlformats.org/officeDocument/2006/relationships/hyperlink" Target="https://doi.org/10.1038/s41598-021-04329-x" TargetMode="External"/><Relationship Id="rId35" Type="http://schemas.openxmlformats.org/officeDocument/2006/relationships/hyperlink" Target="https://doi.org/https://doi.org/10.1111/mpp.70167" TargetMode="External"/><Relationship Id="rId56" Type="http://schemas.openxmlformats.org/officeDocument/2006/relationships/hyperlink" Target="https://www.mdpi.com/2223-7747/15/5/685" TargetMode="External"/><Relationship Id="rId77" Type="http://schemas.openxmlformats.org/officeDocument/2006/relationships/hyperlink" Target="https://doi.org/10.3389/abp.2024.13585" TargetMode="External"/><Relationship Id="rId100" Type="http://schemas.openxmlformats.org/officeDocument/2006/relationships/hyperlink" Target="https://doi.org/10.1038/s41579-022-00710-3" TargetMode="External"/><Relationship Id="rId105" Type="http://schemas.openxmlformats.org/officeDocument/2006/relationships/hyperlink" Target="https://doi.org/10.3389/fimmu.2022.960709" TargetMode="External"/><Relationship Id="rId8" Type="http://schemas.openxmlformats.org/officeDocument/2006/relationships/image" Target="media/image5.png"/><Relationship Id="rId51" Type="http://schemas.openxmlformats.org/officeDocument/2006/relationships/hyperlink" Target="https://doi.org/10.3389/fmicb.2023.1122947" TargetMode="External"/><Relationship Id="rId72" Type="http://schemas.openxmlformats.org/officeDocument/2006/relationships/hyperlink" Target="https://doi.org/https://doi.org/10.1016/j.coviro.2026.101513" TargetMode="External"/><Relationship Id="rId93" Type="http://schemas.openxmlformats.org/officeDocument/2006/relationships/hyperlink" Target="https://doi.org/https://doi.org/10.1016/j.pbi.2026.102870" TargetMode="External"/><Relationship Id="rId98" Type="http://schemas.openxmlformats.org/officeDocument/2006/relationships/hyperlink" Target="https://doi.org/https://doi.org/10.1002/mco2.714" TargetMode="External"/><Relationship Id="rId121"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doi.org/https://doi.org/10.1111/tpj.15462" TargetMode="External"/><Relationship Id="rId46" Type="http://schemas.openxmlformats.org/officeDocument/2006/relationships/hyperlink" Target="https://doi.org/10.1007/s00122-023-04313-1" TargetMode="External"/><Relationship Id="rId67" Type="http://schemas.openxmlformats.org/officeDocument/2006/relationships/hyperlink" Target="https://doi.org/https://doi.org/10.1016/B978-0-323-95375-7.00005-7" TargetMode="External"/><Relationship Id="rId116" Type="http://schemas.openxmlformats.org/officeDocument/2006/relationships/hyperlink" Target="https://doi.org/https://doi.org/10.1016/j.rsci.2024.12.003" TargetMode="External"/><Relationship Id="rId20" Type="http://schemas.openxmlformats.org/officeDocument/2006/relationships/hyperlink" Target="https://doi.org/10.1038/s41392-025-02264-1" TargetMode="External"/><Relationship Id="rId41" Type="http://schemas.openxmlformats.org/officeDocument/2006/relationships/hyperlink" Target="https://doi.org/https://doi.org/10.1002/jobm.202400259" TargetMode="External"/><Relationship Id="rId62" Type="http://schemas.openxmlformats.org/officeDocument/2006/relationships/hyperlink" Target="https://doi.org/10.1007/s10142-022-00889-x" TargetMode="External"/><Relationship Id="rId83" Type="http://schemas.openxmlformats.org/officeDocument/2006/relationships/hyperlink" Target="https://doi.org/10.1007/s12033-025-01374-z" TargetMode="External"/><Relationship Id="rId88" Type="http://schemas.openxmlformats.org/officeDocument/2006/relationships/hyperlink" Target="https://doi.org/10.1007/s10822-026-00800-x" TargetMode="External"/><Relationship Id="rId111" Type="http://schemas.openxmlformats.org/officeDocument/2006/relationships/hyperlink" Target="https://www.mdpi.com/2073-4395/14/1/163" TargetMode="External"/><Relationship Id="rId15" Type="http://schemas.openxmlformats.org/officeDocument/2006/relationships/hyperlink" Target="https://www.mdpi.com/2072-6694/14/3/623" TargetMode="External"/><Relationship Id="rId36" Type="http://schemas.openxmlformats.org/officeDocument/2006/relationships/hyperlink" Target="https://doi.org/10.3389/fmed.2025.1595213" TargetMode="External"/><Relationship Id="rId57" Type="http://schemas.openxmlformats.org/officeDocument/2006/relationships/hyperlink" Target="https://doi.org/10.1038/s41467-024-45638-9" TargetMode="External"/><Relationship Id="rId106" Type="http://schemas.openxmlformats.org/officeDocument/2006/relationships/hyperlink" Target="https://doi.org/https://doi.org/10.1002/mco2.327" TargetMode="External"/><Relationship Id="rId10" Type="http://schemas.openxmlformats.org/officeDocument/2006/relationships/hyperlink" Target="https://doi.org/10.1007/978-981-99-8874-7_4" TargetMode="External"/><Relationship Id="rId31" Type="http://schemas.openxmlformats.org/officeDocument/2006/relationships/hyperlink" Target="https://doi.org/10.1016/j.molcel.2021.12.011" TargetMode="External"/><Relationship Id="rId52" Type="http://schemas.openxmlformats.org/officeDocument/2006/relationships/hyperlink" Target="https://doi.org/10.3389/fpls.2023.1189289" TargetMode="External"/><Relationship Id="rId73" Type="http://schemas.openxmlformats.org/officeDocument/2006/relationships/hyperlink" Target="https://doi.org/10.1007/s12298-026-01706-6" TargetMode="External"/><Relationship Id="rId78" Type="http://schemas.openxmlformats.org/officeDocument/2006/relationships/hyperlink" Target="https://doi.org/10.3389/fpls.2021.798858" TargetMode="External"/><Relationship Id="rId94" Type="http://schemas.openxmlformats.org/officeDocument/2006/relationships/hyperlink" Target="https://doi.org/https://doi.org/10.1016/j.coesh.2023.100492" TargetMode="External"/><Relationship Id="rId99" Type="http://schemas.openxmlformats.org/officeDocument/2006/relationships/hyperlink" Target="https://doi.org/10.3390/plants15060937" TargetMode="External"/><Relationship Id="rId101" Type="http://schemas.openxmlformats.org/officeDocument/2006/relationships/hyperlink" Target="https://www.mdpi.com/2073-4409/11/23/39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18</Pages>
  <Words>14845</Words>
  <Characters>84622</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craciun.maria</dc:creator>
  <cp:keywords/>
  <dc:description/>
  <cp:lastModifiedBy>HP</cp:lastModifiedBy>
  <cp:revision>3</cp:revision>
  <dcterms:created xsi:type="dcterms:W3CDTF">2026-05-15T10:02:00Z</dcterms:created>
  <dcterms:modified xsi:type="dcterms:W3CDTF">2026-05-15T11:40:00Z</dcterms:modified>
</cp:coreProperties>
</file>