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F694D" w14:textId="6C9797F3" w:rsidR="00DA7AE5" w:rsidRPr="005823A7" w:rsidRDefault="00DA7AE5" w:rsidP="00EA6502">
      <w:pPr>
        <w:spacing w:after="0" w:line="360" w:lineRule="auto"/>
        <w:jc w:val="center"/>
        <w:rPr>
          <w:rFonts w:ascii="Times New Roman" w:hAnsi="Times New Roman" w:cs="Times New Roman"/>
          <w:b/>
          <w:sz w:val="28"/>
          <w:szCs w:val="28"/>
        </w:rPr>
      </w:pPr>
      <w:r w:rsidRPr="005823A7">
        <w:rPr>
          <w:rFonts w:ascii="Times New Roman" w:hAnsi="Times New Roman" w:cs="Times New Roman"/>
          <w:b/>
          <w:sz w:val="28"/>
          <w:szCs w:val="28"/>
        </w:rPr>
        <w:t xml:space="preserve">Solarization and Groundwater Depletion: The Hidden Costs of Solar-Powered Agriculture </w:t>
      </w:r>
      <w:proofErr w:type="spellStart"/>
      <w:r w:rsidRPr="005823A7">
        <w:rPr>
          <w:rFonts w:ascii="Times New Roman" w:hAnsi="Times New Roman" w:cs="Times New Roman"/>
          <w:b/>
          <w:sz w:val="28"/>
          <w:szCs w:val="28"/>
        </w:rPr>
        <w:t>Balochistan</w:t>
      </w:r>
      <w:proofErr w:type="spellEnd"/>
    </w:p>
    <w:p w14:paraId="358D6265" w14:textId="44025C01" w:rsidR="003722B5" w:rsidRPr="005823A7" w:rsidRDefault="003722B5" w:rsidP="003722B5">
      <w:pPr>
        <w:spacing w:after="0" w:line="360" w:lineRule="auto"/>
        <w:rPr>
          <w:rFonts w:ascii="Times New Roman" w:hAnsi="Times New Roman" w:cs="Times New Roman"/>
          <w:bCs/>
        </w:rPr>
      </w:pPr>
      <w:r w:rsidRPr="005823A7">
        <w:rPr>
          <w:rFonts w:ascii="Times New Roman" w:hAnsi="Times New Roman" w:cs="Times New Roman"/>
          <w:bCs/>
        </w:rPr>
        <w:t>Ameenullah</w:t>
      </w:r>
      <w:r w:rsidRPr="005823A7">
        <w:rPr>
          <w:rFonts w:ascii="Times New Roman" w:hAnsi="Times New Roman" w:cs="Times New Roman"/>
          <w:bCs/>
          <w:vertAlign w:val="superscript"/>
        </w:rPr>
        <w:t>1</w:t>
      </w:r>
      <w:r w:rsidRPr="005823A7">
        <w:rPr>
          <w:rFonts w:ascii="Times New Roman" w:hAnsi="Times New Roman" w:cs="Times New Roman"/>
          <w:bCs/>
        </w:rPr>
        <w:t>, Abdulaziz Thabet Dabiah</w:t>
      </w:r>
      <w:r w:rsidRPr="005823A7">
        <w:rPr>
          <w:rFonts w:ascii="Times New Roman" w:hAnsi="Times New Roman" w:cs="Times New Roman"/>
          <w:bCs/>
          <w:vertAlign w:val="superscript"/>
        </w:rPr>
        <w:t>2</w:t>
      </w:r>
      <w:r w:rsidRPr="005823A7">
        <w:rPr>
          <w:rFonts w:ascii="Times New Roman" w:hAnsi="Times New Roman" w:cs="Times New Roman"/>
          <w:bCs/>
        </w:rPr>
        <w:t>,</w:t>
      </w:r>
      <w:r w:rsidRPr="005823A7">
        <w:t xml:space="preserve"> </w:t>
      </w:r>
      <w:r w:rsidRPr="005823A7">
        <w:rPr>
          <w:rFonts w:ascii="Times New Roman" w:hAnsi="Times New Roman" w:cs="Times New Roman"/>
          <w:bCs/>
        </w:rPr>
        <w:t>Raza Ullah</w:t>
      </w:r>
      <w:r w:rsidRPr="005823A7">
        <w:rPr>
          <w:rFonts w:ascii="Times New Roman" w:hAnsi="Times New Roman" w:cs="Times New Roman"/>
          <w:bCs/>
          <w:vertAlign w:val="superscript"/>
        </w:rPr>
        <w:t>3</w:t>
      </w:r>
      <w:r w:rsidRPr="005823A7">
        <w:rPr>
          <w:rFonts w:ascii="Times New Roman" w:hAnsi="Times New Roman" w:cs="Times New Roman"/>
          <w:bCs/>
        </w:rPr>
        <w:t>, Syed Muhammad Khair</w:t>
      </w:r>
      <w:r w:rsidR="00070728">
        <w:rPr>
          <w:rFonts w:ascii="Times New Roman" w:hAnsi="Times New Roman" w:cs="Times New Roman"/>
          <w:bCs/>
          <w:vertAlign w:val="superscript"/>
        </w:rPr>
        <w:t>4</w:t>
      </w:r>
      <w:r w:rsidRPr="005823A7">
        <w:rPr>
          <w:rFonts w:ascii="Times New Roman" w:hAnsi="Times New Roman" w:cs="Times New Roman"/>
          <w:bCs/>
        </w:rPr>
        <w:t>, Syed Sadiq Agha</w:t>
      </w:r>
      <w:r w:rsidR="00070728">
        <w:rPr>
          <w:rFonts w:ascii="Times New Roman" w:hAnsi="Times New Roman" w:cs="Times New Roman"/>
          <w:bCs/>
          <w:vertAlign w:val="superscript"/>
        </w:rPr>
        <w:t>5</w:t>
      </w:r>
      <w:r w:rsidRPr="005823A7">
        <w:rPr>
          <w:rFonts w:ascii="Times New Roman" w:hAnsi="Times New Roman" w:cs="Times New Roman"/>
          <w:bCs/>
        </w:rPr>
        <w:t>,</w:t>
      </w:r>
      <w:r w:rsidR="008358A5" w:rsidRPr="005823A7">
        <w:rPr>
          <w:rFonts w:ascii="Times New Roman" w:hAnsi="Times New Roman" w:cs="Times New Roman"/>
          <w:bCs/>
        </w:rPr>
        <w:t xml:space="preserve"> </w:t>
      </w:r>
      <w:r w:rsidR="00CC5B94" w:rsidRPr="005823A7">
        <w:rPr>
          <w:rFonts w:ascii="Times New Roman" w:hAnsi="Times New Roman" w:cs="Times New Roman"/>
          <w:bCs/>
        </w:rPr>
        <w:t>Rizwan khan</w:t>
      </w:r>
      <w:r w:rsidR="00070728">
        <w:rPr>
          <w:rFonts w:ascii="Times New Roman" w:hAnsi="Times New Roman" w:cs="Times New Roman"/>
          <w:bCs/>
          <w:vertAlign w:val="superscript"/>
        </w:rPr>
        <w:t>6</w:t>
      </w:r>
      <w:r w:rsidR="008358A5" w:rsidRPr="005823A7">
        <w:rPr>
          <w:rFonts w:ascii="Times New Roman" w:hAnsi="Times New Roman" w:cs="Times New Roman"/>
          <w:bCs/>
        </w:rPr>
        <w:t>,</w:t>
      </w:r>
      <w:r w:rsidRPr="005823A7">
        <w:rPr>
          <w:rFonts w:ascii="Times New Roman" w:hAnsi="Times New Roman" w:cs="Times New Roman"/>
          <w:bCs/>
        </w:rPr>
        <w:t xml:space="preserve"> </w:t>
      </w:r>
      <w:r w:rsidR="000D63F3">
        <w:rPr>
          <w:rFonts w:ascii="Times New Roman" w:hAnsi="Times New Roman" w:cs="Times New Roman"/>
          <w:bCs/>
        </w:rPr>
        <w:t>*</w:t>
      </w:r>
      <w:r w:rsidRPr="005823A7">
        <w:rPr>
          <w:rFonts w:ascii="Times New Roman" w:hAnsi="Times New Roman" w:cs="Times New Roman"/>
          <w:bCs/>
        </w:rPr>
        <w:t>Muhammad Muddassir</w:t>
      </w:r>
      <w:r w:rsidRPr="005823A7">
        <w:rPr>
          <w:rFonts w:ascii="Times New Roman" w:hAnsi="Times New Roman" w:cs="Times New Roman"/>
          <w:bCs/>
          <w:vertAlign w:val="superscript"/>
        </w:rPr>
        <w:t>2</w:t>
      </w:r>
      <w:r w:rsidR="00CC5B94">
        <w:rPr>
          <w:rFonts w:ascii="Times New Roman" w:hAnsi="Times New Roman" w:cs="Times New Roman"/>
          <w:bCs/>
        </w:rPr>
        <w:t xml:space="preserve">, </w:t>
      </w:r>
      <w:proofErr w:type="spellStart"/>
      <w:r w:rsidR="00CC5B94" w:rsidRPr="005823A7">
        <w:rPr>
          <w:rFonts w:ascii="Times New Roman" w:hAnsi="Times New Roman" w:cs="Times New Roman"/>
          <w:bCs/>
        </w:rPr>
        <w:t>Mortala</w:t>
      </w:r>
      <w:proofErr w:type="spellEnd"/>
      <w:r w:rsidR="00CC5B94" w:rsidRPr="005823A7">
        <w:rPr>
          <w:rFonts w:ascii="Times New Roman" w:hAnsi="Times New Roman" w:cs="Times New Roman"/>
          <w:bCs/>
        </w:rPr>
        <w:t xml:space="preserve"> Boye</w:t>
      </w:r>
      <w:r w:rsidR="00070728">
        <w:rPr>
          <w:rFonts w:ascii="Times New Roman" w:hAnsi="Times New Roman" w:cs="Times New Roman"/>
          <w:bCs/>
          <w:vertAlign w:val="superscript"/>
        </w:rPr>
        <w:t>7</w:t>
      </w:r>
    </w:p>
    <w:p w14:paraId="74827BC1" w14:textId="77777777" w:rsidR="00061408" w:rsidRPr="005823A7" w:rsidRDefault="00061408" w:rsidP="003722B5">
      <w:pPr>
        <w:spacing w:after="0" w:line="360" w:lineRule="auto"/>
        <w:rPr>
          <w:rFonts w:ascii="Times New Roman" w:hAnsi="Times New Roman" w:cs="Times New Roman"/>
          <w:bCs/>
          <w:vertAlign w:val="superscript"/>
        </w:rPr>
      </w:pPr>
    </w:p>
    <w:p w14:paraId="203E9399" w14:textId="144D4CA8" w:rsidR="003722B5" w:rsidRPr="005823A7" w:rsidRDefault="00061408" w:rsidP="003722B5">
      <w:pPr>
        <w:spacing w:after="0" w:line="360" w:lineRule="auto"/>
        <w:rPr>
          <w:rFonts w:ascii="Times New Roman" w:hAnsi="Times New Roman" w:cs="Times New Roman"/>
          <w:bCs/>
        </w:rPr>
      </w:pPr>
      <w:r w:rsidRPr="005823A7">
        <w:rPr>
          <w:rFonts w:ascii="Times New Roman" w:hAnsi="Times New Roman" w:cs="Times New Roman"/>
          <w:bCs/>
          <w:vertAlign w:val="superscript"/>
        </w:rPr>
        <w:t>1</w:t>
      </w:r>
      <w:r w:rsidRPr="005823A7">
        <w:rPr>
          <w:rFonts w:ascii="Times New Roman" w:hAnsi="Times New Roman" w:cs="Times New Roman"/>
          <w:bCs/>
        </w:rPr>
        <w:t xml:space="preserve">Department of Agriculture Economics, </w:t>
      </w:r>
      <w:proofErr w:type="spellStart"/>
      <w:r w:rsidRPr="005823A7">
        <w:rPr>
          <w:rFonts w:ascii="Times New Roman" w:hAnsi="Times New Roman" w:cs="Times New Roman"/>
          <w:bCs/>
        </w:rPr>
        <w:t>Balochistan</w:t>
      </w:r>
      <w:proofErr w:type="spellEnd"/>
      <w:r w:rsidRPr="005823A7">
        <w:rPr>
          <w:rFonts w:ascii="Times New Roman" w:hAnsi="Times New Roman" w:cs="Times New Roman"/>
          <w:bCs/>
        </w:rPr>
        <w:t xml:space="preserve"> Agriculture College, Quetta, Pakistan</w:t>
      </w:r>
    </w:p>
    <w:p w14:paraId="6516CC0B" w14:textId="60FC102B" w:rsidR="000E139F" w:rsidRPr="005823A7" w:rsidRDefault="00E8606A" w:rsidP="003722B5">
      <w:pPr>
        <w:spacing w:after="0" w:line="360" w:lineRule="auto"/>
        <w:rPr>
          <w:rFonts w:ascii="Times New Roman" w:hAnsi="Times New Roman" w:cs="Times New Roman"/>
          <w:bCs/>
        </w:rPr>
      </w:pPr>
      <w:r w:rsidRPr="005823A7">
        <w:rPr>
          <w:rFonts w:ascii="Times New Roman" w:hAnsi="Times New Roman" w:cs="Times New Roman"/>
          <w:bCs/>
          <w:vertAlign w:val="superscript"/>
        </w:rPr>
        <w:t>2</w:t>
      </w:r>
      <w:r w:rsidRPr="005823A7">
        <w:rPr>
          <w:rFonts w:ascii="Times New Roman" w:hAnsi="Times New Roman" w:cs="Times New Roman"/>
          <w:bCs/>
        </w:rPr>
        <w:t>Department of Agricultural Extension and Rural Society, College of Food and Agriculture</w:t>
      </w:r>
      <w:r w:rsidR="003722B5" w:rsidRPr="005823A7">
        <w:rPr>
          <w:rFonts w:ascii="Times New Roman" w:hAnsi="Times New Roman" w:cs="Times New Roman"/>
          <w:bCs/>
        </w:rPr>
        <w:t xml:space="preserve"> </w:t>
      </w:r>
      <w:proofErr w:type="gramStart"/>
      <w:r w:rsidRPr="005823A7">
        <w:rPr>
          <w:rFonts w:ascii="Times New Roman" w:hAnsi="Times New Roman" w:cs="Times New Roman"/>
          <w:bCs/>
        </w:rPr>
        <w:t xml:space="preserve">Science, </w:t>
      </w:r>
      <w:r w:rsidR="00061408" w:rsidRPr="005823A7">
        <w:rPr>
          <w:rFonts w:ascii="Times New Roman" w:hAnsi="Times New Roman" w:cs="Times New Roman"/>
          <w:bCs/>
        </w:rPr>
        <w:t xml:space="preserve">  </w:t>
      </w:r>
      <w:proofErr w:type="gramEnd"/>
      <w:r w:rsidRPr="005823A7">
        <w:rPr>
          <w:rFonts w:ascii="Times New Roman" w:hAnsi="Times New Roman" w:cs="Times New Roman"/>
          <w:bCs/>
        </w:rPr>
        <w:t>King Saud University, Riyadh 11451, Saudi Arabia</w:t>
      </w:r>
    </w:p>
    <w:p w14:paraId="7DEBD923" w14:textId="5C5BC213" w:rsidR="00061408" w:rsidRDefault="00061408" w:rsidP="003722B5">
      <w:pPr>
        <w:spacing w:after="0" w:line="360" w:lineRule="auto"/>
        <w:rPr>
          <w:rFonts w:ascii="Times New Roman" w:hAnsi="Times New Roman" w:cs="Times New Roman"/>
          <w:bCs/>
        </w:rPr>
      </w:pPr>
      <w:r w:rsidRPr="005823A7">
        <w:rPr>
          <w:rFonts w:ascii="Times New Roman" w:hAnsi="Times New Roman" w:cs="Times New Roman"/>
          <w:bCs/>
          <w:vertAlign w:val="superscript"/>
        </w:rPr>
        <w:t>3</w:t>
      </w:r>
      <w:r w:rsidRPr="005823A7">
        <w:rPr>
          <w:rFonts w:ascii="Times New Roman" w:hAnsi="Times New Roman" w:cs="Times New Roman"/>
          <w:bCs/>
        </w:rPr>
        <w:t>Institute of Agricultural and Resource Economics, University of Agriculture Faisalabad, Punjab, Pakistan</w:t>
      </w:r>
    </w:p>
    <w:p w14:paraId="618A9CCC" w14:textId="08EE0EC8" w:rsidR="00E308F8" w:rsidRPr="005823A7" w:rsidRDefault="00E308F8" w:rsidP="003722B5">
      <w:pPr>
        <w:spacing w:after="0" w:line="360" w:lineRule="auto"/>
        <w:rPr>
          <w:rFonts w:ascii="Times New Roman" w:hAnsi="Times New Roman" w:cs="Times New Roman"/>
          <w:bCs/>
        </w:rPr>
      </w:pPr>
      <w:r w:rsidRPr="00E308F8">
        <w:rPr>
          <w:rFonts w:ascii="Times New Roman" w:hAnsi="Times New Roman" w:cs="Times New Roman"/>
          <w:bCs/>
          <w:vertAlign w:val="superscript"/>
        </w:rPr>
        <w:t>4</w:t>
      </w:r>
      <w:r>
        <w:rPr>
          <w:rFonts w:ascii="Times New Roman" w:hAnsi="Times New Roman" w:cs="Times New Roman"/>
          <w:bCs/>
        </w:rPr>
        <w:t xml:space="preserve">Faculty of Agriculture Economics, University of </w:t>
      </w:r>
      <w:proofErr w:type="spellStart"/>
      <w:r>
        <w:rPr>
          <w:rFonts w:ascii="Times New Roman" w:hAnsi="Times New Roman" w:cs="Times New Roman"/>
          <w:bCs/>
        </w:rPr>
        <w:t>Pehsawar</w:t>
      </w:r>
      <w:proofErr w:type="spellEnd"/>
      <w:r>
        <w:rPr>
          <w:rFonts w:ascii="Times New Roman" w:hAnsi="Times New Roman" w:cs="Times New Roman"/>
          <w:bCs/>
        </w:rPr>
        <w:t xml:space="preserve">, </w:t>
      </w:r>
    </w:p>
    <w:p w14:paraId="76BB23E1" w14:textId="67EB12F3" w:rsidR="00E308F8" w:rsidRDefault="00E308F8" w:rsidP="00E308F8">
      <w:pPr>
        <w:spacing w:after="0" w:line="360" w:lineRule="auto"/>
        <w:rPr>
          <w:rFonts w:ascii="Times New Roman" w:hAnsi="Times New Roman" w:cs="Times New Roman"/>
          <w:bCs/>
        </w:rPr>
      </w:pPr>
      <w:r>
        <w:rPr>
          <w:rFonts w:ascii="Times New Roman" w:hAnsi="Times New Roman" w:cs="Times New Roman"/>
          <w:bCs/>
          <w:vertAlign w:val="superscript"/>
        </w:rPr>
        <w:t>5</w:t>
      </w:r>
      <w:r w:rsidR="00061408" w:rsidRPr="005823A7">
        <w:rPr>
          <w:rFonts w:ascii="Times New Roman" w:hAnsi="Times New Roman" w:cs="Times New Roman"/>
          <w:bCs/>
        </w:rPr>
        <w:t>Value Chain Specialist, FAO</w:t>
      </w:r>
    </w:p>
    <w:p w14:paraId="65F6CB0F" w14:textId="650B1F42" w:rsidR="00E308F8" w:rsidRPr="005823A7" w:rsidRDefault="00E308F8" w:rsidP="00E308F8">
      <w:pPr>
        <w:spacing w:after="0" w:line="360" w:lineRule="auto"/>
        <w:rPr>
          <w:rFonts w:ascii="Times New Roman" w:hAnsi="Times New Roman" w:cs="Times New Roman"/>
          <w:bCs/>
        </w:rPr>
      </w:pPr>
      <w:r>
        <w:rPr>
          <w:rFonts w:ascii="Times New Roman" w:hAnsi="Times New Roman" w:cs="Times New Roman"/>
          <w:bCs/>
          <w:vertAlign w:val="superscript"/>
        </w:rPr>
        <w:t>6</w:t>
      </w:r>
      <w:r w:rsidRPr="005823A7">
        <w:rPr>
          <w:rFonts w:ascii="Times New Roman" w:hAnsi="Times New Roman" w:cs="Times New Roman"/>
          <w:bCs/>
        </w:rPr>
        <w:t>Agriculture Production Specialist, FAO</w:t>
      </w:r>
    </w:p>
    <w:p w14:paraId="5A0E64B5" w14:textId="4FD18860" w:rsidR="008358A5" w:rsidRPr="005823A7" w:rsidRDefault="00E308F8" w:rsidP="008358A5">
      <w:pPr>
        <w:spacing w:after="0" w:line="360" w:lineRule="auto"/>
        <w:rPr>
          <w:rFonts w:ascii="Times New Roman" w:hAnsi="Times New Roman" w:cs="Times New Roman"/>
          <w:bCs/>
        </w:rPr>
      </w:pPr>
      <w:r>
        <w:rPr>
          <w:rFonts w:ascii="Times New Roman" w:hAnsi="Times New Roman" w:cs="Times New Roman"/>
          <w:bCs/>
          <w:vertAlign w:val="superscript"/>
        </w:rPr>
        <w:t>7</w:t>
      </w:r>
      <w:r w:rsidR="008358A5" w:rsidRPr="005823A7">
        <w:rPr>
          <w:rFonts w:ascii="Times New Roman" w:hAnsi="Times New Roman" w:cs="Times New Roman"/>
          <w:bCs/>
        </w:rPr>
        <w:t xml:space="preserve">School of Agriculture and Environmental sciences, University of The Gambia, P. </w:t>
      </w:r>
      <w:proofErr w:type="gramStart"/>
      <w:r w:rsidR="008358A5" w:rsidRPr="005823A7">
        <w:rPr>
          <w:rFonts w:ascii="Times New Roman" w:hAnsi="Times New Roman" w:cs="Times New Roman"/>
          <w:bCs/>
        </w:rPr>
        <w:t>O  Box</w:t>
      </w:r>
      <w:proofErr w:type="gramEnd"/>
      <w:r w:rsidR="008358A5" w:rsidRPr="005823A7">
        <w:rPr>
          <w:rFonts w:ascii="Times New Roman" w:hAnsi="Times New Roman" w:cs="Times New Roman"/>
          <w:bCs/>
        </w:rPr>
        <w:t xml:space="preserve"> 3530 Serekunda, The Gambia</w:t>
      </w:r>
    </w:p>
    <w:p w14:paraId="18F4544A" w14:textId="3B1D6BAA" w:rsidR="000E139F" w:rsidRPr="005823A7" w:rsidRDefault="000D63F3" w:rsidP="008358A5">
      <w:pPr>
        <w:spacing w:after="0" w:line="360" w:lineRule="auto"/>
        <w:rPr>
          <w:rFonts w:ascii="Times New Roman" w:hAnsi="Times New Roman" w:cs="Times New Roman"/>
          <w:bCs/>
        </w:rPr>
      </w:pPr>
      <w:r>
        <w:rPr>
          <w:rFonts w:ascii="Times New Roman" w:hAnsi="Times New Roman" w:cs="Times New Roman"/>
          <w:bCs/>
        </w:rPr>
        <w:t>*</w:t>
      </w:r>
      <w:r w:rsidR="008358A5" w:rsidRPr="005823A7">
        <w:rPr>
          <w:rFonts w:ascii="Times New Roman" w:hAnsi="Times New Roman" w:cs="Times New Roman"/>
          <w:bCs/>
        </w:rPr>
        <w:t xml:space="preserve">Corresponding Author: </w:t>
      </w:r>
      <w:hyperlink r:id="rId4" w:history="1">
        <w:r w:rsidR="00CC5B94" w:rsidRPr="00357480">
          <w:rPr>
            <w:rStyle w:val="Hyperlink"/>
          </w:rPr>
          <w:t>mrajpoot@ksu.edu.sa</w:t>
        </w:r>
      </w:hyperlink>
      <w:r w:rsidR="00CC5B94">
        <w:t xml:space="preserve"> </w:t>
      </w:r>
    </w:p>
    <w:p w14:paraId="12E81162" w14:textId="77777777" w:rsidR="007458A7" w:rsidRPr="005823A7" w:rsidRDefault="007458A7" w:rsidP="00994A92">
      <w:pPr>
        <w:spacing w:after="0" w:line="360" w:lineRule="auto"/>
        <w:jc w:val="center"/>
        <w:rPr>
          <w:rFonts w:ascii="Times New Roman" w:hAnsi="Times New Roman" w:cs="Times New Roman"/>
          <w:b/>
          <w:sz w:val="28"/>
          <w:szCs w:val="28"/>
        </w:rPr>
      </w:pPr>
      <w:r w:rsidRPr="005823A7">
        <w:rPr>
          <w:rFonts w:ascii="Times New Roman" w:hAnsi="Times New Roman" w:cs="Times New Roman"/>
          <w:b/>
          <w:sz w:val="28"/>
          <w:szCs w:val="28"/>
        </w:rPr>
        <w:t>Abstract</w:t>
      </w:r>
    </w:p>
    <w:p w14:paraId="6BEFA61B" w14:textId="2114E4E8" w:rsidR="007458A7" w:rsidRPr="005823A7" w:rsidRDefault="006E379D" w:rsidP="00CB3C4C">
      <w:pPr>
        <w:spacing w:after="0" w:line="240" w:lineRule="auto"/>
        <w:jc w:val="both"/>
        <w:rPr>
          <w:rFonts w:ascii="Times New Roman" w:eastAsia="Times New Roman" w:hAnsi="Times New Roman" w:cs="Times New Roman"/>
          <w:sz w:val="24"/>
          <w:szCs w:val="24"/>
          <w:lang w:eastAsia="en-GB"/>
        </w:rPr>
      </w:pPr>
      <w:r w:rsidRPr="005823A7">
        <w:rPr>
          <w:rFonts w:ascii="Times New Roman" w:eastAsia="Times New Roman" w:hAnsi="Times New Roman" w:cs="Times New Roman"/>
          <w:sz w:val="24"/>
          <w:szCs w:val="24"/>
          <w:lang w:eastAsia="en-GB"/>
        </w:rPr>
        <w:t xml:space="preserve">Balochistan, Pakistan's arid south-western province, is experiencing a severe groundwater crisis, with levels falling by 5-40 feet per year due to an overreliance on tube wells for irrigation. This depletion endangers agricultural sustainability, particularly given the government's solarisation policy, which aims to convert over 29000 tube wells to solar power. </w:t>
      </w:r>
      <w:r w:rsidRPr="005823A7">
        <w:rPr>
          <w:rFonts w:ascii="Times New Roman" w:eastAsia="Times New Roman" w:hAnsi="Times New Roman" w:cs="Times New Roman"/>
          <w:sz w:val="24"/>
          <w:szCs w:val="24"/>
        </w:rPr>
        <w:t xml:space="preserve">For the rural societies of </w:t>
      </w:r>
      <w:r w:rsidRPr="005823A7">
        <w:rPr>
          <w:rFonts w:ascii="Times New Roman" w:hAnsi="Times New Roman" w:cs="Times New Roman"/>
          <w:sz w:val="24"/>
          <w:szCs w:val="24"/>
        </w:rPr>
        <w:t>Baluchistan</w:t>
      </w:r>
      <w:r w:rsidRPr="005823A7">
        <w:rPr>
          <w:rFonts w:ascii="Times New Roman" w:eastAsia="Times New Roman" w:hAnsi="Times New Roman" w:cs="Times New Roman"/>
          <w:sz w:val="24"/>
          <w:szCs w:val="24"/>
        </w:rPr>
        <w:t>, groundwater is not merely an agricultural input but the singular economic lifeline upon which household income, food security, and intergenerational livelihoods are anchored</w:t>
      </w:r>
      <w:r w:rsidRPr="005823A7">
        <w:rPr>
          <w:rFonts w:ascii="Times New Roman" w:hAnsi="Times New Roman" w:cs="Times New Roman"/>
          <w:sz w:val="24"/>
          <w:szCs w:val="24"/>
        </w:rPr>
        <w:t xml:space="preserve">, </w:t>
      </w:r>
      <w:r w:rsidRPr="005823A7">
        <w:rPr>
          <w:rFonts w:ascii="Times New Roman" w:eastAsia="Times New Roman" w:hAnsi="Times New Roman" w:cs="Times New Roman"/>
          <w:sz w:val="24"/>
          <w:szCs w:val="24"/>
        </w:rPr>
        <w:t xml:space="preserve">making any policy that alters extraction dynamics a matter of acute socioeconomic consequence. The socioeconomic fragility of these communities means they are simultaneously the primary drivers of groundwater stress and the most exposed to its depletion, a duality that demands urgent empirical attention. </w:t>
      </w:r>
      <w:r w:rsidRPr="005823A7">
        <w:rPr>
          <w:rFonts w:ascii="Times New Roman" w:eastAsia="Times New Roman" w:hAnsi="Times New Roman" w:cs="Times New Roman"/>
          <w:sz w:val="24"/>
          <w:szCs w:val="24"/>
          <w:lang w:eastAsia="en-GB"/>
        </w:rPr>
        <w:t>To date, no comprehensive research has been conducted to assess the impact of solar-powered electric tube wells (ETs) on groundwater resources in Balochistan. This study was conducted in three highland basins: The Zhob River Basin (ZRB), the Nari River Basin (NRB), and the Pishin Lora Basin. It examined farmer perceptions and socioeconomic drivers of groundwater use. Using logistic regression on primary data from 320 respondents, the study finds a significant relationship between solarisation and increased groundwater depletion, with older farmers and those without high-efficiency irrigation systems (HEIS) contributing disproportionately to inefficient groundwater use. Unconditioned solarisation will have a negative impact on the province's shallow aquifers, potentially resulting in generational disputes among key basin residents. To address this paradox, the study suggests combining solarisation with mandatory HEIS adoption, implementing net-metering for solar wells, and improving water governance to protect shallow aquifers and ensure the long-term viability of agriculture in Balochistan.</w:t>
      </w:r>
    </w:p>
    <w:p w14:paraId="63C43AEA" w14:textId="77777777" w:rsidR="00EF3F82" w:rsidRPr="005823A7" w:rsidRDefault="00EF3F82" w:rsidP="0070432C">
      <w:pPr>
        <w:spacing w:after="0" w:line="360" w:lineRule="auto"/>
        <w:jc w:val="both"/>
        <w:rPr>
          <w:rFonts w:ascii="Times New Roman" w:eastAsia="Times New Roman" w:hAnsi="Times New Roman" w:cs="Times New Roman"/>
          <w:sz w:val="24"/>
          <w:szCs w:val="24"/>
          <w:lang w:eastAsia="en-GB"/>
        </w:rPr>
      </w:pPr>
    </w:p>
    <w:p w14:paraId="7A150C6E" w14:textId="1731E4F4" w:rsidR="007458A7" w:rsidRPr="005823A7" w:rsidRDefault="009454C7" w:rsidP="0070432C">
      <w:pPr>
        <w:spacing w:after="0" w:line="360" w:lineRule="auto"/>
        <w:jc w:val="both"/>
        <w:rPr>
          <w:rFonts w:ascii="Times New Roman" w:hAnsi="Times New Roman" w:cs="Times New Roman"/>
          <w:sz w:val="24"/>
          <w:szCs w:val="24"/>
        </w:rPr>
      </w:pPr>
      <w:r w:rsidRPr="005823A7">
        <w:rPr>
          <w:rFonts w:ascii="Times New Roman" w:hAnsi="Times New Roman" w:cs="Times New Roman"/>
          <w:sz w:val="24"/>
          <w:szCs w:val="24"/>
        </w:rPr>
        <w:lastRenderedPageBreak/>
        <w:t>Keywords: Solarization, Groundwater depletion, Electric Tubewells (ETs), high-efficiency irrigation systems (HEIS), Rural societies</w:t>
      </w:r>
    </w:p>
    <w:p w14:paraId="12B8E807" w14:textId="77777777" w:rsidR="00CC7E0B" w:rsidRPr="005823A7" w:rsidRDefault="001E5729" w:rsidP="00CA38AD">
      <w:pPr>
        <w:spacing w:before="120" w:after="120" w:line="360" w:lineRule="auto"/>
        <w:jc w:val="both"/>
        <w:rPr>
          <w:rFonts w:ascii="Times New Roman" w:hAnsi="Times New Roman" w:cs="Times New Roman"/>
          <w:b/>
          <w:sz w:val="24"/>
          <w:szCs w:val="24"/>
        </w:rPr>
      </w:pPr>
      <w:r w:rsidRPr="005823A7">
        <w:rPr>
          <w:rFonts w:ascii="Times New Roman" w:hAnsi="Times New Roman" w:cs="Times New Roman"/>
          <w:b/>
          <w:sz w:val="24"/>
          <w:szCs w:val="24"/>
        </w:rPr>
        <w:t>Introduction</w:t>
      </w:r>
    </w:p>
    <w:p w14:paraId="5AAA174E" w14:textId="7B4294A5" w:rsidR="00CC7E0B" w:rsidRPr="005823A7" w:rsidRDefault="0070432C" w:rsidP="0070432C">
      <w:pPr>
        <w:spacing w:line="360" w:lineRule="auto"/>
        <w:jc w:val="both"/>
        <w:rPr>
          <w:rFonts w:ascii="Times New Roman" w:eastAsia="Times New Roman" w:hAnsi="Times New Roman" w:cs="Times New Roman"/>
          <w:sz w:val="24"/>
          <w:szCs w:val="24"/>
          <w:lang w:eastAsia="en-GB"/>
        </w:rPr>
      </w:pPr>
      <w:r w:rsidRPr="005823A7">
        <w:rPr>
          <w:rFonts w:ascii="Times New Roman" w:hAnsi="Times New Roman" w:cs="Times New Roman"/>
          <w:sz w:val="24"/>
          <w:szCs w:val="24"/>
        </w:rPr>
        <w:t xml:space="preserve">Pakistan's energy crisis is not just an inconvenience; it severely hinders the country's economic and social development. </w:t>
      </w:r>
      <w:r w:rsidRPr="005823A7">
        <w:rPr>
          <w:rFonts w:ascii="Times New Roman" w:eastAsia="Times New Roman" w:hAnsi="Times New Roman" w:cs="Times New Roman"/>
          <w:sz w:val="24"/>
          <w:szCs w:val="24"/>
          <w:lang w:eastAsia="en-GB"/>
        </w:rPr>
        <w:t>Electricity shortages result in a loss of roughly 2% of the country's annual Gross Domestic Product (GDP), rendering them a major hindrance to growth and economic progress (Irfan et al., 2019). These shortages affect sectors dependent on a stable energy supply, including households, businesses, industry, and agriculture. The agricultural industry is especially susceptible because it relies on electricity for irrigation, a key farming practice. The lack of reliable power sources in rural societies has reduced agricultural output, adversely affected livelihoods, and obstructed rural development (Yaqoob et al., 2021).</w:t>
      </w:r>
    </w:p>
    <w:p w14:paraId="6CDE102E" w14:textId="0DC8A89E" w:rsidR="00372E96" w:rsidRPr="005823A7" w:rsidRDefault="00290573" w:rsidP="00D23B6C">
      <w:pPr>
        <w:spacing w:before="120" w:after="0" w:line="360" w:lineRule="auto"/>
        <w:jc w:val="both"/>
        <w:rPr>
          <w:rFonts w:ascii="Times New Roman" w:eastAsia="Times New Roman" w:hAnsi="Times New Roman" w:cs="Times New Roman"/>
          <w:sz w:val="24"/>
          <w:szCs w:val="24"/>
          <w:lang w:eastAsia="en-GB"/>
        </w:rPr>
      </w:pPr>
      <w:r w:rsidRPr="005823A7">
        <w:rPr>
          <w:rFonts w:ascii="Times New Roman" w:eastAsia="Times New Roman" w:hAnsi="Times New Roman" w:cs="Times New Roman"/>
          <w:sz w:val="24"/>
          <w:szCs w:val="24"/>
          <w:lang w:eastAsia="en-GB"/>
        </w:rPr>
        <w:t>Pakistan has not managed to integrate renewable energy into its national grid, despite its significant renewable energy potential, particularly solar. This underutilization has resulted in prolonged dependence on conventional energy sources, which are frequently expensive, unreliable and environmentally unsustainable (Wakeel et al., 2016). However, a transformation is taking place, particularly in rural societies, where solar systems are being used as an alternative energy source (Shah and Solangi, 2019). Solar energy is extensively regarded as a feasible solution to energy shortages, especially in agriculture, where uninterrupted power is a prerequisite for irrigation. Balochistan, Pakistan's largest province by area, has the highest average daily sunlight hours in the world, making it an ideal place for solar energy development (Shah et al., 2018). Balochistan's abundant solar radiation offers a unique opportunity to power tube wells with solar PV systems, which are crucial for groundwater extraction and agricultural sustainability in the province (Ali et al., 2020).</w:t>
      </w:r>
    </w:p>
    <w:p w14:paraId="0217EB80" w14:textId="77777777" w:rsidR="00CC7E0B" w:rsidRPr="005823A7" w:rsidRDefault="00CC7E0B" w:rsidP="00D23B6C">
      <w:pPr>
        <w:spacing w:before="120" w:after="0" w:line="360" w:lineRule="auto"/>
        <w:jc w:val="both"/>
        <w:rPr>
          <w:rFonts w:ascii="Times New Roman" w:hAnsi="Times New Roman" w:cs="Times New Roman"/>
          <w:b/>
          <w:sz w:val="24"/>
          <w:szCs w:val="24"/>
        </w:rPr>
      </w:pPr>
      <w:r w:rsidRPr="005823A7">
        <w:rPr>
          <w:rFonts w:ascii="Times New Roman" w:hAnsi="Times New Roman" w:cs="Times New Roman"/>
          <w:b/>
          <w:sz w:val="24"/>
          <w:szCs w:val="24"/>
        </w:rPr>
        <w:t>Energy and Water Crisis in Balochistan</w:t>
      </w:r>
    </w:p>
    <w:p w14:paraId="6AB2350F" w14:textId="24A129ED" w:rsidR="00290573" w:rsidRPr="005823A7" w:rsidRDefault="00290573" w:rsidP="00874D30">
      <w:pPr>
        <w:spacing w:before="120" w:after="0" w:line="360" w:lineRule="auto"/>
        <w:jc w:val="both"/>
        <w:rPr>
          <w:rFonts w:ascii="Times New Roman" w:eastAsia="Times New Roman" w:hAnsi="Times New Roman" w:cs="Times New Roman"/>
          <w:sz w:val="24"/>
          <w:szCs w:val="24"/>
          <w:lang w:eastAsia="en-GB"/>
        </w:rPr>
      </w:pPr>
      <w:r w:rsidRPr="005823A7">
        <w:rPr>
          <w:rFonts w:ascii="Times New Roman" w:eastAsia="Times New Roman" w:hAnsi="Times New Roman" w:cs="Times New Roman"/>
          <w:sz w:val="24"/>
          <w:szCs w:val="24"/>
          <w:lang w:eastAsia="en-GB"/>
        </w:rPr>
        <w:t xml:space="preserve">The transition to solar energy in Balochistan is taking place despite significant water shortages. Balochistan is currently experiencing severe water stress, exacerbated by recurrent droughts, insufficient rainfall, and over-dependence on groundwater. Groundwater is essential for water resource management, fulfilling irrigation water needs and supplying drinking water to a major portion of the population (Wakeel et al., 2016). Balochistan is experiencing a significant crisis, as groundwater tables in many regions are declining at alarming rates (Shah et al., 2018). Since the late 1990s, the groundwater table in most of Balochistan has been consistently declining, indicating extraction rates that significantly exceed natural replenishment. In Quetta, the </w:t>
      </w:r>
      <w:r w:rsidRPr="005823A7">
        <w:rPr>
          <w:rFonts w:ascii="Times New Roman" w:eastAsia="Times New Roman" w:hAnsi="Times New Roman" w:cs="Times New Roman"/>
          <w:sz w:val="24"/>
          <w:szCs w:val="24"/>
          <w:lang w:eastAsia="en-GB"/>
        </w:rPr>
        <w:lastRenderedPageBreak/>
        <w:t>provincial capital, groundwater levels have fallen to depths beyond 900-1300 feet in certain regions, presenting a significant risk to the city's three million residents (Mustafa et al., 2022; Khair et al., 2021). This depletion pattern is not limited to the capital city of Quetta but spreads throughout the province's highland regions. In the last four decades, regions such as Pishin, Kuchlak, and Ziarat have experienced a decline in groundwater levels from 50-100 feet to 900-1500 feet, indicating significant overexploitation (Ashraf, 2020). In the Pishin Lora Basin (PLB), the Zhob River Basin (ZRB), and the Nari River Basin (NRB), groundwater levels are decreasing by 10 to 40 feet per year. Of the 18 basins in Balochistan, 10 are nominated as over-exploited (Halcrow-Pakistan and Cameos, 2008; Rana et al., 2020). The rapid exhaustion of groundwater in these areas jeopardises both agricultural viability and the accessibility of fresh water for local populations. If these patterns persist, Balochistan may face significant intergenerational challenges, including possible water conflicts among residents of different basins (Ahmad, 2006).</w:t>
      </w:r>
    </w:p>
    <w:p w14:paraId="51AA7D0E" w14:textId="77777777" w:rsidR="00CC7E0B" w:rsidRPr="005823A7" w:rsidRDefault="00CC7E0B" w:rsidP="00874D30">
      <w:pPr>
        <w:spacing w:before="120" w:after="0" w:line="360" w:lineRule="auto"/>
        <w:jc w:val="both"/>
        <w:rPr>
          <w:rFonts w:ascii="Times New Roman" w:hAnsi="Times New Roman" w:cs="Times New Roman"/>
          <w:b/>
          <w:sz w:val="24"/>
          <w:szCs w:val="24"/>
        </w:rPr>
      </w:pPr>
      <w:r w:rsidRPr="005823A7">
        <w:rPr>
          <w:rFonts w:ascii="Times New Roman" w:hAnsi="Times New Roman" w:cs="Times New Roman"/>
          <w:b/>
          <w:sz w:val="24"/>
          <w:szCs w:val="24"/>
        </w:rPr>
        <w:t>Political Economy of Groundwater Development</w:t>
      </w:r>
    </w:p>
    <w:p w14:paraId="148C758E" w14:textId="714FEE3C" w:rsidR="00290573" w:rsidRPr="005823A7" w:rsidRDefault="00290573" w:rsidP="00874D30">
      <w:pPr>
        <w:spacing w:before="120" w:after="0" w:line="360" w:lineRule="auto"/>
        <w:jc w:val="both"/>
        <w:rPr>
          <w:rFonts w:ascii="Times New Roman" w:eastAsia="Times New Roman" w:hAnsi="Times New Roman" w:cs="Times New Roman"/>
          <w:sz w:val="24"/>
          <w:szCs w:val="24"/>
          <w:lang w:eastAsia="en-GB"/>
        </w:rPr>
      </w:pPr>
      <w:r w:rsidRPr="005823A7">
        <w:rPr>
          <w:rFonts w:ascii="Times New Roman" w:eastAsia="Times New Roman" w:hAnsi="Times New Roman" w:cs="Times New Roman"/>
          <w:sz w:val="24"/>
          <w:szCs w:val="24"/>
          <w:lang w:eastAsia="en-GB"/>
        </w:rPr>
        <w:t>Groundwater development has been termed as a vibrant policy tool in numerous developing nations, including Pakistan, to enhance agricultural growth. Nonetheless, these regulations frequently result in unforeseen environmental and societal consequences. Groundwater is a common-pool resource, characterized by non-excludability and non-rivalry, which complicates effective regulation without robust institutional governance. In Balochistan, inadequate institutional frameworks have led to irrational extraction, resulting in the unsustainable depletion of groundwater resources (Nagaraj et al., 1999). Government initiatives aimed at promoting groundwater development, such as tube well electrification and subsidies, have exacerbated the issue, leading to over-extraction of this resource.</w:t>
      </w:r>
    </w:p>
    <w:p w14:paraId="6B86788A" w14:textId="15AD611A" w:rsidR="00233898" w:rsidRPr="005823A7" w:rsidRDefault="00290573" w:rsidP="0070432C">
      <w:pPr>
        <w:spacing w:after="0" w:line="360" w:lineRule="auto"/>
        <w:jc w:val="both"/>
        <w:rPr>
          <w:rFonts w:ascii="Times New Roman" w:eastAsia="Times New Roman" w:hAnsi="Times New Roman" w:cs="Times New Roman"/>
          <w:sz w:val="24"/>
          <w:szCs w:val="24"/>
          <w:lang w:eastAsia="en-GB"/>
        </w:rPr>
      </w:pPr>
      <w:r w:rsidRPr="005823A7">
        <w:rPr>
          <w:rFonts w:ascii="Times New Roman" w:eastAsia="Times New Roman" w:hAnsi="Times New Roman" w:cs="Times New Roman"/>
          <w:sz w:val="24"/>
          <w:szCs w:val="24"/>
          <w:lang w:eastAsia="en-GB"/>
        </w:rPr>
        <w:t xml:space="preserve">A key policy in Balochistan that contributes to groundwater over-extraction is the subsidization of electricity for agricultural tubewells. Intended to enhance agricultural output by reducing irrigation costs, these incentives have increased the use of electric tubewells. From the late 1980s to 2008, the number of tubewells in Balochistan surged significantly, specifically in the Pishin Lora Basin, Zhob River Basin, and Nari River Basin, which are home to 40-45% of the province's populace (Khair et al., 2021). Figure 01 illustrates the rapid increase of tubewells, with the province's total exceeding 62000 registered wells by 2020, in addition to an anticipated 21300 unregistered wells (Rana et al., 2020; GOB, 2021-2022). Though these strategies have enhanced agricultural production, they have simultaneously resulted in significant environmental deterioration. The subsidisation of energy has permitted farmers to pump out </w:t>
      </w:r>
      <w:r w:rsidRPr="005823A7">
        <w:rPr>
          <w:rFonts w:ascii="Times New Roman" w:eastAsia="Times New Roman" w:hAnsi="Times New Roman" w:cs="Times New Roman"/>
          <w:sz w:val="24"/>
          <w:szCs w:val="24"/>
          <w:lang w:eastAsia="en-GB"/>
        </w:rPr>
        <w:lastRenderedPageBreak/>
        <w:t xml:space="preserve">groundwater at unsustainable levels. In 2015, farmers incurred a fixed flat-rate electricity cost of 10000 rupees, which accounted for merely 10% of the total expenditure, while the </w:t>
      </w:r>
      <w:r w:rsidRPr="005823A7">
        <w:rPr>
          <w:noProof/>
        </w:rPr>
        <w:drawing>
          <wp:anchor distT="0" distB="0" distL="114300" distR="114300" simplePos="0" relativeHeight="251664384" behindDoc="0" locked="0" layoutInCell="1" allowOverlap="1" wp14:anchorId="7A135459" wp14:editId="5297C734">
            <wp:simplePos x="0" y="0"/>
            <wp:positionH relativeFrom="margin">
              <wp:align>left</wp:align>
            </wp:positionH>
            <wp:positionV relativeFrom="paragraph">
              <wp:posOffset>603250</wp:posOffset>
            </wp:positionV>
            <wp:extent cx="5676265" cy="2482850"/>
            <wp:effectExtent l="19050" t="19050" r="19685" b="12700"/>
            <wp:wrapSquare wrapText="bothSides"/>
            <wp:docPr id="3" name="Picture 3" descr="C:\Users\amin pc\AppData\Local\Packages\Microsoft.Windows.Photos_8wekyb3d8bbwe\TempState\ShareServiceTempFolder\improved_heatmap_reduced_width.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min pc\AppData\Local\Packages\Microsoft.Windows.Photos_8wekyb3d8bbwe\TempState\ShareServiceTempFolder\improved_heatmap_reduced_width.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76265" cy="2482850"/>
                    </a:xfrm>
                    <a:prstGeom prst="rect">
                      <a:avLst/>
                    </a:prstGeom>
                    <a:noFill/>
                    <a:ln w="3175">
                      <a:solidFill>
                        <a:schemeClr val="tx1"/>
                      </a:solidFill>
                    </a:ln>
                  </pic:spPr>
                </pic:pic>
              </a:graphicData>
            </a:graphic>
          </wp:anchor>
        </w:drawing>
      </w:r>
      <w:r w:rsidRPr="005823A7">
        <w:rPr>
          <w:rFonts w:ascii="Times New Roman" w:eastAsia="Times New Roman" w:hAnsi="Times New Roman" w:cs="Times New Roman"/>
          <w:sz w:val="24"/>
          <w:szCs w:val="24"/>
          <w:lang w:eastAsia="en-GB"/>
        </w:rPr>
        <w:t xml:space="preserve">government subsidised the remaining amount (Rana et al., 2020). </w:t>
      </w:r>
    </w:p>
    <w:p w14:paraId="20CB2991" w14:textId="77777777" w:rsidR="00CC7E0B" w:rsidRPr="005823A7" w:rsidRDefault="00CC7E0B" w:rsidP="00C4134B">
      <w:pPr>
        <w:pStyle w:val="NormalWeb"/>
        <w:spacing w:before="0" w:beforeAutospacing="0" w:after="0" w:afterAutospacing="0" w:line="360" w:lineRule="auto"/>
        <w:jc w:val="both"/>
      </w:pPr>
      <w:r w:rsidRPr="005823A7">
        <w:rPr>
          <w:b/>
        </w:rPr>
        <w:t>Figure 01: Total Number of Tube Wells in Balochistan by Government and Private Sector</w:t>
      </w:r>
      <w:r w:rsidRPr="005823A7">
        <w:rPr>
          <w:b/>
        </w:rPr>
        <w:tab/>
      </w:r>
      <w:r w:rsidRPr="005823A7">
        <w:rPr>
          <w:b/>
        </w:rPr>
        <w:tab/>
      </w:r>
      <w:r w:rsidRPr="005823A7">
        <w:rPr>
          <w:b/>
        </w:rPr>
        <w:tab/>
        <w:t xml:space="preserve">             </w:t>
      </w:r>
      <w:r w:rsidRPr="005823A7">
        <w:t>Source: Rana et al., 2020; GoB, 2021-2022; Field survey, 2023</w:t>
      </w:r>
    </w:p>
    <w:p w14:paraId="2D0654A7" w14:textId="77777777" w:rsidR="00290573" w:rsidRPr="005823A7" w:rsidRDefault="00290573" w:rsidP="00C4134B">
      <w:pPr>
        <w:spacing w:before="120" w:after="0" w:line="360" w:lineRule="auto"/>
        <w:jc w:val="both"/>
        <w:rPr>
          <w:rFonts w:ascii="Times New Roman" w:eastAsia="Times New Roman" w:hAnsi="Times New Roman" w:cs="Times New Roman"/>
          <w:sz w:val="24"/>
          <w:szCs w:val="24"/>
          <w:lang w:eastAsia="en-GB"/>
        </w:rPr>
      </w:pPr>
      <w:r w:rsidRPr="005823A7">
        <w:rPr>
          <w:rFonts w:ascii="Times New Roman" w:eastAsia="Times New Roman" w:hAnsi="Times New Roman" w:cs="Times New Roman"/>
          <w:sz w:val="24"/>
          <w:szCs w:val="24"/>
          <w:lang w:eastAsia="en-GB"/>
        </w:rPr>
        <w:t>This has imposed a substantial financial strain on the government, leading to the rapid exhaustion of groundwater supplies (Ahmad, 2006; GOB, 2021-2022; Rafi-Khan and Maria, 2023).</w:t>
      </w:r>
    </w:p>
    <w:p w14:paraId="66EA4E40" w14:textId="77777777" w:rsidR="00CC7E0B" w:rsidRPr="005823A7" w:rsidRDefault="00CC7E0B" w:rsidP="00C4134B">
      <w:pPr>
        <w:spacing w:after="0" w:line="360" w:lineRule="auto"/>
        <w:jc w:val="both"/>
        <w:rPr>
          <w:rFonts w:ascii="Times New Roman" w:hAnsi="Times New Roman" w:cs="Times New Roman"/>
          <w:b/>
          <w:sz w:val="24"/>
          <w:szCs w:val="24"/>
        </w:rPr>
      </w:pPr>
      <w:r w:rsidRPr="005823A7">
        <w:rPr>
          <w:rFonts w:ascii="Times New Roman" w:hAnsi="Times New Roman" w:cs="Times New Roman"/>
          <w:b/>
          <w:sz w:val="24"/>
          <w:szCs w:val="24"/>
        </w:rPr>
        <w:t>The Solarization Initiative: A Double-Edged Sword</w:t>
      </w:r>
    </w:p>
    <w:p w14:paraId="45C8E74F" w14:textId="0772E0D5" w:rsidR="00290573" w:rsidRPr="005823A7" w:rsidRDefault="00290573" w:rsidP="008470C0">
      <w:pPr>
        <w:spacing w:before="120" w:after="0" w:line="360" w:lineRule="auto"/>
        <w:jc w:val="both"/>
        <w:rPr>
          <w:rFonts w:ascii="Times New Roman" w:eastAsia="Times New Roman" w:hAnsi="Times New Roman" w:cs="Times New Roman"/>
          <w:sz w:val="24"/>
          <w:szCs w:val="24"/>
          <w:lang w:eastAsia="en-GB"/>
        </w:rPr>
      </w:pPr>
      <w:r w:rsidRPr="005823A7">
        <w:rPr>
          <w:rFonts w:ascii="Times New Roman" w:eastAsia="Times New Roman" w:hAnsi="Times New Roman" w:cs="Times New Roman"/>
          <w:sz w:val="24"/>
          <w:szCs w:val="24"/>
          <w:lang w:eastAsia="en-GB"/>
        </w:rPr>
        <w:t>In light of the financial and environmental issues associated with tubewell irrigation, the Balochistan government has proposed an ambitious initiative to transform the province's 29,000 tubewells into a solar-powered system. The solarisation program, anticipated to cost Rs75 billion, seeks to eliminate power subsidy burdens, boost energy security, and release 900 MW of electricity for alternative uses, perhaps mitigating the province's current power deficit (DAWN, 2024). Solar-powered tubewells have the potential to transform the agricultural sector by providing a reliable, cost-effective energy source for irrigation, thereby reducing financial burdens on farmers and the government.</w:t>
      </w:r>
    </w:p>
    <w:p w14:paraId="475E976B" w14:textId="49DBEFED" w:rsidR="00351138" w:rsidRPr="005823A7" w:rsidRDefault="00290573" w:rsidP="0070432C">
      <w:pPr>
        <w:spacing w:after="0" w:line="360" w:lineRule="auto"/>
        <w:jc w:val="both"/>
        <w:rPr>
          <w:rFonts w:ascii="Times New Roman" w:eastAsia="Times New Roman" w:hAnsi="Times New Roman" w:cs="Times New Roman"/>
          <w:sz w:val="24"/>
          <w:szCs w:val="24"/>
          <w:lang w:eastAsia="en-GB"/>
        </w:rPr>
      </w:pPr>
      <w:r w:rsidRPr="005823A7">
        <w:rPr>
          <w:rFonts w:ascii="Times New Roman" w:eastAsia="Times New Roman" w:hAnsi="Times New Roman" w:cs="Times New Roman"/>
          <w:sz w:val="24"/>
          <w:szCs w:val="24"/>
          <w:lang w:eastAsia="en-GB"/>
        </w:rPr>
        <w:t xml:space="preserve">This policy shift presents its own drawbacks. The implementation of autonomous, solar-powered tubewells, operating independently of the national energy grid, may lead to unregulated groundwater extraction. Inadequate regulation significantly intensifies the risk of worsening groundwater depletion, especially in regions such as Balochistan, where groundwater recharge is weak enough due to inadequate rainfall (250-300 mm annually) and limited surface water resources. Solar-powered irrigation systems, although environmentally </w:t>
      </w:r>
      <w:r w:rsidRPr="005823A7">
        <w:rPr>
          <w:rFonts w:ascii="Times New Roman" w:eastAsia="Times New Roman" w:hAnsi="Times New Roman" w:cs="Times New Roman"/>
          <w:sz w:val="24"/>
          <w:szCs w:val="24"/>
          <w:lang w:eastAsia="en-GB"/>
        </w:rPr>
        <w:lastRenderedPageBreak/>
        <w:t>beneficial in terms of energy use, may exacerbate the region's severe water shortage if not properly regulated.</w:t>
      </w:r>
    </w:p>
    <w:p w14:paraId="2B2C79E1" w14:textId="17FDDD41" w:rsidR="00372E96" w:rsidRPr="005823A7" w:rsidRDefault="00372E96" w:rsidP="0070432C">
      <w:pPr>
        <w:spacing w:after="0" w:line="360" w:lineRule="auto"/>
        <w:jc w:val="both"/>
        <w:rPr>
          <w:rFonts w:ascii="Times New Roman" w:eastAsia="Times New Roman" w:hAnsi="Times New Roman" w:cs="Times New Roman"/>
          <w:sz w:val="24"/>
          <w:szCs w:val="24"/>
          <w:lang w:eastAsia="en-GB"/>
        </w:rPr>
      </w:pPr>
      <w:r w:rsidRPr="005823A7">
        <w:rPr>
          <w:rFonts w:ascii="Times New Roman" w:eastAsia="Times New Roman" w:hAnsi="Times New Roman" w:cs="Times New Roman"/>
          <w:sz w:val="24"/>
          <w:szCs w:val="24"/>
        </w:rPr>
        <w:t xml:space="preserve">In rural societies of </w:t>
      </w:r>
      <w:r w:rsidRPr="005823A7">
        <w:t>Baluchistan</w:t>
      </w:r>
      <w:r w:rsidRPr="005823A7">
        <w:rPr>
          <w:rFonts w:ascii="Times New Roman" w:eastAsia="Times New Roman" w:hAnsi="Times New Roman" w:cs="Times New Roman"/>
          <w:sz w:val="24"/>
          <w:szCs w:val="24"/>
        </w:rPr>
        <w:t>, groundwater extraction through tube wells is not simply an irrigation practice</w:t>
      </w:r>
      <w:r w:rsidRPr="005823A7">
        <w:t xml:space="preserve">, </w:t>
      </w:r>
      <w:r w:rsidRPr="005823A7">
        <w:rPr>
          <w:rFonts w:ascii="Times New Roman" w:eastAsia="Times New Roman" w:hAnsi="Times New Roman" w:cs="Times New Roman"/>
          <w:sz w:val="24"/>
          <w:szCs w:val="24"/>
        </w:rPr>
        <w:t xml:space="preserve">it is the structural foundation of an agrarian economy that sustains millions of smallholder households across ecologically fragile highland basins. Farming families in areas such as the Zhob, Nari, and Pishin Lora basins depend on subsurface water for every stage of agricultural production, and by extension, for income generation, debt repayment, and basic food provisioning (Hanjra &amp; Qureshi, 2010; Watto &amp; Mugera, 2016). This socioeconomic dependence is so deeply embedded that fluctuations in groundwater availability translate directly into household poverty, seasonal migration, and long-term agrarian distress (Qureshi et al., 2022). It is within this context of structural water dependency that the government’s </w:t>
      </w:r>
      <w:r w:rsidRPr="005823A7">
        <w:t>solarization</w:t>
      </w:r>
      <w:r w:rsidRPr="005823A7">
        <w:rPr>
          <w:rFonts w:ascii="Times New Roman" w:eastAsia="Times New Roman" w:hAnsi="Times New Roman" w:cs="Times New Roman"/>
          <w:sz w:val="24"/>
          <w:szCs w:val="24"/>
        </w:rPr>
        <w:t xml:space="preserve"> initiative must be critically examined, as policies designed to reduce energy costs for irrigation inevitably reshape the incentive structures governing how much water rural societies extract, when, and at what ecological cost (Shah, 2022; Ahmad et al., 2023)</w:t>
      </w:r>
    </w:p>
    <w:p w14:paraId="12E3B5EC" w14:textId="77777777" w:rsidR="00CC7E0B" w:rsidRPr="005823A7" w:rsidRDefault="00CC7E0B" w:rsidP="0070432C">
      <w:pPr>
        <w:spacing w:after="0" w:line="360" w:lineRule="auto"/>
        <w:jc w:val="both"/>
        <w:rPr>
          <w:rFonts w:ascii="Times New Roman" w:hAnsi="Times New Roman" w:cs="Times New Roman"/>
          <w:b/>
          <w:sz w:val="24"/>
          <w:szCs w:val="24"/>
        </w:rPr>
      </w:pPr>
      <w:r w:rsidRPr="005823A7">
        <w:rPr>
          <w:rFonts w:ascii="Times New Roman" w:hAnsi="Times New Roman" w:cs="Times New Roman"/>
          <w:b/>
          <w:sz w:val="24"/>
          <w:szCs w:val="24"/>
        </w:rPr>
        <w:t>Groundwater Development Policies and Their Implications</w:t>
      </w:r>
    </w:p>
    <w:p w14:paraId="44C6CE3D" w14:textId="532333F6" w:rsidR="00351138" w:rsidRPr="005823A7" w:rsidRDefault="00351138" w:rsidP="0070432C">
      <w:pPr>
        <w:spacing w:after="0" w:line="360" w:lineRule="auto"/>
        <w:jc w:val="both"/>
        <w:rPr>
          <w:rFonts w:ascii="Times New Roman" w:eastAsia="Times New Roman" w:hAnsi="Times New Roman" w:cs="Times New Roman"/>
          <w:sz w:val="24"/>
          <w:szCs w:val="24"/>
          <w:lang w:eastAsia="en-GB"/>
        </w:rPr>
      </w:pPr>
      <w:r w:rsidRPr="005823A7">
        <w:rPr>
          <w:rFonts w:ascii="Times New Roman" w:eastAsia="Times New Roman" w:hAnsi="Times New Roman" w:cs="Times New Roman"/>
          <w:sz w:val="24"/>
          <w:szCs w:val="24"/>
          <w:lang w:eastAsia="en-GB"/>
        </w:rPr>
        <w:t>The government's groundwater development initiative in Balochistan has focused primarily on expanding irrigated agriculture through tubewells. The spread of tubewells has enabled farmers to grow high-value crops, including fruits and vegetables, thereby encouraging the region's economic development. Nonetheless, these advancements have resulted in significant environmental impacts, particularly groundwater depletion. In 2008, there were approximately 2123 tubewells in Balochistan, representing 62% of the province's total wells, mainly located in the Pishin Lora, Zhob, and Nari River Basins (WAPDA, 1930). Figure 02 illustrates a significant reduction in groundwater levels in these basins, with the water table decreasing from 50-100 feet to over 200-800 feet within a decade (Ahmad, 2006).</w:t>
      </w:r>
    </w:p>
    <w:p w14:paraId="19E2DA25" w14:textId="77777777" w:rsidR="00C110F6" w:rsidRPr="005823A7" w:rsidRDefault="00C110F6" w:rsidP="0070432C">
      <w:pPr>
        <w:spacing w:after="0" w:line="360" w:lineRule="auto"/>
        <w:jc w:val="both"/>
        <w:rPr>
          <w:rFonts w:ascii="Times New Roman" w:hAnsi="Times New Roman" w:cs="Times New Roman"/>
          <w:sz w:val="24"/>
          <w:szCs w:val="24"/>
        </w:rPr>
      </w:pPr>
      <w:r w:rsidRPr="005823A7">
        <w:rPr>
          <w:noProof/>
          <w:lang w:eastAsia="en-GB"/>
        </w:rPr>
        <w:lastRenderedPageBreak/>
        <w:drawing>
          <wp:inline distT="0" distB="0" distL="0" distR="0" wp14:anchorId="23C1ECE2" wp14:editId="61A96F85">
            <wp:extent cx="5683250" cy="2774950"/>
            <wp:effectExtent l="19050" t="19050" r="12700" b="25400"/>
            <wp:docPr id="52" name="Picture 52" descr="C:\Users\amin pc\Downloads\Water_Level_GW_Depletion_Final_HD.png"/>
            <wp:cNvGraphicFramePr/>
            <a:graphic xmlns:a="http://schemas.openxmlformats.org/drawingml/2006/main">
              <a:graphicData uri="http://schemas.openxmlformats.org/drawingml/2006/picture">
                <pic:pic xmlns:pic="http://schemas.openxmlformats.org/drawingml/2006/picture">
                  <pic:nvPicPr>
                    <pic:cNvPr id="52" name="Picture 52" descr="C:\Users\amin pc\Downloads\Water_Level_GW_Depletion_Final_HD.png"/>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83250" cy="2774950"/>
                    </a:xfrm>
                    <a:prstGeom prst="rect">
                      <a:avLst/>
                    </a:prstGeom>
                    <a:noFill/>
                    <a:ln w="3175">
                      <a:solidFill>
                        <a:schemeClr val="tx1"/>
                      </a:solidFill>
                    </a:ln>
                  </pic:spPr>
                </pic:pic>
              </a:graphicData>
            </a:graphic>
          </wp:inline>
        </w:drawing>
      </w:r>
    </w:p>
    <w:p w14:paraId="2ED78B12" w14:textId="77777777" w:rsidR="00CC7E0B" w:rsidRPr="005823A7" w:rsidRDefault="00CA0B0D" w:rsidP="00FC6556">
      <w:pPr>
        <w:spacing w:after="0" w:line="360" w:lineRule="auto"/>
        <w:jc w:val="center"/>
        <w:rPr>
          <w:rFonts w:ascii="Times New Roman" w:hAnsi="Times New Roman" w:cs="Times New Roman"/>
          <w:b/>
          <w:sz w:val="24"/>
          <w:szCs w:val="24"/>
        </w:rPr>
      </w:pPr>
      <w:r w:rsidRPr="005823A7">
        <w:rPr>
          <w:rFonts w:ascii="Times New Roman" w:hAnsi="Times New Roman" w:cs="Times New Roman"/>
          <w:b/>
          <w:sz w:val="24"/>
          <w:szCs w:val="24"/>
        </w:rPr>
        <w:t>Figure 02: Declining Groundwater Levels in Balochistan</w:t>
      </w:r>
    </w:p>
    <w:p w14:paraId="1DFEEBE9" w14:textId="77777777" w:rsidR="00CC7E0B" w:rsidRPr="005823A7" w:rsidRDefault="00CC7E0B" w:rsidP="00FC6556">
      <w:pPr>
        <w:spacing w:after="0" w:line="360" w:lineRule="auto"/>
        <w:jc w:val="right"/>
        <w:rPr>
          <w:rFonts w:ascii="Times New Roman" w:hAnsi="Times New Roman" w:cs="Times New Roman"/>
          <w:sz w:val="24"/>
          <w:szCs w:val="24"/>
        </w:rPr>
      </w:pPr>
      <w:r w:rsidRPr="005823A7">
        <w:rPr>
          <w:rFonts w:ascii="Times New Roman" w:hAnsi="Times New Roman" w:cs="Times New Roman"/>
          <w:sz w:val="24"/>
          <w:szCs w:val="24"/>
        </w:rPr>
        <w:t>Source: Ahmad, 2006a; GOB, 2021-2022</w:t>
      </w:r>
    </w:p>
    <w:p w14:paraId="57AD103A" w14:textId="625B743B" w:rsidR="00351138" w:rsidRPr="005823A7" w:rsidRDefault="00351138" w:rsidP="00904FA4">
      <w:pPr>
        <w:spacing w:before="120" w:after="0" w:line="360" w:lineRule="auto"/>
        <w:jc w:val="both"/>
        <w:rPr>
          <w:rFonts w:ascii="Times New Roman" w:eastAsia="Times New Roman" w:hAnsi="Times New Roman" w:cs="Times New Roman"/>
          <w:sz w:val="24"/>
          <w:szCs w:val="24"/>
          <w:lang w:eastAsia="en-GB"/>
        </w:rPr>
      </w:pPr>
      <w:r w:rsidRPr="005823A7">
        <w:rPr>
          <w:rFonts w:ascii="Times New Roman" w:eastAsia="Times New Roman" w:hAnsi="Times New Roman" w:cs="Times New Roman"/>
          <w:sz w:val="24"/>
          <w:szCs w:val="24"/>
          <w:lang w:eastAsia="en-GB"/>
        </w:rPr>
        <w:t>The dependence on electric- and diesel-powered tubewells, combined with over-extraction, has adversely affected the traditional Kareze irrigation system, which has historically been important to Balochistan's community water management. The Kareze system, consisting of underground canals that convey water from aquifers to surface regions for irrigation, has been used for centuries but is currently in decline due to the widespread adoption of tubewells. Karezes, which previously accounted for 60% of irrigation systems in districts such as Killa Saifullah, Loralai, Pishin, and Ziarat, are rapidly disappearing (Ashraf, 2020).</w:t>
      </w:r>
    </w:p>
    <w:p w14:paraId="25545EF5" w14:textId="77777777" w:rsidR="00CA0B0D" w:rsidRPr="005823A7" w:rsidRDefault="00CA0B0D" w:rsidP="00904FA4">
      <w:pPr>
        <w:spacing w:before="120" w:after="0" w:line="360" w:lineRule="auto"/>
        <w:jc w:val="both"/>
        <w:rPr>
          <w:rFonts w:ascii="Times New Roman" w:eastAsia="Times New Roman" w:hAnsi="Times New Roman" w:cs="Times New Roman"/>
          <w:sz w:val="24"/>
          <w:szCs w:val="24"/>
          <w:lang w:eastAsia="en-GB"/>
        </w:rPr>
      </w:pPr>
    </w:p>
    <w:p w14:paraId="30CBA756" w14:textId="77777777" w:rsidR="0095591F" w:rsidRPr="005823A7" w:rsidRDefault="00CC7E0B" w:rsidP="00904FA4">
      <w:pPr>
        <w:spacing w:before="120" w:after="0" w:line="360" w:lineRule="auto"/>
        <w:jc w:val="both"/>
        <w:rPr>
          <w:rFonts w:ascii="Times New Roman" w:hAnsi="Times New Roman" w:cs="Times New Roman"/>
          <w:b/>
          <w:sz w:val="24"/>
          <w:szCs w:val="24"/>
        </w:rPr>
      </w:pPr>
      <w:r w:rsidRPr="005823A7">
        <w:rPr>
          <w:rFonts w:ascii="Times New Roman" w:hAnsi="Times New Roman" w:cs="Times New Roman"/>
          <w:b/>
          <w:sz w:val="24"/>
          <w:szCs w:val="24"/>
        </w:rPr>
        <w:t>Problem Statement</w:t>
      </w:r>
    </w:p>
    <w:p w14:paraId="0FDF48EA" w14:textId="77777777" w:rsidR="0093700A" w:rsidRPr="005823A7" w:rsidRDefault="00010D42" w:rsidP="00904FA4">
      <w:pPr>
        <w:spacing w:after="0" w:line="360" w:lineRule="auto"/>
        <w:jc w:val="both"/>
        <w:rPr>
          <w:rFonts w:ascii="Times New Roman" w:eastAsia="Times New Roman" w:hAnsi="Times New Roman" w:cs="Times New Roman"/>
          <w:sz w:val="24"/>
          <w:szCs w:val="24"/>
          <w:lang w:eastAsia="en-GB"/>
        </w:rPr>
      </w:pPr>
      <w:r w:rsidRPr="005823A7">
        <w:rPr>
          <w:rFonts w:ascii="Times New Roman" w:hAnsi="Times New Roman" w:cs="Times New Roman"/>
          <w:noProof/>
          <w:sz w:val="24"/>
          <w:szCs w:val="24"/>
          <w:lang w:eastAsia="en-GB"/>
        </w:rPr>
        <w:lastRenderedPageBreak/>
        <w:drawing>
          <wp:anchor distT="0" distB="0" distL="114300" distR="114300" simplePos="0" relativeHeight="251663360" behindDoc="0" locked="0" layoutInCell="1" allowOverlap="1" wp14:anchorId="3C281DDA" wp14:editId="6A0E1A8C">
            <wp:simplePos x="0" y="0"/>
            <wp:positionH relativeFrom="margin">
              <wp:posOffset>-31115</wp:posOffset>
            </wp:positionH>
            <wp:positionV relativeFrom="paragraph">
              <wp:posOffset>1363980</wp:posOffset>
            </wp:positionV>
            <wp:extent cx="5730240" cy="2835910"/>
            <wp:effectExtent l="19050" t="19050" r="22860" b="21590"/>
            <wp:wrapSquare wrapText="bothSides"/>
            <wp:docPr id="2" name="Picture 2" descr="C:\Users\amin pc\Desktop\plots and graphs\Solar pic for solarization pap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in pc\Desktop\plots and graphs\Solar pic for solarization pape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0240" cy="2835910"/>
                    </a:xfrm>
                    <a:prstGeom prst="rect">
                      <a:avLst/>
                    </a:prstGeom>
                    <a:noFill/>
                    <a:ln w="3175">
                      <a:solidFill>
                        <a:schemeClr val="tx1"/>
                      </a:solidFill>
                    </a:ln>
                  </pic:spPr>
                </pic:pic>
              </a:graphicData>
            </a:graphic>
            <wp14:sizeRelV relativeFrom="margin">
              <wp14:pctHeight>0</wp14:pctHeight>
            </wp14:sizeRelV>
          </wp:anchor>
        </w:drawing>
      </w:r>
      <w:r w:rsidRPr="005823A7">
        <w:rPr>
          <w:rFonts w:ascii="Times New Roman" w:eastAsia="Times New Roman" w:hAnsi="Times New Roman" w:cs="Times New Roman"/>
          <w:sz w:val="24"/>
          <w:szCs w:val="24"/>
          <w:lang w:eastAsia="en-GB"/>
        </w:rPr>
        <w:t xml:space="preserve">This study thoroughly analyses farmers' perspectives on the solarisation program for tubewells in Highland Balochistan, emphasising the associated social and environmental threats. The principal issue is the potential for unregulated water withdrawal from independent solar-powered tube wells, which may aggravate groundwater depletion in an area already experiencing significant water scarcity. </w:t>
      </w:r>
    </w:p>
    <w:p w14:paraId="03FCF51B" w14:textId="3C13293E" w:rsidR="0093700A" w:rsidRPr="005823A7" w:rsidRDefault="0089101E" w:rsidP="00D937F5">
      <w:pPr>
        <w:pStyle w:val="Caption"/>
        <w:spacing w:before="120" w:after="0"/>
        <w:jc w:val="center"/>
        <w:rPr>
          <w:rFonts w:ascii="Times New Roman" w:hAnsi="Times New Roman" w:cs="Times New Roman"/>
          <w:b/>
          <w:i w:val="0"/>
          <w:color w:val="auto"/>
          <w:sz w:val="24"/>
          <w:szCs w:val="24"/>
        </w:rPr>
      </w:pPr>
      <w:r w:rsidRPr="005823A7">
        <w:rPr>
          <w:rFonts w:ascii="Times New Roman" w:hAnsi="Times New Roman" w:cs="Times New Roman"/>
          <w:b/>
          <w:i w:val="0"/>
          <w:color w:val="auto"/>
          <w:sz w:val="24"/>
          <w:szCs w:val="24"/>
        </w:rPr>
        <w:t>Figure 03: Groundwater extraction with the use of solar power</w:t>
      </w:r>
    </w:p>
    <w:p w14:paraId="1A53B3D9" w14:textId="77777777" w:rsidR="0089101E" w:rsidRPr="005823A7" w:rsidRDefault="0089101E" w:rsidP="0089101E">
      <w:pPr>
        <w:spacing w:before="120" w:after="0" w:line="360" w:lineRule="auto"/>
        <w:jc w:val="right"/>
        <w:rPr>
          <w:rFonts w:ascii="Times New Roman" w:eastAsia="Times New Roman" w:hAnsi="Times New Roman" w:cs="Times New Roman"/>
          <w:sz w:val="24"/>
          <w:szCs w:val="24"/>
          <w:lang w:eastAsia="en-GB"/>
        </w:rPr>
      </w:pPr>
      <w:r w:rsidRPr="005823A7">
        <w:rPr>
          <w:rFonts w:ascii="Times New Roman" w:eastAsia="Times New Roman" w:hAnsi="Times New Roman" w:cs="Times New Roman"/>
          <w:sz w:val="24"/>
          <w:szCs w:val="24"/>
          <w:lang w:eastAsia="en-GB"/>
        </w:rPr>
        <w:t>Source: Field survey, 2023</w:t>
      </w:r>
    </w:p>
    <w:p w14:paraId="182757AA" w14:textId="6535E5D4" w:rsidR="00351138" w:rsidRPr="005823A7" w:rsidRDefault="00351138" w:rsidP="00010D42">
      <w:pPr>
        <w:spacing w:before="120" w:after="0" w:line="360" w:lineRule="auto"/>
        <w:jc w:val="both"/>
        <w:rPr>
          <w:rFonts w:ascii="Times New Roman" w:eastAsia="Times New Roman" w:hAnsi="Times New Roman" w:cs="Times New Roman"/>
          <w:sz w:val="24"/>
          <w:szCs w:val="24"/>
          <w:lang w:eastAsia="en-GB"/>
        </w:rPr>
      </w:pPr>
      <w:r w:rsidRPr="005823A7">
        <w:rPr>
          <w:rFonts w:ascii="Times New Roman" w:eastAsia="Times New Roman" w:hAnsi="Times New Roman" w:cs="Times New Roman"/>
          <w:sz w:val="24"/>
          <w:szCs w:val="24"/>
          <w:lang w:eastAsia="en-GB"/>
        </w:rPr>
        <w:t xml:space="preserve">This study critically evaluates the perceptions of the agricultural community and examines the key deficiencies in the solarisation policy. A primary concern is the diminished control over the functioning of these autonomous solar-powered tube wells, which may exacerbate the depletion of already strained groundwater resources. The study assesses whether the policy of solarising tube wells is detrimental or beneficial for agriculture in the highlands of Balochistan. This study investigates whether solarisation can offer a sustainable solution to severe water scarcity or exacerbate the problem. The investigation examines the complex trade-offs, weighing the economic incentives for adopting solar technology against the potential impacts on groundwater sustainability. </w:t>
      </w:r>
    </w:p>
    <w:p w14:paraId="385AC157" w14:textId="77777777" w:rsidR="00385FC0" w:rsidRPr="005823A7" w:rsidRDefault="00385FC0" w:rsidP="00010D42">
      <w:pPr>
        <w:spacing w:before="120" w:after="0" w:line="360" w:lineRule="auto"/>
        <w:jc w:val="both"/>
        <w:rPr>
          <w:rFonts w:ascii="Times New Roman" w:eastAsia="Times New Roman" w:hAnsi="Times New Roman" w:cs="Times New Roman"/>
          <w:sz w:val="24"/>
          <w:szCs w:val="24"/>
          <w:lang w:eastAsia="en-GB"/>
        </w:rPr>
      </w:pPr>
    </w:p>
    <w:p w14:paraId="0CB8035F" w14:textId="77777777" w:rsidR="00010D42" w:rsidRPr="005823A7" w:rsidRDefault="00010D42" w:rsidP="00010D42">
      <w:pPr>
        <w:spacing w:before="120" w:after="0" w:line="360" w:lineRule="auto"/>
        <w:jc w:val="both"/>
        <w:rPr>
          <w:rFonts w:ascii="Times New Roman" w:eastAsia="Times New Roman" w:hAnsi="Times New Roman" w:cs="Times New Roman"/>
          <w:sz w:val="24"/>
          <w:szCs w:val="24"/>
          <w:lang w:eastAsia="en-GB"/>
        </w:rPr>
      </w:pPr>
    </w:p>
    <w:p w14:paraId="0A66020C" w14:textId="77777777" w:rsidR="00010D42" w:rsidRPr="005823A7" w:rsidRDefault="00010D42" w:rsidP="00010D42">
      <w:pPr>
        <w:spacing w:before="120" w:after="0" w:line="360" w:lineRule="auto"/>
        <w:jc w:val="both"/>
        <w:rPr>
          <w:rFonts w:ascii="Times New Roman" w:eastAsia="Times New Roman" w:hAnsi="Times New Roman" w:cs="Times New Roman"/>
          <w:sz w:val="24"/>
          <w:szCs w:val="24"/>
          <w:lang w:eastAsia="en-GB"/>
        </w:rPr>
      </w:pPr>
    </w:p>
    <w:p w14:paraId="0669321F" w14:textId="77777777" w:rsidR="007F400A" w:rsidRPr="005823A7" w:rsidRDefault="007F400A" w:rsidP="00010D42">
      <w:pPr>
        <w:spacing w:before="120" w:after="0" w:line="360" w:lineRule="auto"/>
        <w:jc w:val="both"/>
        <w:rPr>
          <w:rFonts w:ascii="Times New Roman" w:eastAsia="Times New Roman" w:hAnsi="Times New Roman" w:cs="Times New Roman"/>
          <w:sz w:val="24"/>
          <w:szCs w:val="24"/>
          <w:lang w:eastAsia="en-GB"/>
        </w:rPr>
      </w:pPr>
    </w:p>
    <w:p w14:paraId="0CB485BD" w14:textId="77777777" w:rsidR="009B7DA3" w:rsidRPr="005823A7" w:rsidRDefault="00E01F41" w:rsidP="00010D42">
      <w:pPr>
        <w:spacing w:before="120" w:after="0" w:line="360" w:lineRule="auto"/>
        <w:jc w:val="both"/>
        <w:rPr>
          <w:rFonts w:ascii="Times New Roman" w:hAnsi="Times New Roman" w:cs="Times New Roman"/>
          <w:b/>
          <w:sz w:val="28"/>
          <w:szCs w:val="28"/>
        </w:rPr>
      </w:pPr>
      <w:r w:rsidRPr="005823A7">
        <w:rPr>
          <w:rFonts w:ascii="Times New Roman" w:hAnsi="Times New Roman" w:cs="Times New Roman"/>
          <w:b/>
          <w:sz w:val="28"/>
          <w:szCs w:val="28"/>
        </w:rPr>
        <w:lastRenderedPageBreak/>
        <w:t xml:space="preserve">Materials and Methods </w:t>
      </w:r>
    </w:p>
    <w:p w14:paraId="047B592A" w14:textId="77777777" w:rsidR="009B7DA3" w:rsidRPr="005823A7" w:rsidRDefault="009B7DA3" w:rsidP="00010D42">
      <w:pPr>
        <w:spacing w:before="120" w:after="0" w:line="360" w:lineRule="auto"/>
        <w:jc w:val="both"/>
        <w:rPr>
          <w:rFonts w:ascii="Times New Roman" w:hAnsi="Times New Roman" w:cs="Times New Roman"/>
          <w:b/>
          <w:sz w:val="24"/>
          <w:szCs w:val="24"/>
        </w:rPr>
      </w:pPr>
      <w:r w:rsidRPr="005823A7">
        <w:rPr>
          <w:rFonts w:ascii="Times New Roman" w:hAnsi="Times New Roman" w:cs="Times New Roman"/>
          <w:b/>
          <w:sz w:val="24"/>
          <w:szCs w:val="24"/>
        </w:rPr>
        <w:t>Study area</w:t>
      </w:r>
    </w:p>
    <w:p w14:paraId="0B1847E6" w14:textId="29892D5A" w:rsidR="00351138" w:rsidRPr="005823A7" w:rsidRDefault="00351138" w:rsidP="00010D42">
      <w:pPr>
        <w:spacing w:before="120" w:after="0" w:line="360" w:lineRule="auto"/>
        <w:jc w:val="both"/>
        <w:rPr>
          <w:rFonts w:ascii="Times New Roman" w:eastAsia="Times New Roman" w:hAnsi="Times New Roman" w:cs="Times New Roman"/>
          <w:sz w:val="24"/>
          <w:szCs w:val="24"/>
          <w:lang w:eastAsia="en-GB"/>
        </w:rPr>
      </w:pPr>
      <w:r w:rsidRPr="005823A7">
        <w:rPr>
          <w:rFonts w:ascii="Times New Roman" w:eastAsia="Times New Roman" w:hAnsi="Times New Roman" w:cs="Times New Roman"/>
          <w:sz w:val="24"/>
          <w:szCs w:val="24"/>
          <w:lang w:eastAsia="en-GB"/>
        </w:rPr>
        <w:t>This research was conducted in Balochistan, a Southwestern region of Pakistan, including over 347190 square kilometres and situated between latitudes 25°-32° N and longitudes 61°-71° E. Balochistan, characterized by an arid environment and average annual rainfall below 250 mm, predominantly depends on groundwater for agricultural purposes (GOB, 2021-22). The highlands region, one of the province's six agroecological zones, is arid, receiving only 200-250 mm of rainfall annually, underscoring the need for sustainable irrigation supplies (IUCN, 2000). This area involves significant agricultural districts such as Killa Saif Ullah, Pishin, and Quetta. In the study, the highlands were categorised by elevation into low-altitude areas (1050-1550 meters), medium-altitude areas (1551-2050 meters), and high-altitude areas (above 2051 meters), acknowledging the varied climatic, agricultural, and water resource conditions at these elevations (Chudhary et al., 2008; Rana et al., 2021).</w:t>
      </w:r>
    </w:p>
    <w:p w14:paraId="3D8AF967" w14:textId="77777777" w:rsidR="00A42156" w:rsidRPr="005823A7" w:rsidRDefault="00AE0A33" w:rsidP="00010D42">
      <w:pPr>
        <w:spacing w:before="120" w:after="0" w:line="360" w:lineRule="auto"/>
        <w:jc w:val="both"/>
        <w:rPr>
          <w:rFonts w:ascii="Times New Roman" w:hAnsi="Times New Roman" w:cs="Times New Roman"/>
          <w:b/>
          <w:sz w:val="24"/>
          <w:szCs w:val="24"/>
        </w:rPr>
      </w:pPr>
      <w:r w:rsidRPr="005823A7">
        <w:rPr>
          <w:rFonts w:ascii="Times New Roman" w:hAnsi="Times New Roman" w:cs="Times New Roman"/>
          <w:b/>
          <w:sz w:val="24"/>
          <w:szCs w:val="24"/>
        </w:rPr>
        <w:t>Questionnaire Design and Sampling Framework</w:t>
      </w:r>
    </w:p>
    <w:p w14:paraId="178EBCC3" w14:textId="40DFFE66" w:rsidR="00351138" w:rsidRPr="005823A7" w:rsidRDefault="00351138" w:rsidP="00AE0A33">
      <w:pPr>
        <w:spacing w:line="360" w:lineRule="auto"/>
        <w:jc w:val="both"/>
        <w:rPr>
          <w:rFonts w:ascii="Times New Roman" w:hAnsi="Times New Roman" w:cs="Times New Roman"/>
          <w:b/>
          <w:sz w:val="24"/>
          <w:szCs w:val="24"/>
        </w:rPr>
      </w:pPr>
      <w:r w:rsidRPr="005823A7">
        <w:rPr>
          <w:rFonts w:ascii="Times New Roman" w:eastAsia="Times New Roman" w:hAnsi="Times New Roman" w:cs="Times New Roman"/>
          <w:sz w:val="24"/>
          <w:szCs w:val="24"/>
          <w:lang w:eastAsia="en-GB"/>
        </w:rPr>
        <w:t>A comprehensive questionnaire was created, evaluated by research experts, and enhanced based on their feedback to ensure data reliability. The Department of Agriculture provided a thorough list of villages of three important basins, ensuring a representative sampling frame for the sampling framework. Sample villages were selected to reflect the diverse topographic conditions of the respondents accurately.</w:t>
      </w:r>
    </w:p>
    <w:p w14:paraId="59EC3E3C" w14:textId="77777777" w:rsidR="00AE0A33" w:rsidRPr="005823A7" w:rsidRDefault="00AE0A33" w:rsidP="00010D42">
      <w:pPr>
        <w:spacing w:before="120" w:after="0" w:line="360" w:lineRule="auto"/>
        <w:jc w:val="both"/>
        <w:rPr>
          <w:rFonts w:ascii="Times New Roman" w:hAnsi="Times New Roman" w:cs="Times New Roman"/>
          <w:b/>
          <w:sz w:val="24"/>
          <w:szCs w:val="24"/>
        </w:rPr>
      </w:pPr>
      <w:r w:rsidRPr="005823A7">
        <w:rPr>
          <w:rFonts w:ascii="Times New Roman" w:hAnsi="Times New Roman" w:cs="Times New Roman"/>
          <w:b/>
          <w:sz w:val="24"/>
          <w:szCs w:val="24"/>
        </w:rPr>
        <w:t>Sample Size Selection and Data Collection</w:t>
      </w:r>
    </w:p>
    <w:p w14:paraId="571C62E1" w14:textId="3A6E9075" w:rsidR="00351138" w:rsidRPr="005823A7" w:rsidRDefault="00351138" w:rsidP="00010D42">
      <w:pPr>
        <w:spacing w:before="120" w:after="0" w:line="360" w:lineRule="auto"/>
        <w:jc w:val="both"/>
        <w:rPr>
          <w:rFonts w:ascii="Times New Roman" w:eastAsia="Times New Roman" w:hAnsi="Times New Roman" w:cs="Times New Roman"/>
          <w:sz w:val="24"/>
          <w:szCs w:val="24"/>
          <w:lang w:eastAsia="en-GB"/>
        </w:rPr>
      </w:pPr>
      <w:r w:rsidRPr="005823A7">
        <w:rPr>
          <w:rFonts w:ascii="Times New Roman" w:eastAsia="Times New Roman" w:hAnsi="Times New Roman" w:cs="Times New Roman"/>
          <w:sz w:val="24"/>
          <w:szCs w:val="24"/>
          <w:lang w:eastAsia="en-GB"/>
        </w:rPr>
        <w:t>The highlands were selected among six agroecological zones due to their declining groundwater levels and acute water constraints. In this area, three principal basins were deliberately chosen: Zhob River Basin (ZRB), Nari River Basin (NRB), and Pishin Lora Basin (PLB). Primary data were gathered from five deliberately selected settlements within each basin. Using the formula by Yamane (1968), n = N/(1 + N*e²), a representative sample of 350 respondents was selected through a proportionate stratified sampling technique.</w:t>
      </w:r>
    </w:p>
    <w:p w14:paraId="770A3ED5" w14:textId="77777777" w:rsidR="009B7DA3" w:rsidRPr="005823A7" w:rsidRDefault="009B7DA3" w:rsidP="00010D42">
      <w:pPr>
        <w:spacing w:before="120" w:after="0" w:line="360" w:lineRule="auto"/>
        <w:jc w:val="both"/>
        <w:rPr>
          <w:rFonts w:ascii="Times New Roman" w:hAnsi="Times New Roman" w:cs="Times New Roman"/>
          <w:b/>
          <w:sz w:val="24"/>
          <w:szCs w:val="24"/>
        </w:rPr>
      </w:pPr>
      <w:r w:rsidRPr="005823A7">
        <w:rPr>
          <w:rFonts w:ascii="Times New Roman" w:hAnsi="Times New Roman" w:cs="Times New Roman"/>
          <w:b/>
          <w:sz w:val="24"/>
          <w:szCs w:val="24"/>
        </w:rPr>
        <w:t xml:space="preserve">Econometric Modelling </w:t>
      </w:r>
    </w:p>
    <w:p w14:paraId="5F195D33" w14:textId="77777777" w:rsidR="003E7CE0" w:rsidRPr="005823A7" w:rsidRDefault="00E01F41" w:rsidP="00DA7AE5">
      <w:pPr>
        <w:spacing w:before="120" w:after="120" w:line="360" w:lineRule="auto"/>
        <w:ind w:left="567" w:hanging="567"/>
        <w:jc w:val="both"/>
        <w:rPr>
          <w:rStyle w:val="Emphasis"/>
          <w:rFonts w:ascii="Times New Roman" w:hAnsi="Times New Roman" w:cs="Times New Roman"/>
          <w:sz w:val="24"/>
          <w:szCs w:val="24"/>
          <w:shd w:val="clear" w:color="auto" w:fill="FFFFFF"/>
        </w:rPr>
      </w:pPr>
      <w:r w:rsidRPr="005823A7">
        <w:rPr>
          <w:rStyle w:val="Emphasis"/>
          <w:rFonts w:ascii="Times New Roman" w:hAnsi="Times New Roman" w:cs="Times New Roman"/>
          <w:b/>
          <w:i w:val="0"/>
          <w:iCs w:val="0"/>
          <w:sz w:val="24"/>
          <w:szCs w:val="24"/>
          <w:shd w:val="clear" w:color="auto" w:fill="FFFFFF"/>
        </w:rPr>
        <w:t>Logit Regression</w:t>
      </w:r>
      <w:r w:rsidRPr="005823A7">
        <w:rPr>
          <w:rStyle w:val="Emphasis"/>
          <w:rFonts w:ascii="Times New Roman" w:hAnsi="Times New Roman" w:cs="Times New Roman"/>
          <w:b/>
          <w:sz w:val="24"/>
          <w:szCs w:val="24"/>
          <w:shd w:val="clear" w:color="auto" w:fill="FFFFFF"/>
        </w:rPr>
        <w:t>.</w:t>
      </w:r>
    </w:p>
    <w:p w14:paraId="6B19560D" w14:textId="77777777" w:rsidR="003E7CE0" w:rsidRPr="005823A7" w:rsidRDefault="003E7CE0" w:rsidP="00DA7AE5">
      <w:pPr>
        <w:spacing w:before="120" w:after="120" w:line="360" w:lineRule="auto"/>
        <w:jc w:val="both"/>
        <w:rPr>
          <w:rStyle w:val="Emphasis"/>
          <w:rFonts w:ascii="Times New Roman" w:hAnsi="Times New Roman" w:cs="Times New Roman"/>
          <w:b/>
          <w:i w:val="0"/>
          <w:iCs w:val="0"/>
          <w:sz w:val="24"/>
          <w:szCs w:val="24"/>
          <w:shd w:val="clear" w:color="auto" w:fill="FFFFFF"/>
        </w:rPr>
      </w:pPr>
      <w:r w:rsidRPr="005823A7">
        <w:rPr>
          <w:rFonts w:ascii="Times New Roman" w:hAnsi="Times New Roman" w:cs="Times New Roman"/>
          <w:sz w:val="24"/>
          <w:szCs w:val="24"/>
        </w:rPr>
        <w:t xml:space="preserve">The binary logistic regression technique is commonly employed in empirical research to analyse and forecast dichotomous outcomes, like the adoption or non-adoption of an entity. </w:t>
      </w:r>
      <w:r w:rsidRPr="005823A7">
        <w:rPr>
          <w:rFonts w:ascii="Times New Roman" w:hAnsi="Times New Roman" w:cs="Times New Roman"/>
          <w:sz w:val="24"/>
          <w:szCs w:val="24"/>
        </w:rPr>
        <w:lastRenderedPageBreak/>
        <w:t xml:space="preserve">(Sanni and Doppler 2007; Benerjee and Martin, 2009). </w:t>
      </w:r>
      <w:r w:rsidRPr="005823A7">
        <w:rPr>
          <w:rStyle w:val="Emphasis"/>
          <w:rFonts w:ascii="Times New Roman" w:hAnsi="Times New Roman" w:cs="Times New Roman"/>
          <w:i w:val="0"/>
          <w:iCs w:val="0"/>
          <w:sz w:val="24"/>
          <w:szCs w:val="24"/>
          <w:shd w:val="clear" w:color="auto" w:fill="FFFFFF"/>
        </w:rPr>
        <w:t>The cumulative logistic probability model (Aidoo et al., 2013) is presented thus;</w:t>
      </w:r>
    </w:p>
    <w:p w14:paraId="46071979" w14:textId="77777777" w:rsidR="003E7CE0" w:rsidRPr="005823A7" w:rsidRDefault="00000000" w:rsidP="003E7CE0">
      <w:pPr>
        <w:spacing w:before="120" w:after="120" w:line="240" w:lineRule="auto"/>
        <w:rPr>
          <w:rStyle w:val="Emphasis"/>
          <w:i w:val="0"/>
          <w:sz w:val="24"/>
          <w:szCs w:val="24"/>
          <w:shd w:val="clear" w:color="auto" w:fill="FFFFFF"/>
        </w:rPr>
      </w:pPr>
      <m:oMathPara>
        <m:oMathParaPr>
          <m:jc m:val="left"/>
        </m:oMathParaPr>
        <m:oMath>
          <m:sSub>
            <m:sSubPr>
              <m:ctrlPr>
                <w:rPr>
                  <w:rFonts w:ascii="Cambria Math" w:hAnsi="Cambria Math" w:cs="Times New Roman"/>
                  <w:i/>
                  <w:iCs/>
                  <w:sz w:val="24"/>
                  <w:szCs w:val="24"/>
                  <w:shd w:val="clear" w:color="auto" w:fill="FFFFFF"/>
                  <w:lang w:val="en-US"/>
                </w:rPr>
              </m:ctrlPr>
            </m:sSubPr>
            <m:e>
              <m:r>
                <m:rPr>
                  <m:sty m:val="p"/>
                </m:rPr>
                <w:rPr>
                  <w:rStyle w:val="Emphasis"/>
                  <w:rFonts w:ascii="Cambria Math" w:hAnsi="Cambria Math"/>
                  <w:sz w:val="24"/>
                  <w:szCs w:val="24"/>
                  <w:shd w:val="clear" w:color="auto" w:fill="FFFFFF"/>
                </w:rPr>
                <m:t>P</m:t>
              </m:r>
            </m:e>
            <m:sub>
              <m:r>
                <m:rPr>
                  <m:sty m:val="p"/>
                </m:rPr>
                <w:rPr>
                  <w:rStyle w:val="Emphasis"/>
                  <w:rFonts w:ascii="Cambria Math" w:hAnsi="Cambria Math"/>
                  <w:sz w:val="24"/>
                  <w:szCs w:val="24"/>
                  <w:shd w:val="clear" w:color="auto" w:fill="FFFFFF"/>
                </w:rPr>
                <m:t>i</m:t>
              </m:r>
            </m:sub>
          </m:sSub>
          <m:d>
            <m:dPr>
              <m:ctrlPr>
                <w:rPr>
                  <w:rFonts w:ascii="Cambria Math" w:hAnsi="Cambria Math" w:cs="Times New Roman"/>
                  <w:i/>
                  <w:iCs/>
                  <w:sz w:val="24"/>
                  <w:szCs w:val="24"/>
                  <w:shd w:val="clear" w:color="auto" w:fill="FFFFFF"/>
                  <w:lang w:val="en-US"/>
                </w:rPr>
              </m:ctrlPr>
            </m:dPr>
            <m:e>
              <m:r>
                <m:rPr>
                  <m:sty m:val="p"/>
                </m:rPr>
                <w:rPr>
                  <w:rStyle w:val="Emphasis"/>
                  <w:rFonts w:ascii="Cambria Math" w:hAnsi="Cambria Math"/>
                  <w:sz w:val="24"/>
                  <w:szCs w:val="24"/>
                  <w:shd w:val="clear" w:color="auto" w:fill="FFFFFF"/>
                </w:rPr>
                <m:t>Y=</m:t>
              </m:r>
              <m:f>
                <m:fPr>
                  <m:ctrlPr>
                    <w:rPr>
                      <w:rFonts w:ascii="Cambria Math" w:hAnsi="Cambria Math" w:cs="Times New Roman"/>
                      <w:i/>
                      <w:iCs/>
                      <w:sz w:val="24"/>
                      <w:szCs w:val="24"/>
                      <w:shd w:val="clear" w:color="auto" w:fill="FFFFFF"/>
                      <w:lang w:val="en-US"/>
                    </w:rPr>
                  </m:ctrlPr>
                </m:fPr>
                <m:num>
                  <m:r>
                    <m:rPr>
                      <m:sty m:val="p"/>
                    </m:rPr>
                    <w:rPr>
                      <w:rStyle w:val="Emphasis"/>
                      <w:rFonts w:ascii="Cambria Math" w:hAnsi="Cambria Math"/>
                      <w:sz w:val="24"/>
                      <w:szCs w:val="24"/>
                      <w:shd w:val="clear" w:color="auto" w:fill="FFFFFF"/>
                    </w:rPr>
                    <m:t>1</m:t>
                  </m:r>
                </m:num>
                <m:den>
                  <m:sSub>
                    <m:sSubPr>
                      <m:ctrlPr>
                        <w:rPr>
                          <w:rFonts w:ascii="Cambria Math" w:hAnsi="Cambria Math" w:cs="Times New Roman"/>
                          <w:i/>
                          <w:iCs/>
                          <w:sz w:val="24"/>
                          <w:szCs w:val="24"/>
                          <w:shd w:val="clear" w:color="auto" w:fill="FFFFFF"/>
                          <w:lang w:val="en-US"/>
                        </w:rPr>
                      </m:ctrlPr>
                    </m:sSubPr>
                    <m:e>
                      <m:r>
                        <m:rPr>
                          <m:sty m:val="p"/>
                        </m:rPr>
                        <w:rPr>
                          <w:rStyle w:val="Emphasis"/>
                          <w:rFonts w:ascii="Cambria Math" w:hAnsi="Cambria Math"/>
                          <w:sz w:val="24"/>
                          <w:szCs w:val="24"/>
                          <w:shd w:val="clear" w:color="auto" w:fill="FFFFFF"/>
                        </w:rPr>
                        <m:t>X</m:t>
                      </m:r>
                    </m:e>
                    <m:sub>
                      <m:r>
                        <m:rPr>
                          <m:sty m:val="p"/>
                        </m:rPr>
                        <w:rPr>
                          <w:rStyle w:val="Emphasis"/>
                          <w:rFonts w:ascii="Cambria Math" w:hAnsi="Cambria Math"/>
                          <w:sz w:val="24"/>
                          <w:szCs w:val="24"/>
                          <w:shd w:val="clear" w:color="auto" w:fill="FFFFFF"/>
                        </w:rPr>
                        <m:t>i</m:t>
                      </m:r>
                    </m:sub>
                  </m:sSub>
                </m:den>
              </m:f>
            </m:e>
          </m:d>
          <m:r>
            <m:rPr>
              <m:sty m:val="p"/>
            </m:rPr>
            <w:rPr>
              <w:rStyle w:val="Emphasis"/>
              <w:rFonts w:ascii="Cambria Math" w:hAnsi="Cambria Math"/>
              <w:sz w:val="24"/>
              <w:szCs w:val="24"/>
              <w:shd w:val="clear" w:color="auto" w:fill="FFFFFF"/>
            </w:rPr>
            <m:t>=f</m:t>
          </m:r>
          <m:d>
            <m:dPr>
              <m:ctrlPr>
                <w:rPr>
                  <w:rFonts w:ascii="Cambria Math" w:hAnsi="Cambria Math" w:cs="Times New Roman"/>
                  <w:i/>
                  <w:iCs/>
                  <w:sz w:val="24"/>
                  <w:szCs w:val="24"/>
                  <w:shd w:val="clear" w:color="auto" w:fill="FFFFFF"/>
                  <w:lang w:val="en-US"/>
                </w:rPr>
              </m:ctrlPr>
            </m:dPr>
            <m:e>
              <m:sSub>
                <m:sSubPr>
                  <m:ctrlPr>
                    <w:rPr>
                      <w:rFonts w:ascii="Cambria Math" w:hAnsi="Cambria Math" w:cs="Times New Roman"/>
                      <w:i/>
                      <w:iCs/>
                      <w:sz w:val="24"/>
                      <w:szCs w:val="24"/>
                      <w:shd w:val="clear" w:color="auto" w:fill="FFFFFF"/>
                      <w:lang w:val="en-US"/>
                    </w:rPr>
                  </m:ctrlPr>
                </m:sSubPr>
                <m:e>
                  <m:r>
                    <m:rPr>
                      <m:sty m:val="p"/>
                    </m:rPr>
                    <w:rPr>
                      <w:rStyle w:val="Emphasis"/>
                      <w:rFonts w:ascii="Cambria Math" w:hAnsi="Cambria Math"/>
                      <w:sz w:val="24"/>
                      <w:szCs w:val="24"/>
                      <w:shd w:val="clear" w:color="auto" w:fill="FFFFFF"/>
                    </w:rPr>
                    <m:t>Z</m:t>
                  </m:r>
                </m:e>
                <m:sub>
                  <m:r>
                    <m:rPr>
                      <m:sty m:val="p"/>
                    </m:rPr>
                    <w:rPr>
                      <w:rStyle w:val="Emphasis"/>
                      <w:rFonts w:ascii="Cambria Math" w:hAnsi="Cambria Math"/>
                      <w:sz w:val="24"/>
                      <w:szCs w:val="24"/>
                      <w:shd w:val="clear" w:color="auto" w:fill="FFFFFF"/>
                    </w:rPr>
                    <m:t>i</m:t>
                  </m:r>
                </m:sub>
              </m:sSub>
            </m:e>
          </m:d>
          <m:r>
            <m:rPr>
              <m:sty m:val="p"/>
            </m:rPr>
            <w:rPr>
              <w:rStyle w:val="Emphasis"/>
              <w:rFonts w:ascii="Cambria Math" w:hAnsi="Cambria Math"/>
              <w:sz w:val="24"/>
              <w:szCs w:val="24"/>
              <w:shd w:val="clear" w:color="auto" w:fill="FFFFFF"/>
            </w:rPr>
            <m:t xml:space="preserve">= </m:t>
          </m:r>
          <m:f>
            <m:fPr>
              <m:ctrlPr>
                <w:rPr>
                  <w:rFonts w:ascii="Cambria Math" w:hAnsi="Cambria Math" w:cs="Times New Roman"/>
                  <w:i/>
                  <w:iCs/>
                  <w:sz w:val="24"/>
                  <w:szCs w:val="24"/>
                  <w:shd w:val="clear" w:color="auto" w:fill="FFFFFF"/>
                  <w:lang w:val="en-US"/>
                </w:rPr>
              </m:ctrlPr>
            </m:fPr>
            <m:num>
              <m:r>
                <m:rPr>
                  <m:sty m:val="p"/>
                </m:rPr>
                <w:rPr>
                  <w:rStyle w:val="Emphasis"/>
                  <w:rFonts w:ascii="Cambria Math" w:hAnsi="Cambria Math"/>
                  <w:sz w:val="24"/>
                  <w:szCs w:val="24"/>
                  <w:shd w:val="clear" w:color="auto" w:fill="FFFFFF"/>
                </w:rPr>
                <m:t>1</m:t>
              </m:r>
            </m:num>
            <m:den>
              <m:sSup>
                <m:sSupPr>
                  <m:ctrlPr>
                    <w:rPr>
                      <w:rFonts w:ascii="Cambria Math" w:hAnsi="Cambria Math" w:cs="Times New Roman"/>
                      <w:i/>
                      <w:iCs/>
                      <w:sz w:val="24"/>
                      <w:szCs w:val="24"/>
                      <w:shd w:val="clear" w:color="auto" w:fill="FFFFFF"/>
                      <w:lang w:val="en-US"/>
                    </w:rPr>
                  </m:ctrlPr>
                </m:sSupPr>
                <m:e>
                  <m:r>
                    <m:rPr>
                      <m:sty m:val="p"/>
                    </m:rPr>
                    <w:rPr>
                      <w:rStyle w:val="Emphasis"/>
                      <w:rFonts w:ascii="Cambria Math" w:hAnsi="Cambria Math"/>
                      <w:sz w:val="24"/>
                      <w:szCs w:val="24"/>
                      <w:shd w:val="clear" w:color="auto" w:fill="FFFFFF"/>
                    </w:rPr>
                    <m:t>1+℮</m:t>
                  </m:r>
                </m:e>
                <m:sup>
                  <m:r>
                    <m:rPr>
                      <m:sty m:val="p"/>
                    </m:rPr>
                    <w:rPr>
                      <w:rStyle w:val="Emphasis"/>
                      <w:rFonts w:ascii="Cambria Math" w:hAnsi="Cambria Math"/>
                      <w:sz w:val="24"/>
                      <w:szCs w:val="24"/>
                      <w:shd w:val="clear" w:color="auto" w:fill="FFFFFF"/>
                    </w:rPr>
                    <m:t>-</m:t>
                  </m:r>
                  <m:d>
                    <m:dPr>
                      <m:ctrlPr>
                        <w:rPr>
                          <w:rFonts w:ascii="Cambria Math" w:hAnsi="Cambria Math" w:cs="Times New Roman"/>
                          <w:i/>
                          <w:iCs/>
                          <w:sz w:val="24"/>
                          <w:szCs w:val="24"/>
                          <w:shd w:val="clear" w:color="auto" w:fill="FFFFFF"/>
                          <w:lang w:val="en-US"/>
                        </w:rPr>
                      </m:ctrlPr>
                    </m:dPr>
                    <m:e>
                      <m:r>
                        <m:rPr>
                          <m:sty m:val="p"/>
                        </m:rPr>
                        <w:rPr>
                          <w:rStyle w:val="Emphasis"/>
                          <w:rFonts w:ascii="Cambria Math" w:hAnsi="Cambria Math"/>
                          <w:sz w:val="24"/>
                          <w:szCs w:val="24"/>
                          <w:shd w:val="clear" w:color="auto" w:fill="FFFFFF"/>
                        </w:rPr>
                        <m:t>α+</m:t>
                      </m:r>
                      <m:sSub>
                        <m:sSubPr>
                          <m:ctrlPr>
                            <w:rPr>
                              <w:rFonts w:ascii="Cambria Math" w:hAnsi="Cambria Math" w:cs="Times New Roman"/>
                              <w:i/>
                              <w:iCs/>
                              <w:sz w:val="24"/>
                              <w:szCs w:val="24"/>
                              <w:shd w:val="clear" w:color="auto" w:fill="FFFFFF"/>
                              <w:lang w:val="en-US"/>
                            </w:rPr>
                          </m:ctrlPr>
                        </m:sSubPr>
                        <m:e>
                          <m:r>
                            <m:rPr>
                              <m:sty m:val="p"/>
                            </m:rPr>
                            <w:rPr>
                              <w:rStyle w:val="Emphasis"/>
                              <w:rFonts w:ascii="Cambria Math" w:hAnsi="Cambria Math"/>
                              <w:sz w:val="24"/>
                              <w:szCs w:val="24"/>
                              <w:shd w:val="clear" w:color="auto" w:fill="FFFFFF"/>
                            </w:rPr>
                            <m:t>β</m:t>
                          </m:r>
                        </m:e>
                        <m:sub>
                          <m:r>
                            <m:rPr>
                              <m:sty m:val="p"/>
                            </m:rPr>
                            <w:rPr>
                              <w:rStyle w:val="Emphasis"/>
                              <w:rFonts w:ascii="Cambria Math" w:hAnsi="Cambria Math"/>
                              <w:sz w:val="24"/>
                              <w:szCs w:val="24"/>
                              <w:shd w:val="clear" w:color="auto" w:fill="FFFFFF"/>
                            </w:rPr>
                            <m:t>i</m:t>
                          </m:r>
                        </m:sub>
                      </m:sSub>
                      <m:sSub>
                        <m:sSubPr>
                          <m:ctrlPr>
                            <w:rPr>
                              <w:rFonts w:ascii="Cambria Math" w:hAnsi="Cambria Math" w:cs="Times New Roman"/>
                              <w:i/>
                              <w:iCs/>
                              <w:sz w:val="24"/>
                              <w:szCs w:val="24"/>
                              <w:shd w:val="clear" w:color="auto" w:fill="FFFFFF"/>
                              <w:lang w:val="en-US"/>
                            </w:rPr>
                          </m:ctrlPr>
                        </m:sSubPr>
                        <m:e>
                          <m:r>
                            <m:rPr>
                              <m:sty m:val="p"/>
                            </m:rPr>
                            <w:rPr>
                              <w:rStyle w:val="Emphasis"/>
                              <w:rFonts w:ascii="Cambria Math" w:hAnsi="Cambria Math"/>
                              <w:sz w:val="24"/>
                              <w:szCs w:val="24"/>
                              <w:shd w:val="clear" w:color="auto" w:fill="FFFFFF"/>
                            </w:rPr>
                            <m:t>X</m:t>
                          </m:r>
                        </m:e>
                        <m:sub>
                          <m:r>
                            <m:rPr>
                              <m:sty m:val="p"/>
                            </m:rPr>
                            <w:rPr>
                              <w:rStyle w:val="Emphasis"/>
                              <w:rFonts w:ascii="Cambria Math" w:hAnsi="Cambria Math"/>
                              <w:sz w:val="24"/>
                              <w:szCs w:val="24"/>
                              <w:shd w:val="clear" w:color="auto" w:fill="FFFFFF"/>
                            </w:rPr>
                            <m:t>i</m:t>
                          </m:r>
                        </m:sub>
                      </m:sSub>
                      <m:r>
                        <m:rPr>
                          <m:sty m:val="p"/>
                        </m:rPr>
                        <w:rPr>
                          <w:rStyle w:val="Emphasis"/>
                          <w:rFonts w:ascii="Cambria Math" w:hAnsi="Cambria Math"/>
                          <w:sz w:val="24"/>
                          <w:szCs w:val="24"/>
                          <w:shd w:val="clear" w:color="auto" w:fill="FFFFFF"/>
                        </w:rPr>
                        <m:t xml:space="preserve">+ </m:t>
                      </m:r>
                      <m:sSub>
                        <m:sSubPr>
                          <m:ctrlPr>
                            <w:rPr>
                              <w:rFonts w:ascii="Cambria Math" w:hAnsi="Cambria Math" w:cs="Times New Roman"/>
                              <w:i/>
                              <w:iCs/>
                              <w:sz w:val="24"/>
                              <w:szCs w:val="24"/>
                              <w:shd w:val="clear" w:color="auto" w:fill="FFFFFF"/>
                              <w:lang w:val="en-US"/>
                            </w:rPr>
                          </m:ctrlPr>
                        </m:sSubPr>
                        <m:e>
                          <m:r>
                            <m:rPr>
                              <m:sty m:val="p"/>
                            </m:rPr>
                            <w:rPr>
                              <w:rStyle w:val="Emphasis"/>
                              <w:rFonts w:ascii="Cambria Math" w:hAnsi="Cambria Math"/>
                              <w:sz w:val="24"/>
                              <w:szCs w:val="24"/>
                              <w:shd w:val="clear" w:color="auto" w:fill="FFFFFF"/>
                            </w:rPr>
                            <m:t>ε</m:t>
                          </m:r>
                        </m:e>
                        <m:sub>
                          <m:r>
                            <m:rPr>
                              <m:sty m:val="p"/>
                            </m:rPr>
                            <w:rPr>
                              <w:rStyle w:val="Emphasis"/>
                              <w:rFonts w:ascii="Cambria Math" w:hAnsi="Cambria Math"/>
                              <w:sz w:val="24"/>
                              <w:szCs w:val="24"/>
                              <w:shd w:val="clear" w:color="auto" w:fill="FFFFFF"/>
                            </w:rPr>
                            <m:t>i</m:t>
                          </m:r>
                        </m:sub>
                      </m:sSub>
                    </m:e>
                  </m:d>
                </m:sup>
              </m:sSup>
            </m:den>
          </m:f>
          <m:r>
            <m:rPr>
              <m:sty m:val="p"/>
            </m:rPr>
            <w:rPr>
              <w:rStyle w:val="Emphasis"/>
              <w:rFonts w:ascii="Cambria Math" w:hAnsi="Cambria Math"/>
              <w:sz w:val="24"/>
              <w:szCs w:val="24"/>
              <w:shd w:val="clear" w:color="auto" w:fill="FFFFFF"/>
            </w:rPr>
            <m:t>………………………………………………(01)</m:t>
          </m:r>
        </m:oMath>
      </m:oMathPara>
    </w:p>
    <w:p w14:paraId="19690E67" w14:textId="77777777" w:rsidR="003E7CE0" w:rsidRPr="005823A7" w:rsidRDefault="003E7CE0" w:rsidP="003E7CE0">
      <w:pPr>
        <w:spacing w:before="120" w:after="120" w:line="360" w:lineRule="auto"/>
        <w:jc w:val="both"/>
        <w:rPr>
          <w:rStyle w:val="Emphasis"/>
          <w:i w:val="0"/>
          <w:iCs w:val="0"/>
          <w:sz w:val="24"/>
          <w:szCs w:val="24"/>
          <w:shd w:val="clear" w:color="auto" w:fill="FFFFFF"/>
        </w:rPr>
      </w:pPr>
      <w:r w:rsidRPr="005823A7">
        <w:rPr>
          <w:rStyle w:val="Emphasis"/>
          <w:rFonts w:ascii="Times New Roman" w:hAnsi="Times New Roman" w:cs="Times New Roman"/>
          <w:i w:val="0"/>
          <w:iCs w:val="0"/>
          <w:sz w:val="24"/>
          <w:szCs w:val="24"/>
          <w:shd w:val="clear" w:color="auto" w:fill="FFFFFF"/>
        </w:rPr>
        <w:t>Where</w:t>
      </w:r>
      <w:r w:rsidRPr="005823A7">
        <w:rPr>
          <w:rStyle w:val="Emphasis"/>
          <w:rFonts w:eastAsiaTheme="minorEastAsia"/>
          <w:i w:val="0"/>
          <w:iCs w:val="0"/>
          <w:sz w:val="24"/>
          <w:szCs w:val="24"/>
          <w:shd w:val="clear" w:color="auto" w:fill="FFFFFF"/>
        </w:rPr>
        <w:t xml:space="preserve"> </w:t>
      </w:r>
      <m:oMath>
        <m:sSub>
          <m:sSubPr>
            <m:ctrlPr>
              <w:rPr>
                <w:rFonts w:ascii="Cambria Math" w:hAnsi="Cambria Math" w:cs="Times New Roman"/>
                <w:i/>
                <w:iCs/>
                <w:sz w:val="24"/>
                <w:szCs w:val="24"/>
                <w:shd w:val="clear" w:color="auto" w:fill="FFFFFF"/>
                <w:lang w:val="en-US"/>
              </w:rPr>
            </m:ctrlPr>
          </m:sSubPr>
          <m:e>
            <m:r>
              <m:rPr>
                <m:sty m:val="p"/>
              </m:rPr>
              <w:rPr>
                <w:rStyle w:val="Emphasis"/>
                <w:rFonts w:ascii="Cambria Math" w:hAnsi="Cambria Math"/>
                <w:sz w:val="24"/>
                <w:szCs w:val="24"/>
                <w:shd w:val="clear" w:color="auto" w:fill="FFFFFF"/>
              </w:rPr>
              <m:t>P</m:t>
            </m:r>
          </m:e>
          <m:sub>
            <m:r>
              <m:rPr>
                <m:sty m:val="p"/>
              </m:rPr>
              <w:rPr>
                <w:rStyle w:val="Emphasis"/>
                <w:rFonts w:ascii="Cambria Math" w:hAnsi="Cambria Math"/>
                <w:sz w:val="24"/>
                <w:szCs w:val="24"/>
                <w:shd w:val="clear" w:color="auto" w:fill="FFFFFF"/>
              </w:rPr>
              <m:t>i</m:t>
            </m:r>
          </m:sub>
        </m:sSub>
      </m:oMath>
      <w:r w:rsidRPr="005823A7">
        <w:rPr>
          <w:rStyle w:val="Emphasis"/>
          <w:i w:val="0"/>
          <w:iCs w:val="0"/>
          <w:sz w:val="24"/>
          <w:szCs w:val="24"/>
          <w:shd w:val="clear" w:color="auto" w:fill="FFFFFF"/>
        </w:rPr>
        <w:t xml:space="preserve"> = </w:t>
      </w:r>
      <w:r w:rsidRPr="005823A7">
        <w:rPr>
          <w:rStyle w:val="Emphasis"/>
          <w:rFonts w:ascii="Times New Roman" w:hAnsi="Times New Roman" w:cs="Times New Roman"/>
          <w:i w:val="0"/>
          <w:iCs w:val="0"/>
          <w:sz w:val="24"/>
          <w:szCs w:val="24"/>
          <w:shd w:val="clear" w:color="auto" w:fill="FFFFFF"/>
        </w:rPr>
        <w:t>probability that a farmer is an adopter of HEIS in the face of explanatory variables</w:t>
      </w:r>
      <w:r w:rsidRPr="005823A7">
        <w:rPr>
          <w:rStyle w:val="Emphasis"/>
          <w:i w:val="0"/>
          <w:iCs w:val="0"/>
          <w:sz w:val="24"/>
          <w:szCs w:val="24"/>
          <w:shd w:val="clear" w:color="auto" w:fill="FFFFFF"/>
        </w:rPr>
        <w:t xml:space="preserve"> (</w:t>
      </w:r>
      <m:oMath>
        <m:sSub>
          <m:sSubPr>
            <m:ctrlPr>
              <w:rPr>
                <w:rFonts w:ascii="Cambria Math" w:hAnsi="Cambria Math" w:cs="Times New Roman"/>
                <w:i/>
                <w:iCs/>
                <w:sz w:val="24"/>
                <w:szCs w:val="24"/>
                <w:shd w:val="clear" w:color="auto" w:fill="FFFFFF"/>
                <w:lang w:val="en-US"/>
              </w:rPr>
            </m:ctrlPr>
          </m:sSubPr>
          <m:e>
            <m:r>
              <m:rPr>
                <m:sty m:val="p"/>
              </m:rPr>
              <w:rPr>
                <w:rStyle w:val="Emphasis"/>
                <w:rFonts w:ascii="Cambria Math" w:hAnsi="Cambria Math"/>
                <w:sz w:val="24"/>
                <w:szCs w:val="24"/>
                <w:shd w:val="clear" w:color="auto" w:fill="FFFFFF"/>
              </w:rPr>
              <m:t>X</m:t>
            </m:r>
          </m:e>
          <m:sub>
            <m:r>
              <m:rPr>
                <m:sty m:val="p"/>
              </m:rPr>
              <w:rPr>
                <w:rStyle w:val="Emphasis"/>
                <w:rFonts w:ascii="Cambria Math" w:hAnsi="Cambria Math"/>
                <w:sz w:val="24"/>
                <w:szCs w:val="24"/>
                <w:shd w:val="clear" w:color="auto" w:fill="FFFFFF"/>
              </w:rPr>
              <m:t>i</m:t>
            </m:r>
          </m:sub>
        </m:sSub>
        <m:r>
          <m:rPr>
            <m:sty m:val="p"/>
          </m:rPr>
          <w:rPr>
            <w:rStyle w:val="Emphasis"/>
            <w:rFonts w:ascii="Cambria Math" w:hAnsi="Cambria Math"/>
            <w:sz w:val="24"/>
            <w:szCs w:val="24"/>
            <w:shd w:val="clear" w:color="auto" w:fill="FFFFFF"/>
          </w:rPr>
          <m:t>)</m:t>
        </m:r>
      </m:oMath>
      <w:r w:rsidRPr="005823A7">
        <w:rPr>
          <w:rStyle w:val="Emphasis"/>
          <w:i w:val="0"/>
          <w:iCs w:val="0"/>
          <w:sz w:val="24"/>
          <w:szCs w:val="24"/>
          <w:shd w:val="clear" w:color="auto" w:fill="FFFFFF"/>
        </w:rPr>
        <w:t xml:space="preserve"> </w:t>
      </w:r>
      <w:r w:rsidRPr="005823A7">
        <w:rPr>
          <w:rStyle w:val="Emphasis"/>
          <w:rFonts w:ascii="Times New Roman" w:hAnsi="Times New Roman" w:cs="Times New Roman"/>
          <w:i w:val="0"/>
          <w:iCs w:val="0"/>
          <w:sz w:val="24"/>
          <w:szCs w:val="24"/>
          <w:shd w:val="clear" w:color="auto" w:fill="FFFFFF"/>
        </w:rPr>
        <w:t>and</w:t>
      </w:r>
      <w:r w:rsidRPr="005823A7">
        <w:rPr>
          <w:rStyle w:val="Emphasis"/>
          <w:i w:val="0"/>
          <w:iCs w:val="0"/>
          <w:sz w:val="24"/>
          <w:szCs w:val="24"/>
          <w:shd w:val="clear" w:color="auto" w:fill="FFFFFF"/>
        </w:rPr>
        <w:t xml:space="preserve"> </w:t>
      </w:r>
      <m:oMath>
        <m:sSub>
          <m:sSubPr>
            <m:ctrlPr>
              <w:rPr>
                <w:rFonts w:ascii="Cambria Math" w:hAnsi="Cambria Math" w:cs="Times New Roman"/>
                <w:i/>
                <w:iCs/>
                <w:sz w:val="24"/>
                <w:szCs w:val="24"/>
                <w:shd w:val="clear" w:color="auto" w:fill="FFFFFF"/>
                <w:lang w:val="en-US"/>
              </w:rPr>
            </m:ctrlPr>
          </m:sSubPr>
          <m:e>
            <m:r>
              <m:rPr>
                <m:sty m:val="p"/>
              </m:rPr>
              <w:rPr>
                <w:rStyle w:val="Emphasis"/>
                <w:rFonts w:ascii="Cambria Math" w:hAnsi="Cambria Math"/>
                <w:sz w:val="24"/>
                <w:szCs w:val="24"/>
                <w:shd w:val="clear" w:color="auto" w:fill="FFFFFF"/>
              </w:rPr>
              <m:t>P</m:t>
            </m:r>
          </m:e>
          <m:sub>
            <m:r>
              <m:rPr>
                <m:sty m:val="p"/>
              </m:rPr>
              <w:rPr>
                <w:rStyle w:val="Emphasis"/>
                <w:rFonts w:ascii="Cambria Math" w:hAnsi="Cambria Math"/>
                <w:sz w:val="24"/>
                <w:szCs w:val="24"/>
                <w:shd w:val="clear" w:color="auto" w:fill="FFFFFF"/>
              </w:rPr>
              <m:t>i</m:t>
            </m:r>
          </m:sub>
        </m:sSub>
      </m:oMath>
      <w:r w:rsidRPr="005823A7">
        <w:rPr>
          <w:rStyle w:val="Emphasis"/>
          <w:i w:val="0"/>
          <w:iCs w:val="0"/>
          <w:sz w:val="24"/>
          <w:szCs w:val="24"/>
          <w:shd w:val="clear" w:color="auto" w:fill="FFFFFF"/>
        </w:rPr>
        <w:t xml:space="preserve"> </w:t>
      </w:r>
      <w:r w:rsidRPr="005823A7">
        <w:rPr>
          <w:rStyle w:val="Emphasis"/>
          <w:rFonts w:ascii="Times New Roman" w:hAnsi="Times New Roman" w:cs="Times New Roman"/>
          <w:i w:val="0"/>
          <w:iCs w:val="0"/>
          <w:sz w:val="24"/>
          <w:szCs w:val="24"/>
          <w:shd w:val="clear" w:color="auto" w:fill="FFFFFF"/>
        </w:rPr>
        <w:t>ranges between 0 to</w:t>
      </w:r>
      <w:r w:rsidRPr="005823A7">
        <w:rPr>
          <w:rStyle w:val="Emphasis"/>
          <w:i w:val="0"/>
          <w:iCs w:val="0"/>
          <w:sz w:val="24"/>
          <w:szCs w:val="24"/>
          <w:shd w:val="clear" w:color="auto" w:fill="FFFFFF"/>
        </w:rPr>
        <w:t xml:space="preserve"> 1, </w:t>
      </w:r>
      <m:oMath>
        <m:r>
          <m:rPr>
            <m:sty m:val="p"/>
          </m:rPr>
          <w:rPr>
            <w:rStyle w:val="Emphasis"/>
            <w:rFonts w:ascii="Cambria Math" w:hAnsi="Cambria Math"/>
            <w:sz w:val="24"/>
            <w:szCs w:val="24"/>
            <w:shd w:val="clear" w:color="auto" w:fill="FFFFFF"/>
          </w:rPr>
          <m:t>℮</m:t>
        </m:r>
      </m:oMath>
      <w:r w:rsidRPr="005823A7">
        <w:rPr>
          <w:rStyle w:val="Emphasis"/>
          <w:i w:val="0"/>
          <w:iCs w:val="0"/>
          <w:sz w:val="24"/>
          <w:szCs w:val="24"/>
          <w:shd w:val="clear" w:color="auto" w:fill="FFFFFF"/>
        </w:rPr>
        <w:t xml:space="preserve"> = </w:t>
      </w:r>
      <w:r w:rsidRPr="005823A7">
        <w:rPr>
          <w:rStyle w:val="Emphasis"/>
          <w:rFonts w:ascii="Times New Roman" w:hAnsi="Times New Roman" w:cs="Times New Roman"/>
          <w:i w:val="0"/>
          <w:iCs w:val="0"/>
          <w:sz w:val="24"/>
          <w:szCs w:val="24"/>
          <w:shd w:val="clear" w:color="auto" w:fill="FFFFFF"/>
        </w:rPr>
        <w:t>natural logarithm base</w:t>
      </w:r>
      <w:r w:rsidRPr="005823A7">
        <w:rPr>
          <w:rStyle w:val="Emphasis"/>
          <w:i w:val="0"/>
          <w:iCs w:val="0"/>
          <w:sz w:val="24"/>
          <w:szCs w:val="24"/>
          <w:shd w:val="clear" w:color="auto" w:fill="FFFFFF"/>
        </w:rPr>
        <w:t xml:space="preserve">, </w:t>
      </w:r>
      <m:oMath>
        <m:sSub>
          <m:sSubPr>
            <m:ctrlPr>
              <w:rPr>
                <w:rFonts w:ascii="Cambria Math" w:hAnsi="Cambria Math" w:cs="Times New Roman"/>
                <w:i/>
                <w:iCs/>
                <w:sz w:val="24"/>
                <w:szCs w:val="24"/>
                <w:shd w:val="clear" w:color="auto" w:fill="FFFFFF"/>
                <w:lang w:val="en-US"/>
              </w:rPr>
            </m:ctrlPr>
          </m:sSubPr>
          <m:e>
            <m:r>
              <m:rPr>
                <m:sty m:val="p"/>
              </m:rPr>
              <w:rPr>
                <w:rStyle w:val="Emphasis"/>
                <w:rFonts w:ascii="Cambria Math" w:hAnsi="Cambria Math"/>
                <w:sz w:val="24"/>
                <w:szCs w:val="24"/>
                <w:shd w:val="clear" w:color="auto" w:fill="FFFFFF"/>
              </w:rPr>
              <m:t>X</m:t>
            </m:r>
          </m:e>
          <m:sub>
            <m:r>
              <m:rPr>
                <m:sty m:val="p"/>
              </m:rPr>
              <w:rPr>
                <w:rStyle w:val="Emphasis"/>
                <w:rFonts w:ascii="Cambria Math" w:hAnsi="Cambria Math"/>
                <w:sz w:val="24"/>
                <w:szCs w:val="24"/>
                <w:shd w:val="clear" w:color="auto" w:fill="FFFFFF"/>
              </w:rPr>
              <m:t>i</m:t>
            </m:r>
          </m:sub>
        </m:sSub>
      </m:oMath>
      <w:r w:rsidRPr="005823A7">
        <w:rPr>
          <w:rStyle w:val="Emphasis"/>
          <w:i w:val="0"/>
          <w:iCs w:val="0"/>
          <w:sz w:val="24"/>
          <w:szCs w:val="24"/>
          <w:shd w:val="clear" w:color="auto" w:fill="FFFFFF"/>
        </w:rPr>
        <w:t xml:space="preserve"> = </w:t>
      </w:r>
      <w:r w:rsidRPr="005823A7">
        <w:rPr>
          <w:rStyle w:val="Emphasis"/>
          <w:rFonts w:ascii="Times New Roman" w:hAnsi="Times New Roman" w:cs="Times New Roman"/>
          <w:i w:val="0"/>
          <w:iCs w:val="0"/>
          <w:sz w:val="24"/>
          <w:szCs w:val="24"/>
          <w:shd w:val="clear" w:color="auto" w:fill="FFFFFF"/>
        </w:rPr>
        <w:t>the vector of an independent variable</w:t>
      </w:r>
      <w:r w:rsidRPr="005823A7">
        <w:rPr>
          <w:rStyle w:val="Emphasis"/>
          <w:i w:val="0"/>
          <w:iCs w:val="0"/>
          <w:sz w:val="24"/>
          <w:szCs w:val="24"/>
          <w:shd w:val="clear" w:color="auto" w:fill="FFFFFF"/>
        </w:rPr>
        <w:t xml:space="preserve">, </w:t>
      </w:r>
      <m:oMath>
        <m:r>
          <m:rPr>
            <m:sty m:val="p"/>
          </m:rPr>
          <w:rPr>
            <w:rStyle w:val="Emphasis"/>
            <w:rFonts w:ascii="Cambria Math" w:hAnsi="Cambria Math"/>
            <w:sz w:val="24"/>
            <w:szCs w:val="24"/>
            <w:shd w:val="clear" w:color="auto" w:fill="FFFFFF"/>
          </w:rPr>
          <m:t xml:space="preserve">α and </m:t>
        </m:r>
        <m:sSub>
          <m:sSubPr>
            <m:ctrlPr>
              <w:rPr>
                <w:rFonts w:ascii="Cambria Math" w:hAnsi="Cambria Math" w:cs="Times New Roman"/>
                <w:i/>
                <w:iCs/>
                <w:sz w:val="24"/>
                <w:szCs w:val="24"/>
                <w:shd w:val="clear" w:color="auto" w:fill="FFFFFF"/>
                <w:lang w:val="en-US"/>
              </w:rPr>
            </m:ctrlPr>
          </m:sSubPr>
          <m:e>
            <m:r>
              <m:rPr>
                <m:sty m:val="p"/>
              </m:rPr>
              <w:rPr>
                <w:rStyle w:val="Emphasis"/>
                <w:rFonts w:ascii="Cambria Math" w:hAnsi="Cambria Math"/>
                <w:sz w:val="24"/>
                <w:szCs w:val="24"/>
                <w:shd w:val="clear" w:color="auto" w:fill="FFFFFF"/>
              </w:rPr>
              <m:t>β</m:t>
            </m:r>
          </m:e>
          <m:sub>
            <m:r>
              <m:rPr>
                <m:sty m:val="p"/>
              </m:rPr>
              <w:rPr>
                <w:rStyle w:val="Emphasis"/>
                <w:rFonts w:ascii="Cambria Math" w:hAnsi="Cambria Math"/>
                <w:sz w:val="24"/>
                <w:szCs w:val="24"/>
                <w:shd w:val="clear" w:color="auto" w:fill="FFFFFF"/>
              </w:rPr>
              <m:t>i</m:t>
            </m:r>
          </m:sub>
        </m:sSub>
      </m:oMath>
      <w:r w:rsidRPr="005823A7">
        <w:rPr>
          <w:rStyle w:val="Emphasis"/>
          <w:i w:val="0"/>
          <w:iCs w:val="0"/>
          <w:sz w:val="24"/>
          <w:szCs w:val="24"/>
          <w:shd w:val="clear" w:color="auto" w:fill="FFFFFF"/>
        </w:rPr>
        <w:t xml:space="preserve"> =</w:t>
      </w:r>
      <w:r w:rsidRPr="005823A7">
        <w:rPr>
          <w:rStyle w:val="Emphasis"/>
          <w:rFonts w:ascii="Times New Roman" w:hAnsi="Times New Roman" w:cs="Times New Roman"/>
          <w:i w:val="0"/>
          <w:iCs w:val="0"/>
          <w:sz w:val="24"/>
          <w:szCs w:val="24"/>
          <w:shd w:val="clear" w:color="auto" w:fill="FFFFFF"/>
        </w:rPr>
        <w:t xml:space="preserve"> the model parameters need to be estimated, and </w:t>
      </w:r>
      <m:oMath>
        <m:sSub>
          <m:sSubPr>
            <m:ctrlPr>
              <w:rPr>
                <w:rFonts w:ascii="Cambria Math" w:hAnsi="Cambria Math" w:cs="Times New Roman"/>
                <w:i/>
                <w:iCs/>
                <w:sz w:val="24"/>
                <w:szCs w:val="24"/>
                <w:shd w:val="clear" w:color="auto" w:fill="FFFFFF"/>
                <w:lang w:val="en-US"/>
              </w:rPr>
            </m:ctrlPr>
          </m:sSubPr>
          <m:e>
            <m:r>
              <m:rPr>
                <m:sty m:val="p"/>
              </m:rPr>
              <w:rPr>
                <w:rStyle w:val="Emphasis"/>
                <w:rFonts w:ascii="Cambria Math" w:hAnsi="Cambria Math" w:cs="Times New Roman"/>
                <w:sz w:val="24"/>
                <w:szCs w:val="24"/>
                <w:shd w:val="clear" w:color="auto" w:fill="FFFFFF"/>
              </w:rPr>
              <m:t>ε</m:t>
            </m:r>
          </m:e>
          <m:sub>
            <m:r>
              <m:rPr>
                <m:sty m:val="p"/>
              </m:rPr>
              <w:rPr>
                <w:rStyle w:val="Emphasis"/>
                <w:rFonts w:ascii="Cambria Math" w:hAnsi="Cambria Math" w:cs="Times New Roman"/>
                <w:sz w:val="24"/>
                <w:szCs w:val="24"/>
                <w:shd w:val="clear" w:color="auto" w:fill="FFFFFF"/>
              </w:rPr>
              <m:t>i</m:t>
            </m:r>
          </m:sub>
        </m:sSub>
      </m:oMath>
      <w:r w:rsidRPr="005823A7">
        <w:rPr>
          <w:rStyle w:val="Emphasis"/>
          <w:rFonts w:ascii="Times New Roman" w:hAnsi="Times New Roman" w:cs="Times New Roman"/>
          <w:i w:val="0"/>
          <w:iCs w:val="0"/>
          <w:sz w:val="24"/>
          <w:szCs w:val="24"/>
          <w:shd w:val="clear" w:color="auto" w:fill="FFFFFF"/>
        </w:rPr>
        <w:t xml:space="preserve"> = the stochastic error term.</w:t>
      </w:r>
    </w:p>
    <w:p w14:paraId="6E5A37EB" w14:textId="712D72EB" w:rsidR="003E7CE0" w:rsidRPr="005823A7" w:rsidRDefault="003E7CE0" w:rsidP="003E7CE0">
      <w:pPr>
        <w:spacing w:before="120" w:after="120" w:line="360" w:lineRule="auto"/>
        <w:jc w:val="both"/>
        <w:rPr>
          <w:rStyle w:val="Emphasis"/>
          <w:rFonts w:ascii="Times New Roman" w:hAnsi="Times New Roman" w:cs="Times New Roman"/>
          <w:i w:val="0"/>
          <w:sz w:val="24"/>
          <w:szCs w:val="24"/>
          <w:shd w:val="clear" w:color="auto" w:fill="FFFFFF"/>
        </w:rPr>
      </w:pPr>
      <w:r w:rsidRPr="005823A7">
        <w:rPr>
          <w:rStyle w:val="Emphasis"/>
          <w:rFonts w:ascii="Times New Roman" w:hAnsi="Times New Roman" w:cs="Times New Roman"/>
          <w:i w:val="0"/>
          <w:iCs w:val="0"/>
          <w:sz w:val="24"/>
          <w:szCs w:val="24"/>
          <w:shd w:val="clear" w:color="auto" w:fill="FFFFFF"/>
        </w:rPr>
        <w:t>The model is expressed in terms of odds and log-odds to make it easy to interpret the estimated coefficients. Therefore, the odds ratio is the ratio between the probability that a farmer will adopt HEIS (</w:t>
      </w:r>
      <m:oMath>
        <m:sSub>
          <m:sSubPr>
            <m:ctrlPr>
              <w:rPr>
                <w:rFonts w:ascii="Cambria Math" w:hAnsi="Cambria Math" w:cs="Times New Roman"/>
                <w:i/>
                <w:iCs/>
                <w:sz w:val="24"/>
                <w:szCs w:val="24"/>
                <w:shd w:val="clear" w:color="auto" w:fill="FFFFFF"/>
                <w:lang w:val="en-US"/>
              </w:rPr>
            </m:ctrlPr>
          </m:sSubPr>
          <m:e>
            <m:r>
              <m:rPr>
                <m:sty m:val="p"/>
              </m:rPr>
              <w:rPr>
                <w:rStyle w:val="Emphasis"/>
                <w:rFonts w:ascii="Cambria Math" w:hAnsi="Cambria Math" w:cs="Times New Roman"/>
                <w:sz w:val="24"/>
                <w:szCs w:val="24"/>
                <w:shd w:val="clear" w:color="auto" w:fill="FFFFFF"/>
              </w:rPr>
              <m:t>P</m:t>
            </m:r>
          </m:e>
          <m:sub>
            <m:r>
              <m:rPr>
                <m:sty m:val="p"/>
              </m:rPr>
              <w:rPr>
                <w:rStyle w:val="Emphasis"/>
                <w:rFonts w:ascii="Cambria Math" w:hAnsi="Cambria Math" w:cs="Times New Roman"/>
                <w:sz w:val="24"/>
                <w:szCs w:val="24"/>
                <w:shd w:val="clear" w:color="auto" w:fill="FFFFFF"/>
              </w:rPr>
              <m:t>i</m:t>
            </m:r>
          </m:sub>
        </m:sSub>
        <m:r>
          <m:rPr>
            <m:sty m:val="p"/>
          </m:rPr>
          <w:rPr>
            <w:rStyle w:val="Emphasis"/>
            <w:rFonts w:ascii="Cambria Math" w:hAnsi="Cambria Math" w:cs="Times New Roman"/>
            <w:sz w:val="24"/>
            <w:szCs w:val="24"/>
            <w:shd w:val="clear" w:color="auto" w:fill="FFFFFF"/>
          </w:rPr>
          <m:t>)</m:t>
        </m:r>
      </m:oMath>
      <w:r w:rsidRPr="005823A7">
        <w:rPr>
          <w:rStyle w:val="Emphasis"/>
          <w:rFonts w:ascii="Times New Roman" w:hAnsi="Times New Roman" w:cs="Times New Roman"/>
          <w:i w:val="0"/>
          <w:iCs w:val="0"/>
          <w:sz w:val="24"/>
          <w:szCs w:val="24"/>
          <w:shd w:val="clear" w:color="auto" w:fill="FFFFFF"/>
        </w:rPr>
        <w:t xml:space="preserve"> to the probability Farmer will not tend to opt for HEIS</w:t>
      </w:r>
      <w:r w:rsidRPr="005823A7">
        <w:rPr>
          <w:rStyle w:val="Emphasis"/>
          <w:rFonts w:ascii="Times New Roman" w:hAnsi="Times New Roman" w:cs="Times New Roman"/>
          <w:sz w:val="24"/>
          <w:szCs w:val="24"/>
          <w:shd w:val="clear" w:color="auto" w:fill="FFFFFF"/>
        </w:rPr>
        <w:t xml:space="preserve"> (</w:t>
      </w:r>
      <m:oMath>
        <m:sSub>
          <m:sSubPr>
            <m:ctrlPr>
              <w:rPr>
                <w:rFonts w:ascii="Cambria Math" w:hAnsi="Cambria Math" w:cs="Times New Roman"/>
                <w:i/>
                <w:iCs/>
                <w:sz w:val="24"/>
                <w:szCs w:val="24"/>
                <w:shd w:val="clear" w:color="auto" w:fill="FFFFFF"/>
                <w:lang w:val="en-US"/>
              </w:rPr>
            </m:ctrlPr>
          </m:sSubPr>
          <m:e>
            <m:r>
              <m:rPr>
                <m:sty m:val="p"/>
              </m:rPr>
              <w:rPr>
                <w:rStyle w:val="Emphasis"/>
                <w:rFonts w:ascii="Cambria Math" w:hAnsi="Cambria Math" w:cs="Times New Roman"/>
                <w:sz w:val="24"/>
                <w:szCs w:val="24"/>
                <w:shd w:val="clear" w:color="auto" w:fill="FFFFFF"/>
              </w:rPr>
              <m:t>1-P</m:t>
            </m:r>
          </m:e>
          <m:sub>
            <m:r>
              <m:rPr>
                <m:sty m:val="p"/>
              </m:rPr>
              <w:rPr>
                <w:rStyle w:val="Emphasis"/>
                <w:rFonts w:ascii="Cambria Math" w:hAnsi="Cambria Math" w:cs="Times New Roman"/>
                <w:sz w:val="24"/>
                <w:szCs w:val="24"/>
                <w:shd w:val="clear" w:color="auto" w:fill="FFFFFF"/>
              </w:rPr>
              <m:t>i</m:t>
            </m:r>
          </m:sub>
        </m:sSub>
      </m:oMath>
      <w:r w:rsidRPr="005823A7">
        <w:rPr>
          <w:rStyle w:val="Emphasis"/>
          <w:rFonts w:ascii="Times New Roman" w:hAnsi="Times New Roman" w:cs="Times New Roman"/>
          <w:sz w:val="24"/>
          <w:szCs w:val="24"/>
          <w:shd w:val="clear" w:color="auto" w:fill="FFFFFF"/>
        </w:rPr>
        <w:t>).</w:t>
      </w:r>
    </w:p>
    <w:p w14:paraId="16201C8C" w14:textId="77777777" w:rsidR="003E7CE0" w:rsidRPr="005823A7" w:rsidRDefault="003E7CE0" w:rsidP="003E7CE0">
      <w:pPr>
        <w:spacing w:before="120" w:after="120" w:line="360" w:lineRule="auto"/>
        <w:rPr>
          <w:rStyle w:val="Emphasis"/>
          <w:rFonts w:ascii="Times New Roman" w:hAnsi="Times New Roman" w:cs="Times New Roman"/>
          <w:i w:val="0"/>
          <w:iCs w:val="0"/>
          <w:sz w:val="24"/>
          <w:szCs w:val="24"/>
          <w:shd w:val="clear" w:color="auto" w:fill="FFFFFF"/>
        </w:rPr>
      </w:pPr>
      <w:r w:rsidRPr="005823A7">
        <w:rPr>
          <w:rStyle w:val="Emphasis"/>
          <w:rFonts w:ascii="Times New Roman" w:hAnsi="Times New Roman" w:cs="Times New Roman"/>
          <w:i w:val="0"/>
          <w:iCs w:val="0"/>
          <w:sz w:val="24"/>
          <w:szCs w:val="24"/>
          <w:shd w:val="clear" w:color="auto" w:fill="FFFFFF"/>
        </w:rPr>
        <w:t>Thus;</w:t>
      </w:r>
    </w:p>
    <w:p w14:paraId="68F3E92B" w14:textId="77777777" w:rsidR="003E7CE0" w:rsidRPr="005823A7" w:rsidRDefault="00000000" w:rsidP="003E7CE0">
      <w:pPr>
        <w:spacing w:before="120" w:after="120" w:line="240" w:lineRule="auto"/>
        <w:rPr>
          <w:rStyle w:val="Emphasis"/>
          <w:i w:val="0"/>
          <w:shd w:val="clear" w:color="auto" w:fill="FFFFFF"/>
        </w:rPr>
      </w:pPr>
      <m:oMathPara>
        <m:oMathParaPr>
          <m:jc m:val="left"/>
        </m:oMathParaPr>
        <m:oMath>
          <m:sSub>
            <m:sSubPr>
              <m:ctrlPr>
                <w:rPr>
                  <w:rFonts w:ascii="Cambria Math" w:hAnsi="Cambria Math" w:cs="Times New Roman"/>
                  <w:i/>
                  <w:iCs/>
                  <w:sz w:val="24"/>
                  <w:szCs w:val="24"/>
                  <w:shd w:val="clear" w:color="auto" w:fill="FFFFFF"/>
                  <w:lang w:val="en-US"/>
                </w:rPr>
              </m:ctrlPr>
            </m:sSubPr>
            <m:e>
              <m:sSup>
                <m:sSupPr>
                  <m:ctrlPr>
                    <w:rPr>
                      <w:rFonts w:ascii="Cambria Math" w:hAnsi="Cambria Math" w:cs="Times New Roman"/>
                      <w:i/>
                      <w:iCs/>
                      <w:sz w:val="24"/>
                      <w:szCs w:val="24"/>
                      <w:shd w:val="clear" w:color="auto" w:fill="FFFFFF"/>
                      <w:lang w:val="en-US"/>
                    </w:rPr>
                  </m:ctrlPr>
                </m:sSupPr>
                <m:e>
                  <m:r>
                    <m:rPr>
                      <m:sty m:val="p"/>
                    </m:rPr>
                    <w:rPr>
                      <w:rStyle w:val="Emphasis"/>
                      <w:rFonts w:ascii="Cambria Math" w:hAnsi="Cambria Math"/>
                      <w:shd w:val="clear" w:color="auto" w:fill="FFFFFF"/>
                    </w:rPr>
                    <m:t>℮</m:t>
                  </m:r>
                </m:e>
                <m:sup>
                  <m:sSub>
                    <m:sSubPr>
                      <m:ctrlPr>
                        <w:rPr>
                          <w:rFonts w:ascii="Cambria Math" w:hAnsi="Cambria Math" w:cs="Times New Roman"/>
                          <w:i/>
                          <w:iCs/>
                          <w:sz w:val="24"/>
                          <w:szCs w:val="24"/>
                          <w:shd w:val="clear" w:color="auto" w:fill="FFFFFF"/>
                          <w:lang w:val="en-US"/>
                        </w:rPr>
                      </m:ctrlPr>
                    </m:sSubPr>
                    <m:e>
                      <m:r>
                        <m:rPr>
                          <m:sty m:val="p"/>
                        </m:rPr>
                        <w:rPr>
                          <w:rStyle w:val="Emphasis"/>
                          <w:rFonts w:ascii="Cambria Math" w:hAnsi="Cambria Math"/>
                          <w:shd w:val="clear" w:color="auto" w:fill="FFFFFF"/>
                        </w:rPr>
                        <m:t>z</m:t>
                      </m:r>
                    </m:e>
                    <m:sub>
                      <m:r>
                        <m:rPr>
                          <m:sty m:val="p"/>
                        </m:rPr>
                        <w:rPr>
                          <w:rStyle w:val="Emphasis"/>
                          <w:rFonts w:ascii="Cambria Math" w:hAnsi="Cambria Math"/>
                          <w:shd w:val="clear" w:color="auto" w:fill="FFFFFF"/>
                        </w:rPr>
                        <m:t>i</m:t>
                      </m:r>
                    </m:sub>
                  </m:sSub>
                </m:sup>
              </m:sSup>
              <m:r>
                <m:rPr>
                  <m:sty m:val="p"/>
                </m:rPr>
                <w:rPr>
                  <w:rStyle w:val="Emphasis"/>
                  <w:rFonts w:ascii="Cambria Math" w:hAnsi="Cambria Math"/>
                  <w:shd w:val="clear" w:color="auto" w:fill="FFFFFF"/>
                </w:rPr>
                <m:t>=</m:t>
              </m:r>
              <m:f>
                <m:fPr>
                  <m:ctrlPr>
                    <w:rPr>
                      <w:rFonts w:ascii="Cambria Math" w:hAnsi="Cambria Math" w:cs="Times New Roman"/>
                      <w:i/>
                      <w:iCs/>
                      <w:sz w:val="24"/>
                      <w:szCs w:val="24"/>
                      <w:shd w:val="clear" w:color="auto" w:fill="FFFFFF"/>
                      <w:lang w:val="en-US"/>
                    </w:rPr>
                  </m:ctrlPr>
                </m:fPr>
                <m:num>
                  <m:sSub>
                    <m:sSubPr>
                      <m:ctrlPr>
                        <w:rPr>
                          <w:rFonts w:ascii="Cambria Math" w:hAnsi="Cambria Math" w:cs="Times New Roman"/>
                          <w:i/>
                          <w:iCs/>
                          <w:sz w:val="24"/>
                          <w:szCs w:val="24"/>
                          <w:shd w:val="clear" w:color="auto" w:fill="FFFFFF"/>
                          <w:lang w:val="en-US"/>
                        </w:rPr>
                      </m:ctrlPr>
                    </m:sSubPr>
                    <m:e>
                      <m:r>
                        <m:rPr>
                          <m:sty m:val="p"/>
                        </m:rPr>
                        <w:rPr>
                          <w:rStyle w:val="Emphasis"/>
                          <w:rFonts w:ascii="Cambria Math" w:hAnsi="Cambria Math"/>
                          <w:shd w:val="clear" w:color="auto" w:fill="FFFFFF"/>
                        </w:rPr>
                        <m:t>P</m:t>
                      </m:r>
                    </m:e>
                    <m:sub>
                      <m:r>
                        <m:rPr>
                          <m:sty m:val="p"/>
                        </m:rPr>
                        <w:rPr>
                          <w:rStyle w:val="Emphasis"/>
                          <w:rFonts w:ascii="Cambria Math" w:hAnsi="Cambria Math"/>
                          <w:shd w:val="clear" w:color="auto" w:fill="FFFFFF"/>
                        </w:rPr>
                        <m:t>i</m:t>
                      </m:r>
                    </m:sub>
                  </m:sSub>
                </m:num>
                <m:den>
                  <m:r>
                    <m:rPr>
                      <m:sty m:val="p"/>
                    </m:rPr>
                    <w:rPr>
                      <w:rStyle w:val="Emphasis"/>
                      <w:rFonts w:ascii="Cambria Math" w:hAnsi="Cambria Math"/>
                      <w:shd w:val="clear" w:color="auto" w:fill="FFFFFF"/>
                    </w:rPr>
                    <m:t>1-P</m:t>
                  </m:r>
                </m:den>
              </m:f>
            </m:e>
            <m:sub>
              <m:r>
                <m:rPr>
                  <m:sty m:val="p"/>
                </m:rPr>
                <w:rPr>
                  <w:rStyle w:val="Emphasis"/>
                  <w:rFonts w:ascii="Cambria Math" w:hAnsi="Cambria Math"/>
                  <w:shd w:val="clear" w:color="auto" w:fill="FFFFFF"/>
                </w:rPr>
                <m:t>i</m:t>
              </m:r>
            </m:sub>
          </m:sSub>
          <m:r>
            <m:rPr>
              <m:sty m:val="p"/>
            </m:rPr>
            <w:rPr>
              <w:rStyle w:val="Emphasis"/>
              <w:rFonts w:ascii="Cambria Math" w:hAnsi="Cambria Math"/>
              <w:shd w:val="clear" w:color="auto" w:fill="FFFFFF"/>
            </w:rPr>
            <m:t>…………………………..……………………………………………….……….…(02)</m:t>
          </m:r>
        </m:oMath>
      </m:oMathPara>
    </w:p>
    <w:p w14:paraId="70450D4E" w14:textId="77777777" w:rsidR="003E7CE0" w:rsidRPr="005823A7" w:rsidRDefault="00000000" w:rsidP="003E7CE0">
      <w:pPr>
        <w:spacing w:before="120" w:after="120" w:line="240" w:lineRule="auto"/>
        <w:rPr>
          <w:rStyle w:val="Emphasis"/>
          <w:i w:val="0"/>
          <w:iCs w:val="0"/>
          <w:shd w:val="clear" w:color="auto" w:fill="FFFFFF"/>
        </w:rPr>
      </w:pPr>
      <m:oMathPara>
        <m:oMathParaPr>
          <m:jc m:val="left"/>
        </m:oMathParaPr>
        <m:oMath>
          <m:func>
            <m:funcPr>
              <m:ctrlPr>
                <w:rPr>
                  <w:rFonts w:ascii="Cambria Math" w:hAnsi="Cambria Math" w:cs="Times New Roman"/>
                  <w:i/>
                  <w:iCs/>
                  <w:sz w:val="24"/>
                  <w:szCs w:val="24"/>
                  <w:shd w:val="clear" w:color="auto" w:fill="FFFFFF"/>
                  <w:lang w:val="en-US"/>
                </w:rPr>
              </m:ctrlPr>
            </m:funcPr>
            <m:fName>
              <m:r>
                <m:rPr>
                  <m:sty m:val="p"/>
                </m:rPr>
                <w:rPr>
                  <w:rStyle w:val="Emphasis"/>
                  <w:rFonts w:ascii="Cambria Math" w:hAnsi="Cambria Math"/>
                  <w:shd w:val="clear" w:color="auto" w:fill="FFFFFF"/>
                </w:rPr>
                <m:t xml:space="preserve">  ln</m:t>
              </m:r>
            </m:fName>
            <m:e>
              <m:d>
                <m:dPr>
                  <m:ctrlPr>
                    <w:rPr>
                      <w:rFonts w:ascii="Cambria Math" w:hAnsi="Cambria Math" w:cs="Times New Roman"/>
                      <w:i/>
                      <w:iCs/>
                      <w:sz w:val="24"/>
                      <w:szCs w:val="24"/>
                      <w:shd w:val="clear" w:color="auto" w:fill="FFFFFF"/>
                      <w:lang w:val="en-US"/>
                    </w:rPr>
                  </m:ctrlPr>
                </m:dPr>
                <m:e>
                  <m:f>
                    <m:fPr>
                      <m:ctrlPr>
                        <w:rPr>
                          <w:rFonts w:ascii="Cambria Math" w:hAnsi="Cambria Math" w:cs="Times New Roman"/>
                          <w:i/>
                          <w:iCs/>
                          <w:sz w:val="24"/>
                          <w:szCs w:val="24"/>
                          <w:shd w:val="clear" w:color="auto" w:fill="FFFFFF"/>
                          <w:lang w:val="en-US"/>
                        </w:rPr>
                      </m:ctrlPr>
                    </m:fPr>
                    <m:num>
                      <m:sSub>
                        <m:sSubPr>
                          <m:ctrlPr>
                            <w:rPr>
                              <w:rFonts w:ascii="Cambria Math" w:hAnsi="Cambria Math" w:cs="Times New Roman"/>
                              <w:i/>
                              <w:iCs/>
                              <w:sz w:val="24"/>
                              <w:szCs w:val="24"/>
                              <w:shd w:val="clear" w:color="auto" w:fill="FFFFFF"/>
                              <w:lang w:val="en-US"/>
                            </w:rPr>
                          </m:ctrlPr>
                        </m:sSubPr>
                        <m:e>
                          <m:r>
                            <m:rPr>
                              <m:sty m:val="p"/>
                            </m:rPr>
                            <w:rPr>
                              <w:rStyle w:val="Emphasis"/>
                              <w:rFonts w:ascii="Cambria Math" w:hAnsi="Cambria Math"/>
                              <w:shd w:val="clear" w:color="auto" w:fill="FFFFFF"/>
                            </w:rPr>
                            <m:t>P</m:t>
                          </m:r>
                        </m:e>
                        <m:sub>
                          <m:r>
                            <m:rPr>
                              <m:sty m:val="p"/>
                            </m:rPr>
                            <w:rPr>
                              <w:rStyle w:val="Emphasis"/>
                              <w:rFonts w:ascii="Cambria Math" w:hAnsi="Cambria Math"/>
                              <w:shd w:val="clear" w:color="auto" w:fill="FFFFFF"/>
                            </w:rPr>
                            <m:t>i</m:t>
                          </m:r>
                        </m:sub>
                      </m:sSub>
                    </m:num>
                    <m:den>
                      <m:r>
                        <m:rPr>
                          <m:sty m:val="p"/>
                        </m:rPr>
                        <w:rPr>
                          <w:rStyle w:val="Emphasis"/>
                          <w:rFonts w:ascii="Cambria Math" w:hAnsi="Cambria Math"/>
                          <w:shd w:val="clear" w:color="auto" w:fill="FFFFFF"/>
                        </w:rPr>
                        <m:t>1-</m:t>
                      </m:r>
                      <m:sSub>
                        <m:sSubPr>
                          <m:ctrlPr>
                            <w:rPr>
                              <w:rFonts w:ascii="Cambria Math" w:hAnsi="Cambria Math" w:cs="Times New Roman"/>
                              <w:i/>
                              <w:iCs/>
                              <w:sz w:val="24"/>
                              <w:szCs w:val="24"/>
                              <w:shd w:val="clear" w:color="auto" w:fill="FFFFFF"/>
                              <w:lang w:val="en-US"/>
                            </w:rPr>
                          </m:ctrlPr>
                        </m:sSubPr>
                        <m:e>
                          <m:r>
                            <m:rPr>
                              <m:sty m:val="p"/>
                            </m:rPr>
                            <w:rPr>
                              <w:rStyle w:val="Emphasis"/>
                              <w:rFonts w:ascii="Cambria Math" w:hAnsi="Cambria Math"/>
                              <w:shd w:val="clear" w:color="auto" w:fill="FFFFFF"/>
                            </w:rPr>
                            <m:t>p</m:t>
                          </m:r>
                        </m:e>
                        <m:sub>
                          <m:r>
                            <m:rPr>
                              <m:sty m:val="p"/>
                            </m:rPr>
                            <w:rPr>
                              <w:rStyle w:val="Emphasis"/>
                              <w:rFonts w:ascii="Cambria Math" w:hAnsi="Cambria Math"/>
                              <w:shd w:val="clear" w:color="auto" w:fill="FFFFFF"/>
                            </w:rPr>
                            <m:t>i</m:t>
                          </m:r>
                        </m:sub>
                      </m:sSub>
                    </m:den>
                  </m:f>
                </m:e>
              </m:d>
            </m:e>
          </m:func>
          <m:r>
            <m:rPr>
              <m:sty m:val="p"/>
            </m:rPr>
            <w:rPr>
              <w:rStyle w:val="Emphasis"/>
              <w:rFonts w:ascii="Cambria Math" w:hAnsi="Cambria Math"/>
              <w:shd w:val="clear" w:color="auto" w:fill="FFFFFF"/>
            </w:rPr>
            <m:t xml:space="preserve">= </m:t>
          </m:r>
          <m:sSub>
            <m:sSubPr>
              <m:ctrlPr>
                <w:rPr>
                  <w:rFonts w:ascii="Cambria Math" w:hAnsi="Cambria Math" w:cs="Times New Roman"/>
                  <w:i/>
                  <w:iCs/>
                  <w:sz w:val="24"/>
                  <w:szCs w:val="24"/>
                  <w:shd w:val="clear" w:color="auto" w:fill="FFFFFF"/>
                  <w:lang w:val="en-US"/>
                </w:rPr>
              </m:ctrlPr>
            </m:sSubPr>
            <m:e>
              <m:r>
                <m:rPr>
                  <m:sty m:val="p"/>
                </m:rPr>
                <w:rPr>
                  <w:rStyle w:val="Emphasis"/>
                  <w:rFonts w:ascii="Cambria Math" w:hAnsi="Cambria Math"/>
                  <w:shd w:val="clear" w:color="auto" w:fill="FFFFFF"/>
                </w:rPr>
                <m:t>z</m:t>
              </m:r>
            </m:e>
            <m:sub>
              <m:r>
                <m:rPr>
                  <m:sty m:val="p"/>
                </m:rPr>
                <w:rPr>
                  <w:rStyle w:val="Emphasis"/>
                  <w:rFonts w:ascii="Cambria Math" w:hAnsi="Cambria Math"/>
                  <w:shd w:val="clear" w:color="auto" w:fill="FFFFFF"/>
                </w:rPr>
                <m:t>i</m:t>
              </m:r>
            </m:sub>
          </m:sSub>
          <m:r>
            <m:rPr>
              <m:sty m:val="p"/>
            </m:rPr>
            <w:rPr>
              <w:rStyle w:val="Emphasis"/>
              <w:rFonts w:ascii="Cambria Math" w:hAnsi="Cambria Math"/>
              <w:shd w:val="clear" w:color="auto" w:fill="FFFFFF"/>
            </w:rPr>
            <m:t xml:space="preserve">………….……………………………………………………….…………….(03) </m:t>
          </m:r>
        </m:oMath>
      </m:oMathPara>
    </w:p>
    <w:p w14:paraId="241C5EC0" w14:textId="77777777" w:rsidR="003E7CE0" w:rsidRPr="005823A7" w:rsidRDefault="00000000" w:rsidP="003E7CE0">
      <w:pPr>
        <w:spacing w:before="120" w:after="120" w:line="240" w:lineRule="auto"/>
        <w:rPr>
          <w:rStyle w:val="Emphasis"/>
          <w:i w:val="0"/>
          <w:iCs w:val="0"/>
          <w:shd w:val="clear" w:color="auto" w:fill="FFFFFF"/>
        </w:rPr>
      </w:pPr>
      <m:oMathPara>
        <m:oMathParaPr>
          <m:jc m:val="left"/>
        </m:oMathParaPr>
        <m:oMath>
          <m:sSub>
            <m:sSubPr>
              <m:ctrlPr>
                <w:rPr>
                  <w:rFonts w:ascii="Cambria Math" w:hAnsi="Cambria Math" w:cs="Times New Roman"/>
                  <w:i/>
                  <w:iCs/>
                  <w:sz w:val="24"/>
                  <w:szCs w:val="24"/>
                  <w:shd w:val="clear" w:color="auto" w:fill="FFFFFF"/>
                  <w:lang w:val="en-US"/>
                </w:rPr>
              </m:ctrlPr>
            </m:sSubPr>
            <m:e>
              <m:r>
                <m:rPr>
                  <m:sty m:val="p"/>
                </m:rPr>
                <w:rPr>
                  <w:rStyle w:val="Emphasis"/>
                  <w:rFonts w:ascii="Cambria Math" w:hAnsi="Cambria Math"/>
                  <w:shd w:val="clear" w:color="auto" w:fill="FFFFFF"/>
                </w:rPr>
                <m:t>Z</m:t>
              </m:r>
            </m:e>
            <m:sub>
              <m:r>
                <m:rPr>
                  <m:sty m:val="p"/>
                </m:rPr>
                <w:rPr>
                  <w:rStyle w:val="Emphasis"/>
                  <w:rFonts w:ascii="Cambria Math" w:hAnsi="Cambria Math"/>
                  <w:shd w:val="clear" w:color="auto" w:fill="FFFFFF"/>
                </w:rPr>
                <m:t>i</m:t>
              </m:r>
            </m:sub>
          </m:sSub>
          <m:r>
            <m:rPr>
              <m:sty m:val="p"/>
            </m:rPr>
            <w:rPr>
              <w:rStyle w:val="Emphasis"/>
              <w:rFonts w:ascii="Cambria Math" w:hAnsi="Cambria Math"/>
              <w:shd w:val="clear" w:color="auto" w:fill="FFFFFF"/>
            </w:rPr>
            <m:t xml:space="preserve">= α+ </m:t>
          </m:r>
          <m:nary>
            <m:naryPr>
              <m:chr m:val="∑"/>
              <m:limLoc m:val="undOvr"/>
              <m:ctrlPr>
                <w:rPr>
                  <w:rFonts w:ascii="Cambria Math" w:hAnsi="Cambria Math" w:cs="Times New Roman"/>
                  <w:i/>
                  <w:iCs/>
                  <w:sz w:val="24"/>
                  <w:szCs w:val="24"/>
                  <w:shd w:val="clear" w:color="auto" w:fill="FFFFFF"/>
                  <w:lang w:val="en-US"/>
                </w:rPr>
              </m:ctrlPr>
            </m:naryPr>
            <m:sub>
              <m:r>
                <m:rPr>
                  <m:sty m:val="p"/>
                </m:rPr>
                <w:rPr>
                  <w:rStyle w:val="Emphasis"/>
                  <w:rFonts w:ascii="Cambria Math" w:hAnsi="Cambria Math"/>
                  <w:shd w:val="clear" w:color="auto" w:fill="FFFFFF"/>
                </w:rPr>
                <m:t>1=0</m:t>
              </m:r>
            </m:sub>
            <m:sup>
              <m:r>
                <m:rPr>
                  <m:sty m:val="p"/>
                </m:rPr>
                <w:rPr>
                  <w:rStyle w:val="Emphasis"/>
                  <w:rFonts w:ascii="Cambria Math" w:hAnsi="Cambria Math"/>
                  <w:shd w:val="clear" w:color="auto" w:fill="FFFFFF"/>
                </w:rPr>
                <m:t>n</m:t>
              </m:r>
            </m:sup>
            <m:e>
              <m:sSub>
                <m:sSubPr>
                  <m:ctrlPr>
                    <w:rPr>
                      <w:rFonts w:ascii="Cambria Math" w:hAnsi="Cambria Math" w:cs="Times New Roman"/>
                      <w:i/>
                      <w:iCs/>
                      <w:sz w:val="24"/>
                      <w:szCs w:val="24"/>
                      <w:shd w:val="clear" w:color="auto" w:fill="FFFFFF"/>
                      <w:lang w:val="en-US"/>
                    </w:rPr>
                  </m:ctrlPr>
                </m:sSubPr>
                <m:e>
                  <m:r>
                    <m:rPr>
                      <m:sty m:val="p"/>
                    </m:rPr>
                    <w:rPr>
                      <w:rStyle w:val="Emphasis"/>
                      <w:rFonts w:ascii="Cambria Math" w:hAnsi="Cambria Math"/>
                      <w:shd w:val="clear" w:color="auto" w:fill="FFFFFF"/>
                    </w:rPr>
                    <m:t>β</m:t>
                  </m:r>
                </m:e>
                <m:sub>
                  <m:r>
                    <m:rPr>
                      <m:sty m:val="p"/>
                    </m:rPr>
                    <w:rPr>
                      <w:rStyle w:val="Emphasis"/>
                      <w:rFonts w:ascii="Cambria Math" w:hAnsi="Cambria Math"/>
                      <w:shd w:val="clear" w:color="auto" w:fill="FFFFFF"/>
                    </w:rPr>
                    <m:t>i</m:t>
                  </m:r>
                </m:sub>
              </m:sSub>
              <m:sSub>
                <m:sSubPr>
                  <m:ctrlPr>
                    <w:rPr>
                      <w:rFonts w:ascii="Cambria Math" w:hAnsi="Cambria Math" w:cs="Times New Roman"/>
                      <w:i/>
                      <w:iCs/>
                      <w:sz w:val="24"/>
                      <w:szCs w:val="24"/>
                      <w:shd w:val="clear" w:color="auto" w:fill="FFFFFF"/>
                      <w:lang w:val="en-US"/>
                    </w:rPr>
                  </m:ctrlPr>
                </m:sSubPr>
                <m:e>
                  <m:r>
                    <m:rPr>
                      <m:sty m:val="p"/>
                    </m:rPr>
                    <w:rPr>
                      <w:rStyle w:val="Emphasis"/>
                      <w:rFonts w:ascii="Cambria Math" w:hAnsi="Cambria Math"/>
                      <w:shd w:val="clear" w:color="auto" w:fill="FFFFFF"/>
                    </w:rPr>
                    <m:t>X</m:t>
                  </m:r>
                </m:e>
                <m:sub>
                  <m:r>
                    <m:rPr>
                      <m:sty m:val="p"/>
                    </m:rPr>
                    <w:rPr>
                      <w:rStyle w:val="Emphasis"/>
                      <w:rFonts w:ascii="Cambria Math" w:hAnsi="Cambria Math"/>
                      <w:shd w:val="clear" w:color="auto" w:fill="FFFFFF"/>
                    </w:rPr>
                    <m:t>i</m:t>
                  </m:r>
                </m:sub>
              </m:sSub>
              <m:r>
                <m:rPr>
                  <m:sty m:val="p"/>
                </m:rPr>
                <w:rPr>
                  <w:rStyle w:val="Emphasis"/>
                  <w:rFonts w:ascii="Cambria Math" w:hAnsi="Cambria Math"/>
                  <w:shd w:val="clear" w:color="auto" w:fill="FFFFFF"/>
                </w:rPr>
                <m:t xml:space="preserve">+ </m:t>
              </m:r>
              <m:sSub>
                <m:sSubPr>
                  <m:ctrlPr>
                    <w:rPr>
                      <w:rFonts w:ascii="Cambria Math" w:hAnsi="Cambria Math" w:cs="Times New Roman"/>
                      <w:i/>
                      <w:iCs/>
                      <w:sz w:val="24"/>
                      <w:szCs w:val="24"/>
                      <w:shd w:val="clear" w:color="auto" w:fill="FFFFFF"/>
                      <w:lang w:val="en-US"/>
                    </w:rPr>
                  </m:ctrlPr>
                </m:sSubPr>
                <m:e>
                  <m:r>
                    <m:rPr>
                      <m:sty m:val="p"/>
                    </m:rPr>
                    <w:rPr>
                      <w:rStyle w:val="Emphasis"/>
                      <w:rFonts w:ascii="Cambria Math" w:hAnsi="Cambria Math"/>
                      <w:shd w:val="clear" w:color="auto" w:fill="FFFFFF"/>
                    </w:rPr>
                    <m:t>ε</m:t>
                  </m:r>
                </m:e>
                <m:sub>
                  <m:r>
                    <m:rPr>
                      <m:sty m:val="p"/>
                    </m:rPr>
                    <w:rPr>
                      <w:rStyle w:val="Emphasis"/>
                      <w:rFonts w:ascii="Cambria Math" w:hAnsi="Cambria Math"/>
                      <w:shd w:val="clear" w:color="auto" w:fill="FFFFFF"/>
                    </w:rPr>
                    <m:t>i</m:t>
                  </m:r>
                </m:sub>
              </m:sSub>
            </m:e>
          </m:nary>
          <m:r>
            <m:rPr>
              <m:sty m:val="p"/>
            </m:rPr>
            <w:rPr>
              <w:rStyle w:val="Emphasis"/>
              <w:rFonts w:ascii="Cambria Math" w:hAnsi="Cambria Math"/>
              <w:shd w:val="clear" w:color="auto" w:fill="FFFFFF"/>
            </w:rPr>
            <m:t>………………………………………………………………………..….(04)</m:t>
          </m:r>
        </m:oMath>
      </m:oMathPara>
    </w:p>
    <w:p w14:paraId="6F6BB780" w14:textId="77777777" w:rsidR="003E7CE0" w:rsidRPr="005823A7" w:rsidRDefault="003E7CE0" w:rsidP="003E7CE0">
      <w:pPr>
        <w:spacing w:before="60" w:after="60" w:line="360" w:lineRule="auto"/>
        <w:rPr>
          <w:rStyle w:val="Emphasis"/>
          <w:i w:val="0"/>
          <w:iCs w:val="0"/>
          <w:shd w:val="clear" w:color="auto" w:fill="FFFFFF"/>
        </w:rPr>
      </w:pPr>
      <w:r w:rsidRPr="005823A7">
        <w:rPr>
          <w:rStyle w:val="Emphasis"/>
          <w:rFonts w:ascii="Times New Roman" w:hAnsi="Times New Roman" w:cs="Times New Roman"/>
          <w:i w:val="0"/>
          <w:iCs w:val="0"/>
          <w:sz w:val="24"/>
          <w:szCs w:val="24"/>
          <w:shd w:val="clear" w:color="auto" w:fill="FFFFFF"/>
        </w:rPr>
        <w:t xml:space="preserve">By the introduction of a dichotomous response variable, </w:t>
      </w:r>
      <m:oMath>
        <m:sSub>
          <m:sSubPr>
            <m:ctrlPr>
              <w:rPr>
                <w:rFonts w:ascii="Cambria Math" w:hAnsi="Cambria Math" w:cs="Times New Roman"/>
                <w:i/>
                <w:iCs/>
                <w:sz w:val="24"/>
                <w:szCs w:val="24"/>
                <w:shd w:val="clear" w:color="auto" w:fill="FFFFFF"/>
                <w:lang w:val="en-US"/>
              </w:rPr>
            </m:ctrlPr>
          </m:sSubPr>
          <m:e>
            <m:r>
              <m:rPr>
                <m:sty m:val="p"/>
              </m:rPr>
              <w:rPr>
                <w:rStyle w:val="Emphasis"/>
                <w:rFonts w:ascii="Cambria Math" w:hAnsi="Cambria Math" w:cs="Times New Roman"/>
                <w:sz w:val="24"/>
                <w:szCs w:val="24"/>
                <w:shd w:val="clear" w:color="auto" w:fill="FFFFFF"/>
              </w:rPr>
              <m:t>Y</m:t>
            </m:r>
          </m:e>
          <m:sub>
            <m:r>
              <m:rPr>
                <m:sty m:val="p"/>
              </m:rPr>
              <w:rPr>
                <w:rStyle w:val="Emphasis"/>
                <w:rFonts w:ascii="Cambria Math" w:hAnsi="Cambria Math" w:cs="Times New Roman"/>
                <w:sz w:val="24"/>
                <w:szCs w:val="24"/>
                <w:shd w:val="clear" w:color="auto" w:fill="FFFFFF"/>
              </w:rPr>
              <m:t>i</m:t>
            </m:r>
          </m:sub>
        </m:sSub>
      </m:oMath>
      <w:r w:rsidRPr="005823A7">
        <w:rPr>
          <w:rStyle w:val="Emphasis"/>
          <w:rFonts w:ascii="Times New Roman" w:hAnsi="Times New Roman" w:cs="Times New Roman"/>
          <w:i w:val="0"/>
          <w:iCs w:val="0"/>
          <w:sz w:val="24"/>
          <w:szCs w:val="24"/>
          <w:shd w:val="clear" w:color="auto" w:fill="FFFFFF"/>
        </w:rPr>
        <w:t xml:space="preserve">, </w:t>
      </w:r>
      <m:oMath>
        <m:sSub>
          <m:sSubPr>
            <m:ctrlPr>
              <w:rPr>
                <w:rFonts w:ascii="Cambria Math" w:hAnsi="Cambria Math" w:cs="Times New Roman"/>
                <w:i/>
                <w:iCs/>
                <w:sz w:val="24"/>
                <w:szCs w:val="24"/>
                <w:shd w:val="clear" w:color="auto" w:fill="FFFFFF"/>
                <w:lang w:val="en-US"/>
              </w:rPr>
            </m:ctrlPr>
          </m:sSubPr>
          <m:e>
            <m:r>
              <m:rPr>
                <m:sty m:val="p"/>
              </m:rPr>
              <w:rPr>
                <w:rStyle w:val="Emphasis"/>
                <w:rFonts w:ascii="Cambria Math" w:hAnsi="Cambria Math" w:cs="Times New Roman"/>
                <w:sz w:val="24"/>
                <w:szCs w:val="24"/>
                <w:shd w:val="clear" w:color="auto" w:fill="FFFFFF"/>
              </w:rPr>
              <m:t>Y</m:t>
            </m:r>
          </m:e>
          <m:sub>
            <m:r>
              <m:rPr>
                <m:sty m:val="p"/>
              </m:rPr>
              <w:rPr>
                <w:rStyle w:val="Emphasis"/>
                <w:rFonts w:ascii="Cambria Math" w:hAnsi="Cambria Math" w:cs="Times New Roman"/>
                <w:sz w:val="24"/>
                <w:szCs w:val="24"/>
                <w:shd w:val="clear" w:color="auto" w:fill="FFFFFF"/>
              </w:rPr>
              <m:t>i</m:t>
            </m:r>
          </m:sub>
        </m:sSub>
        <m:r>
          <m:rPr>
            <m:sty m:val="p"/>
          </m:rPr>
          <w:rPr>
            <w:rStyle w:val="Emphasis"/>
            <w:rFonts w:ascii="Cambria Math" w:hAnsi="Cambria Math" w:cs="Times New Roman"/>
            <w:sz w:val="24"/>
            <w:szCs w:val="24"/>
            <w:shd w:val="clear" w:color="auto" w:fill="FFFFFF"/>
          </w:rPr>
          <m:t xml:space="preserve">= </m:t>
        </m:r>
        <m:d>
          <m:dPr>
            <m:begChr m:val="{"/>
            <m:endChr m:val=""/>
            <m:ctrlPr>
              <w:rPr>
                <w:rFonts w:ascii="Cambria Math" w:hAnsi="Cambria Math" w:cs="Times New Roman"/>
                <w:i/>
                <w:iCs/>
                <w:sz w:val="24"/>
                <w:szCs w:val="24"/>
                <w:shd w:val="clear" w:color="auto" w:fill="FFFFFF"/>
                <w:lang w:val="en-US"/>
              </w:rPr>
            </m:ctrlPr>
          </m:dPr>
          <m:e>
            <m:eqArr>
              <m:eqArrPr>
                <m:ctrlPr>
                  <w:rPr>
                    <w:rFonts w:ascii="Cambria Math" w:hAnsi="Cambria Math" w:cs="Times New Roman"/>
                    <w:i/>
                    <w:iCs/>
                    <w:sz w:val="24"/>
                    <w:szCs w:val="24"/>
                    <w:shd w:val="clear" w:color="auto" w:fill="FFFFFF"/>
                    <w:lang w:val="en-US"/>
                  </w:rPr>
                </m:ctrlPr>
              </m:eqArrPr>
              <m:e>
                <m:r>
                  <m:rPr>
                    <m:sty m:val="p"/>
                  </m:rPr>
                  <w:rPr>
                    <w:rStyle w:val="Emphasis"/>
                    <w:rFonts w:ascii="Cambria Math" w:hAnsi="Cambria Math" w:cs="Times New Roman"/>
                    <w:sz w:val="24"/>
                    <w:szCs w:val="24"/>
                    <w:shd w:val="clear" w:color="auto" w:fill="FFFFFF"/>
                  </w:rPr>
                  <m:t xml:space="preserve">1 if </m:t>
                </m:r>
                <m:sSup>
                  <m:sSupPr>
                    <m:ctrlPr>
                      <w:rPr>
                        <w:rFonts w:ascii="Cambria Math" w:hAnsi="Cambria Math" w:cs="Times New Roman"/>
                        <w:i/>
                        <w:iCs/>
                        <w:sz w:val="24"/>
                        <w:szCs w:val="24"/>
                        <w:shd w:val="clear" w:color="auto" w:fill="FFFFFF"/>
                        <w:lang w:val="en-US"/>
                      </w:rPr>
                    </m:ctrlPr>
                  </m:sSupPr>
                  <m:e>
                    <m:r>
                      <m:rPr>
                        <m:sty m:val="p"/>
                      </m:rPr>
                      <w:rPr>
                        <w:rStyle w:val="Emphasis"/>
                        <w:rFonts w:ascii="Cambria Math" w:hAnsi="Cambria Math" w:cs="Times New Roman"/>
                        <w:sz w:val="24"/>
                        <w:szCs w:val="24"/>
                        <w:shd w:val="clear" w:color="auto" w:fill="FFFFFF"/>
                      </w:rPr>
                      <m:t>Y</m:t>
                    </m:r>
                  </m:e>
                  <m:sup>
                    <m:r>
                      <m:rPr>
                        <m:sty m:val="p"/>
                      </m:rPr>
                      <w:rPr>
                        <w:rStyle w:val="Emphasis"/>
                        <w:rFonts w:ascii="Cambria Math" w:hAnsi="Cambria Math" w:cs="Times New Roman"/>
                        <w:sz w:val="24"/>
                        <w:szCs w:val="24"/>
                        <w:shd w:val="clear" w:color="auto" w:fill="FFFFFF"/>
                      </w:rPr>
                      <m:t>*</m:t>
                    </m:r>
                  </m:sup>
                </m:sSup>
                <m:r>
                  <m:rPr>
                    <m:sty m:val="p"/>
                  </m:rPr>
                  <w:rPr>
                    <w:rStyle w:val="Emphasis"/>
                    <w:rFonts w:ascii="Cambria Math" w:hAnsi="Cambria Math" w:cs="Times New Roman"/>
                    <w:sz w:val="24"/>
                    <w:szCs w:val="24"/>
                    <w:shd w:val="clear" w:color="auto" w:fill="FFFFFF"/>
                  </w:rPr>
                  <m:t>&gt;0</m:t>
                </m:r>
              </m:e>
              <m:e>
                <m:r>
                  <m:rPr>
                    <m:sty m:val="p"/>
                  </m:rPr>
                  <w:rPr>
                    <w:rStyle w:val="Emphasis"/>
                    <w:rFonts w:ascii="Cambria Math" w:hAnsi="Cambria Math" w:cs="Times New Roman"/>
                    <w:sz w:val="24"/>
                    <w:szCs w:val="24"/>
                    <w:shd w:val="clear" w:color="auto" w:fill="FFFFFF"/>
                  </w:rPr>
                  <m:t>0 otherwise</m:t>
                </m:r>
              </m:e>
            </m:eqArr>
          </m:e>
        </m:d>
      </m:oMath>
    </w:p>
    <w:p w14:paraId="126B9BD8" w14:textId="77777777" w:rsidR="003E7CE0" w:rsidRPr="005823A7" w:rsidRDefault="003E7CE0" w:rsidP="003E7CE0">
      <w:pPr>
        <w:spacing w:before="60" w:after="60" w:line="360" w:lineRule="auto"/>
        <w:rPr>
          <w:rStyle w:val="Emphasis"/>
          <w:rFonts w:ascii="Times New Roman" w:hAnsi="Times New Roman" w:cs="Times New Roman"/>
          <w:i w:val="0"/>
          <w:iCs w:val="0"/>
          <w:sz w:val="24"/>
          <w:szCs w:val="24"/>
          <w:shd w:val="clear" w:color="auto" w:fill="FFFFFF"/>
        </w:rPr>
      </w:pPr>
      <w:r w:rsidRPr="005823A7">
        <w:rPr>
          <w:rStyle w:val="Emphasis"/>
          <w:rFonts w:ascii="Times New Roman" w:hAnsi="Times New Roman" w:cs="Times New Roman"/>
          <w:i w:val="0"/>
          <w:iCs w:val="0"/>
          <w:sz w:val="24"/>
          <w:szCs w:val="24"/>
          <w:shd w:val="clear" w:color="auto" w:fill="FFFFFF"/>
        </w:rPr>
        <w:t xml:space="preserve">Where 1 = adopters, 0 = Non Adopters, </w:t>
      </w:r>
      <m:oMath>
        <m:r>
          <m:rPr>
            <m:sty m:val="p"/>
          </m:rPr>
          <w:rPr>
            <w:rStyle w:val="Emphasis"/>
            <w:rFonts w:ascii="Cambria Math" w:hAnsi="Cambria Math" w:cs="Times New Roman"/>
            <w:sz w:val="24"/>
            <w:szCs w:val="24"/>
            <w:shd w:val="clear" w:color="auto" w:fill="FFFFFF"/>
          </w:rPr>
          <m:t>i</m:t>
        </m:r>
      </m:oMath>
      <w:r w:rsidRPr="005823A7">
        <w:rPr>
          <w:rStyle w:val="Emphasis"/>
          <w:rFonts w:ascii="Times New Roman" w:hAnsi="Times New Roman" w:cs="Times New Roman"/>
          <w:i w:val="0"/>
          <w:iCs w:val="0"/>
          <w:sz w:val="24"/>
          <w:szCs w:val="24"/>
          <w:shd w:val="clear" w:color="auto" w:fill="FFFFFF"/>
        </w:rPr>
        <w:t xml:space="preserve"> = total number of respondents, Solving for the probability that Y = 1, Equation becomes,</w:t>
      </w:r>
    </w:p>
    <w:p w14:paraId="45466823" w14:textId="77777777" w:rsidR="003E7CE0" w:rsidRPr="005823A7" w:rsidRDefault="00000000" w:rsidP="003E7CE0">
      <w:pPr>
        <w:spacing w:before="60" w:after="60" w:line="240" w:lineRule="auto"/>
        <w:jc w:val="both"/>
        <w:rPr>
          <w:rStyle w:val="Emphasis"/>
          <w:b/>
          <w:i w:val="0"/>
          <w:iCs w:val="0"/>
          <w:shd w:val="clear" w:color="auto" w:fill="FFFFFF"/>
        </w:rPr>
      </w:pPr>
      <m:oMath>
        <m:d>
          <m:dPr>
            <m:ctrlPr>
              <w:rPr>
                <w:rFonts w:ascii="Cambria Math" w:hAnsi="Cambria Math" w:cs="Times New Roman"/>
                <w:b/>
                <w:i/>
                <w:iCs/>
                <w:sz w:val="24"/>
                <w:szCs w:val="24"/>
                <w:shd w:val="clear" w:color="auto" w:fill="FFFFFF"/>
                <w:lang w:val="en-US"/>
              </w:rPr>
            </m:ctrlPr>
          </m:dPr>
          <m:e>
            <m:f>
              <m:fPr>
                <m:ctrlPr>
                  <w:rPr>
                    <w:rFonts w:ascii="Cambria Math" w:hAnsi="Cambria Math" w:cs="Times New Roman"/>
                    <w:b/>
                    <w:i/>
                    <w:iCs/>
                    <w:sz w:val="24"/>
                    <w:szCs w:val="24"/>
                    <w:shd w:val="clear" w:color="auto" w:fill="FFFFFF"/>
                    <w:lang w:val="en-US"/>
                  </w:rPr>
                </m:ctrlPr>
              </m:fPr>
              <m:num>
                <m:sSub>
                  <m:sSubPr>
                    <m:ctrlPr>
                      <w:rPr>
                        <w:rFonts w:ascii="Cambria Math" w:hAnsi="Cambria Math" w:cs="Times New Roman"/>
                        <w:b/>
                        <w:i/>
                        <w:iCs/>
                        <w:sz w:val="24"/>
                        <w:szCs w:val="24"/>
                        <w:shd w:val="clear" w:color="auto" w:fill="FFFFFF"/>
                        <w:lang w:val="en-US"/>
                      </w:rPr>
                    </m:ctrlPr>
                  </m:sSubPr>
                  <m:e>
                    <m:r>
                      <m:rPr>
                        <m:sty m:val="b"/>
                      </m:rPr>
                      <w:rPr>
                        <w:rStyle w:val="Emphasis"/>
                        <w:rFonts w:ascii="Cambria Math" w:hAnsi="Cambria Math"/>
                        <w:shd w:val="clear" w:color="auto" w:fill="FFFFFF"/>
                      </w:rPr>
                      <m:t>P</m:t>
                    </m:r>
                  </m:e>
                  <m:sub>
                    <m:r>
                      <m:rPr>
                        <m:sty m:val="b"/>
                      </m:rPr>
                      <w:rPr>
                        <w:rStyle w:val="Emphasis"/>
                        <w:rFonts w:ascii="Cambria Math" w:hAnsi="Cambria Math"/>
                        <w:shd w:val="clear" w:color="auto" w:fill="FFFFFF"/>
                      </w:rPr>
                      <m:t>i</m:t>
                    </m:r>
                  </m:sub>
                </m:sSub>
              </m:num>
              <m:den>
                <m:r>
                  <m:rPr>
                    <m:sty m:val="b"/>
                  </m:rPr>
                  <w:rPr>
                    <w:rStyle w:val="Emphasis"/>
                    <w:rFonts w:ascii="Cambria Math" w:hAnsi="Cambria Math"/>
                    <w:shd w:val="clear" w:color="auto" w:fill="FFFFFF"/>
                  </w:rPr>
                  <m:t>1-</m:t>
                </m:r>
                <m:sSub>
                  <m:sSubPr>
                    <m:ctrlPr>
                      <w:rPr>
                        <w:rFonts w:ascii="Cambria Math" w:hAnsi="Cambria Math" w:cs="Times New Roman"/>
                        <w:b/>
                        <w:i/>
                        <w:iCs/>
                        <w:sz w:val="24"/>
                        <w:szCs w:val="24"/>
                        <w:shd w:val="clear" w:color="auto" w:fill="FFFFFF"/>
                        <w:lang w:val="en-US"/>
                      </w:rPr>
                    </m:ctrlPr>
                  </m:sSubPr>
                  <m:e>
                    <m:r>
                      <m:rPr>
                        <m:sty m:val="b"/>
                      </m:rPr>
                      <w:rPr>
                        <w:rStyle w:val="Emphasis"/>
                        <w:rFonts w:ascii="Cambria Math" w:hAnsi="Cambria Math"/>
                        <w:shd w:val="clear" w:color="auto" w:fill="FFFFFF"/>
                      </w:rPr>
                      <m:t>P</m:t>
                    </m:r>
                  </m:e>
                  <m:sub>
                    <m:r>
                      <m:rPr>
                        <m:sty m:val="b"/>
                      </m:rPr>
                      <w:rPr>
                        <w:rStyle w:val="Emphasis"/>
                        <w:rFonts w:ascii="Cambria Math" w:hAnsi="Cambria Math"/>
                        <w:shd w:val="clear" w:color="auto" w:fill="FFFFFF"/>
                      </w:rPr>
                      <m:t>i</m:t>
                    </m:r>
                  </m:sub>
                </m:sSub>
              </m:den>
            </m:f>
          </m:e>
        </m:d>
        <m:r>
          <m:rPr>
            <m:sty m:val="b"/>
          </m:rPr>
          <w:rPr>
            <w:rStyle w:val="Emphasis"/>
            <w:rFonts w:ascii="Cambria Math" w:hAnsi="Cambria Math"/>
            <w:shd w:val="clear" w:color="auto" w:fill="FFFFFF"/>
          </w:rPr>
          <m:t xml:space="preserve">= </m:t>
        </m:r>
        <m:sSup>
          <m:sSupPr>
            <m:ctrlPr>
              <w:rPr>
                <w:rFonts w:ascii="Cambria Math" w:hAnsi="Cambria Math" w:cs="Times New Roman"/>
                <w:b/>
                <w:i/>
                <w:iCs/>
                <w:sz w:val="24"/>
                <w:szCs w:val="24"/>
                <w:shd w:val="clear" w:color="auto" w:fill="FFFFFF"/>
                <w:lang w:val="en-US"/>
              </w:rPr>
            </m:ctrlPr>
          </m:sSupPr>
          <m:e>
            <m:r>
              <m:rPr>
                <m:sty m:val="b"/>
              </m:rPr>
              <w:rPr>
                <w:rStyle w:val="Emphasis"/>
                <w:rFonts w:ascii="Cambria Math" w:hAnsi="Cambria Math"/>
                <w:shd w:val="clear" w:color="auto" w:fill="FFFFFF"/>
              </w:rPr>
              <m:t>℮</m:t>
            </m:r>
          </m:e>
          <m:sup>
            <m:sSub>
              <m:sSubPr>
                <m:ctrlPr>
                  <w:rPr>
                    <w:rFonts w:ascii="Cambria Math" w:hAnsi="Cambria Math" w:cs="Times New Roman"/>
                    <w:b/>
                    <w:i/>
                    <w:iCs/>
                    <w:sz w:val="24"/>
                    <w:szCs w:val="24"/>
                    <w:shd w:val="clear" w:color="auto" w:fill="FFFFFF"/>
                    <w:lang w:val="en-US"/>
                  </w:rPr>
                </m:ctrlPr>
              </m:sSubPr>
              <m:e>
                <m:r>
                  <m:rPr>
                    <m:sty m:val="b"/>
                  </m:rPr>
                  <w:rPr>
                    <w:rStyle w:val="Emphasis"/>
                    <w:rFonts w:ascii="Cambria Math" w:hAnsi="Cambria Math"/>
                    <w:shd w:val="clear" w:color="auto" w:fill="FFFFFF"/>
                  </w:rPr>
                  <m:t>z</m:t>
                </m:r>
              </m:e>
              <m:sub>
                <m:r>
                  <m:rPr>
                    <m:sty m:val="b"/>
                  </m:rPr>
                  <w:rPr>
                    <w:rStyle w:val="Emphasis"/>
                    <w:rFonts w:ascii="Cambria Math" w:hAnsi="Cambria Math"/>
                    <w:shd w:val="clear" w:color="auto" w:fill="FFFFFF"/>
                  </w:rPr>
                  <m:t>i</m:t>
                </m:r>
              </m:sub>
            </m:sSub>
          </m:sup>
        </m:sSup>
      </m:oMath>
      <w:r w:rsidRPr="005823A7">
        <w:rPr>
          <w:rStyle w:val="Emphasis"/>
          <w:i w:val="0"/>
          <w:iCs w:val="0"/>
          <w:shd w:val="clear" w:color="auto" w:fill="FFFFFF"/>
        </w:rPr>
        <w:t xml:space="preserve">………………………………………………………………………………………………........................... </w:t>
      </w:r>
      <w:r w:rsidRPr="005823A7">
        <w:rPr>
          <w:rStyle w:val="Emphasis"/>
          <w:rFonts w:ascii="Times New Roman" w:hAnsi="Times New Roman" w:cs="Times New Roman"/>
          <w:i w:val="0"/>
          <w:iCs w:val="0"/>
          <w:shd w:val="clear" w:color="auto" w:fill="FFFFFF"/>
        </w:rPr>
        <w:t>(05)</w:t>
      </w:r>
    </w:p>
    <w:p w14:paraId="3915E92C" w14:textId="77777777" w:rsidR="003E7CE0" w:rsidRPr="005823A7" w:rsidRDefault="003E7CE0" w:rsidP="003E7CE0">
      <w:pPr>
        <w:spacing w:before="120" w:after="120" w:line="240" w:lineRule="auto"/>
        <w:jc w:val="both"/>
        <w:rPr>
          <w:rFonts w:ascii="Times New Roman" w:hAnsi="Times New Roman" w:cs="Times New Roman"/>
          <w:i/>
          <w:iCs/>
          <w:sz w:val="24"/>
          <w:szCs w:val="24"/>
        </w:rPr>
      </w:pPr>
      <w:r w:rsidRPr="005823A7">
        <w:rPr>
          <w:rStyle w:val="Emphasis"/>
          <w:i w:val="0"/>
          <w:iCs w:val="0"/>
          <w:shd w:val="clear" w:color="auto" w:fill="FFFFFF"/>
        </w:rPr>
        <w:t xml:space="preserve">Then, </w:t>
      </w:r>
      <m:oMath>
        <m:sSub>
          <m:sSubPr>
            <m:ctrlPr>
              <w:rPr>
                <w:rFonts w:ascii="Cambria Math" w:hAnsi="Cambria Math" w:cs="Times New Roman"/>
                <w:i/>
                <w:iCs/>
                <w:sz w:val="24"/>
                <w:szCs w:val="24"/>
                <w:shd w:val="clear" w:color="auto" w:fill="FFFFFF"/>
                <w:lang w:val="en-US"/>
              </w:rPr>
            </m:ctrlPr>
          </m:sSubPr>
          <m:e>
            <m:r>
              <m:rPr>
                <m:sty m:val="p"/>
              </m:rPr>
              <w:rPr>
                <w:rStyle w:val="Emphasis"/>
                <w:rFonts w:ascii="Cambria Math" w:hAnsi="Cambria Math"/>
                <w:shd w:val="clear" w:color="auto" w:fill="FFFFFF"/>
              </w:rPr>
              <m:t>P</m:t>
            </m:r>
          </m:e>
          <m:sub>
            <m:r>
              <m:rPr>
                <m:sty m:val="p"/>
              </m:rPr>
              <w:rPr>
                <w:rStyle w:val="Emphasis"/>
                <w:rFonts w:ascii="Cambria Math" w:hAnsi="Cambria Math"/>
                <w:shd w:val="clear" w:color="auto" w:fill="FFFFFF"/>
              </w:rPr>
              <m:t>i</m:t>
            </m:r>
          </m:sub>
        </m:sSub>
        <m:r>
          <m:rPr>
            <m:sty m:val="b"/>
          </m:rPr>
          <w:rPr>
            <w:rStyle w:val="Emphasis"/>
            <w:rFonts w:ascii="Cambria Math" w:hAnsi="Cambria Math"/>
            <w:shd w:val="clear" w:color="auto" w:fill="FFFFFF"/>
          </w:rPr>
          <m:t xml:space="preserve">= </m:t>
        </m:r>
        <m:f>
          <m:fPr>
            <m:ctrlPr>
              <w:rPr>
                <w:rFonts w:ascii="Cambria Math" w:hAnsi="Cambria Math" w:cs="Times New Roman"/>
                <w:b/>
                <w:i/>
                <w:iCs/>
                <w:sz w:val="24"/>
                <w:szCs w:val="24"/>
                <w:shd w:val="clear" w:color="auto" w:fill="FFFFFF"/>
                <w:lang w:val="en-US"/>
              </w:rPr>
            </m:ctrlPr>
          </m:fPr>
          <m:num>
            <m:sSup>
              <m:sSupPr>
                <m:ctrlPr>
                  <w:rPr>
                    <w:rFonts w:ascii="Cambria Math" w:hAnsi="Cambria Math" w:cs="Times New Roman"/>
                    <w:b/>
                    <w:i/>
                    <w:iCs/>
                    <w:sz w:val="24"/>
                    <w:szCs w:val="24"/>
                    <w:shd w:val="clear" w:color="auto" w:fill="FFFFFF"/>
                    <w:lang w:val="en-US"/>
                  </w:rPr>
                </m:ctrlPr>
              </m:sSupPr>
              <m:e>
                <m:r>
                  <m:rPr>
                    <m:sty m:val="b"/>
                  </m:rPr>
                  <w:rPr>
                    <w:rStyle w:val="Emphasis"/>
                    <w:rFonts w:ascii="Cambria Math" w:hAnsi="Cambria Math"/>
                    <w:shd w:val="clear" w:color="auto" w:fill="FFFFFF"/>
                  </w:rPr>
                  <m:t>℮</m:t>
                </m:r>
              </m:e>
              <m:sup>
                <m:sSub>
                  <m:sSubPr>
                    <m:ctrlPr>
                      <w:rPr>
                        <w:rFonts w:ascii="Cambria Math" w:hAnsi="Cambria Math" w:cs="Times New Roman"/>
                        <w:b/>
                        <w:i/>
                        <w:iCs/>
                        <w:sz w:val="24"/>
                        <w:szCs w:val="24"/>
                        <w:shd w:val="clear" w:color="auto" w:fill="FFFFFF"/>
                        <w:lang w:val="en-US"/>
                      </w:rPr>
                    </m:ctrlPr>
                  </m:sSubPr>
                  <m:e>
                    <m:r>
                      <m:rPr>
                        <m:sty m:val="b"/>
                      </m:rPr>
                      <w:rPr>
                        <w:rStyle w:val="Emphasis"/>
                        <w:rFonts w:ascii="Cambria Math" w:hAnsi="Cambria Math"/>
                        <w:shd w:val="clear" w:color="auto" w:fill="FFFFFF"/>
                      </w:rPr>
                      <m:t>z</m:t>
                    </m:r>
                  </m:e>
                  <m:sub>
                    <m:r>
                      <m:rPr>
                        <m:sty m:val="b"/>
                      </m:rPr>
                      <w:rPr>
                        <w:rStyle w:val="Emphasis"/>
                        <w:rFonts w:ascii="Cambria Math" w:hAnsi="Cambria Math"/>
                        <w:shd w:val="clear" w:color="auto" w:fill="FFFFFF"/>
                      </w:rPr>
                      <m:t>i</m:t>
                    </m:r>
                  </m:sub>
                </m:sSub>
              </m:sup>
            </m:sSup>
          </m:num>
          <m:den>
            <m:r>
              <m:rPr>
                <m:sty m:val="b"/>
              </m:rPr>
              <w:rPr>
                <w:rStyle w:val="Emphasis"/>
                <w:rFonts w:ascii="Cambria Math" w:hAnsi="Cambria Math"/>
                <w:shd w:val="clear" w:color="auto" w:fill="FFFFFF"/>
              </w:rPr>
              <m:t>1+</m:t>
            </m:r>
            <m:sSup>
              <m:sSupPr>
                <m:ctrlPr>
                  <w:rPr>
                    <w:rFonts w:ascii="Cambria Math" w:hAnsi="Cambria Math" w:cs="Times New Roman"/>
                    <w:b/>
                    <w:i/>
                    <w:iCs/>
                    <w:sz w:val="24"/>
                    <w:szCs w:val="24"/>
                    <w:shd w:val="clear" w:color="auto" w:fill="FFFFFF"/>
                    <w:lang w:val="en-US"/>
                  </w:rPr>
                </m:ctrlPr>
              </m:sSupPr>
              <m:e>
                <m:r>
                  <m:rPr>
                    <m:sty m:val="b"/>
                  </m:rPr>
                  <w:rPr>
                    <w:rStyle w:val="Emphasis"/>
                    <w:rFonts w:ascii="Cambria Math" w:hAnsi="Cambria Math"/>
                    <w:shd w:val="clear" w:color="auto" w:fill="FFFFFF"/>
                  </w:rPr>
                  <m:t>℮</m:t>
                </m:r>
              </m:e>
              <m:sup>
                <m:r>
                  <m:rPr>
                    <m:sty m:val="b"/>
                  </m:rPr>
                  <w:rPr>
                    <w:rStyle w:val="Emphasis"/>
                    <w:rFonts w:ascii="Cambria Math" w:hAnsi="Cambria Math"/>
                    <w:shd w:val="clear" w:color="auto" w:fill="FFFFFF"/>
                  </w:rPr>
                  <m:t>z</m:t>
                </m:r>
              </m:sup>
            </m:sSup>
          </m:den>
        </m:f>
      </m:oMath>
      <w:r w:rsidRPr="005823A7">
        <w:rPr>
          <w:rStyle w:val="Emphasis"/>
          <w:i w:val="0"/>
          <w:iCs w:val="0"/>
          <w:shd w:val="clear" w:color="auto" w:fill="FFFFFF"/>
        </w:rPr>
        <w:t xml:space="preserve">…………….……………………………………………………………………………………………………… </w:t>
      </w:r>
      <w:r w:rsidRPr="005823A7">
        <w:rPr>
          <w:rStyle w:val="Emphasis"/>
          <w:rFonts w:ascii="Times New Roman" w:hAnsi="Times New Roman" w:cs="Times New Roman"/>
          <w:i w:val="0"/>
          <w:iCs w:val="0"/>
          <w:shd w:val="clear" w:color="auto" w:fill="FFFFFF"/>
        </w:rPr>
        <w:t>(06)</w:t>
      </w:r>
    </w:p>
    <w:p w14:paraId="189F0A63" w14:textId="77777777" w:rsidR="003E7CE0" w:rsidRPr="005823A7" w:rsidRDefault="003E7CE0" w:rsidP="003E7CE0">
      <w:pPr>
        <w:pStyle w:val="Default"/>
        <w:spacing w:line="360" w:lineRule="auto"/>
        <w:ind w:right="1229"/>
        <w:jc w:val="both"/>
        <w:rPr>
          <w:rFonts w:ascii="Times New Roman" w:hAnsi="Times New Roman" w:cs="Times New Roman"/>
          <w:color w:val="auto"/>
        </w:rPr>
      </w:pPr>
      <w:r w:rsidRPr="005823A7">
        <w:rPr>
          <w:rFonts w:ascii="Times New Roman" w:hAnsi="Times New Roman" w:cs="Times New Roman"/>
          <w:b/>
          <w:bCs/>
          <w:color w:val="auto"/>
        </w:rPr>
        <w:t xml:space="preserve">Validity and Reliability </w:t>
      </w:r>
    </w:p>
    <w:p w14:paraId="285E43CB" w14:textId="366B7B07" w:rsidR="003E7CE0" w:rsidRPr="005823A7" w:rsidRDefault="00893399" w:rsidP="00930C35">
      <w:pPr>
        <w:spacing w:after="0" w:line="360" w:lineRule="auto"/>
        <w:jc w:val="both"/>
        <w:rPr>
          <w:rFonts w:ascii="Times New Roman" w:hAnsi="Times New Roman" w:cs="Times New Roman"/>
          <w:sz w:val="24"/>
          <w:szCs w:val="24"/>
        </w:rPr>
      </w:pPr>
      <w:r w:rsidRPr="005823A7">
        <w:rPr>
          <w:rFonts w:ascii="Times New Roman" w:hAnsi="Times New Roman" w:cs="Times New Roman"/>
          <w:sz w:val="24"/>
          <w:szCs w:val="24"/>
        </w:rPr>
        <w:t xml:space="preserve">This study addressed validity and reliability to ensure dependable outcomes. Validity was strengthened through expert review of the questionnaire, pre-testing, and achieving an adequate sample size, in line with Hair et al.'s (1998) guidelines. Triangulation, or mixed methods, was also applied to enhance qualitative validity (Maxwell, 2013). Reliability, defined as consistency in research methodology (Saunders, 2015), was maintained by including diverse farmer groups in sampling, training and monitoring enumerators, and pre-testing the survey instrument to eliminate ambiguous questions. A Cronbach's Alpha of 0.67 was calculated, </w:t>
      </w:r>
      <w:r w:rsidRPr="005823A7">
        <w:rPr>
          <w:rFonts w:ascii="Times New Roman" w:hAnsi="Times New Roman" w:cs="Times New Roman"/>
          <w:sz w:val="24"/>
          <w:szCs w:val="24"/>
        </w:rPr>
        <w:lastRenderedPageBreak/>
        <w:t>indicating acceptable reliability for sociological research (Louangrath, 2018; Wudil et al., 2023).</w:t>
      </w:r>
    </w:p>
    <w:p w14:paraId="435B95B1" w14:textId="77777777" w:rsidR="00785547" w:rsidRPr="005823A7" w:rsidRDefault="00921352" w:rsidP="00785547">
      <w:pPr>
        <w:spacing w:after="0" w:line="360" w:lineRule="auto"/>
        <w:jc w:val="both"/>
        <w:rPr>
          <w:rFonts w:ascii="Times New Roman" w:hAnsi="Times New Roman" w:cs="Times New Roman"/>
          <w:b/>
          <w:sz w:val="28"/>
          <w:szCs w:val="28"/>
        </w:rPr>
      </w:pPr>
      <w:r w:rsidRPr="005823A7">
        <w:rPr>
          <w:rFonts w:ascii="Times New Roman" w:hAnsi="Times New Roman" w:cs="Times New Roman"/>
          <w:b/>
          <w:sz w:val="28"/>
          <w:szCs w:val="28"/>
        </w:rPr>
        <w:t xml:space="preserve">Results and Discussions </w:t>
      </w:r>
    </w:p>
    <w:p w14:paraId="2B8A8410" w14:textId="587322CA" w:rsidR="00351138" w:rsidRPr="005823A7" w:rsidRDefault="00785547" w:rsidP="00785547">
      <w:pPr>
        <w:spacing w:after="0" w:line="360" w:lineRule="auto"/>
        <w:jc w:val="both"/>
        <w:rPr>
          <w:rFonts w:ascii="Times New Roman" w:hAnsi="Times New Roman" w:cs="Times New Roman"/>
          <w:b/>
          <w:sz w:val="28"/>
          <w:szCs w:val="28"/>
        </w:rPr>
      </w:pPr>
      <w:r w:rsidRPr="005823A7">
        <w:rPr>
          <w:rFonts w:ascii="Times New Roman" w:hAnsi="Times New Roman" w:cs="Times New Roman"/>
          <w:sz w:val="24"/>
          <w:szCs w:val="24"/>
        </w:rPr>
        <w:t>Table 01 explains that</w:t>
      </w:r>
      <w:r w:rsidRPr="005823A7">
        <w:rPr>
          <w:rFonts w:ascii="Times New Roman" w:hAnsi="Times New Roman" w:cs="Times New Roman"/>
          <w:b/>
          <w:sz w:val="28"/>
          <w:szCs w:val="28"/>
        </w:rPr>
        <w:t xml:space="preserve"> </w:t>
      </w:r>
      <w:r w:rsidRPr="005823A7">
        <w:rPr>
          <w:rFonts w:ascii="Times New Roman" w:hAnsi="Times New Roman" w:cs="Times New Roman"/>
          <w:sz w:val="24"/>
          <w:szCs w:val="24"/>
        </w:rPr>
        <w:t xml:space="preserve">groundwater depletion emerges from its open-access nature and lack of regulation. Key factors include low rainfall (&lt;250 mm/year), high water-demand crops (750 mm/year), widespread unregulated tubewell drilling, inefficient irrigation, and prolonged over-pumping due to energy subsidies (Ahmad, 2007). The survey data highlights respondents' perceptions of groundwater depletion caused in highland Balochistan, illustrating distinct priorities across electric, solar, and combined electric-solar tubewell users. Among electric tubewell users, nearly half (48.37%) identified low aquifer recharge as the primary cause for groundwater decline, suggesting a solid awareness of environmental limitations. This is further supported by the finding that 37.21% attribute the depletion to the mass installation of tubewells, indicating that overuse of groundwater infrastructure is perceived as a significant contributing factor. Additionally, cropping intensity was noted by 6.98% of electric tubewell users, consistent with prior research by Khair et al. (2012), which observed that cultivating high-water-demand crops, like apples, is associated with lowered water tables. </w:t>
      </w:r>
      <w:r w:rsidRPr="005823A7">
        <w:rPr>
          <w:rFonts w:ascii="Times New Roman" w:eastAsia="Times New Roman" w:hAnsi="Times New Roman" w:cs="Times New Roman"/>
          <w:sz w:val="24"/>
          <w:szCs w:val="24"/>
          <w:lang w:eastAsia="en-GB"/>
        </w:rPr>
        <w:t xml:space="preserve">These findings highlight the ecological strain imposed by intensive agriculture in areas reliant on groundwater. </w:t>
      </w:r>
      <w:r w:rsidRPr="005823A7">
        <w:rPr>
          <w:rFonts w:ascii="Times New Roman" w:eastAsia="Times New Roman" w:hAnsi="Times New Roman" w:cs="Times New Roman"/>
          <w:sz w:val="24"/>
          <w:szCs w:val="24"/>
          <w:lang w:eastAsia="en-GB"/>
        </w:rPr>
        <w:br/>
        <w:t>Users of solar tubewells, however, prioritised various factors: Depletion was mostly attributable to subsidised power (28%), followed by inadequate aquifer replenishment (22%) and extensive tubewell installations (20%). This perspective indicates that economic incentives might unintentionally encourage over-extraction of groundwater, a notion supported by Ahmad (2006) and Qureshi et al. (2008), who found that higher energy costs and inadequate water management practices intensify groundwater depletion in the area. Users of combined electric-solar systems predominantly identified low aquifer recharge (30%) and extensive tubewell installations (22%) as contributing factors, while acknowledging cropping intensity at 14%, indicating a measured concern on both infrastructure and agricultural intensity.</w:t>
      </w:r>
    </w:p>
    <w:p w14:paraId="7BF92EB4" w14:textId="77777777" w:rsidR="009401BE" w:rsidRPr="005823A7" w:rsidRDefault="009401BE" w:rsidP="00010D42">
      <w:pPr>
        <w:spacing w:before="120" w:after="0" w:line="360" w:lineRule="auto"/>
        <w:jc w:val="both"/>
        <w:rPr>
          <w:rFonts w:ascii="Times New Roman" w:eastAsia="Times New Roman" w:hAnsi="Times New Roman" w:cs="Times New Roman"/>
          <w:sz w:val="24"/>
          <w:szCs w:val="24"/>
          <w:lang w:eastAsia="en-GB"/>
        </w:rPr>
      </w:pPr>
      <w:r w:rsidRPr="005823A7">
        <w:rPr>
          <w:rFonts w:ascii="Times New Roman" w:eastAsia="Times New Roman" w:hAnsi="Times New Roman" w:cs="Times New Roman"/>
          <w:sz w:val="24"/>
          <w:szCs w:val="24"/>
          <w:lang w:eastAsia="en-GB"/>
        </w:rPr>
        <w:t xml:space="preserve">The replies collectively suggest that participants acknowledge natural constraints, such as insufficient aquifer recharge, and human-induced pressures, including widespread tubewell installations and high-water-demand crops, as significant factors contributing to groundwater depletion. The evidence corroborates the concerns raised by Qureshi et al. (2008), who noted that declining water tables result in escalating pumping costs and declining groundwater quality, and by Rana et al. (2021), who forecasted that ongoing groundwater extraction may lead to intergenerational sustainability challenges and water conflicts. Given that more than </w:t>
      </w:r>
      <w:r w:rsidRPr="005823A7">
        <w:rPr>
          <w:rFonts w:ascii="Times New Roman" w:eastAsia="Times New Roman" w:hAnsi="Times New Roman" w:cs="Times New Roman"/>
          <w:sz w:val="24"/>
          <w:szCs w:val="24"/>
          <w:lang w:eastAsia="en-GB"/>
        </w:rPr>
        <w:lastRenderedPageBreak/>
        <w:t>60% of Balochistan's groundwater has been depleted (Ahmad 2006; Rana et al., 2021), these findings underscore the critical necessity for strategic groundwater management and a reassessment of agricultural and economic strategies to guarantee water security for present and future generations.</w:t>
      </w:r>
    </w:p>
    <w:p w14:paraId="2181A7E1" w14:textId="632AC3E7" w:rsidR="000A088E" w:rsidRPr="005823A7" w:rsidRDefault="00785547" w:rsidP="00921352">
      <w:pPr>
        <w:widowControl w:val="0"/>
        <w:autoSpaceDE w:val="0"/>
        <w:autoSpaceDN w:val="0"/>
        <w:adjustRightInd w:val="0"/>
        <w:spacing w:before="120" w:after="120" w:line="360" w:lineRule="auto"/>
        <w:jc w:val="both"/>
        <w:rPr>
          <w:rFonts w:ascii="Times New Roman" w:hAnsi="Times New Roman" w:cs="Times New Roman"/>
          <w:b/>
          <w:sz w:val="24"/>
          <w:szCs w:val="24"/>
        </w:rPr>
      </w:pPr>
      <w:r w:rsidRPr="005823A7">
        <w:rPr>
          <w:rFonts w:ascii="Times New Roman" w:hAnsi="Times New Roman" w:cs="Times New Roman"/>
          <w:b/>
          <w:sz w:val="24"/>
          <w:szCs w:val="24"/>
        </w:rPr>
        <w:t>Table 01: Perception of the respondents about the causes of groundwater depletion</w:t>
      </w:r>
    </w:p>
    <w:tbl>
      <w:tblPr>
        <w:tblStyle w:val="TableGrid"/>
        <w:tblW w:w="5000" w:type="pct"/>
        <w:tblInd w:w="0" w:type="dxa"/>
        <w:tblLook w:val="04A0" w:firstRow="1" w:lastRow="0" w:firstColumn="1" w:lastColumn="0" w:noHBand="0" w:noVBand="1"/>
      </w:tblPr>
      <w:tblGrid>
        <w:gridCol w:w="2534"/>
        <w:gridCol w:w="1078"/>
        <w:gridCol w:w="1230"/>
        <w:gridCol w:w="923"/>
        <w:gridCol w:w="1230"/>
        <w:gridCol w:w="921"/>
        <w:gridCol w:w="1100"/>
      </w:tblGrid>
      <w:tr w:rsidR="00C446F7" w:rsidRPr="005823A7" w14:paraId="6F8D193A" w14:textId="77777777" w:rsidTr="00C446F7">
        <w:tc>
          <w:tcPr>
            <w:tcW w:w="1405" w:type="pct"/>
            <w:vMerge w:val="restart"/>
            <w:tcBorders>
              <w:top w:val="single" w:sz="4" w:space="0" w:color="auto"/>
              <w:left w:val="single" w:sz="4" w:space="0" w:color="auto"/>
              <w:bottom w:val="single" w:sz="4" w:space="0" w:color="auto"/>
              <w:right w:val="single" w:sz="4" w:space="0" w:color="auto"/>
            </w:tcBorders>
            <w:vAlign w:val="center"/>
            <w:hideMark/>
          </w:tcPr>
          <w:p w14:paraId="06121937" w14:textId="77777777" w:rsidR="00C446F7" w:rsidRPr="005823A7" w:rsidRDefault="00C446F7" w:rsidP="008373A8">
            <w:pPr>
              <w:widowControl w:val="0"/>
              <w:autoSpaceDE w:val="0"/>
              <w:autoSpaceDN w:val="0"/>
              <w:adjustRightInd w:val="0"/>
              <w:spacing w:after="120"/>
              <w:jc w:val="center"/>
              <w:rPr>
                <w:rFonts w:ascii="Times New Roman" w:hAnsi="Times New Roman" w:cs="Times New Roman"/>
                <w:b/>
                <w:sz w:val="24"/>
                <w:szCs w:val="24"/>
              </w:rPr>
            </w:pPr>
            <w:r w:rsidRPr="005823A7">
              <w:rPr>
                <w:rFonts w:ascii="Times New Roman" w:hAnsi="Times New Roman" w:cs="Times New Roman"/>
                <w:b/>
                <w:sz w:val="24"/>
                <w:szCs w:val="24"/>
              </w:rPr>
              <w:t>Reasons for water table decline</w:t>
            </w:r>
          </w:p>
        </w:tc>
        <w:tc>
          <w:tcPr>
            <w:tcW w:w="1280" w:type="pct"/>
            <w:gridSpan w:val="2"/>
            <w:tcBorders>
              <w:top w:val="single" w:sz="4" w:space="0" w:color="auto"/>
              <w:left w:val="single" w:sz="4" w:space="0" w:color="auto"/>
              <w:bottom w:val="single" w:sz="4" w:space="0" w:color="auto"/>
              <w:right w:val="single" w:sz="4" w:space="0" w:color="auto"/>
            </w:tcBorders>
            <w:hideMark/>
          </w:tcPr>
          <w:p w14:paraId="7F5E087A" w14:textId="77777777" w:rsidR="00C446F7" w:rsidRPr="005823A7" w:rsidRDefault="00C446F7" w:rsidP="008373A8">
            <w:pPr>
              <w:widowControl w:val="0"/>
              <w:autoSpaceDE w:val="0"/>
              <w:autoSpaceDN w:val="0"/>
              <w:adjustRightInd w:val="0"/>
              <w:jc w:val="center"/>
              <w:rPr>
                <w:rFonts w:ascii="Times New Roman" w:hAnsi="Times New Roman" w:cs="Times New Roman"/>
                <w:b/>
                <w:sz w:val="24"/>
                <w:szCs w:val="24"/>
              </w:rPr>
            </w:pPr>
            <w:r w:rsidRPr="005823A7">
              <w:rPr>
                <w:rFonts w:ascii="Times New Roman" w:hAnsi="Times New Roman" w:cs="Times New Roman"/>
                <w:b/>
                <w:sz w:val="24"/>
                <w:szCs w:val="24"/>
              </w:rPr>
              <w:t>Electric tubewell users</w:t>
            </w:r>
          </w:p>
        </w:tc>
        <w:tc>
          <w:tcPr>
            <w:tcW w:w="1194" w:type="pct"/>
            <w:gridSpan w:val="2"/>
            <w:tcBorders>
              <w:top w:val="single" w:sz="4" w:space="0" w:color="auto"/>
              <w:left w:val="single" w:sz="4" w:space="0" w:color="auto"/>
              <w:bottom w:val="single" w:sz="4" w:space="0" w:color="auto"/>
              <w:right w:val="single" w:sz="4" w:space="0" w:color="auto"/>
            </w:tcBorders>
            <w:vAlign w:val="center"/>
            <w:hideMark/>
          </w:tcPr>
          <w:p w14:paraId="557824AF" w14:textId="77777777" w:rsidR="00C446F7" w:rsidRPr="005823A7" w:rsidRDefault="00C446F7" w:rsidP="008373A8">
            <w:pPr>
              <w:widowControl w:val="0"/>
              <w:autoSpaceDE w:val="0"/>
              <w:autoSpaceDN w:val="0"/>
              <w:adjustRightInd w:val="0"/>
              <w:jc w:val="center"/>
              <w:rPr>
                <w:rFonts w:ascii="Times New Roman" w:hAnsi="Times New Roman" w:cs="Times New Roman"/>
                <w:b/>
                <w:sz w:val="24"/>
                <w:szCs w:val="24"/>
              </w:rPr>
            </w:pPr>
            <w:r w:rsidRPr="005823A7">
              <w:rPr>
                <w:rFonts w:ascii="Times New Roman" w:hAnsi="Times New Roman" w:cs="Times New Roman"/>
                <w:b/>
                <w:sz w:val="24"/>
                <w:szCs w:val="24"/>
              </w:rPr>
              <w:t>Solar tubewell users</w:t>
            </w:r>
          </w:p>
        </w:tc>
        <w:tc>
          <w:tcPr>
            <w:tcW w:w="1121" w:type="pct"/>
            <w:gridSpan w:val="2"/>
            <w:tcBorders>
              <w:top w:val="single" w:sz="4" w:space="0" w:color="auto"/>
              <w:left w:val="single" w:sz="4" w:space="0" w:color="auto"/>
              <w:bottom w:val="single" w:sz="4" w:space="0" w:color="auto"/>
              <w:right w:val="single" w:sz="4" w:space="0" w:color="auto"/>
            </w:tcBorders>
            <w:vAlign w:val="center"/>
            <w:hideMark/>
          </w:tcPr>
          <w:p w14:paraId="7D242ADB" w14:textId="77777777" w:rsidR="00C446F7" w:rsidRPr="005823A7" w:rsidRDefault="00C446F7" w:rsidP="008373A8">
            <w:pPr>
              <w:widowControl w:val="0"/>
              <w:autoSpaceDE w:val="0"/>
              <w:autoSpaceDN w:val="0"/>
              <w:adjustRightInd w:val="0"/>
              <w:jc w:val="center"/>
              <w:rPr>
                <w:rFonts w:ascii="Times New Roman" w:hAnsi="Times New Roman" w:cs="Times New Roman"/>
                <w:b/>
                <w:sz w:val="24"/>
                <w:szCs w:val="24"/>
              </w:rPr>
            </w:pPr>
            <w:r w:rsidRPr="005823A7">
              <w:rPr>
                <w:rFonts w:ascii="Times New Roman" w:hAnsi="Times New Roman" w:cs="Times New Roman"/>
                <w:b/>
                <w:sz w:val="24"/>
                <w:szCs w:val="24"/>
              </w:rPr>
              <w:t>Electric + Solar tubewell users</w:t>
            </w:r>
          </w:p>
        </w:tc>
      </w:tr>
      <w:tr w:rsidR="00921352" w:rsidRPr="005823A7" w14:paraId="07CE019C" w14:textId="77777777" w:rsidTr="00C446F7">
        <w:tc>
          <w:tcPr>
            <w:tcW w:w="0" w:type="auto"/>
            <w:vMerge/>
            <w:tcBorders>
              <w:top w:val="single" w:sz="4" w:space="0" w:color="auto"/>
              <w:left w:val="single" w:sz="4" w:space="0" w:color="auto"/>
              <w:bottom w:val="single" w:sz="4" w:space="0" w:color="auto"/>
              <w:right w:val="single" w:sz="4" w:space="0" w:color="auto"/>
            </w:tcBorders>
            <w:vAlign w:val="center"/>
            <w:hideMark/>
          </w:tcPr>
          <w:p w14:paraId="130DC813" w14:textId="77777777" w:rsidR="00921352" w:rsidRPr="005823A7" w:rsidRDefault="00921352" w:rsidP="008373A8">
            <w:pPr>
              <w:rPr>
                <w:rFonts w:ascii="Times New Roman" w:hAnsi="Times New Roman" w:cs="Times New Roman"/>
                <w:b/>
                <w:sz w:val="24"/>
                <w:szCs w:val="24"/>
              </w:rPr>
            </w:pPr>
          </w:p>
        </w:tc>
        <w:tc>
          <w:tcPr>
            <w:tcW w:w="598" w:type="pct"/>
            <w:tcBorders>
              <w:top w:val="single" w:sz="4" w:space="0" w:color="auto"/>
              <w:left w:val="single" w:sz="4" w:space="0" w:color="auto"/>
              <w:bottom w:val="single" w:sz="4" w:space="0" w:color="auto"/>
              <w:right w:val="single" w:sz="4" w:space="0" w:color="auto"/>
            </w:tcBorders>
            <w:vAlign w:val="center"/>
            <w:hideMark/>
          </w:tcPr>
          <w:p w14:paraId="12C13A13" w14:textId="77777777" w:rsidR="00921352" w:rsidRPr="005823A7" w:rsidRDefault="00921352"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Freq.</w:t>
            </w:r>
          </w:p>
        </w:tc>
        <w:tc>
          <w:tcPr>
            <w:tcW w:w="682" w:type="pct"/>
            <w:tcBorders>
              <w:top w:val="single" w:sz="4" w:space="0" w:color="auto"/>
              <w:left w:val="single" w:sz="4" w:space="0" w:color="auto"/>
              <w:bottom w:val="single" w:sz="4" w:space="0" w:color="auto"/>
              <w:right w:val="single" w:sz="4" w:space="0" w:color="auto"/>
            </w:tcBorders>
            <w:vAlign w:val="center"/>
            <w:hideMark/>
          </w:tcPr>
          <w:p w14:paraId="19DDB516" w14:textId="77777777" w:rsidR="00921352" w:rsidRPr="005823A7" w:rsidRDefault="00921352"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Percent</w:t>
            </w:r>
          </w:p>
        </w:tc>
        <w:tc>
          <w:tcPr>
            <w:tcW w:w="512" w:type="pct"/>
            <w:tcBorders>
              <w:top w:val="single" w:sz="4" w:space="0" w:color="auto"/>
              <w:left w:val="single" w:sz="4" w:space="0" w:color="auto"/>
              <w:bottom w:val="single" w:sz="4" w:space="0" w:color="auto"/>
              <w:right w:val="single" w:sz="4" w:space="0" w:color="auto"/>
            </w:tcBorders>
            <w:vAlign w:val="center"/>
            <w:hideMark/>
          </w:tcPr>
          <w:p w14:paraId="6978B9B9" w14:textId="77777777" w:rsidR="00921352" w:rsidRPr="005823A7" w:rsidRDefault="00921352"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Freq.</w:t>
            </w:r>
          </w:p>
        </w:tc>
        <w:tc>
          <w:tcPr>
            <w:tcW w:w="682" w:type="pct"/>
            <w:tcBorders>
              <w:top w:val="single" w:sz="4" w:space="0" w:color="auto"/>
              <w:left w:val="single" w:sz="4" w:space="0" w:color="auto"/>
              <w:bottom w:val="single" w:sz="4" w:space="0" w:color="auto"/>
              <w:right w:val="single" w:sz="4" w:space="0" w:color="auto"/>
            </w:tcBorders>
            <w:vAlign w:val="center"/>
            <w:hideMark/>
          </w:tcPr>
          <w:p w14:paraId="5779D8E7" w14:textId="77777777" w:rsidR="00921352" w:rsidRPr="005823A7" w:rsidRDefault="00921352"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Percent</w:t>
            </w:r>
          </w:p>
        </w:tc>
        <w:tc>
          <w:tcPr>
            <w:tcW w:w="511" w:type="pct"/>
            <w:tcBorders>
              <w:top w:val="single" w:sz="4" w:space="0" w:color="auto"/>
              <w:left w:val="single" w:sz="4" w:space="0" w:color="auto"/>
              <w:bottom w:val="single" w:sz="4" w:space="0" w:color="auto"/>
              <w:right w:val="single" w:sz="4" w:space="0" w:color="auto"/>
            </w:tcBorders>
            <w:vAlign w:val="center"/>
            <w:hideMark/>
          </w:tcPr>
          <w:p w14:paraId="788308EE" w14:textId="77777777" w:rsidR="00921352" w:rsidRPr="005823A7" w:rsidRDefault="00921352"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Freq.</w:t>
            </w:r>
          </w:p>
        </w:tc>
        <w:tc>
          <w:tcPr>
            <w:tcW w:w="610" w:type="pct"/>
            <w:tcBorders>
              <w:top w:val="single" w:sz="4" w:space="0" w:color="auto"/>
              <w:left w:val="single" w:sz="4" w:space="0" w:color="auto"/>
              <w:bottom w:val="single" w:sz="4" w:space="0" w:color="auto"/>
              <w:right w:val="single" w:sz="4" w:space="0" w:color="auto"/>
            </w:tcBorders>
            <w:vAlign w:val="center"/>
            <w:hideMark/>
          </w:tcPr>
          <w:p w14:paraId="55FA8BB2" w14:textId="77777777" w:rsidR="00921352" w:rsidRPr="005823A7" w:rsidRDefault="00921352"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Percent</w:t>
            </w:r>
          </w:p>
        </w:tc>
      </w:tr>
      <w:tr w:rsidR="00921352" w:rsidRPr="005823A7" w14:paraId="413B6511" w14:textId="77777777" w:rsidTr="00C446F7">
        <w:trPr>
          <w:trHeight w:val="629"/>
        </w:trPr>
        <w:tc>
          <w:tcPr>
            <w:tcW w:w="1405" w:type="pct"/>
            <w:tcBorders>
              <w:top w:val="single" w:sz="4" w:space="0" w:color="auto"/>
              <w:left w:val="single" w:sz="4" w:space="0" w:color="auto"/>
              <w:bottom w:val="single" w:sz="4" w:space="0" w:color="auto"/>
              <w:right w:val="single" w:sz="4" w:space="0" w:color="auto"/>
            </w:tcBorders>
            <w:vAlign w:val="center"/>
            <w:hideMark/>
          </w:tcPr>
          <w:p w14:paraId="05207E44" w14:textId="77777777" w:rsidR="00921352" w:rsidRPr="005823A7" w:rsidRDefault="00921352" w:rsidP="008373A8">
            <w:pPr>
              <w:widowControl w:val="0"/>
              <w:autoSpaceDE w:val="0"/>
              <w:autoSpaceDN w:val="0"/>
              <w:adjustRightInd w:val="0"/>
              <w:spacing w:after="120"/>
              <w:rPr>
                <w:rFonts w:ascii="Times New Roman" w:hAnsi="Times New Roman" w:cs="Times New Roman"/>
                <w:sz w:val="24"/>
                <w:szCs w:val="24"/>
              </w:rPr>
            </w:pPr>
            <w:r w:rsidRPr="005823A7">
              <w:rPr>
                <w:rFonts w:ascii="Times New Roman" w:hAnsi="Times New Roman" w:cs="Times New Roman"/>
                <w:sz w:val="24"/>
                <w:szCs w:val="24"/>
              </w:rPr>
              <w:t>Cropping intensity</w:t>
            </w:r>
          </w:p>
        </w:tc>
        <w:tc>
          <w:tcPr>
            <w:tcW w:w="598" w:type="pct"/>
            <w:tcBorders>
              <w:top w:val="single" w:sz="4" w:space="0" w:color="auto"/>
              <w:left w:val="single" w:sz="4" w:space="0" w:color="auto"/>
              <w:bottom w:val="single" w:sz="4" w:space="0" w:color="auto"/>
              <w:right w:val="single" w:sz="4" w:space="0" w:color="auto"/>
            </w:tcBorders>
            <w:vAlign w:val="center"/>
            <w:hideMark/>
          </w:tcPr>
          <w:p w14:paraId="4A9899D8" w14:textId="77777777" w:rsidR="00921352" w:rsidRPr="005823A7" w:rsidRDefault="00921352"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15</w:t>
            </w:r>
          </w:p>
        </w:tc>
        <w:tc>
          <w:tcPr>
            <w:tcW w:w="682" w:type="pct"/>
            <w:tcBorders>
              <w:top w:val="single" w:sz="4" w:space="0" w:color="auto"/>
              <w:left w:val="single" w:sz="4" w:space="0" w:color="auto"/>
              <w:bottom w:val="single" w:sz="4" w:space="0" w:color="auto"/>
              <w:right w:val="single" w:sz="4" w:space="0" w:color="auto"/>
            </w:tcBorders>
            <w:vAlign w:val="center"/>
            <w:hideMark/>
          </w:tcPr>
          <w:p w14:paraId="5B52D493" w14:textId="77777777" w:rsidR="00921352" w:rsidRPr="005823A7" w:rsidRDefault="00921352"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6.98</w:t>
            </w:r>
          </w:p>
        </w:tc>
        <w:tc>
          <w:tcPr>
            <w:tcW w:w="512" w:type="pct"/>
            <w:tcBorders>
              <w:top w:val="single" w:sz="4" w:space="0" w:color="auto"/>
              <w:left w:val="single" w:sz="4" w:space="0" w:color="auto"/>
              <w:bottom w:val="single" w:sz="4" w:space="0" w:color="auto"/>
              <w:right w:val="single" w:sz="4" w:space="0" w:color="auto"/>
            </w:tcBorders>
            <w:vAlign w:val="center"/>
            <w:hideMark/>
          </w:tcPr>
          <w:p w14:paraId="13B1F4D4" w14:textId="77777777" w:rsidR="00921352" w:rsidRPr="005823A7" w:rsidRDefault="009973EC"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4</w:t>
            </w:r>
          </w:p>
        </w:tc>
        <w:tc>
          <w:tcPr>
            <w:tcW w:w="682" w:type="pct"/>
            <w:tcBorders>
              <w:top w:val="single" w:sz="4" w:space="0" w:color="auto"/>
              <w:left w:val="single" w:sz="4" w:space="0" w:color="auto"/>
              <w:bottom w:val="single" w:sz="4" w:space="0" w:color="auto"/>
              <w:right w:val="single" w:sz="4" w:space="0" w:color="auto"/>
            </w:tcBorders>
            <w:vAlign w:val="center"/>
            <w:hideMark/>
          </w:tcPr>
          <w:p w14:paraId="2D0A324C" w14:textId="77777777" w:rsidR="00921352" w:rsidRPr="005823A7" w:rsidRDefault="009973EC"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8.00</w:t>
            </w:r>
          </w:p>
        </w:tc>
        <w:tc>
          <w:tcPr>
            <w:tcW w:w="511" w:type="pct"/>
            <w:tcBorders>
              <w:top w:val="single" w:sz="4" w:space="0" w:color="auto"/>
              <w:left w:val="single" w:sz="4" w:space="0" w:color="auto"/>
              <w:bottom w:val="single" w:sz="4" w:space="0" w:color="auto"/>
              <w:right w:val="single" w:sz="4" w:space="0" w:color="auto"/>
            </w:tcBorders>
            <w:vAlign w:val="center"/>
            <w:hideMark/>
          </w:tcPr>
          <w:p w14:paraId="7B3859CF" w14:textId="77777777" w:rsidR="00921352" w:rsidRPr="005823A7" w:rsidRDefault="00921352"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7</w:t>
            </w:r>
          </w:p>
        </w:tc>
        <w:tc>
          <w:tcPr>
            <w:tcW w:w="610" w:type="pct"/>
            <w:tcBorders>
              <w:top w:val="single" w:sz="4" w:space="0" w:color="auto"/>
              <w:left w:val="single" w:sz="4" w:space="0" w:color="auto"/>
              <w:bottom w:val="single" w:sz="4" w:space="0" w:color="auto"/>
              <w:right w:val="single" w:sz="4" w:space="0" w:color="auto"/>
            </w:tcBorders>
            <w:vAlign w:val="center"/>
            <w:hideMark/>
          </w:tcPr>
          <w:p w14:paraId="3BDA4FFD" w14:textId="77777777" w:rsidR="00921352" w:rsidRPr="005823A7" w:rsidRDefault="00215035"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14.00</w:t>
            </w:r>
          </w:p>
        </w:tc>
      </w:tr>
      <w:tr w:rsidR="00921352" w:rsidRPr="005823A7" w14:paraId="33BE9AE3" w14:textId="77777777" w:rsidTr="00C446F7">
        <w:trPr>
          <w:trHeight w:val="695"/>
        </w:trPr>
        <w:tc>
          <w:tcPr>
            <w:tcW w:w="1405" w:type="pct"/>
            <w:tcBorders>
              <w:top w:val="single" w:sz="4" w:space="0" w:color="auto"/>
              <w:left w:val="single" w:sz="4" w:space="0" w:color="auto"/>
              <w:bottom w:val="single" w:sz="4" w:space="0" w:color="auto"/>
              <w:right w:val="single" w:sz="4" w:space="0" w:color="auto"/>
            </w:tcBorders>
            <w:vAlign w:val="center"/>
            <w:hideMark/>
          </w:tcPr>
          <w:p w14:paraId="1EA113F2" w14:textId="77777777" w:rsidR="00921352" w:rsidRPr="005823A7" w:rsidRDefault="00921352" w:rsidP="008373A8">
            <w:pPr>
              <w:widowControl w:val="0"/>
              <w:autoSpaceDE w:val="0"/>
              <w:autoSpaceDN w:val="0"/>
              <w:adjustRightInd w:val="0"/>
              <w:spacing w:after="120"/>
              <w:rPr>
                <w:rFonts w:ascii="Times New Roman" w:hAnsi="Times New Roman" w:cs="Times New Roman"/>
                <w:sz w:val="24"/>
                <w:szCs w:val="24"/>
              </w:rPr>
            </w:pPr>
            <w:r w:rsidRPr="005823A7">
              <w:rPr>
                <w:rFonts w:ascii="Times New Roman" w:hAnsi="Times New Roman" w:cs="Times New Roman"/>
                <w:sz w:val="24"/>
                <w:szCs w:val="24"/>
              </w:rPr>
              <w:t>Subsidized electricity</w:t>
            </w:r>
          </w:p>
        </w:tc>
        <w:tc>
          <w:tcPr>
            <w:tcW w:w="598" w:type="pct"/>
            <w:tcBorders>
              <w:top w:val="single" w:sz="4" w:space="0" w:color="auto"/>
              <w:left w:val="single" w:sz="4" w:space="0" w:color="auto"/>
              <w:bottom w:val="single" w:sz="4" w:space="0" w:color="auto"/>
              <w:right w:val="single" w:sz="4" w:space="0" w:color="auto"/>
            </w:tcBorders>
            <w:vAlign w:val="center"/>
            <w:hideMark/>
          </w:tcPr>
          <w:p w14:paraId="2486EB6E" w14:textId="77777777" w:rsidR="00921352" w:rsidRPr="005823A7" w:rsidRDefault="00921352"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3</w:t>
            </w:r>
          </w:p>
        </w:tc>
        <w:tc>
          <w:tcPr>
            <w:tcW w:w="682" w:type="pct"/>
            <w:tcBorders>
              <w:top w:val="single" w:sz="4" w:space="0" w:color="auto"/>
              <w:left w:val="single" w:sz="4" w:space="0" w:color="auto"/>
              <w:bottom w:val="single" w:sz="4" w:space="0" w:color="auto"/>
              <w:right w:val="single" w:sz="4" w:space="0" w:color="auto"/>
            </w:tcBorders>
            <w:vAlign w:val="center"/>
            <w:hideMark/>
          </w:tcPr>
          <w:p w14:paraId="67029D7F" w14:textId="77777777" w:rsidR="00921352" w:rsidRPr="005823A7" w:rsidRDefault="00921352"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1.40</w:t>
            </w:r>
          </w:p>
        </w:tc>
        <w:tc>
          <w:tcPr>
            <w:tcW w:w="512" w:type="pct"/>
            <w:tcBorders>
              <w:top w:val="single" w:sz="4" w:space="0" w:color="auto"/>
              <w:left w:val="single" w:sz="4" w:space="0" w:color="auto"/>
              <w:bottom w:val="single" w:sz="4" w:space="0" w:color="auto"/>
              <w:right w:val="single" w:sz="4" w:space="0" w:color="auto"/>
            </w:tcBorders>
            <w:vAlign w:val="center"/>
            <w:hideMark/>
          </w:tcPr>
          <w:p w14:paraId="6A60F65D" w14:textId="77777777" w:rsidR="00921352" w:rsidRPr="005823A7" w:rsidRDefault="00921352"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14</w:t>
            </w:r>
          </w:p>
        </w:tc>
        <w:tc>
          <w:tcPr>
            <w:tcW w:w="682" w:type="pct"/>
            <w:tcBorders>
              <w:top w:val="single" w:sz="4" w:space="0" w:color="auto"/>
              <w:left w:val="single" w:sz="4" w:space="0" w:color="auto"/>
              <w:bottom w:val="single" w:sz="4" w:space="0" w:color="auto"/>
              <w:right w:val="single" w:sz="4" w:space="0" w:color="auto"/>
            </w:tcBorders>
            <w:vAlign w:val="center"/>
            <w:hideMark/>
          </w:tcPr>
          <w:p w14:paraId="24D836D6" w14:textId="77777777" w:rsidR="00921352" w:rsidRPr="005823A7" w:rsidRDefault="009973EC"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28.00</w:t>
            </w:r>
          </w:p>
        </w:tc>
        <w:tc>
          <w:tcPr>
            <w:tcW w:w="511" w:type="pct"/>
            <w:tcBorders>
              <w:top w:val="single" w:sz="4" w:space="0" w:color="auto"/>
              <w:left w:val="single" w:sz="4" w:space="0" w:color="auto"/>
              <w:bottom w:val="single" w:sz="4" w:space="0" w:color="auto"/>
              <w:right w:val="single" w:sz="4" w:space="0" w:color="auto"/>
            </w:tcBorders>
            <w:vAlign w:val="center"/>
            <w:hideMark/>
          </w:tcPr>
          <w:p w14:paraId="15BC7C8C" w14:textId="77777777" w:rsidR="00921352" w:rsidRPr="005823A7" w:rsidRDefault="00921352"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1</w:t>
            </w:r>
          </w:p>
        </w:tc>
        <w:tc>
          <w:tcPr>
            <w:tcW w:w="610" w:type="pct"/>
            <w:tcBorders>
              <w:top w:val="single" w:sz="4" w:space="0" w:color="auto"/>
              <w:left w:val="single" w:sz="4" w:space="0" w:color="auto"/>
              <w:bottom w:val="single" w:sz="4" w:space="0" w:color="auto"/>
              <w:right w:val="single" w:sz="4" w:space="0" w:color="auto"/>
            </w:tcBorders>
            <w:vAlign w:val="center"/>
            <w:hideMark/>
          </w:tcPr>
          <w:p w14:paraId="7B02C14D" w14:textId="77777777" w:rsidR="00921352" w:rsidRPr="005823A7" w:rsidRDefault="00215035" w:rsidP="008373A8">
            <w:pPr>
              <w:widowControl w:val="0"/>
              <w:autoSpaceDE w:val="0"/>
              <w:autoSpaceDN w:val="0"/>
              <w:adjustRightInd w:val="0"/>
              <w:spacing w:after="120"/>
              <w:rPr>
                <w:rFonts w:ascii="Times New Roman" w:hAnsi="Times New Roman" w:cs="Times New Roman"/>
                <w:sz w:val="24"/>
                <w:szCs w:val="24"/>
              </w:rPr>
            </w:pPr>
            <w:r w:rsidRPr="005823A7">
              <w:rPr>
                <w:rFonts w:ascii="Times New Roman" w:hAnsi="Times New Roman" w:cs="Times New Roman"/>
                <w:sz w:val="24"/>
                <w:szCs w:val="24"/>
              </w:rPr>
              <w:t xml:space="preserve">     2.00</w:t>
            </w:r>
          </w:p>
        </w:tc>
      </w:tr>
      <w:tr w:rsidR="00921352" w:rsidRPr="005823A7" w14:paraId="47DB50EC" w14:textId="77777777" w:rsidTr="00C446F7">
        <w:trPr>
          <w:trHeight w:val="704"/>
        </w:trPr>
        <w:tc>
          <w:tcPr>
            <w:tcW w:w="1405" w:type="pct"/>
            <w:tcBorders>
              <w:top w:val="single" w:sz="4" w:space="0" w:color="auto"/>
              <w:left w:val="single" w:sz="4" w:space="0" w:color="auto"/>
              <w:bottom w:val="single" w:sz="4" w:space="0" w:color="auto"/>
              <w:right w:val="single" w:sz="4" w:space="0" w:color="auto"/>
            </w:tcBorders>
            <w:vAlign w:val="center"/>
            <w:hideMark/>
          </w:tcPr>
          <w:p w14:paraId="3248D04E" w14:textId="77777777" w:rsidR="00921352" w:rsidRPr="005823A7" w:rsidRDefault="00921352" w:rsidP="008373A8">
            <w:pPr>
              <w:widowControl w:val="0"/>
              <w:autoSpaceDE w:val="0"/>
              <w:autoSpaceDN w:val="0"/>
              <w:adjustRightInd w:val="0"/>
              <w:spacing w:after="120"/>
              <w:rPr>
                <w:rFonts w:ascii="Times New Roman" w:hAnsi="Times New Roman" w:cs="Times New Roman"/>
                <w:sz w:val="24"/>
                <w:szCs w:val="24"/>
              </w:rPr>
            </w:pPr>
            <w:r w:rsidRPr="005823A7">
              <w:rPr>
                <w:rFonts w:ascii="Times New Roman" w:hAnsi="Times New Roman" w:cs="Times New Roman"/>
                <w:sz w:val="24"/>
                <w:szCs w:val="24"/>
              </w:rPr>
              <w:t>Low aquifer recharge</w:t>
            </w:r>
          </w:p>
        </w:tc>
        <w:tc>
          <w:tcPr>
            <w:tcW w:w="598" w:type="pct"/>
            <w:tcBorders>
              <w:top w:val="single" w:sz="4" w:space="0" w:color="auto"/>
              <w:left w:val="single" w:sz="4" w:space="0" w:color="auto"/>
              <w:bottom w:val="single" w:sz="4" w:space="0" w:color="auto"/>
              <w:right w:val="single" w:sz="4" w:space="0" w:color="auto"/>
            </w:tcBorders>
            <w:vAlign w:val="center"/>
            <w:hideMark/>
          </w:tcPr>
          <w:p w14:paraId="2E6C1202" w14:textId="77777777" w:rsidR="00921352" w:rsidRPr="005823A7" w:rsidRDefault="00921352"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104</w:t>
            </w:r>
          </w:p>
        </w:tc>
        <w:tc>
          <w:tcPr>
            <w:tcW w:w="682" w:type="pct"/>
            <w:tcBorders>
              <w:top w:val="single" w:sz="4" w:space="0" w:color="auto"/>
              <w:left w:val="single" w:sz="4" w:space="0" w:color="auto"/>
              <w:bottom w:val="single" w:sz="4" w:space="0" w:color="auto"/>
              <w:right w:val="single" w:sz="4" w:space="0" w:color="auto"/>
            </w:tcBorders>
            <w:vAlign w:val="center"/>
            <w:hideMark/>
          </w:tcPr>
          <w:p w14:paraId="02FBB01F" w14:textId="77777777" w:rsidR="00921352" w:rsidRPr="005823A7" w:rsidRDefault="00921352"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48.37</w:t>
            </w:r>
          </w:p>
        </w:tc>
        <w:tc>
          <w:tcPr>
            <w:tcW w:w="512" w:type="pct"/>
            <w:tcBorders>
              <w:top w:val="single" w:sz="4" w:space="0" w:color="auto"/>
              <w:left w:val="single" w:sz="4" w:space="0" w:color="auto"/>
              <w:bottom w:val="single" w:sz="4" w:space="0" w:color="auto"/>
              <w:right w:val="single" w:sz="4" w:space="0" w:color="auto"/>
            </w:tcBorders>
            <w:vAlign w:val="center"/>
            <w:hideMark/>
          </w:tcPr>
          <w:p w14:paraId="0CA03D21" w14:textId="77777777" w:rsidR="00921352" w:rsidRPr="005823A7" w:rsidRDefault="00921352"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11</w:t>
            </w:r>
          </w:p>
        </w:tc>
        <w:tc>
          <w:tcPr>
            <w:tcW w:w="682" w:type="pct"/>
            <w:tcBorders>
              <w:top w:val="single" w:sz="4" w:space="0" w:color="auto"/>
              <w:left w:val="single" w:sz="4" w:space="0" w:color="auto"/>
              <w:bottom w:val="single" w:sz="4" w:space="0" w:color="auto"/>
              <w:right w:val="single" w:sz="4" w:space="0" w:color="auto"/>
            </w:tcBorders>
            <w:vAlign w:val="center"/>
            <w:hideMark/>
          </w:tcPr>
          <w:p w14:paraId="7A55C060" w14:textId="77777777" w:rsidR="00921352" w:rsidRPr="005823A7" w:rsidRDefault="009973EC"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22.00</w:t>
            </w:r>
          </w:p>
        </w:tc>
        <w:tc>
          <w:tcPr>
            <w:tcW w:w="511" w:type="pct"/>
            <w:tcBorders>
              <w:top w:val="single" w:sz="4" w:space="0" w:color="auto"/>
              <w:left w:val="single" w:sz="4" w:space="0" w:color="auto"/>
              <w:bottom w:val="single" w:sz="4" w:space="0" w:color="auto"/>
              <w:right w:val="single" w:sz="4" w:space="0" w:color="auto"/>
            </w:tcBorders>
            <w:vAlign w:val="center"/>
            <w:hideMark/>
          </w:tcPr>
          <w:p w14:paraId="46C22C36" w14:textId="77777777" w:rsidR="00921352" w:rsidRPr="005823A7" w:rsidRDefault="00921352"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15</w:t>
            </w:r>
          </w:p>
        </w:tc>
        <w:tc>
          <w:tcPr>
            <w:tcW w:w="610" w:type="pct"/>
            <w:tcBorders>
              <w:top w:val="single" w:sz="4" w:space="0" w:color="auto"/>
              <w:left w:val="single" w:sz="4" w:space="0" w:color="auto"/>
              <w:bottom w:val="single" w:sz="4" w:space="0" w:color="auto"/>
              <w:right w:val="single" w:sz="4" w:space="0" w:color="auto"/>
            </w:tcBorders>
            <w:vAlign w:val="center"/>
            <w:hideMark/>
          </w:tcPr>
          <w:p w14:paraId="2226DC3A" w14:textId="77777777" w:rsidR="00921352" w:rsidRPr="005823A7" w:rsidRDefault="00215035"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30.00</w:t>
            </w:r>
          </w:p>
        </w:tc>
      </w:tr>
      <w:tr w:rsidR="00921352" w:rsidRPr="005823A7" w14:paraId="196B0977" w14:textId="77777777" w:rsidTr="00C446F7">
        <w:tc>
          <w:tcPr>
            <w:tcW w:w="1405" w:type="pct"/>
            <w:tcBorders>
              <w:top w:val="single" w:sz="4" w:space="0" w:color="auto"/>
              <w:left w:val="single" w:sz="4" w:space="0" w:color="auto"/>
              <w:bottom w:val="single" w:sz="4" w:space="0" w:color="auto"/>
              <w:right w:val="single" w:sz="4" w:space="0" w:color="auto"/>
            </w:tcBorders>
            <w:vAlign w:val="center"/>
            <w:hideMark/>
          </w:tcPr>
          <w:p w14:paraId="43BC3BE2" w14:textId="77777777" w:rsidR="00921352" w:rsidRPr="005823A7" w:rsidRDefault="00921352" w:rsidP="008373A8">
            <w:pPr>
              <w:widowControl w:val="0"/>
              <w:autoSpaceDE w:val="0"/>
              <w:autoSpaceDN w:val="0"/>
              <w:adjustRightInd w:val="0"/>
              <w:spacing w:after="120"/>
              <w:rPr>
                <w:rFonts w:ascii="Times New Roman" w:hAnsi="Times New Roman" w:cs="Times New Roman"/>
                <w:sz w:val="24"/>
                <w:szCs w:val="24"/>
              </w:rPr>
            </w:pPr>
            <w:r w:rsidRPr="005823A7">
              <w:rPr>
                <w:rFonts w:ascii="Times New Roman" w:hAnsi="Times New Roman" w:cs="Times New Roman"/>
                <w:sz w:val="24"/>
                <w:szCs w:val="24"/>
              </w:rPr>
              <w:t>Inefficient irrigation techniques</w:t>
            </w:r>
          </w:p>
        </w:tc>
        <w:tc>
          <w:tcPr>
            <w:tcW w:w="598" w:type="pct"/>
            <w:tcBorders>
              <w:top w:val="single" w:sz="4" w:space="0" w:color="auto"/>
              <w:left w:val="single" w:sz="4" w:space="0" w:color="auto"/>
              <w:bottom w:val="single" w:sz="4" w:space="0" w:color="auto"/>
              <w:right w:val="single" w:sz="4" w:space="0" w:color="auto"/>
            </w:tcBorders>
            <w:vAlign w:val="center"/>
            <w:hideMark/>
          </w:tcPr>
          <w:p w14:paraId="27523840" w14:textId="77777777" w:rsidR="00921352" w:rsidRPr="005823A7" w:rsidRDefault="00921352"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3</w:t>
            </w:r>
          </w:p>
        </w:tc>
        <w:tc>
          <w:tcPr>
            <w:tcW w:w="682" w:type="pct"/>
            <w:tcBorders>
              <w:top w:val="single" w:sz="4" w:space="0" w:color="auto"/>
              <w:left w:val="single" w:sz="4" w:space="0" w:color="auto"/>
              <w:bottom w:val="single" w:sz="4" w:space="0" w:color="auto"/>
              <w:right w:val="single" w:sz="4" w:space="0" w:color="auto"/>
            </w:tcBorders>
            <w:vAlign w:val="center"/>
            <w:hideMark/>
          </w:tcPr>
          <w:p w14:paraId="1844BF5A" w14:textId="77777777" w:rsidR="00921352" w:rsidRPr="005823A7" w:rsidRDefault="00921352"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1.40</w:t>
            </w:r>
          </w:p>
        </w:tc>
        <w:tc>
          <w:tcPr>
            <w:tcW w:w="512" w:type="pct"/>
            <w:tcBorders>
              <w:top w:val="single" w:sz="4" w:space="0" w:color="auto"/>
              <w:left w:val="single" w:sz="4" w:space="0" w:color="auto"/>
              <w:bottom w:val="single" w:sz="4" w:space="0" w:color="auto"/>
              <w:right w:val="single" w:sz="4" w:space="0" w:color="auto"/>
            </w:tcBorders>
            <w:vAlign w:val="center"/>
            <w:hideMark/>
          </w:tcPr>
          <w:p w14:paraId="206D99D8" w14:textId="77777777" w:rsidR="00921352" w:rsidRPr="005823A7" w:rsidRDefault="00921352"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2</w:t>
            </w:r>
          </w:p>
        </w:tc>
        <w:tc>
          <w:tcPr>
            <w:tcW w:w="682" w:type="pct"/>
            <w:tcBorders>
              <w:top w:val="single" w:sz="4" w:space="0" w:color="auto"/>
              <w:left w:val="single" w:sz="4" w:space="0" w:color="auto"/>
              <w:bottom w:val="single" w:sz="4" w:space="0" w:color="auto"/>
              <w:right w:val="single" w:sz="4" w:space="0" w:color="auto"/>
            </w:tcBorders>
            <w:vAlign w:val="center"/>
            <w:hideMark/>
          </w:tcPr>
          <w:p w14:paraId="27B3A526" w14:textId="77777777" w:rsidR="00921352" w:rsidRPr="005823A7" w:rsidRDefault="009973EC"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4.00</w:t>
            </w:r>
          </w:p>
        </w:tc>
        <w:tc>
          <w:tcPr>
            <w:tcW w:w="511" w:type="pct"/>
            <w:tcBorders>
              <w:top w:val="single" w:sz="4" w:space="0" w:color="auto"/>
              <w:left w:val="single" w:sz="4" w:space="0" w:color="auto"/>
              <w:bottom w:val="single" w:sz="4" w:space="0" w:color="auto"/>
              <w:right w:val="single" w:sz="4" w:space="0" w:color="auto"/>
            </w:tcBorders>
            <w:vAlign w:val="center"/>
            <w:hideMark/>
          </w:tcPr>
          <w:p w14:paraId="31D366B1" w14:textId="77777777" w:rsidR="00921352" w:rsidRPr="005823A7" w:rsidRDefault="00215035"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8</w:t>
            </w:r>
          </w:p>
        </w:tc>
        <w:tc>
          <w:tcPr>
            <w:tcW w:w="610" w:type="pct"/>
            <w:tcBorders>
              <w:top w:val="single" w:sz="4" w:space="0" w:color="auto"/>
              <w:left w:val="single" w:sz="4" w:space="0" w:color="auto"/>
              <w:bottom w:val="single" w:sz="4" w:space="0" w:color="auto"/>
              <w:right w:val="single" w:sz="4" w:space="0" w:color="auto"/>
            </w:tcBorders>
            <w:vAlign w:val="center"/>
            <w:hideMark/>
          </w:tcPr>
          <w:p w14:paraId="16175D82" w14:textId="77777777" w:rsidR="00921352" w:rsidRPr="005823A7" w:rsidRDefault="00215035"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16.00</w:t>
            </w:r>
          </w:p>
        </w:tc>
      </w:tr>
      <w:tr w:rsidR="00921352" w:rsidRPr="005823A7" w14:paraId="22E52AB7" w14:textId="77777777" w:rsidTr="00C446F7">
        <w:tc>
          <w:tcPr>
            <w:tcW w:w="1405" w:type="pct"/>
            <w:tcBorders>
              <w:top w:val="single" w:sz="4" w:space="0" w:color="auto"/>
              <w:left w:val="single" w:sz="4" w:space="0" w:color="auto"/>
              <w:bottom w:val="single" w:sz="4" w:space="0" w:color="auto"/>
              <w:right w:val="single" w:sz="4" w:space="0" w:color="auto"/>
            </w:tcBorders>
            <w:vAlign w:val="center"/>
            <w:hideMark/>
          </w:tcPr>
          <w:p w14:paraId="3A56C76A" w14:textId="77777777" w:rsidR="00921352" w:rsidRPr="005823A7" w:rsidRDefault="00921352" w:rsidP="008373A8">
            <w:pPr>
              <w:widowControl w:val="0"/>
              <w:autoSpaceDE w:val="0"/>
              <w:autoSpaceDN w:val="0"/>
              <w:adjustRightInd w:val="0"/>
              <w:spacing w:after="120"/>
              <w:rPr>
                <w:rFonts w:ascii="Times New Roman" w:hAnsi="Times New Roman" w:cs="Times New Roman"/>
                <w:sz w:val="24"/>
                <w:szCs w:val="24"/>
              </w:rPr>
            </w:pPr>
            <w:r w:rsidRPr="005823A7">
              <w:rPr>
                <w:rFonts w:ascii="Times New Roman" w:hAnsi="Times New Roman" w:cs="Times New Roman"/>
                <w:sz w:val="24"/>
                <w:szCs w:val="24"/>
              </w:rPr>
              <w:t>Mass installation of tubewells</w:t>
            </w:r>
          </w:p>
        </w:tc>
        <w:tc>
          <w:tcPr>
            <w:tcW w:w="598" w:type="pct"/>
            <w:tcBorders>
              <w:top w:val="single" w:sz="4" w:space="0" w:color="auto"/>
              <w:left w:val="single" w:sz="4" w:space="0" w:color="auto"/>
              <w:bottom w:val="single" w:sz="4" w:space="0" w:color="auto"/>
              <w:right w:val="single" w:sz="4" w:space="0" w:color="auto"/>
            </w:tcBorders>
            <w:vAlign w:val="center"/>
            <w:hideMark/>
          </w:tcPr>
          <w:p w14:paraId="2E2CF54A" w14:textId="77777777" w:rsidR="00921352" w:rsidRPr="005823A7" w:rsidRDefault="00921352"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80</w:t>
            </w:r>
          </w:p>
        </w:tc>
        <w:tc>
          <w:tcPr>
            <w:tcW w:w="682" w:type="pct"/>
            <w:tcBorders>
              <w:top w:val="single" w:sz="4" w:space="0" w:color="auto"/>
              <w:left w:val="single" w:sz="4" w:space="0" w:color="auto"/>
              <w:bottom w:val="single" w:sz="4" w:space="0" w:color="auto"/>
              <w:right w:val="single" w:sz="4" w:space="0" w:color="auto"/>
            </w:tcBorders>
            <w:vAlign w:val="center"/>
            <w:hideMark/>
          </w:tcPr>
          <w:p w14:paraId="0DCAF22D" w14:textId="77777777" w:rsidR="00921352" w:rsidRPr="005823A7" w:rsidRDefault="00921352"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37.21</w:t>
            </w:r>
          </w:p>
        </w:tc>
        <w:tc>
          <w:tcPr>
            <w:tcW w:w="512" w:type="pct"/>
            <w:tcBorders>
              <w:top w:val="single" w:sz="4" w:space="0" w:color="auto"/>
              <w:left w:val="single" w:sz="4" w:space="0" w:color="auto"/>
              <w:bottom w:val="single" w:sz="4" w:space="0" w:color="auto"/>
              <w:right w:val="single" w:sz="4" w:space="0" w:color="auto"/>
            </w:tcBorders>
            <w:vAlign w:val="center"/>
            <w:hideMark/>
          </w:tcPr>
          <w:p w14:paraId="3DB9571A" w14:textId="77777777" w:rsidR="00921352" w:rsidRPr="005823A7" w:rsidRDefault="00921352"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10</w:t>
            </w:r>
          </w:p>
        </w:tc>
        <w:tc>
          <w:tcPr>
            <w:tcW w:w="682" w:type="pct"/>
            <w:tcBorders>
              <w:top w:val="single" w:sz="4" w:space="0" w:color="auto"/>
              <w:left w:val="single" w:sz="4" w:space="0" w:color="auto"/>
              <w:bottom w:val="single" w:sz="4" w:space="0" w:color="auto"/>
              <w:right w:val="single" w:sz="4" w:space="0" w:color="auto"/>
            </w:tcBorders>
            <w:vAlign w:val="center"/>
            <w:hideMark/>
          </w:tcPr>
          <w:p w14:paraId="0A4F677A" w14:textId="77777777" w:rsidR="00921352" w:rsidRPr="005823A7" w:rsidRDefault="009973EC"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20.00</w:t>
            </w:r>
          </w:p>
        </w:tc>
        <w:tc>
          <w:tcPr>
            <w:tcW w:w="511" w:type="pct"/>
            <w:tcBorders>
              <w:top w:val="single" w:sz="4" w:space="0" w:color="auto"/>
              <w:left w:val="single" w:sz="4" w:space="0" w:color="auto"/>
              <w:bottom w:val="single" w:sz="4" w:space="0" w:color="auto"/>
              <w:right w:val="single" w:sz="4" w:space="0" w:color="auto"/>
            </w:tcBorders>
            <w:vAlign w:val="center"/>
            <w:hideMark/>
          </w:tcPr>
          <w:p w14:paraId="23415D6F" w14:textId="77777777" w:rsidR="00921352" w:rsidRPr="005823A7" w:rsidRDefault="00921352"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11</w:t>
            </w:r>
          </w:p>
        </w:tc>
        <w:tc>
          <w:tcPr>
            <w:tcW w:w="610" w:type="pct"/>
            <w:tcBorders>
              <w:top w:val="single" w:sz="4" w:space="0" w:color="auto"/>
              <w:left w:val="single" w:sz="4" w:space="0" w:color="auto"/>
              <w:bottom w:val="single" w:sz="4" w:space="0" w:color="auto"/>
              <w:right w:val="single" w:sz="4" w:space="0" w:color="auto"/>
            </w:tcBorders>
            <w:vAlign w:val="center"/>
            <w:hideMark/>
          </w:tcPr>
          <w:p w14:paraId="1DAA21F3" w14:textId="77777777" w:rsidR="00921352" w:rsidRPr="005823A7" w:rsidRDefault="00E436D3"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22.00</w:t>
            </w:r>
          </w:p>
        </w:tc>
      </w:tr>
      <w:tr w:rsidR="00921352" w:rsidRPr="005823A7" w14:paraId="2017A2BE" w14:textId="77777777" w:rsidTr="00C446F7">
        <w:trPr>
          <w:trHeight w:val="108"/>
        </w:trPr>
        <w:tc>
          <w:tcPr>
            <w:tcW w:w="1405" w:type="pct"/>
            <w:tcBorders>
              <w:top w:val="single" w:sz="4" w:space="0" w:color="auto"/>
              <w:left w:val="single" w:sz="4" w:space="0" w:color="auto"/>
              <w:bottom w:val="single" w:sz="4" w:space="0" w:color="auto"/>
              <w:right w:val="single" w:sz="4" w:space="0" w:color="auto"/>
            </w:tcBorders>
            <w:vAlign w:val="center"/>
            <w:hideMark/>
          </w:tcPr>
          <w:p w14:paraId="4CA4743D" w14:textId="77777777" w:rsidR="00921352" w:rsidRPr="005823A7" w:rsidRDefault="007B556D" w:rsidP="008373A8">
            <w:pPr>
              <w:widowControl w:val="0"/>
              <w:autoSpaceDE w:val="0"/>
              <w:autoSpaceDN w:val="0"/>
              <w:adjustRightInd w:val="0"/>
              <w:spacing w:after="120"/>
              <w:rPr>
                <w:rFonts w:ascii="Times New Roman" w:hAnsi="Times New Roman" w:cs="Times New Roman"/>
                <w:sz w:val="24"/>
                <w:szCs w:val="24"/>
              </w:rPr>
            </w:pPr>
            <w:r w:rsidRPr="005823A7">
              <w:rPr>
                <w:rFonts w:ascii="Times New Roman" w:hAnsi="Times New Roman" w:cs="Times New Roman"/>
                <w:sz w:val="24"/>
                <w:szCs w:val="24"/>
              </w:rPr>
              <w:t>Solarization</w:t>
            </w:r>
          </w:p>
        </w:tc>
        <w:tc>
          <w:tcPr>
            <w:tcW w:w="598" w:type="pct"/>
            <w:tcBorders>
              <w:top w:val="single" w:sz="4" w:space="0" w:color="auto"/>
              <w:left w:val="single" w:sz="4" w:space="0" w:color="auto"/>
              <w:bottom w:val="single" w:sz="4" w:space="0" w:color="auto"/>
              <w:right w:val="single" w:sz="4" w:space="0" w:color="auto"/>
            </w:tcBorders>
            <w:vAlign w:val="center"/>
            <w:hideMark/>
          </w:tcPr>
          <w:p w14:paraId="5C0C261E" w14:textId="77777777" w:rsidR="00921352" w:rsidRPr="005823A7" w:rsidRDefault="007B556D"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15</w:t>
            </w:r>
          </w:p>
        </w:tc>
        <w:tc>
          <w:tcPr>
            <w:tcW w:w="682" w:type="pct"/>
            <w:tcBorders>
              <w:top w:val="single" w:sz="4" w:space="0" w:color="auto"/>
              <w:left w:val="single" w:sz="4" w:space="0" w:color="auto"/>
              <w:bottom w:val="single" w:sz="4" w:space="0" w:color="auto"/>
              <w:right w:val="single" w:sz="4" w:space="0" w:color="auto"/>
            </w:tcBorders>
            <w:vAlign w:val="center"/>
            <w:hideMark/>
          </w:tcPr>
          <w:p w14:paraId="591F448F" w14:textId="77777777" w:rsidR="00921352" w:rsidRPr="005823A7" w:rsidRDefault="00921352"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4.65</w:t>
            </w:r>
          </w:p>
        </w:tc>
        <w:tc>
          <w:tcPr>
            <w:tcW w:w="512" w:type="pct"/>
            <w:tcBorders>
              <w:top w:val="single" w:sz="4" w:space="0" w:color="auto"/>
              <w:left w:val="single" w:sz="4" w:space="0" w:color="auto"/>
              <w:bottom w:val="single" w:sz="4" w:space="0" w:color="auto"/>
              <w:right w:val="single" w:sz="4" w:space="0" w:color="auto"/>
            </w:tcBorders>
            <w:vAlign w:val="center"/>
            <w:hideMark/>
          </w:tcPr>
          <w:p w14:paraId="1F95FEDD" w14:textId="77777777" w:rsidR="00921352" w:rsidRPr="005823A7" w:rsidRDefault="009973EC"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8</w:t>
            </w:r>
          </w:p>
        </w:tc>
        <w:tc>
          <w:tcPr>
            <w:tcW w:w="682" w:type="pct"/>
            <w:tcBorders>
              <w:top w:val="single" w:sz="4" w:space="0" w:color="auto"/>
              <w:left w:val="single" w:sz="4" w:space="0" w:color="auto"/>
              <w:bottom w:val="single" w:sz="4" w:space="0" w:color="auto"/>
              <w:right w:val="single" w:sz="4" w:space="0" w:color="auto"/>
            </w:tcBorders>
            <w:vAlign w:val="center"/>
            <w:hideMark/>
          </w:tcPr>
          <w:p w14:paraId="585F20C0" w14:textId="77777777" w:rsidR="00921352" w:rsidRPr="005823A7" w:rsidRDefault="009973EC"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18.00</w:t>
            </w:r>
          </w:p>
        </w:tc>
        <w:tc>
          <w:tcPr>
            <w:tcW w:w="511" w:type="pct"/>
            <w:tcBorders>
              <w:top w:val="single" w:sz="4" w:space="0" w:color="auto"/>
              <w:left w:val="single" w:sz="4" w:space="0" w:color="auto"/>
              <w:bottom w:val="single" w:sz="4" w:space="0" w:color="auto"/>
              <w:right w:val="single" w:sz="4" w:space="0" w:color="auto"/>
            </w:tcBorders>
            <w:vAlign w:val="center"/>
            <w:hideMark/>
          </w:tcPr>
          <w:p w14:paraId="547855FE" w14:textId="77777777" w:rsidR="00921352" w:rsidRPr="005823A7" w:rsidRDefault="009973EC"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8</w:t>
            </w:r>
          </w:p>
        </w:tc>
        <w:tc>
          <w:tcPr>
            <w:tcW w:w="610" w:type="pct"/>
            <w:tcBorders>
              <w:top w:val="single" w:sz="4" w:space="0" w:color="auto"/>
              <w:left w:val="single" w:sz="4" w:space="0" w:color="auto"/>
              <w:bottom w:val="single" w:sz="4" w:space="0" w:color="auto"/>
              <w:right w:val="single" w:sz="4" w:space="0" w:color="auto"/>
            </w:tcBorders>
            <w:vAlign w:val="center"/>
            <w:hideMark/>
          </w:tcPr>
          <w:p w14:paraId="2787CEDC" w14:textId="77777777" w:rsidR="00921352" w:rsidRPr="005823A7" w:rsidRDefault="00E436D3"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16.00</w:t>
            </w:r>
          </w:p>
        </w:tc>
      </w:tr>
      <w:tr w:rsidR="00921352" w:rsidRPr="005823A7" w14:paraId="21F2A99C" w14:textId="77777777" w:rsidTr="00C446F7">
        <w:tc>
          <w:tcPr>
            <w:tcW w:w="1405" w:type="pct"/>
            <w:tcBorders>
              <w:top w:val="single" w:sz="4" w:space="0" w:color="auto"/>
              <w:left w:val="single" w:sz="4" w:space="0" w:color="auto"/>
              <w:bottom w:val="single" w:sz="4" w:space="0" w:color="auto"/>
              <w:right w:val="single" w:sz="4" w:space="0" w:color="auto"/>
            </w:tcBorders>
            <w:vAlign w:val="center"/>
            <w:hideMark/>
          </w:tcPr>
          <w:p w14:paraId="45CB1E2D" w14:textId="77777777" w:rsidR="00921352" w:rsidRPr="005823A7" w:rsidRDefault="00921352" w:rsidP="008373A8">
            <w:pPr>
              <w:widowControl w:val="0"/>
              <w:autoSpaceDE w:val="0"/>
              <w:autoSpaceDN w:val="0"/>
              <w:adjustRightInd w:val="0"/>
              <w:spacing w:after="120"/>
              <w:rPr>
                <w:rFonts w:ascii="Times New Roman" w:hAnsi="Times New Roman" w:cs="Times New Roman"/>
                <w:sz w:val="24"/>
                <w:szCs w:val="24"/>
              </w:rPr>
            </w:pPr>
            <w:r w:rsidRPr="005823A7">
              <w:rPr>
                <w:rFonts w:ascii="Times New Roman" w:hAnsi="Times New Roman" w:cs="Times New Roman"/>
                <w:sz w:val="24"/>
                <w:szCs w:val="24"/>
              </w:rPr>
              <w:t>Total</w:t>
            </w:r>
          </w:p>
        </w:tc>
        <w:tc>
          <w:tcPr>
            <w:tcW w:w="598" w:type="pct"/>
            <w:tcBorders>
              <w:top w:val="single" w:sz="4" w:space="0" w:color="auto"/>
              <w:left w:val="single" w:sz="4" w:space="0" w:color="auto"/>
              <w:bottom w:val="single" w:sz="4" w:space="0" w:color="auto"/>
              <w:right w:val="single" w:sz="4" w:space="0" w:color="auto"/>
            </w:tcBorders>
            <w:vAlign w:val="center"/>
            <w:hideMark/>
          </w:tcPr>
          <w:p w14:paraId="1C51854F" w14:textId="77777777" w:rsidR="00921352" w:rsidRPr="005823A7" w:rsidRDefault="007B556D"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220</w:t>
            </w:r>
          </w:p>
        </w:tc>
        <w:tc>
          <w:tcPr>
            <w:tcW w:w="682" w:type="pct"/>
            <w:tcBorders>
              <w:top w:val="single" w:sz="4" w:space="0" w:color="auto"/>
              <w:left w:val="single" w:sz="4" w:space="0" w:color="auto"/>
              <w:bottom w:val="single" w:sz="4" w:space="0" w:color="auto"/>
              <w:right w:val="single" w:sz="4" w:space="0" w:color="auto"/>
            </w:tcBorders>
            <w:vAlign w:val="center"/>
            <w:hideMark/>
          </w:tcPr>
          <w:p w14:paraId="7E73DCD2" w14:textId="77777777" w:rsidR="00921352" w:rsidRPr="005823A7" w:rsidRDefault="00921352"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100</w:t>
            </w:r>
          </w:p>
        </w:tc>
        <w:tc>
          <w:tcPr>
            <w:tcW w:w="512" w:type="pct"/>
            <w:tcBorders>
              <w:top w:val="single" w:sz="4" w:space="0" w:color="auto"/>
              <w:left w:val="single" w:sz="4" w:space="0" w:color="auto"/>
              <w:bottom w:val="single" w:sz="4" w:space="0" w:color="auto"/>
              <w:right w:val="single" w:sz="4" w:space="0" w:color="auto"/>
            </w:tcBorders>
            <w:vAlign w:val="center"/>
            <w:hideMark/>
          </w:tcPr>
          <w:p w14:paraId="3DEB5C2D" w14:textId="77777777" w:rsidR="00921352" w:rsidRPr="005823A7" w:rsidRDefault="009973EC"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50</w:t>
            </w:r>
          </w:p>
        </w:tc>
        <w:tc>
          <w:tcPr>
            <w:tcW w:w="682" w:type="pct"/>
            <w:tcBorders>
              <w:top w:val="single" w:sz="4" w:space="0" w:color="auto"/>
              <w:left w:val="single" w:sz="4" w:space="0" w:color="auto"/>
              <w:bottom w:val="single" w:sz="4" w:space="0" w:color="auto"/>
              <w:right w:val="single" w:sz="4" w:space="0" w:color="auto"/>
            </w:tcBorders>
            <w:vAlign w:val="center"/>
            <w:hideMark/>
          </w:tcPr>
          <w:p w14:paraId="093BF5CE" w14:textId="77777777" w:rsidR="00921352" w:rsidRPr="005823A7" w:rsidRDefault="00921352"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100</w:t>
            </w:r>
          </w:p>
        </w:tc>
        <w:tc>
          <w:tcPr>
            <w:tcW w:w="511" w:type="pct"/>
            <w:tcBorders>
              <w:top w:val="single" w:sz="4" w:space="0" w:color="auto"/>
              <w:left w:val="single" w:sz="4" w:space="0" w:color="auto"/>
              <w:bottom w:val="single" w:sz="4" w:space="0" w:color="auto"/>
              <w:right w:val="single" w:sz="4" w:space="0" w:color="auto"/>
            </w:tcBorders>
            <w:vAlign w:val="center"/>
            <w:hideMark/>
          </w:tcPr>
          <w:p w14:paraId="5C518FF0" w14:textId="77777777" w:rsidR="00921352" w:rsidRPr="005823A7" w:rsidRDefault="009973EC"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50</w:t>
            </w:r>
          </w:p>
        </w:tc>
        <w:tc>
          <w:tcPr>
            <w:tcW w:w="610" w:type="pct"/>
            <w:tcBorders>
              <w:top w:val="single" w:sz="4" w:space="0" w:color="auto"/>
              <w:left w:val="single" w:sz="4" w:space="0" w:color="auto"/>
              <w:bottom w:val="single" w:sz="4" w:space="0" w:color="auto"/>
              <w:right w:val="single" w:sz="4" w:space="0" w:color="auto"/>
            </w:tcBorders>
            <w:vAlign w:val="center"/>
            <w:hideMark/>
          </w:tcPr>
          <w:p w14:paraId="400BDB8E" w14:textId="77777777" w:rsidR="00921352" w:rsidRPr="005823A7" w:rsidRDefault="00921352" w:rsidP="008373A8">
            <w:pPr>
              <w:widowControl w:val="0"/>
              <w:autoSpaceDE w:val="0"/>
              <w:autoSpaceDN w:val="0"/>
              <w:adjustRightInd w:val="0"/>
              <w:spacing w:after="120"/>
              <w:jc w:val="center"/>
              <w:rPr>
                <w:rFonts w:ascii="Times New Roman" w:hAnsi="Times New Roman" w:cs="Times New Roman"/>
                <w:sz w:val="24"/>
                <w:szCs w:val="24"/>
              </w:rPr>
            </w:pPr>
            <w:r w:rsidRPr="005823A7">
              <w:rPr>
                <w:rFonts w:ascii="Times New Roman" w:hAnsi="Times New Roman" w:cs="Times New Roman"/>
                <w:sz w:val="24"/>
                <w:szCs w:val="24"/>
              </w:rPr>
              <w:t>100</w:t>
            </w:r>
          </w:p>
        </w:tc>
      </w:tr>
    </w:tbl>
    <w:p w14:paraId="75618309" w14:textId="77777777" w:rsidR="00010D42" w:rsidRPr="005823A7" w:rsidRDefault="00921352" w:rsidP="00785547">
      <w:pPr>
        <w:widowControl w:val="0"/>
        <w:autoSpaceDE w:val="0"/>
        <w:autoSpaceDN w:val="0"/>
        <w:adjustRightInd w:val="0"/>
        <w:spacing w:before="120" w:after="120" w:line="360" w:lineRule="auto"/>
        <w:jc w:val="right"/>
        <w:rPr>
          <w:rFonts w:ascii="Times New Roman" w:hAnsi="Times New Roman" w:cs="Times New Roman"/>
          <w:sz w:val="24"/>
          <w:szCs w:val="24"/>
        </w:rPr>
      </w:pPr>
      <w:r w:rsidRPr="005823A7">
        <w:rPr>
          <w:rFonts w:ascii="Times New Roman" w:hAnsi="Times New Roman" w:cs="Times New Roman"/>
          <w:sz w:val="24"/>
          <w:szCs w:val="24"/>
        </w:rPr>
        <w:t>Source: Field survey, 2023</w:t>
      </w:r>
    </w:p>
    <w:p w14:paraId="38ECE768" w14:textId="51FC6B97" w:rsidR="00921352" w:rsidRPr="005823A7" w:rsidRDefault="00C33FA3" w:rsidP="00921352">
      <w:pPr>
        <w:spacing w:after="0" w:line="360" w:lineRule="auto"/>
        <w:jc w:val="both"/>
        <w:rPr>
          <w:rFonts w:ascii="Times New Roman" w:hAnsi="Times New Roman" w:cs="Times New Roman"/>
          <w:sz w:val="24"/>
          <w:szCs w:val="24"/>
        </w:rPr>
      </w:pPr>
      <w:r w:rsidRPr="005823A7">
        <w:rPr>
          <w:rFonts w:ascii="Times New Roman" w:hAnsi="Times New Roman" w:cs="Times New Roman"/>
          <w:b/>
          <w:sz w:val="24"/>
          <w:szCs w:val="24"/>
        </w:rPr>
        <w:t xml:space="preserve">Groundwater Ownership and Government Policies </w:t>
      </w:r>
      <w:r w:rsidRPr="005823A7">
        <w:rPr>
          <w:rFonts w:ascii="Times New Roman" w:hAnsi="Times New Roman" w:cs="Times New Roman"/>
          <w:sz w:val="24"/>
          <w:szCs w:val="24"/>
        </w:rPr>
        <w:t xml:space="preserve">   </w:t>
      </w:r>
    </w:p>
    <w:p w14:paraId="7376536D" w14:textId="77777777" w:rsidR="009401BE" w:rsidRPr="005823A7" w:rsidRDefault="00785547" w:rsidP="00E80A08">
      <w:pPr>
        <w:spacing w:after="0" w:line="360" w:lineRule="auto"/>
        <w:jc w:val="both"/>
        <w:rPr>
          <w:rFonts w:ascii="Times New Roman" w:eastAsia="Times New Roman" w:hAnsi="Times New Roman" w:cs="Times New Roman"/>
          <w:sz w:val="24"/>
          <w:szCs w:val="24"/>
          <w:lang w:eastAsia="en-GB"/>
        </w:rPr>
      </w:pPr>
      <w:r w:rsidRPr="005823A7">
        <w:rPr>
          <w:rFonts w:ascii="Times New Roman" w:eastAsia="Times New Roman" w:hAnsi="Times New Roman" w:cs="Times New Roman"/>
          <w:sz w:val="24"/>
          <w:szCs w:val="24"/>
          <w:lang w:eastAsia="en-GB"/>
        </w:rPr>
        <w:t xml:space="preserve">Table 02 provides critical insights into users' perceptions of electric, solar, and combined electric-solar tubewells concerning government groundwater policy, their readiness to adopt solar energy, and their opinions on groundwater ownership. A significant observation is the pervasive unawareness regarding groundwater-related policies among all demographics. Among electric tubewell users, 81.82% reported being uninformed of any policies, whereas only 0.45% confirmed the presence of a policy, and 17.73% clearly said that no policy was in effect. A comparable trend is noted among solar tubewell users, with 65% indicating ignorance of any groundwater-related government regulation and 32.50% asserting that no such policy exists. The collective cohort of electric and solar tubewell users exhibited a significant degree of unawareness, with 87.50% of respondents reporting unfamiliarity with policies. These findings indicate a significant deficiency in the communication or implementation of governmental groundwater management policies, especially in a region where water shortage is becoming an increasingly urgent concern. If policies are in place, they have not been </w:t>
      </w:r>
      <w:r w:rsidRPr="005823A7">
        <w:rPr>
          <w:rFonts w:ascii="Times New Roman" w:eastAsia="Times New Roman" w:hAnsi="Times New Roman" w:cs="Times New Roman"/>
          <w:sz w:val="24"/>
          <w:szCs w:val="24"/>
          <w:lang w:eastAsia="en-GB"/>
        </w:rPr>
        <w:lastRenderedPageBreak/>
        <w:t>sufficiently communicated to the agricultural communities and essential players involved in groundwater resource management.</w:t>
      </w:r>
    </w:p>
    <w:p w14:paraId="1D6B63DA" w14:textId="61E1CD93" w:rsidR="0095591F" w:rsidRPr="005823A7" w:rsidRDefault="009401BE" w:rsidP="00E80A08">
      <w:pPr>
        <w:spacing w:before="120" w:after="0" w:line="360" w:lineRule="auto"/>
        <w:jc w:val="both"/>
        <w:rPr>
          <w:rFonts w:ascii="Times New Roman" w:eastAsia="Times New Roman" w:hAnsi="Times New Roman" w:cs="Times New Roman"/>
          <w:sz w:val="24"/>
          <w:szCs w:val="24"/>
          <w:lang w:eastAsia="en-GB"/>
        </w:rPr>
      </w:pPr>
      <w:r w:rsidRPr="005823A7">
        <w:rPr>
          <w:rFonts w:ascii="Times New Roman" w:eastAsia="Times New Roman" w:hAnsi="Times New Roman" w:cs="Times New Roman"/>
          <w:sz w:val="24"/>
          <w:szCs w:val="24"/>
          <w:lang w:eastAsia="en-GB"/>
        </w:rPr>
        <w:t xml:space="preserve">The second section of the table analyses respondents' readiness to shift from electricity upon receiving subsidies for solarisation. Among solar tubewell users, 65% indicated a preference to discontinue electricity usage, demonstrating this group's positive attitude towards solar energy. Conversely, merely 36.36% of electric tubewell users expressed a willingness to discontinue electricity usage if offered solarisation incentives, whilst 59.55% indicated they would persist in using electricity. This indicates substantial reluctance or dependence on existing electricity systems among this group, likely attributable to established infrastructure or a perceived lack of reliability in solar systems. Sixty percent of combined users indicated a readiness to completely migrate to solar energy, reflecting a favourable attitude towards the adoption of solar-powered irrigation systems. The significant percentage of electric tubewell users resistant to transition underscores possible obstacles in adopting renewable energy, especially if electricity continues to be subsidized or more readily available. </w:t>
      </w:r>
      <w:r w:rsidRPr="005823A7">
        <w:rPr>
          <w:rFonts w:ascii="Times New Roman" w:eastAsia="Times New Roman" w:hAnsi="Times New Roman" w:cs="Times New Roman"/>
          <w:sz w:val="24"/>
          <w:szCs w:val="24"/>
          <w:lang w:eastAsia="en-GB"/>
        </w:rPr>
        <w:br/>
        <w:t>The final section of the table examines perceptions of groundwater ownership, which varied markedly among the various populations. Among electric tubewell users, 43.64% perceived groundwater as private property, reflecting a robust conviction in individual ownership of this common pool resource. A substantial percentage (23.18%) perceived groundwater as belonging to God, indicating a communal or spiritual viewpoint on natural resources, whereas 26.36% regarded it as public property. Conversely, among solar tubewell users, a clear majority (55%) regarded groundwater as divinely owned, indicating a more communal and spiritual perspective on water resources within this demographic. Merely 25% regarded it as private property, while 15% perceived it as public property. Notably, of all users, 52.50% perceived groundwater as public property, 32.50% attributed ownership to God, and hardly 5% regarded it as private property. The varied perspectives on groundwater ownership underscore the socio-cultural intricacies of groundwater regulation and management. The prevalence of community or spiritual perspectives on water resources, especially among solar and mixed users, may contest laws aimed at regulating or privatising groundwater extraction. Effective water management methods must account for these differing ideas of ownership to ensure that restrictions are socially accepted and enforceable.</w:t>
      </w:r>
    </w:p>
    <w:p w14:paraId="3BE2615C" w14:textId="77777777" w:rsidR="00785547" w:rsidRPr="005823A7" w:rsidRDefault="00785547" w:rsidP="00E80A08">
      <w:pPr>
        <w:spacing w:before="120" w:after="0" w:line="360" w:lineRule="auto"/>
        <w:jc w:val="both"/>
        <w:rPr>
          <w:rFonts w:ascii="Times New Roman" w:eastAsia="Times New Roman" w:hAnsi="Times New Roman" w:cs="Times New Roman"/>
          <w:sz w:val="24"/>
          <w:szCs w:val="24"/>
          <w:lang w:eastAsia="en-GB"/>
        </w:rPr>
      </w:pPr>
    </w:p>
    <w:p w14:paraId="76BDE4FA" w14:textId="77777777" w:rsidR="00785547" w:rsidRPr="005823A7" w:rsidRDefault="00785547" w:rsidP="00E80A08">
      <w:pPr>
        <w:spacing w:before="120" w:after="0" w:line="360" w:lineRule="auto"/>
        <w:jc w:val="both"/>
        <w:rPr>
          <w:rFonts w:ascii="Times New Roman" w:eastAsia="Times New Roman" w:hAnsi="Times New Roman" w:cs="Times New Roman"/>
          <w:sz w:val="24"/>
          <w:szCs w:val="24"/>
          <w:lang w:eastAsia="en-GB"/>
        </w:rPr>
      </w:pPr>
    </w:p>
    <w:p w14:paraId="6E0653DD" w14:textId="40252B68" w:rsidR="00921352" w:rsidRPr="005823A7" w:rsidRDefault="00785547" w:rsidP="00E80A08">
      <w:pPr>
        <w:spacing w:before="120" w:after="0" w:line="360" w:lineRule="auto"/>
        <w:jc w:val="both"/>
        <w:rPr>
          <w:rFonts w:ascii="Times New Roman" w:hAnsi="Times New Roman" w:cs="Times New Roman"/>
          <w:sz w:val="24"/>
          <w:szCs w:val="24"/>
        </w:rPr>
      </w:pPr>
      <w:r w:rsidRPr="005823A7">
        <w:rPr>
          <w:rFonts w:ascii="Times New Roman" w:hAnsi="Times New Roman" w:cs="Times New Roman"/>
          <w:b/>
          <w:sz w:val="24"/>
          <w:szCs w:val="24"/>
        </w:rPr>
        <w:lastRenderedPageBreak/>
        <w:t xml:space="preserve">Table 02: Respondents' perceptions of groundwater ownership and the Govt policies </w:t>
      </w:r>
      <w:r w:rsidRPr="005823A7">
        <w:rPr>
          <w:rFonts w:ascii="Times New Roman" w:hAnsi="Times New Roman" w:cs="Times New Roman"/>
          <w:sz w:val="24"/>
          <w:szCs w:val="24"/>
        </w:rPr>
        <w:t xml:space="preserve">   </w:t>
      </w:r>
    </w:p>
    <w:tbl>
      <w:tblPr>
        <w:tblStyle w:val="TableGrid"/>
        <w:tblW w:w="0" w:type="auto"/>
        <w:tblInd w:w="0" w:type="dxa"/>
        <w:tblLook w:val="04A0" w:firstRow="1" w:lastRow="0" w:firstColumn="1" w:lastColumn="0" w:noHBand="0" w:noVBand="1"/>
      </w:tblPr>
      <w:tblGrid>
        <w:gridCol w:w="2871"/>
        <w:gridCol w:w="1221"/>
        <w:gridCol w:w="998"/>
        <w:gridCol w:w="953"/>
        <w:gridCol w:w="1004"/>
        <w:gridCol w:w="969"/>
        <w:gridCol w:w="1000"/>
      </w:tblGrid>
      <w:tr w:rsidR="00921352" w:rsidRPr="005823A7" w14:paraId="456BD02B" w14:textId="77777777" w:rsidTr="00921352">
        <w:tc>
          <w:tcPr>
            <w:tcW w:w="3012" w:type="dxa"/>
            <w:vMerge w:val="restart"/>
            <w:tcBorders>
              <w:top w:val="single" w:sz="4" w:space="0" w:color="auto"/>
              <w:left w:val="single" w:sz="4" w:space="0" w:color="auto"/>
              <w:bottom w:val="single" w:sz="4" w:space="0" w:color="auto"/>
              <w:right w:val="single" w:sz="4" w:space="0" w:color="auto"/>
            </w:tcBorders>
            <w:vAlign w:val="center"/>
            <w:hideMark/>
          </w:tcPr>
          <w:p w14:paraId="03CC27AC" w14:textId="77777777" w:rsidR="00921352" w:rsidRPr="005823A7" w:rsidRDefault="00921352" w:rsidP="00E80A08">
            <w:pPr>
              <w:spacing w:line="360" w:lineRule="auto"/>
              <w:jc w:val="center"/>
              <w:rPr>
                <w:rFonts w:ascii="Times New Roman" w:hAnsi="Times New Roman" w:cs="Times New Roman"/>
                <w:b/>
                <w:sz w:val="24"/>
                <w:szCs w:val="24"/>
              </w:rPr>
            </w:pPr>
            <w:r w:rsidRPr="005823A7">
              <w:rPr>
                <w:rFonts w:ascii="Times New Roman" w:hAnsi="Times New Roman" w:cs="Times New Roman"/>
                <w:b/>
                <w:sz w:val="24"/>
                <w:szCs w:val="24"/>
              </w:rPr>
              <w:t>GW ownership and policies</w:t>
            </w:r>
          </w:p>
        </w:tc>
        <w:tc>
          <w:tcPr>
            <w:tcW w:w="1981" w:type="dxa"/>
            <w:gridSpan w:val="2"/>
            <w:tcBorders>
              <w:top w:val="single" w:sz="4" w:space="0" w:color="auto"/>
              <w:left w:val="single" w:sz="4" w:space="0" w:color="auto"/>
              <w:bottom w:val="single" w:sz="4" w:space="0" w:color="auto"/>
              <w:right w:val="single" w:sz="4" w:space="0" w:color="auto"/>
            </w:tcBorders>
            <w:hideMark/>
          </w:tcPr>
          <w:p w14:paraId="4A1A91A1" w14:textId="77777777" w:rsidR="00921352" w:rsidRPr="005823A7" w:rsidRDefault="00D904CB" w:rsidP="00E80A08">
            <w:pPr>
              <w:widowControl w:val="0"/>
              <w:autoSpaceDE w:val="0"/>
              <w:autoSpaceDN w:val="0"/>
              <w:adjustRightInd w:val="0"/>
              <w:spacing w:line="360" w:lineRule="auto"/>
              <w:jc w:val="center"/>
              <w:rPr>
                <w:rFonts w:ascii="Times New Roman" w:hAnsi="Times New Roman" w:cs="Times New Roman"/>
                <w:b/>
                <w:sz w:val="24"/>
                <w:szCs w:val="24"/>
              </w:rPr>
            </w:pPr>
            <w:r w:rsidRPr="005823A7">
              <w:rPr>
                <w:rFonts w:ascii="Times New Roman" w:hAnsi="Times New Roman" w:cs="Times New Roman"/>
                <w:b/>
                <w:sz w:val="24"/>
                <w:szCs w:val="24"/>
              </w:rPr>
              <w:t>Electric tubewell users</w:t>
            </w:r>
          </w:p>
        </w:tc>
        <w:tc>
          <w:tcPr>
            <w:tcW w:w="1828" w:type="dxa"/>
            <w:gridSpan w:val="2"/>
            <w:tcBorders>
              <w:top w:val="single" w:sz="4" w:space="0" w:color="auto"/>
              <w:left w:val="single" w:sz="4" w:space="0" w:color="auto"/>
              <w:bottom w:val="single" w:sz="4" w:space="0" w:color="auto"/>
              <w:right w:val="single" w:sz="4" w:space="0" w:color="auto"/>
            </w:tcBorders>
            <w:vAlign w:val="center"/>
            <w:hideMark/>
          </w:tcPr>
          <w:p w14:paraId="7851A467" w14:textId="77777777" w:rsidR="00921352" w:rsidRPr="005823A7" w:rsidRDefault="00D904CB" w:rsidP="00E80A08">
            <w:pPr>
              <w:widowControl w:val="0"/>
              <w:autoSpaceDE w:val="0"/>
              <w:autoSpaceDN w:val="0"/>
              <w:adjustRightInd w:val="0"/>
              <w:spacing w:line="360" w:lineRule="auto"/>
              <w:jc w:val="center"/>
              <w:rPr>
                <w:rFonts w:ascii="Times New Roman" w:hAnsi="Times New Roman" w:cs="Times New Roman"/>
                <w:b/>
                <w:sz w:val="24"/>
                <w:szCs w:val="24"/>
              </w:rPr>
            </w:pPr>
            <w:r w:rsidRPr="005823A7">
              <w:rPr>
                <w:rFonts w:ascii="Times New Roman" w:hAnsi="Times New Roman" w:cs="Times New Roman"/>
                <w:b/>
                <w:sz w:val="24"/>
                <w:szCs w:val="24"/>
              </w:rPr>
              <w:t>Solar tubewell users</w:t>
            </w:r>
          </w:p>
        </w:tc>
        <w:tc>
          <w:tcPr>
            <w:tcW w:w="1835" w:type="dxa"/>
            <w:gridSpan w:val="2"/>
            <w:tcBorders>
              <w:top w:val="single" w:sz="4" w:space="0" w:color="auto"/>
              <w:left w:val="single" w:sz="4" w:space="0" w:color="auto"/>
              <w:bottom w:val="single" w:sz="4" w:space="0" w:color="auto"/>
              <w:right w:val="single" w:sz="4" w:space="0" w:color="auto"/>
            </w:tcBorders>
            <w:vAlign w:val="center"/>
            <w:hideMark/>
          </w:tcPr>
          <w:p w14:paraId="6F1CF83B" w14:textId="77777777" w:rsidR="00921352" w:rsidRPr="005823A7" w:rsidRDefault="00D904CB" w:rsidP="00E80A08">
            <w:pPr>
              <w:widowControl w:val="0"/>
              <w:autoSpaceDE w:val="0"/>
              <w:autoSpaceDN w:val="0"/>
              <w:adjustRightInd w:val="0"/>
              <w:spacing w:line="360" w:lineRule="auto"/>
              <w:jc w:val="center"/>
              <w:rPr>
                <w:rFonts w:ascii="Times New Roman" w:hAnsi="Times New Roman" w:cs="Times New Roman"/>
                <w:b/>
                <w:sz w:val="24"/>
                <w:szCs w:val="24"/>
              </w:rPr>
            </w:pPr>
            <w:r w:rsidRPr="005823A7">
              <w:rPr>
                <w:rFonts w:ascii="Times New Roman" w:hAnsi="Times New Roman" w:cs="Times New Roman"/>
                <w:b/>
                <w:sz w:val="24"/>
                <w:szCs w:val="24"/>
              </w:rPr>
              <w:t>Electric + Solar tubewell users</w:t>
            </w:r>
          </w:p>
        </w:tc>
      </w:tr>
      <w:tr w:rsidR="00921352" w:rsidRPr="005823A7" w14:paraId="76B615A9" w14:textId="77777777" w:rsidTr="00921352">
        <w:tc>
          <w:tcPr>
            <w:tcW w:w="0" w:type="auto"/>
            <w:vMerge/>
            <w:tcBorders>
              <w:top w:val="single" w:sz="4" w:space="0" w:color="auto"/>
              <w:left w:val="single" w:sz="4" w:space="0" w:color="auto"/>
              <w:bottom w:val="single" w:sz="4" w:space="0" w:color="auto"/>
              <w:right w:val="single" w:sz="4" w:space="0" w:color="auto"/>
            </w:tcBorders>
            <w:vAlign w:val="center"/>
            <w:hideMark/>
          </w:tcPr>
          <w:p w14:paraId="541DC847" w14:textId="77777777" w:rsidR="00921352" w:rsidRPr="005823A7" w:rsidRDefault="00921352" w:rsidP="00E80A08">
            <w:pPr>
              <w:spacing w:line="360" w:lineRule="auto"/>
              <w:rPr>
                <w:rFonts w:ascii="Times New Roman" w:hAnsi="Times New Roman" w:cs="Times New Roman"/>
                <w:b/>
                <w:sz w:val="24"/>
                <w:szCs w:val="24"/>
              </w:rPr>
            </w:pPr>
          </w:p>
        </w:tc>
        <w:tc>
          <w:tcPr>
            <w:tcW w:w="1266" w:type="dxa"/>
            <w:tcBorders>
              <w:top w:val="single" w:sz="4" w:space="0" w:color="auto"/>
              <w:left w:val="single" w:sz="4" w:space="0" w:color="auto"/>
              <w:bottom w:val="single" w:sz="4" w:space="0" w:color="auto"/>
              <w:right w:val="single" w:sz="4" w:space="0" w:color="auto"/>
            </w:tcBorders>
            <w:hideMark/>
          </w:tcPr>
          <w:p w14:paraId="159930A6" w14:textId="77777777" w:rsidR="00921352" w:rsidRPr="005823A7" w:rsidRDefault="00921352"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Freq.</w:t>
            </w:r>
          </w:p>
        </w:tc>
        <w:tc>
          <w:tcPr>
            <w:tcW w:w="1003" w:type="dxa"/>
            <w:tcBorders>
              <w:top w:val="single" w:sz="4" w:space="0" w:color="auto"/>
              <w:left w:val="single" w:sz="4" w:space="0" w:color="auto"/>
              <w:bottom w:val="single" w:sz="4" w:space="0" w:color="auto"/>
              <w:right w:val="single" w:sz="4" w:space="0" w:color="auto"/>
            </w:tcBorders>
            <w:vAlign w:val="center"/>
            <w:hideMark/>
          </w:tcPr>
          <w:p w14:paraId="30EC1684" w14:textId="77777777" w:rsidR="00921352" w:rsidRPr="005823A7" w:rsidRDefault="00921352"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Percent</w:t>
            </w:r>
          </w:p>
        </w:tc>
        <w:tc>
          <w:tcPr>
            <w:tcW w:w="974" w:type="dxa"/>
            <w:tcBorders>
              <w:top w:val="single" w:sz="4" w:space="0" w:color="auto"/>
              <w:left w:val="single" w:sz="4" w:space="0" w:color="auto"/>
              <w:bottom w:val="single" w:sz="4" w:space="0" w:color="auto"/>
              <w:right w:val="single" w:sz="4" w:space="0" w:color="auto"/>
            </w:tcBorders>
            <w:vAlign w:val="center"/>
            <w:hideMark/>
          </w:tcPr>
          <w:p w14:paraId="6C2880FF" w14:textId="77777777" w:rsidR="00921352" w:rsidRPr="005823A7" w:rsidRDefault="00921352"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Freq.</w:t>
            </w:r>
          </w:p>
        </w:tc>
        <w:tc>
          <w:tcPr>
            <w:tcW w:w="1010" w:type="dxa"/>
            <w:tcBorders>
              <w:top w:val="single" w:sz="4" w:space="0" w:color="auto"/>
              <w:left w:val="single" w:sz="4" w:space="0" w:color="auto"/>
              <w:bottom w:val="single" w:sz="4" w:space="0" w:color="auto"/>
              <w:right w:val="single" w:sz="4" w:space="0" w:color="auto"/>
            </w:tcBorders>
            <w:hideMark/>
          </w:tcPr>
          <w:p w14:paraId="68E99592" w14:textId="77777777" w:rsidR="00921352" w:rsidRPr="005823A7" w:rsidRDefault="00921352"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Percent</w:t>
            </w:r>
          </w:p>
        </w:tc>
        <w:tc>
          <w:tcPr>
            <w:tcW w:w="991" w:type="dxa"/>
            <w:tcBorders>
              <w:top w:val="single" w:sz="4" w:space="0" w:color="auto"/>
              <w:left w:val="single" w:sz="4" w:space="0" w:color="auto"/>
              <w:bottom w:val="single" w:sz="4" w:space="0" w:color="auto"/>
              <w:right w:val="single" w:sz="4" w:space="0" w:color="auto"/>
            </w:tcBorders>
            <w:vAlign w:val="center"/>
            <w:hideMark/>
          </w:tcPr>
          <w:p w14:paraId="641BE145" w14:textId="77777777" w:rsidR="00921352" w:rsidRPr="005823A7" w:rsidRDefault="00921352"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Freq.</w:t>
            </w:r>
          </w:p>
        </w:tc>
        <w:tc>
          <w:tcPr>
            <w:tcW w:w="1006" w:type="dxa"/>
            <w:tcBorders>
              <w:top w:val="single" w:sz="4" w:space="0" w:color="auto"/>
              <w:left w:val="single" w:sz="4" w:space="0" w:color="auto"/>
              <w:bottom w:val="single" w:sz="4" w:space="0" w:color="auto"/>
              <w:right w:val="single" w:sz="4" w:space="0" w:color="auto"/>
            </w:tcBorders>
            <w:vAlign w:val="center"/>
            <w:hideMark/>
          </w:tcPr>
          <w:p w14:paraId="1C9E0F1A" w14:textId="77777777" w:rsidR="00921352" w:rsidRPr="005823A7" w:rsidRDefault="00921352"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Percent</w:t>
            </w:r>
          </w:p>
        </w:tc>
      </w:tr>
      <w:tr w:rsidR="00921352" w:rsidRPr="005823A7" w14:paraId="7266EAF4" w14:textId="77777777" w:rsidTr="00921352">
        <w:trPr>
          <w:trHeight w:val="301"/>
        </w:trPr>
        <w:tc>
          <w:tcPr>
            <w:tcW w:w="8656" w:type="dxa"/>
            <w:gridSpan w:val="7"/>
            <w:tcBorders>
              <w:top w:val="single" w:sz="4" w:space="0" w:color="auto"/>
              <w:left w:val="single" w:sz="4" w:space="0" w:color="auto"/>
              <w:bottom w:val="single" w:sz="4" w:space="0" w:color="auto"/>
              <w:right w:val="single" w:sz="4" w:space="0" w:color="auto"/>
            </w:tcBorders>
            <w:vAlign w:val="center"/>
            <w:hideMark/>
          </w:tcPr>
          <w:p w14:paraId="4269DD98" w14:textId="77777777" w:rsidR="00921352" w:rsidRPr="005823A7" w:rsidRDefault="00921352" w:rsidP="00E80A08">
            <w:pPr>
              <w:widowControl w:val="0"/>
              <w:autoSpaceDE w:val="0"/>
              <w:autoSpaceDN w:val="0"/>
              <w:adjustRightInd w:val="0"/>
              <w:spacing w:line="360" w:lineRule="auto"/>
              <w:rPr>
                <w:rFonts w:ascii="Times New Roman" w:hAnsi="Times New Roman" w:cs="Times New Roman"/>
                <w:sz w:val="24"/>
                <w:szCs w:val="24"/>
              </w:rPr>
            </w:pPr>
            <w:r w:rsidRPr="005823A7">
              <w:rPr>
                <w:rFonts w:ascii="Times New Roman" w:hAnsi="Times New Roman" w:cs="Times New Roman"/>
                <w:b/>
                <w:sz w:val="24"/>
                <w:szCs w:val="24"/>
              </w:rPr>
              <w:t>Is there any government groundwater-related policy in effect?</w:t>
            </w:r>
          </w:p>
        </w:tc>
      </w:tr>
      <w:tr w:rsidR="00921352" w:rsidRPr="005823A7" w14:paraId="496228A6" w14:textId="77777777" w:rsidTr="00921352">
        <w:tc>
          <w:tcPr>
            <w:tcW w:w="3012" w:type="dxa"/>
            <w:tcBorders>
              <w:top w:val="single" w:sz="4" w:space="0" w:color="auto"/>
              <w:left w:val="single" w:sz="4" w:space="0" w:color="auto"/>
              <w:bottom w:val="single" w:sz="4" w:space="0" w:color="auto"/>
              <w:right w:val="single" w:sz="4" w:space="0" w:color="auto"/>
            </w:tcBorders>
            <w:hideMark/>
          </w:tcPr>
          <w:p w14:paraId="71509191" w14:textId="77777777" w:rsidR="00921352" w:rsidRPr="005823A7" w:rsidRDefault="00921352" w:rsidP="00E80A08">
            <w:pPr>
              <w:spacing w:line="360" w:lineRule="auto"/>
              <w:rPr>
                <w:rFonts w:ascii="Times New Roman" w:hAnsi="Times New Roman" w:cs="Times New Roman"/>
                <w:sz w:val="24"/>
                <w:szCs w:val="24"/>
              </w:rPr>
            </w:pPr>
            <w:r w:rsidRPr="005823A7">
              <w:rPr>
                <w:rFonts w:ascii="Times New Roman" w:hAnsi="Times New Roman" w:cs="Times New Roman"/>
                <w:sz w:val="24"/>
                <w:szCs w:val="24"/>
              </w:rPr>
              <w:t>Yes</w:t>
            </w:r>
          </w:p>
        </w:tc>
        <w:tc>
          <w:tcPr>
            <w:tcW w:w="1009" w:type="dxa"/>
            <w:tcBorders>
              <w:top w:val="single" w:sz="4" w:space="0" w:color="auto"/>
              <w:left w:val="single" w:sz="4" w:space="0" w:color="auto"/>
              <w:bottom w:val="single" w:sz="4" w:space="0" w:color="auto"/>
              <w:right w:val="single" w:sz="4" w:space="0" w:color="auto"/>
            </w:tcBorders>
            <w:vAlign w:val="center"/>
            <w:hideMark/>
          </w:tcPr>
          <w:p w14:paraId="3AED5C7D"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w:t>
            </w:r>
          </w:p>
        </w:tc>
        <w:tc>
          <w:tcPr>
            <w:tcW w:w="972" w:type="dxa"/>
            <w:tcBorders>
              <w:top w:val="single" w:sz="4" w:space="0" w:color="auto"/>
              <w:left w:val="single" w:sz="4" w:space="0" w:color="auto"/>
              <w:bottom w:val="single" w:sz="4" w:space="0" w:color="auto"/>
              <w:right w:val="single" w:sz="4" w:space="0" w:color="auto"/>
            </w:tcBorders>
            <w:vAlign w:val="center"/>
            <w:hideMark/>
          </w:tcPr>
          <w:p w14:paraId="3F020825"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0.45</w:t>
            </w:r>
          </w:p>
        </w:tc>
        <w:tc>
          <w:tcPr>
            <w:tcW w:w="853" w:type="dxa"/>
            <w:tcBorders>
              <w:top w:val="single" w:sz="4" w:space="0" w:color="auto"/>
              <w:left w:val="single" w:sz="4" w:space="0" w:color="auto"/>
              <w:bottom w:val="single" w:sz="4" w:space="0" w:color="auto"/>
              <w:right w:val="single" w:sz="4" w:space="0" w:color="auto"/>
            </w:tcBorders>
            <w:vAlign w:val="center"/>
            <w:hideMark/>
          </w:tcPr>
          <w:p w14:paraId="4BFF3A06"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w:t>
            </w:r>
          </w:p>
        </w:tc>
        <w:tc>
          <w:tcPr>
            <w:tcW w:w="975" w:type="dxa"/>
            <w:tcBorders>
              <w:top w:val="single" w:sz="4" w:space="0" w:color="auto"/>
              <w:left w:val="single" w:sz="4" w:space="0" w:color="auto"/>
              <w:bottom w:val="single" w:sz="4" w:space="0" w:color="auto"/>
              <w:right w:val="single" w:sz="4" w:space="0" w:color="auto"/>
            </w:tcBorders>
            <w:vAlign w:val="center"/>
            <w:hideMark/>
          </w:tcPr>
          <w:p w14:paraId="1961D611"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2.50</w:t>
            </w:r>
          </w:p>
        </w:tc>
        <w:tc>
          <w:tcPr>
            <w:tcW w:w="862" w:type="dxa"/>
            <w:tcBorders>
              <w:top w:val="single" w:sz="4" w:space="0" w:color="auto"/>
              <w:left w:val="single" w:sz="4" w:space="0" w:color="auto"/>
              <w:bottom w:val="single" w:sz="4" w:space="0" w:color="auto"/>
              <w:right w:val="single" w:sz="4" w:space="0" w:color="auto"/>
            </w:tcBorders>
            <w:vAlign w:val="center"/>
            <w:hideMark/>
          </w:tcPr>
          <w:p w14:paraId="595E1481"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2</w:t>
            </w:r>
          </w:p>
        </w:tc>
        <w:tc>
          <w:tcPr>
            <w:tcW w:w="973" w:type="dxa"/>
            <w:tcBorders>
              <w:top w:val="single" w:sz="4" w:space="0" w:color="auto"/>
              <w:left w:val="single" w:sz="4" w:space="0" w:color="auto"/>
              <w:bottom w:val="single" w:sz="4" w:space="0" w:color="auto"/>
              <w:right w:val="single" w:sz="4" w:space="0" w:color="auto"/>
            </w:tcBorders>
            <w:vAlign w:val="center"/>
            <w:hideMark/>
          </w:tcPr>
          <w:p w14:paraId="094579E6"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5</w:t>
            </w:r>
          </w:p>
        </w:tc>
      </w:tr>
      <w:tr w:rsidR="00921352" w:rsidRPr="005823A7" w14:paraId="72EBBB92" w14:textId="77777777" w:rsidTr="00921352">
        <w:tc>
          <w:tcPr>
            <w:tcW w:w="3012" w:type="dxa"/>
            <w:tcBorders>
              <w:top w:val="single" w:sz="4" w:space="0" w:color="auto"/>
              <w:left w:val="single" w:sz="4" w:space="0" w:color="auto"/>
              <w:bottom w:val="single" w:sz="4" w:space="0" w:color="auto"/>
              <w:right w:val="single" w:sz="4" w:space="0" w:color="auto"/>
            </w:tcBorders>
            <w:hideMark/>
          </w:tcPr>
          <w:p w14:paraId="55BE35B4" w14:textId="77777777" w:rsidR="00921352" w:rsidRPr="005823A7" w:rsidRDefault="00921352" w:rsidP="00E80A08">
            <w:pPr>
              <w:spacing w:line="360" w:lineRule="auto"/>
              <w:rPr>
                <w:rFonts w:ascii="Times New Roman" w:hAnsi="Times New Roman" w:cs="Times New Roman"/>
                <w:sz w:val="24"/>
                <w:szCs w:val="24"/>
              </w:rPr>
            </w:pPr>
            <w:r w:rsidRPr="005823A7">
              <w:rPr>
                <w:rFonts w:ascii="Times New Roman" w:hAnsi="Times New Roman" w:cs="Times New Roman"/>
                <w:sz w:val="24"/>
                <w:szCs w:val="24"/>
              </w:rPr>
              <w:t>No</w:t>
            </w:r>
          </w:p>
        </w:tc>
        <w:tc>
          <w:tcPr>
            <w:tcW w:w="1009" w:type="dxa"/>
            <w:tcBorders>
              <w:top w:val="single" w:sz="4" w:space="0" w:color="auto"/>
              <w:left w:val="single" w:sz="4" w:space="0" w:color="auto"/>
              <w:bottom w:val="single" w:sz="4" w:space="0" w:color="auto"/>
              <w:right w:val="single" w:sz="4" w:space="0" w:color="auto"/>
            </w:tcBorders>
            <w:vAlign w:val="center"/>
            <w:hideMark/>
          </w:tcPr>
          <w:p w14:paraId="7D1F2C94"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39</w:t>
            </w:r>
          </w:p>
        </w:tc>
        <w:tc>
          <w:tcPr>
            <w:tcW w:w="972" w:type="dxa"/>
            <w:tcBorders>
              <w:top w:val="single" w:sz="4" w:space="0" w:color="auto"/>
              <w:left w:val="single" w:sz="4" w:space="0" w:color="auto"/>
              <w:bottom w:val="single" w:sz="4" w:space="0" w:color="auto"/>
              <w:right w:val="single" w:sz="4" w:space="0" w:color="auto"/>
            </w:tcBorders>
            <w:vAlign w:val="center"/>
            <w:hideMark/>
          </w:tcPr>
          <w:p w14:paraId="2FFE2313"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17.73</w:t>
            </w:r>
          </w:p>
        </w:tc>
        <w:tc>
          <w:tcPr>
            <w:tcW w:w="853" w:type="dxa"/>
            <w:tcBorders>
              <w:top w:val="single" w:sz="4" w:space="0" w:color="auto"/>
              <w:left w:val="single" w:sz="4" w:space="0" w:color="auto"/>
              <w:bottom w:val="single" w:sz="4" w:space="0" w:color="auto"/>
              <w:right w:val="single" w:sz="4" w:space="0" w:color="auto"/>
            </w:tcBorders>
            <w:vAlign w:val="center"/>
            <w:hideMark/>
          </w:tcPr>
          <w:p w14:paraId="43946CBD"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13</w:t>
            </w:r>
          </w:p>
        </w:tc>
        <w:tc>
          <w:tcPr>
            <w:tcW w:w="975" w:type="dxa"/>
            <w:tcBorders>
              <w:top w:val="single" w:sz="4" w:space="0" w:color="auto"/>
              <w:left w:val="single" w:sz="4" w:space="0" w:color="auto"/>
              <w:bottom w:val="single" w:sz="4" w:space="0" w:color="auto"/>
              <w:right w:val="single" w:sz="4" w:space="0" w:color="auto"/>
            </w:tcBorders>
            <w:vAlign w:val="center"/>
            <w:hideMark/>
          </w:tcPr>
          <w:p w14:paraId="301C6A86"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32.50</w:t>
            </w:r>
          </w:p>
        </w:tc>
        <w:tc>
          <w:tcPr>
            <w:tcW w:w="862" w:type="dxa"/>
            <w:tcBorders>
              <w:top w:val="single" w:sz="4" w:space="0" w:color="auto"/>
              <w:left w:val="single" w:sz="4" w:space="0" w:color="auto"/>
              <w:bottom w:val="single" w:sz="4" w:space="0" w:color="auto"/>
              <w:right w:val="single" w:sz="4" w:space="0" w:color="auto"/>
            </w:tcBorders>
            <w:vAlign w:val="center"/>
            <w:hideMark/>
          </w:tcPr>
          <w:p w14:paraId="4D2F64AE"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3</w:t>
            </w:r>
          </w:p>
        </w:tc>
        <w:tc>
          <w:tcPr>
            <w:tcW w:w="973" w:type="dxa"/>
            <w:tcBorders>
              <w:top w:val="single" w:sz="4" w:space="0" w:color="auto"/>
              <w:left w:val="single" w:sz="4" w:space="0" w:color="auto"/>
              <w:bottom w:val="single" w:sz="4" w:space="0" w:color="auto"/>
              <w:right w:val="single" w:sz="4" w:space="0" w:color="auto"/>
            </w:tcBorders>
            <w:vAlign w:val="center"/>
            <w:hideMark/>
          </w:tcPr>
          <w:p w14:paraId="2E36446C"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7.50</w:t>
            </w:r>
          </w:p>
        </w:tc>
      </w:tr>
      <w:tr w:rsidR="00921352" w:rsidRPr="005823A7" w14:paraId="4098F077" w14:textId="77777777" w:rsidTr="00921352">
        <w:tc>
          <w:tcPr>
            <w:tcW w:w="3012" w:type="dxa"/>
            <w:tcBorders>
              <w:top w:val="single" w:sz="4" w:space="0" w:color="auto"/>
              <w:left w:val="single" w:sz="4" w:space="0" w:color="auto"/>
              <w:bottom w:val="single" w:sz="4" w:space="0" w:color="auto"/>
              <w:right w:val="single" w:sz="4" w:space="0" w:color="auto"/>
            </w:tcBorders>
            <w:hideMark/>
          </w:tcPr>
          <w:p w14:paraId="5887D629" w14:textId="77777777" w:rsidR="00921352" w:rsidRPr="005823A7" w:rsidRDefault="00921352" w:rsidP="00E80A08">
            <w:pPr>
              <w:spacing w:line="360" w:lineRule="auto"/>
              <w:rPr>
                <w:rFonts w:ascii="Times New Roman" w:hAnsi="Times New Roman" w:cs="Times New Roman"/>
                <w:sz w:val="24"/>
                <w:szCs w:val="24"/>
              </w:rPr>
            </w:pPr>
            <w:r w:rsidRPr="005823A7">
              <w:rPr>
                <w:rFonts w:ascii="Times New Roman" w:hAnsi="Times New Roman" w:cs="Times New Roman"/>
                <w:sz w:val="24"/>
                <w:szCs w:val="24"/>
              </w:rPr>
              <w:t>Don’t know</w:t>
            </w:r>
          </w:p>
        </w:tc>
        <w:tc>
          <w:tcPr>
            <w:tcW w:w="1009" w:type="dxa"/>
            <w:tcBorders>
              <w:top w:val="single" w:sz="4" w:space="0" w:color="auto"/>
              <w:left w:val="single" w:sz="4" w:space="0" w:color="auto"/>
              <w:bottom w:val="single" w:sz="4" w:space="0" w:color="auto"/>
              <w:right w:val="single" w:sz="4" w:space="0" w:color="auto"/>
            </w:tcBorders>
            <w:vAlign w:val="center"/>
            <w:hideMark/>
          </w:tcPr>
          <w:p w14:paraId="6E2FC220"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180</w:t>
            </w:r>
          </w:p>
        </w:tc>
        <w:tc>
          <w:tcPr>
            <w:tcW w:w="972" w:type="dxa"/>
            <w:tcBorders>
              <w:top w:val="single" w:sz="4" w:space="0" w:color="auto"/>
              <w:left w:val="single" w:sz="4" w:space="0" w:color="auto"/>
              <w:bottom w:val="single" w:sz="4" w:space="0" w:color="auto"/>
              <w:right w:val="single" w:sz="4" w:space="0" w:color="auto"/>
            </w:tcBorders>
            <w:vAlign w:val="center"/>
            <w:hideMark/>
          </w:tcPr>
          <w:p w14:paraId="393740A8"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81.82</w:t>
            </w:r>
          </w:p>
        </w:tc>
        <w:tc>
          <w:tcPr>
            <w:tcW w:w="853" w:type="dxa"/>
            <w:tcBorders>
              <w:top w:val="single" w:sz="4" w:space="0" w:color="auto"/>
              <w:left w:val="single" w:sz="4" w:space="0" w:color="auto"/>
              <w:bottom w:val="single" w:sz="4" w:space="0" w:color="auto"/>
              <w:right w:val="single" w:sz="4" w:space="0" w:color="auto"/>
            </w:tcBorders>
            <w:vAlign w:val="center"/>
            <w:hideMark/>
          </w:tcPr>
          <w:p w14:paraId="17B850C3"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26</w:t>
            </w:r>
          </w:p>
        </w:tc>
        <w:tc>
          <w:tcPr>
            <w:tcW w:w="975" w:type="dxa"/>
            <w:tcBorders>
              <w:top w:val="single" w:sz="4" w:space="0" w:color="auto"/>
              <w:left w:val="single" w:sz="4" w:space="0" w:color="auto"/>
              <w:bottom w:val="single" w:sz="4" w:space="0" w:color="auto"/>
              <w:right w:val="single" w:sz="4" w:space="0" w:color="auto"/>
            </w:tcBorders>
            <w:vAlign w:val="center"/>
            <w:hideMark/>
          </w:tcPr>
          <w:p w14:paraId="14FF199E"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65</w:t>
            </w:r>
          </w:p>
        </w:tc>
        <w:tc>
          <w:tcPr>
            <w:tcW w:w="862" w:type="dxa"/>
            <w:tcBorders>
              <w:top w:val="single" w:sz="4" w:space="0" w:color="auto"/>
              <w:left w:val="single" w:sz="4" w:space="0" w:color="auto"/>
              <w:bottom w:val="single" w:sz="4" w:space="0" w:color="auto"/>
              <w:right w:val="single" w:sz="4" w:space="0" w:color="auto"/>
            </w:tcBorders>
            <w:vAlign w:val="center"/>
            <w:hideMark/>
          </w:tcPr>
          <w:p w14:paraId="19866E89"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35</w:t>
            </w:r>
          </w:p>
        </w:tc>
        <w:tc>
          <w:tcPr>
            <w:tcW w:w="973" w:type="dxa"/>
            <w:tcBorders>
              <w:top w:val="single" w:sz="4" w:space="0" w:color="auto"/>
              <w:left w:val="single" w:sz="4" w:space="0" w:color="auto"/>
              <w:bottom w:val="single" w:sz="4" w:space="0" w:color="auto"/>
              <w:right w:val="single" w:sz="4" w:space="0" w:color="auto"/>
            </w:tcBorders>
            <w:vAlign w:val="center"/>
            <w:hideMark/>
          </w:tcPr>
          <w:p w14:paraId="554B30B8"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87.50</w:t>
            </w:r>
          </w:p>
        </w:tc>
      </w:tr>
      <w:tr w:rsidR="00921352" w:rsidRPr="005823A7" w14:paraId="1205311D" w14:textId="77777777" w:rsidTr="00921352">
        <w:tc>
          <w:tcPr>
            <w:tcW w:w="3012" w:type="dxa"/>
            <w:tcBorders>
              <w:top w:val="single" w:sz="4" w:space="0" w:color="auto"/>
              <w:left w:val="single" w:sz="4" w:space="0" w:color="auto"/>
              <w:bottom w:val="single" w:sz="4" w:space="0" w:color="auto"/>
              <w:right w:val="single" w:sz="4" w:space="0" w:color="auto"/>
            </w:tcBorders>
            <w:hideMark/>
          </w:tcPr>
          <w:p w14:paraId="464DD51B" w14:textId="77777777" w:rsidR="00921352" w:rsidRPr="005823A7" w:rsidRDefault="00921352" w:rsidP="00E80A08">
            <w:pPr>
              <w:spacing w:line="360" w:lineRule="auto"/>
              <w:rPr>
                <w:rFonts w:ascii="Times New Roman" w:hAnsi="Times New Roman" w:cs="Times New Roman"/>
                <w:sz w:val="24"/>
                <w:szCs w:val="24"/>
              </w:rPr>
            </w:pPr>
            <w:r w:rsidRPr="005823A7">
              <w:rPr>
                <w:rFonts w:ascii="Times New Roman" w:hAnsi="Times New Roman" w:cs="Times New Roman"/>
                <w:sz w:val="24"/>
                <w:szCs w:val="24"/>
              </w:rPr>
              <w:t>Total</w:t>
            </w:r>
          </w:p>
        </w:tc>
        <w:tc>
          <w:tcPr>
            <w:tcW w:w="1009" w:type="dxa"/>
            <w:tcBorders>
              <w:top w:val="single" w:sz="4" w:space="0" w:color="auto"/>
              <w:left w:val="single" w:sz="4" w:space="0" w:color="auto"/>
              <w:bottom w:val="single" w:sz="4" w:space="0" w:color="auto"/>
              <w:right w:val="single" w:sz="4" w:space="0" w:color="auto"/>
            </w:tcBorders>
            <w:vAlign w:val="center"/>
            <w:hideMark/>
          </w:tcPr>
          <w:p w14:paraId="32F5386A"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220</w:t>
            </w:r>
          </w:p>
        </w:tc>
        <w:tc>
          <w:tcPr>
            <w:tcW w:w="972" w:type="dxa"/>
            <w:tcBorders>
              <w:top w:val="single" w:sz="4" w:space="0" w:color="auto"/>
              <w:left w:val="single" w:sz="4" w:space="0" w:color="auto"/>
              <w:bottom w:val="single" w:sz="4" w:space="0" w:color="auto"/>
              <w:right w:val="single" w:sz="4" w:space="0" w:color="auto"/>
            </w:tcBorders>
            <w:vAlign w:val="center"/>
            <w:hideMark/>
          </w:tcPr>
          <w:p w14:paraId="0481F88D"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100</w:t>
            </w:r>
          </w:p>
        </w:tc>
        <w:tc>
          <w:tcPr>
            <w:tcW w:w="853" w:type="dxa"/>
            <w:tcBorders>
              <w:top w:val="single" w:sz="4" w:space="0" w:color="auto"/>
              <w:left w:val="single" w:sz="4" w:space="0" w:color="auto"/>
              <w:bottom w:val="single" w:sz="4" w:space="0" w:color="auto"/>
              <w:right w:val="single" w:sz="4" w:space="0" w:color="auto"/>
            </w:tcBorders>
            <w:vAlign w:val="center"/>
            <w:hideMark/>
          </w:tcPr>
          <w:p w14:paraId="0928FBFD"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40</w:t>
            </w:r>
          </w:p>
        </w:tc>
        <w:tc>
          <w:tcPr>
            <w:tcW w:w="975" w:type="dxa"/>
            <w:tcBorders>
              <w:top w:val="single" w:sz="4" w:space="0" w:color="auto"/>
              <w:left w:val="single" w:sz="4" w:space="0" w:color="auto"/>
              <w:bottom w:val="single" w:sz="4" w:space="0" w:color="auto"/>
              <w:right w:val="single" w:sz="4" w:space="0" w:color="auto"/>
            </w:tcBorders>
            <w:vAlign w:val="center"/>
            <w:hideMark/>
          </w:tcPr>
          <w:p w14:paraId="0457C652"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100</w:t>
            </w:r>
          </w:p>
        </w:tc>
        <w:tc>
          <w:tcPr>
            <w:tcW w:w="862" w:type="dxa"/>
            <w:tcBorders>
              <w:top w:val="single" w:sz="4" w:space="0" w:color="auto"/>
              <w:left w:val="single" w:sz="4" w:space="0" w:color="auto"/>
              <w:bottom w:val="single" w:sz="4" w:space="0" w:color="auto"/>
              <w:right w:val="single" w:sz="4" w:space="0" w:color="auto"/>
            </w:tcBorders>
            <w:vAlign w:val="center"/>
            <w:hideMark/>
          </w:tcPr>
          <w:p w14:paraId="365FEE1D"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40</w:t>
            </w:r>
          </w:p>
        </w:tc>
        <w:tc>
          <w:tcPr>
            <w:tcW w:w="973" w:type="dxa"/>
            <w:tcBorders>
              <w:top w:val="single" w:sz="4" w:space="0" w:color="auto"/>
              <w:left w:val="single" w:sz="4" w:space="0" w:color="auto"/>
              <w:bottom w:val="single" w:sz="4" w:space="0" w:color="auto"/>
              <w:right w:val="single" w:sz="4" w:space="0" w:color="auto"/>
            </w:tcBorders>
            <w:vAlign w:val="center"/>
            <w:hideMark/>
          </w:tcPr>
          <w:p w14:paraId="193E9C77"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100</w:t>
            </w:r>
          </w:p>
        </w:tc>
      </w:tr>
      <w:tr w:rsidR="00921352" w:rsidRPr="005823A7" w14:paraId="02ABB53D" w14:textId="77777777" w:rsidTr="00921352">
        <w:tc>
          <w:tcPr>
            <w:tcW w:w="8656" w:type="dxa"/>
            <w:gridSpan w:val="7"/>
            <w:tcBorders>
              <w:top w:val="single" w:sz="4" w:space="0" w:color="auto"/>
              <w:left w:val="single" w:sz="4" w:space="0" w:color="auto"/>
              <w:bottom w:val="single" w:sz="4" w:space="0" w:color="auto"/>
              <w:right w:val="single" w:sz="4" w:space="0" w:color="auto"/>
            </w:tcBorders>
            <w:vAlign w:val="center"/>
            <w:hideMark/>
          </w:tcPr>
          <w:p w14:paraId="6C39DBA2" w14:textId="77777777" w:rsidR="00921352" w:rsidRPr="005823A7" w:rsidRDefault="00CA6B8D" w:rsidP="00E80A08">
            <w:pPr>
              <w:spacing w:line="360" w:lineRule="auto"/>
              <w:rPr>
                <w:rFonts w:ascii="Times New Roman" w:hAnsi="Times New Roman" w:cs="Times New Roman"/>
                <w:sz w:val="24"/>
                <w:szCs w:val="24"/>
              </w:rPr>
            </w:pPr>
            <w:r w:rsidRPr="005823A7">
              <w:rPr>
                <w:rFonts w:ascii="Times New Roman" w:hAnsi="Times New Roman" w:cs="Times New Roman"/>
                <w:b/>
                <w:sz w:val="24"/>
                <w:szCs w:val="24"/>
              </w:rPr>
              <w:t>Is solarization of electric tubewells an economically and environmentally viable policy</w:t>
            </w:r>
          </w:p>
        </w:tc>
      </w:tr>
      <w:tr w:rsidR="00921352" w:rsidRPr="005823A7" w14:paraId="62CDAD27" w14:textId="77777777" w:rsidTr="00921352">
        <w:tc>
          <w:tcPr>
            <w:tcW w:w="3012" w:type="dxa"/>
            <w:tcBorders>
              <w:top w:val="single" w:sz="4" w:space="0" w:color="auto"/>
              <w:left w:val="single" w:sz="4" w:space="0" w:color="auto"/>
              <w:bottom w:val="single" w:sz="4" w:space="0" w:color="auto"/>
              <w:right w:val="single" w:sz="4" w:space="0" w:color="auto"/>
            </w:tcBorders>
            <w:hideMark/>
          </w:tcPr>
          <w:p w14:paraId="1054A17B" w14:textId="77777777" w:rsidR="00921352" w:rsidRPr="005823A7" w:rsidRDefault="00921352" w:rsidP="00E80A08">
            <w:pPr>
              <w:spacing w:line="360" w:lineRule="auto"/>
              <w:rPr>
                <w:rFonts w:ascii="Times New Roman" w:hAnsi="Times New Roman" w:cs="Times New Roman"/>
                <w:sz w:val="24"/>
                <w:szCs w:val="24"/>
              </w:rPr>
            </w:pPr>
            <w:r w:rsidRPr="005823A7">
              <w:rPr>
                <w:rFonts w:ascii="Times New Roman" w:hAnsi="Times New Roman" w:cs="Times New Roman"/>
                <w:sz w:val="24"/>
                <w:szCs w:val="24"/>
              </w:rPr>
              <w:t>Yes</w:t>
            </w:r>
          </w:p>
        </w:tc>
        <w:tc>
          <w:tcPr>
            <w:tcW w:w="1009" w:type="dxa"/>
            <w:tcBorders>
              <w:top w:val="single" w:sz="4" w:space="0" w:color="auto"/>
              <w:left w:val="single" w:sz="4" w:space="0" w:color="auto"/>
              <w:bottom w:val="single" w:sz="4" w:space="0" w:color="auto"/>
              <w:right w:val="single" w:sz="4" w:space="0" w:color="auto"/>
            </w:tcBorders>
            <w:vAlign w:val="center"/>
            <w:hideMark/>
          </w:tcPr>
          <w:p w14:paraId="19C3A7A2"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80</w:t>
            </w:r>
          </w:p>
        </w:tc>
        <w:tc>
          <w:tcPr>
            <w:tcW w:w="972" w:type="dxa"/>
            <w:tcBorders>
              <w:top w:val="single" w:sz="4" w:space="0" w:color="auto"/>
              <w:left w:val="single" w:sz="4" w:space="0" w:color="auto"/>
              <w:bottom w:val="single" w:sz="4" w:space="0" w:color="auto"/>
              <w:right w:val="single" w:sz="4" w:space="0" w:color="auto"/>
            </w:tcBorders>
            <w:vAlign w:val="center"/>
            <w:hideMark/>
          </w:tcPr>
          <w:p w14:paraId="0202A1F6"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36.36</w:t>
            </w:r>
          </w:p>
        </w:tc>
        <w:tc>
          <w:tcPr>
            <w:tcW w:w="853" w:type="dxa"/>
            <w:tcBorders>
              <w:top w:val="single" w:sz="4" w:space="0" w:color="auto"/>
              <w:left w:val="single" w:sz="4" w:space="0" w:color="auto"/>
              <w:bottom w:val="single" w:sz="4" w:space="0" w:color="auto"/>
              <w:right w:val="single" w:sz="4" w:space="0" w:color="auto"/>
            </w:tcBorders>
            <w:vAlign w:val="center"/>
            <w:hideMark/>
          </w:tcPr>
          <w:p w14:paraId="3A0BFF02"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26</w:t>
            </w:r>
          </w:p>
        </w:tc>
        <w:tc>
          <w:tcPr>
            <w:tcW w:w="975" w:type="dxa"/>
            <w:tcBorders>
              <w:top w:val="single" w:sz="4" w:space="0" w:color="auto"/>
              <w:left w:val="single" w:sz="4" w:space="0" w:color="auto"/>
              <w:bottom w:val="single" w:sz="4" w:space="0" w:color="auto"/>
              <w:right w:val="single" w:sz="4" w:space="0" w:color="auto"/>
            </w:tcBorders>
            <w:vAlign w:val="center"/>
            <w:hideMark/>
          </w:tcPr>
          <w:p w14:paraId="7942C2BF"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65</w:t>
            </w:r>
          </w:p>
        </w:tc>
        <w:tc>
          <w:tcPr>
            <w:tcW w:w="862" w:type="dxa"/>
            <w:tcBorders>
              <w:top w:val="single" w:sz="4" w:space="0" w:color="auto"/>
              <w:left w:val="single" w:sz="4" w:space="0" w:color="auto"/>
              <w:bottom w:val="single" w:sz="4" w:space="0" w:color="auto"/>
              <w:right w:val="single" w:sz="4" w:space="0" w:color="auto"/>
            </w:tcBorders>
            <w:vAlign w:val="center"/>
            <w:hideMark/>
          </w:tcPr>
          <w:p w14:paraId="1136141F"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24</w:t>
            </w:r>
          </w:p>
        </w:tc>
        <w:tc>
          <w:tcPr>
            <w:tcW w:w="973" w:type="dxa"/>
            <w:tcBorders>
              <w:top w:val="single" w:sz="4" w:space="0" w:color="auto"/>
              <w:left w:val="single" w:sz="4" w:space="0" w:color="auto"/>
              <w:bottom w:val="single" w:sz="4" w:space="0" w:color="auto"/>
              <w:right w:val="single" w:sz="4" w:space="0" w:color="auto"/>
            </w:tcBorders>
            <w:vAlign w:val="center"/>
            <w:hideMark/>
          </w:tcPr>
          <w:p w14:paraId="62AEB11E"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60</w:t>
            </w:r>
          </w:p>
        </w:tc>
      </w:tr>
      <w:tr w:rsidR="00921352" w:rsidRPr="005823A7" w14:paraId="02D95647" w14:textId="77777777" w:rsidTr="00921352">
        <w:tc>
          <w:tcPr>
            <w:tcW w:w="3012" w:type="dxa"/>
            <w:tcBorders>
              <w:top w:val="single" w:sz="4" w:space="0" w:color="auto"/>
              <w:left w:val="single" w:sz="4" w:space="0" w:color="auto"/>
              <w:bottom w:val="single" w:sz="4" w:space="0" w:color="auto"/>
              <w:right w:val="single" w:sz="4" w:space="0" w:color="auto"/>
            </w:tcBorders>
            <w:hideMark/>
          </w:tcPr>
          <w:p w14:paraId="0778A888" w14:textId="77777777" w:rsidR="00921352" w:rsidRPr="005823A7" w:rsidRDefault="00921352" w:rsidP="00E80A08">
            <w:pPr>
              <w:spacing w:line="360" w:lineRule="auto"/>
              <w:rPr>
                <w:rFonts w:ascii="Times New Roman" w:hAnsi="Times New Roman" w:cs="Times New Roman"/>
                <w:sz w:val="24"/>
                <w:szCs w:val="24"/>
              </w:rPr>
            </w:pPr>
            <w:r w:rsidRPr="005823A7">
              <w:rPr>
                <w:rFonts w:ascii="Times New Roman" w:hAnsi="Times New Roman" w:cs="Times New Roman"/>
                <w:sz w:val="24"/>
                <w:szCs w:val="24"/>
              </w:rPr>
              <w:t>No</w:t>
            </w:r>
          </w:p>
        </w:tc>
        <w:tc>
          <w:tcPr>
            <w:tcW w:w="1009" w:type="dxa"/>
            <w:tcBorders>
              <w:top w:val="single" w:sz="4" w:space="0" w:color="auto"/>
              <w:left w:val="single" w:sz="4" w:space="0" w:color="auto"/>
              <w:bottom w:val="single" w:sz="4" w:space="0" w:color="auto"/>
              <w:right w:val="single" w:sz="4" w:space="0" w:color="auto"/>
            </w:tcBorders>
            <w:vAlign w:val="center"/>
            <w:hideMark/>
          </w:tcPr>
          <w:p w14:paraId="3AE62A72"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131</w:t>
            </w:r>
          </w:p>
        </w:tc>
        <w:tc>
          <w:tcPr>
            <w:tcW w:w="972" w:type="dxa"/>
            <w:tcBorders>
              <w:top w:val="single" w:sz="4" w:space="0" w:color="auto"/>
              <w:left w:val="single" w:sz="4" w:space="0" w:color="auto"/>
              <w:bottom w:val="single" w:sz="4" w:space="0" w:color="auto"/>
              <w:right w:val="single" w:sz="4" w:space="0" w:color="auto"/>
            </w:tcBorders>
            <w:vAlign w:val="center"/>
            <w:hideMark/>
          </w:tcPr>
          <w:p w14:paraId="2AF7245E"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59.55</w:t>
            </w:r>
          </w:p>
        </w:tc>
        <w:tc>
          <w:tcPr>
            <w:tcW w:w="853" w:type="dxa"/>
            <w:tcBorders>
              <w:top w:val="single" w:sz="4" w:space="0" w:color="auto"/>
              <w:left w:val="single" w:sz="4" w:space="0" w:color="auto"/>
              <w:bottom w:val="single" w:sz="4" w:space="0" w:color="auto"/>
              <w:right w:val="single" w:sz="4" w:space="0" w:color="auto"/>
            </w:tcBorders>
            <w:vAlign w:val="center"/>
            <w:hideMark/>
          </w:tcPr>
          <w:p w14:paraId="663AF287"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9</w:t>
            </w:r>
          </w:p>
        </w:tc>
        <w:tc>
          <w:tcPr>
            <w:tcW w:w="975" w:type="dxa"/>
            <w:tcBorders>
              <w:top w:val="single" w:sz="4" w:space="0" w:color="auto"/>
              <w:left w:val="single" w:sz="4" w:space="0" w:color="auto"/>
              <w:bottom w:val="single" w:sz="4" w:space="0" w:color="auto"/>
              <w:right w:val="single" w:sz="4" w:space="0" w:color="auto"/>
            </w:tcBorders>
            <w:vAlign w:val="center"/>
            <w:hideMark/>
          </w:tcPr>
          <w:p w14:paraId="7E7710B6"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22.50</w:t>
            </w:r>
          </w:p>
        </w:tc>
        <w:tc>
          <w:tcPr>
            <w:tcW w:w="862" w:type="dxa"/>
            <w:tcBorders>
              <w:top w:val="single" w:sz="4" w:space="0" w:color="auto"/>
              <w:left w:val="single" w:sz="4" w:space="0" w:color="auto"/>
              <w:bottom w:val="single" w:sz="4" w:space="0" w:color="auto"/>
              <w:right w:val="single" w:sz="4" w:space="0" w:color="auto"/>
            </w:tcBorders>
            <w:vAlign w:val="center"/>
            <w:hideMark/>
          </w:tcPr>
          <w:p w14:paraId="38C916FF"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12</w:t>
            </w:r>
          </w:p>
        </w:tc>
        <w:tc>
          <w:tcPr>
            <w:tcW w:w="973" w:type="dxa"/>
            <w:tcBorders>
              <w:top w:val="single" w:sz="4" w:space="0" w:color="auto"/>
              <w:left w:val="single" w:sz="4" w:space="0" w:color="auto"/>
              <w:bottom w:val="single" w:sz="4" w:space="0" w:color="auto"/>
              <w:right w:val="single" w:sz="4" w:space="0" w:color="auto"/>
            </w:tcBorders>
            <w:vAlign w:val="center"/>
            <w:hideMark/>
          </w:tcPr>
          <w:p w14:paraId="1583F84D"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30</w:t>
            </w:r>
          </w:p>
        </w:tc>
      </w:tr>
      <w:tr w:rsidR="00921352" w:rsidRPr="005823A7" w14:paraId="196DA5CE" w14:textId="77777777" w:rsidTr="00921352">
        <w:tc>
          <w:tcPr>
            <w:tcW w:w="3012" w:type="dxa"/>
            <w:tcBorders>
              <w:top w:val="single" w:sz="4" w:space="0" w:color="auto"/>
              <w:left w:val="single" w:sz="4" w:space="0" w:color="auto"/>
              <w:bottom w:val="single" w:sz="4" w:space="0" w:color="auto"/>
              <w:right w:val="single" w:sz="4" w:space="0" w:color="auto"/>
            </w:tcBorders>
            <w:hideMark/>
          </w:tcPr>
          <w:p w14:paraId="66CF8D06" w14:textId="77777777" w:rsidR="00921352" w:rsidRPr="005823A7" w:rsidRDefault="00921352" w:rsidP="00E80A08">
            <w:pPr>
              <w:spacing w:line="360" w:lineRule="auto"/>
              <w:rPr>
                <w:rFonts w:ascii="Times New Roman" w:hAnsi="Times New Roman" w:cs="Times New Roman"/>
                <w:sz w:val="24"/>
                <w:szCs w:val="24"/>
              </w:rPr>
            </w:pPr>
            <w:r w:rsidRPr="005823A7">
              <w:rPr>
                <w:rFonts w:ascii="Times New Roman" w:hAnsi="Times New Roman" w:cs="Times New Roman"/>
                <w:sz w:val="24"/>
                <w:szCs w:val="24"/>
              </w:rPr>
              <w:t>Don’t know</w:t>
            </w:r>
          </w:p>
        </w:tc>
        <w:tc>
          <w:tcPr>
            <w:tcW w:w="1009" w:type="dxa"/>
            <w:tcBorders>
              <w:top w:val="single" w:sz="4" w:space="0" w:color="auto"/>
              <w:left w:val="single" w:sz="4" w:space="0" w:color="auto"/>
              <w:bottom w:val="single" w:sz="4" w:space="0" w:color="auto"/>
              <w:right w:val="single" w:sz="4" w:space="0" w:color="auto"/>
            </w:tcBorders>
            <w:vAlign w:val="center"/>
            <w:hideMark/>
          </w:tcPr>
          <w:p w14:paraId="436217F7"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9</w:t>
            </w:r>
          </w:p>
        </w:tc>
        <w:tc>
          <w:tcPr>
            <w:tcW w:w="972" w:type="dxa"/>
            <w:tcBorders>
              <w:top w:val="single" w:sz="4" w:space="0" w:color="auto"/>
              <w:left w:val="single" w:sz="4" w:space="0" w:color="auto"/>
              <w:bottom w:val="single" w:sz="4" w:space="0" w:color="auto"/>
              <w:right w:val="single" w:sz="4" w:space="0" w:color="auto"/>
            </w:tcBorders>
            <w:vAlign w:val="center"/>
            <w:hideMark/>
          </w:tcPr>
          <w:p w14:paraId="253E4815"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4.09</w:t>
            </w:r>
          </w:p>
        </w:tc>
        <w:tc>
          <w:tcPr>
            <w:tcW w:w="853" w:type="dxa"/>
            <w:tcBorders>
              <w:top w:val="single" w:sz="4" w:space="0" w:color="auto"/>
              <w:left w:val="single" w:sz="4" w:space="0" w:color="auto"/>
              <w:bottom w:val="single" w:sz="4" w:space="0" w:color="auto"/>
              <w:right w:val="single" w:sz="4" w:space="0" w:color="auto"/>
            </w:tcBorders>
            <w:vAlign w:val="center"/>
            <w:hideMark/>
          </w:tcPr>
          <w:p w14:paraId="61600FF0"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5</w:t>
            </w:r>
          </w:p>
        </w:tc>
        <w:tc>
          <w:tcPr>
            <w:tcW w:w="975" w:type="dxa"/>
            <w:tcBorders>
              <w:top w:val="single" w:sz="4" w:space="0" w:color="auto"/>
              <w:left w:val="single" w:sz="4" w:space="0" w:color="auto"/>
              <w:bottom w:val="single" w:sz="4" w:space="0" w:color="auto"/>
              <w:right w:val="single" w:sz="4" w:space="0" w:color="auto"/>
            </w:tcBorders>
            <w:vAlign w:val="center"/>
            <w:hideMark/>
          </w:tcPr>
          <w:p w14:paraId="3D5060E0"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12.50</w:t>
            </w:r>
          </w:p>
        </w:tc>
        <w:tc>
          <w:tcPr>
            <w:tcW w:w="862" w:type="dxa"/>
            <w:tcBorders>
              <w:top w:val="single" w:sz="4" w:space="0" w:color="auto"/>
              <w:left w:val="single" w:sz="4" w:space="0" w:color="auto"/>
              <w:bottom w:val="single" w:sz="4" w:space="0" w:color="auto"/>
              <w:right w:val="single" w:sz="4" w:space="0" w:color="auto"/>
            </w:tcBorders>
            <w:vAlign w:val="center"/>
            <w:hideMark/>
          </w:tcPr>
          <w:p w14:paraId="4FA1406C"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4</w:t>
            </w:r>
          </w:p>
        </w:tc>
        <w:tc>
          <w:tcPr>
            <w:tcW w:w="973" w:type="dxa"/>
            <w:tcBorders>
              <w:top w:val="single" w:sz="4" w:space="0" w:color="auto"/>
              <w:left w:val="single" w:sz="4" w:space="0" w:color="auto"/>
              <w:bottom w:val="single" w:sz="4" w:space="0" w:color="auto"/>
              <w:right w:val="single" w:sz="4" w:space="0" w:color="auto"/>
            </w:tcBorders>
            <w:vAlign w:val="center"/>
            <w:hideMark/>
          </w:tcPr>
          <w:p w14:paraId="78316146"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10</w:t>
            </w:r>
          </w:p>
        </w:tc>
      </w:tr>
      <w:tr w:rsidR="00921352" w:rsidRPr="005823A7" w14:paraId="5EA6CCCD" w14:textId="77777777" w:rsidTr="00921352">
        <w:tc>
          <w:tcPr>
            <w:tcW w:w="3012" w:type="dxa"/>
            <w:tcBorders>
              <w:top w:val="single" w:sz="4" w:space="0" w:color="auto"/>
              <w:left w:val="single" w:sz="4" w:space="0" w:color="auto"/>
              <w:bottom w:val="single" w:sz="4" w:space="0" w:color="auto"/>
              <w:right w:val="single" w:sz="4" w:space="0" w:color="auto"/>
            </w:tcBorders>
            <w:hideMark/>
          </w:tcPr>
          <w:p w14:paraId="1E7E8E8E" w14:textId="77777777" w:rsidR="00921352" w:rsidRPr="005823A7" w:rsidRDefault="00921352" w:rsidP="00E80A08">
            <w:pPr>
              <w:spacing w:line="360" w:lineRule="auto"/>
              <w:rPr>
                <w:rFonts w:ascii="Times New Roman" w:hAnsi="Times New Roman" w:cs="Times New Roman"/>
                <w:sz w:val="24"/>
                <w:szCs w:val="24"/>
              </w:rPr>
            </w:pPr>
            <w:r w:rsidRPr="005823A7">
              <w:rPr>
                <w:rFonts w:ascii="Times New Roman" w:hAnsi="Times New Roman" w:cs="Times New Roman"/>
                <w:sz w:val="24"/>
                <w:szCs w:val="24"/>
              </w:rPr>
              <w:t>Total</w:t>
            </w:r>
          </w:p>
        </w:tc>
        <w:tc>
          <w:tcPr>
            <w:tcW w:w="1009" w:type="dxa"/>
            <w:tcBorders>
              <w:top w:val="single" w:sz="4" w:space="0" w:color="auto"/>
              <w:left w:val="single" w:sz="4" w:space="0" w:color="auto"/>
              <w:bottom w:val="single" w:sz="4" w:space="0" w:color="auto"/>
              <w:right w:val="single" w:sz="4" w:space="0" w:color="auto"/>
            </w:tcBorders>
            <w:vAlign w:val="center"/>
            <w:hideMark/>
          </w:tcPr>
          <w:p w14:paraId="782F9255"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220</w:t>
            </w:r>
          </w:p>
        </w:tc>
        <w:tc>
          <w:tcPr>
            <w:tcW w:w="972" w:type="dxa"/>
            <w:tcBorders>
              <w:top w:val="single" w:sz="4" w:space="0" w:color="auto"/>
              <w:left w:val="single" w:sz="4" w:space="0" w:color="auto"/>
              <w:bottom w:val="single" w:sz="4" w:space="0" w:color="auto"/>
              <w:right w:val="single" w:sz="4" w:space="0" w:color="auto"/>
            </w:tcBorders>
            <w:vAlign w:val="center"/>
            <w:hideMark/>
          </w:tcPr>
          <w:p w14:paraId="540DC249"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100</w:t>
            </w:r>
          </w:p>
        </w:tc>
        <w:tc>
          <w:tcPr>
            <w:tcW w:w="853" w:type="dxa"/>
            <w:tcBorders>
              <w:top w:val="single" w:sz="4" w:space="0" w:color="auto"/>
              <w:left w:val="single" w:sz="4" w:space="0" w:color="auto"/>
              <w:bottom w:val="single" w:sz="4" w:space="0" w:color="auto"/>
              <w:right w:val="single" w:sz="4" w:space="0" w:color="auto"/>
            </w:tcBorders>
            <w:vAlign w:val="center"/>
            <w:hideMark/>
          </w:tcPr>
          <w:p w14:paraId="2EE34AA7"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40</w:t>
            </w:r>
          </w:p>
        </w:tc>
        <w:tc>
          <w:tcPr>
            <w:tcW w:w="975" w:type="dxa"/>
            <w:tcBorders>
              <w:top w:val="single" w:sz="4" w:space="0" w:color="auto"/>
              <w:left w:val="single" w:sz="4" w:space="0" w:color="auto"/>
              <w:bottom w:val="single" w:sz="4" w:space="0" w:color="auto"/>
              <w:right w:val="single" w:sz="4" w:space="0" w:color="auto"/>
            </w:tcBorders>
            <w:vAlign w:val="center"/>
            <w:hideMark/>
          </w:tcPr>
          <w:p w14:paraId="60B3C43B"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100</w:t>
            </w:r>
          </w:p>
        </w:tc>
        <w:tc>
          <w:tcPr>
            <w:tcW w:w="862" w:type="dxa"/>
            <w:tcBorders>
              <w:top w:val="single" w:sz="4" w:space="0" w:color="auto"/>
              <w:left w:val="single" w:sz="4" w:space="0" w:color="auto"/>
              <w:bottom w:val="single" w:sz="4" w:space="0" w:color="auto"/>
              <w:right w:val="single" w:sz="4" w:space="0" w:color="auto"/>
            </w:tcBorders>
            <w:vAlign w:val="center"/>
            <w:hideMark/>
          </w:tcPr>
          <w:p w14:paraId="6B7BE3EC"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40</w:t>
            </w:r>
          </w:p>
        </w:tc>
        <w:tc>
          <w:tcPr>
            <w:tcW w:w="973" w:type="dxa"/>
            <w:tcBorders>
              <w:top w:val="single" w:sz="4" w:space="0" w:color="auto"/>
              <w:left w:val="single" w:sz="4" w:space="0" w:color="auto"/>
              <w:bottom w:val="single" w:sz="4" w:space="0" w:color="auto"/>
              <w:right w:val="single" w:sz="4" w:space="0" w:color="auto"/>
            </w:tcBorders>
            <w:vAlign w:val="center"/>
            <w:hideMark/>
          </w:tcPr>
          <w:p w14:paraId="0AE3C26F" w14:textId="77777777" w:rsidR="00921352" w:rsidRPr="005823A7" w:rsidRDefault="00921352" w:rsidP="00E80A08">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100</w:t>
            </w:r>
          </w:p>
        </w:tc>
      </w:tr>
      <w:tr w:rsidR="00921352" w:rsidRPr="005823A7" w14:paraId="1E2A8235" w14:textId="77777777" w:rsidTr="00921352">
        <w:trPr>
          <w:trHeight w:val="431"/>
        </w:trPr>
        <w:tc>
          <w:tcPr>
            <w:tcW w:w="8656" w:type="dxa"/>
            <w:gridSpan w:val="7"/>
            <w:tcBorders>
              <w:top w:val="single" w:sz="4" w:space="0" w:color="auto"/>
              <w:left w:val="single" w:sz="4" w:space="0" w:color="auto"/>
              <w:bottom w:val="single" w:sz="4" w:space="0" w:color="auto"/>
              <w:right w:val="single" w:sz="4" w:space="0" w:color="auto"/>
            </w:tcBorders>
            <w:vAlign w:val="center"/>
            <w:hideMark/>
          </w:tcPr>
          <w:p w14:paraId="400BC251" w14:textId="77777777" w:rsidR="00921352" w:rsidRPr="005823A7" w:rsidRDefault="00921352" w:rsidP="00E80A08">
            <w:pPr>
              <w:widowControl w:val="0"/>
              <w:autoSpaceDE w:val="0"/>
              <w:autoSpaceDN w:val="0"/>
              <w:adjustRightInd w:val="0"/>
              <w:spacing w:line="360" w:lineRule="auto"/>
              <w:rPr>
                <w:rFonts w:ascii="Times New Roman" w:hAnsi="Times New Roman" w:cs="Times New Roman"/>
                <w:b/>
                <w:sz w:val="24"/>
                <w:szCs w:val="24"/>
              </w:rPr>
            </w:pPr>
            <w:r w:rsidRPr="005823A7">
              <w:rPr>
                <w:rFonts w:ascii="Times New Roman" w:hAnsi="Times New Roman" w:cs="Times New Roman"/>
                <w:b/>
                <w:sz w:val="24"/>
                <w:szCs w:val="24"/>
              </w:rPr>
              <w:t>Groundwater ownership</w:t>
            </w:r>
          </w:p>
        </w:tc>
      </w:tr>
      <w:tr w:rsidR="00921352" w:rsidRPr="005823A7" w14:paraId="564C84F3" w14:textId="77777777" w:rsidTr="00921352">
        <w:tc>
          <w:tcPr>
            <w:tcW w:w="3012" w:type="dxa"/>
            <w:tcBorders>
              <w:top w:val="single" w:sz="4" w:space="0" w:color="auto"/>
              <w:left w:val="single" w:sz="4" w:space="0" w:color="auto"/>
              <w:bottom w:val="single" w:sz="4" w:space="0" w:color="auto"/>
              <w:right w:val="single" w:sz="4" w:space="0" w:color="auto"/>
            </w:tcBorders>
            <w:hideMark/>
          </w:tcPr>
          <w:p w14:paraId="5FD1EA7E" w14:textId="77777777" w:rsidR="00921352" w:rsidRPr="005823A7" w:rsidRDefault="00921352" w:rsidP="00E80A08">
            <w:pPr>
              <w:spacing w:line="360" w:lineRule="auto"/>
              <w:rPr>
                <w:rFonts w:ascii="Times New Roman" w:hAnsi="Times New Roman" w:cs="Times New Roman"/>
                <w:sz w:val="24"/>
                <w:szCs w:val="24"/>
              </w:rPr>
            </w:pPr>
            <w:r w:rsidRPr="005823A7">
              <w:rPr>
                <w:rFonts w:ascii="Times New Roman" w:hAnsi="Times New Roman" w:cs="Times New Roman"/>
                <w:sz w:val="24"/>
                <w:szCs w:val="24"/>
              </w:rPr>
              <w:t>God</w:t>
            </w:r>
          </w:p>
        </w:tc>
        <w:tc>
          <w:tcPr>
            <w:tcW w:w="1009" w:type="dxa"/>
            <w:tcBorders>
              <w:top w:val="single" w:sz="4" w:space="0" w:color="auto"/>
              <w:left w:val="single" w:sz="4" w:space="0" w:color="auto"/>
              <w:bottom w:val="single" w:sz="4" w:space="0" w:color="auto"/>
              <w:right w:val="single" w:sz="4" w:space="0" w:color="auto"/>
            </w:tcBorders>
            <w:vAlign w:val="center"/>
            <w:hideMark/>
          </w:tcPr>
          <w:p w14:paraId="131DC94E" w14:textId="77777777" w:rsidR="00921352" w:rsidRPr="005823A7" w:rsidRDefault="00921352"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51</w:t>
            </w:r>
          </w:p>
        </w:tc>
        <w:tc>
          <w:tcPr>
            <w:tcW w:w="972" w:type="dxa"/>
            <w:tcBorders>
              <w:top w:val="single" w:sz="4" w:space="0" w:color="auto"/>
              <w:left w:val="single" w:sz="4" w:space="0" w:color="auto"/>
              <w:bottom w:val="single" w:sz="4" w:space="0" w:color="auto"/>
              <w:right w:val="single" w:sz="4" w:space="0" w:color="auto"/>
            </w:tcBorders>
            <w:vAlign w:val="center"/>
            <w:hideMark/>
          </w:tcPr>
          <w:p w14:paraId="78C06D87" w14:textId="77777777" w:rsidR="00921352" w:rsidRPr="005823A7" w:rsidRDefault="00921352"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23.18</w:t>
            </w:r>
          </w:p>
        </w:tc>
        <w:tc>
          <w:tcPr>
            <w:tcW w:w="853" w:type="dxa"/>
            <w:tcBorders>
              <w:top w:val="single" w:sz="4" w:space="0" w:color="auto"/>
              <w:left w:val="single" w:sz="4" w:space="0" w:color="auto"/>
              <w:bottom w:val="single" w:sz="4" w:space="0" w:color="auto"/>
              <w:right w:val="single" w:sz="4" w:space="0" w:color="auto"/>
            </w:tcBorders>
            <w:vAlign w:val="center"/>
            <w:hideMark/>
          </w:tcPr>
          <w:p w14:paraId="0936DD17" w14:textId="77777777" w:rsidR="00921352" w:rsidRPr="005823A7" w:rsidRDefault="00921352"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22</w:t>
            </w:r>
          </w:p>
        </w:tc>
        <w:tc>
          <w:tcPr>
            <w:tcW w:w="975" w:type="dxa"/>
            <w:tcBorders>
              <w:top w:val="single" w:sz="4" w:space="0" w:color="auto"/>
              <w:left w:val="single" w:sz="4" w:space="0" w:color="auto"/>
              <w:bottom w:val="single" w:sz="4" w:space="0" w:color="auto"/>
              <w:right w:val="single" w:sz="4" w:space="0" w:color="auto"/>
            </w:tcBorders>
            <w:vAlign w:val="center"/>
            <w:hideMark/>
          </w:tcPr>
          <w:p w14:paraId="18CC7760" w14:textId="77777777" w:rsidR="00921352" w:rsidRPr="005823A7" w:rsidRDefault="00921352"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55</w:t>
            </w:r>
          </w:p>
        </w:tc>
        <w:tc>
          <w:tcPr>
            <w:tcW w:w="862" w:type="dxa"/>
            <w:tcBorders>
              <w:top w:val="single" w:sz="4" w:space="0" w:color="auto"/>
              <w:left w:val="single" w:sz="4" w:space="0" w:color="auto"/>
              <w:bottom w:val="single" w:sz="4" w:space="0" w:color="auto"/>
              <w:right w:val="single" w:sz="4" w:space="0" w:color="auto"/>
            </w:tcBorders>
            <w:vAlign w:val="center"/>
            <w:hideMark/>
          </w:tcPr>
          <w:p w14:paraId="770C644E" w14:textId="77777777" w:rsidR="00921352" w:rsidRPr="005823A7" w:rsidRDefault="00921352"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13</w:t>
            </w:r>
          </w:p>
        </w:tc>
        <w:tc>
          <w:tcPr>
            <w:tcW w:w="973" w:type="dxa"/>
            <w:tcBorders>
              <w:top w:val="single" w:sz="4" w:space="0" w:color="auto"/>
              <w:left w:val="single" w:sz="4" w:space="0" w:color="auto"/>
              <w:bottom w:val="single" w:sz="4" w:space="0" w:color="auto"/>
              <w:right w:val="single" w:sz="4" w:space="0" w:color="auto"/>
            </w:tcBorders>
            <w:vAlign w:val="center"/>
            <w:hideMark/>
          </w:tcPr>
          <w:p w14:paraId="3170FAA6" w14:textId="77777777" w:rsidR="00921352" w:rsidRPr="005823A7" w:rsidRDefault="00921352"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32.50</w:t>
            </w:r>
          </w:p>
        </w:tc>
      </w:tr>
      <w:tr w:rsidR="00921352" w:rsidRPr="005823A7" w14:paraId="3804A6D4" w14:textId="77777777" w:rsidTr="00921352">
        <w:tc>
          <w:tcPr>
            <w:tcW w:w="3012" w:type="dxa"/>
            <w:tcBorders>
              <w:top w:val="single" w:sz="4" w:space="0" w:color="auto"/>
              <w:left w:val="single" w:sz="4" w:space="0" w:color="auto"/>
              <w:bottom w:val="single" w:sz="4" w:space="0" w:color="auto"/>
              <w:right w:val="single" w:sz="4" w:space="0" w:color="auto"/>
            </w:tcBorders>
            <w:hideMark/>
          </w:tcPr>
          <w:p w14:paraId="50954587" w14:textId="77777777" w:rsidR="00921352" w:rsidRPr="005823A7" w:rsidRDefault="00921352" w:rsidP="00E80A08">
            <w:pPr>
              <w:spacing w:line="360" w:lineRule="auto"/>
              <w:rPr>
                <w:rFonts w:ascii="Times New Roman" w:hAnsi="Times New Roman" w:cs="Times New Roman"/>
                <w:sz w:val="24"/>
                <w:szCs w:val="24"/>
              </w:rPr>
            </w:pPr>
            <w:r w:rsidRPr="005823A7">
              <w:rPr>
                <w:rFonts w:ascii="Times New Roman" w:hAnsi="Times New Roman" w:cs="Times New Roman"/>
                <w:sz w:val="24"/>
                <w:szCs w:val="24"/>
              </w:rPr>
              <w:t>State</w:t>
            </w:r>
          </w:p>
        </w:tc>
        <w:tc>
          <w:tcPr>
            <w:tcW w:w="1009" w:type="dxa"/>
            <w:tcBorders>
              <w:top w:val="single" w:sz="4" w:space="0" w:color="auto"/>
              <w:left w:val="single" w:sz="4" w:space="0" w:color="auto"/>
              <w:bottom w:val="single" w:sz="4" w:space="0" w:color="auto"/>
              <w:right w:val="single" w:sz="4" w:space="0" w:color="auto"/>
            </w:tcBorders>
            <w:vAlign w:val="center"/>
            <w:hideMark/>
          </w:tcPr>
          <w:p w14:paraId="0999316D" w14:textId="77777777" w:rsidR="00921352" w:rsidRPr="005823A7" w:rsidRDefault="00921352"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15</w:t>
            </w:r>
          </w:p>
        </w:tc>
        <w:tc>
          <w:tcPr>
            <w:tcW w:w="972" w:type="dxa"/>
            <w:tcBorders>
              <w:top w:val="single" w:sz="4" w:space="0" w:color="auto"/>
              <w:left w:val="single" w:sz="4" w:space="0" w:color="auto"/>
              <w:bottom w:val="single" w:sz="4" w:space="0" w:color="auto"/>
              <w:right w:val="single" w:sz="4" w:space="0" w:color="auto"/>
            </w:tcBorders>
            <w:vAlign w:val="center"/>
            <w:hideMark/>
          </w:tcPr>
          <w:p w14:paraId="5509CCDB" w14:textId="77777777" w:rsidR="00921352" w:rsidRPr="005823A7" w:rsidRDefault="00921352"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6.82</w:t>
            </w:r>
          </w:p>
        </w:tc>
        <w:tc>
          <w:tcPr>
            <w:tcW w:w="853" w:type="dxa"/>
            <w:tcBorders>
              <w:top w:val="single" w:sz="4" w:space="0" w:color="auto"/>
              <w:left w:val="single" w:sz="4" w:space="0" w:color="auto"/>
              <w:bottom w:val="single" w:sz="4" w:space="0" w:color="auto"/>
              <w:right w:val="single" w:sz="4" w:space="0" w:color="auto"/>
            </w:tcBorders>
            <w:vAlign w:val="center"/>
            <w:hideMark/>
          </w:tcPr>
          <w:p w14:paraId="7404D87A" w14:textId="77777777" w:rsidR="00921352" w:rsidRPr="005823A7" w:rsidRDefault="00921352"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2</w:t>
            </w:r>
          </w:p>
        </w:tc>
        <w:tc>
          <w:tcPr>
            <w:tcW w:w="975" w:type="dxa"/>
            <w:tcBorders>
              <w:top w:val="single" w:sz="4" w:space="0" w:color="auto"/>
              <w:left w:val="single" w:sz="4" w:space="0" w:color="auto"/>
              <w:bottom w:val="single" w:sz="4" w:space="0" w:color="auto"/>
              <w:right w:val="single" w:sz="4" w:space="0" w:color="auto"/>
            </w:tcBorders>
            <w:vAlign w:val="center"/>
            <w:hideMark/>
          </w:tcPr>
          <w:p w14:paraId="78F1C83D" w14:textId="77777777" w:rsidR="00921352" w:rsidRPr="005823A7" w:rsidRDefault="00921352"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5</w:t>
            </w:r>
          </w:p>
        </w:tc>
        <w:tc>
          <w:tcPr>
            <w:tcW w:w="862" w:type="dxa"/>
            <w:tcBorders>
              <w:top w:val="single" w:sz="4" w:space="0" w:color="auto"/>
              <w:left w:val="single" w:sz="4" w:space="0" w:color="auto"/>
              <w:bottom w:val="single" w:sz="4" w:space="0" w:color="auto"/>
              <w:right w:val="single" w:sz="4" w:space="0" w:color="auto"/>
            </w:tcBorders>
            <w:vAlign w:val="center"/>
            <w:hideMark/>
          </w:tcPr>
          <w:p w14:paraId="6E9BB92E" w14:textId="77777777" w:rsidR="00921352" w:rsidRPr="005823A7" w:rsidRDefault="00921352"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4</w:t>
            </w:r>
          </w:p>
        </w:tc>
        <w:tc>
          <w:tcPr>
            <w:tcW w:w="973" w:type="dxa"/>
            <w:tcBorders>
              <w:top w:val="single" w:sz="4" w:space="0" w:color="auto"/>
              <w:left w:val="single" w:sz="4" w:space="0" w:color="auto"/>
              <w:bottom w:val="single" w:sz="4" w:space="0" w:color="auto"/>
              <w:right w:val="single" w:sz="4" w:space="0" w:color="auto"/>
            </w:tcBorders>
            <w:vAlign w:val="center"/>
            <w:hideMark/>
          </w:tcPr>
          <w:p w14:paraId="671BFEA3" w14:textId="77777777" w:rsidR="00921352" w:rsidRPr="005823A7" w:rsidRDefault="00921352"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10</w:t>
            </w:r>
          </w:p>
        </w:tc>
      </w:tr>
      <w:tr w:rsidR="00921352" w:rsidRPr="005823A7" w14:paraId="789E14AE" w14:textId="77777777" w:rsidTr="00921352">
        <w:tc>
          <w:tcPr>
            <w:tcW w:w="3012" w:type="dxa"/>
            <w:tcBorders>
              <w:top w:val="single" w:sz="4" w:space="0" w:color="auto"/>
              <w:left w:val="single" w:sz="4" w:space="0" w:color="auto"/>
              <w:bottom w:val="single" w:sz="4" w:space="0" w:color="auto"/>
              <w:right w:val="single" w:sz="4" w:space="0" w:color="auto"/>
            </w:tcBorders>
            <w:hideMark/>
          </w:tcPr>
          <w:p w14:paraId="2580F746" w14:textId="77777777" w:rsidR="00921352" w:rsidRPr="005823A7" w:rsidRDefault="00921352" w:rsidP="00E80A08">
            <w:pPr>
              <w:spacing w:line="360" w:lineRule="auto"/>
              <w:rPr>
                <w:rFonts w:ascii="Times New Roman" w:hAnsi="Times New Roman" w:cs="Times New Roman"/>
                <w:sz w:val="24"/>
                <w:szCs w:val="24"/>
              </w:rPr>
            </w:pPr>
            <w:r w:rsidRPr="005823A7">
              <w:rPr>
                <w:rFonts w:ascii="Times New Roman" w:hAnsi="Times New Roman" w:cs="Times New Roman"/>
                <w:sz w:val="24"/>
                <w:szCs w:val="24"/>
              </w:rPr>
              <w:t>Public property</w:t>
            </w:r>
          </w:p>
        </w:tc>
        <w:tc>
          <w:tcPr>
            <w:tcW w:w="1009" w:type="dxa"/>
            <w:tcBorders>
              <w:top w:val="single" w:sz="4" w:space="0" w:color="auto"/>
              <w:left w:val="single" w:sz="4" w:space="0" w:color="auto"/>
              <w:bottom w:val="single" w:sz="4" w:space="0" w:color="auto"/>
              <w:right w:val="single" w:sz="4" w:space="0" w:color="auto"/>
            </w:tcBorders>
            <w:vAlign w:val="center"/>
            <w:hideMark/>
          </w:tcPr>
          <w:p w14:paraId="5F9AED41" w14:textId="77777777" w:rsidR="00921352" w:rsidRPr="005823A7" w:rsidRDefault="00921352"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58</w:t>
            </w:r>
          </w:p>
        </w:tc>
        <w:tc>
          <w:tcPr>
            <w:tcW w:w="972" w:type="dxa"/>
            <w:tcBorders>
              <w:top w:val="single" w:sz="4" w:space="0" w:color="auto"/>
              <w:left w:val="single" w:sz="4" w:space="0" w:color="auto"/>
              <w:bottom w:val="single" w:sz="4" w:space="0" w:color="auto"/>
              <w:right w:val="single" w:sz="4" w:space="0" w:color="auto"/>
            </w:tcBorders>
            <w:vAlign w:val="center"/>
            <w:hideMark/>
          </w:tcPr>
          <w:p w14:paraId="558CB2A0" w14:textId="77777777" w:rsidR="00921352" w:rsidRPr="005823A7" w:rsidRDefault="00921352"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26.36</w:t>
            </w:r>
          </w:p>
        </w:tc>
        <w:tc>
          <w:tcPr>
            <w:tcW w:w="853" w:type="dxa"/>
            <w:tcBorders>
              <w:top w:val="single" w:sz="4" w:space="0" w:color="auto"/>
              <w:left w:val="single" w:sz="4" w:space="0" w:color="auto"/>
              <w:bottom w:val="single" w:sz="4" w:space="0" w:color="auto"/>
              <w:right w:val="single" w:sz="4" w:space="0" w:color="auto"/>
            </w:tcBorders>
            <w:vAlign w:val="center"/>
            <w:hideMark/>
          </w:tcPr>
          <w:p w14:paraId="11AD8011" w14:textId="77777777" w:rsidR="00921352" w:rsidRPr="005823A7" w:rsidRDefault="00921352"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6</w:t>
            </w:r>
          </w:p>
        </w:tc>
        <w:tc>
          <w:tcPr>
            <w:tcW w:w="975" w:type="dxa"/>
            <w:tcBorders>
              <w:top w:val="single" w:sz="4" w:space="0" w:color="auto"/>
              <w:left w:val="single" w:sz="4" w:space="0" w:color="auto"/>
              <w:bottom w:val="single" w:sz="4" w:space="0" w:color="auto"/>
              <w:right w:val="single" w:sz="4" w:space="0" w:color="auto"/>
            </w:tcBorders>
            <w:vAlign w:val="center"/>
            <w:hideMark/>
          </w:tcPr>
          <w:p w14:paraId="4816BAC8" w14:textId="77777777" w:rsidR="00921352" w:rsidRPr="005823A7" w:rsidRDefault="00921352"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15</w:t>
            </w:r>
          </w:p>
        </w:tc>
        <w:tc>
          <w:tcPr>
            <w:tcW w:w="862" w:type="dxa"/>
            <w:tcBorders>
              <w:top w:val="single" w:sz="4" w:space="0" w:color="auto"/>
              <w:left w:val="single" w:sz="4" w:space="0" w:color="auto"/>
              <w:bottom w:val="single" w:sz="4" w:space="0" w:color="auto"/>
              <w:right w:val="single" w:sz="4" w:space="0" w:color="auto"/>
            </w:tcBorders>
            <w:vAlign w:val="center"/>
            <w:hideMark/>
          </w:tcPr>
          <w:p w14:paraId="2B0863BF" w14:textId="77777777" w:rsidR="00921352" w:rsidRPr="005823A7" w:rsidRDefault="00921352"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21</w:t>
            </w:r>
          </w:p>
        </w:tc>
        <w:tc>
          <w:tcPr>
            <w:tcW w:w="973" w:type="dxa"/>
            <w:tcBorders>
              <w:top w:val="single" w:sz="4" w:space="0" w:color="auto"/>
              <w:left w:val="single" w:sz="4" w:space="0" w:color="auto"/>
              <w:bottom w:val="single" w:sz="4" w:space="0" w:color="auto"/>
              <w:right w:val="single" w:sz="4" w:space="0" w:color="auto"/>
            </w:tcBorders>
            <w:vAlign w:val="center"/>
            <w:hideMark/>
          </w:tcPr>
          <w:p w14:paraId="7BE76F19" w14:textId="77777777" w:rsidR="00921352" w:rsidRPr="005823A7" w:rsidRDefault="00921352"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52.50</w:t>
            </w:r>
          </w:p>
        </w:tc>
      </w:tr>
      <w:tr w:rsidR="00921352" w:rsidRPr="005823A7" w14:paraId="2D0402F2" w14:textId="77777777" w:rsidTr="00921352">
        <w:tc>
          <w:tcPr>
            <w:tcW w:w="3012" w:type="dxa"/>
            <w:tcBorders>
              <w:top w:val="single" w:sz="4" w:space="0" w:color="auto"/>
              <w:left w:val="single" w:sz="4" w:space="0" w:color="auto"/>
              <w:bottom w:val="single" w:sz="4" w:space="0" w:color="auto"/>
              <w:right w:val="single" w:sz="4" w:space="0" w:color="auto"/>
            </w:tcBorders>
            <w:hideMark/>
          </w:tcPr>
          <w:p w14:paraId="638C4820" w14:textId="77777777" w:rsidR="00921352" w:rsidRPr="005823A7" w:rsidRDefault="00921352" w:rsidP="00E80A08">
            <w:pPr>
              <w:spacing w:line="360" w:lineRule="auto"/>
              <w:rPr>
                <w:rFonts w:ascii="Times New Roman" w:hAnsi="Times New Roman" w:cs="Times New Roman"/>
                <w:sz w:val="24"/>
                <w:szCs w:val="24"/>
              </w:rPr>
            </w:pPr>
            <w:r w:rsidRPr="005823A7">
              <w:rPr>
                <w:rFonts w:ascii="Times New Roman" w:hAnsi="Times New Roman" w:cs="Times New Roman"/>
                <w:sz w:val="24"/>
                <w:szCs w:val="24"/>
              </w:rPr>
              <w:t>Private property</w:t>
            </w:r>
          </w:p>
        </w:tc>
        <w:tc>
          <w:tcPr>
            <w:tcW w:w="1009" w:type="dxa"/>
            <w:tcBorders>
              <w:top w:val="single" w:sz="4" w:space="0" w:color="auto"/>
              <w:left w:val="single" w:sz="4" w:space="0" w:color="auto"/>
              <w:bottom w:val="single" w:sz="4" w:space="0" w:color="auto"/>
              <w:right w:val="single" w:sz="4" w:space="0" w:color="auto"/>
            </w:tcBorders>
            <w:vAlign w:val="center"/>
            <w:hideMark/>
          </w:tcPr>
          <w:p w14:paraId="17B7E9A4" w14:textId="77777777" w:rsidR="00921352" w:rsidRPr="005823A7" w:rsidRDefault="00921352"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96</w:t>
            </w:r>
          </w:p>
        </w:tc>
        <w:tc>
          <w:tcPr>
            <w:tcW w:w="972" w:type="dxa"/>
            <w:tcBorders>
              <w:top w:val="single" w:sz="4" w:space="0" w:color="auto"/>
              <w:left w:val="single" w:sz="4" w:space="0" w:color="auto"/>
              <w:bottom w:val="single" w:sz="4" w:space="0" w:color="auto"/>
              <w:right w:val="single" w:sz="4" w:space="0" w:color="auto"/>
            </w:tcBorders>
            <w:vAlign w:val="center"/>
            <w:hideMark/>
          </w:tcPr>
          <w:p w14:paraId="058AEF48" w14:textId="77777777" w:rsidR="00921352" w:rsidRPr="005823A7" w:rsidRDefault="00921352"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43.64</w:t>
            </w:r>
          </w:p>
        </w:tc>
        <w:tc>
          <w:tcPr>
            <w:tcW w:w="853" w:type="dxa"/>
            <w:tcBorders>
              <w:top w:val="single" w:sz="4" w:space="0" w:color="auto"/>
              <w:left w:val="single" w:sz="4" w:space="0" w:color="auto"/>
              <w:bottom w:val="single" w:sz="4" w:space="0" w:color="auto"/>
              <w:right w:val="single" w:sz="4" w:space="0" w:color="auto"/>
            </w:tcBorders>
            <w:vAlign w:val="center"/>
            <w:hideMark/>
          </w:tcPr>
          <w:p w14:paraId="3E0A4132" w14:textId="77777777" w:rsidR="00921352" w:rsidRPr="005823A7" w:rsidRDefault="00921352"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10</w:t>
            </w:r>
          </w:p>
        </w:tc>
        <w:tc>
          <w:tcPr>
            <w:tcW w:w="975" w:type="dxa"/>
            <w:tcBorders>
              <w:top w:val="single" w:sz="4" w:space="0" w:color="auto"/>
              <w:left w:val="single" w:sz="4" w:space="0" w:color="auto"/>
              <w:bottom w:val="single" w:sz="4" w:space="0" w:color="auto"/>
              <w:right w:val="single" w:sz="4" w:space="0" w:color="auto"/>
            </w:tcBorders>
            <w:vAlign w:val="center"/>
            <w:hideMark/>
          </w:tcPr>
          <w:p w14:paraId="2A74032B" w14:textId="77777777" w:rsidR="00921352" w:rsidRPr="005823A7" w:rsidRDefault="00921352"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25.00</w:t>
            </w:r>
          </w:p>
        </w:tc>
        <w:tc>
          <w:tcPr>
            <w:tcW w:w="862" w:type="dxa"/>
            <w:tcBorders>
              <w:top w:val="single" w:sz="4" w:space="0" w:color="auto"/>
              <w:left w:val="single" w:sz="4" w:space="0" w:color="auto"/>
              <w:bottom w:val="single" w:sz="4" w:space="0" w:color="auto"/>
              <w:right w:val="single" w:sz="4" w:space="0" w:color="auto"/>
            </w:tcBorders>
            <w:vAlign w:val="center"/>
            <w:hideMark/>
          </w:tcPr>
          <w:p w14:paraId="3FAA4098" w14:textId="77777777" w:rsidR="00921352" w:rsidRPr="005823A7" w:rsidRDefault="00921352"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2</w:t>
            </w:r>
          </w:p>
        </w:tc>
        <w:tc>
          <w:tcPr>
            <w:tcW w:w="973" w:type="dxa"/>
            <w:tcBorders>
              <w:top w:val="single" w:sz="4" w:space="0" w:color="auto"/>
              <w:left w:val="single" w:sz="4" w:space="0" w:color="auto"/>
              <w:bottom w:val="single" w:sz="4" w:space="0" w:color="auto"/>
              <w:right w:val="single" w:sz="4" w:space="0" w:color="auto"/>
            </w:tcBorders>
            <w:vAlign w:val="center"/>
            <w:hideMark/>
          </w:tcPr>
          <w:p w14:paraId="017CD500" w14:textId="77777777" w:rsidR="00921352" w:rsidRPr="005823A7" w:rsidRDefault="00921352"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5.00</w:t>
            </w:r>
          </w:p>
        </w:tc>
      </w:tr>
      <w:tr w:rsidR="00921352" w:rsidRPr="005823A7" w14:paraId="60463878" w14:textId="77777777" w:rsidTr="00921352">
        <w:tc>
          <w:tcPr>
            <w:tcW w:w="3012" w:type="dxa"/>
            <w:tcBorders>
              <w:top w:val="single" w:sz="4" w:space="0" w:color="auto"/>
              <w:left w:val="single" w:sz="4" w:space="0" w:color="auto"/>
              <w:bottom w:val="single" w:sz="4" w:space="0" w:color="auto"/>
              <w:right w:val="single" w:sz="4" w:space="0" w:color="auto"/>
            </w:tcBorders>
            <w:hideMark/>
          </w:tcPr>
          <w:p w14:paraId="0DF1BC42" w14:textId="77777777" w:rsidR="00921352" w:rsidRPr="005823A7" w:rsidRDefault="00921352" w:rsidP="00E80A08">
            <w:pPr>
              <w:spacing w:line="360" w:lineRule="auto"/>
              <w:rPr>
                <w:rFonts w:ascii="Times New Roman" w:hAnsi="Times New Roman" w:cs="Times New Roman"/>
                <w:sz w:val="24"/>
                <w:szCs w:val="24"/>
              </w:rPr>
            </w:pPr>
            <w:r w:rsidRPr="005823A7">
              <w:rPr>
                <w:rFonts w:ascii="Times New Roman" w:hAnsi="Times New Roman" w:cs="Times New Roman"/>
                <w:sz w:val="24"/>
                <w:szCs w:val="24"/>
              </w:rPr>
              <w:t>Total</w:t>
            </w:r>
          </w:p>
        </w:tc>
        <w:tc>
          <w:tcPr>
            <w:tcW w:w="1009" w:type="dxa"/>
            <w:tcBorders>
              <w:top w:val="single" w:sz="4" w:space="0" w:color="auto"/>
              <w:left w:val="single" w:sz="4" w:space="0" w:color="auto"/>
              <w:bottom w:val="single" w:sz="4" w:space="0" w:color="auto"/>
              <w:right w:val="single" w:sz="4" w:space="0" w:color="auto"/>
            </w:tcBorders>
            <w:vAlign w:val="center"/>
            <w:hideMark/>
          </w:tcPr>
          <w:p w14:paraId="0DCFF3C1" w14:textId="77777777" w:rsidR="00921352" w:rsidRPr="005823A7" w:rsidRDefault="00921352"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220</w:t>
            </w:r>
          </w:p>
        </w:tc>
        <w:tc>
          <w:tcPr>
            <w:tcW w:w="972" w:type="dxa"/>
            <w:tcBorders>
              <w:top w:val="single" w:sz="4" w:space="0" w:color="auto"/>
              <w:left w:val="single" w:sz="4" w:space="0" w:color="auto"/>
              <w:bottom w:val="single" w:sz="4" w:space="0" w:color="auto"/>
              <w:right w:val="single" w:sz="4" w:space="0" w:color="auto"/>
            </w:tcBorders>
            <w:vAlign w:val="center"/>
            <w:hideMark/>
          </w:tcPr>
          <w:p w14:paraId="7DC6DEAE" w14:textId="77777777" w:rsidR="00921352" w:rsidRPr="005823A7" w:rsidRDefault="00921352"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100</w:t>
            </w:r>
          </w:p>
        </w:tc>
        <w:tc>
          <w:tcPr>
            <w:tcW w:w="853" w:type="dxa"/>
            <w:tcBorders>
              <w:top w:val="single" w:sz="4" w:space="0" w:color="auto"/>
              <w:left w:val="single" w:sz="4" w:space="0" w:color="auto"/>
              <w:bottom w:val="single" w:sz="4" w:space="0" w:color="auto"/>
              <w:right w:val="single" w:sz="4" w:space="0" w:color="auto"/>
            </w:tcBorders>
            <w:vAlign w:val="center"/>
            <w:hideMark/>
          </w:tcPr>
          <w:p w14:paraId="5159BE2C" w14:textId="77777777" w:rsidR="00921352" w:rsidRPr="005823A7" w:rsidRDefault="007B556D"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50</w:t>
            </w:r>
          </w:p>
        </w:tc>
        <w:tc>
          <w:tcPr>
            <w:tcW w:w="975" w:type="dxa"/>
            <w:tcBorders>
              <w:top w:val="single" w:sz="4" w:space="0" w:color="auto"/>
              <w:left w:val="single" w:sz="4" w:space="0" w:color="auto"/>
              <w:bottom w:val="single" w:sz="4" w:space="0" w:color="auto"/>
              <w:right w:val="single" w:sz="4" w:space="0" w:color="auto"/>
            </w:tcBorders>
            <w:vAlign w:val="center"/>
            <w:hideMark/>
          </w:tcPr>
          <w:p w14:paraId="7AE17114" w14:textId="77777777" w:rsidR="00921352" w:rsidRPr="005823A7" w:rsidRDefault="00921352"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100</w:t>
            </w:r>
          </w:p>
        </w:tc>
        <w:tc>
          <w:tcPr>
            <w:tcW w:w="862" w:type="dxa"/>
            <w:tcBorders>
              <w:top w:val="single" w:sz="4" w:space="0" w:color="auto"/>
              <w:left w:val="single" w:sz="4" w:space="0" w:color="auto"/>
              <w:bottom w:val="single" w:sz="4" w:space="0" w:color="auto"/>
              <w:right w:val="single" w:sz="4" w:space="0" w:color="auto"/>
            </w:tcBorders>
            <w:vAlign w:val="center"/>
            <w:hideMark/>
          </w:tcPr>
          <w:p w14:paraId="35BBF6F7" w14:textId="77777777" w:rsidR="00921352" w:rsidRPr="005823A7" w:rsidRDefault="007B556D"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50</w:t>
            </w:r>
          </w:p>
        </w:tc>
        <w:tc>
          <w:tcPr>
            <w:tcW w:w="973" w:type="dxa"/>
            <w:tcBorders>
              <w:top w:val="single" w:sz="4" w:space="0" w:color="auto"/>
              <w:left w:val="single" w:sz="4" w:space="0" w:color="auto"/>
              <w:bottom w:val="single" w:sz="4" w:space="0" w:color="auto"/>
              <w:right w:val="single" w:sz="4" w:space="0" w:color="auto"/>
            </w:tcBorders>
            <w:vAlign w:val="center"/>
            <w:hideMark/>
          </w:tcPr>
          <w:p w14:paraId="06FE2E63" w14:textId="77777777" w:rsidR="00921352" w:rsidRPr="005823A7" w:rsidRDefault="00921352" w:rsidP="00E80A08">
            <w:pPr>
              <w:widowControl w:val="0"/>
              <w:autoSpaceDE w:val="0"/>
              <w:autoSpaceDN w:val="0"/>
              <w:adjustRightInd w:val="0"/>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100</w:t>
            </w:r>
          </w:p>
        </w:tc>
      </w:tr>
    </w:tbl>
    <w:p w14:paraId="00F14FC1" w14:textId="77777777" w:rsidR="00921352" w:rsidRPr="005823A7" w:rsidRDefault="00921352" w:rsidP="00921352">
      <w:pPr>
        <w:spacing w:after="0" w:line="360" w:lineRule="auto"/>
        <w:jc w:val="right"/>
        <w:rPr>
          <w:rFonts w:ascii="Times New Roman" w:hAnsi="Times New Roman" w:cs="Times New Roman"/>
          <w:sz w:val="24"/>
          <w:szCs w:val="24"/>
          <w:lang w:val="en-US"/>
        </w:rPr>
      </w:pPr>
      <w:r w:rsidRPr="005823A7">
        <w:rPr>
          <w:rFonts w:ascii="Times New Roman" w:hAnsi="Times New Roman" w:cs="Times New Roman"/>
          <w:sz w:val="24"/>
          <w:szCs w:val="24"/>
        </w:rPr>
        <w:t>Source: Field survey, 2023</w:t>
      </w:r>
    </w:p>
    <w:p w14:paraId="448D51C4" w14:textId="77777777" w:rsidR="00921352" w:rsidRPr="005823A7" w:rsidRDefault="00921352" w:rsidP="00110FD5">
      <w:pPr>
        <w:spacing w:before="120" w:after="120" w:line="360" w:lineRule="auto"/>
        <w:jc w:val="both"/>
        <w:rPr>
          <w:rFonts w:ascii="Times New Roman" w:eastAsia="Times New Roman" w:hAnsi="Times New Roman" w:cs="Times New Roman"/>
          <w:b/>
          <w:sz w:val="24"/>
          <w:szCs w:val="24"/>
          <w:lang w:eastAsia="en-GB"/>
        </w:rPr>
      </w:pPr>
      <w:r w:rsidRPr="005823A7">
        <w:rPr>
          <w:rFonts w:ascii="Times New Roman" w:eastAsia="Times New Roman" w:hAnsi="Times New Roman" w:cs="Times New Roman"/>
          <w:b/>
          <w:sz w:val="24"/>
          <w:szCs w:val="24"/>
          <w:lang w:eastAsia="en-GB"/>
        </w:rPr>
        <w:t xml:space="preserve">Perception of the Respondents about Existing and Future Govt. Legislations </w:t>
      </w:r>
    </w:p>
    <w:p w14:paraId="7C869DF3" w14:textId="1B88B99B" w:rsidR="00983731" w:rsidRPr="005823A7" w:rsidRDefault="00CA0B0D" w:rsidP="00983731">
      <w:pPr>
        <w:spacing w:before="120" w:after="0" w:line="360" w:lineRule="auto"/>
        <w:jc w:val="both"/>
        <w:rPr>
          <w:rFonts w:ascii="Times New Roman" w:eastAsia="Times New Roman" w:hAnsi="Times New Roman" w:cs="Times New Roman"/>
          <w:sz w:val="24"/>
          <w:szCs w:val="24"/>
          <w:lang w:eastAsia="en-GB"/>
        </w:rPr>
      </w:pPr>
      <w:r w:rsidRPr="005823A7">
        <w:rPr>
          <w:rFonts w:ascii="Times New Roman" w:eastAsia="Times New Roman" w:hAnsi="Times New Roman" w:cs="Times New Roman"/>
          <w:sz w:val="24"/>
          <w:szCs w:val="24"/>
          <w:lang w:eastAsia="en-GB"/>
        </w:rPr>
        <w:t xml:space="preserve">Figure 04 indicates that although the solarisation of tubewells is perceived as a feasible and dependable approach by 65% of Solar Tubewell users and 50% of Electric and Solar Tubewell users, it directly exacerbates groundwater depletion. Solar tubewells, regarded as more dependable by 75% of their users and 60% of users of both electric and solar tubewells, can function with fewer financial limitations than electric tubewells. This results in over-extraction, especially in regions experiencing declining groundwater levels. Moreover, 87.5% of users of Electric and Solar Tubewells are unaware of any governmental policy regarding groundwater, underscoring a lack of awareness or enforcement of restrictions. Moreover, 55% of Solar Tubewell users saw groundwater as "owned by God," thereby diminishing their sense of human accountability for sustainable water utilisation. Consequently, although solarisation is regarded </w:t>
      </w:r>
      <w:r w:rsidRPr="005823A7">
        <w:rPr>
          <w:rFonts w:ascii="Times New Roman" w:eastAsia="Times New Roman" w:hAnsi="Times New Roman" w:cs="Times New Roman"/>
          <w:sz w:val="24"/>
          <w:szCs w:val="24"/>
          <w:lang w:eastAsia="en-GB"/>
        </w:rPr>
        <w:lastRenderedPageBreak/>
        <w:t xml:space="preserve">favourably, it is exacerbating groundwater depletion in the research area, necessitating the immediate establishment of more robust regulatory frameworks and </w:t>
      </w:r>
      <w:r w:rsidRPr="005823A7">
        <w:rPr>
          <w:noProof/>
          <w:lang w:eastAsia="en-GB"/>
        </w:rPr>
        <w:drawing>
          <wp:anchor distT="0" distB="0" distL="114300" distR="114300" simplePos="0" relativeHeight="251660288" behindDoc="0" locked="0" layoutInCell="1" allowOverlap="1" wp14:anchorId="3A1D4B58" wp14:editId="10E04AAF">
            <wp:simplePos x="0" y="0"/>
            <wp:positionH relativeFrom="column">
              <wp:posOffset>0</wp:posOffset>
            </wp:positionH>
            <wp:positionV relativeFrom="paragraph">
              <wp:posOffset>527050</wp:posOffset>
            </wp:positionV>
            <wp:extent cx="5847715" cy="3683000"/>
            <wp:effectExtent l="19050" t="19050" r="19685" b="1270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47715" cy="3683000"/>
                    </a:xfrm>
                    <a:prstGeom prst="rect">
                      <a:avLst/>
                    </a:prstGeom>
                    <a:ln w="3175">
                      <a:solidFill>
                        <a:schemeClr val="tx1"/>
                      </a:solidFill>
                    </a:ln>
                  </pic:spPr>
                </pic:pic>
              </a:graphicData>
            </a:graphic>
            <wp14:sizeRelV relativeFrom="margin">
              <wp14:pctHeight>0</wp14:pctHeight>
            </wp14:sizeRelV>
          </wp:anchor>
        </w:drawing>
      </w:r>
      <w:r w:rsidRPr="005823A7">
        <w:rPr>
          <w:rFonts w:ascii="Times New Roman" w:eastAsia="Times New Roman" w:hAnsi="Times New Roman" w:cs="Times New Roman"/>
          <w:sz w:val="24"/>
          <w:szCs w:val="24"/>
          <w:lang w:eastAsia="en-GB"/>
        </w:rPr>
        <w:t>heightened awareness to foster sustainable groundwater management.</w:t>
      </w:r>
      <w:r w:rsidRPr="005823A7">
        <w:rPr>
          <w:noProof/>
          <w:lang w:eastAsia="en-GB"/>
        </w:rPr>
        <mc:AlternateContent>
          <mc:Choice Requires="wps">
            <w:drawing>
              <wp:anchor distT="0" distB="0" distL="114300" distR="114300" simplePos="0" relativeHeight="251662336" behindDoc="0" locked="0" layoutInCell="1" allowOverlap="1" wp14:anchorId="079DDBA4" wp14:editId="4DFFE1AB">
                <wp:simplePos x="0" y="0"/>
                <wp:positionH relativeFrom="margin">
                  <wp:align>left</wp:align>
                </wp:positionH>
                <wp:positionV relativeFrom="paragraph">
                  <wp:posOffset>4241800</wp:posOffset>
                </wp:positionV>
                <wp:extent cx="5847715" cy="342900"/>
                <wp:effectExtent l="0" t="0" r="635" b="0"/>
                <wp:wrapSquare wrapText="bothSides"/>
                <wp:docPr id="4" name="Text Box 4"/>
                <wp:cNvGraphicFramePr/>
                <a:graphic xmlns:a="http://schemas.openxmlformats.org/drawingml/2006/main">
                  <a:graphicData uri="http://schemas.microsoft.com/office/word/2010/wordprocessingShape">
                    <wps:wsp>
                      <wps:cNvSpPr txBox="1"/>
                      <wps:spPr>
                        <a:xfrm>
                          <a:off x="0" y="0"/>
                          <a:ext cx="5847715" cy="342900"/>
                        </a:xfrm>
                        <a:prstGeom prst="rect">
                          <a:avLst/>
                        </a:prstGeom>
                        <a:solidFill>
                          <a:prstClr val="white"/>
                        </a:solidFill>
                        <a:ln>
                          <a:noFill/>
                        </a:ln>
                      </wps:spPr>
                      <wps:txbx>
                        <w:txbxContent>
                          <w:p w14:paraId="33D010EB" w14:textId="77777777" w:rsidR="007532CC" w:rsidRPr="005C01A7" w:rsidRDefault="007532CC" w:rsidP="005C01A7">
                            <w:pPr>
                              <w:pStyle w:val="Caption"/>
                              <w:jc w:val="center"/>
                              <w:rPr>
                                <w:rFonts w:ascii="Times New Roman" w:hAnsi="Times New Roman" w:cs="Times New Roman"/>
                                <w:b/>
                                <w:i w:val="0"/>
                                <w:noProof/>
                                <w:color w:val="auto"/>
                                <w:sz w:val="24"/>
                                <w:szCs w:val="24"/>
                              </w:rPr>
                            </w:pPr>
                            <w:r>
                              <w:rPr>
                                <w:rFonts w:ascii="Times New Roman" w:hAnsi="Times New Roman" w:cs="Times New Roman"/>
                                <w:b/>
                                <w:i w:val="0"/>
                                <w:color w:val="auto"/>
                                <w:sz w:val="24"/>
                                <w:szCs w:val="24"/>
                              </w:rPr>
                              <w:t>Figure 04: Perception of the respondents of three groups about groundwater related policies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79DDBA4" id="_x0000_t202" coordsize="21600,21600" o:spt="202" path="m,l,21600r21600,l21600,xe">
                <v:stroke joinstyle="miter"/>
                <v:path gradientshapeok="t" o:connecttype="rect"/>
              </v:shapetype>
              <v:shape id="Text Box 4" o:spid="_x0000_s1026" type="#_x0000_t202" style="position:absolute;left:0;text-align:left;margin-left:0;margin-top:334pt;width:460.45pt;height:27pt;z-index:25166233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Lo4h/GwIAADsEAAAOAAAAZHJzL2Uyb0RvYy54bWysU8Fu2zAMvQ/YPwi6L06ydu2COEWWIsOA oC2QDj0rshQbkEWNUmJnXz9KtpOu22nYRaZFiuR7fJzftbVhR4W+ApvzyWjMmbISisruc/79ef3h ljMfhC2EAatyflKe3y3ev5s3bqamUIIpFDJKYv2scTkvQ3CzLPOyVLXwI3DKklMD1iLQL+6zAkVD 2WuTTcfjT1kDWDgEqbyn2/vOyRcpv9ZKhketvQrM5Jx6C+nEdO7imS3mYrZH4cpK9m2If+iiFpWl oudU9yIIdsDqj1R1JRE86DCSUGegdSVVwkBoJuM3aLalcCphIXK8O9Pk/19a+XDcuidkof0CLQ0w EtI4P/N0GfG0Guv4pU4Z+YnC05k21QYm6fL69urmZnLNmSTfx6vp53HiNbu8dujDVwU1i0bOkcaS 2BLHjQ9UkUKHkFjMg6mKdWVM/ImOlUF2FDTCpqyCij3Si9+ijI2xFuKrzh1vsguUaIV21/b4dlCc CDZCpwjv5LqiQhvhw5NAkgAhJVmHRzq0gSbn0FuclYA//3Yf42ky5OWsIUnl3P84CFScmW+WZhb1 Nxg4GLvBsId6BQRxQgvjZDLpAQYzmBqhfiG1L2MVcgkrqVbOw2CuQids2haplssURCpzImzs1smY eiD0uX0R6PpxBBrkAwxiE7M3U+liO3qXhwC6SiOLhHYs9jyTQtNc+m2KK/D6P0Vddn7xCwAA//8D AFBLAwQUAAYACAAAACEAPWs81d0AAAAIAQAADwAAAGRycy9kb3ducmV2LnhtbEyPwU7DMAyG70i8 Q2QkLoil5FC20nSCDW5w2Jh29prQVjROlaRr9/aYE9xs/dbn7y/Xs+vF2YbYedLwsMhAWKq96ajR cPh8u1+CiAnJYO/JarjYCOvq+qrEwviJdva8T41gCMUCNbQpDYWUsW6tw7jwgyXOvnxwmHgNjTQB J4a7Xqosy6XDjvhDi4PdtLb+3o9OQ74N47Sjzd328PqOH0Ojji+Xo9a3N/PzE4hk5/R3DL/6rA4V O538SCaKXgMXSUzKlzxwvFLZCsRJw6NSGciqlP8LVD8AAAD//wMAUEsBAi0AFAAGAAgAAAAhALaD OJL+AAAA4QEAABMAAAAAAAAAAAAAAAAAAAAAAFtDb250ZW50X1R5cGVzXS54bWxQSwECLQAUAAYA CAAAACEAOP0h/9YAAACUAQAACwAAAAAAAAAAAAAAAAAvAQAAX3JlbHMvLnJlbHNQSwECLQAUAAYA CAAAACEAi6OIfxsCAAA7BAAADgAAAAAAAAAAAAAAAAAuAgAAZHJzL2Uyb0RvYy54bWxQSwECLQAU AAYACAAAACEAPWs81d0AAAAIAQAADwAAAAAAAAAAAAAAAAB1BAAAZHJzL2Rvd25yZXYueG1sUEsF BgAAAAAEAAQA8wAAAH8FAAAAAA== " stroked="f">
                <v:textbox inset="0,0,0,0">
                  <w:txbxContent>
                    <w:p w14:paraId="33D010EB" w14:textId="77777777" w:rsidR="007532CC" w:rsidRPr="005C01A7" w:rsidRDefault="007532CC" w:rsidP="005C01A7">
                      <w:pPr>
                        <w:pStyle w:val="Caption"/>
                        <w:jc w:val="center"/>
                        <w:rPr>
                          <w:rFonts w:ascii="Times New Roman" w:hAnsi="Times New Roman" w:cs="Times New Roman"/>
                          <w:b/>
                          <w:i w:val="0"/>
                          <w:noProof/>
                          <w:color w:val="auto"/>
                          <w:sz w:val="24"/>
                          <w:szCs w:val="24"/>
                        </w:rPr>
                      </w:pPr>
                      <w:r>
                        <w:rPr>
                          <w:rFonts w:ascii="Times New Roman" w:hAnsi="Times New Roman" w:cs="Times New Roman"/>
                          <w:b/>
                          <w:i w:val="0"/>
                          <w:color w:val="auto"/>
                          <w:sz w:val="24"/>
                          <w:szCs w:val="24"/>
                        </w:rPr>
                        <w:t>Figure 04: Perception of the respondents of three groups about groundwater related policies</w:t>
                      </w:r>
                    </w:p>
                  </w:txbxContent>
                </v:textbox>
                <w10:wrap type="square" anchorx="margin"/>
              </v:shape>
            </w:pict>
          </mc:Fallback>
        </mc:AlternateContent>
      </w:r>
    </w:p>
    <w:p w14:paraId="53665F19" w14:textId="77777777" w:rsidR="00983731" w:rsidRPr="005823A7" w:rsidRDefault="00983731" w:rsidP="00983731">
      <w:pPr>
        <w:spacing w:before="120" w:after="0" w:line="360" w:lineRule="auto"/>
        <w:jc w:val="right"/>
        <w:rPr>
          <w:rFonts w:ascii="Times New Roman" w:eastAsia="Times New Roman" w:hAnsi="Times New Roman" w:cs="Times New Roman"/>
          <w:sz w:val="24"/>
          <w:szCs w:val="24"/>
          <w:lang w:eastAsia="en-GB"/>
        </w:rPr>
      </w:pPr>
      <w:r w:rsidRPr="005823A7">
        <w:rPr>
          <w:rFonts w:ascii="Times New Roman" w:eastAsia="Times New Roman" w:hAnsi="Times New Roman" w:cs="Times New Roman"/>
          <w:sz w:val="24"/>
          <w:szCs w:val="24"/>
          <w:lang w:eastAsia="en-GB"/>
        </w:rPr>
        <w:t>Source: Field survey, 2023</w:t>
      </w:r>
    </w:p>
    <w:p w14:paraId="195B2A9C" w14:textId="41ADC09F" w:rsidR="00A00023" w:rsidRPr="005823A7" w:rsidRDefault="00CD7BE2" w:rsidP="00983731">
      <w:pPr>
        <w:spacing w:before="120" w:after="0" w:line="360" w:lineRule="auto"/>
        <w:jc w:val="both"/>
        <w:rPr>
          <w:rFonts w:ascii="Times New Roman" w:eastAsia="Times New Roman" w:hAnsi="Times New Roman" w:cs="Times New Roman"/>
          <w:sz w:val="24"/>
          <w:szCs w:val="24"/>
          <w:lang w:eastAsia="en-GB"/>
        </w:rPr>
      </w:pPr>
      <w:r w:rsidRPr="005823A7">
        <w:rPr>
          <w:rFonts w:ascii="Times New Roman" w:eastAsia="Times New Roman" w:hAnsi="Times New Roman" w:cs="Times New Roman"/>
          <w:sz w:val="24"/>
          <w:szCs w:val="24"/>
          <w:lang w:eastAsia="en-GB"/>
        </w:rPr>
        <w:t xml:space="preserve">Table 03 presents an examination of socio-economic variables distinguishing solar and electric tubewell users, revealing significant disparities that underscore potential effects on groundwater depletion in Highland Balochistan. Users of solar tubewells are generally younger and more educated than their peers, suggesting greater receptiveness to adopting innovative technologies. Notably, although solar tubewell users possess greater average farm sizes (43.76 acres), they cultivate less land (11.32 acres) compared to electric tubewell users, who cultivate an average of 15.47 acres. Both groups, however, contain significant expanses of unproductive land, with solar users averaging 19.88 acres. </w:t>
      </w:r>
    </w:p>
    <w:p w14:paraId="597E650F" w14:textId="547E5726" w:rsidR="00CD7BE2" w:rsidRPr="005823A7" w:rsidRDefault="009401BE" w:rsidP="00A00023">
      <w:pPr>
        <w:spacing w:before="120" w:after="0" w:line="360" w:lineRule="auto"/>
        <w:jc w:val="both"/>
        <w:rPr>
          <w:rFonts w:ascii="Times New Roman" w:eastAsia="Times New Roman" w:hAnsi="Times New Roman" w:cs="Times New Roman"/>
          <w:sz w:val="24"/>
          <w:szCs w:val="24"/>
          <w:lang w:eastAsia="en-GB"/>
        </w:rPr>
      </w:pPr>
      <w:r w:rsidRPr="005823A7">
        <w:rPr>
          <w:rFonts w:ascii="Times New Roman" w:eastAsia="Times New Roman" w:hAnsi="Times New Roman" w:cs="Times New Roman"/>
          <w:sz w:val="24"/>
          <w:szCs w:val="24"/>
          <w:lang w:eastAsia="en-GB"/>
        </w:rPr>
        <w:t xml:space="preserve">This raises concern that using solar tubewells, which offer more affordable, accessible energy, may entice farmers to expand crop production, leading to increased water extraction. Although solar tubewells reduce reliance on electricity and provide a more sustainable energy alternative, they may inadvertently exacerbate groundwater over-extraction, further depleting aquifers. </w:t>
      </w:r>
    </w:p>
    <w:p w14:paraId="60F7C7BD" w14:textId="77777777" w:rsidR="005259D7" w:rsidRPr="005823A7" w:rsidRDefault="005259D7" w:rsidP="00B83CFD">
      <w:pPr>
        <w:spacing w:after="0" w:line="360" w:lineRule="auto"/>
        <w:jc w:val="both"/>
        <w:rPr>
          <w:rFonts w:ascii="Times New Roman" w:hAnsi="Times New Roman" w:cs="Times New Roman"/>
          <w:b/>
          <w:sz w:val="24"/>
          <w:szCs w:val="24"/>
        </w:rPr>
      </w:pPr>
      <w:r w:rsidRPr="005823A7">
        <w:rPr>
          <w:rFonts w:ascii="Times New Roman" w:hAnsi="Times New Roman" w:cs="Times New Roman"/>
          <w:b/>
          <w:sz w:val="24"/>
          <w:szCs w:val="24"/>
        </w:rPr>
        <w:t xml:space="preserve">Table 03: Socioeconomic characteristics of the respondents </w:t>
      </w:r>
    </w:p>
    <w:tbl>
      <w:tblPr>
        <w:tblStyle w:val="TableGrid"/>
        <w:tblW w:w="5000" w:type="pct"/>
        <w:tblInd w:w="0" w:type="dxa"/>
        <w:tblLook w:val="04A0" w:firstRow="1" w:lastRow="0" w:firstColumn="1" w:lastColumn="0" w:noHBand="0" w:noVBand="1"/>
      </w:tblPr>
      <w:tblGrid>
        <w:gridCol w:w="1954"/>
        <w:gridCol w:w="763"/>
        <w:gridCol w:w="1149"/>
        <w:gridCol w:w="756"/>
        <w:gridCol w:w="876"/>
        <w:gridCol w:w="763"/>
        <w:gridCol w:w="1123"/>
        <w:gridCol w:w="756"/>
        <w:gridCol w:w="876"/>
      </w:tblGrid>
      <w:tr w:rsidR="00B87715" w:rsidRPr="005823A7" w14:paraId="79E7A090" w14:textId="77777777" w:rsidTr="00CD7BE2">
        <w:tc>
          <w:tcPr>
            <w:tcW w:w="1084"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B68EF4" w14:textId="77777777" w:rsidR="005259D7" w:rsidRPr="005823A7" w:rsidRDefault="005259D7" w:rsidP="00785547">
            <w:pPr>
              <w:rPr>
                <w:rFonts w:ascii="Times New Roman" w:hAnsi="Times New Roman" w:cs="Times New Roman"/>
                <w:b/>
                <w:sz w:val="24"/>
                <w:szCs w:val="24"/>
              </w:rPr>
            </w:pPr>
            <w:r w:rsidRPr="005823A7">
              <w:rPr>
                <w:rFonts w:ascii="Times New Roman" w:hAnsi="Times New Roman" w:cs="Times New Roman"/>
                <w:b/>
                <w:sz w:val="24"/>
                <w:szCs w:val="24"/>
              </w:rPr>
              <w:lastRenderedPageBreak/>
              <w:t xml:space="preserve">Socio-economic variables </w:t>
            </w:r>
          </w:p>
        </w:tc>
        <w:tc>
          <w:tcPr>
            <w:tcW w:w="1965"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296F2B2" w14:textId="77777777" w:rsidR="005259D7" w:rsidRPr="005823A7" w:rsidRDefault="008A36AC" w:rsidP="00785547">
            <w:pPr>
              <w:jc w:val="center"/>
              <w:rPr>
                <w:rFonts w:ascii="Times New Roman" w:hAnsi="Times New Roman" w:cs="Times New Roman"/>
                <w:b/>
                <w:sz w:val="24"/>
                <w:szCs w:val="24"/>
              </w:rPr>
            </w:pPr>
            <w:r w:rsidRPr="005823A7">
              <w:rPr>
                <w:rFonts w:ascii="Times New Roman" w:hAnsi="Times New Roman" w:cs="Times New Roman"/>
                <w:b/>
                <w:sz w:val="24"/>
                <w:szCs w:val="24"/>
              </w:rPr>
              <w:t>Solar tubewells user (N=100)</w:t>
            </w:r>
          </w:p>
        </w:tc>
        <w:tc>
          <w:tcPr>
            <w:tcW w:w="1952"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3E95828" w14:textId="77777777" w:rsidR="005259D7" w:rsidRPr="005823A7" w:rsidRDefault="008A36AC" w:rsidP="00785547">
            <w:pPr>
              <w:jc w:val="center"/>
              <w:rPr>
                <w:rFonts w:ascii="Times New Roman" w:hAnsi="Times New Roman" w:cs="Times New Roman"/>
                <w:b/>
                <w:sz w:val="24"/>
                <w:szCs w:val="24"/>
              </w:rPr>
            </w:pPr>
            <w:r w:rsidRPr="005823A7">
              <w:rPr>
                <w:rFonts w:ascii="Times New Roman" w:hAnsi="Times New Roman" w:cs="Times New Roman"/>
                <w:b/>
                <w:sz w:val="24"/>
                <w:szCs w:val="24"/>
              </w:rPr>
              <w:t>Electric tubewells farmer (N=220)</w:t>
            </w:r>
          </w:p>
        </w:tc>
      </w:tr>
      <w:tr w:rsidR="008A36AC" w:rsidRPr="005823A7" w14:paraId="56F21CE2" w14:textId="77777777" w:rsidTr="00CD7BE2">
        <w:trPr>
          <w:trHeight w:val="389"/>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07B0B2" w14:textId="77777777" w:rsidR="005259D7" w:rsidRPr="005823A7" w:rsidRDefault="005259D7" w:rsidP="00785547">
            <w:pPr>
              <w:rPr>
                <w:rFonts w:ascii="Times New Roman" w:hAnsi="Times New Roman" w:cs="Times New Roman"/>
                <w:b/>
                <w:sz w:val="24"/>
                <w:szCs w:val="24"/>
              </w:rPr>
            </w:pPr>
          </w:p>
        </w:tc>
        <w:tc>
          <w:tcPr>
            <w:tcW w:w="4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126439" w14:textId="77777777" w:rsidR="005259D7" w:rsidRPr="005823A7" w:rsidRDefault="005259D7" w:rsidP="00785547">
            <w:pPr>
              <w:widowControl w:val="0"/>
              <w:autoSpaceDE w:val="0"/>
              <w:autoSpaceDN w:val="0"/>
              <w:adjustRightInd w:val="0"/>
              <w:spacing w:after="120"/>
              <w:jc w:val="both"/>
              <w:rPr>
                <w:rFonts w:ascii="Times New Roman" w:hAnsi="Times New Roman" w:cs="Times New Roman"/>
                <w:sz w:val="24"/>
                <w:szCs w:val="24"/>
              </w:rPr>
            </w:pPr>
            <w:r w:rsidRPr="005823A7">
              <w:rPr>
                <w:rFonts w:ascii="Times New Roman" w:hAnsi="Times New Roman" w:cs="Times New Roman"/>
                <w:sz w:val="24"/>
                <w:szCs w:val="24"/>
              </w:rPr>
              <w:t>Mean</w:t>
            </w:r>
          </w:p>
        </w:tc>
        <w:tc>
          <w:tcPr>
            <w:tcW w:w="63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9BA417" w14:textId="77777777" w:rsidR="005259D7" w:rsidRPr="005823A7" w:rsidRDefault="005259D7" w:rsidP="00785547">
            <w:pPr>
              <w:widowControl w:val="0"/>
              <w:autoSpaceDE w:val="0"/>
              <w:autoSpaceDN w:val="0"/>
              <w:adjustRightInd w:val="0"/>
              <w:spacing w:after="120"/>
              <w:jc w:val="both"/>
              <w:rPr>
                <w:rFonts w:ascii="Times New Roman" w:hAnsi="Times New Roman" w:cs="Times New Roman"/>
                <w:sz w:val="24"/>
                <w:szCs w:val="24"/>
              </w:rPr>
            </w:pPr>
            <w:r w:rsidRPr="005823A7">
              <w:rPr>
                <w:rFonts w:ascii="Times New Roman" w:hAnsi="Times New Roman" w:cs="Times New Roman"/>
                <w:sz w:val="24"/>
                <w:szCs w:val="24"/>
              </w:rPr>
              <w:t xml:space="preserve"> Std. Dev.</w:t>
            </w:r>
          </w:p>
        </w:tc>
        <w:tc>
          <w:tcPr>
            <w:tcW w:w="41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F2E7D7" w14:textId="77777777" w:rsidR="005259D7" w:rsidRPr="005823A7" w:rsidRDefault="005259D7" w:rsidP="00785547">
            <w:pPr>
              <w:widowControl w:val="0"/>
              <w:autoSpaceDE w:val="0"/>
              <w:autoSpaceDN w:val="0"/>
              <w:adjustRightInd w:val="0"/>
              <w:spacing w:after="120"/>
              <w:jc w:val="both"/>
              <w:rPr>
                <w:rFonts w:ascii="Times New Roman" w:hAnsi="Times New Roman" w:cs="Times New Roman"/>
                <w:sz w:val="24"/>
                <w:szCs w:val="24"/>
              </w:rPr>
            </w:pPr>
            <w:r w:rsidRPr="005823A7">
              <w:rPr>
                <w:rFonts w:ascii="Times New Roman" w:hAnsi="Times New Roman" w:cs="Times New Roman"/>
                <w:sz w:val="24"/>
                <w:szCs w:val="24"/>
              </w:rPr>
              <w:t xml:space="preserve"> Min</w:t>
            </w:r>
          </w:p>
        </w:tc>
        <w:tc>
          <w:tcPr>
            <w:tcW w:w="48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B4E2A5" w14:textId="77777777" w:rsidR="005259D7" w:rsidRPr="005823A7" w:rsidRDefault="005259D7" w:rsidP="00785547">
            <w:pPr>
              <w:widowControl w:val="0"/>
              <w:autoSpaceDE w:val="0"/>
              <w:autoSpaceDN w:val="0"/>
              <w:adjustRightInd w:val="0"/>
              <w:spacing w:after="120"/>
              <w:jc w:val="both"/>
              <w:rPr>
                <w:rFonts w:ascii="Times New Roman" w:hAnsi="Times New Roman" w:cs="Times New Roman"/>
                <w:sz w:val="24"/>
                <w:szCs w:val="24"/>
              </w:rPr>
            </w:pPr>
            <w:r w:rsidRPr="005823A7">
              <w:rPr>
                <w:rFonts w:ascii="Times New Roman" w:hAnsi="Times New Roman" w:cs="Times New Roman"/>
                <w:sz w:val="24"/>
                <w:szCs w:val="24"/>
              </w:rPr>
              <w:t>Max</w:t>
            </w:r>
          </w:p>
        </w:tc>
        <w:tc>
          <w:tcPr>
            <w:tcW w:w="4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67AEFB" w14:textId="77777777" w:rsidR="005259D7" w:rsidRPr="005823A7" w:rsidRDefault="005259D7" w:rsidP="00785547">
            <w:pPr>
              <w:widowControl w:val="0"/>
              <w:autoSpaceDE w:val="0"/>
              <w:autoSpaceDN w:val="0"/>
              <w:adjustRightInd w:val="0"/>
              <w:spacing w:after="120"/>
              <w:jc w:val="both"/>
              <w:rPr>
                <w:rFonts w:ascii="Times New Roman" w:hAnsi="Times New Roman" w:cs="Times New Roman"/>
                <w:sz w:val="24"/>
                <w:szCs w:val="24"/>
              </w:rPr>
            </w:pPr>
            <w:r w:rsidRPr="005823A7">
              <w:rPr>
                <w:rFonts w:ascii="Times New Roman" w:hAnsi="Times New Roman" w:cs="Times New Roman"/>
                <w:sz w:val="24"/>
                <w:szCs w:val="24"/>
              </w:rPr>
              <w:t>Mean</w:t>
            </w:r>
          </w:p>
        </w:tc>
        <w:tc>
          <w:tcPr>
            <w:tcW w:w="6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B0A142" w14:textId="77777777" w:rsidR="005259D7" w:rsidRPr="005823A7" w:rsidRDefault="005259D7" w:rsidP="00785547">
            <w:pPr>
              <w:widowControl w:val="0"/>
              <w:autoSpaceDE w:val="0"/>
              <w:autoSpaceDN w:val="0"/>
              <w:adjustRightInd w:val="0"/>
              <w:spacing w:after="120"/>
              <w:jc w:val="both"/>
              <w:rPr>
                <w:rFonts w:ascii="Times New Roman" w:hAnsi="Times New Roman" w:cs="Times New Roman"/>
                <w:sz w:val="24"/>
                <w:szCs w:val="24"/>
              </w:rPr>
            </w:pPr>
            <w:r w:rsidRPr="005823A7">
              <w:rPr>
                <w:rFonts w:ascii="Times New Roman" w:hAnsi="Times New Roman" w:cs="Times New Roman"/>
                <w:sz w:val="24"/>
                <w:szCs w:val="24"/>
              </w:rPr>
              <w:t xml:space="preserve"> Std. Dev.</w:t>
            </w:r>
          </w:p>
        </w:tc>
        <w:tc>
          <w:tcPr>
            <w:tcW w:w="41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274527" w14:textId="77777777" w:rsidR="005259D7" w:rsidRPr="005823A7" w:rsidRDefault="005259D7" w:rsidP="00785547">
            <w:pPr>
              <w:widowControl w:val="0"/>
              <w:autoSpaceDE w:val="0"/>
              <w:autoSpaceDN w:val="0"/>
              <w:adjustRightInd w:val="0"/>
              <w:spacing w:after="120"/>
              <w:jc w:val="both"/>
              <w:rPr>
                <w:rFonts w:ascii="Times New Roman" w:hAnsi="Times New Roman" w:cs="Times New Roman"/>
                <w:sz w:val="24"/>
                <w:szCs w:val="24"/>
              </w:rPr>
            </w:pPr>
            <w:r w:rsidRPr="005823A7">
              <w:rPr>
                <w:rFonts w:ascii="Times New Roman" w:hAnsi="Times New Roman" w:cs="Times New Roman"/>
                <w:sz w:val="24"/>
                <w:szCs w:val="24"/>
              </w:rPr>
              <w:t>Min</w:t>
            </w:r>
          </w:p>
        </w:tc>
        <w:tc>
          <w:tcPr>
            <w:tcW w:w="48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94E3C0" w14:textId="77777777" w:rsidR="005259D7" w:rsidRPr="005823A7" w:rsidRDefault="005259D7" w:rsidP="00785547">
            <w:pPr>
              <w:widowControl w:val="0"/>
              <w:autoSpaceDE w:val="0"/>
              <w:autoSpaceDN w:val="0"/>
              <w:adjustRightInd w:val="0"/>
              <w:spacing w:after="120"/>
              <w:jc w:val="both"/>
              <w:rPr>
                <w:rFonts w:ascii="Times New Roman" w:hAnsi="Times New Roman" w:cs="Times New Roman"/>
                <w:sz w:val="24"/>
                <w:szCs w:val="24"/>
              </w:rPr>
            </w:pPr>
            <w:r w:rsidRPr="005823A7">
              <w:rPr>
                <w:rFonts w:ascii="Times New Roman" w:hAnsi="Times New Roman" w:cs="Times New Roman"/>
                <w:sz w:val="24"/>
                <w:szCs w:val="24"/>
              </w:rPr>
              <w:t>Max</w:t>
            </w:r>
          </w:p>
        </w:tc>
      </w:tr>
      <w:tr w:rsidR="008A36AC" w:rsidRPr="005823A7" w14:paraId="57E8328F" w14:textId="77777777" w:rsidTr="00CD7BE2">
        <w:trPr>
          <w:trHeight w:val="269"/>
        </w:trPr>
        <w:tc>
          <w:tcPr>
            <w:tcW w:w="108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4AE5AB" w14:textId="77777777" w:rsidR="005259D7" w:rsidRPr="005823A7" w:rsidRDefault="005259D7" w:rsidP="00785547">
            <w:pPr>
              <w:spacing w:line="360" w:lineRule="auto"/>
              <w:jc w:val="both"/>
              <w:rPr>
                <w:rFonts w:ascii="Times New Roman" w:hAnsi="Times New Roman" w:cs="Times New Roman"/>
                <w:b/>
                <w:sz w:val="24"/>
                <w:szCs w:val="24"/>
              </w:rPr>
            </w:pPr>
            <w:r w:rsidRPr="005823A7">
              <w:rPr>
                <w:rFonts w:ascii="Times New Roman" w:hAnsi="Times New Roman" w:cs="Times New Roman"/>
                <w:b/>
                <w:sz w:val="24"/>
                <w:szCs w:val="24"/>
              </w:rPr>
              <w:t>Age (years)</w:t>
            </w:r>
          </w:p>
        </w:tc>
        <w:tc>
          <w:tcPr>
            <w:tcW w:w="42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159833F" w14:textId="77777777" w:rsidR="005259D7" w:rsidRPr="005823A7" w:rsidRDefault="008A36AC"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43.72</w:t>
            </w:r>
          </w:p>
        </w:tc>
        <w:tc>
          <w:tcPr>
            <w:tcW w:w="63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20CF594" w14:textId="77777777" w:rsidR="005259D7" w:rsidRPr="005823A7" w:rsidRDefault="008A36AC"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10.53</w:t>
            </w:r>
          </w:p>
        </w:tc>
        <w:tc>
          <w:tcPr>
            <w:tcW w:w="41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6362BF8" w14:textId="77777777" w:rsidR="005259D7" w:rsidRPr="005823A7" w:rsidRDefault="005259D7"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29.12</w:t>
            </w:r>
          </w:p>
        </w:tc>
        <w:tc>
          <w:tcPr>
            <w:tcW w:w="48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741B704" w14:textId="77777777" w:rsidR="005259D7" w:rsidRPr="005823A7" w:rsidRDefault="008A36AC"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64.00</w:t>
            </w:r>
          </w:p>
        </w:tc>
        <w:tc>
          <w:tcPr>
            <w:tcW w:w="42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F16D9E9" w14:textId="77777777" w:rsidR="005259D7" w:rsidRPr="005823A7" w:rsidRDefault="008A36AC"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45.00</w:t>
            </w:r>
          </w:p>
        </w:tc>
        <w:tc>
          <w:tcPr>
            <w:tcW w:w="62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AB2A818" w14:textId="77777777" w:rsidR="005259D7" w:rsidRPr="005823A7" w:rsidRDefault="005259D7"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12.17</w:t>
            </w:r>
          </w:p>
        </w:tc>
        <w:tc>
          <w:tcPr>
            <w:tcW w:w="41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2E7827F" w14:textId="77777777" w:rsidR="005259D7" w:rsidRPr="005823A7" w:rsidRDefault="008A36AC"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24.00</w:t>
            </w:r>
          </w:p>
        </w:tc>
        <w:tc>
          <w:tcPr>
            <w:tcW w:w="48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68643EA" w14:textId="77777777" w:rsidR="005259D7" w:rsidRPr="005823A7" w:rsidRDefault="008A36AC"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82.00</w:t>
            </w:r>
          </w:p>
        </w:tc>
      </w:tr>
      <w:tr w:rsidR="008A36AC" w:rsidRPr="005823A7" w14:paraId="7636CA01" w14:textId="77777777" w:rsidTr="00CD7BE2">
        <w:tc>
          <w:tcPr>
            <w:tcW w:w="108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E88DE4" w14:textId="77777777" w:rsidR="005259D7" w:rsidRPr="005823A7" w:rsidRDefault="00B87715" w:rsidP="00785547">
            <w:pPr>
              <w:spacing w:line="360" w:lineRule="auto"/>
              <w:jc w:val="both"/>
              <w:rPr>
                <w:rFonts w:ascii="Times New Roman" w:hAnsi="Times New Roman" w:cs="Times New Roman"/>
                <w:b/>
                <w:sz w:val="24"/>
                <w:szCs w:val="24"/>
              </w:rPr>
            </w:pPr>
            <w:r w:rsidRPr="005823A7">
              <w:rPr>
                <w:rFonts w:ascii="Times New Roman" w:hAnsi="Times New Roman" w:cs="Times New Roman"/>
                <w:b/>
                <w:sz w:val="24"/>
                <w:szCs w:val="24"/>
              </w:rPr>
              <w:t>Schooling(years)</w:t>
            </w:r>
          </w:p>
        </w:tc>
        <w:tc>
          <w:tcPr>
            <w:tcW w:w="42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198138F" w14:textId="77777777" w:rsidR="005259D7" w:rsidRPr="005823A7" w:rsidRDefault="008A36AC"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7.77</w:t>
            </w:r>
          </w:p>
        </w:tc>
        <w:tc>
          <w:tcPr>
            <w:tcW w:w="63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233237A" w14:textId="77777777" w:rsidR="005259D7" w:rsidRPr="005823A7" w:rsidRDefault="005259D7"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5.18</w:t>
            </w:r>
          </w:p>
        </w:tc>
        <w:tc>
          <w:tcPr>
            <w:tcW w:w="41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EE4D797" w14:textId="77777777" w:rsidR="005259D7" w:rsidRPr="005823A7" w:rsidRDefault="008A36AC"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3.00</w:t>
            </w:r>
          </w:p>
        </w:tc>
        <w:tc>
          <w:tcPr>
            <w:tcW w:w="48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C2F6E47" w14:textId="77777777" w:rsidR="005259D7" w:rsidRPr="005823A7" w:rsidRDefault="005259D7"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16.00</w:t>
            </w:r>
          </w:p>
        </w:tc>
        <w:tc>
          <w:tcPr>
            <w:tcW w:w="42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2A6A35D" w14:textId="77777777" w:rsidR="005259D7" w:rsidRPr="005823A7" w:rsidRDefault="005259D7"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5.80</w:t>
            </w:r>
          </w:p>
        </w:tc>
        <w:tc>
          <w:tcPr>
            <w:tcW w:w="62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DD5ED25" w14:textId="77777777" w:rsidR="005259D7" w:rsidRPr="005823A7" w:rsidRDefault="005259D7"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4.18</w:t>
            </w:r>
          </w:p>
        </w:tc>
        <w:tc>
          <w:tcPr>
            <w:tcW w:w="41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2F76D6B" w14:textId="77777777" w:rsidR="005259D7" w:rsidRPr="005823A7" w:rsidRDefault="005259D7"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0.00</w:t>
            </w:r>
          </w:p>
        </w:tc>
        <w:tc>
          <w:tcPr>
            <w:tcW w:w="48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92D9EED" w14:textId="77777777" w:rsidR="005259D7" w:rsidRPr="005823A7" w:rsidRDefault="005259D7"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16.00</w:t>
            </w:r>
          </w:p>
        </w:tc>
      </w:tr>
      <w:tr w:rsidR="008A36AC" w:rsidRPr="005823A7" w14:paraId="3B328792" w14:textId="77777777" w:rsidTr="00CD7BE2">
        <w:tc>
          <w:tcPr>
            <w:tcW w:w="108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F07563" w14:textId="77777777" w:rsidR="005259D7" w:rsidRPr="005823A7" w:rsidRDefault="005259D7" w:rsidP="00785547">
            <w:pPr>
              <w:widowControl w:val="0"/>
              <w:autoSpaceDE w:val="0"/>
              <w:autoSpaceDN w:val="0"/>
              <w:adjustRightInd w:val="0"/>
              <w:spacing w:after="120" w:line="360" w:lineRule="auto"/>
              <w:jc w:val="both"/>
              <w:rPr>
                <w:rFonts w:ascii="Times New Roman" w:hAnsi="Times New Roman" w:cs="Times New Roman"/>
                <w:b/>
                <w:sz w:val="24"/>
                <w:szCs w:val="24"/>
              </w:rPr>
            </w:pPr>
            <w:r w:rsidRPr="005823A7">
              <w:rPr>
                <w:rFonts w:ascii="Times New Roman" w:hAnsi="Times New Roman" w:cs="Times New Roman"/>
                <w:b/>
                <w:sz w:val="24"/>
                <w:szCs w:val="24"/>
              </w:rPr>
              <w:t>Family size (no.)</w:t>
            </w:r>
          </w:p>
        </w:tc>
        <w:tc>
          <w:tcPr>
            <w:tcW w:w="42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D41587" w14:textId="77777777" w:rsidR="005259D7" w:rsidRPr="005823A7" w:rsidRDefault="008A36AC"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17.00</w:t>
            </w:r>
          </w:p>
        </w:tc>
        <w:tc>
          <w:tcPr>
            <w:tcW w:w="63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84ACF95" w14:textId="77777777" w:rsidR="005259D7" w:rsidRPr="005823A7" w:rsidRDefault="005259D7"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10.92</w:t>
            </w:r>
          </w:p>
        </w:tc>
        <w:tc>
          <w:tcPr>
            <w:tcW w:w="41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90A646B" w14:textId="77777777" w:rsidR="005259D7" w:rsidRPr="005823A7" w:rsidRDefault="005259D7"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5.00</w:t>
            </w:r>
          </w:p>
        </w:tc>
        <w:tc>
          <w:tcPr>
            <w:tcW w:w="48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EBB15D2" w14:textId="77777777" w:rsidR="005259D7" w:rsidRPr="005823A7" w:rsidRDefault="005259D7"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44.00</w:t>
            </w:r>
          </w:p>
        </w:tc>
        <w:tc>
          <w:tcPr>
            <w:tcW w:w="42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A40CE90" w14:textId="77777777" w:rsidR="005259D7" w:rsidRPr="005823A7" w:rsidRDefault="008A36AC"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19.52</w:t>
            </w:r>
          </w:p>
        </w:tc>
        <w:tc>
          <w:tcPr>
            <w:tcW w:w="62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4149C5" w14:textId="77777777" w:rsidR="005259D7" w:rsidRPr="005823A7" w:rsidRDefault="005259D7"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13.37</w:t>
            </w:r>
          </w:p>
        </w:tc>
        <w:tc>
          <w:tcPr>
            <w:tcW w:w="41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AB7F424" w14:textId="77777777" w:rsidR="005259D7" w:rsidRPr="005823A7" w:rsidRDefault="008A36AC"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3.00</w:t>
            </w:r>
          </w:p>
        </w:tc>
        <w:tc>
          <w:tcPr>
            <w:tcW w:w="48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E1DE04B" w14:textId="77777777" w:rsidR="005259D7" w:rsidRPr="005823A7" w:rsidRDefault="008A36AC"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59.00</w:t>
            </w:r>
          </w:p>
        </w:tc>
      </w:tr>
      <w:tr w:rsidR="008A36AC" w:rsidRPr="005823A7" w14:paraId="7CE3ECB0" w14:textId="77777777" w:rsidTr="00CD7BE2">
        <w:tc>
          <w:tcPr>
            <w:tcW w:w="108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87BC37" w14:textId="77777777" w:rsidR="005259D7" w:rsidRPr="005823A7" w:rsidRDefault="005259D7" w:rsidP="00785547">
            <w:pPr>
              <w:widowControl w:val="0"/>
              <w:autoSpaceDE w:val="0"/>
              <w:autoSpaceDN w:val="0"/>
              <w:adjustRightInd w:val="0"/>
              <w:spacing w:after="120" w:line="360" w:lineRule="auto"/>
              <w:jc w:val="both"/>
              <w:rPr>
                <w:rFonts w:ascii="Times New Roman" w:hAnsi="Times New Roman" w:cs="Times New Roman"/>
                <w:b/>
                <w:sz w:val="24"/>
                <w:szCs w:val="24"/>
              </w:rPr>
            </w:pPr>
            <w:r w:rsidRPr="005823A7">
              <w:rPr>
                <w:rFonts w:ascii="Times New Roman" w:hAnsi="Times New Roman" w:cs="Times New Roman"/>
                <w:b/>
                <w:sz w:val="24"/>
                <w:szCs w:val="24"/>
              </w:rPr>
              <w:t>Farm size (acres)</w:t>
            </w:r>
          </w:p>
        </w:tc>
        <w:tc>
          <w:tcPr>
            <w:tcW w:w="42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E4C4B18" w14:textId="77777777" w:rsidR="005259D7" w:rsidRPr="005823A7" w:rsidRDefault="008A36AC"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43.76</w:t>
            </w:r>
          </w:p>
        </w:tc>
        <w:tc>
          <w:tcPr>
            <w:tcW w:w="63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E9ABA3" w14:textId="77777777" w:rsidR="005259D7" w:rsidRPr="005823A7" w:rsidRDefault="005259D7"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55.79</w:t>
            </w:r>
          </w:p>
        </w:tc>
        <w:tc>
          <w:tcPr>
            <w:tcW w:w="41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26A76D6" w14:textId="77777777" w:rsidR="005259D7" w:rsidRPr="005823A7" w:rsidRDefault="005259D7"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5.00</w:t>
            </w:r>
          </w:p>
        </w:tc>
        <w:tc>
          <w:tcPr>
            <w:tcW w:w="48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5DDBDC" w14:textId="77777777" w:rsidR="005259D7" w:rsidRPr="005823A7" w:rsidRDefault="005259D7"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210.00</w:t>
            </w:r>
          </w:p>
        </w:tc>
        <w:tc>
          <w:tcPr>
            <w:tcW w:w="42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0C88B53" w14:textId="77777777" w:rsidR="005259D7" w:rsidRPr="005823A7" w:rsidRDefault="008A36AC"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34.82</w:t>
            </w:r>
          </w:p>
        </w:tc>
        <w:tc>
          <w:tcPr>
            <w:tcW w:w="62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895A121" w14:textId="77777777" w:rsidR="005259D7" w:rsidRPr="005823A7" w:rsidRDefault="008A36AC"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32.27</w:t>
            </w:r>
          </w:p>
        </w:tc>
        <w:tc>
          <w:tcPr>
            <w:tcW w:w="41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F534EBF" w14:textId="77777777" w:rsidR="005259D7" w:rsidRPr="005823A7" w:rsidRDefault="008A36AC"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5.00</w:t>
            </w:r>
          </w:p>
        </w:tc>
        <w:tc>
          <w:tcPr>
            <w:tcW w:w="48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A00D479" w14:textId="77777777" w:rsidR="005259D7" w:rsidRPr="005823A7" w:rsidRDefault="008A36AC"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231.00</w:t>
            </w:r>
          </w:p>
        </w:tc>
      </w:tr>
      <w:tr w:rsidR="008A36AC" w:rsidRPr="005823A7" w14:paraId="2B0E6778" w14:textId="77777777" w:rsidTr="00CD7BE2">
        <w:tc>
          <w:tcPr>
            <w:tcW w:w="108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FC07C2" w14:textId="77777777" w:rsidR="005259D7" w:rsidRPr="005823A7" w:rsidRDefault="008A36AC" w:rsidP="00785547">
            <w:pPr>
              <w:widowControl w:val="0"/>
              <w:autoSpaceDE w:val="0"/>
              <w:autoSpaceDN w:val="0"/>
              <w:adjustRightInd w:val="0"/>
              <w:spacing w:after="120" w:line="360" w:lineRule="auto"/>
              <w:jc w:val="both"/>
              <w:rPr>
                <w:rFonts w:ascii="Times New Roman" w:hAnsi="Times New Roman" w:cs="Times New Roman"/>
                <w:b/>
                <w:sz w:val="24"/>
                <w:szCs w:val="24"/>
              </w:rPr>
            </w:pPr>
            <w:r w:rsidRPr="005823A7">
              <w:rPr>
                <w:rFonts w:ascii="Times New Roman" w:hAnsi="Times New Roman" w:cs="Times New Roman"/>
                <w:b/>
                <w:sz w:val="24"/>
                <w:szCs w:val="24"/>
              </w:rPr>
              <w:t>Cultivated land (acres)</w:t>
            </w:r>
          </w:p>
        </w:tc>
        <w:tc>
          <w:tcPr>
            <w:tcW w:w="42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5C28601" w14:textId="77777777" w:rsidR="005259D7" w:rsidRPr="005823A7" w:rsidRDefault="008A36AC"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11.32</w:t>
            </w:r>
          </w:p>
        </w:tc>
        <w:tc>
          <w:tcPr>
            <w:tcW w:w="63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29B96C1" w14:textId="77777777" w:rsidR="005259D7" w:rsidRPr="005823A7" w:rsidRDefault="005259D7"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12.89</w:t>
            </w:r>
          </w:p>
        </w:tc>
        <w:tc>
          <w:tcPr>
            <w:tcW w:w="41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F31B0B" w14:textId="77777777" w:rsidR="005259D7" w:rsidRPr="005823A7" w:rsidRDefault="005259D7"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3.00</w:t>
            </w:r>
          </w:p>
        </w:tc>
        <w:tc>
          <w:tcPr>
            <w:tcW w:w="48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A613FEC" w14:textId="77777777" w:rsidR="005259D7" w:rsidRPr="005823A7" w:rsidRDefault="005259D7"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55.00</w:t>
            </w:r>
          </w:p>
        </w:tc>
        <w:tc>
          <w:tcPr>
            <w:tcW w:w="42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DE4A26" w14:textId="77777777" w:rsidR="005259D7" w:rsidRPr="005823A7" w:rsidRDefault="005259D7"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15.47</w:t>
            </w:r>
          </w:p>
        </w:tc>
        <w:tc>
          <w:tcPr>
            <w:tcW w:w="62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DCF991B" w14:textId="77777777" w:rsidR="005259D7" w:rsidRPr="005823A7" w:rsidRDefault="005259D7"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14.90</w:t>
            </w:r>
          </w:p>
        </w:tc>
        <w:tc>
          <w:tcPr>
            <w:tcW w:w="41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3159AD" w14:textId="77777777" w:rsidR="005259D7" w:rsidRPr="005823A7" w:rsidRDefault="008A36AC"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4.00</w:t>
            </w:r>
          </w:p>
        </w:tc>
        <w:tc>
          <w:tcPr>
            <w:tcW w:w="48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04A3CE2" w14:textId="77777777" w:rsidR="005259D7" w:rsidRPr="005823A7" w:rsidRDefault="008A36AC"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121.00</w:t>
            </w:r>
          </w:p>
        </w:tc>
      </w:tr>
      <w:tr w:rsidR="008A36AC" w:rsidRPr="005823A7" w14:paraId="3AB5245B" w14:textId="77777777" w:rsidTr="00CD7BE2">
        <w:tc>
          <w:tcPr>
            <w:tcW w:w="108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A4375D" w14:textId="77777777" w:rsidR="005259D7" w:rsidRPr="005823A7" w:rsidRDefault="005259D7" w:rsidP="00785547">
            <w:pPr>
              <w:spacing w:line="360" w:lineRule="auto"/>
              <w:rPr>
                <w:rFonts w:ascii="Times New Roman" w:hAnsi="Times New Roman" w:cs="Times New Roman"/>
                <w:sz w:val="24"/>
                <w:szCs w:val="24"/>
              </w:rPr>
            </w:pPr>
            <w:r w:rsidRPr="005823A7">
              <w:rPr>
                <w:rFonts w:ascii="Times New Roman" w:hAnsi="Times New Roman" w:cs="Times New Roman"/>
                <w:b/>
                <w:sz w:val="24"/>
                <w:szCs w:val="24"/>
              </w:rPr>
              <w:t>Barren land (acres)</w:t>
            </w:r>
          </w:p>
        </w:tc>
        <w:tc>
          <w:tcPr>
            <w:tcW w:w="42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ECE3A5" w14:textId="77777777" w:rsidR="005259D7" w:rsidRPr="005823A7" w:rsidRDefault="008A36AC"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19.88</w:t>
            </w:r>
          </w:p>
        </w:tc>
        <w:tc>
          <w:tcPr>
            <w:tcW w:w="637"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AE60A42" w14:textId="77777777" w:rsidR="005259D7" w:rsidRPr="005823A7" w:rsidRDefault="005259D7"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25.20</w:t>
            </w:r>
          </w:p>
        </w:tc>
        <w:tc>
          <w:tcPr>
            <w:tcW w:w="41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6244D3B" w14:textId="77777777" w:rsidR="005259D7" w:rsidRPr="005823A7" w:rsidRDefault="008A36AC"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2.00</w:t>
            </w:r>
          </w:p>
        </w:tc>
        <w:tc>
          <w:tcPr>
            <w:tcW w:w="48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9B3C6AC" w14:textId="77777777" w:rsidR="005259D7" w:rsidRPr="005823A7" w:rsidRDefault="008A36AC"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109.00</w:t>
            </w:r>
          </w:p>
        </w:tc>
        <w:tc>
          <w:tcPr>
            <w:tcW w:w="42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0D98017" w14:textId="77777777" w:rsidR="005259D7" w:rsidRPr="005823A7" w:rsidRDefault="008A36AC"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22.96</w:t>
            </w:r>
          </w:p>
        </w:tc>
        <w:tc>
          <w:tcPr>
            <w:tcW w:w="62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13B066" w14:textId="77777777" w:rsidR="005259D7" w:rsidRPr="005823A7" w:rsidRDefault="005259D7"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27.24</w:t>
            </w:r>
          </w:p>
        </w:tc>
        <w:tc>
          <w:tcPr>
            <w:tcW w:w="419"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62FBD1" w14:textId="77777777" w:rsidR="005259D7" w:rsidRPr="005823A7" w:rsidRDefault="005259D7"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3.00</w:t>
            </w:r>
          </w:p>
        </w:tc>
        <w:tc>
          <w:tcPr>
            <w:tcW w:w="486"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16354B2" w14:textId="77777777" w:rsidR="005259D7" w:rsidRPr="005823A7" w:rsidRDefault="008A36AC" w:rsidP="00785547">
            <w:pPr>
              <w:spacing w:line="360" w:lineRule="auto"/>
              <w:jc w:val="center"/>
              <w:rPr>
                <w:rFonts w:ascii="Times New Roman" w:hAnsi="Times New Roman" w:cs="Times New Roman"/>
                <w:sz w:val="24"/>
                <w:szCs w:val="24"/>
              </w:rPr>
            </w:pPr>
            <w:r w:rsidRPr="005823A7">
              <w:rPr>
                <w:rFonts w:ascii="Times New Roman" w:hAnsi="Times New Roman" w:cs="Times New Roman"/>
                <w:sz w:val="24"/>
                <w:szCs w:val="24"/>
              </w:rPr>
              <w:t>199.00</w:t>
            </w:r>
          </w:p>
        </w:tc>
      </w:tr>
    </w:tbl>
    <w:p w14:paraId="52407BEB" w14:textId="77777777" w:rsidR="00CD7BE2" w:rsidRPr="005823A7" w:rsidRDefault="00CD7BE2" w:rsidP="00983731">
      <w:pPr>
        <w:spacing w:before="120" w:after="0" w:line="360" w:lineRule="auto"/>
        <w:jc w:val="both"/>
        <w:rPr>
          <w:rFonts w:ascii="Times New Roman" w:hAnsi="Times New Roman" w:cs="Times New Roman"/>
          <w:b/>
          <w:sz w:val="24"/>
          <w:szCs w:val="24"/>
        </w:rPr>
      </w:pPr>
      <w:r w:rsidRPr="005823A7">
        <w:rPr>
          <w:rFonts w:ascii="Times New Roman" w:eastAsia="Times New Roman" w:hAnsi="Times New Roman" w:cs="Times New Roman"/>
          <w:sz w:val="24"/>
          <w:szCs w:val="24"/>
          <w:lang w:eastAsia="en-GB"/>
        </w:rPr>
        <w:t>This paradox, in which a sustainable energy solution exacerbates environmental degradation, presents a significant barrier to long-term agricultural viability in the region.</w:t>
      </w:r>
    </w:p>
    <w:p w14:paraId="0EDEBD71" w14:textId="77777777" w:rsidR="003E7CE0" w:rsidRPr="005823A7" w:rsidRDefault="00280CD4" w:rsidP="00983731">
      <w:pPr>
        <w:spacing w:before="120" w:after="0" w:line="360" w:lineRule="auto"/>
        <w:jc w:val="both"/>
        <w:rPr>
          <w:rFonts w:ascii="Times New Roman" w:hAnsi="Times New Roman" w:cs="Times New Roman"/>
          <w:b/>
          <w:sz w:val="24"/>
          <w:szCs w:val="24"/>
        </w:rPr>
      </w:pPr>
      <w:r w:rsidRPr="005823A7">
        <w:rPr>
          <w:rFonts w:ascii="Times New Roman" w:hAnsi="Times New Roman" w:cs="Times New Roman"/>
          <w:b/>
          <w:sz w:val="24"/>
          <w:szCs w:val="24"/>
        </w:rPr>
        <w:t xml:space="preserve">Econometric Estimation </w:t>
      </w:r>
    </w:p>
    <w:p w14:paraId="12164E14" w14:textId="6E5F2C02" w:rsidR="00BA44F6" w:rsidRPr="005823A7" w:rsidRDefault="008F11ED" w:rsidP="00983731">
      <w:pPr>
        <w:spacing w:before="120" w:after="0" w:line="360" w:lineRule="auto"/>
        <w:jc w:val="both"/>
        <w:rPr>
          <w:rFonts w:ascii="Times New Roman" w:eastAsia="Times New Roman" w:hAnsi="Times New Roman" w:cs="Times New Roman"/>
          <w:sz w:val="24"/>
          <w:szCs w:val="24"/>
          <w:lang w:eastAsia="en-GB"/>
        </w:rPr>
      </w:pPr>
      <w:r w:rsidRPr="005823A7">
        <w:rPr>
          <w:rFonts w:ascii="Times New Roman" w:eastAsia="Times New Roman" w:hAnsi="Times New Roman" w:cs="Times New Roman"/>
          <w:sz w:val="24"/>
          <w:szCs w:val="24"/>
          <w:lang w:eastAsia="en-GB"/>
        </w:rPr>
        <w:t>Table 04 presents the logistic regression results, elucidating the elements that affect groundwater depletion in relation to solarised tubewells. The most notable finding is a positive, statistically significant correlation between tubewell solarisation and groundwater depletion (β = 3.143, p &lt; 0.01). This affirms the study's primary assertion: whereas solarising tubewells reduces energy costs, it unintentionally promotes excessive water consumption, leading to greater groundwater depletion. Solarisation may give the impression of "free water" as energy costs are reduced, encouraging excessive extraction. Furthermore, age shows a positive correlation with groundwater depletion (β = 0.057, p &lt; 0.01), indicating that older farmers, perhaps due to their established agricultural techniques and reliance on irrigation, are more likely to contribute to depletion.</w:t>
      </w:r>
    </w:p>
    <w:p w14:paraId="7CBE0750" w14:textId="37DA00E5" w:rsidR="009401BE" w:rsidRPr="005823A7" w:rsidRDefault="00BA44F6" w:rsidP="00983731">
      <w:pPr>
        <w:spacing w:before="120" w:after="0" w:line="360" w:lineRule="auto"/>
        <w:jc w:val="both"/>
        <w:rPr>
          <w:rFonts w:ascii="Times New Roman" w:eastAsia="Times New Roman" w:hAnsi="Times New Roman" w:cs="Times New Roman"/>
          <w:sz w:val="24"/>
          <w:szCs w:val="24"/>
          <w:lang w:eastAsia="en-GB"/>
        </w:rPr>
      </w:pPr>
      <w:r w:rsidRPr="005823A7">
        <w:rPr>
          <w:rFonts w:ascii="Times New Roman" w:eastAsia="Times New Roman" w:hAnsi="Times New Roman" w:cs="Times New Roman"/>
          <w:sz w:val="24"/>
          <w:szCs w:val="24"/>
          <w:lang w:eastAsia="en-GB"/>
        </w:rPr>
        <w:t xml:space="preserve">Aged farmers may oppose the adoption of water-conserving technologies or alternative irrigation methods, leading to increased water consumption. Although schooling shows a positive, albeit small, correlation (β = 0.047, p = 0.125), this suggests that education, in this context, does not significantly affect groundwater use habits. Schooling, although typically associated with improved decision-making, may not immediately affect irrigation or water management practices in this agricultural context. Cultivated land shows a negative correlation with groundwater depletion (β = -0.103, p &lt; 0.01), suggesting that farmers with larger </w:t>
      </w:r>
      <w:r w:rsidRPr="005823A7">
        <w:rPr>
          <w:rFonts w:ascii="Times New Roman" w:eastAsia="Times New Roman" w:hAnsi="Times New Roman" w:cs="Times New Roman"/>
          <w:sz w:val="24"/>
          <w:szCs w:val="24"/>
          <w:lang w:eastAsia="en-GB"/>
        </w:rPr>
        <w:lastRenderedPageBreak/>
        <w:t>landholdings are more likely to manage water resources more sustainably, perhaps due to economies of scale or superior irrigation methods. More extensive agricultural operations may prioritise the conservation of groundwater resources to sustain productivity, thereby elucidating the inverse correlation.</w:t>
      </w:r>
    </w:p>
    <w:p w14:paraId="212B9528" w14:textId="094AB816" w:rsidR="008F11ED" w:rsidRPr="005823A7" w:rsidRDefault="00BA44F6" w:rsidP="00983731">
      <w:pPr>
        <w:spacing w:before="120" w:after="0" w:line="360" w:lineRule="auto"/>
        <w:jc w:val="both"/>
        <w:rPr>
          <w:rFonts w:ascii="Times New Roman" w:eastAsia="Times New Roman" w:hAnsi="Times New Roman" w:cs="Times New Roman"/>
          <w:sz w:val="24"/>
          <w:szCs w:val="24"/>
          <w:lang w:eastAsia="en-GB"/>
        </w:rPr>
      </w:pPr>
      <w:r w:rsidRPr="005823A7">
        <w:rPr>
          <w:rFonts w:ascii="Times New Roman" w:eastAsia="Times New Roman" w:hAnsi="Times New Roman" w:cs="Times New Roman"/>
          <w:sz w:val="24"/>
          <w:szCs w:val="24"/>
          <w:lang w:eastAsia="en-GB"/>
        </w:rPr>
        <w:t xml:space="preserve">The depth of the water table exerts a positive and significant influence on depletion (β = 0.004, p &lt; 0.01), suggesting that deeper water tables require more extensive extraction, leading to overexploitation. Farmers must increase water extraction when water levels decline, exacerbating depletion. The frequency of irrigation is a crucial factor in depletion (β = 1.768, p &lt; 0.01), reinforcing the idea that frequent irrigation intensifies groundwater overexploitation. Frequent irrigation indicates inadequate water utilisation or the cultivation of high-water-demand crops, thereby exacerbating the strain on water supplies. Finally, the utilisation of high-efficiency irrigation systems shows a negative correlation with depletion (β = -0.695), although this association is not statistically significant (p = 0.159). This indicates that although these technologies may reduce water use, their impact is insufficient to offset the consequences of increased tubewell utilisation. Farmers may implement high-efficiency systems for reasons beyond water conservation, such as labour reduction or convenience, thereby diminishing the anticipated environmental benefits.  </w:t>
      </w:r>
    </w:p>
    <w:p w14:paraId="2005D435" w14:textId="3C4AD321" w:rsidR="00BA44F6" w:rsidRPr="005823A7" w:rsidRDefault="00BA44F6" w:rsidP="00983731">
      <w:pPr>
        <w:spacing w:before="120" w:after="0" w:line="360" w:lineRule="auto"/>
        <w:jc w:val="both"/>
        <w:rPr>
          <w:rFonts w:ascii="Times New Roman" w:eastAsia="Times New Roman" w:hAnsi="Times New Roman" w:cs="Times New Roman"/>
          <w:sz w:val="24"/>
          <w:szCs w:val="24"/>
          <w:lang w:eastAsia="en-GB"/>
        </w:rPr>
      </w:pPr>
      <w:r w:rsidRPr="005823A7">
        <w:rPr>
          <w:rFonts w:ascii="Times New Roman" w:eastAsia="Times New Roman" w:hAnsi="Times New Roman" w:cs="Times New Roman"/>
          <w:sz w:val="24"/>
          <w:szCs w:val="24"/>
          <w:lang w:eastAsia="en-GB"/>
        </w:rPr>
        <w:t>The data indicate that solarisation, although advantageous for reducing energy consumption, results in unforeseen environmental repercussions by increasing water use, thereby exacerbating groundwater depletion. This highlights the need for comprehensive policies that promote energy efficiency and sustainable water management.</w:t>
      </w:r>
      <w:r w:rsidRPr="005823A7">
        <w:rPr>
          <w:rFonts w:ascii="Times New Roman" w:eastAsia="Times New Roman" w:hAnsi="Times New Roman" w:cs="Times New Roman"/>
          <w:sz w:val="24"/>
          <w:szCs w:val="24"/>
          <w:lang w:eastAsia="en-GB"/>
        </w:rPr>
        <w:br/>
      </w:r>
    </w:p>
    <w:p w14:paraId="1AAAC355" w14:textId="77777777" w:rsidR="00280CD4" w:rsidRPr="005823A7" w:rsidRDefault="00280CD4" w:rsidP="00280CD4">
      <w:pPr>
        <w:spacing w:after="0" w:line="360" w:lineRule="auto"/>
        <w:jc w:val="both"/>
        <w:rPr>
          <w:rFonts w:ascii="Times New Roman" w:hAnsi="Times New Roman" w:cs="Times New Roman"/>
          <w:sz w:val="24"/>
          <w:szCs w:val="24"/>
        </w:rPr>
        <w:sectPr w:rsidR="00280CD4" w:rsidRPr="005823A7">
          <w:pgSz w:w="11906" w:h="16838"/>
          <w:pgMar w:top="1440" w:right="1440" w:bottom="1440" w:left="1440" w:header="708" w:footer="708" w:gutter="0"/>
          <w:cols w:space="708"/>
          <w:docGrid w:linePitch="360"/>
        </w:sectPr>
      </w:pPr>
    </w:p>
    <w:p w14:paraId="241451B2" w14:textId="77777777" w:rsidR="00280CD4" w:rsidRPr="005823A7" w:rsidRDefault="00280CD4" w:rsidP="00280CD4">
      <w:pPr>
        <w:spacing w:line="240" w:lineRule="auto"/>
        <w:rPr>
          <w:rFonts w:ascii="Times New Roman" w:hAnsi="Times New Roman" w:cs="Times New Roman"/>
          <w:b/>
          <w:sz w:val="24"/>
          <w:szCs w:val="24"/>
        </w:rPr>
      </w:pPr>
      <w:r w:rsidRPr="005823A7">
        <w:rPr>
          <w:rFonts w:ascii="Times New Roman" w:hAnsi="Times New Roman" w:cs="Times New Roman"/>
          <w:b/>
          <w:sz w:val="24"/>
          <w:szCs w:val="24"/>
        </w:rPr>
        <w:lastRenderedPageBreak/>
        <w:t xml:space="preserve">Table 04: Logistic estimates of different factors contributing to groundwater depletion (N =320)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1"/>
        <w:gridCol w:w="4232"/>
        <w:gridCol w:w="1414"/>
        <w:gridCol w:w="1275"/>
        <w:gridCol w:w="1275"/>
        <w:gridCol w:w="1219"/>
        <w:gridCol w:w="1292"/>
        <w:gridCol w:w="1292"/>
        <w:gridCol w:w="658"/>
      </w:tblGrid>
      <w:tr w:rsidR="00280CD4" w:rsidRPr="005823A7" w14:paraId="03086DB8" w14:textId="77777777" w:rsidTr="00701144">
        <w:tc>
          <w:tcPr>
            <w:tcW w:w="1980" w:type="pct"/>
            <w:gridSpan w:val="2"/>
            <w:tcBorders>
              <w:top w:val="single" w:sz="4" w:space="0" w:color="auto"/>
              <w:left w:val="single" w:sz="4" w:space="0" w:color="auto"/>
              <w:bottom w:val="single" w:sz="4" w:space="0" w:color="auto"/>
              <w:right w:val="single" w:sz="4" w:space="0" w:color="auto"/>
            </w:tcBorders>
            <w:vAlign w:val="center"/>
            <w:hideMark/>
          </w:tcPr>
          <w:p w14:paraId="3A8EEDE2" w14:textId="77777777" w:rsidR="00280CD4" w:rsidRPr="005823A7" w:rsidRDefault="00280CD4">
            <w:pPr>
              <w:widowControl w:val="0"/>
              <w:autoSpaceDE w:val="0"/>
              <w:autoSpaceDN w:val="0"/>
              <w:adjustRightInd w:val="0"/>
              <w:spacing w:before="40" w:after="60" w:line="360" w:lineRule="auto"/>
              <w:rPr>
                <w:rFonts w:ascii="Times New Roman" w:hAnsi="Times New Roman" w:cs="Times New Roman"/>
                <w:b/>
                <w:sz w:val="24"/>
                <w:szCs w:val="24"/>
              </w:rPr>
            </w:pPr>
            <w:r w:rsidRPr="005823A7">
              <w:rPr>
                <w:rFonts w:ascii="Times New Roman" w:hAnsi="Times New Roman" w:cs="Times New Roman"/>
                <w:b/>
                <w:sz w:val="24"/>
                <w:szCs w:val="24"/>
                <w:u w:val="single"/>
              </w:rPr>
              <w:br w:type="page"/>
            </w:r>
            <w:r w:rsidRPr="005823A7">
              <w:rPr>
                <w:rFonts w:ascii="Times New Roman" w:hAnsi="Times New Roman" w:cs="Times New Roman"/>
                <w:b/>
                <w:sz w:val="24"/>
                <w:szCs w:val="24"/>
                <w:u w:val="single"/>
              </w:rPr>
              <w:br w:type="page"/>
            </w:r>
            <w:r w:rsidRPr="005823A7">
              <w:rPr>
                <w:rFonts w:ascii="Times New Roman" w:hAnsi="Times New Roman" w:cs="Times New Roman"/>
                <w:b/>
                <w:sz w:val="24"/>
                <w:szCs w:val="24"/>
              </w:rPr>
              <w:t>Explanatory variables</w:t>
            </w:r>
          </w:p>
        </w:tc>
        <w:tc>
          <w:tcPr>
            <w:tcW w:w="507" w:type="pct"/>
            <w:tcBorders>
              <w:top w:val="single" w:sz="4" w:space="0" w:color="auto"/>
              <w:left w:val="single" w:sz="4" w:space="0" w:color="auto"/>
              <w:bottom w:val="single" w:sz="4" w:space="0" w:color="auto"/>
              <w:right w:val="single" w:sz="4" w:space="0" w:color="auto"/>
            </w:tcBorders>
            <w:vAlign w:val="center"/>
            <w:hideMark/>
          </w:tcPr>
          <w:p w14:paraId="1848D73D" w14:textId="77777777" w:rsidR="00280CD4" w:rsidRPr="005823A7" w:rsidRDefault="00280CD4">
            <w:pPr>
              <w:widowControl w:val="0"/>
              <w:autoSpaceDE w:val="0"/>
              <w:autoSpaceDN w:val="0"/>
              <w:adjustRightInd w:val="0"/>
              <w:spacing w:before="40" w:after="60" w:line="360" w:lineRule="auto"/>
              <w:jc w:val="center"/>
              <w:rPr>
                <w:rFonts w:ascii="Times New Roman" w:hAnsi="Times New Roman" w:cs="Times New Roman"/>
                <w:b/>
                <w:sz w:val="24"/>
                <w:szCs w:val="24"/>
              </w:rPr>
            </w:pPr>
            <w:r w:rsidRPr="005823A7">
              <w:rPr>
                <w:rFonts w:ascii="Times New Roman" w:hAnsi="Times New Roman" w:cs="Times New Roman"/>
                <w:b/>
                <w:sz w:val="24"/>
                <w:szCs w:val="24"/>
              </w:rPr>
              <w:t>Coef.</w:t>
            </w:r>
          </w:p>
        </w:tc>
        <w:tc>
          <w:tcPr>
            <w:tcW w:w="457" w:type="pct"/>
            <w:tcBorders>
              <w:top w:val="single" w:sz="4" w:space="0" w:color="auto"/>
              <w:left w:val="single" w:sz="4" w:space="0" w:color="auto"/>
              <w:bottom w:val="single" w:sz="4" w:space="0" w:color="auto"/>
              <w:right w:val="single" w:sz="4" w:space="0" w:color="auto"/>
            </w:tcBorders>
            <w:vAlign w:val="center"/>
            <w:hideMark/>
          </w:tcPr>
          <w:p w14:paraId="3D75F45C" w14:textId="77777777" w:rsidR="00280CD4" w:rsidRPr="005823A7" w:rsidRDefault="00280CD4">
            <w:pPr>
              <w:widowControl w:val="0"/>
              <w:autoSpaceDE w:val="0"/>
              <w:autoSpaceDN w:val="0"/>
              <w:adjustRightInd w:val="0"/>
              <w:spacing w:before="40" w:after="60" w:line="360" w:lineRule="auto"/>
              <w:jc w:val="center"/>
              <w:rPr>
                <w:rFonts w:ascii="Times New Roman" w:hAnsi="Times New Roman" w:cs="Times New Roman"/>
                <w:b/>
                <w:sz w:val="24"/>
                <w:szCs w:val="24"/>
              </w:rPr>
            </w:pPr>
            <w:r w:rsidRPr="005823A7">
              <w:rPr>
                <w:rFonts w:ascii="Times New Roman" w:hAnsi="Times New Roman" w:cs="Times New Roman"/>
                <w:b/>
                <w:sz w:val="24"/>
                <w:szCs w:val="24"/>
              </w:rPr>
              <w:t>St. Err.</w:t>
            </w:r>
          </w:p>
        </w:tc>
        <w:tc>
          <w:tcPr>
            <w:tcW w:w="457" w:type="pct"/>
            <w:tcBorders>
              <w:top w:val="single" w:sz="4" w:space="0" w:color="auto"/>
              <w:left w:val="single" w:sz="4" w:space="0" w:color="auto"/>
              <w:bottom w:val="single" w:sz="4" w:space="0" w:color="auto"/>
              <w:right w:val="single" w:sz="4" w:space="0" w:color="auto"/>
            </w:tcBorders>
            <w:vAlign w:val="center"/>
            <w:hideMark/>
          </w:tcPr>
          <w:p w14:paraId="712C45E9" w14:textId="77777777" w:rsidR="00280CD4" w:rsidRPr="005823A7" w:rsidRDefault="00280CD4">
            <w:pPr>
              <w:widowControl w:val="0"/>
              <w:autoSpaceDE w:val="0"/>
              <w:autoSpaceDN w:val="0"/>
              <w:adjustRightInd w:val="0"/>
              <w:spacing w:before="40" w:after="60" w:line="360" w:lineRule="auto"/>
              <w:jc w:val="center"/>
              <w:rPr>
                <w:rFonts w:ascii="Times New Roman" w:hAnsi="Times New Roman" w:cs="Times New Roman"/>
                <w:b/>
                <w:sz w:val="24"/>
                <w:szCs w:val="24"/>
              </w:rPr>
            </w:pPr>
            <w:r w:rsidRPr="005823A7">
              <w:rPr>
                <w:rFonts w:ascii="Times New Roman" w:hAnsi="Times New Roman" w:cs="Times New Roman"/>
                <w:b/>
                <w:sz w:val="24"/>
                <w:szCs w:val="24"/>
              </w:rPr>
              <w:t>t-value</w:t>
            </w:r>
          </w:p>
        </w:tc>
        <w:tc>
          <w:tcPr>
            <w:tcW w:w="437" w:type="pct"/>
            <w:tcBorders>
              <w:top w:val="single" w:sz="4" w:space="0" w:color="auto"/>
              <w:left w:val="single" w:sz="4" w:space="0" w:color="auto"/>
              <w:bottom w:val="single" w:sz="4" w:space="0" w:color="auto"/>
              <w:right w:val="single" w:sz="4" w:space="0" w:color="auto"/>
            </w:tcBorders>
            <w:vAlign w:val="center"/>
            <w:hideMark/>
          </w:tcPr>
          <w:p w14:paraId="4A82E957" w14:textId="77777777" w:rsidR="00280CD4" w:rsidRPr="005823A7" w:rsidRDefault="00280CD4">
            <w:pPr>
              <w:widowControl w:val="0"/>
              <w:autoSpaceDE w:val="0"/>
              <w:autoSpaceDN w:val="0"/>
              <w:adjustRightInd w:val="0"/>
              <w:spacing w:before="40" w:after="60" w:line="360" w:lineRule="auto"/>
              <w:jc w:val="center"/>
              <w:rPr>
                <w:rFonts w:ascii="Times New Roman" w:hAnsi="Times New Roman" w:cs="Times New Roman"/>
                <w:b/>
                <w:sz w:val="24"/>
                <w:szCs w:val="24"/>
              </w:rPr>
            </w:pPr>
            <w:r w:rsidRPr="005823A7">
              <w:rPr>
                <w:rFonts w:ascii="Times New Roman" w:hAnsi="Times New Roman" w:cs="Times New Roman"/>
                <w:b/>
                <w:sz w:val="24"/>
                <w:szCs w:val="24"/>
              </w:rPr>
              <w:t xml:space="preserve">p-value </w:t>
            </w:r>
          </w:p>
        </w:tc>
        <w:tc>
          <w:tcPr>
            <w:tcW w:w="463" w:type="pct"/>
            <w:tcBorders>
              <w:top w:val="single" w:sz="4" w:space="0" w:color="auto"/>
              <w:left w:val="single" w:sz="4" w:space="0" w:color="auto"/>
              <w:bottom w:val="single" w:sz="4" w:space="0" w:color="auto"/>
              <w:right w:val="single" w:sz="4" w:space="0" w:color="auto"/>
            </w:tcBorders>
            <w:hideMark/>
          </w:tcPr>
          <w:p w14:paraId="1B3E8573" w14:textId="77777777" w:rsidR="00280CD4" w:rsidRPr="005823A7" w:rsidRDefault="00280CD4">
            <w:pPr>
              <w:widowControl w:val="0"/>
              <w:autoSpaceDE w:val="0"/>
              <w:autoSpaceDN w:val="0"/>
              <w:adjustRightInd w:val="0"/>
              <w:spacing w:before="40" w:after="60" w:line="360" w:lineRule="auto"/>
              <w:jc w:val="center"/>
              <w:rPr>
                <w:rFonts w:ascii="Times New Roman" w:hAnsi="Times New Roman" w:cs="Times New Roman"/>
                <w:b/>
                <w:sz w:val="24"/>
                <w:szCs w:val="24"/>
              </w:rPr>
            </w:pPr>
            <w:r w:rsidRPr="005823A7">
              <w:rPr>
                <w:rFonts w:ascii="Times New Roman" w:hAnsi="Times New Roman" w:cs="Times New Roman"/>
                <w:b/>
                <w:sz w:val="24"/>
                <w:szCs w:val="24"/>
              </w:rPr>
              <w:t>95% coeff</w:t>
            </w:r>
          </w:p>
        </w:tc>
        <w:tc>
          <w:tcPr>
            <w:tcW w:w="463" w:type="pct"/>
            <w:tcBorders>
              <w:top w:val="single" w:sz="4" w:space="0" w:color="auto"/>
              <w:left w:val="single" w:sz="4" w:space="0" w:color="auto"/>
              <w:bottom w:val="single" w:sz="4" w:space="0" w:color="auto"/>
              <w:right w:val="single" w:sz="4" w:space="0" w:color="auto"/>
            </w:tcBorders>
            <w:vAlign w:val="center"/>
            <w:hideMark/>
          </w:tcPr>
          <w:p w14:paraId="48925442" w14:textId="77777777" w:rsidR="00280CD4" w:rsidRPr="005823A7" w:rsidRDefault="00280CD4">
            <w:pPr>
              <w:widowControl w:val="0"/>
              <w:autoSpaceDE w:val="0"/>
              <w:autoSpaceDN w:val="0"/>
              <w:adjustRightInd w:val="0"/>
              <w:spacing w:before="40" w:after="60" w:line="360" w:lineRule="auto"/>
              <w:jc w:val="center"/>
              <w:rPr>
                <w:rFonts w:ascii="Times New Roman" w:hAnsi="Times New Roman" w:cs="Times New Roman"/>
                <w:b/>
                <w:sz w:val="24"/>
                <w:szCs w:val="24"/>
              </w:rPr>
            </w:pPr>
            <w:r w:rsidRPr="005823A7">
              <w:rPr>
                <w:rFonts w:ascii="Times New Roman" w:hAnsi="Times New Roman" w:cs="Times New Roman"/>
                <w:b/>
                <w:sz w:val="24"/>
                <w:szCs w:val="24"/>
              </w:rPr>
              <w:t>Interval]</w:t>
            </w:r>
          </w:p>
        </w:tc>
        <w:tc>
          <w:tcPr>
            <w:tcW w:w="236" w:type="pct"/>
            <w:tcBorders>
              <w:top w:val="single" w:sz="4" w:space="0" w:color="auto"/>
              <w:left w:val="single" w:sz="4" w:space="0" w:color="auto"/>
              <w:bottom w:val="single" w:sz="4" w:space="0" w:color="auto"/>
              <w:right w:val="single" w:sz="4" w:space="0" w:color="auto"/>
            </w:tcBorders>
            <w:vAlign w:val="center"/>
            <w:hideMark/>
          </w:tcPr>
          <w:p w14:paraId="30B74CC2" w14:textId="77777777" w:rsidR="00280CD4" w:rsidRPr="005823A7" w:rsidRDefault="00280CD4">
            <w:pPr>
              <w:widowControl w:val="0"/>
              <w:autoSpaceDE w:val="0"/>
              <w:autoSpaceDN w:val="0"/>
              <w:adjustRightInd w:val="0"/>
              <w:spacing w:before="40" w:after="60" w:line="360" w:lineRule="auto"/>
              <w:jc w:val="center"/>
              <w:rPr>
                <w:rFonts w:ascii="Times New Roman" w:hAnsi="Times New Roman" w:cs="Times New Roman"/>
                <w:b/>
                <w:sz w:val="24"/>
                <w:szCs w:val="24"/>
              </w:rPr>
            </w:pPr>
            <w:r w:rsidRPr="005823A7">
              <w:rPr>
                <w:rFonts w:ascii="Times New Roman" w:hAnsi="Times New Roman" w:cs="Times New Roman"/>
                <w:b/>
                <w:sz w:val="24"/>
                <w:szCs w:val="24"/>
              </w:rPr>
              <w:t>Sig</w:t>
            </w:r>
          </w:p>
        </w:tc>
      </w:tr>
      <w:tr w:rsidR="00280CD4" w:rsidRPr="005823A7" w14:paraId="132B72D0" w14:textId="77777777" w:rsidTr="00701144">
        <w:tc>
          <w:tcPr>
            <w:tcW w:w="1980" w:type="pct"/>
            <w:gridSpan w:val="2"/>
            <w:tcBorders>
              <w:top w:val="single" w:sz="4" w:space="0" w:color="auto"/>
              <w:left w:val="single" w:sz="4" w:space="0" w:color="auto"/>
              <w:bottom w:val="single" w:sz="4" w:space="0" w:color="auto"/>
              <w:right w:val="single" w:sz="4" w:space="0" w:color="auto"/>
            </w:tcBorders>
            <w:hideMark/>
          </w:tcPr>
          <w:p w14:paraId="7565EB01" w14:textId="77777777" w:rsidR="00280CD4" w:rsidRPr="005823A7" w:rsidRDefault="00280CD4">
            <w:pPr>
              <w:widowControl w:val="0"/>
              <w:autoSpaceDE w:val="0"/>
              <w:autoSpaceDN w:val="0"/>
              <w:adjustRightInd w:val="0"/>
              <w:spacing w:after="0" w:line="360" w:lineRule="auto"/>
              <w:rPr>
                <w:rFonts w:ascii="Times New Roman" w:hAnsi="Times New Roman" w:cs="Times New Roman"/>
                <w:b/>
                <w:sz w:val="24"/>
                <w:szCs w:val="24"/>
                <w:lang w:val="en-US"/>
              </w:rPr>
            </w:pPr>
            <w:r w:rsidRPr="005823A7">
              <w:rPr>
                <w:rFonts w:ascii="Times New Roman" w:hAnsi="Times New Roman" w:cs="Times New Roman"/>
                <w:b/>
                <w:sz w:val="24"/>
                <w:szCs w:val="24"/>
                <w:lang w:val="en-US"/>
              </w:rPr>
              <w:t xml:space="preserve">Adoption of solarization of tubewells </w:t>
            </w:r>
            <w:r w:rsidRPr="005823A7">
              <w:rPr>
                <w:rFonts w:ascii="Times New Roman" w:hAnsi="Times New Roman" w:cs="Times New Roman"/>
                <w:b/>
                <w:sz w:val="24"/>
                <w:szCs w:val="24"/>
              </w:rPr>
              <w:t>(0=no, 1=yes)</w:t>
            </w:r>
          </w:p>
        </w:tc>
        <w:tc>
          <w:tcPr>
            <w:tcW w:w="507" w:type="pct"/>
            <w:tcBorders>
              <w:top w:val="single" w:sz="4" w:space="0" w:color="auto"/>
              <w:left w:val="single" w:sz="4" w:space="0" w:color="auto"/>
              <w:bottom w:val="single" w:sz="4" w:space="0" w:color="auto"/>
              <w:right w:val="single" w:sz="4" w:space="0" w:color="auto"/>
            </w:tcBorders>
            <w:vAlign w:val="center"/>
            <w:hideMark/>
          </w:tcPr>
          <w:p w14:paraId="61F58A49"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3.143</w:t>
            </w:r>
          </w:p>
        </w:tc>
        <w:tc>
          <w:tcPr>
            <w:tcW w:w="457" w:type="pct"/>
            <w:tcBorders>
              <w:top w:val="single" w:sz="4" w:space="0" w:color="auto"/>
              <w:left w:val="single" w:sz="4" w:space="0" w:color="auto"/>
              <w:bottom w:val="single" w:sz="4" w:space="0" w:color="auto"/>
              <w:right w:val="single" w:sz="4" w:space="0" w:color="auto"/>
            </w:tcBorders>
            <w:vAlign w:val="center"/>
            <w:hideMark/>
          </w:tcPr>
          <w:p w14:paraId="23C70C48"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.577</w:t>
            </w:r>
          </w:p>
        </w:tc>
        <w:tc>
          <w:tcPr>
            <w:tcW w:w="457" w:type="pct"/>
            <w:tcBorders>
              <w:top w:val="single" w:sz="4" w:space="0" w:color="auto"/>
              <w:left w:val="single" w:sz="4" w:space="0" w:color="auto"/>
              <w:bottom w:val="single" w:sz="4" w:space="0" w:color="auto"/>
              <w:right w:val="single" w:sz="4" w:space="0" w:color="auto"/>
            </w:tcBorders>
            <w:vAlign w:val="center"/>
            <w:hideMark/>
          </w:tcPr>
          <w:p w14:paraId="262EE001"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5.45</w:t>
            </w:r>
          </w:p>
        </w:tc>
        <w:tc>
          <w:tcPr>
            <w:tcW w:w="437" w:type="pct"/>
            <w:tcBorders>
              <w:top w:val="single" w:sz="4" w:space="0" w:color="auto"/>
              <w:left w:val="single" w:sz="4" w:space="0" w:color="auto"/>
              <w:bottom w:val="single" w:sz="4" w:space="0" w:color="auto"/>
              <w:right w:val="single" w:sz="4" w:space="0" w:color="auto"/>
            </w:tcBorders>
            <w:vAlign w:val="center"/>
            <w:hideMark/>
          </w:tcPr>
          <w:p w14:paraId="6F544287"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0</w:t>
            </w:r>
          </w:p>
        </w:tc>
        <w:tc>
          <w:tcPr>
            <w:tcW w:w="463" w:type="pct"/>
            <w:tcBorders>
              <w:top w:val="single" w:sz="4" w:space="0" w:color="auto"/>
              <w:left w:val="single" w:sz="4" w:space="0" w:color="auto"/>
              <w:bottom w:val="single" w:sz="4" w:space="0" w:color="auto"/>
              <w:right w:val="single" w:sz="4" w:space="0" w:color="auto"/>
            </w:tcBorders>
            <w:vAlign w:val="center"/>
            <w:hideMark/>
          </w:tcPr>
          <w:p w14:paraId="0E892FC7"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2.012</w:t>
            </w:r>
          </w:p>
        </w:tc>
        <w:tc>
          <w:tcPr>
            <w:tcW w:w="463" w:type="pct"/>
            <w:tcBorders>
              <w:top w:val="single" w:sz="4" w:space="0" w:color="auto"/>
              <w:left w:val="single" w:sz="4" w:space="0" w:color="auto"/>
              <w:bottom w:val="single" w:sz="4" w:space="0" w:color="auto"/>
              <w:right w:val="single" w:sz="4" w:space="0" w:color="auto"/>
            </w:tcBorders>
            <w:vAlign w:val="center"/>
            <w:hideMark/>
          </w:tcPr>
          <w:p w14:paraId="3FFAAD26"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4.274</w:t>
            </w:r>
          </w:p>
        </w:tc>
        <w:tc>
          <w:tcPr>
            <w:tcW w:w="236" w:type="pct"/>
            <w:tcBorders>
              <w:top w:val="single" w:sz="4" w:space="0" w:color="auto"/>
              <w:left w:val="single" w:sz="4" w:space="0" w:color="auto"/>
              <w:bottom w:val="single" w:sz="4" w:space="0" w:color="auto"/>
              <w:right w:val="single" w:sz="4" w:space="0" w:color="auto"/>
            </w:tcBorders>
            <w:vAlign w:val="center"/>
            <w:hideMark/>
          </w:tcPr>
          <w:p w14:paraId="0ED16C11"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w:t>
            </w:r>
          </w:p>
        </w:tc>
      </w:tr>
      <w:tr w:rsidR="00280CD4" w:rsidRPr="005823A7" w14:paraId="10E75CDD" w14:textId="77777777" w:rsidTr="00701144">
        <w:tc>
          <w:tcPr>
            <w:tcW w:w="1980" w:type="pct"/>
            <w:gridSpan w:val="2"/>
            <w:tcBorders>
              <w:top w:val="single" w:sz="4" w:space="0" w:color="auto"/>
              <w:left w:val="single" w:sz="4" w:space="0" w:color="auto"/>
              <w:bottom w:val="single" w:sz="4" w:space="0" w:color="auto"/>
              <w:right w:val="single" w:sz="4" w:space="0" w:color="auto"/>
            </w:tcBorders>
            <w:hideMark/>
          </w:tcPr>
          <w:p w14:paraId="04E0569B" w14:textId="77777777" w:rsidR="00280CD4" w:rsidRPr="005823A7" w:rsidRDefault="00280CD4">
            <w:pPr>
              <w:widowControl w:val="0"/>
              <w:autoSpaceDE w:val="0"/>
              <w:autoSpaceDN w:val="0"/>
              <w:adjustRightInd w:val="0"/>
              <w:spacing w:after="0" w:line="360" w:lineRule="auto"/>
              <w:rPr>
                <w:rFonts w:ascii="Times New Roman" w:hAnsi="Times New Roman" w:cs="Times New Roman"/>
                <w:b/>
                <w:sz w:val="24"/>
                <w:szCs w:val="24"/>
                <w:lang w:val="en-US"/>
              </w:rPr>
            </w:pPr>
            <w:r w:rsidRPr="005823A7">
              <w:rPr>
                <w:rFonts w:ascii="Times New Roman" w:hAnsi="Times New Roman" w:cs="Times New Roman"/>
                <w:b/>
                <w:sz w:val="24"/>
                <w:szCs w:val="24"/>
                <w:lang w:val="en-US"/>
              </w:rPr>
              <w:t>Age (year)</w:t>
            </w:r>
          </w:p>
        </w:tc>
        <w:tc>
          <w:tcPr>
            <w:tcW w:w="507" w:type="pct"/>
            <w:tcBorders>
              <w:top w:val="single" w:sz="4" w:space="0" w:color="auto"/>
              <w:left w:val="single" w:sz="4" w:space="0" w:color="auto"/>
              <w:bottom w:val="single" w:sz="4" w:space="0" w:color="auto"/>
              <w:right w:val="single" w:sz="4" w:space="0" w:color="auto"/>
            </w:tcBorders>
            <w:vAlign w:val="center"/>
            <w:hideMark/>
          </w:tcPr>
          <w:p w14:paraId="2D671EE6"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.057</w:t>
            </w:r>
          </w:p>
        </w:tc>
        <w:tc>
          <w:tcPr>
            <w:tcW w:w="457" w:type="pct"/>
            <w:tcBorders>
              <w:top w:val="single" w:sz="4" w:space="0" w:color="auto"/>
              <w:left w:val="single" w:sz="4" w:space="0" w:color="auto"/>
              <w:bottom w:val="single" w:sz="4" w:space="0" w:color="auto"/>
              <w:right w:val="single" w:sz="4" w:space="0" w:color="auto"/>
            </w:tcBorders>
            <w:vAlign w:val="center"/>
            <w:hideMark/>
          </w:tcPr>
          <w:p w14:paraId="681925EF"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.015</w:t>
            </w:r>
          </w:p>
        </w:tc>
        <w:tc>
          <w:tcPr>
            <w:tcW w:w="457" w:type="pct"/>
            <w:tcBorders>
              <w:top w:val="single" w:sz="4" w:space="0" w:color="auto"/>
              <w:left w:val="single" w:sz="4" w:space="0" w:color="auto"/>
              <w:bottom w:val="single" w:sz="4" w:space="0" w:color="auto"/>
              <w:right w:val="single" w:sz="4" w:space="0" w:color="auto"/>
            </w:tcBorders>
            <w:vAlign w:val="center"/>
            <w:hideMark/>
          </w:tcPr>
          <w:p w14:paraId="27D12D7F"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3.75</w:t>
            </w:r>
          </w:p>
        </w:tc>
        <w:tc>
          <w:tcPr>
            <w:tcW w:w="437" w:type="pct"/>
            <w:tcBorders>
              <w:top w:val="single" w:sz="4" w:space="0" w:color="auto"/>
              <w:left w:val="single" w:sz="4" w:space="0" w:color="auto"/>
              <w:bottom w:val="single" w:sz="4" w:space="0" w:color="auto"/>
              <w:right w:val="single" w:sz="4" w:space="0" w:color="auto"/>
            </w:tcBorders>
            <w:vAlign w:val="center"/>
            <w:hideMark/>
          </w:tcPr>
          <w:p w14:paraId="1ECB3BA7"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0</w:t>
            </w:r>
          </w:p>
        </w:tc>
        <w:tc>
          <w:tcPr>
            <w:tcW w:w="463" w:type="pct"/>
            <w:tcBorders>
              <w:top w:val="single" w:sz="4" w:space="0" w:color="auto"/>
              <w:left w:val="single" w:sz="4" w:space="0" w:color="auto"/>
              <w:bottom w:val="single" w:sz="4" w:space="0" w:color="auto"/>
              <w:right w:val="single" w:sz="4" w:space="0" w:color="auto"/>
            </w:tcBorders>
            <w:vAlign w:val="center"/>
            <w:hideMark/>
          </w:tcPr>
          <w:p w14:paraId="75BC3953"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.027</w:t>
            </w:r>
          </w:p>
        </w:tc>
        <w:tc>
          <w:tcPr>
            <w:tcW w:w="463" w:type="pct"/>
            <w:tcBorders>
              <w:top w:val="single" w:sz="4" w:space="0" w:color="auto"/>
              <w:left w:val="single" w:sz="4" w:space="0" w:color="auto"/>
              <w:bottom w:val="single" w:sz="4" w:space="0" w:color="auto"/>
              <w:right w:val="single" w:sz="4" w:space="0" w:color="auto"/>
            </w:tcBorders>
            <w:vAlign w:val="center"/>
            <w:hideMark/>
          </w:tcPr>
          <w:p w14:paraId="50F0262E"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.087</w:t>
            </w:r>
          </w:p>
        </w:tc>
        <w:tc>
          <w:tcPr>
            <w:tcW w:w="236" w:type="pct"/>
            <w:tcBorders>
              <w:top w:val="single" w:sz="4" w:space="0" w:color="auto"/>
              <w:left w:val="single" w:sz="4" w:space="0" w:color="auto"/>
              <w:bottom w:val="single" w:sz="4" w:space="0" w:color="auto"/>
              <w:right w:val="single" w:sz="4" w:space="0" w:color="auto"/>
            </w:tcBorders>
            <w:vAlign w:val="center"/>
            <w:hideMark/>
          </w:tcPr>
          <w:p w14:paraId="27F58476"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w:t>
            </w:r>
          </w:p>
        </w:tc>
      </w:tr>
      <w:tr w:rsidR="00280CD4" w:rsidRPr="005823A7" w14:paraId="0D1E8B36" w14:textId="77777777" w:rsidTr="00701144">
        <w:tc>
          <w:tcPr>
            <w:tcW w:w="1980" w:type="pct"/>
            <w:gridSpan w:val="2"/>
            <w:tcBorders>
              <w:top w:val="single" w:sz="4" w:space="0" w:color="auto"/>
              <w:left w:val="single" w:sz="4" w:space="0" w:color="auto"/>
              <w:bottom w:val="single" w:sz="4" w:space="0" w:color="auto"/>
              <w:right w:val="single" w:sz="4" w:space="0" w:color="auto"/>
            </w:tcBorders>
            <w:hideMark/>
          </w:tcPr>
          <w:p w14:paraId="16E25464" w14:textId="77777777" w:rsidR="00280CD4" w:rsidRPr="005823A7" w:rsidRDefault="00280CD4">
            <w:pPr>
              <w:widowControl w:val="0"/>
              <w:autoSpaceDE w:val="0"/>
              <w:autoSpaceDN w:val="0"/>
              <w:adjustRightInd w:val="0"/>
              <w:spacing w:after="0" w:line="360" w:lineRule="auto"/>
              <w:rPr>
                <w:rFonts w:ascii="Times New Roman" w:hAnsi="Times New Roman" w:cs="Times New Roman"/>
                <w:b/>
                <w:sz w:val="24"/>
                <w:szCs w:val="24"/>
                <w:lang w:val="en-US"/>
              </w:rPr>
            </w:pPr>
            <w:r w:rsidRPr="005823A7">
              <w:rPr>
                <w:rFonts w:ascii="Times New Roman" w:hAnsi="Times New Roman" w:cs="Times New Roman"/>
                <w:b/>
                <w:sz w:val="24"/>
                <w:szCs w:val="24"/>
                <w:lang w:val="en-US"/>
              </w:rPr>
              <w:t>Schooling (year)</w:t>
            </w:r>
          </w:p>
        </w:tc>
        <w:tc>
          <w:tcPr>
            <w:tcW w:w="507" w:type="pct"/>
            <w:tcBorders>
              <w:top w:val="single" w:sz="4" w:space="0" w:color="auto"/>
              <w:left w:val="single" w:sz="4" w:space="0" w:color="auto"/>
              <w:bottom w:val="single" w:sz="4" w:space="0" w:color="auto"/>
              <w:right w:val="single" w:sz="4" w:space="0" w:color="auto"/>
            </w:tcBorders>
            <w:vAlign w:val="center"/>
            <w:hideMark/>
          </w:tcPr>
          <w:p w14:paraId="03CC4C76"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.047</w:t>
            </w:r>
          </w:p>
        </w:tc>
        <w:tc>
          <w:tcPr>
            <w:tcW w:w="457" w:type="pct"/>
            <w:tcBorders>
              <w:top w:val="single" w:sz="4" w:space="0" w:color="auto"/>
              <w:left w:val="single" w:sz="4" w:space="0" w:color="auto"/>
              <w:bottom w:val="single" w:sz="4" w:space="0" w:color="auto"/>
              <w:right w:val="single" w:sz="4" w:space="0" w:color="auto"/>
            </w:tcBorders>
            <w:vAlign w:val="center"/>
            <w:hideMark/>
          </w:tcPr>
          <w:p w14:paraId="4F9DECF5"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.031</w:t>
            </w:r>
          </w:p>
        </w:tc>
        <w:tc>
          <w:tcPr>
            <w:tcW w:w="457" w:type="pct"/>
            <w:tcBorders>
              <w:top w:val="single" w:sz="4" w:space="0" w:color="auto"/>
              <w:left w:val="single" w:sz="4" w:space="0" w:color="auto"/>
              <w:bottom w:val="single" w:sz="4" w:space="0" w:color="auto"/>
              <w:right w:val="single" w:sz="4" w:space="0" w:color="auto"/>
            </w:tcBorders>
            <w:vAlign w:val="center"/>
            <w:hideMark/>
          </w:tcPr>
          <w:p w14:paraId="789865A4"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1.53</w:t>
            </w:r>
          </w:p>
        </w:tc>
        <w:tc>
          <w:tcPr>
            <w:tcW w:w="437" w:type="pct"/>
            <w:tcBorders>
              <w:top w:val="single" w:sz="4" w:space="0" w:color="auto"/>
              <w:left w:val="single" w:sz="4" w:space="0" w:color="auto"/>
              <w:bottom w:val="single" w:sz="4" w:space="0" w:color="auto"/>
              <w:right w:val="single" w:sz="4" w:space="0" w:color="auto"/>
            </w:tcBorders>
            <w:vAlign w:val="center"/>
            <w:hideMark/>
          </w:tcPr>
          <w:p w14:paraId="09804156"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.125</w:t>
            </w:r>
          </w:p>
        </w:tc>
        <w:tc>
          <w:tcPr>
            <w:tcW w:w="463" w:type="pct"/>
            <w:tcBorders>
              <w:top w:val="single" w:sz="4" w:space="0" w:color="auto"/>
              <w:left w:val="single" w:sz="4" w:space="0" w:color="auto"/>
              <w:bottom w:val="single" w:sz="4" w:space="0" w:color="auto"/>
              <w:right w:val="single" w:sz="4" w:space="0" w:color="auto"/>
            </w:tcBorders>
            <w:vAlign w:val="center"/>
            <w:hideMark/>
          </w:tcPr>
          <w:p w14:paraId="1857445B"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-.013</w:t>
            </w:r>
          </w:p>
        </w:tc>
        <w:tc>
          <w:tcPr>
            <w:tcW w:w="463" w:type="pct"/>
            <w:tcBorders>
              <w:top w:val="single" w:sz="4" w:space="0" w:color="auto"/>
              <w:left w:val="single" w:sz="4" w:space="0" w:color="auto"/>
              <w:bottom w:val="single" w:sz="4" w:space="0" w:color="auto"/>
              <w:right w:val="single" w:sz="4" w:space="0" w:color="auto"/>
            </w:tcBorders>
            <w:vAlign w:val="center"/>
            <w:hideMark/>
          </w:tcPr>
          <w:p w14:paraId="66E60ECE"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.107</w:t>
            </w:r>
          </w:p>
        </w:tc>
        <w:tc>
          <w:tcPr>
            <w:tcW w:w="236" w:type="pct"/>
            <w:tcBorders>
              <w:top w:val="single" w:sz="4" w:space="0" w:color="auto"/>
              <w:left w:val="single" w:sz="4" w:space="0" w:color="auto"/>
              <w:bottom w:val="single" w:sz="4" w:space="0" w:color="auto"/>
              <w:right w:val="single" w:sz="4" w:space="0" w:color="auto"/>
            </w:tcBorders>
            <w:vAlign w:val="center"/>
            <w:hideMark/>
          </w:tcPr>
          <w:p w14:paraId="22D2D412" w14:textId="77777777" w:rsidR="00280CD4" w:rsidRPr="005823A7" w:rsidRDefault="00280CD4" w:rsidP="00701144">
            <w:pPr>
              <w:jc w:val="center"/>
              <w:rPr>
                <w:rFonts w:ascii="Times New Roman" w:hAnsi="Times New Roman" w:cs="Times New Roman"/>
                <w:sz w:val="24"/>
                <w:szCs w:val="24"/>
                <w:lang w:val="en-US"/>
              </w:rPr>
            </w:pPr>
          </w:p>
        </w:tc>
      </w:tr>
      <w:tr w:rsidR="00280CD4" w:rsidRPr="005823A7" w14:paraId="27742F1C" w14:textId="77777777" w:rsidTr="00701144">
        <w:tc>
          <w:tcPr>
            <w:tcW w:w="1980" w:type="pct"/>
            <w:gridSpan w:val="2"/>
            <w:tcBorders>
              <w:top w:val="single" w:sz="4" w:space="0" w:color="auto"/>
              <w:left w:val="single" w:sz="4" w:space="0" w:color="auto"/>
              <w:bottom w:val="single" w:sz="4" w:space="0" w:color="auto"/>
              <w:right w:val="single" w:sz="4" w:space="0" w:color="auto"/>
            </w:tcBorders>
            <w:hideMark/>
          </w:tcPr>
          <w:p w14:paraId="67CF53D5" w14:textId="77777777" w:rsidR="00280CD4" w:rsidRPr="005823A7" w:rsidRDefault="00280CD4">
            <w:pPr>
              <w:widowControl w:val="0"/>
              <w:autoSpaceDE w:val="0"/>
              <w:autoSpaceDN w:val="0"/>
              <w:adjustRightInd w:val="0"/>
              <w:spacing w:after="0" w:line="360" w:lineRule="auto"/>
              <w:rPr>
                <w:rFonts w:ascii="Times New Roman" w:hAnsi="Times New Roman" w:cs="Times New Roman"/>
                <w:b/>
                <w:sz w:val="24"/>
                <w:szCs w:val="24"/>
                <w:lang w:val="en-US"/>
              </w:rPr>
            </w:pPr>
            <w:r w:rsidRPr="005823A7">
              <w:rPr>
                <w:rFonts w:ascii="Times New Roman" w:hAnsi="Times New Roman" w:cs="Times New Roman"/>
                <w:b/>
                <w:sz w:val="24"/>
                <w:szCs w:val="24"/>
                <w:lang w:val="en-US"/>
              </w:rPr>
              <w:t>Cultivated land (acre)</w:t>
            </w:r>
          </w:p>
        </w:tc>
        <w:tc>
          <w:tcPr>
            <w:tcW w:w="507" w:type="pct"/>
            <w:tcBorders>
              <w:top w:val="single" w:sz="4" w:space="0" w:color="auto"/>
              <w:left w:val="single" w:sz="4" w:space="0" w:color="auto"/>
              <w:bottom w:val="single" w:sz="4" w:space="0" w:color="auto"/>
              <w:right w:val="single" w:sz="4" w:space="0" w:color="auto"/>
            </w:tcBorders>
            <w:vAlign w:val="center"/>
            <w:hideMark/>
          </w:tcPr>
          <w:p w14:paraId="17CFFB95"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-.103</w:t>
            </w:r>
          </w:p>
        </w:tc>
        <w:tc>
          <w:tcPr>
            <w:tcW w:w="457" w:type="pct"/>
            <w:tcBorders>
              <w:top w:val="single" w:sz="4" w:space="0" w:color="auto"/>
              <w:left w:val="single" w:sz="4" w:space="0" w:color="auto"/>
              <w:bottom w:val="single" w:sz="4" w:space="0" w:color="auto"/>
              <w:right w:val="single" w:sz="4" w:space="0" w:color="auto"/>
            </w:tcBorders>
            <w:vAlign w:val="center"/>
            <w:hideMark/>
          </w:tcPr>
          <w:p w14:paraId="20F33782"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.024</w:t>
            </w:r>
          </w:p>
        </w:tc>
        <w:tc>
          <w:tcPr>
            <w:tcW w:w="457" w:type="pct"/>
            <w:tcBorders>
              <w:top w:val="single" w:sz="4" w:space="0" w:color="auto"/>
              <w:left w:val="single" w:sz="4" w:space="0" w:color="auto"/>
              <w:bottom w:val="single" w:sz="4" w:space="0" w:color="auto"/>
              <w:right w:val="single" w:sz="4" w:space="0" w:color="auto"/>
            </w:tcBorders>
            <w:vAlign w:val="center"/>
            <w:hideMark/>
          </w:tcPr>
          <w:p w14:paraId="2DA5286E"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-4.30</w:t>
            </w:r>
          </w:p>
        </w:tc>
        <w:tc>
          <w:tcPr>
            <w:tcW w:w="437" w:type="pct"/>
            <w:tcBorders>
              <w:top w:val="single" w:sz="4" w:space="0" w:color="auto"/>
              <w:left w:val="single" w:sz="4" w:space="0" w:color="auto"/>
              <w:bottom w:val="single" w:sz="4" w:space="0" w:color="auto"/>
              <w:right w:val="single" w:sz="4" w:space="0" w:color="auto"/>
            </w:tcBorders>
            <w:vAlign w:val="center"/>
            <w:hideMark/>
          </w:tcPr>
          <w:p w14:paraId="340CD243"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0</w:t>
            </w:r>
          </w:p>
        </w:tc>
        <w:tc>
          <w:tcPr>
            <w:tcW w:w="463" w:type="pct"/>
            <w:tcBorders>
              <w:top w:val="single" w:sz="4" w:space="0" w:color="auto"/>
              <w:left w:val="single" w:sz="4" w:space="0" w:color="auto"/>
              <w:bottom w:val="single" w:sz="4" w:space="0" w:color="auto"/>
              <w:right w:val="single" w:sz="4" w:space="0" w:color="auto"/>
            </w:tcBorders>
            <w:vAlign w:val="center"/>
            <w:hideMark/>
          </w:tcPr>
          <w:p w14:paraId="6AEB270F"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-.15</w:t>
            </w:r>
          </w:p>
        </w:tc>
        <w:tc>
          <w:tcPr>
            <w:tcW w:w="463" w:type="pct"/>
            <w:tcBorders>
              <w:top w:val="single" w:sz="4" w:space="0" w:color="auto"/>
              <w:left w:val="single" w:sz="4" w:space="0" w:color="auto"/>
              <w:bottom w:val="single" w:sz="4" w:space="0" w:color="auto"/>
              <w:right w:val="single" w:sz="4" w:space="0" w:color="auto"/>
            </w:tcBorders>
            <w:vAlign w:val="center"/>
            <w:hideMark/>
          </w:tcPr>
          <w:p w14:paraId="5A4658AB"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-.056</w:t>
            </w:r>
          </w:p>
        </w:tc>
        <w:tc>
          <w:tcPr>
            <w:tcW w:w="235" w:type="pct"/>
            <w:tcBorders>
              <w:top w:val="single" w:sz="4" w:space="0" w:color="auto"/>
              <w:left w:val="single" w:sz="4" w:space="0" w:color="auto"/>
              <w:bottom w:val="single" w:sz="4" w:space="0" w:color="auto"/>
              <w:right w:val="single" w:sz="4" w:space="0" w:color="auto"/>
            </w:tcBorders>
            <w:vAlign w:val="center"/>
            <w:hideMark/>
          </w:tcPr>
          <w:p w14:paraId="57C47974"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w:t>
            </w:r>
          </w:p>
        </w:tc>
      </w:tr>
      <w:tr w:rsidR="00280CD4" w:rsidRPr="005823A7" w14:paraId="28814F5A" w14:textId="77777777" w:rsidTr="00701144">
        <w:tc>
          <w:tcPr>
            <w:tcW w:w="1980" w:type="pct"/>
            <w:gridSpan w:val="2"/>
            <w:tcBorders>
              <w:top w:val="single" w:sz="4" w:space="0" w:color="auto"/>
              <w:left w:val="single" w:sz="4" w:space="0" w:color="auto"/>
              <w:bottom w:val="single" w:sz="4" w:space="0" w:color="auto"/>
              <w:right w:val="single" w:sz="4" w:space="0" w:color="auto"/>
            </w:tcBorders>
            <w:hideMark/>
          </w:tcPr>
          <w:p w14:paraId="2F400217" w14:textId="77777777" w:rsidR="00280CD4" w:rsidRPr="005823A7" w:rsidRDefault="00280CD4">
            <w:pPr>
              <w:widowControl w:val="0"/>
              <w:autoSpaceDE w:val="0"/>
              <w:autoSpaceDN w:val="0"/>
              <w:adjustRightInd w:val="0"/>
              <w:spacing w:after="0" w:line="360" w:lineRule="auto"/>
              <w:rPr>
                <w:rFonts w:ascii="Times New Roman" w:hAnsi="Times New Roman" w:cs="Times New Roman"/>
                <w:b/>
                <w:sz w:val="24"/>
                <w:szCs w:val="24"/>
                <w:lang w:val="en-US"/>
              </w:rPr>
            </w:pPr>
            <w:r w:rsidRPr="005823A7">
              <w:rPr>
                <w:rFonts w:ascii="Times New Roman" w:hAnsi="Times New Roman" w:cs="Times New Roman"/>
                <w:b/>
                <w:sz w:val="24"/>
                <w:szCs w:val="24"/>
                <w:lang w:val="en-US"/>
              </w:rPr>
              <w:t>Watertable depth nowadays (feet)</w:t>
            </w:r>
          </w:p>
        </w:tc>
        <w:tc>
          <w:tcPr>
            <w:tcW w:w="507" w:type="pct"/>
            <w:tcBorders>
              <w:top w:val="single" w:sz="4" w:space="0" w:color="auto"/>
              <w:left w:val="single" w:sz="4" w:space="0" w:color="auto"/>
              <w:bottom w:val="single" w:sz="4" w:space="0" w:color="auto"/>
              <w:right w:val="single" w:sz="4" w:space="0" w:color="auto"/>
            </w:tcBorders>
            <w:vAlign w:val="center"/>
            <w:hideMark/>
          </w:tcPr>
          <w:p w14:paraId="459CF9AE"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.004</w:t>
            </w:r>
          </w:p>
        </w:tc>
        <w:tc>
          <w:tcPr>
            <w:tcW w:w="457" w:type="pct"/>
            <w:tcBorders>
              <w:top w:val="single" w:sz="4" w:space="0" w:color="auto"/>
              <w:left w:val="single" w:sz="4" w:space="0" w:color="auto"/>
              <w:bottom w:val="single" w:sz="4" w:space="0" w:color="auto"/>
              <w:right w:val="single" w:sz="4" w:space="0" w:color="auto"/>
            </w:tcBorders>
            <w:vAlign w:val="center"/>
            <w:hideMark/>
          </w:tcPr>
          <w:p w14:paraId="3223736F"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.001</w:t>
            </w:r>
          </w:p>
        </w:tc>
        <w:tc>
          <w:tcPr>
            <w:tcW w:w="457" w:type="pct"/>
            <w:tcBorders>
              <w:top w:val="single" w:sz="4" w:space="0" w:color="auto"/>
              <w:left w:val="single" w:sz="4" w:space="0" w:color="auto"/>
              <w:bottom w:val="single" w:sz="4" w:space="0" w:color="auto"/>
              <w:right w:val="single" w:sz="4" w:space="0" w:color="auto"/>
            </w:tcBorders>
            <w:vAlign w:val="center"/>
            <w:hideMark/>
          </w:tcPr>
          <w:p w14:paraId="15104065"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5.13</w:t>
            </w:r>
          </w:p>
        </w:tc>
        <w:tc>
          <w:tcPr>
            <w:tcW w:w="437" w:type="pct"/>
            <w:tcBorders>
              <w:top w:val="single" w:sz="4" w:space="0" w:color="auto"/>
              <w:left w:val="single" w:sz="4" w:space="0" w:color="auto"/>
              <w:bottom w:val="single" w:sz="4" w:space="0" w:color="auto"/>
              <w:right w:val="single" w:sz="4" w:space="0" w:color="auto"/>
            </w:tcBorders>
            <w:vAlign w:val="center"/>
            <w:hideMark/>
          </w:tcPr>
          <w:p w14:paraId="2B8318B7"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0</w:t>
            </w:r>
          </w:p>
        </w:tc>
        <w:tc>
          <w:tcPr>
            <w:tcW w:w="463" w:type="pct"/>
            <w:tcBorders>
              <w:top w:val="single" w:sz="4" w:space="0" w:color="auto"/>
              <w:left w:val="single" w:sz="4" w:space="0" w:color="auto"/>
              <w:bottom w:val="single" w:sz="4" w:space="0" w:color="auto"/>
              <w:right w:val="single" w:sz="4" w:space="0" w:color="auto"/>
            </w:tcBorders>
            <w:vAlign w:val="center"/>
            <w:hideMark/>
          </w:tcPr>
          <w:p w14:paraId="5F57FCE5"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.002</w:t>
            </w:r>
          </w:p>
        </w:tc>
        <w:tc>
          <w:tcPr>
            <w:tcW w:w="463" w:type="pct"/>
            <w:tcBorders>
              <w:top w:val="single" w:sz="4" w:space="0" w:color="auto"/>
              <w:left w:val="single" w:sz="4" w:space="0" w:color="auto"/>
              <w:bottom w:val="single" w:sz="4" w:space="0" w:color="auto"/>
              <w:right w:val="single" w:sz="4" w:space="0" w:color="auto"/>
            </w:tcBorders>
            <w:vAlign w:val="center"/>
            <w:hideMark/>
          </w:tcPr>
          <w:p w14:paraId="4D8DC3EB"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.005</w:t>
            </w:r>
          </w:p>
        </w:tc>
        <w:tc>
          <w:tcPr>
            <w:tcW w:w="235" w:type="pct"/>
            <w:tcBorders>
              <w:top w:val="single" w:sz="4" w:space="0" w:color="auto"/>
              <w:left w:val="single" w:sz="4" w:space="0" w:color="auto"/>
              <w:bottom w:val="single" w:sz="4" w:space="0" w:color="auto"/>
              <w:right w:val="single" w:sz="4" w:space="0" w:color="auto"/>
            </w:tcBorders>
            <w:vAlign w:val="center"/>
            <w:hideMark/>
          </w:tcPr>
          <w:p w14:paraId="52A1E955"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w:t>
            </w:r>
          </w:p>
        </w:tc>
      </w:tr>
      <w:tr w:rsidR="00280CD4" w:rsidRPr="005823A7" w14:paraId="36890214" w14:textId="77777777" w:rsidTr="00701144">
        <w:tc>
          <w:tcPr>
            <w:tcW w:w="1980" w:type="pct"/>
            <w:gridSpan w:val="2"/>
            <w:tcBorders>
              <w:top w:val="single" w:sz="4" w:space="0" w:color="auto"/>
              <w:left w:val="single" w:sz="4" w:space="0" w:color="auto"/>
              <w:bottom w:val="single" w:sz="4" w:space="0" w:color="auto"/>
              <w:right w:val="single" w:sz="4" w:space="0" w:color="auto"/>
            </w:tcBorders>
            <w:hideMark/>
          </w:tcPr>
          <w:p w14:paraId="03CDF1A3" w14:textId="77777777" w:rsidR="00280CD4" w:rsidRPr="005823A7" w:rsidRDefault="00280CD4">
            <w:pPr>
              <w:widowControl w:val="0"/>
              <w:autoSpaceDE w:val="0"/>
              <w:autoSpaceDN w:val="0"/>
              <w:adjustRightInd w:val="0"/>
              <w:spacing w:after="0" w:line="360" w:lineRule="auto"/>
              <w:rPr>
                <w:rFonts w:ascii="Times New Roman" w:hAnsi="Times New Roman" w:cs="Times New Roman"/>
                <w:b/>
                <w:sz w:val="24"/>
                <w:szCs w:val="24"/>
                <w:lang w:val="en-US"/>
              </w:rPr>
            </w:pPr>
            <w:r w:rsidRPr="005823A7">
              <w:rPr>
                <w:rFonts w:ascii="Times New Roman" w:hAnsi="Times New Roman" w:cs="Times New Roman"/>
                <w:b/>
                <w:sz w:val="24"/>
                <w:szCs w:val="24"/>
                <w:lang w:val="en-US"/>
              </w:rPr>
              <w:t>Irrigation frequency (numbers)</w:t>
            </w:r>
          </w:p>
        </w:tc>
        <w:tc>
          <w:tcPr>
            <w:tcW w:w="507" w:type="pct"/>
            <w:tcBorders>
              <w:top w:val="single" w:sz="4" w:space="0" w:color="auto"/>
              <w:left w:val="single" w:sz="4" w:space="0" w:color="auto"/>
              <w:bottom w:val="single" w:sz="4" w:space="0" w:color="auto"/>
              <w:right w:val="single" w:sz="4" w:space="0" w:color="auto"/>
            </w:tcBorders>
            <w:vAlign w:val="center"/>
            <w:hideMark/>
          </w:tcPr>
          <w:p w14:paraId="0EBBA7B3"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1.768</w:t>
            </w:r>
          </w:p>
        </w:tc>
        <w:tc>
          <w:tcPr>
            <w:tcW w:w="457" w:type="pct"/>
            <w:tcBorders>
              <w:top w:val="single" w:sz="4" w:space="0" w:color="auto"/>
              <w:left w:val="single" w:sz="4" w:space="0" w:color="auto"/>
              <w:bottom w:val="single" w:sz="4" w:space="0" w:color="auto"/>
              <w:right w:val="single" w:sz="4" w:space="0" w:color="auto"/>
            </w:tcBorders>
            <w:vAlign w:val="center"/>
            <w:hideMark/>
          </w:tcPr>
          <w:p w14:paraId="501D3B51"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.448</w:t>
            </w:r>
          </w:p>
        </w:tc>
        <w:tc>
          <w:tcPr>
            <w:tcW w:w="457" w:type="pct"/>
            <w:tcBorders>
              <w:top w:val="single" w:sz="4" w:space="0" w:color="auto"/>
              <w:left w:val="single" w:sz="4" w:space="0" w:color="auto"/>
              <w:bottom w:val="single" w:sz="4" w:space="0" w:color="auto"/>
              <w:right w:val="single" w:sz="4" w:space="0" w:color="auto"/>
            </w:tcBorders>
            <w:vAlign w:val="center"/>
            <w:hideMark/>
          </w:tcPr>
          <w:p w14:paraId="0C798299"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3.95</w:t>
            </w:r>
          </w:p>
        </w:tc>
        <w:tc>
          <w:tcPr>
            <w:tcW w:w="437" w:type="pct"/>
            <w:tcBorders>
              <w:top w:val="single" w:sz="4" w:space="0" w:color="auto"/>
              <w:left w:val="single" w:sz="4" w:space="0" w:color="auto"/>
              <w:bottom w:val="single" w:sz="4" w:space="0" w:color="auto"/>
              <w:right w:val="single" w:sz="4" w:space="0" w:color="auto"/>
            </w:tcBorders>
            <w:vAlign w:val="center"/>
            <w:hideMark/>
          </w:tcPr>
          <w:p w14:paraId="2C93D7D6"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0</w:t>
            </w:r>
          </w:p>
        </w:tc>
        <w:tc>
          <w:tcPr>
            <w:tcW w:w="463" w:type="pct"/>
            <w:tcBorders>
              <w:top w:val="single" w:sz="4" w:space="0" w:color="auto"/>
              <w:left w:val="single" w:sz="4" w:space="0" w:color="auto"/>
              <w:bottom w:val="single" w:sz="4" w:space="0" w:color="auto"/>
              <w:right w:val="single" w:sz="4" w:space="0" w:color="auto"/>
            </w:tcBorders>
            <w:vAlign w:val="center"/>
            <w:hideMark/>
          </w:tcPr>
          <w:p w14:paraId="3ECC05AF"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.89</w:t>
            </w:r>
          </w:p>
        </w:tc>
        <w:tc>
          <w:tcPr>
            <w:tcW w:w="463" w:type="pct"/>
            <w:tcBorders>
              <w:top w:val="single" w:sz="4" w:space="0" w:color="auto"/>
              <w:left w:val="single" w:sz="4" w:space="0" w:color="auto"/>
              <w:bottom w:val="single" w:sz="4" w:space="0" w:color="auto"/>
              <w:right w:val="single" w:sz="4" w:space="0" w:color="auto"/>
            </w:tcBorders>
            <w:vAlign w:val="center"/>
            <w:hideMark/>
          </w:tcPr>
          <w:p w14:paraId="3402D55B"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2.646</w:t>
            </w:r>
          </w:p>
        </w:tc>
        <w:tc>
          <w:tcPr>
            <w:tcW w:w="235" w:type="pct"/>
            <w:tcBorders>
              <w:top w:val="single" w:sz="4" w:space="0" w:color="auto"/>
              <w:left w:val="single" w:sz="4" w:space="0" w:color="auto"/>
              <w:bottom w:val="single" w:sz="4" w:space="0" w:color="auto"/>
              <w:right w:val="single" w:sz="4" w:space="0" w:color="auto"/>
            </w:tcBorders>
            <w:vAlign w:val="center"/>
            <w:hideMark/>
          </w:tcPr>
          <w:p w14:paraId="6BBFC22C"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w:t>
            </w:r>
          </w:p>
        </w:tc>
      </w:tr>
      <w:tr w:rsidR="00280CD4" w:rsidRPr="005823A7" w14:paraId="304FFBE7" w14:textId="77777777" w:rsidTr="00701144">
        <w:trPr>
          <w:trHeight w:val="756"/>
        </w:trPr>
        <w:tc>
          <w:tcPr>
            <w:tcW w:w="1980" w:type="pct"/>
            <w:gridSpan w:val="2"/>
            <w:tcBorders>
              <w:top w:val="single" w:sz="4" w:space="0" w:color="auto"/>
              <w:left w:val="single" w:sz="4" w:space="0" w:color="auto"/>
              <w:bottom w:val="single" w:sz="4" w:space="0" w:color="auto"/>
              <w:right w:val="single" w:sz="4" w:space="0" w:color="auto"/>
            </w:tcBorders>
            <w:hideMark/>
          </w:tcPr>
          <w:p w14:paraId="412188EA" w14:textId="77777777" w:rsidR="00280CD4" w:rsidRPr="005823A7" w:rsidRDefault="00280CD4">
            <w:pPr>
              <w:widowControl w:val="0"/>
              <w:autoSpaceDE w:val="0"/>
              <w:autoSpaceDN w:val="0"/>
              <w:adjustRightInd w:val="0"/>
              <w:spacing w:after="0" w:line="360" w:lineRule="auto"/>
              <w:rPr>
                <w:rFonts w:ascii="Times New Roman" w:hAnsi="Times New Roman" w:cs="Times New Roman"/>
                <w:b/>
                <w:sz w:val="24"/>
                <w:szCs w:val="24"/>
                <w:lang w:val="en-US"/>
              </w:rPr>
            </w:pPr>
            <w:r w:rsidRPr="005823A7">
              <w:rPr>
                <w:rFonts w:ascii="Times New Roman" w:hAnsi="Times New Roman" w:cs="Times New Roman"/>
                <w:b/>
                <w:sz w:val="24"/>
                <w:szCs w:val="24"/>
                <w:lang w:val="en-US"/>
              </w:rPr>
              <w:t xml:space="preserve">Use of High-efficiency irrigation system </w:t>
            </w:r>
            <w:r w:rsidRPr="005823A7">
              <w:rPr>
                <w:rFonts w:ascii="Times New Roman" w:hAnsi="Times New Roman" w:cs="Times New Roman"/>
                <w:b/>
                <w:sz w:val="24"/>
                <w:szCs w:val="24"/>
              </w:rPr>
              <w:t>(0=no, 1=yes)</w:t>
            </w:r>
          </w:p>
        </w:tc>
        <w:tc>
          <w:tcPr>
            <w:tcW w:w="507" w:type="pct"/>
            <w:tcBorders>
              <w:top w:val="single" w:sz="4" w:space="0" w:color="auto"/>
              <w:left w:val="single" w:sz="4" w:space="0" w:color="auto"/>
              <w:bottom w:val="single" w:sz="4" w:space="0" w:color="auto"/>
              <w:right w:val="single" w:sz="4" w:space="0" w:color="auto"/>
            </w:tcBorders>
            <w:vAlign w:val="center"/>
            <w:hideMark/>
          </w:tcPr>
          <w:p w14:paraId="3E8E5612"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-.695</w:t>
            </w:r>
          </w:p>
        </w:tc>
        <w:tc>
          <w:tcPr>
            <w:tcW w:w="457" w:type="pct"/>
            <w:tcBorders>
              <w:top w:val="single" w:sz="4" w:space="0" w:color="auto"/>
              <w:left w:val="single" w:sz="4" w:space="0" w:color="auto"/>
              <w:bottom w:val="single" w:sz="4" w:space="0" w:color="auto"/>
              <w:right w:val="single" w:sz="4" w:space="0" w:color="auto"/>
            </w:tcBorders>
            <w:vAlign w:val="center"/>
            <w:hideMark/>
          </w:tcPr>
          <w:p w14:paraId="7588BAF1"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.494</w:t>
            </w:r>
          </w:p>
        </w:tc>
        <w:tc>
          <w:tcPr>
            <w:tcW w:w="457" w:type="pct"/>
            <w:tcBorders>
              <w:top w:val="single" w:sz="4" w:space="0" w:color="auto"/>
              <w:left w:val="single" w:sz="4" w:space="0" w:color="auto"/>
              <w:bottom w:val="single" w:sz="4" w:space="0" w:color="auto"/>
              <w:right w:val="single" w:sz="4" w:space="0" w:color="auto"/>
            </w:tcBorders>
            <w:vAlign w:val="center"/>
            <w:hideMark/>
          </w:tcPr>
          <w:p w14:paraId="1978978E"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-1.41</w:t>
            </w:r>
          </w:p>
        </w:tc>
        <w:tc>
          <w:tcPr>
            <w:tcW w:w="437" w:type="pct"/>
            <w:tcBorders>
              <w:top w:val="single" w:sz="4" w:space="0" w:color="auto"/>
              <w:left w:val="single" w:sz="4" w:space="0" w:color="auto"/>
              <w:bottom w:val="single" w:sz="4" w:space="0" w:color="auto"/>
              <w:right w:val="single" w:sz="4" w:space="0" w:color="auto"/>
            </w:tcBorders>
            <w:vAlign w:val="center"/>
            <w:hideMark/>
          </w:tcPr>
          <w:p w14:paraId="425ADA8F"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.159</w:t>
            </w:r>
          </w:p>
        </w:tc>
        <w:tc>
          <w:tcPr>
            <w:tcW w:w="463" w:type="pct"/>
            <w:tcBorders>
              <w:top w:val="single" w:sz="4" w:space="0" w:color="auto"/>
              <w:left w:val="single" w:sz="4" w:space="0" w:color="auto"/>
              <w:bottom w:val="single" w:sz="4" w:space="0" w:color="auto"/>
              <w:right w:val="single" w:sz="4" w:space="0" w:color="auto"/>
            </w:tcBorders>
            <w:vAlign w:val="center"/>
            <w:hideMark/>
          </w:tcPr>
          <w:p w14:paraId="327F6DBA"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-1.664</w:t>
            </w:r>
          </w:p>
        </w:tc>
        <w:tc>
          <w:tcPr>
            <w:tcW w:w="463" w:type="pct"/>
            <w:tcBorders>
              <w:top w:val="single" w:sz="4" w:space="0" w:color="auto"/>
              <w:left w:val="single" w:sz="4" w:space="0" w:color="auto"/>
              <w:bottom w:val="single" w:sz="4" w:space="0" w:color="auto"/>
              <w:right w:val="single" w:sz="4" w:space="0" w:color="auto"/>
            </w:tcBorders>
            <w:vAlign w:val="center"/>
            <w:hideMark/>
          </w:tcPr>
          <w:p w14:paraId="5DA140E0"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.273</w:t>
            </w:r>
          </w:p>
        </w:tc>
        <w:tc>
          <w:tcPr>
            <w:tcW w:w="235" w:type="pct"/>
            <w:tcBorders>
              <w:top w:val="single" w:sz="4" w:space="0" w:color="auto"/>
              <w:left w:val="single" w:sz="4" w:space="0" w:color="auto"/>
              <w:bottom w:val="single" w:sz="4" w:space="0" w:color="auto"/>
              <w:right w:val="single" w:sz="4" w:space="0" w:color="auto"/>
            </w:tcBorders>
            <w:vAlign w:val="center"/>
          </w:tcPr>
          <w:p w14:paraId="0E42B615"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p>
        </w:tc>
      </w:tr>
      <w:tr w:rsidR="00280CD4" w:rsidRPr="005823A7" w14:paraId="20C2518A" w14:textId="77777777" w:rsidTr="00701144">
        <w:tc>
          <w:tcPr>
            <w:tcW w:w="1980" w:type="pct"/>
            <w:gridSpan w:val="2"/>
            <w:tcBorders>
              <w:top w:val="single" w:sz="4" w:space="0" w:color="auto"/>
              <w:left w:val="single" w:sz="4" w:space="0" w:color="auto"/>
              <w:bottom w:val="single" w:sz="4" w:space="0" w:color="auto"/>
              <w:right w:val="single" w:sz="4" w:space="0" w:color="auto"/>
            </w:tcBorders>
            <w:hideMark/>
          </w:tcPr>
          <w:p w14:paraId="077F9035" w14:textId="77777777" w:rsidR="00280CD4" w:rsidRPr="005823A7" w:rsidRDefault="00280CD4">
            <w:pPr>
              <w:widowControl w:val="0"/>
              <w:autoSpaceDE w:val="0"/>
              <w:autoSpaceDN w:val="0"/>
              <w:adjustRightInd w:val="0"/>
              <w:spacing w:after="0" w:line="360" w:lineRule="auto"/>
              <w:rPr>
                <w:rFonts w:ascii="Times New Roman" w:hAnsi="Times New Roman" w:cs="Times New Roman"/>
                <w:b/>
                <w:sz w:val="24"/>
                <w:szCs w:val="24"/>
                <w:lang w:val="en-US"/>
              </w:rPr>
            </w:pPr>
            <w:r w:rsidRPr="005823A7">
              <w:rPr>
                <w:rFonts w:ascii="Times New Roman" w:hAnsi="Times New Roman" w:cs="Times New Roman"/>
                <w:b/>
                <w:sz w:val="24"/>
                <w:szCs w:val="24"/>
                <w:lang w:val="en-US"/>
              </w:rPr>
              <w:t>Constant</w:t>
            </w:r>
          </w:p>
        </w:tc>
        <w:tc>
          <w:tcPr>
            <w:tcW w:w="507" w:type="pct"/>
            <w:tcBorders>
              <w:top w:val="single" w:sz="4" w:space="0" w:color="auto"/>
              <w:left w:val="single" w:sz="4" w:space="0" w:color="auto"/>
              <w:bottom w:val="single" w:sz="4" w:space="0" w:color="auto"/>
              <w:right w:val="single" w:sz="4" w:space="0" w:color="auto"/>
            </w:tcBorders>
            <w:vAlign w:val="center"/>
            <w:hideMark/>
          </w:tcPr>
          <w:p w14:paraId="43CBF913"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-4.103</w:t>
            </w:r>
          </w:p>
        </w:tc>
        <w:tc>
          <w:tcPr>
            <w:tcW w:w="457" w:type="pct"/>
            <w:tcBorders>
              <w:top w:val="single" w:sz="4" w:space="0" w:color="auto"/>
              <w:left w:val="single" w:sz="4" w:space="0" w:color="auto"/>
              <w:bottom w:val="single" w:sz="4" w:space="0" w:color="auto"/>
              <w:right w:val="single" w:sz="4" w:space="0" w:color="auto"/>
            </w:tcBorders>
            <w:vAlign w:val="center"/>
            <w:hideMark/>
          </w:tcPr>
          <w:p w14:paraId="031F341C"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.902</w:t>
            </w:r>
          </w:p>
        </w:tc>
        <w:tc>
          <w:tcPr>
            <w:tcW w:w="457" w:type="pct"/>
            <w:tcBorders>
              <w:top w:val="single" w:sz="4" w:space="0" w:color="auto"/>
              <w:left w:val="single" w:sz="4" w:space="0" w:color="auto"/>
              <w:bottom w:val="single" w:sz="4" w:space="0" w:color="auto"/>
              <w:right w:val="single" w:sz="4" w:space="0" w:color="auto"/>
            </w:tcBorders>
            <w:vAlign w:val="center"/>
            <w:hideMark/>
          </w:tcPr>
          <w:p w14:paraId="5F1EC05B"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-4.55</w:t>
            </w:r>
          </w:p>
        </w:tc>
        <w:tc>
          <w:tcPr>
            <w:tcW w:w="437" w:type="pct"/>
            <w:tcBorders>
              <w:top w:val="single" w:sz="4" w:space="0" w:color="auto"/>
              <w:left w:val="single" w:sz="4" w:space="0" w:color="auto"/>
              <w:bottom w:val="single" w:sz="4" w:space="0" w:color="auto"/>
              <w:right w:val="single" w:sz="4" w:space="0" w:color="auto"/>
            </w:tcBorders>
            <w:vAlign w:val="center"/>
            <w:hideMark/>
          </w:tcPr>
          <w:p w14:paraId="39C64704"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0</w:t>
            </w:r>
          </w:p>
        </w:tc>
        <w:tc>
          <w:tcPr>
            <w:tcW w:w="463" w:type="pct"/>
            <w:tcBorders>
              <w:top w:val="single" w:sz="4" w:space="0" w:color="auto"/>
              <w:left w:val="single" w:sz="4" w:space="0" w:color="auto"/>
              <w:bottom w:val="single" w:sz="4" w:space="0" w:color="auto"/>
              <w:right w:val="single" w:sz="4" w:space="0" w:color="auto"/>
            </w:tcBorders>
            <w:vAlign w:val="center"/>
            <w:hideMark/>
          </w:tcPr>
          <w:p w14:paraId="069F3AC6"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-5.871</w:t>
            </w:r>
          </w:p>
        </w:tc>
        <w:tc>
          <w:tcPr>
            <w:tcW w:w="463" w:type="pct"/>
            <w:tcBorders>
              <w:top w:val="single" w:sz="4" w:space="0" w:color="auto"/>
              <w:left w:val="single" w:sz="4" w:space="0" w:color="auto"/>
              <w:bottom w:val="single" w:sz="4" w:space="0" w:color="auto"/>
              <w:right w:val="single" w:sz="4" w:space="0" w:color="auto"/>
            </w:tcBorders>
            <w:vAlign w:val="center"/>
            <w:hideMark/>
          </w:tcPr>
          <w:p w14:paraId="259E7B00"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-2.334</w:t>
            </w:r>
          </w:p>
        </w:tc>
        <w:tc>
          <w:tcPr>
            <w:tcW w:w="235" w:type="pct"/>
            <w:tcBorders>
              <w:top w:val="single" w:sz="4" w:space="0" w:color="auto"/>
              <w:left w:val="single" w:sz="4" w:space="0" w:color="auto"/>
              <w:bottom w:val="single" w:sz="4" w:space="0" w:color="auto"/>
              <w:right w:val="single" w:sz="4" w:space="0" w:color="auto"/>
            </w:tcBorders>
            <w:vAlign w:val="center"/>
            <w:hideMark/>
          </w:tcPr>
          <w:p w14:paraId="4BE163E6" w14:textId="77777777" w:rsidR="00280CD4" w:rsidRPr="005823A7" w:rsidRDefault="00280CD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w:t>
            </w:r>
          </w:p>
        </w:tc>
      </w:tr>
      <w:tr w:rsidR="00701144" w:rsidRPr="005823A7" w14:paraId="38C50918" w14:textId="77777777" w:rsidTr="00701144">
        <w:trPr>
          <w:trHeight w:val="341"/>
        </w:trPr>
        <w:tc>
          <w:tcPr>
            <w:tcW w:w="1980" w:type="pct"/>
            <w:gridSpan w:val="2"/>
            <w:tcBorders>
              <w:top w:val="single" w:sz="4" w:space="0" w:color="auto"/>
              <w:left w:val="single" w:sz="4" w:space="0" w:color="auto"/>
              <w:bottom w:val="single" w:sz="4" w:space="0" w:color="auto"/>
              <w:right w:val="single" w:sz="4" w:space="0" w:color="auto"/>
            </w:tcBorders>
            <w:hideMark/>
          </w:tcPr>
          <w:p w14:paraId="59BECC96" w14:textId="77777777" w:rsidR="00701144" w:rsidRPr="005823A7" w:rsidRDefault="00701144">
            <w:pPr>
              <w:widowControl w:val="0"/>
              <w:autoSpaceDE w:val="0"/>
              <w:autoSpaceDN w:val="0"/>
              <w:adjustRightInd w:val="0"/>
              <w:spacing w:after="0" w:line="360" w:lineRule="auto"/>
              <w:rPr>
                <w:rFonts w:ascii="Times New Roman" w:hAnsi="Times New Roman" w:cs="Times New Roman"/>
                <w:b/>
                <w:sz w:val="24"/>
                <w:szCs w:val="24"/>
                <w:lang w:val="en-US"/>
              </w:rPr>
            </w:pPr>
            <w:r w:rsidRPr="005823A7">
              <w:rPr>
                <w:rFonts w:ascii="Times New Roman" w:hAnsi="Times New Roman" w:cs="Times New Roman"/>
                <w:b/>
                <w:sz w:val="24"/>
                <w:szCs w:val="24"/>
                <w:lang w:val="en-US"/>
              </w:rPr>
              <w:t>Mean dependent var</w:t>
            </w:r>
          </w:p>
        </w:tc>
        <w:tc>
          <w:tcPr>
            <w:tcW w:w="964" w:type="pct"/>
            <w:gridSpan w:val="2"/>
            <w:tcBorders>
              <w:top w:val="single" w:sz="4" w:space="0" w:color="auto"/>
              <w:left w:val="single" w:sz="4" w:space="0" w:color="auto"/>
              <w:bottom w:val="single" w:sz="4" w:space="0" w:color="auto"/>
              <w:right w:val="single" w:sz="4" w:space="0" w:color="auto"/>
            </w:tcBorders>
            <w:vAlign w:val="center"/>
            <w:hideMark/>
          </w:tcPr>
          <w:p w14:paraId="07BB6BD7" w14:textId="77777777" w:rsidR="00701144" w:rsidRPr="005823A7" w:rsidRDefault="0070114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0.545</w:t>
            </w:r>
          </w:p>
        </w:tc>
        <w:tc>
          <w:tcPr>
            <w:tcW w:w="894" w:type="pct"/>
            <w:gridSpan w:val="2"/>
            <w:tcBorders>
              <w:top w:val="single" w:sz="4" w:space="0" w:color="auto"/>
              <w:left w:val="single" w:sz="4" w:space="0" w:color="auto"/>
              <w:bottom w:val="single" w:sz="4" w:space="0" w:color="auto"/>
              <w:right w:val="single" w:sz="4" w:space="0" w:color="auto"/>
            </w:tcBorders>
            <w:hideMark/>
          </w:tcPr>
          <w:p w14:paraId="3C24C650" w14:textId="77777777" w:rsidR="00701144" w:rsidRPr="005823A7" w:rsidRDefault="00701144">
            <w:pPr>
              <w:widowControl w:val="0"/>
              <w:autoSpaceDE w:val="0"/>
              <w:autoSpaceDN w:val="0"/>
              <w:adjustRightInd w:val="0"/>
              <w:spacing w:after="0" w:line="360" w:lineRule="auto"/>
              <w:rPr>
                <w:rFonts w:ascii="Times New Roman" w:hAnsi="Times New Roman" w:cs="Times New Roman"/>
                <w:b/>
                <w:sz w:val="24"/>
                <w:szCs w:val="24"/>
                <w:lang w:val="en-US"/>
              </w:rPr>
            </w:pPr>
            <w:r w:rsidRPr="005823A7">
              <w:rPr>
                <w:rFonts w:ascii="Times New Roman" w:hAnsi="Times New Roman" w:cs="Times New Roman"/>
                <w:b/>
                <w:sz w:val="24"/>
                <w:szCs w:val="24"/>
                <w:lang w:val="en-US"/>
              </w:rPr>
              <w:t xml:space="preserve">SD dependent var </w:t>
            </w:r>
          </w:p>
        </w:tc>
        <w:tc>
          <w:tcPr>
            <w:tcW w:w="1" w:type="pct"/>
            <w:gridSpan w:val="3"/>
            <w:tcBorders>
              <w:top w:val="single" w:sz="4" w:space="0" w:color="auto"/>
              <w:left w:val="single" w:sz="4" w:space="0" w:color="auto"/>
              <w:bottom w:val="single" w:sz="4" w:space="0" w:color="auto"/>
              <w:right w:val="single" w:sz="4" w:space="0" w:color="auto"/>
            </w:tcBorders>
            <w:vAlign w:val="center"/>
            <w:hideMark/>
          </w:tcPr>
          <w:p w14:paraId="69D8AF2C" w14:textId="77777777" w:rsidR="00701144" w:rsidRPr="005823A7" w:rsidRDefault="0070114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0.499</w:t>
            </w:r>
          </w:p>
        </w:tc>
      </w:tr>
      <w:tr w:rsidR="00701144" w:rsidRPr="005823A7" w14:paraId="710819F1" w14:textId="77777777" w:rsidTr="00701144">
        <w:tc>
          <w:tcPr>
            <w:tcW w:w="1980" w:type="pct"/>
            <w:gridSpan w:val="2"/>
            <w:tcBorders>
              <w:top w:val="single" w:sz="4" w:space="0" w:color="auto"/>
              <w:left w:val="single" w:sz="4" w:space="0" w:color="auto"/>
              <w:bottom w:val="single" w:sz="4" w:space="0" w:color="auto"/>
              <w:right w:val="single" w:sz="4" w:space="0" w:color="auto"/>
            </w:tcBorders>
            <w:hideMark/>
          </w:tcPr>
          <w:p w14:paraId="79FABCF3" w14:textId="77777777" w:rsidR="00701144" w:rsidRPr="005823A7" w:rsidRDefault="00701144">
            <w:pPr>
              <w:widowControl w:val="0"/>
              <w:autoSpaceDE w:val="0"/>
              <w:autoSpaceDN w:val="0"/>
              <w:adjustRightInd w:val="0"/>
              <w:spacing w:after="0" w:line="360" w:lineRule="auto"/>
              <w:rPr>
                <w:rFonts w:ascii="Times New Roman" w:hAnsi="Times New Roman" w:cs="Times New Roman"/>
                <w:b/>
                <w:sz w:val="24"/>
                <w:szCs w:val="24"/>
                <w:lang w:val="en-US"/>
              </w:rPr>
            </w:pPr>
            <w:r w:rsidRPr="005823A7">
              <w:rPr>
                <w:rFonts w:ascii="Times New Roman" w:hAnsi="Times New Roman" w:cs="Times New Roman"/>
                <w:b/>
                <w:sz w:val="24"/>
                <w:szCs w:val="24"/>
                <w:lang w:val="en-US"/>
              </w:rPr>
              <w:t xml:space="preserve">Pseudo r-squared </w:t>
            </w:r>
          </w:p>
        </w:tc>
        <w:tc>
          <w:tcPr>
            <w:tcW w:w="964" w:type="pct"/>
            <w:gridSpan w:val="2"/>
            <w:tcBorders>
              <w:top w:val="single" w:sz="4" w:space="0" w:color="auto"/>
              <w:left w:val="single" w:sz="4" w:space="0" w:color="auto"/>
              <w:bottom w:val="single" w:sz="4" w:space="0" w:color="auto"/>
              <w:right w:val="single" w:sz="4" w:space="0" w:color="auto"/>
            </w:tcBorders>
            <w:vAlign w:val="center"/>
            <w:hideMark/>
          </w:tcPr>
          <w:p w14:paraId="232FB150" w14:textId="77777777" w:rsidR="00701144" w:rsidRPr="005823A7" w:rsidRDefault="0070114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0.385</w:t>
            </w:r>
          </w:p>
        </w:tc>
        <w:tc>
          <w:tcPr>
            <w:tcW w:w="894" w:type="pct"/>
            <w:gridSpan w:val="2"/>
            <w:tcBorders>
              <w:top w:val="single" w:sz="4" w:space="0" w:color="auto"/>
              <w:left w:val="single" w:sz="4" w:space="0" w:color="auto"/>
              <w:bottom w:val="single" w:sz="4" w:space="0" w:color="auto"/>
              <w:right w:val="single" w:sz="4" w:space="0" w:color="auto"/>
            </w:tcBorders>
            <w:hideMark/>
          </w:tcPr>
          <w:p w14:paraId="77B2076D" w14:textId="77777777" w:rsidR="00701144" w:rsidRPr="005823A7" w:rsidRDefault="00701144">
            <w:pPr>
              <w:widowControl w:val="0"/>
              <w:autoSpaceDE w:val="0"/>
              <w:autoSpaceDN w:val="0"/>
              <w:adjustRightInd w:val="0"/>
              <w:spacing w:after="0" w:line="360" w:lineRule="auto"/>
              <w:rPr>
                <w:rFonts w:ascii="Times New Roman" w:hAnsi="Times New Roman" w:cs="Times New Roman"/>
                <w:b/>
                <w:sz w:val="24"/>
                <w:szCs w:val="24"/>
                <w:lang w:val="en-US"/>
              </w:rPr>
            </w:pPr>
            <w:r w:rsidRPr="005823A7">
              <w:rPr>
                <w:rFonts w:ascii="Times New Roman" w:hAnsi="Times New Roman" w:cs="Times New Roman"/>
                <w:b/>
                <w:sz w:val="24"/>
                <w:szCs w:val="24"/>
                <w:lang w:val="en-US"/>
              </w:rPr>
              <w:t xml:space="preserve">Number of obs  </w:t>
            </w:r>
          </w:p>
        </w:tc>
        <w:tc>
          <w:tcPr>
            <w:tcW w:w="1" w:type="pct"/>
            <w:gridSpan w:val="3"/>
            <w:tcBorders>
              <w:top w:val="single" w:sz="4" w:space="0" w:color="auto"/>
              <w:left w:val="single" w:sz="4" w:space="0" w:color="auto"/>
              <w:bottom w:val="single" w:sz="4" w:space="0" w:color="auto"/>
              <w:right w:val="single" w:sz="4" w:space="0" w:color="auto"/>
            </w:tcBorders>
            <w:vAlign w:val="center"/>
            <w:hideMark/>
          </w:tcPr>
          <w:p w14:paraId="03D3D7BD" w14:textId="77777777" w:rsidR="00701144" w:rsidRPr="005823A7" w:rsidRDefault="0070114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319</w:t>
            </w:r>
          </w:p>
        </w:tc>
      </w:tr>
      <w:tr w:rsidR="00701144" w:rsidRPr="005823A7" w14:paraId="4341DFCB" w14:textId="77777777" w:rsidTr="00701144">
        <w:trPr>
          <w:trHeight w:val="369"/>
        </w:trPr>
        <w:tc>
          <w:tcPr>
            <w:tcW w:w="1980" w:type="pct"/>
            <w:gridSpan w:val="2"/>
            <w:tcBorders>
              <w:top w:val="single" w:sz="4" w:space="0" w:color="auto"/>
              <w:left w:val="single" w:sz="4" w:space="0" w:color="auto"/>
              <w:bottom w:val="single" w:sz="4" w:space="0" w:color="auto"/>
              <w:right w:val="single" w:sz="4" w:space="0" w:color="auto"/>
            </w:tcBorders>
            <w:hideMark/>
          </w:tcPr>
          <w:p w14:paraId="5ED819CD" w14:textId="77777777" w:rsidR="00701144" w:rsidRPr="005823A7" w:rsidRDefault="00701144">
            <w:pPr>
              <w:widowControl w:val="0"/>
              <w:autoSpaceDE w:val="0"/>
              <w:autoSpaceDN w:val="0"/>
              <w:adjustRightInd w:val="0"/>
              <w:spacing w:after="0" w:line="360" w:lineRule="auto"/>
              <w:rPr>
                <w:rFonts w:ascii="Times New Roman" w:hAnsi="Times New Roman" w:cs="Times New Roman"/>
                <w:b/>
                <w:sz w:val="24"/>
                <w:szCs w:val="24"/>
                <w:lang w:val="en-US"/>
              </w:rPr>
            </w:pPr>
            <w:r w:rsidRPr="005823A7">
              <w:rPr>
                <w:rFonts w:ascii="Times New Roman" w:hAnsi="Times New Roman" w:cs="Times New Roman"/>
                <w:b/>
                <w:sz w:val="24"/>
                <w:szCs w:val="24"/>
                <w:lang w:val="en-US"/>
              </w:rPr>
              <w:t xml:space="preserve">Chi-square  </w:t>
            </w:r>
          </w:p>
        </w:tc>
        <w:tc>
          <w:tcPr>
            <w:tcW w:w="964" w:type="pct"/>
            <w:gridSpan w:val="2"/>
            <w:tcBorders>
              <w:top w:val="single" w:sz="4" w:space="0" w:color="auto"/>
              <w:left w:val="single" w:sz="4" w:space="0" w:color="auto"/>
              <w:bottom w:val="single" w:sz="4" w:space="0" w:color="auto"/>
              <w:right w:val="single" w:sz="4" w:space="0" w:color="auto"/>
            </w:tcBorders>
            <w:vAlign w:val="center"/>
            <w:hideMark/>
          </w:tcPr>
          <w:p w14:paraId="2362B301" w14:textId="77777777" w:rsidR="00701144" w:rsidRPr="005823A7" w:rsidRDefault="0070114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169.428</w:t>
            </w:r>
          </w:p>
        </w:tc>
        <w:tc>
          <w:tcPr>
            <w:tcW w:w="894" w:type="pct"/>
            <w:gridSpan w:val="2"/>
            <w:tcBorders>
              <w:top w:val="single" w:sz="4" w:space="0" w:color="auto"/>
              <w:left w:val="single" w:sz="4" w:space="0" w:color="auto"/>
              <w:bottom w:val="single" w:sz="4" w:space="0" w:color="auto"/>
              <w:right w:val="single" w:sz="4" w:space="0" w:color="auto"/>
            </w:tcBorders>
            <w:hideMark/>
          </w:tcPr>
          <w:p w14:paraId="1C79E590" w14:textId="77777777" w:rsidR="00701144" w:rsidRPr="005823A7" w:rsidRDefault="00701144">
            <w:pPr>
              <w:widowControl w:val="0"/>
              <w:autoSpaceDE w:val="0"/>
              <w:autoSpaceDN w:val="0"/>
              <w:adjustRightInd w:val="0"/>
              <w:spacing w:after="0" w:line="360" w:lineRule="auto"/>
              <w:rPr>
                <w:rFonts w:ascii="Times New Roman" w:hAnsi="Times New Roman" w:cs="Times New Roman"/>
                <w:b/>
                <w:sz w:val="24"/>
                <w:szCs w:val="24"/>
                <w:lang w:val="en-US"/>
              </w:rPr>
            </w:pPr>
            <w:r w:rsidRPr="005823A7">
              <w:rPr>
                <w:rFonts w:ascii="Times New Roman" w:hAnsi="Times New Roman" w:cs="Times New Roman"/>
                <w:b/>
                <w:sz w:val="24"/>
                <w:szCs w:val="24"/>
                <w:lang w:val="en-US"/>
              </w:rPr>
              <w:t xml:space="preserve">Prob &gt; chi2 </w:t>
            </w:r>
          </w:p>
        </w:tc>
        <w:tc>
          <w:tcPr>
            <w:tcW w:w="1" w:type="pct"/>
            <w:gridSpan w:val="3"/>
            <w:tcBorders>
              <w:top w:val="single" w:sz="4" w:space="0" w:color="auto"/>
              <w:left w:val="single" w:sz="4" w:space="0" w:color="auto"/>
              <w:bottom w:val="single" w:sz="4" w:space="0" w:color="auto"/>
              <w:right w:val="single" w:sz="4" w:space="0" w:color="auto"/>
            </w:tcBorders>
            <w:vAlign w:val="center"/>
            <w:hideMark/>
          </w:tcPr>
          <w:p w14:paraId="0B6881A2" w14:textId="77777777" w:rsidR="00701144" w:rsidRPr="005823A7" w:rsidRDefault="0070114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0.000</w:t>
            </w:r>
          </w:p>
        </w:tc>
      </w:tr>
      <w:tr w:rsidR="00701144" w:rsidRPr="005823A7" w14:paraId="1FAD8633" w14:textId="77777777" w:rsidTr="00701144">
        <w:trPr>
          <w:trHeight w:val="369"/>
        </w:trPr>
        <w:tc>
          <w:tcPr>
            <w:tcW w:w="1980" w:type="pct"/>
            <w:gridSpan w:val="2"/>
            <w:tcBorders>
              <w:top w:val="single" w:sz="4" w:space="0" w:color="auto"/>
              <w:left w:val="single" w:sz="4" w:space="0" w:color="auto"/>
              <w:bottom w:val="single" w:sz="4" w:space="0" w:color="auto"/>
              <w:right w:val="single" w:sz="4" w:space="0" w:color="auto"/>
            </w:tcBorders>
            <w:hideMark/>
          </w:tcPr>
          <w:p w14:paraId="51335493" w14:textId="77777777" w:rsidR="00701144" w:rsidRPr="005823A7" w:rsidRDefault="00701144">
            <w:pPr>
              <w:widowControl w:val="0"/>
              <w:autoSpaceDE w:val="0"/>
              <w:autoSpaceDN w:val="0"/>
              <w:adjustRightInd w:val="0"/>
              <w:spacing w:after="0" w:line="360" w:lineRule="auto"/>
              <w:rPr>
                <w:rFonts w:ascii="Times New Roman" w:hAnsi="Times New Roman" w:cs="Times New Roman"/>
                <w:b/>
                <w:sz w:val="24"/>
                <w:szCs w:val="24"/>
                <w:lang w:val="en-US"/>
              </w:rPr>
            </w:pPr>
            <w:r w:rsidRPr="005823A7">
              <w:rPr>
                <w:rFonts w:ascii="Times New Roman" w:hAnsi="Times New Roman" w:cs="Times New Roman"/>
                <w:b/>
                <w:sz w:val="24"/>
                <w:szCs w:val="24"/>
                <w:lang w:val="en-US"/>
              </w:rPr>
              <w:t>Akaike crit. (AIC)</w:t>
            </w:r>
          </w:p>
        </w:tc>
        <w:tc>
          <w:tcPr>
            <w:tcW w:w="964" w:type="pct"/>
            <w:gridSpan w:val="2"/>
            <w:tcBorders>
              <w:top w:val="single" w:sz="4" w:space="0" w:color="auto"/>
              <w:left w:val="single" w:sz="4" w:space="0" w:color="auto"/>
              <w:bottom w:val="single" w:sz="4" w:space="0" w:color="auto"/>
              <w:right w:val="single" w:sz="4" w:space="0" w:color="auto"/>
            </w:tcBorders>
            <w:vAlign w:val="center"/>
            <w:hideMark/>
          </w:tcPr>
          <w:p w14:paraId="39405F79" w14:textId="77777777" w:rsidR="00701144" w:rsidRPr="005823A7" w:rsidRDefault="0070114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286.160</w:t>
            </w:r>
          </w:p>
        </w:tc>
        <w:tc>
          <w:tcPr>
            <w:tcW w:w="894" w:type="pct"/>
            <w:gridSpan w:val="2"/>
            <w:tcBorders>
              <w:top w:val="single" w:sz="4" w:space="0" w:color="auto"/>
              <w:left w:val="single" w:sz="4" w:space="0" w:color="auto"/>
              <w:bottom w:val="single" w:sz="4" w:space="0" w:color="auto"/>
              <w:right w:val="single" w:sz="4" w:space="0" w:color="auto"/>
            </w:tcBorders>
            <w:hideMark/>
          </w:tcPr>
          <w:p w14:paraId="759B7727" w14:textId="77777777" w:rsidR="00701144" w:rsidRPr="005823A7" w:rsidRDefault="00701144">
            <w:pPr>
              <w:widowControl w:val="0"/>
              <w:autoSpaceDE w:val="0"/>
              <w:autoSpaceDN w:val="0"/>
              <w:adjustRightInd w:val="0"/>
              <w:spacing w:after="0" w:line="360" w:lineRule="auto"/>
              <w:rPr>
                <w:rFonts w:ascii="Times New Roman" w:hAnsi="Times New Roman" w:cs="Times New Roman"/>
                <w:b/>
                <w:sz w:val="24"/>
                <w:szCs w:val="24"/>
                <w:lang w:val="en-US"/>
              </w:rPr>
            </w:pPr>
            <w:r w:rsidRPr="005823A7">
              <w:rPr>
                <w:rFonts w:ascii="Times New Roman" w:hAnsi="Times New Roman" w:cs="Times New Roman"/>
                <w:b/>
                <w:sz w:val="24"/>
                <w:szCs w:val="24"/>
                <w:lang w:val="en-US"/>
              </w:rPr>
              <w:t>Bayesian crit. (BIC)</w:t>
            </w:r>
          </w:p>
        </w:tc>
        <w:tc>
          <w:tcPr>
            <w:tcW w:w="1" w:type="pct"/>
            <w:gridSpan w:val="3"/>
            <w:tcBorders>
              <w:top w:val="single" w:sz="4" w:space="0" w:color="auto"/>
              <w:left w:val="single" w:sz="4" w:space="0" w:color="auto"/>
              <w:bottom w:val="single" w:sz="4" w:space="0" w:color="auto"/>
              <w:right w:val="single" w:sz="4" w:space="0" w:color="auto"/>
            </w:tcBorders>
            <w:vAlign w:val="center"/>
            <w:hideMark/>
          </w:tcPr>
          <w:p w14:paraId="6836F6F8" w14:textId="77777777" w:rsidR="00701144" w:rsidRPr="005823A7" w:rsidRDefault="00701144" w:rsidP="00701144">
            <w:pPr>
              <w:widowControl w:val="0"/>
              <w:autoSpaceDE w:val="0"/>
              <w:autoSpaceDN w:val="0"/>
              <w:adjustRightInd w:val="0"/>
              <w:spacing w:after="0" w:line="360" w:lineRule="auto"/>
              <w:jc w:val="center"/>
              <w:rPr>
                <w:rFonts w:ascii="Times New Roman" w:hAnsi="Times New Roman" w:cs="Times New Roman"/>
                <w:sz w:val="24"/>
                <w:szCs w:val="24"/>
                <w:lang w:val="en-US"/>
              </w:rPr>
            </w:pPr>
            <w:r w:rsidRPr="005823A7">
              <w:rPr>
                <w:rFonts w:ascii="Times New Roman" w:hAnsi="Times New Roman" w:cs="Times New Roman"/>
                <w:sz w:val="24"/>
                <w:szCs w:val="24"/>
                <w:lang w:val="en-US"/>
              </w:rPr>
              <w:t>316.281</w:t>
            </w:r>
          </w:p>
        </w:tc>
      </w:tr>
      <w:tr w:rsidR="00280CD4" w:rsidRPr="005823A7" w14:paraId="11577F69" w14:textId="77777777" w:rsidTr="00280CD4">
        <w:tc>
          <w:tcPr>
            <w:tcW w:w="463" w:type="pct"/>
            <w:tcBorders>
              <w:top w:val="single" w:sz="4" w:space="0" w:color="auto"/>
              <w:left w:val="nil"/>
              <w:bottom w:val="nil"/>
              <w:right w:val="nil"/>
            </w:tcBorders>
          </w:tcPr>
          <w:p w14:paraId="5F0220E7" w14:textId="77777777" w:rsidR="00280CD4" w:rsidRPr="005823A7" w:rsidRDefault="00280CD4">
            <w:pPr>
              <w:widowControl w:val="0"/>
              <w:autoSpaceDE w:val="0"/>
              <w:autoSpaceDN w:val="0"/>
              <w:adjustRightInd w:val="0"/>
              <w:spacing w:before="40" w:after="60" w:line="360" w:lineRule="auto"/>
              <w:rPr>
                <w:rFonts w:ascii="Times New Roman" w:hAnsi="Times New Roman" w:cs="Times New Roman"/>
                <w:i/>
                <w:iCs/>
                <w:sz w:val="24"/>
                <w:szCs w:val="24"/>
              </w:rPr>
            </w:pPr>
          </w:p>
        </w:tc>
        <w:tc>
          <w:tcPr>
            <w:tcW w:w="4537" w:type="pct"/>
            <w:gridSpan w:val="8"/>
            <w:tcBorders>
              <w:top w:val="single" w:sz="4" w:space="0" w:color="auto"/>
              <w:left w:val="nil"/>
              <w:bottom w:val="nil"/>
              <w:right w:val="nil"/>
            </w:tcBorders>
            <w:hideMark/>
          </w:tcPr>
          <w:p w14:paraId="6FB5179B" w14:textId="77777777" w:rsidR="00280CD4" w:rsidRPr="005823A7" w:rsidRDefault="00280CD4" w:rsidP="00701144">
            <w:pPr>
              <w:widowControl w:val="0"/>
              <w:autoSpaceDE w:val="0"/>
              <w:autoSpaceDN w:val="0"/>
              <w:adjustRightInd w:val="0"/>
              <w:spacing w:before="40" w:after="60" w:line="360" w:lineRule="auto"/>
              <w:rPr>
                <w:rFonts w:ascii="Times New Roman" w:hAnsi="Times New Roman" w:cs="Times New Roman"/>
                <w:b/>
                <w:sz w:val="24"/>
                <w:szCs w:val="24"/>
              </w:rPr>
            </w:pPr>
            <w:r w:rsidRPr="005823A7">
              <w:rPr>
                <w:rFonts w:ascii="Times New Roman" w:hAnsi="Times New Roman" w:cs="Times New Roman"/>
                <w:b/>
                <w:i/>
                <w:iCs/>
                <w:sz w:val="24"/>
                <w:szCs w:val="24"/>
              </w:rPr>
              <w:t>*** p&lt;0.01, ** p&lt;0.05, * p&lt;0.1</w:t>
            </w:r>
          </w:p>
        </w:tc>
      </w:tr>
    </w:tbl>
    <w:p w14:paraId="64BF9A69" w14:textId="77777777" w:rsidR="00280CD4" w:rsidRPr="005823A7" w:rsidRDefault="00701144" w:rsidP="00701144">
      <w:pPr>
        <w:spacing w:after="0" w:line="360" w:lineRule="auto"/>
        <w:jc w:val="right"/>
        <w:rPr>
          <w:rFonts w:ascii="Times New Roman" w:hAnsi="Times New Roman" w:cs="Times New Roman"/>
          <w:sz w:val="24"/>
          <w:szCs w:val="24"/>
        </w:rPr>
      </w:pPr>
      <w:r w:rsidRPr="005823A7">
        <w:rPr>
          <w:rFonts w:ascii="Times New Roman" w:hAnsi="Times New Roman" w:cs="Times New Roman"/>
          <w:sz w:val="24"/>
          <w:szCs w:val="24"/>
        </w:rPr>
        <w:t>Source: Field survey, 2023</w:t>
      </w:r>
    </w:p>
    <w:p w14:paraId="2593A1FC" w14:textId="77777777" w:rsidR="00F26748" w:rsidRPr="005823A7" w:rsidRDefault="00F26748" w:rsidP="00280CD4">
      <w:pPr>
        <w:spacing w:after="0" w:line="360" w:lineRule="auto"/>
        <w:jc w:val="both"/>
        <w:rPr>
          <w:rFonts w:ascii="Times New Roman" w:hAnsi="Times New Roman" w:cs="Times New Roman"/>
          <w:sz w:val="24"/>
          <w:szCs w:val="24"/>
        </w:rPr>
      </w:pPr>
    </w:p>
    <w:p w14:paraId="2BBA1358" w14:textId="77777777" w:rsidR="007C27FE" w:rsidRPr="005823A7" w:rsidRDefault="007C27FE" w:rsidP="00280CD4">
      <w:pPr>
        <w:spacing w:after="0" w:line="360" w:lineRule="auto"/>
        <w:jc w:val="both"/>
        <w:rPr>
          <w:rFonts w:ascii="Times New Roman" w:hAnsi="Times New Roman" w:cs="Times New Roman"/>
          <w:sz w:val="24"/>
          <w:szCs w:val="24"/>
        </w:rPr>
        <w:sectPr w:rsidR="007C27FE" w:rsidRPr="005823A7" w:rsidSect="00280CD4">
          <w:pgSz w:w="16838" w:h="11906" w:orient="landscape"/>
          <w:pgMar w:top="1440" w:right="1440" w:bottom="1440" w:left="1440" w:header="708" w:footer="708" w:gutter="0"/>
          <w:cols w:space="708"/>
          <w:docGrid w:linePitch="360"/>
        </w:sectPr>
      </w:pPr>
    </w:p>
    <w:p w14:paraId="1C84E5CC" w14:textId="77777777" w:rsidR="00F26748" w:rsidRPr="005823A7" w:rsidRDefault="008B4568" w:rsidP="00DD2BFA">
      <w:pPr>
        <w:spacing w:before="120" w:after="0" w:line="360" w:lineRule="auto"/>
        <w:jc w:val="both"/>
        <w:rPr>
          <w:rFonts w:ascii="Times New Roman" w:hAnsi="Times New Roman" w:cs="Times New Roman"/>
          <w:b/>
          <w:sz w:val="24"/>
          <w:szCs w:val="24"/>
        </w:rPr>
      </w:pPr>
      <w:r w:rsidRPr="005823A7">
        <w:rPr>
          <w:rFonts w:ascii="Times New Roman" w:hAnsi="Times New Roman" w:cs="Times New Roman"/>
          <w:b/>
          <w:sz w:val="24"/>
          <w:szCs w:val="24"/>
        </w:rPr>
        <w:lastRenderedPageBreak/>
        <w:t xml:space="preserve">Conclusion </w:t>
      </w:r>
    </w:p>
    <w:p w14:paraId="317079E2" w14:textId="1AEFE703" w:rsidR="00BA44F6" w:rsidRPr="005823A7" w:rsidRDefault="00BA44F6" w:rsidP="00DD2BFA">
      <w:pPr>
        <w:spacing w:before="120" w:after="0" w:line="360" w:lineRule="auto"/>
        <w:jc w:val="both"/>
        <w:rPr>
          <w:rFonts w:ascii="Times New Roman" w:eastAsia="Times New Roman" w:hAnsi="Times New Roman" w:cs="Times New Roman"/>
          <w:sz w:val="24"/>
          <w:szCs w:val="24"/>
          <w:lang w:eastAsia="en-GB"/>
        </w:rPr>
      </w:pPr>
      <w:r w:rsidRPr="005823A7">
        <w:rPr>
          <w:rFonts w:ascii="Times New Roman" w:eastAsia="Times New Roman" w:hAnsi="Times New Roman" w:cs="Times New Roman"/>
          <w:sz w:val="24"/>
          <w:szCs w:val="24"/>
          <w:lang w:eastAsia="en-GB"/>
        </w:rPr>
        <w:t>The study investigates the influence of solarisation on tubewells in Highland Balochistan, focusing on the paradox of addressing electricity shortages while increasing groundwater depletion. Solar-powered tubewells are commonly used to lessen dependency on traditional energy sources, especially in rural societies where electricity is intermittent. While solarisation provides a cost-effective and sustainable energy option, the study found that it has unanticipated environmental impacts, including over-extraction of groundwater. The deployment of solar tubewells is significantly associated with increasing groundwater depletion (β = 3.143, p &lt; 0.01). The lower energy costs associated with solarisation encourage farmers to draw more water, treating it as a less expensive resource, hastening the loss of already-stressed groundwater sources.</w:t>
      </w:r>
    </w:p>
    <w:p w14:paraId="4300A479" w14:textId="35456177" w:rsidR="00BA44F6" w:rsidRPr="005823A7" w:rsidRDefault="00BA44F6" w:rsidP="00DD2BFA">
      <w:pPr>
        <w:spacing w:before="120" w:after="0" w:line="360" w:lineRule="auto"/>
        <w:jc w:val="both"/>
        <w:rPr>
          <w:rFonts w:ascii="Times New Roman" w:eastAsia="Times New Roman" w:hAnsi="Times New Roman" w:cs="Times New Roman"/>
          <w:sz w:val="24"/>
          <w:szCs w:val="24"/>
          <w:lang w:eastAsia="en-GB"/>
        </w:rPr>
      </w:pPr>
      <w:r w:rsidRPr="005823A7">
        <w:rPr>
          <w:rFonts w:ascii="Times New Roman" w:eastAsia="Times New Roman" w:hAnsi="Times New Roman" w:cs="Times New Roman"/>
          <w:sz w:val="24"/>
          <w:szCs w:val="24"/>
          <w:lang w:eastAsia="en-GB"/>
        </w:rPr>
        <w:t>Older farmers may be less likely to adopt water-saving measures, contributing to groundwater depletion (β = 0.057, p &lt; 0.01). Additionally, irrigation frequency (β = 1.768, p &lt; 0.01) and water table depth (β = 0.004, p &lt; 0.01) have a substantial impact on groundwater extraction, further stressing water resources. The analysis suggests that farmers with larger landholdings manage water more sustainably, as seen by a negative correlation between cultivated land and depletion (β = -0.103, p &lt; 0.01). Although high-efficiency irrigation systems (HEIS) have the potential to cut water use, their implementation has not significantly reduced groundwater depletion (β = -0.695, p = 0.159).</w:t>
      </w:r>
    </w:p>
    <w:p w14:paraId="0AB299D7" w14:textId="5FA7E354" w:rsidR="00BA44F6" w:rsidRPr="005823A7" w:rsidRDefault="00BA44F6" w:rsidP="00DD2BFA">
      <w:pPr>
        <w:spacing w:before="120" w:after="0" w:line="360" w:lineRule="auto"/>
        <w:jc w:val="both"/>
        <w:rPr>
          <w:rFonts w:ascii="Times New Roman" w:eastAsia="Times New Roman" w:hAnsi="Times New Roman" w:cs="Times New Roman"/>
          <w:sz w:val="24"/>
          <w:szCs w:val="24"/>
          <w:lang w:eastAsia="en-GB"/>
        </w:rPr>
      </w:pPr>
      <w:r w:rsidRPr="005823A7">
        <w:rPr>
          <w:rFonts w:ascii="Times New Roman" w:eastAsia="Times New Roman" w:hAnsi="Times New Roman" w:cs="Times New Roman"/>
          <w:sz w:val="24"/>
          <w:szCs w:val="24"/>
          <w:lang w:eastAsia="en-GB"/>
        </w:rPr>
        <w:t>To summarise, while solarisation addresses electricity concerns, it unintentionally exacerbates groundwater loss, posing a substantial risk to agricultural sustainability in the region. The report advocates immediate legislative action to incorporate energy efficiency and sustainable water management. Without effective control, the environmental benefits of solar energy will be outweighed by the rapid loss of crucial groundwater resources, jeopardizing the long-term viability of agriculture in Balochistan.</w:t>
      </w:r>
    </w:p>
    <w:p w14:paraId="00C48575" w14:textId="77777777" w:rsidR="00911542" w:rsidRPr="005823A7" w:rsidRDefault="00911542" w:rsidP="00DD2BFA">
      <w:pPr>
        <w:spacing w:before="120" w:after="0" w:line="360" w:lineRule="auto"/>
        <w:jc w:val="both"/>
        <w:rPr>
          <w:rFonts w:ascii="Times New Roman" w:hAnsi="Times New Roman" w:cs="Times New Roman"/>
          <w:b/>
          <w:sz w:val="28"/>
          <w:szCs w:val="28"/>
        </w:rPr>
      </w:pPr>
      <w:r w:rsidRPr="005823A7">
        <w:rPr>
          <w:rFonts w:ascii="Times New Roman" w:hAnsi="Times New Roman" w:cs="Times New Roman"/>
          <w:b/>
          <w:sz w:val="28"/>
          <w:szCs w:val="28"/>
        </w:rPr>
        <w:t>Recommendations</w:t>
      </w:r>
    </w:p>
    <w:p w14:paraId="0E407D66" w14:textId="252A8F32" w:rsidR="00AF4B91" w:rsidRPr="005823A7" w:rsidRDefault="00BA44F6" w:rsidP="00DD2BFA">
      <w:pPr>
        <w:spacing w:before="120" w:after="0" w:line="360" w:lineRule="auto"/>
        <w:jc w:val="both"/>
        <w:rPr>
          <w:rFonts w:ascii="Times New Roman" w:eastAsia="Times New Roman" w:hAnsi="Times New Roman" w:cs="Times New Roman"/>
          <w:sz w:val="24"/>
          <w:szCs w:val="24"/>
          <w:lang w:eastAsia="en-GB"/>
        </w:rPr>
      </w:pPr>
      <w:r w:rsidRPr="005823A7">
        <w:rPr>
          <w:rFonts w:ascii="Times New Roman" w:eastAsia="Times New Roman" w:hAnsi="Times New Roman" w:cs="Times New Roman"/>
          <w:sz w:val="24"/>
          <w:szCs w:val="24"/>
          <w:lang w:eastAsia="en-GB"/>
        </w:rPr>
        <w:t xml:space="preserve">To promote sustainable groundwater use in Balochistan, solarisation of tube wells should be supplemented with high-efficiency irrigation systems (HEIS). This rule would promote water conservation by limiting the amount of groundwater drawn and addressing over-extraction caused by unregulated solar-powered wells. Furthermore, incorporating a net-metering option for solar-powered wells would allow farmers to sell excess energy back to the national grid on non-irrigation days, providing a financial incentive to conserve water. This program would </w:t>
      </w:r>
      <w:r w:rsidRPr="005823A7">
        <w:rPr>
          <w:rFonts w:ascii="Times New Roman" w:eastAsia="Times New Roman" w:hAnsi="Times New Roman" w:cs="Times New Roman"/>
          <w:sz w:val="24"/>
          <w:szCs w:val="24"/>
          <w:lang w:eastAsia="en-GB"/>
        </w:rPr>
        <w:lastRenderedPageBreak/>
        <w:t xml:space="preserve">improve water efficiency by raising the opportunity cost of over-pumping, encouraging farmers to prioritise irrigation efficiency. </w:t>
      </w:r>
    </w:p>
    <w:p w14:paraId="5B1765C1" w14:textId="7AF224C9" w:rsidR="00A521F6" w:rsidRPr="005823A7" w:rsidRDefault="00BA44F6" w:rsidP="00A521F6">
      <w:pPr>
        <w:spacing w:before="120" w:after="0" w:line="360" w:lineRule="auto"/>
        <w:jc w:val="both"/>
        <w:rPr>
          <w:rFonts w:ascii="Times New Roman" w:eastAsia="Times New Roman" w:hAnsi="Times New Roman" w:cs="Times New Roman"/>
          <w:sz w:val="24"/>
          <w:szCs w:val="24"/>
          <w:lang w:eastAsia="en-GB"/>
        </w:rPr>
      </w:pPr>
      <w:r w:rsidRPr="005823A7">
        <w:rPr>
          <w:rFonts w:ascii="Times New Roman" w:eastAsia="Times New Roman" w:hAnsi="Times New Roman" w:cs="Times New Roman"/>
          <w:sz w:val="24"/>
          <w:szCs w:val="24"/>
          <w:lang w:eastAsia="en-GB"/>
        </w:rPr>
        <w:t>To support sustainable irrigation, additional ideas include developing drought-resistant, low-delta, high-value crops, lowering agricultural water demand, and enhancing water literacy and on-farm water management. Strengthening water governance, such as revising the Balochistan Ground Water Rights Administration Ordinance (BGWRA) and establishing a Balochistan Groundwater Regulatory Authority, would provide the regulatory framework required to protect aquifers and ensure effective water resource management for long-term sustainability.</w:t>
      </w:r>
    </w:p>
    <w:p w14:paraId="711FC422" w14:textId="77777777" w:rsidR="006F5AB5" w:rsidRPr="005823A7" w:rsidRDefault="006F5AB5" w:rsidP="006F5AB5">
      <w:pPr>
        <w:spacing w:after="0" w:line="360" w:lineRule="auto"/>
        <w:jc w:val="center"/>
        <w:rPr>
          <w:rFonts w:ascii="Times New Roman" w:hAnsi="Times New Roman" w:cs="Times New Roman"/>
          <w:bCs/>
          <w:sz w:val="28"/>
          <w:szCs w:val="28"/>
        </w:rPr>
      </w:pPr>
    </w:p>
    <w:p w14:paraId="44661624" w14:textId="1B6C3BDF" w:rsidR="006F5AB5" w:rsidRPr="005823A7" w:rsidRDefault="006F5AB5" w:rsidP="006F5AB5">
      <w:pPr>
        <w:spacing w:line="240" w:lineRule="auto"/>
        <w:rPr>
          <w:rFonts w:ascii="Times New Roman" w:hAnsi="Times New Roman" w:cs="Times New Roman"/>
          <w:bCs/>
          <w:vertAlign w:val="superscript"/>
        </w:rPr>
      </w:pPr>
      <w:proofErr w:type="spellStart"/>
      <w:r w:rsidRPr="005823A7">
        <w:rPr>
          <w:rFonts w:ascii="Times New Roman" w:hAnsi="Times New Roman" w:cs="Times New Roman"/>
          <w:bCs/>
        </w:rPr>
        <w:t>Ameenullah</w:t>
      </w:r>
      <w:proofErr w:type="spellEnd"/>
    </w:p>
    <w:p w14:paraId="781D9461" w14:textId="77777777" w:rsidR="006F5AB5" w:rsidRPr="005823A7" w:rsidRDefault="006F5AB5" w:rsidP="006F5AB5">
      <w:pPr>
        <w:spacing w:line="240" w:lineRule="auto"/>
        <w:rPr>
          <w:rFonts w:ascii="Times New Roman" w:hAnsi="Times New Roman" w:cs="Times New Roman"/>
          <w:b/>
          <w:lang w:val="en-US"/>
        </w:rPr>
      </w:pPr>
      <w:r w:rsidRPr="005823A7">
        <w:rPr>
          <w:rFonts w:ascii="Times New Roman" w:hAnsi="Times New Roman" w:cs="Times New Roman"/>
          <w:bCs/>
        </w:rPr>
        <w:t xml:space="preserve">Abdulaziz Thabet Dabiah </w:t>
      </w:r>
      <w:hyperlink r:id="rId9" w:history="1">
        <w:r w:rsidRPr="005823A7">
          <w:rPr>
            <w:rStyle w:val="Hyperlink"/>
            <w:rFonts w:ascii="Times New Roman" w:hAnsi="Times New Roman" w:cs="Times New Roman"/>
            <w:bCs/>
            <w:color w:val="auto"/>
            <w:lang w:val="en-US"/>
          </w:rPr>
          <w:t>adabiah@ksu.edu.sa</w:t>
        </w:r>
      </w:hyperlink>
      <w:r w:rsidRPr="005823A7">
        <w:rPr>
          <w:rFonts w:ascii="Times New Roman" w:hAnsi="Times New Roman" w:cs="Times New Roman"/>
          <w:bCs/>
        </w:rPr>
        <w:t xml:space="preserve"> (</w:t>
      </w:r>
      <w:hyperlink r:id="rId10" w:history="1">
        <w:r w:rsidRPr="005823A7">
          <w:rPr>
            <w:rStyle w:val="Hyperlink"/>
            <w:rFonts w:ascii="Times New Roman" w:hAnsi="Times New Roman" w:cs="Times New Roman"/>
            <w:bCs/>
            <w:color w:val="auto"/>
            <w:lang w:val="en-US"/>
          </w:rPr>
          <w:t>https://orcid.org/0000-0002-9540-1127</w:t>
        </w:r>
      </w:hyperlink>
      <w:r w:rsidRPr="005823A7">
        <w:rPr>
          <w:rFonts w:ascii="Times New Roman" w:hAnsi="Times New Roman" w:cs="Times New Roman"/>
          <w:bCs/>
          <w:lang w:val="en-US"/>
        </w:rPr>
        <w:t xml:space="preserve">) </w:t>
      </w:r>
    </w:p>
    <w:p w14:paraId="583E2ACC" w14:textId="1FAD2675" w:rsidR="006F5AB5" w:rsidRPr="005823A7" w:rsidRDefault="006F5AB5" w:rsidP="006F5AB5">
      <w:pPr>
        <w:spacing w:line="240" w:lineRule="auto"/>
        <w:rPr>
          <w:rFonts w:ascii="Times New Roman" w:hAnsi="Times New Roman" w:cs="Times New Roman"/>
          <w:bCs/>
          <w:lang w:val="en-US"/>
        </w:rPr>
      </w:pPr>
      <w:r w:rsidRPr="005823A7">
        <w:rPr>
          <w:rFonts w:ascii="Times New Roman" w:hAnsi="Times New Roman" w:cs="Times New Roman"/>
          <w:bCs/>
        </w:rPr>
        <w:t xml:space="preserve">Muhammad Muddassir </w:t>
      </w:r>
      <w:hyperlink r:id="rId11" w:history="1">
        <w:r w:rsidRPr="005823A7">
          <w:rPr>
            <w:rStyle w:val="Hyperlink"/>
            <w:rFonts w:ascii="Times New Roman" w:hAnsi="Times New Roman" w:cs="Times New Roman"/>
            <w:bCs/>
            <w:color w:val="auto"/>
            <w:lang w:val="en-US"/>
          </w:rPr>
          <w:t>mrajpoot@ksu.edu.sa</w:t>
        </w:r>
      </w:hyperlink>
      <w:r w:rsidR="00CC5B94">
        <w:t xml:space="preserve"> </w:t>
      </w:r>
      <w:r w:rsidRPr="005823A7">
        <w:rPr>
          <w:rFonts w:ascii="Times New Roman" w:hAnsi="Times New Roman" w:cs="Times New Roman"/>
          <w:bCs/>
          <w:vertAlign w:val="superscript"/>
        </w:rPr>
        <w:t xml:space="preserve"> </w:t>
      </w:r>
      <w:r w:rsidRPr="005823A7">
        <w:rPr>
          <w:rFonts w:ascii="Times New Roman" w:hAnsi="Times New Roman" w:cs="Times New Roman"/>
          <w:bCs/>
        </w:rPr>
        <w:t>(</w:t>
      </w:r>
      <w:hyperlink r:id="rId12" w:history="1">
        <w:r w:rsidRPr="005823A7">
          <w:rPr>
            <w:rStyle w:val="Hyperlink"/>
            <w:rFonts w:ascii="Times New Roman" w:hAnsi="Times New Roman" w:cs="Times New Roman"/>
            <w:bCs/>
            <w:color w:val="auto"/>
            <w:lang w:val="en-US"/>
          </w:rPr>
          <w:t>https://orcid.org/0009-0003-2636-7513</w:t>
        </w:r>
      </w:hyperlink>
      <w:r w:rsidRPr="005823A7">
        <w:rPr>
          <w:rFonts w:ascii="Times New Roman" w:hAnsi="Times New Roman" w:cs="Times New Roman"/>
          <w:bCs/>
          <w:lang w:val="en-US"/>
        </w:rPr>
        <w:t xml:space="preserve">) </w:t>
      </w:r>
    </w:p>
    <w:p w14:paraId="1DE607E7" w14:textId="39718DCE" w:rsidR="006F5AB5" w:rsidRPr="005823A7" w:rsidRDefault="006F5AB5" w:rsidP="006F5AB5">
      <w:pPr>
        <w:spacing w:line="240" w:lineRule="auto"/>
        <w:rPr>
          <w:rFonts w:ascii="Times New Roman" w:hAnsi="Times New Roman" w:cs="Times New Roman"/>
          <w:bCs/>
        </w:rPr>
      </w:pPr>
      <w:r w:rsidRPr="005823A7">
        <w:rPr>
          <w:rFonts w:ascii="Times New Roman" w:hAnsi="Times New Roman" w:cs="Times New Roman"/>
          <w:bCs/>
        </w:rPr>
        <w:t xml:space="preserve">Asghar Ali </w:t>
      </w:r>
      <w:hyperlink r:id="rId13" w:history="1">
        <w:r w:rsidRPr="005823A7">
          <w:rPr>
            <w:rStyle w:val="Hyperlink"/>
            <w:rFonts w:ascii="Times New Roman" w:hAnsi="Times New Roman" w:cs="Times New Roman"/>
            <w:bCs/>
            <w:color w:val="auto"/>
          </w:rPr>
          <w:t>asgharali2878@gmail.com</w:t>
        </w:r>
      </w:hyperlink>
      <w:r w:rsidRPr="005823A7">
        <w:rPr>
          <w:rFonts w:ascii="Times New Roman" w:hAnsi="Times New Roman" w:cs="Times New Roman"/>
          <w:bCs/>
        </w:rPr>
        <w:t xml:space="preserve"> (</w:t>
      </w:r>
      <w:hyperlink r:id="rId14" w:history="1">
        <w:r w:rsidRPr="005823A7">
          <w:rPr>
            <w:rStyle w:val="Hyperlink"/>
            <w:rFonts w:ascii="Times New Roman" w:hAnsi="Times New Roman" w:cs="Times New Roman"/>
            <w:bCs/>
            <w:color w:val="auto"/>
          </w:rPr>
          <w:t>https://orcid.org/0000-0002-7702-2983</w:t>
        </w:r>
      </w:hyperlink>
      <w:r w:rsidRPr="005823A7">
        <w:rPr>
          <w:rFonts w:ascii="Times New Roman" w:hAnsi="Times New Roman" w:cs="Times New Roman"/>
          <w:bCs/>
        </w:rPr>
        <w:t xml:space="preserve">) </w:t>
      </w:r>
    </w:p>
    <w:p w14:paraId="679C65E1" w14:textId="75FD4C04" w:rsidR="006F5AB5" w:rsidRPr="005823A7" w:rsidRDefault="006F5AB5" w:rsidP="006F5AB5">
      <w:pPr>
        <w:spacing w:line="240" w:lineRule="auto"/>
        <w:rPr>
          <w:rFonts w:ascii="Times New Roman" w:hAnsi="Times New Roman" w:cs="Times New Roman"/>
          <w:bCs/>
        </w:rPr>
      </w:pPr>
      <w:r w:rsidRPr="005823A7">
        <w:rPr>
          <w:rFonts w:ascii="Times New Roman" w:hAnsi="Times New Roman" w:cs="Times New Roman"/>
          <w:bCs/>
        </w:rPr>
        <w:t>Syed Muhammad Khair</w:t>
      </w:r>
    </w:p>
    <w:p w14:paraId="2E96A34C" w14:textId="77777777" w:rsidR="006F5AB5" w:rsidRPr="005823A7" w:rsidRDefault="006F5AB5" w:rsidP="006F5AB5">
      <w:pPr>
        <w:spacing w:line="240" w:lineRule="auto"/>
        <w:rPr>
          <w:rFonts w:ascii="Times New Roman" w:hAnsi="Times New Roman" w:cs="Times New Roman"/>
          <w:bCs/>
        </w:rPr>
      </w:pPr>
      <w:r w:rsidRPr="005823A7">
        <w:rPr>
          <w:rFonts w:ascii="Times New Roman" w:hAnsi="Times New Roman" w:cs="Times New Roman"/>
          <w:bCs/>
        </w:rPr>
        <w:t xml:space="preserve">Syed Sadiq Agha </w:t>
      </w:r>
    </w:p>
    <w:p w14:paraId="0CA4364F" w14:textId="5D1CA299" w:rsidR="006F5AB5" w:rsidRPr="005823A7" w:rsidRDefault="006F5AB5" w:rsidP="006F5AB5">
      <w:pPr>
        <w:spacing w:line="240" w:lineRule="auto"/>
        <w:rPr>
          <w:rFonts w:ascii="Times New Roman" w:hAnsi="Times New Roman" w:cs="Times New Roman"/>
          <w:b/>
          <w:lang w:val="en-US"/>
        </w:rPr>
      </w:pPr>
      <w:r w:rsidRPr="005823A7">
        <w:rPr>
          <w:rFonts w:ascii="Times New Roman" w:hAnsi="Times New Roman" w:cs="Times New Roman"/>
          <w:bCs/>
        </w:rPr>
        <w:t>Rizwan khan</w:t>
      </w:r>
    </w:p>
    <w:p w14:paraId="63F72BA9" w14:textId="77777777" w:rsidR="00714926" w:rsidRPr="005823A7" w:rsidRDefault="00714926" w:rsidP="00A521F6">
      <w:pPr>
        <w:spacing w:before="120" w:after="0" w:line="360" w:lineRule="auto"/>
        <w:jc w:val="both"/>
        <w:rPr>
          <w:rFonts w:ascii="Times New Roman" w:eastAsia="Times New Roman" w:hAnsi="Times New Roman" w:cs="Times New Roman"/>
          <w:b/>
          <w:sz w:val="24"/>
          <w:szCs w:val="24"/>
          <w:lang w:eastAsia="en-GB"/>
        </w:rPr>
      </w:pPr>
    </w:p>
    <w:p w14:paraId="2BA78F31" w14:textId="60742D35" w:rsidR="00A521F6" w:rsidRPr="005823A7" w:rsidRDefault="00A521F6" w:rsidP="00A521F6">
      <w:pPr>
        <w:spacing w:before="120" w:after="0" w:line="360" w:lineRule="auto"/>
        <w:jc w:val="both"/>
        <w:rPr>
          <w:rFonts w:ascii="Times New Roman" w:eastAsia="Times New Roman" w:hAnsi="Times New Roman" w:cs="Times New Roman"/>
          <w:b/>
          <w:sz w:val="24"/>
          <w:szCs w:val="24"/>
          <w:lang w:eastAsia="en-GB"/>
        </w:rPr>
      </w:pPr>
      <w:r w:rsidRPr="005823A7">
        <w:rPr>
          <w:rFonts w:ascii="Times New Roman" w:eastAsia="Times New Roman" w:hAnsi="Times New Roman" w:cs="Times New Roman"/>
          <w:b/>
          <w:sz w:val="24"/>
          <w:szCs w:val="24"/>
          <w:lang w:eastAsia="en-GB"/>
        </w:rPr>
        <w:t xml:space="preserve">References </w:t>
      </w:r>
    </w:p>
    <w:p w14:paraId="16C46334" w14:textId="23B9A7DE" w:rsidR="004C7B65" w:rsidRPr="005823A7" w:rsidRDefault="004C7B65" w:rsidP="004C7B65">
      <w:pPr>
        <w:spacing w:after="120" w:line="360" w:lineRule="auto"/>
        <w:ind w:left="720" w:hanging="720"/>
        <w:jc w:val="both"/>
      </w:pPr>
      <w:r w:rsidRPr="005823A7">
        <w:rPr>
          <w:rFonts w:ascii="Times New Roman" w:eastAsia="Times New Roman" w:hAnsi="Times New Roman" w:cs="Times New Roman"/>
          <w:sz w:val="24"/>
          <w:szCs w:val="24"/>
        </w:rPr>
        <w:t xml:space="preserve">Ahmad, M., Mustafa, U., &amp; Iqbal, M. (2023). Groundwater governance and smallholder agriculture in Pakistan: Institutional gaps and reform pathways. </w:t>
      </w:r>
      <w:r w:rsidRPr="005823A7">
        <w:rPr>
          <w:rFonts w:ascii="Times New Roman" w:eastAsia="Times New Roman" w:hAnsi="Times New Roman" w:cs="Times New Roman"/>
          <w:i/>
          <w:iCs/>
          <w:sz w:val="24"/>
          <w:szCs w:val="24"/>
        </w:rPr>
        <w:t>Water Policy</w:t>
      </w:r>
      <w:r w:rsidRPr="005823A7">
        <w:rPr>
          <w:rFonts w:ascii="Times New Roman" w:eastAsia="Times New Roman" w:hAnsi="Times New Roman" w:cs="Times New Roman"/>
          <w:sz w:val="24"/>
          <w:szCs w:val="24"/>
        </w:rPr>
        <w:t xml:space="preserve">, 25(2), 310–328. </w:t>
      </w:r>
      <w:hyperlink r:id="rId15" w:history="1">
        <w:r w:rsidRPr="005823A7">
          <w:rPr>
            <w:rStyle w:val="Hyperlink"/>
            <w:rFonts w:ascii="Times New Roman" w:eastAsia="Times New Roman" w:hAnsi="Times New Roman" w:cs="Times New Roman"/>
            <w:color w:val="auto"/>
            <w:sz w:val="24"/>
            <w:szCs w:val="24"/>
          </w:rPr>
          <w:t>https://doi.org/10.2166/wp.2023.004</w:t>
        </w:r>
      </w:hyperlink>
    </w:p>
    <w:p w14:paraId="071E78F7" w14:textId="77777777" w:rsidR="004C7B65" w:rsidRPr="005823A7" w:rsidRDefault="004C7B65" w:rsidP="004C7B65">
      <w:pPr>
        <w:spacing w:after="120" w:line="360" w:lineRule="auto"/>
        <w:ind w:left="720" w:hanging="720"/>
        <w:jc w:val="both"/>
      </w:pPr>
      <w:r w:rsidRPr="005823A7">
        <w:rPr>
          <w:rFonts w:ascii="Times New Roman" w:eastAsia="Times New Roman" w:hAnsi="Times New Roman" w:cs="Times New Roman"/>
          <w:sz w:val="24"/>
          <w:szCs w:val="24"/>
        </w:rPr>
        <w:t>Ahmad, S. (2006). Issues restricting capping of tube well subsidy and strategy for introducing the smart subsidy in Balochistan. Water for Balochistan Policy Briefings, 2.</w:t>
      </w:r>
    </w:p>
    <w:p w14:paraId="3713629D" w14:textId="77777777" w:rsidR="004C7B65" w:rsidRPr="005823A7" w:rsidRDefault="004C7B65" w:rsidP="004C7B65">
      <w:pPr>
        <w:spacing w:after="120" w:line="360" w:lineRule="auto"/>
        <w:ind w:left="720" w:hanging="720"/>
        <w:jc w:val="both"/>
      </w:pPr>
      <w:r w:rsidRPr="005823A7">
        <w:rPr>
          <w:rFonts w:ascii="Times New Roman" w:eastAsia="Times New Roman" w:hAnsi="Times New Roman" w:cs="Times New Roman"/>
          <w:sz w:val="24"/>
          <w:szCs w:val="24"/>
        </w:rPr>
        <w:t xml:space="preserve">Aidoo, R., Mensah, J. O., &amp; Tuffour, T. (2013). Determinants of household food security in the Sekyere-Afram plains district of Ghana. </w:t>
      </w:r>
      <w:r w:rsidRPr="005823A7">
        <w:rPr>
          <w:rFonts w:ascii="Times New Roman" w:eastAsia="Times New Roman" w:hAnsi="Times New Roman" w:cs="Times New Roman"/>
          <w:i/>
          <w:iCs/>
          <w:sz w:val="24"/>
          <w:szCs w:val="24"/>
        </w:rPr>
        <w:t>European Scientific Journal</w:t>
      </w:r>
      <w:r w:rsidRPr="005823A7">
        <w:rPr>
          <w:rFonts w:ascii="Times New Roman" w:eastAsia="Times New Roman" w:hAnsi="Times New Roman" w:cs="Times New Roman"/>
          <w:sz w:val="24"/>
          <w:szCs w:val="24"/>
        </w:rPr>
        <w:t>, 9(21), 514–521.</w:t>
      </w:r>
    </w:p>
    <w:p w14:paraId="7DBAF46D" w14:textId="77777777" w:rsidR="004C7B65" w:rsidRPr="005823A7" w:rsidRDefault="004C7B65" w:rsidP="004C7B65">
      <w:pPr>
        <w:spacing w:after="120" w:line="360" w:lineRule="auto"/>
        <w:ind w:left="720" w:hanging="720"/>
        <w:jc w:val="both"/>
      </w:pPr>
      <w:r w:rsidRPr="005823A7">
        <w:rPr>
          <w:rFonts w:ascii="Times New Roman" w:eastAsia="Times New Roman" w:hAnsi="Times New Roman" w:cs="Times New Roman"/>
          <w:sz w:val="24"/>
          <w:szCs w:val="24"/>
        </w:rPr>
        <w:t xml:space="preserve">Ali, M. A., Yamin, M., Arslan, C., Farid, U., &amp; Nasir, A. (2020). A feasibility study: Off-grid photovoltaic solar power supply to the remote areas of Pakistan. </w:t>
      </w:r>
      <w:r w:rsidRPr="005823A7">
        <w:rPr>
          <w:rFonts w:ascii="Times New Roman" w:eastAsia="Times New Roman" w:hAnsi="Times New Roman" w:cs="Times New Roman"/>
          <w:i/>
          <w:iCs/>
          <w:sz w:val="24"/>
          <w:szCs w:val="24"/>
        </w:rPr>
        <w:t>Pakistan Journal of Agricultural Sciences</w:t>
      </w:r>
      <w:r w:rsidRPr="005823A7">
        <w:rPr>
          <w:rFonts w:ascii="Times New Roman" w:eastAsia="Times New Roman" w:hAnsi="Times New Roman" w:cs="Times New Roman"/>
          <w:sz w:val="24"/>
          <w:szCs w:val="24"/>
        </w:rPr>
        <w:t>, 57(5), 1313–1316.</w:t>
      </w:r>
    </w:p>
    <w:p w14:paraId="0840002C" w14:textId="77777777" w:rsidR="004C7B65" w:rsidRPr="005823A7" w:rsidRDefault="004C7B65" w:rsidP="004C7B65">
      <w:pPr>
        <w:spacing w:after="120" w:line="360" w:lineRule="auto"/>
        <w:ind w:left="720" w:hanging="720"/>
        <w:jc w:val="both"/>
      </w:pPr>
      <w:r w:rsidRPr="005823A7">
        <w:rPr>
          <w:rFonts w:ascii="Times New Roman" w:eastAsia="Times New Roman" w:hAnsi="Times New Roman" w:cs="Times New Roman"/>
          <w:sz w:val="24"/>
          <w:szCs w:val="24"/>
        </w:rPr>
        <w:t xml:space="preserve">Ashraf, M. (2020). Groundwater management in Balochistan, Pakistan: A case study of Karez rehabilitation. AGRIS. </w:t>
      </w:r>
      <w:hyperlink r:id="rId16" w:history="1">
        <w:r w:rsidRPr="005823A7">
          <w:rPr>
            <w:rStyle w:val="Hyperlink"/>
            <w:rFonts w:ascii="Times New Roman" w:eastAsia="Times New Roman" w:hAnsi="Times New Roman" w:cs="Times New Roman"/>
            <w:color w:val="auto"/>
            <w:sz w:val="24"/>
            <w:szCs w:val="24"/>
          </w:rPr>
          <w:t>https://agris.fao.org/search/en/providers/122582/records/647481f9bf943c8c7988a522</w:t>
        </w:r>
      </w:hyperlink>
    </w:p>
    <w:p w14:paraId="1A535428" w14:textId="77777777" w:rsidR="004C7B65" w:rsidRPr="005823A7" w:rsidRDefault="004C7B65" w:rsidP="004C7B65">
      <w:pPr>
        <w:spacing w:after="120" w:line="360" w:lineRule="auto"/>
        <w:ind w:left="720" w:hanging="720"/>
        <w:jc w:val="both"/>
      </w:pPr>
      <w:r w:rsidRPr="005823A7">
        <w:rPr>
          <w:rFonts w:ascii="Times New Roman" w:eastAsia="Times New Roman" w:hAnsi="Times New Roman" w:cs="Times New Roman"/>
          <w:sz w:val="24"/>
          <w:szCs w:val="24"/>
        </w:rPr>
        <w:lastRenderedPageBreak/>
        <w:t>Banerjee, S., &amp; Martin, S. W. (2009). A binary logit analysis of factors impacting adoption of genetically modified cotton. African Journal of Agricultural Research, 4(12), 1445–1451.</w:t>
      </w:r>
    </w:p>
    <w:p w14:paraId="09D0308A" w14:textId="77777777" w:rsidR="004C7B65" w:rsidRPr="005823A7" w:rsidRDefault="004C7B65" w:rsidP="004C7B65">
      <w:pPr>
        <w:spacing w:after="120" w:line="360" w:lineRule="auto"/>
        <w:ind w:left="720" w:hanging="720"/>
        <w:jc w:val="both"/>
      </w:pPr>
      <w:r w:rsidRPr="005823A7">
        <w:rPr>
          <w:rFonts w:ascii="Times New Roman" w:eastAsia="Times New Roman" w:hAnsi="Times New Roman" w:cs="Times New Roman"/>
          <w:sz w:val="24"/>
          <w:szCs w:val="24"/>
        </w:rPr>
        <w:t>Choudhary, M. A., Lodhi, A. S., Ahmad, M., &amp; Ahmed, M. (2008). A comparative study of cost of production and decision making analysis in case of onion and sunflower crops in Quetta district. Sarhad Journal of Agriculture, 24(3), 469–478.</w:t>
      </w:r>
    </w:p>
    <w:p w14:paraId="12E2E5D8" w14:textId="77777777" w:rsidR="004C7B65" w:rsidRPr="005823A7" w:rsidRDefault="004C7B65" w:rsidP="004C7B65">
      <w:pPr>
        <w:spacing w:after="120" w:line="360" w:lineRule="auto"/>
        <w:ind w:left="720" w:hanging="720"/>
        <w:jc w:val="both"/>
      </w:pPr>
      <w:r w:rsidRPr="005823A7">
        <w:rPr>
          <w:rFonts w:ascii="Times New Roman" w:eastAsia="Times New Roman" w:hAnsi="Times New Roman" w:cs="Times New Roman"/>
          <w:sz w:val="24"/>
          <w:szCs w:val="24"/>
        </w:rPr>
        <w:t>Government of Balochistan. (2021–22). Agriculture statistics of Balochistan. Department of Agriculture Extension.</w:t>
      </w:r>
    </w:p>
    <w:p w14:paraId="25983C6D" w14:textId="77777777" w:rsidR="004C7B65" w:rsidRPr="005823A7" w:rsidRDefault="004C7B65" w:rsidP="004C7B65">
      <w:pPr>
        <w:spacing w:after="120" w:line="360" w:lineRule="auto"/>
        <w:ind w:left="720" w:hanging="720"/>
        <w:jc w:val="both"/>
      </w:pPr>
      <w:r w:rsidRPr="005823A7">
        <w:rPr>
          <w:rFonts w:ascii="Times New Roman" w:eastAsia="Times New Roman" w:hAnsi="Times New Roman" w:cs="Times New Roman"/>
          <w:sz w:val="24"/>
          <w:szCs w:val="24"/>
        </w:rPr>
        <w:t xml:space="preserve">Hair, J. F., Tatham, R. L., Anderson, R. E., &amp; Black, W. C. (1998). </w:t>
      </w:r>
      <w:r w:rsidRPr="005823A7">
        <w:rPr>
          <w:rFonts w:ascii="Times New Roman" w:eastAsia="Times New Roman" w:hAnsi="Times New Roman" w:cs="Times New Roman"/>
          <w:i/>
          <w:iCs/>
          <w:sz w:val="24"/>
          <w:szCs w:val="24"/>
        </w:rPr>
        <w:t>Multivariate data analysis</w:t>
      </w:r>
      <w:r w:rsidRPr="005823A7">
        <w:rPr>
          <w:rFonts w:ascii="Times New Roman" w:eastAsia="Times New Roman" w:hAnsi="Times New Roman" w:cs="Times New Roman"/>
          <w:sz w:val="24"/>
          <w:szCs w:val="24"/>
        </w:rPr>
        <w:t xml:space="preserve"> (5th ed.). Prentice Hall.</w:t>
      </w:r>
    </w:p>
    <w:p w14:paraId="5C52FAD6" w14:textId="77777777" w:rsidR="004C7B65" w:rsidRPr="005823A7" w:rsidRDefault="004C7B65" w:rsidP="004C7B65">
      <w:pPr>
        <w:spacing w:after="120" w:line="360" w:lineRule="auto"/>
        <w:ind w:left="720" w:hanging="720"/>
        <w:jc w:val="both"/>
      </w:pPr>
      <w:r w:rsidRPr="005823A7">
        <w:rPr>
          <w:rFonts w:ascii="Times New Roman" w:eastAsia="Times New Roman" w:hAnsi="Times New Roman" w:cs="Times New Roman"/>
          <w:sz w:val="24"/>
          <w:szCs w:val="24"/>
        </w:rPr>
        <w:t>Halcrow-Pakistan &amp; Cameos Consultants. (2008). Identification of recharge potential zones in three over-drawn basins (PLB, Nari, and Zhob): Final report. Irrigation and Power Department, Government of Balochistan; Royal Government of the Netherlands.</w:t>
      </w:r>
    </w:p>
    <w:p w14:paraId="766DCA64" w14:textId="77777777" w:rsidR="004C7B65" w:rsidRPr="005823A7" w:rsidRDefault="004C7B65" w:rsidP="004C7B65">
      <w:pPr>
        <w:spacing w:after="120" w:line="360" w:lineRule="auto"/>
        <w:ind w:left="720" w:hanging="720"/>
        <w:jc w:val="both"/>
      </w:pPr>
      <w:r w:rsidRPr="005823A7">
        <w:rPr>
          <w:rFonts w:ascii="Times New Roman" w:eastAsia="Times New Roman" w:hAnsi="Times New Roman" w:cs="Times New Roman"/>
          <w:sz w:val="24"/>
          <w:szCs w:val="24"/>
        </w:rPr>
        <w:t xml:space="preserve">Hanjra, M. A., &amp; Qureshi, M. E. (2010). Global water crisis and future food security in an era of climate change. </w:t>
      </w:r>
      <w:r w:rsidRPr="005823A7">
        <w:rPr>
          <w:rFonts w:ascii="Times New Roman" w:eastAsia="Times New Roman" w:hAnsi="Times New Roman" w:cs="Times New Roman"/>
          <w:i/>
          <w:iCs/>
          <w:sz w:val="24"/>
          <w:szCs w:val="24"/>
        </w:rPr>
        <w:t>Food Policy</w:t>
      </w:r>
      <w:r w:rsidRPr="005823A7">
        <w:rPr>
          <w:rFonts w:ascii="Times New Roman" w:eastAsia="Times New Roman" w:hAnsi="Times New Roman" w:cs="Times New Roman"/>
          <w:sz w:val="24"/>
          <w:szCs w:val="24"/>
        </w:rPr>
        <w:t xml:space="preserve">, 35(5), 365–377. </w:t>
      </w:r>
      <w:hyperlink r:id="rId17" w:history="1">
        <w:r w:rsidRPr="005823A7">
          <w:rPr>
            <w:rStyle w:val="Hyperlink"/>
            <w:rFonts w:ascii="Times New Roman" w:eastAsia="Times New Roman" w:hAnsi="Times New Roman" w:cs="Times New Roman"/>
            <w:color w:val="auto"/>
            <w:sz w:val="24"/>
            <w:szCs w:val="24"/>
          </w:rPr>
          <w:t>https://doi.org/10.1016/j.foodpol.2010.05.006</w:t>
        </w:r>
      </w:hyperlink>
    </w:p>
    <w:p w14:paraId="6CFA58AF" w14:textId="77777777" w:rsidR="004C7B65" w:rsidRPr="005823A7" w:rsidRDefault="004C7B65" w:rsidP="004C7B65">
      <w:pPr>
        <w:spacing w:after="120" w:line="360" w:lineRule="auto"/>
        <w:ind w:left="720" w:hanging="720"/>
        <w:jc w:val="both"/>
      </w:pPr>
      <w:r w:rsidRPr="005823A7">
        <w:rPr>
          <w:rFonts w:ascii="Times New Roman" w:eastAsia="Times New Roman" w:hAnsi="Times New Roman" w:cs="Times New Roman"/>
          <w:sz w:val="24"/>
          <w:szCs w:val="24"/>
        </w:rPr>
        <w:t>Irfan, M., Zhao, Z. Y., Ahmad, M., &amp; Mukeshimana, M. C. (2019). Solar energy development in Pakistan: Barriers and policy recommendations. Sustainability, 11(5), 1206. https://doi.org/10.3390/su11051206</w:t>
      </w:r>
    </w:p>
    <w:p w14:paraId="5B29233D" w14:textId="77777777" w:rsidR="004C7B65" w:rsidRPr="005823A7" w:rsidRDefault="004C7B65" w:rsidP="004C7B65">
      <w:pPr>
        <w:spacing w:after="120" w:line="360" w:lineRule="auto"/>
        <w:ind w:left="720" w:hanging="720"/>
        <w:jc w:val="both"/>
      </w:pPr>
      <w:r w:rsidRPr="005823A7">
        <w:rPr>
          <w:rFonts w:ascii="Times New Roman" w:eastAsia="Times New Roman" w:hAnsi="Times New Roman" w:cs="Times New Roman"/>
          <w:sz w:val="24"/>
          <w:szCs w:val="24"/>
        </w:rPr>
        <w:t>IUCN. (2000). Balochistan conservation strategy. IUCN Pakistan &amp; Government of Balochistan.</w:t>
      </w:r>
    </w:p>
    <w:p w14:paraId="5439CA21" w14:textId="77777777" w:rsidR="004C7B65" w:rsidRPr="005823A7" w:rsidRDefault="004C7B65" w:rsidP="004C7B65">
      <w:pPr>
        <w:spacing w:after="120" w:line="360" w:lineRule="auto"/>
        <w:ind w:left="720" w:hanging="720"/>
        <w:jc w:val="both"/>
      </w:pPr>
      <w:r w:rsidRPr="005823A7">
        <w:rPr>
          <w:rFonts w:ascii="Times New Roman" w:eastAsia="Times New Roman" w:hAnsi="Times New Roman" w:cs="Times New Roman"/>
          <w:sz w:val="24"/>
          <w:szCs w:val="24"/>
        </w:rPr>
        <w:t>Khair, S. M., Rasheed, A., &amp; Culas, R. (2021). Improving groundwater management to enhance agriculture and farming livelihoods: Socio-economic analysis of groundwater resource management for Balochistan, Pakistan (ILWS Report No. 155). Institute for Land, Water and Society, Charles Sturt University.</w:t>
      </w:r>
    </w:p>
    <w:p w14:paraId="480C2E34" w14:textId="77777777" w:rsidR="004C7B65" w:rsidRPr="005823A7" w:rsidRDefault="004C7B65" w:rsidP="004C7B65">
      <w:pPr>
        <w:spacing w:after="120" w:line="360" w:lineRule="auto"/>
        <w:ind w:left="720" w:hanging="720"/>
        <w:jc w:val="both"/>
      </w:pPr>
      <w:r w:rsidRPr="005823A7">
        <w:rPr>
          <w:rFonts w:ascii="Times New Roman" w:eastAsia="Times New Roman" w:hAnsi="Times New Roman" w:cs="Times New Roman"/>
          <w:sz w:val="24"/>
          <w:szCs w:val="24"/>
        </w:rPr>
        <w:t>Louangrath, P. (2018). Reliability and validity of survey scales. International Journal of Research &amp; Methodology in Social Science, 4(3), 50–62.</w:t>
      </w:r>
    </w:p>
    <w:p w14:paraId="16554F0B" w14:textId="77777777" w:rsidR="004C7B65" w:rsidRPr="005823A7" w:rsidRDefault="004C7B65" w:rsidP="004C7B65">
      <w:pPr>
        <w:spacing w:after="120" w:line="360" w:lineRule="auto"/>
        <w:ind w:left="720" w:hanging="720"/>
        <w:jc w:val="both"/>
      </w:pPr>
      <w:r w:rsidRPr="005823A7">
        <w:rPr>
          <w:rFonts w:ascii="Times New Roman" w:eastAsia="Times New Roman" w:hAnsi="Times New Roman" w:cs="Times New Roman"/>
          <w:sz w:val="24"/>
          <w:szCs w:val="24"/>
        </w:rPr>
        <w:t>Maxwell, J. C. (2013). The 17 indisputable laws of teamwork: Embrace them and empower your team. HarperCollins Leadership.</w:t>
      </w:r>
    </w:p>
    <w:p w14:paraId="61C61DC7" w14:textId="77777777" w:rsidR="004C7B65" w:rsidRPr="005823A7" w:rsidRDefault="004C7B65" w:rsidP="004C7B65">
      <w:pPr>
        <w:spacing w:after="120" w:line="360" w:lineRule="auto"/>
        <w:ind w:left="720" w:hanging="720"/>
        <w:jc w:val="both"/>
      </w:pPr>
      <w:r w:rsidRPr="005823A7">
        <w:rPr>
          <w:rFonts w:ascii="Times New Roman" w:eastAsia="Times New Roman" w:hAnsi="Times New Roman" w:cs="Times New Roman"/>
          <w:sz w:val="24"/>
          <w:szCs w:val="24"/>
        </w:rPr>
        <w:lastRenderedPageBreak/>
        <w:t>Mustafa, Z., Iqbal, R., Siraj, M., &amp; Hussain, I. (2022). Cost–benefit analysis of solar photovoltaic energy system in agriculture sector of Quetta, Pakistan. Environmental Sciences Proceedings, 23(1), 26. https://doi.org/10.3390/environsciproc2022023026</w:t>
      </w:r>
    </w:p>
    <w:p w14:paraId="087151C2" w14:textId="77777777" w:rsidR="004C7B65" w:rsidRPr="005823A7" w:rsidRDefault="004C7B65" w:rsidP="004C7B65">
      <w:pPr>
        <w:spacing w:after="120" w:line="360" w:lineRule="auto"/>
        <w:ind w:left="720" w:hanging="720"/>
        <w:jc w:val="both"/>
      </w:pPr>
      <w:r w:rsidRPr="005823A7">
        <w:rPr>
          <w:rFonts w:ascii="Times New Roman" w:eastAsia="Times New Roman" w:hAnsi="Times New Roman" w:cs="Times New Roman"/>
          <w:sz w:val="24"/>
          <w:szCs w:val="24"/>
        </w:rPr>
        <w:t>Nagaraj, N., Frasier, W. M., &amp; Sampath, R. K. (1999). Groundwater institutions in US and India: Sustainable and equitable resource use. Economic and Political Weekly, 34(26), A93–A104.</w:t>
      </w:r>
    </w:p>
    <w:p w14:paraId="7E5A399E" w14:textId="77777777" w:rsidR="004C7B65" w:rsidRPr="005823A7" w:rsidRDefault="004C7B65" w:rsidP="004C7B65">
      <w:pPr>
        <w:spacing w:after="120" w:line="360" w:lineRule="auto"/>
        <w:ind w:left="720" w:hanging="720"/>
        <w:jc w:val="both"/>
      </w:pPr>
      <w:r w:rsidRPr="005823A7">
        <w:rPr>
          <w:rFonts w:ascii="Times New Roman" w:eastAsia="Times New Roman" w:hAnsi="Times New Roman" w:cs="Times New Roman"/>
          <w:sz w:val="24"/>
          <w:szCs w:val="24"/>
        </w:rPr>
        <w:t>Qureshi, A. S., Shah, T., &amp; Akhtar, M. (2022). The groundwater economy of Pakistan: Challenges and prospects for sustainable management. Hydrogeology Journal, 30(4), 1145–1161. https://doi.org/10.1007/s10040-022-02451-2</w:t>
      </w:r>
    </w:p>
    <w:p w14:paraId="666160CD" w14:textId="77777777" w:rsidR="004C7B65" w:rsidRPr="005823A7" w:rsidRDefault="004C7B65" w:rsidP="004C7B65">
      <w:pPr>
        <w:spacing w:after="120" w:line="360" w:lineRule="auto"/>
        <w:ind w:left="720" w:hanging="720"/>
        <w:jc w:val="both"/>
      </w:pPr>
      <w:r w:rsidRPr="005823A7">
        <w:rPr>
          <w:rFonts w:ascii="Times New Roman" w:eastAsia="Times New Roman" w:hAnsi="Times New Roman" w:cs="Times New Roman"/>
          <w:sz w:val="24"/>
          <w:szCs w:val="24"/>
        </w:rPr>
        <w:t xml:space="preserve">Qureshi, A. S., Gill, M. A., &amp; Sarwar, A. (2008). Sustainable groundwater management in Pakistan: Challenges and opportunities. </w:t>
      </w:r>
      <w:r w:rsidRPr="005823A7">
        <w:rPr>
          <w:rFonts w:ascii="Times New Roman" w:eastAsia="Times New Roman" w:hAnsi="Times New Roman" w:cs="Times New Roman"/>
          <w:i/>
          <w:iCs/>
          <w:sz w:val="24"/>
          <w:szCs w:val="24"/>
        </w:rPr>
        <w:t>Irrigation and Drainage</w:t>
      </w:r>
      <w:r w:rsidRPr="005823A7">
        <w:rPr>
          <w:rFonts w:ascii="Times New Roman" w:eastAsia="Times New Roman" w:hAnsi="Times New Roman" w:cs="Times New Roman"/>
          <w:sz w:val="24"/>
          <w:szCs w:val="24"/>
        </w:rPr>
        <w:t>, 57(3), 373–388. https://doi.org/10.1002/ird.400</w:t>
      </w:r>
    </w:p>
    <w:p w14:paraId="40CB82CC" w14:textId="77777777" w:rsidR="004C7B65" w:rsidRPr="005823A7" w:rsidRDefault="004C7B65" w:rsidP="004C7B65">
      <w:pPr>
        <w:spacing w:after="120" w:line="360" w:lineRule="auto"/>
        <w:ind w:left="720" w:hanging="720"/>
        <w:jc w:val="both"/>
      </w:pPr>
      <w:r w:rsidRPr="005823A7">
        <w:rPr>
          <w:rFonts w:ascii="Times New Roman" w:eastAsia="Times New Roman" w:hAnsi="Times New Roman" w:cs="Times New Roman"/>
          <w:sz w:val="24"/>
          <w:szCs w:val="24"/>
        </w:rPr>
        <w:t xml:space="preserve">Rafi-Khan, D., &amp; Maria, M. (2023). Scarcity of water in Quetta–a way forward. </w:t>
      </w:r>
      <w:r w:rsidRPr="005823A7">
        <w:rPr>
          <w:rFonts w:ascii="Times New Roman" w:eastAsia="Times New Roman" w:hAnsi="Times New Roman" w:cs="Times New Roman"/>
          <w:i/>
          <w:iCs/>
          <w:sz w:val="24"/>
          <w:szCs w:val="24"/>
        </w:rPr>
        <w:t>Journal of Positive School Psychology</w:t>
      </w:r>
      <w:r w:rsidRPr="005823A7">
        <w:rPr>
          <w:rFonts w:ascii="Times New Roman" w:eastAsia="Times New Roman" w:hAnsi="Times New Roman" w:cs="Times New Roman"/>
          <w:sz w:val="24"/>
          <w:szCs w:val="24"/>
        </w:rPr>
        <w:t>, 7(2), 1–10.</w:t>
      </w:r>
    </w:p>
    <w:p w14:paraId="5A659C48" w14:textId="77777777" w:rsidR="004C7B65" w:rsidRPr="005823A7" w:rsidRDefault="004C7B65" w:rsidP="004C7B65">
      <w:pPr>
        <w:spacing w:after="120" w:line="360" w:lineRule="auto"/>
        <w:ind w:left="720" w:hanging="720"/>
        <w:jc w:val="both"/>
      </w:pPr>
      <w:r w:rsidRPr="005823A7">
        <w:rPr>
          <w:rFonts w:ascii="Times New Roman" w:eastAsia="Times New Roman" w:hAnsi="Times New Roman" w:cs="Times New Roman"/>
          <w:sz w:val="24"/>
          <w:szCs w:val="24"/>
        </w:rPr>
        <w:t>Rana, A. W., Davies, S., Moeen, M. S., Shikoh, S. H., &amp; Rizwan, N. (2020). Solarization of electric tube-wells for agriculture in Balochistan: Economic and environmental viability. International Food Policy Research Institute.</w:t>
      </w:r>
    </w:p>
    <w:p w14:paraId="07295DA3" w14:textId="77777777" w:rsidR="004C7B65" w:rsidRPr="005823A7" w:rsidRDefault="004C7B65" w:rsidP="004C7B65">
      <w:pPr>
        <w:spacing w:after="120" w:line="360" w:lineRule="auto"/>
        <w:ind w:left="720" w:hanging="720"/>
        <w:jc w:val="both"/>
      </w:pPr>
      <w:r w:rsidRPr="005823A7">
        <w:rPr>
          <w:rFonts w:ascii="Times New Roman" w:eastAsia="Times New Roman" w:hAnsi="Times New Roman" w:cs="Times New Roman"/>
          <w:sz w:val="24"/>
          <w:szCs w:val="24"/>
        </w:rPr>
        <w:t>Rizwan, N., Shikoh, S. H., Davies, S., Moeen, M. S., Rana, A. W., &amp; Haider, Z. (2021). Assessing the economic cost of depleting groundwater in Balochistan: A social accounting matrix (SAM) multiplier approach (IFPRI Discussion Paper). International Food Policy Research Institute. https://doi.org/10.2499/p15738coll2.134349</w:t>
      </w:r>
    </w:p>
    <w:p w14:paraId="58F9E3C5" w14:textId="77777777" w:rsidR="004C7B65" w:rsidRPr="005823A7" w:rsidRDefault="004C7B65" w:rsidP="004C7B65">
      <w:pPr>
        <w:spacing w:after="120" w:line="360" w:lineRule="auto"/>
        <w:ind w:left="720" w:hanging="720"/>
        <w:jc w:val="both"/>
      </w:pPr>
      <w:r w:rsidRPr="005823A7">
        <w:rPr>
          <w:rFonts w:ascii="Times New Roman" w:eastAsia="Times New Roman" w:hAnsi="Times New Roman" w:cs="Times New Roman"/>
          <w:sz w:val="24"/>
          <w:szCs w:val="24"/>
        </w:rPr>
        <w:t>Sanni, S. A., &amp; Doppler, W. (2007). Socio-economic determinants of household fertilizer use intensity for maize-based production systems in the Northern Guinea Savannah of Nigeria. Journal of Applied Sciences, 7(12), 1774–1779.</w:t>
      </w:r>
    </w:p>
    <w:p w14:paraId="05A3E731" w14:textId="77777777" w:rsidR="004C7B65" w:rsidRPr="005823A7" w:rsidRDefault="004C7B65" w:rsidP="004C7B65">
      <w:pPr>
        <w:spacing w:after="120" w:line="360" w:lineRule="auto"/>
        <w:ind w:left="720" w:hanging="720"/>
        <w:jc w:val="both"/>
      </w:pPr>
      <w:r w:rsidRPr="005823A7">
        <w:rPr>
          <w:rFonts w:ascii="Times New Roman" w:eastAsia="Times New Roman" w:hAnsi="Times New Roman" w:cs="Times New Roman"/>
          <w:sz w:val="24"/>
          <w:szCs w:val="24"/>
        </w:rPr>
        <w:t>Saunders, F. C. (2015). Toward high reliability project organizing in safety-critical projects. Project Management Journal, 46(3), 25–35.</w:t>
      </w:r>
    </w:p>
    <w:p w14:paraId="7BE9087B" w14:textId="77777777" w:rsidR="004C7B65" w:rsidRPr="005823A7" w:rsidRDefault="004C7B65" w:rsidP="004C7B65">
      <w:pPr>
        <w:spacing w:after="120" w:line="360" w:lineRule="auto"/>
        <w:ind w:left="720" w:hanging="720"/>
        <w:jc w:val="both"/>
      </w:pPr>
      <w:r w:rsidRPr="005823A7">
        <w:rPr>
          <w:rFonts w:ascii="Times New Roman" w:eastAsia="Times New Roman" w:hAnsi="Times New Roman" w:cs="Times New Roman"/>
          <w:sz w:val="24"/>
          <w:szCs w:val="24"/>
        </w:rPr>
        <w:t>Shah, S. A. A., &amp; Solangi, Y. A. (2019). A sustainable solution for electricity crisis in Pakistan: Opportunities, barriers, and policy implications for 100% renewable energy. Environmental Science and Pollution Research, 26(29), 29687–29703. https://doi.org/10.1007/s11356-019-05995-3</w:t>
      </w:r>
    </w:p>
    <w:p w14:paraId="35F7540A" w14:textId="77777777" w:rsidR="004C7B65" w:rsidRPr="005823A7" w:rsidRDefault="004C7B65" w:rsidP="004C7B65">
      <w:pPr>
        <w:spacing w:after="120" w:line="360" w:lineRule="auto"/>
        <w:ind w:left="720" w:hanging="720"/>
        <w:jc w:val="both"/>
      </w:pPr>
      <w:r w:rsidRPr="005823A7">
        <w:rPr>
          <w:rFonts w:ascii="Times New Roman" w:eastAsia="Times New Roman" w:hAnsi="Times New Roman" w:cs="Times New Roman"/>
          <w:sz w:val="24"/>
          <w:szCs w:val="24"/>
        </w:rPr>
        <w:lastRenderedPageBreak/>
        <w:t xml:space="preserve">Shah, S. A. A., Valasai, G. D., Memon, A. A., Laghari, A. N., Jalbani, N. B., &amp; Strait, J. L. (2018). Techno-economic analysis of solar PV electricity supply to rural areas of Balochistan, Pakistan. </w:t>
      </w:r>
      <w:r w:rsidRPr="005823A7">
        <w:rPr>
          <w:rFonts w:ascii="Times New Roman" w:eastAsia="Times New Roman" w:hAnsi="Times New Roman" w:cs="Times New Roman"/>
          <w:i/>
          <w:iCs/>
          <w:sz w:val="24"/>
          <w:szCs w:val="24"/>
        </w:rPr>
        <w:t>Energies</w:t>
      </w:r>
      <w:r w:rsidRPr="005823A7">
        <w:rPr>
          <w:rFonts w:ascii="Times New Roman" w:eastAsia="Times New Roman" w:hAnsi="Times New Roman" w:cs="Times New Roman"/>
          <w:sz w:val="24"/>
          <w:szCs w:val="24"/>
        </w:rPr>
        <w:t>, 11(7), 1777. https://doi.org/10.3390/en11071777</w:t>
      </w:r>
    </w:p>
    <w:p w14:paraId="6C5FD920" w14:textId="77777777" w:rsidR="004C7B65" w:rsidRPr="005823A7" w:rsidRDefault="004C7B65" w:rsidP="004C7B65">
      <w:pPr>
        <w:spacing w:after="120" w:line="360" w:lineRule="auto"/>
        <w:ind w:left="720" w:hanging="720"/>
        <w:jc w:val="both"/>
      </w:pPr>
      <w:r w:rsidRPr="005823A7">
        <w:rPr>
          <w:rFonts w:ascii="Times New Roman" w:eastAsia="Times New Roman" w:hAnsi="Times New Roman" w:cs="Times New Roman"/>
          <w:sz w:val="24"/>
          <w:szCs w:val="24"/>
        </w:rPr>
        <w:t>Shah, T. (2022). Solar irrigation pumps and groundwater depletion: Reframing the debate. Nature Sustainability, 5(7), 562–564. https://doi.org/10.1038/s41893-022-00896-3</w:t>
      </w:r>
    </w:p>
    <w:p w14:paraId="34198421" w14:textId="77777777" w:rsidR="004C7B65" w:rsidRPr="005823A7" w:rsidRDefault="004C7B65" w:rsidP="004C7B65">
      <w:pPr>
        <w:spacing w:after="120" w:line="360" w:lineRule="auto"/>
        <w:ind w:left="720" w:hanging="720"/>
        <w:jc w:val="both"/>
      </w:pPr>
      <w:r w:rsidRPr="005823A7">
        <w:rPr>
          <w:rFonts w:ascii="Times New Roman" w:eastAsia="Times New Roman" w:hAnsi="Times New Roman" w:cs="Times New Roman"/>
          <w:sz w:val="24"/>
          <w:szCs w:val="24"/>
        </w:rPr>
        <w:t>Solangi, Y. A., Shah, S. A. A., Zameer, H., Ikram, M., &amp; Saracoglu, B. O. (2019). Assessing the solar PV power project site selection in Pakistan: Based on AHP-fuzzy VIKOR approach. Environmental Science and Pollution Research, 26(30), 30286–30302. https://doi.org/10.1007/s11356-019-06107-x</w:t>
      </w:r>
    </w:p>
    <w:p w14:paraId="51EEC838" w14:textId="77777777" w:rsidR="004C7B65" w:rsidRPr="005823A7" w:rsidRDefault="004C7B65" w:rsidP="004C7B65">
      <w:pPr>
        <w:spacing w:after="120" w:line="360" w:lineRule="auto"/>
        <w:ind w:left="720" w:hanging="720"/>
        <w:jc w:val="both"/>
      </w:pPr>
      <w:r w:rsidRPr="005823A7">
        <w:rPr>
          <w:rFonts w:ascii="Times New Roman" w:eastAsia="Times New Roman" w:hAnsi="Times New Roman" w:cs="Times New Roman"/>
          <w:sz w:val="24"/>
          <w:szCs w:val="24"/>
        </w:rPr>
        <w:t xml:space="preserve">Wakeel, M., Chen, B., &amp; Jahangir, S. (2016). Overview of energy portfolio in Pakistan. </w:t>
      </w:r>
      <w:r w:rsidRPr="005823A7">
        <w:rPr>
          <w:rFonts w:ascii="Times New Roman" w:eastAsia="Times New Roman" w:hAnsi="Times New Roman" w:cs="Times New Roman"/>
          <w:i/>
          <w:iCs/>
          <w:sz w:val="24"/>
          <w:szCs w:val="24"/>
        </w:rPr>
        <w:t>Energy Procedia</w:t>
      </w:r>
      <w:r w:rsidRPr="005823A7">
        <w:rPr>
          <w:rFonts w:ascii="Times New Roman" w:eastAsia="Times New Roman" w:hAnsi="Times New Roman" w:cs="Times New Roman"/>
          <w:sz w:val="24"/>
          <w:szCs w:val="24"/>
        </w:rPr>
        <w:t>, 88, 71–75. https://doi.org/10.1016/j.egypro.2016.06.010</w:t>
      </w:r>
    </w:p>
    <w:p w14:paraId="5083EB34" w14:textId="77777777" w:rsidR="004C7B65" w:rsidRPr="005823A7" w:rsidRDefault="004C7B65" w:rsidP="004C7B65">
      <w:pPr>
        <w:spacing w:after="120" w:line="360" w:lineRule="auto"/>
        <w:ind w:left="720" w:hanging="720"/>
        <w:jc w:val="both"/>
      </w:pPr>
      <w:r w:rsidRPr="005823A7">
        <w:rPr>
          <w:rFonts w:ascii="Times New Roman" w:eastAsia="Times New Roman" w:hAnsi="Times New Roman" w:cs="Times New Roman"/>
          <w:sz w:val="24"/>
          <w:szCs w:val="24"/>
        </w:rPr>
        <w:t>Water and Power Development Authority (WAPDA). (1993). Groundwater resources of Balochistan Province, Pakistan. Directorate General Hydrology.</w:t>
      </w:r>
    </w:p>
    <w:p w14:paraId="6FE30214" w14:textId="77777777" w:rsidR="004C7B65" w:rsidRPr="005823A7" w:rsidRDefault="004C7B65" w:rsidP="004C7B65">
      <w:pPr>
        <w:spacing w:after="120" w:line="360" w:lineRule="auto"/>
        <w:ind w:left="720" w:hanging="720"/>
        <w:jc w:val="both"/>
      </w:pPr>
      <w:r w:rsidRPr="005823A7">
        <w:rPr>
          <w:rFonts w:ascii="Times New Roman" w:eastAsia="Times New Roman" w:hAnsi="Times New Roman" w:cs="Times New Roman"/>
          <w:sz w:val="24"/>
          <w:szCs w:val="24"/>
        </w:rPr>
        <w:t>Watto, M. A., &amp; Mugera, A. W. (2016). Groundwater depletion in the Indus Plain of Pakistan: Imperatives, repercussions and management issues. International Journal of River Basin Management, 14(4), 447–458. https://doi.org/10.1080/15715124.2016.1204474</w:t>
      </w:r>
    </w:p>
    <w:p w14:paraId="72D3B173" w14:textId="77777777" w:rsidR="004C7B65" w:rsidRPr="005823A7" w:rsidRDefault="004C7B65" w:rsidP="004C7B65">
      <w:pPr>
        <w:spacing w:after="120" w:line="360" w:lineRule="auto"/>
        <w:ind w:left="720" w:hanging="720"/>
        <w:jc w:val="both"/>
      </w:pPr>
      <w:r w:rsidRPr="005823A7">
        <w:rPr>
          <w:rFonts w:ascii="Times New Roman" w:eastAsia="Times New Roman" w:hAnsi="Times New Roman" w:cs="Times New Roman"/>
          <w:sz w:val="24"/>
          <w:szCs w:val="24"/>
        </w:rPr>
        <w:t>Wudil, A. H., Ali, A., Mushtaq, K., Baig, S. A., Radulescu, M., Prus, P., Usman, M., &amp; Vasa, L. (2023). Water use efficiency and productivity of irrigated rice cultivation in Nigeria: An application of the stochastic frontier approach. Sustainability, 15(10), 7824. https://doi.org/10.3390/su15107824</w:t>
      </w:r>
    </w:p>
    <w:p w14:paraId="3E4B701B" w14:textId="77777777" w:rsidR="004C7B65" w:rsidRPr="005823A7" w:rsidRDefault="004C7B65" w:rsidP="004C7B65">
      <w:pPr>
        <w:spacing w:after="120" w:line="360" w:lineRule="auto"/>
        <w:ind w:left="720" w:hanging="720"/>
        <w:jc w:val="both"/>
      </w:pPr>
      <w:r w:rsidRPr="005823A7">
        <w:rPr>
          <w:rFonts w:ascii="Times New Roman" w:eastAsia="Times New Roman" w:hAnsi="Times New Roman" w:cs="Times New Roman"/>
          <w:sz w:val="24"/>
          <w:szCs w:val="24"/>
        </w:rPr>
        <w:t>Yamane, T. (1967). Statistics: An introductory analysis (2nd ed.). Harper &amp; Row.</w:t>
      </w:r>
    </w:p>
    <w:p w14:paraId="6F1881DD" w14:textId="089E113A" w:rsidR="004C7B65" w:rsidRPr="005823A7" w:rsidRDefault="004C7B65" w:rsidP="004C7B65">
      <w:pPr>
        <w:spacing w:after="120" w:line="360" w:lineRule="auto"/>
        <w:ind w:left="720" w:hanging="720"/>
        <w:jc w:val="both"/>
      </w:pPr>
      <w:r w:rsidRPr="005823A7">
        <w:rPr>
          <w:rFonts w:ascii="Times New Roman" w:eastAsia="Times New Roman" w:hAnsi="Times New Roman" w:cs="Times New Roman"/>
          <w:sz w:val="24"/>
          <w:szCs w:val="24"/>
        </w:rPr>
        <w:t xml:space="preserve">Yaqoob, H., Teoh, Y. H., Din, Z. U., Sabah, N. U., Jamil, M. A., Mujtaba, M., &amp; Abid, A. (2021). The potential of sustainable biogas production from biomass waste for power generation in Pakistan. Journal of Cleaner Production, 307, 127250. </w:t>
      </w:r>
      <w:hyperlink r:id="rId18" w:history="1">
        <w:r w:rsidR="000B098D" w:rsidRPr="005823A7">
          <w:rPr>
            <w:rStyle w:val="Hyperlink"/>
            <w:rFonts w:ascii="Times New Roman" w:eastAsia="Times New Roman" w:hAnsi="Times New Roman" w:cs="Times New Roman"/>
            <w:color w:val="auto"/>
            <w:sz w:val="24"/>
            <w:szCs w:val="24"/>
          </w:rPr>
          <w:t>https://doi.org/10.1016/j.jclepro.2021.127250</w:t>
        </w:r>
      </w:hyperlink>
      <w:r w:rsidR="000B098D" w:rsidRPr="005823A7">
        <w:rPr>
          <w:rFonts w:ascii="Times New Roman" w:eastAsia="Times New Roman" w:hAnsi="Times New Roman" w:cs="Times New Roman"/>
          <w:sz w:val="24"/>
          <w:szCs w:val="24"/>
        </w:rPr>
        <w:t xml:space="preserve"> </w:t>
      </w:r>
    </w:p>
    <w:sectPr w:rsidR="004C7B65" w:rsidRPr="005823A7" w:rsidSect="007C27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tDA3tTQzNDQxNjQxMDVX0lEKTi0uzszPAykwrgUALCaq6CwAAAA="/>
  </w:docVars>
  <w:rsids>
    <w:rsidRoot w:val="00374A06"/>
    <w:rsid w:val="00010D42"/>
    <w:rsid w:val="0002311F"/>
    <w:rsid w:val="00032BEA"/>
    <w:rsid w:val="00053DC5"/>
    <w:rsid w:val="00061408"/>
    <w:rsid w:val="00070728"/>
    <w:rsid w:val="00080016"/>
    <w:rsid w:val="0009391A"/>
    <w:rsid w:val="00097439"/>
    <w:rsid w:val="000A088E"/>
    <w:rsid w:val="000B098D"/>
    <w:rsid w:val="000C44AA"/>
    <w:rsid w:val="000D63F3"/>
    <w:rsid w:val="000E139F"/>
    <w:rsid w:val="000F7C07"/>
    <w:rsid w:val="00105C37"/>
    <w:rsid w:val="00110FD5"/>
    <w:rsid w:val="001A3E0A"/>
    <w:rsid w:val="001C4305"/>
    <w:rsid w:val="001E2E48"/>
    <w:rsid w:val="001E5729"/>
    <w:rsid w:val="001F441F"/>
    <w:rsid w:val="001F4B9F"/>
    <w:rsid w:val="0020325A"/>
    <w:rsid w:val="00215035"/>
    <w:rsid w:val="00216BC1"/>
    <w:rsid w:val="002330D2"/>
    <w:rsid w:val="00233898"/>
    <w:rsid w:val="0024456C"/>
    <w:rsid w:val="00280CD4"/>
    <w:rsid w:val="002837A6"/>
    <w:rsid w:val="002840AE"/>
    <w:rsid w:val="00290573"/>
    <w:rsid w:val="00294ADF"/>
    <w:rsid w:val="0030315A"/>
    <w:rsid w:val="00304847"/>
    <w:rsid w:val="003174CE"/>
    <w:rsid w:val="00331BDA"/>
    <w:rsid w:val="00351138"/>
    <w:rsid w:val="0035362D"/>
    <w:rsid w:val="003722B5"/>
    <w:rsid w:val="00372E96"/>
    <w:rsid w:val="00374A06"/>
    <w:rsid w:val="00385FC0"/>
    <w:rsid w:val="003E2487"/>
    <w:rsid w:val="003E7CE0"/>
    <w:rsid w:val="003E7DC2"/>
    <w:rsid w:val="00480A45"/>
    <w:rsid w:val="00496064"/>
    <w:rsid w:val="004C7B65"/>
    <w:rsid w:val="00504D1B"/>
    <w:rsid w:val="00506736"/>
    <w:rsid w:val="005259D7"/>
    <w:rsid w:val="00531638"/>
    <w:rsid w:val="00535698"/>
    <w:rsid w:val="00547B94"/>
    <w:rsid w:val="0055265E"/>
    <w:rsid w:val="00557C16"/>
    <w:rsid w:val="005823A7"/>
    <w:rsid w:val="005B3DC5"/>
    <w:rsid w:val="005C01A7"/>
    <w:rsid w:val="005D0D99"/>
    <w:rsid w:val="00644D9D"/>
    <w:rsid w:val="00676001"/>
    <w:rsid w:val="00682555"/>
    <w:rsid w:val="00685F0A"/>
    <w:rsid w:val="006E379D"/>
    <w:rsid w:val="006F5AB5"/>
    <w:rsid w:val="00701144"/>
    <w:rsid w:val="00703AD2"/>
    <w:rsid w:val="0070432C"/>
    <w:rsid w:val="00714926"/>
    <w:rsid w:val="00721ECF"/>
    <w:rsid w:val="0073732B"/>
    <w:rsid w:val="007458A7"/>
    <w:rsid w:val="007532CC"/>
    <w:rsid w:val="00774CAB"/>
    <w:rsid w:val="00785547"/>
    <w:rsid w:val="00795036"/>
    <w:rsid w:val="007A3892"/>
    <w:rsid w:val="007B556D"/>
    <w:rsid w:val="007C27FE"/>
    <w:rsid w:val="007F400A"/>
    <w:rsid w:val="008152C0"/>
    <w:rsid w:val="008358A5"/>
    <w:rsid w:val="008373A8"/>
    <w:rsid w:val="008470C0"/>
    <w:rsid w:val="00874D30"/>
    <w:rsid w:val="0089101E"/>
    <w:rsid w:val="00893399"/>
    <w:rsid w:val="008A36AC"/>
    <w:rsid w:val="008B4568"/>
    <w:rsid w:val="008B6ED5"/>
    <w:rsid w:val="008D4D34"/>
    <w:rsid w:val="008F11ED"/>
    <w:rsid w:val="0090220D"/>
    <w:rsid w:val="00904FA4"/>
    <w:rsid w:val="00911542"/>
    <w:rsid w:val="00921352"/>
    <w:rsid w:val="00930C35"/>
    <w:rsid w:val="0093700A"/>
    <w:rsid w:val="009401BE"/>
    <w:rsid w:val="009421ED"/>
    <w:rsid w:val="009454C7"/>
    <w:rsid w:val="0095591F"/>
    <w:rsid w:val="00971C52"/>
    <w:rsid w:val="00983731"/>
    <w:rsid w:val="00994A92"/>
    <w:rsid w:val="009973EC"/>
    <w:rsid w:val="009A719A"/>
    <w:rsid w:val="009B7DA3"/>
    <w:rsid w:val="009C6122"/>
    <w:rsid w:val="009D74ED"/>
    <w:rsid w:val="00A00023"/>
    <w:rsid w:val="00A02477"/>
    <w:rsid w:val="00A31369"/>
    <w:rsid w:val="00A42156"/>
    <w:rsid w:val="00A51816"/>
    <w:rsid w:val="00A521F6"/>
    <w:rsid w:val="00A62AB9"/>
    <w:rsid w:val="00A749A8"/>
    <w:rsid w:val="00AC7539"/>
    <w:rsid w:val="00AE0A33"/>
    <w:rsid w:val="00AF4B91"/>
    <w:rsid w:val="00B47D09"/>
    <w:rsid w:val="00B63904"/>
    <w:rsid w:val="00B65C28"/>
    <w:rsid w:val="00B6753A"/>
    <w:rsid w:val="00B75DC4"/>
    <w:rsid w:val="00B76572"/>
    <w:rsid w:val="00B83CFD"/>
    <w:rsid w:val="00B8736F"/>
    <w:rsid w:val="00B87715"/>
    <w:rsid w:val="00B9115E"/>
    <w:rsid w:val="00BA44F6"/>
    <w:rsid w:val="00C0379D"/>
    <w:rsid w:val="00C110F6"/>
    <w:rsid w:val="00C149CC"/>
    <w:rsid w:val="00C30F8C"/>
    <w:rsid w:val="00C33FA3"/>
    <w:rsid w:val="00C4134B"/>
    <w:rsid w:val="00C446F7"/>
    <w:rsid w:val="00CA0B0D"/>
    <w:rsid w:val="00CA38AD"/>
    <w:rsid w:val="00CA6B8D"/>
    <w:rsid w:val="00CB3C4C"/>
    <w:rsid w:val="00CC5B94"/>
    <w:rsid w:val="00CC7E0B"/>
    <w:rsid w:val="00CD30C1"/>
    <w:rsid w:val="00CD7BE2"/>
    <w:rsid w:val="00D00EF0"/>
    <w:rsid w:val="00D01C76"/>
    <w:rsid w:val="00D02452"/>
    <w:rsid w:val="00D12051"/>
    <w:rsid w:val="00D22726"/>
    <w:rsid w:val="00D23B6C"/>
    <w:rsid w:val="00D33547"/>
    <w:rsid w:val="00D904CB"/>
    <w:rsid w:val="00D937F5"/>
    <w:rsid w:val="00DA7AE5"/>
    <w:rsid w:val="00DC65E9"/>
    <w:rsid w:val="00DD2BFA"/>
    <w:rsid w:val="00E01F41"/>
    <w:rsid w:val="00E15668"/>
    <w:rsid w:val="00E308F8"/>
    <w:rsid w:val="00E342D0"/>
    <w:rsid w:val="00E406EE"/>
    <w:rsid w:val="00E436D3"/>
    <w:rsid w:val="00E44CC3"/>
    <w:rsid w:val="00E45E22"/>
    <w:rsid w:val="00E63953"/>
    <w:rsid w:val="00E76B49"/>
    <w:rsid w:val="00E80A08"/>
    <w:rsid w:val="00E8606A"/>
    <w:rsid w:val="00EA6502"/>
    <w:rsid w:val="00EC5807"/>
    <w:rsid w:val="00EE6839"/>
    <w:rsid w:val="00EF3F82"/>
    <w:rsid w:val="00F1746F"/>
    <w:rsid w:val="00F26748"/>
    <w:rsid w:val="00F64418"/>
    <w:rsid w:val="00FC6556"/>
    <w:rsid w:val="00FF1F8B"/>
    <w:rsid w:val="00FF59E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90A78F"/>
  <w15:chartTrackingRefBased/>
  <w15:docId w15:val="{1484C66D-14B1-4081-BE64-A866469F0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0E139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3389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3E7CE0"/>
    <w:pPr>
      <w:autoSpaceDE w:val="0"/>
      <w:autoSpaceDN w:val="0"/>
      <w:adjustRightInd w:val="0"/>
      <w:spacing w:after="0" w:line="240" w:lineRule="auto"/>
    </w:pPr>
    <w:rPr>
      <w:rFonts w:ascii="Calibri" w:hAnsi="Calibri" w:cs="Calibri"/>
      <w:color w:val="000000"/>
      <w:sz w:val="24"/>
      <w:szCs w:val="24"/>
    </w:rPr>
  </w:style>
  <w:style w:type="character" w:styleId="Emphasis">
    <w:name w:val="Emphasis"/>
    <w:basedOn w:val="DefaultParagraphFont"/>
    <w:uiPriority w:val="20"/>
    <w:qFormat/>
    <w:rsid w:val="003E7CE0"/>
    <w:rPr>
      <w:i/>
      <w:iCs/>
    </w:rPr>
  </w:style>
  <w:style w:type="table" w:styleId="TableGrid">
    <w:name w:val="Table Grid"/>
    <w:basedOn w:val="TableNormal"/>
    <w:uiPriority w:val="39"/>
    <w:rsid w:val="00921352"/>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921352"/>
    <w:pPr>
      <w:spacing w:after="200" w:line="240" w:lineRule="auto"/>
    </w:pPr>
    <w:rPr>
      <w:i/>
      <w:iCs/>
      <w:color w:val="44546A" w:themeColor="text2"/>
      <w:sz w:val="18"/>
      <w:szCs w:val="18"/>
    </w:rPr>
  </w:style>
  <w:style w:type="paragraph" w:styleId="ListParagraph">
    <w:name w:val="List Paragraph"/>
    <w:basedOn w:val="Normal"/>
    <w:uiPriority w:val="34"/>
    <w:qFormat/>
    <w:rsid w:val="005259D7"/>
    <w:pPr>
      <w:spacing w:after="0" w:line="240" w:lineRule="auto"/>
      <w:ind w:left="720"/>
      <w:contextualSpacing/>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A521F6"/>
    <w:rPr>
      <w:color w:val="0563C1" w:themeColor="hyperlink"/>
      <w:u w:val="single"/>
    </w:rPr>
  </w:style>
  <w:style w:type="character" w:customStyle="1" w:styleId="Heading2Char">
    <w:name w:val="Heading 2 Char"/>
    <w:basedOn w:val="DefaultParagraphFont"/>
    <w:link w:val="Heading2"/>
    <w:uiPriority w:val="9"/>
    <w:semiHidden/>
    <w:rsid w:val="000E139F"/>
    <w:rPr>
      <w:rFonts w:asciiTheme="majorHAnsi" w:eastAsiaTheme="majorEastAsia" w:hAnsiTheme="majorHAnsi" w:cstheme="majorBidi"/>
      <w:color w:val="2E74B5" w:themeColor="accent1" w:themeShade="BF"/>
      <w:sz w:val="26"/>
      <w:szCs w:val="26"/>
    </w:rPr>
  </w:style>
  <w:style w:type="character" w:styleId="UnresolvedMention">
    <w:name w:val="Unresolved Mention"/>
    <w:basedOn w:val="DefaultParagraphFont"/>
    <w:uiPriority w:val="99"/>
    <w:semiHidden/>
    <w:unhideWhenUsed/>
    <w:rsid w:val="000E13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75179">
      <w:bodyDiv w:val="1"/>
      <w:marLeft w:val="0"/>
      <w:marRight w:val="0"/>
      <w:marTop w:val="0"/>
      <w:marBottom w:val="0"/>
      <w:divBdr>
        <w:top w:val="none" w:sz="0" w:space="0" w:color="auto"/>
        <w:left w:val="none" w:sz="0" w:space="0" w:color="auto"/>
        <w:bottom w:val="none" w:sz="0" w:space="0" w:color="auto"/>
        <w:right w:val="none" w:sz="0" w:space="0" w:color="auto"/>
      </w:divBdr>
    </w:div>
    <w:div w:id="42826226">
      <w:bodyDiv w:val="1"/>
      <w:marLeft w:val="0"/>
      <w:marRight w:val="0"/>
      <w:marTop w:val="0"/>
      <w:marBottom w:val="0"/>
      <w:divBdr>
        <w:top w:val="none" w:sz="0" w:space="0" w:color="auto"/>
        <w:left w:val="none" w:sz="0" w:space="0" w:color="auto"/>
        <w:bottom w:val="none" w:sz="0" w:space="0" w:color="auto"/>
        <w:right w:val="none" w:sz="0" w:space="0" w:color="auto"/>
      </w:divBdr>
    </w:div>
    <w:div w:id="87626896">
      <w:bodyDiv w:val="1"/>
      <w:marLeft w:val="0"/>
      <w:marRight w:val="0"/>
      <w:marTop w:val="0"/>
      <w:marBottom w:val="0"/>
      <w:divBdr>
        <w:top w:val="none" w:sz="0" w:space="0" w:color="auto"/>
        <w:left w:val="none" w:sz="0" w:space="0" w:color="auto"/>
        <w:bottom w:val="none" w:sz="0" w:space="0" w:color="auto"/>
        <w:right w:val="none" w:sz="0" w:space="0" w:color="auto"/>
      </w:divBdr>
    </w:div>
    <w:div w:id="136997666">
      <w:bodyDiv w:val="1"/>
      <w:marLeft w:val="0"/>
      <w:marRight w:val="0"/>
      <w:marTop w:val="0"/>
      <w:marBottom w:val="0"/>
      <w:divBdr>
        <w:top w:val="none" w:sz="0" w:space="0" w:color="auto"/>
        <w:left w:val="none" w:sz="0" w:space="0" w:color="auto"/>
        <w:bottom w:val="none" w:sz="0" w:space="0" w:color="auto"/>
        <w:right w:val="none" w:sz="0" w:space="0" w:color="auto"/>
      </w:divBdr>
    </w:div>
    <w:div w:id="141820188">
      <w:bodyDiv w:val="1"/>
      <w:marLeft w:val="0"/>
      <w:marRight w:val="0"/>
      <w:marTop w:val="0"/>
      <w:marBottom w:val="0"/>
      <w:divBdr>
        <w:top w:val="none" w:sz="0" w:space="0" w:color="auto"/>
        <w:left w:val="none" w:sz="0" w:space="0" w:color="auto"/>
        <w:bottom w:val="none" w:sz="0" w:space="0" w:color="auto"/>
        <w:right w:val="none" w:sz="0" w:space="0" w:color="auto"/>
      </w:divBdr>
    </w:div>
    <w:div w:id="142700830">
      <w:bodyDiv w:val="1"/>
      <w:marLeft w:val="0"/>
      <w:marRight w:val="0"/>
      <w:marTop w:val="0"/>
      <w:marBottom w:val="0"/>
      <w:divBdr>
        <w:top w:val="none" w:sz="0" w:space="0" w:color="auto"/>
        <w:left w:val="none" w:sz="0" w:space="0" w:color="auto"/>
        <w:bottom w:val="none" w:sz="0" w:space="0" w:color="auto"/>
        <w:right w:val="none" w:sz="0" w:space="0" w:color="auto"/>
      </w:divBdr>
    </w:div>
    <w:div w:id="175390409">
      <w:bodyDiv w:val="1"/>
      <w:marLeft w:val="0"/>
      <w:marRight w:val="0"/>
      <w:marTop w:val="0"/>
      <w:marBottom w:val="0"/>
      <w:divBdr>
        <w:top w:val="none" w:sz="0" w:space="0" w:color="auto"/>
        <w:left w:val="none" w:sz="0" w:space="0" w:color="auto"/>
        <w:bottom w:val="none" w:sz="0" w:space="0" w:color="auto"/>
        <w:right w:val="none" w:sz="0" w:space="0" w:color="auto"/>
      </w:divBdr>
    </w:div>
    <w:div w:id="227880087">
      <w:bodyDiv w:val="1"/>
      <w:marLeft w:val="0"/>
      <w:marRight w:val="0"/>
      <w:marTop w:val="0"/>
      <w:marBottom w:val="0"/>
      <w:divBdr>
        <w:top w:val="none" w:sz="0" w:space="0" w:color="auto"/>
        <w:left w:val="none" w:sz="0" w:space="0" w:color="auto"/>
        <w:bottom w:val="none" w:sz="0" w:space="0" w:color="auto"/>
        <w:right w:val="none" w:sz="0" w:space="0" w:color="auto"/>
      </w:divBdr>
    </w:div>
    <w:div w:id="240868498">
      <w:bodyDiv w:val="1"/>
      <w:marLeft w:val="0"/>
      <w:marRight w:val="0"/>
      <w:marTop w:val="0"/>
      <w:marBottom w:val="0"/>
      <w:divBdr>
        <w:top w:val="none" w:sz="0" w:space="0" w:color="auto"/>
        <w:left w:val="none" w:sz="0" w:space="0" w:color="auto"/>
        <w:bottom w:val="none" w:sz="0" w:space="0" w:color="auto"/>
        <w:right w:val="none" w:sz="0" w:space="0" w:color="auto"/>
      </w:divBdr>
    </w:div>
    <w:div w:id="337658090">
      <w:bodyDiv w:val="1"/>
      <w:marLeft w:val="0"/>
      <w:marRight w:val="0"/>
      <w:marTop w:val="0"/>
      <w:marBottom w:val="0"/>
      <w:divBdr>
        <w:top w:val="none" w:sz="0" w:space="0" w:color="auto"/>
        <w:left w:val="none" w:sz="0" w:space="0" w:color="auto"/>
        <w:bottom w:val="none" w:sz="0" w:space="0" w:color="auto"/>
        <w:right w:val="none" w:sz="0" w:space="0" w:color="auto"/>
      </w:divBdr>
    </w:div>
    <w:div w:id="355276125">
      <w:bodyDiv w:val="1"/>
      <w:marLeft w:val="0"/>
      <w:marRight w:val="0"/>
      <w:marTop w:val="0"/>
      <w:marBottom w:val="0"/>
      <w:divBdr>
        <w:top w:val="none" w:sz="0" w:space="0" w:color="auto"/>
        <w:left w:val="none" w:sz="0" w:space="0" w:color="auto"/>
        <w:bottom w:val="none" w:sz="0" w:space="0" w:color="auto"/>
        <w:right w:val="none" w:sz="0" w:space="0" w:color="auto"/>
      </w:divBdr>
    </w:div>
    <w:div w:id="479662385">
      <w:bodyDiv w:val="1"/>
      <w:marLeft w:val="0"/>
      <w:marRight w:val="0"/>
      <w:marTop w:val="0"/>
      <w:marBottom w:val="0"/>
      <w:divBdr>
        <w:top w:val="none" w:sz="0" w:space="0" w:color="auto"/>
        <w:left w:val="none" w:sz="0" w:space="0" w:color="auto"/>
        <w:bottom w:val="none" w:sz="0" w:space="0" w:color="auto"/>
        <w:right w:val="none" w:sz="0" w:space="0" w:color="auto"/>
      </w:divBdr>
    </w:div>
    <w:div w:id="558591603">
      <w:bodyDiv w:val="1"/>
      <w:marLeft w:val="0"/>
      <w:marRight w:val="0"/>
      <w:marTop w:val="0"/>
      <w:marBottom w:val="0"/>
      <w:divBdr>
        <w:top w:val="none" w:sz="0" w:space="0" w:color="auto"/>
        <w:left w:val="none" w:sz="0" w:space="0" w:color="auto"/>
        <w:bottom w:val="none" w:sz="0" w:space="0" w:color="auto"/>
        <w:right w:val="none" w:sz="0" w:space="0" w:color="auto"/>
      </w:divBdr>
    </w:div>
    <w:div w:id="637495058">
      <w:bodyDiv w:val="1"/>
      <w:marLeft w:val="0"/>
      <w:marRight w:val="0"/>
      <w:marTop w:val="0"/>
      <w:marBottom w:val="0"/>
      <w:divBdr>
        <w:top w:val="none" w:sz="0" w:space="0" w:color="auto"/>
        <w:left w:val="none" w:sz="0" w:space="0" w:color="auto"/>
        <w:bottom w:val="none" w:sz="0" w:space="0" w:color="auto"/>
        <w:right w:val="none" w:sz="0" w:space="0" w:color="auto"/>
      </w:divBdr>
    </w:div>
    <w:div w:id="652679265">
      <w:bodyDiv w:val="1"/>
      <w:marLeft w:val="0"/>
      <w:marRight w:val="0"/>
      <w:marTop w:val="0"/>
      <w:marBottom w:val="0"/>
      <w:divBdr>
        <w:top w:val="none" w:sz="0" w:space="0" w:color="auto"/>
        <w:left w:val="none" w:sz="0" w:space="0" w:color="auto"/>
        <w:bottom w:val="none" w:sz="0" w:space="0" w:color="auto"/>
        <w:right w:val="none" w:sz="0" w:space="0" w:color="auto"/>
      </w:divBdr>
    </w:div>
    <w:div w:id="864442651">
      <w:bodyDiv w:val="1"/>
      <w:marLeft w:val="0"/>
      <w:marRight w:val="0"/>
      <w:marTop w:val="0"/>
      <w:marBottom w:val="0"/>
      <w:divBdr>
        <w:top w:val="none" w:sz="0" w:space="0" w:color="auto"/>
        <w:left w:val="none" w:sz="0" w:space="0" w:color="auto"/>
        <w:bottom w:val="none" w:sz="0" w:space="0" w:color="auto"/>
        <w:right w:val="none" w:sz="0" w:space="0" w:color="auto"/>
      </w:divBdr>
    </w:div>
    <w:div w:id="910844042">
      <w:bodyDiv w:val="1"/>
      <w:marLeft w:val="0"/>
      <w:marRight w:val="0"/>
      <w:marTop w:val="0"/>
      <w:marBottom w:val="0"/>
      <w:divBdr>
        <w:top w:val="none" w:sz="0" w:space="0" w:color="auto"/>
        <w:left w:val="none" w:sz="0" w:space="0" w:color="auto"/>
        <w:bottom w:val="none" w:sz="0" w:space="0" w:color="auto"/>
        <w:right w:val="none" w:sz="0" w:space="0" w:color="auto"/>
      </w:divBdr>
    </w:div>
    <w:div w:id="929779874">
      <w:bodyDiv w:val="1"/>
      <w:marLeft w:val="0"/>
      <w:marRight w:val="0"/>
      <w:marTop w:val="0"/>
      <w:marBottom w:val="0"/>
      <w:divBdr>
        <w:top w:val="none" w:sz="0" w:space="0" w:color="auto"/>
        <w:left w:val="none" w:sz="0" w:space="0" w:color="auto"/>
        <w:bottom w:val="none" w:sz="0" w:space="0" w:color="auto"/>
        <w:right w:val="none" w:sz="0" w:space="0" w:color="auto"/>
      </w:divBdr>
    </w:div>
    <w:div w:id="960190033">
      <w:bodyDiv w:val="1"/>
      <w:marLeft w:val="0"/>
      <w:marRight w:val="0"/>
      <w:marTop w:val="0"/>
      <w:marBottom w:val="0"/>
      <w:divBdr>
        <w:top w:val="none" w:sz="0" w:space="0" w:color="auto"/>
        <w:left w:val="none" w:sz="0" w:space="0" w:color="auto"/>
        <w:bottom w:val="none" w:sz="0" w:space="0" w:color="auto"/>
        <w:right w:val="none" w:sz="0" w:space="0" w:color="auto"/>
      </w:divBdr>
    </w:div>
    <w:div w:id="1049450614">
      <w:bodyDiv w:val="1"/>
      <w:marLeft w:val="0"/>
      <w:marRight w:val="0"/>
      <w:marTop w:val="0"/>
      <w:marBottom w:val="0"/>
      <w:divBdr>
        <w:top w:val="none" w:sz="0" w:space="0" w:color="auto"/>
        <w:left w:val="none" w:sz="0" w:space="0" w:color="auto"/>
        <w:bottom w:val="none" w:sz="0" w:space="0" w:color="auto"/>
        <w:right w:val="none" w:sz="0" w:space="0" w:color="auto"/>
      </w:divBdr>
    </w:div>
    <w:div w:id="1151674443">
      <w:bodyDiv w:val="1"/>
      <w:marLeft w:val="0"/>
      <w:marRight w:val="0"/>
      <w:marTop w:val="0"/>
      <w:marBottom w:val="0"/>
      <w:divBdr>
        <w:top w:val="none" w:sz="0" w:space="0" w:color="auto"/>
        <w:left w:val="none" w:sz="0" w:space="0" w:color="auto"/>
        <w:bottom w:val="none" w:sz="0" w:space="0" w:color="auto"/>
        <w:right w:val="none" w:sz="0" w:space="0" w:color="auto"/>
      </w:divBdr>
    </w:div>
    <w:div w:id="1186552366">
      <w:bodyDiv w:val="1"/>
      <w:marLeft w:val="0"/>
      <w:marRight w:val="0"/>
      <w:marTop w:val="0"/>
      <w:marBottom w:val="0"/>
      <w:divBdr>
        <w:top w:val="none" w:sz="0" w:space="0" w:color="auto"/>
        <w:left w:val="none" w:sz="0" w:space="0" w:color="auto"/>
        <w:bottom w:val="none" w:sz="0" w:space="0" w:color="auto"/>
        <w:right w:val="none" w:sz="0" w:space="0" w:color="auto"/>
      </w:divBdr>
    </w:div>
    <w:div w:id="1290165135">
      <w:bodyDiv w:val="1"/>
      <w:marLeft w:val="0"/>
      <w:marRight w:val="0"/>
      <w:marTop w:val="0"/>
      <w:marBottom w:val="0"/>
      <w:divBdr>
        <w:top w:val="none" w:sz="0" w:space="0" w:color="auto"/>
        <w:left w:val="none" w:sz="0" w:space="0" w:color="auto"/>
        <w:bottom w:val="none" w:sz="0" w:space="0" w:color="auto"/>
        <w:right w:val="none" w:sz="0" w:space="0" w:color="auto"/>
      </w:divBdr>
    </w:div>
    <w:div w:id="1372723777">
      <w:bodyDiv w:val="1"/>
      <w:marLeft w:val="0"/>
      <w:marRight w:val="0"/>
      <w:marTop w:val="0"/>
      <w:marBottom w:val="0"/>
      <w:divBdr>
        <w:top w:val="none" w:sz="0" w:space="0" w:color="auto"/>
        <w:left w:val="none" w:sz="0" w:space="0" w:color="auto"/>
        <w:bottom w:val="none" w:sz="0" w:space="0" w:color="auto"/>
        <w:right w:val="none" w:sz="0" w:space="0" w:color="auto"/>
      </w:divBdr>
    </w:div>
    <w:div w:id="1386637938">
      <w:bodyDiv w:val="1"/>
      <w:marLeft w:val="0"/>
      <w:marRight w:val="0"/>
      <w:marTop w:val="0"/>
      <w:marBottom w:val="0"/>
      <w:divBdr>
        <w:top w:val="none" w:sz="0" w:space="0" w:color="auto"/>
        <w:left w:val="none" w:sz="0" w:space="0" w:color="auto"/>
        <w:bottom w:val="none" w:sz="0" w:space="0" w:color="auto"/>
        <w:right w:val="none" w:sz="0" w:space="0" w:color="auto"/>
      </w:divBdr>
    </w:div>
    <w:div w:id="1416319570">
      <w:bodyDiv w:val="1"/>
      <w:marLeft w:val="0"/>
      <w:marRight w:val="0"/>
      <w:marTop w:val="0"/>
      <w:marBottom w:val="0"/>
      <w:divBdr>
        <w:top w:val="none" w:sz="0" w:space="0" w:color="auto"/>
        <w:left w:val="none" w:sz="0" w:space="0" w:color="auto"/>
        <w:bottom w:val="none" w:sz="0" w:space="0" w:color="auto"/>
        <w:right w:val="none" w:sz="0" w:space="0" w:color="auto"/>
      </w:divBdr>
    </w:div>
    <w:div w:id="1508472972">
      <w:bodyDiv w:val="1"/>
      <w:marLeft w:val="0"/>
      <w:marRight w:val="0"/>
      <w:marTop w:val="0"/>
      <w:marBottom w:val="0"/>
      <w:divBdr>
        <w:top w:val="none" w:sz="0" w:space="0" w:color="auto"/>
        <w:left w:val="none" w:sz="0" w:space="0" w:color="auto"/>
        <w:bottom w:val="none" w:sz="0" w:space="0" w:color="auto"/>
        <w:right w:val="none" w:sz="0" w:space="0" w:color="auto"/>
      </w:divBdr>
    </w:div>
    <w:div w:id="1523979214">
      <w:bodyDiv w:val="1"/>
      <w:marLeft w:val="0"/>
      <w:marRight w:val="0"/>
      <w:marTop w:val="0"/>
      <w:marBottom w:val="0"/>
      <w:divBdr>
        <w:top w:val="none" w:sz="0" w:space="0" w:color="auto"/>
        <w:left w:val="none" w:sz="0" w:space="0" w:color="auto"/>
        <w:bottom w:val="none" w:sz="0" w:space="0" w:color="auto"/>
        <w:right w:val="none" w:sz="0" w:space="0" w:color="auto"/>
      </w:divBdr>
    </w:div>
    <w:div w:id="1533878411">
      <w:bodyDiv w:val="1"/>
      <w:marLeft w:val="0"/>
      <w:marRight w:val="0"/>
      <w:marTop w:val="0"/>
      <w:marBottom w:val="0"/>
      <w:divBdr>
        <w:top w:val="none" w:sz="0" w:space="0" w:color="auto"/>
        <w:left w:val="none" w:sz="0" w:space="0" w:color="auto"/>
        <w:bottom w:val="none" w:sz="0" w:space="0" w:color="auto"/>
        <w:right w:val="none" w:sz="0" w:space="0" w:color="auto"/>
      </w:divBdr>
    </w:div>
    <w:div w:id="1559395691">
      <w:bodyDiv w:val="1"/>
      <w:marLeft w:val="0"/>
      <w:marRight w:val="0"/>
      <w:marTop w:val="0"/>
      <w:marBottom w:val="0"/>
      <w:divBdr>
        <w:top w:val="none" w:sz="0" w:space="0" w:color="auto"/>
        <w:left w:val="none" w:sz="0" w:space="0" w:color="auto"/>
        <w:bottom w:val="none" w:sz="0" w:space="0" w:color="auto"/>
        <w:right w:val="none" w:sz="0" w:space="0" w:color="auto"/>
      </w:divBdr>
    </w:div>
    <w:div w:id="1595548931">
      <w:bodyDiv w:val="1"/>
      <w:marLeft w:val="0"/>
      <w:marRight w:val="0"/>
      <w:marTop w:val="0"/>
      <w:marBottom w:val="0"/>
      <w:divBdr>
        <w:top w:val="none" w:sz="0" w:space="0" w:color="auto"/>
        <w:left w:val="none" w:sz="0" w:space="0" w:color="auto"/>
        <w:bottom w:val="none" w:sz="0" w:space="0" w:color="auto"/>
        <w:right w:val="none" w:sz="0" w:space="0" w:color="auto"/>
      </w:divBdr>
    </w:div>
    <w:div w:id="1621374921">
      <w:bodyDiv w:val="1"/>
      <w:marLeft w:val="0"/>
      <w:marRight w:val="0"/>
      <w:marTop w:val="0"/>
      <w:marBottom w:val="0"/>
      <w:divBdr>
        <w:top w:val="none" w:sz="0" w:space="0" w:color="auto"/>
        <w:left w:val="none" w:sz="0" w:space="0" w:color="auto"/>
        <w:bottom w:val="none" w:sz="0" w:space="0" w:color="auto"/>
        <w:right w:val="none" w:sz="0" w:space="0" w:color="auto"/>
      </w:divBdr>
    </w:div>
    <w:div w:id="1648322696">
      <w:bodyDiv w:val="1"/>
      <w:marLeft w:val="0"/>
      <w:marRight w:val="0"/>
      <w:marTop w:val="0"/>
      <w:marBottom w:val="0"/>
      <w:divBdr>
        <w:top w:val="none" w:sz="0" w:space="0" w:color="auto"/>
        <w:left w:val="none" w:sz="0" w:space="0" w:color="auto"/>
        <w:bottom w:val="none" w:sz="0" w:space="0" w:color="auto"/>
        <w:right w:val="none" w:sz="0" w:space="0" w:color="auto"/>
      </w:divBdr>
    </w:div>
    <w:div w:id="1652438533">
      <w:bodyDiv w:val="1"/>
      <w:marLeft w:val="0"/>
      <w:marRight w:val="0"/>
      <w:marTop w:val="0"/>
      <w:marBottom w:val="0"/>
      <w:divBdr>
        <w:top w:val="none" w:sz="0" w:space="0" w:color="auto"/>
        <w:left w:val="none" w:sz="0" w:space="0" w:color="auto"/>
        <w:bottom w:val="none" w:sz="0" w:space="0" w:color="auto"/>
        <w:right w:val="none" w:sz="0" w:space="0" w:color="auto"/>
      </w:divBdr>
    </w:div>
    <w:div w:id="1682783564">
      <w:bodyDiv w:val="1"/>
      <w:marLeft w:val="0"/>
      <w:marRight w:val="0"/>
      <w:marTop w:val="0"/>
      <w:marBottom w:val="0"/>
      <w:divBdr>
        <w:top w:val="none" w:sz="0" w:space="0" w:color="auto"/>
        <w:left w:val="none" w:sz="0" w:space="0" w:color="auto"/>
        <w:bottom w:val="none" w:sz="0" w:space="0" w:color="auto"/>
        <w:right w:val="none" w:sz="0" w:space="0" w:color="auto"/>
      </w:divBdr>
    </w:div>
    <w:div w:id="1884171857">
      <w:bodyDiv w:val="1"/>
      <w:marLeft w:val="0"/>
      <w:marRight w:val="0"/>
      <w:marTop w:val="0"/>
      <w:marBottom w:val="0"/>
      <w:divBdr>
        <w:top w:val="none" w:sz="0" w:space="0" w:color="auto"/>
        <w:left w:val="none" w:sz="0" w:space="0" w:color="auto"/>
        <w:bottom w:val="none" w:sz="0" w:space="0" w:color="auto"/>
        <w:right w:val="none" w:sz="0" w:space="0" w:color="auto"/>
      </w:divBdr>
    </w:div>
    <w:div w:id="1904178102">
      <w:bodyDiv w:val="1"/>
      <w:marLeft w:val="0"/>
      <w:marRight w:val="0"/>
      <w:marTop w:val="0"/>
      <w:marBottom w:val="0"/>
      <w:divBdr>
        <w:top w:val="none" w:sz="0" w:space="0" w:color="auto"/>
        <w:left w:val="none" w:sz="0" w:space="0" w:color="auto"/>
        <w:bottom w:val="none" w:sz="0" w:space="0" w:color="auto"/>
        <w:right w:val="none" w:sz="0" w:space="0" w:color="auto"/>
      </w:divBdr>
    </w:div>
    <w:div w:id="1926496978">
      <w:bodyDiv w:val="1"/>
      <w:marLeft w:val="0"/>
      <w:marRight w:val="0"/>
      <w:marTop w:val="0"/>
      <w:marBottom w:val="0"/>
      <w:divBdr>
        <w:top w:val="none" w:sz="0" w:space="0" w:color="auto"/>
        <w:left w:val="none" w:sz="0" w:space="0" w:color="auto"/>
        <w:bottom w:val="none" w:sz="0" w:space="0" w:color="auto"/>
        <w:right w:val="none" w:sz="0" w:space="0" w:color="auto"/>
      </w:divBdr>
    </w:div>
    <w:div w:id="194349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mailto:asgharali2878@gmail.com" TargetMode="External"/><Relationship Id="rId18" Type="http://schemas.openxmlformats.org/officeDocument/2006/relationships/hyperlink" Target="https://doi.org/10.1016/j.jclepro.2021.127250" TargetMode="Externa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hyperlink" Target="https://orcid.org/0009-0003-2636-7513" TargetMode="External"/><Relationship Id="rId17" Type="http://schemas.openxmlformats.org/officeDocument/2006/relationships/hyperlink" Target="https://doi.org/10.1016/j.foodpol.2010.05.006" TargetMode="External"/><Relationship Id="rId2" Type="http://schemas.openxmlformats.org/officeDocument/2006/relationships/settings" Target="settings.xml"/><Relationship Id="rId16" Type="http://schemas.openxmlformats.org/officeDocument/2006/relationships/hyperlink" Target="https://agris.fao.org/search/en/providers/122582/records/647481f9bf943c8c7988a522"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hyperlink" Target="mailto:mrajpoot@ksu.edu.sa" TargetMode="External"/><Relationship Id="rId5" Type="http://schemas.openxmlformats.org/officeDocument/2006/relationships/image" Target="media/image1.jpeg"/><Relationship Id="rId15" Type="http://schemas.openxmlformats.org/officeDocument/2006/relationships/hyperlink" Target="https://doi.org/10.2166/wp.2023.004" TargetMode="External"/><Relationship Id="rId10" Type="http://schemas.openxmlformats.org/officeDocument/2006/relationships/hyperlink" Target="https://orcid.org/0000-0002-9540-1127" TargetMode="External"/><Relationship Id="rId19" Type="http://schemas.openxmlformats.org/officeDocument/2006/relationships/fontTable" Target="fontTable.xml"/><Relationship Id="rId4" Type="http://schemas.openxmlformats.org/officeDocument/2006/relationships/hyperlink" Target="mailto:mrajpoot@ksu.edu.sa" TargetMode="External"/><Relationship Id="rId9" Type="http://schemas.openxmlformats.org/officeDocument/2006/relationships/hyperlink" Target="mailto:adabiah@ksu.edu.sa" TargetMode="External"/><Relationship Id="rId14" Type="http://schemas.openxmlformats.org/officeDocument/2006/relationships/hyperlink" Target="https://orcid.org/0000-0002-7702-29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22</Pages>
  <Words>6870</Words>
  <Characters>39165</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Asghar</cp:lastModifiedBy>
  <cp:revision>6</cp:revision>
  <dcterms:created xsi:type="dcterms:W3CDTF">2026-06-04T18:52:00Z</dcterms:created>
  <dcterms:modified xsi:type="dcterms:W3CDTF">2026-06-04T19:35:00Z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25ed4a85-8f84-45e6-a817-c294a0ebb45c</vt:lpwstr>
  </property>
</Properties>
</file>