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2B924D4D" w:rsidR="004B461B" w:rsidRPr="00B845F9" w:rsidRDefault="00175AD0" w:rsidP="00BB2249">
      <w:pPr>
        <w:pStyle w:val="MDPI13authornames"/>
        <w:spacing w:after="0" w:line="360" w:lineRule="auto"/>
        <w:jc w:val="center"/>
        <w:rPr>
          <w:rFonts w:ascii="Times New Roman" w:hAnsi="Times New Roman"/>
          <w:snapToGrid w:val="0"/>
          <w:color w:val="auto"/>
          <w:sz w:val="24"/>
          <w:szCs w:val="24"/>
        </w:rPr>
      </w:pPr>
      <w:r w:rsidRPr="00175AD0">
        <w:rPr>
          <w:rFonts w:ascii="Times New Roman" w:hAnsi="Times New Roman"/>
          <w:color w:val="auto"/>
          <w:sz w:val="24"/>
          <w:szCs w:val="24"/>
        </w:rPr>
        <w:t>IMPACT OF AGROCLIMATIC VARIABILITY ON HARMFUL NON-GREGARIOUS LOCUST POPULATIONS: DEVELOPMENT OF A MACHINE LEARNING–GIS FORECASTING MODEL</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24031845" w:rsidR="00BB2249" w:rsidRPr="00931975" w:rsidRDefault="008E3C41" w:rsidP="00B5071B">
      <w:pPr>
        <w:pStyle w:val="MDPI13authornames"/>
        <w:spacing w:after="0" w:line="360" w:lineRule="auto"/>
        <w:jc w:val="center"/>
        <w:rPr>
          <w:rFonts w:ascii="Times New Roman" w:hAnsi="Times New Roman"/>
          <w:sz w:val="24"/>
          <w:szCs w:val="24"/>
          <w:vertAlign w:val="superscript"/>
        </w:rPr>
      </w:pPr>
      <w:proofErr w:type="spellStart"/>
      <w:r w:rsidRPr="008E3C41">
        <w:rPr>
          <w:rFonts w:ascii="Times New Roman" w:hAnsi="Times New Roman"/>
          <w:bCs/>
          <w:sz w:val="24"/>
          <w:szCs w:val="24"/>
        </w:rPr>
        <w:t>Kurmet</w:t>
      </w:r>
      <w:proofErr w:type="spellEnd"/>
      <w:r w:rsidRPr="008E3C41">
        <w:rPr>
          <w:rFonts w:ascii="Times New Roman" w:hAnsi="Times New Roman"/>
          <w:bCs/>
          <w:sz w:val="24"/>
          <w:szCs w:val="24"/>
        </w:rPr>
        <w:t xml:space="preserve"> </w:t>
      </w:r>
      <w:proofErr w:type="spellStart"/>
      <w:r w:rsidRPr="008E3C41">
        <w:rPr>
          <w:rFonts w:ascii="Times New Roman" w:hAnsi="Times New Roman"/>
          <w:bCs/>
          <w:sz w:val="24"/>
          <w:szCs w:val="24"/>
        </w:rPr>
        <w:t>Baibussenov</w:t>
      </w:r>
      <w:proofErr w:type="spellEnd"/>
      <w:r w:rsidR="00BB2249" w:rsidRPr="00BB2249">
        <w:rPr>
          <w:rFonts w:ascii="Times New Roman" w:hAnsi="Times New Roman"/>
          <w:bCs/>
          <w:sz w:val="24"/>
          <w:szCs w:val="24"/>
        </w:rPr>
        <w:t xml:space="preserve"> </w:t>
      </w:r>
      <w:r w:rsidR="00BB2249" w:rsidRPr="006F7FDA">
        <w:rPr>
          <w:rFonts w:ascii="Times New Roman" w:hAnsi="Times New Roman"/>
          <w:noProof/>
          <w:sz w:val="24"/>
          <w:lang w:val="ru-RU" w:eastAsia="ru-RU" w:bidi="ar-SA"/>
        </w:rPr>
        <w:drawing>
          <wp:inline distT="0" distB="0" distL="0" distR="0" wp14:anchorId="777075CB" wp14:editId="68A26366">
            <wp:extent cx="99695" cy="98425"/>
            <wp:effectExtent l="0" t="0" r="0" b="0"/>
            <wp:docPr id="1"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a:hlinkClick r:id="rId8"/>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00BB2249" w:rsidRPr="00BB2249">
        <w:rPr>
          <w:rFonts w:ascii="Times New Roman" w:hAnsi="Times New Roman"/>
          <w:sz w:val="24"/>
          <w:szCs w:val="24"/>
        </w:rPr>
        <w:t xml:space="preserve">, </w:t>
      </w:r>
      <w:r w:rsidRPr="008E3C41">
        <w:rPr>
          <w:rFonts w:ascii="Times New Roman" w:hAnsi="Times New Roman"/>
          <w:bCs/>
          <w:sz w:val="24"/>
          <w:szCs w:val="24"/>
        </w:rPr>
        <w:t xml:space="preserve">Arman </w:t>
      </w:r>
      <w:proofErr w:type="spellStart"/>
      <w:r w:rsidRPr="008E3C41">
        <w:rPr>
          <w:rFonts w:ascii="Times New Roman" w:hAnsi="Times New Roman"/>
          <w:bCs/>
          <w:sz w:val="24"/>
          <w:szCs w:val="24"/>
        </w:rPr>
        <w:t>Rustembayev</w:t>
      </w:r>
      <w:proofErr w:type="spellEnd"/>
      <w:r w:rsidR="00BB2249" w:rsidRPr="00BB2249">
        <w:rPr>
          <w:rFonts w:ascii="Times New Roman" w:hAnsi="Times New Roman"/>
          <w:bCs/>
          <w:sz w:val="24"/>
          <w:szCs w:val="24"/>
        </w:rPr>
        <w:t xml:space="preserve"> </w:t>
      </w:r>
      <w:r w:rsidR="00BB2249" w:rsidRPr="006F7FDA">
        <w:rPr>
          <w:rFonts w:ascii="Times New Roman" w:hAnsi="Times New Roman"/>
          <w:noProof/>
          <w:sz w:val="24"/>
          <w:lang w:val="ru-RU" w:eastAsia="ru-RU" w:bidi="ar-SA"/>
        </w:rPr>
        <w:drawing>
          <wp:inline distT="0" distB="0" distL="0" distR="0" wp14:anchorId="02699057" wp14:editId="4247358B">
            <wp:extent cx="99695" cy="98425"/>
            <wp:effectExtent l="0" t="0" r="0" b="0"/>
            <wp:docPr id="5"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34" descr="C:\Users\Elite705g3Mini\OneDrive\Malque\orcid.png">
                      <a:hlinkClick r:id="rId10"/>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00931975" w:rsidRPr="00BB2249">
        <w:rPr>
          <w:rFonts w:ascii="Times New Roman" w:hAnsi="Times New Roman"/>
          <w:bCs/>
          <w:sz w:val="24"/>
          <w:szCs w:val="24"/>
        </w:rPr>
        <w:t>*</w:t>
      </w:r>
      <w:r w:rsidR="00BB2249" w:rsidRPr="00BB2249">
        <w:rPr>
          <w:rFonts w:ascii="Times New Roman" w:hAnsi="Times New Roman"/>
          <w:sz w:val="24"/>
          <w:szCs w:val="24"/>
        </w:rPr>
        <w:t xml:space="preserve">, </w:t>
      </w:r>
      <w:proofErr w:type="spellStart"/>
      <w:r w:rsidRPr="008E3C41">
        <w:rPr>
          <w:rFonts w:ascii="Times New Roman" w:hAnsi="Times New Roman"/>
          <w:sz w:val="24"/>
          <w:szCs w:val="24"/>
        </w:rPr>
        <w:t>Aigul</w:t>
      </w:r>
      <w:proofErr w:type="spellEnd"/>
      <w:r w:rsidRPr="008E3C41">
        <w:rPr>
          <w:rFonts w:ascii="Times New Roman" w:hAnsi="Times New Roman"/>
          <w:sz w:val="24"/>
          <w:szCs w:val="24"/>
        </w:rPr>
        <w:t xml:space="preserve"> </w:t>
      </w:r>
      <w:proofErr w:type="spellStart"/>
      <w:r w:rsidRPr="008E3C41">
        <w:rPr>
          <w:rFonts w:ascii="Times New Roman" w:hAnsi="Times New Roman"/>
          <w:sz w:val="24"/>
          <w:szCs w:val="24"/>
        </w:rPr>
        <w:t>Bekbayeva</w:t>
      </w:r>
      <w:proofErr w:type="spellEnd"/>
      <w:r w:rsidRPr="00287377">
        <w:rPr>
          <w:rFonts w:ascii="Times New Roman" w:hAnsi="Times New Roman"/>
          <w:sz w:val="24"/>
          <w:szCs w:val="24"/>
        </w:rPr>
        <w:t xml:space="preserve"> </w:t>
      </w:r>
      <w:r w:rsidRPr="006F7FDA">
        <w:rPr>
          <w:rFonts w:ascii="Times New Roman" w:hAnsi="Times New Roman"/>
          <w:noProof/>
          <w:sz w:val="24"/>
          <w:lang w:val="ru-RU" w:eastAsia="ru-RU" w:bidi="ar-SA"/>
        </w:rPr>
        <w:drawing>
          <wp:inline distT="0" distB="0" distL="0" distR="0" wp14:anchorId="19317CFB" wp14:editId="62405966">
            <wp:extent cx="99695" cy="98425"/>
            <wp:effectExtent l="0" t="0" r="0" b="0"/>
            <wp:docPr id="2"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34" descr="C:\Users\Elite705g3Mini\OneDrive\Malque\orcid.png">
                      <a:hlinkClick r:id="rId11"/>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Pr="008E3C41">
        <w:rPr>
          <w:rFonts w:ascii="Times New Roman" w:hAnsi="Times New Roman"/>
          <w:noProof/>
          <w:sz w:val="24"/>
          <w:lang w:eastAsia="ru-RU" w:bidi="ar-SA"/>
        </w:rPr>
        <w:t xml:space="preserve">, </w:t>
      </w:r>
      <w:proofErr w:type="spellStart"/>
      <w:r w:rsidRPr="008E3C41">
        <w:rPr>
          <w:rFonts w:ascii="Times New Roman" w:hAnsi="Times New Roman"/>
          <w:sz w:val="24"/>
          <w:szCs w:val="24"/>
        </w:rPr>
        <w:t>Zhasulan</w:t>
      </w:r>
      <w:proofErr w:type="spellEnd"/>
      <w:r w:rsidRPr="008E3C41">
        <w:rPr>
          <w:rFonts w:ascii="Times New Roman" w:hAnsi="Times New Roman"/>
          <w:sz w:val="24"/>
          <w:szCs w:val="24"/>
        </w:rPr>
        <w:t xml:space="preserve"> </w:t>
      </w:r>
      <w:proofErr w:type="spellStart"/>
      <w:proofErr w:type="gramStart"/>
      <w:r w:rsidRPr="008E3C41">
        <w:rPr>
          <w:rFonts w:ascii="Times New Roman" w:hAnsi="Times New Roman"/>
          <w:sz w:val="24"/>
          <w:szCs w:val="24"/>
        </w:rPr>
        <w:t>Amanbay</w:t>
      </w:r>
      <w:proofErr w:type="spellEnd"/>
      <w:r w:rsidRPr="00287377">
        <w:rPr>
          <w:rFonts w:ascii="Times New Roman" w:hAnsi="Times New Roman"/>
          <w:sz w:val="24"/>
          <w:szCs w:val="24"/>
        </w:rPr>
        <w:t xml:space="preserve"> </w:t>
      </w:r>
      <w:r w:rsidRPr="008E3C41">
        <w:rPr>
          <w:rFonts w:ascii="Times New Roman" w:hAnsi="Times New Roman"/>
          <w:noProof/>
          <w:sz w:val="24"/>
          <w:lang w:eastAsia="ru-RU" w:bidi="ar-SA"/>
        </w:rPr>
        <w:t>,</w:t>
      </w:r>
      <w:proofErr w:type="gramEnd"/>
      <w:r w:rsidRPr="008E3C41">
        <w:rPr>
          <w:rFonts w:ascii="Times New Roman" w:hAnsi="Times New Roman"/>
          <w:noProof/>
          <w:sz w:val="24"/>
          <w:lang w:eastAsia="ru-RU" w:bidi="ar-SA"/>
        </w:rPr>
        <w:t xml:space="preserve"> </w:t>
      </w:r>
      <w:r w:rsidRPr="008E3C41">
        <w:rPr>
          <w:rFonts w:ascii="Times New Roman" w:hAnsi="Times New Roman"/>
          <w:sz w:val="24"/>
          <w:szCs w:val="24"/>
        </w:rPr>
        <w:t xml:space="preserve">Askar </w:t>
      </w:r>
      <w:proofErr w:type="spellStart"/>
      <w:r w:rsidRPr="008E3C41">
        <w:rPr>
          <w:rFonts w:ascii="Times New Roman" w:hAnsi="Times New Roman"/>
          <w:sz w:val="24"/>
          <w:szCs w:val="24"/>
        </w:rPr>
        <w:t>Zhubatkanov</w:t>
      </w:r>
      <w:proofErr w:type="spellEnd"/>
      <w:r w:rsidR="00287377" w:rsidRPr="00287377">
        <w:rPr>
          <w:rFonts w:ascii="Times New Roman" w:hAnsi="Times New Roman"/>
          <w:sz w:val="24"/>
          <w:szCs w:val="24"/>
        </w:rPr>
        <w:t xml:space="preserve"> </w:t>
      </w:r>
      <w:r w:rsidR="00BB2249" w:rsidRPr="006F7FDA">
        <w:rPr>
          <w:rFonts w:ascii="Times New Roman" w:hAnsi="Times New Roman"/>
          <w:noProof/>
          <w:sz w:val="24"/>
          <w:lang w:val="ru-RU" w:eastAsia="ru-RU" w:bidi="ar-SA"/>
        </w:rPr>
        <w:drawing>
          <wp:inline distT="0" distB="0" distL="0" distR="0" wp14:anchorId="5CD78B33" wp14:editId="598D8782">
            <wp:extent cx="99695" cy="98425"/>
            <wp:effectExtent l="0" t="0" r="0" b="0"/>
            <wp:docPr id="7" name="Imagem 34" descr="C:\Users\Elite705g3Mini\OneDrive\Malque\orcid.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34" descr="C:\Users\Elite705g3Mini\OneDrive\Malque\orcid.png">
                      <a:hlinkClick r:id="rId12"/>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695" cy="98425"/>
                    </a:xfrm>
                    <a:prstGeom prst="rect">
                      <a:avLst/>
                    </a:prstGeom>
                    <a:noFill/>
                    <a:ln>
                      <a:noFill/>
                    </a:ln>
                  </pic:spPr>
                </pic:pic>
              </a:graphicData>
            </a:graphic>
          </wp:inline>
        </w:drawing>
      </w:r>
      <w:r w:rsidR="00BB2249" w:rsidRPr="00BB2249">
        <w:rPr>
          <w:rFonts w:ascii="Times New Roman" w:hAnsi="Times New Roman"/>
          <w:noProof/>
          <w:sz w:val="24"/>
          <w:lang w:eastAsia="ru-RU" w:bidi="ar-SA"/>
        </w:rPr>
        <w:t xml:space="preserve"> </w:t>
      </w:r>
      <w:r w:rsidR="00BB2249" w:rsidRPr="006F7FDA">
        <w:rPr>
          <w:rFonts w:ascii="Times New Roman" w:hAnsi="Times New Roman"/>
          <w:sz w:val="24"/>
          <w:szCs w:val="24"/>
        </w:rPr>
        <w:t>and</w:t>
      </w:r>
      <w:r w:rsidR="00BB2249" w:rsidRPr="00BB2249">
        <w:rPr>
          <w:rFonts w:ascii="Times New Roman" w:hAnsi="Times New Roman"/>
          <w:sz w:val="24"/>
          <w:szCs w:val="24"/>
        </w:rPr>
        <w:t xml:space="preserve"> </w:t>
      </w:r>
      <w:proofErr w:type="spellStart"/>
      <w:r w:rsidRPr="008E3C41">
        <w:rPr>
          <w:rFonts w:ascii="Times New Roman" w:hAnsi="Times New Roman"/>
          <w:bCs/>
          <w:sz w:val="24"/>
          <w:szCs w:val="24"/>
        </w:rPr>
        <w:t>Arsen</w:t>
      </w:r>
      <w:proofErr w:type="spellEnd"/>
      <w:r w:rsidRPr="008E3C41">
        <w:rPr>
          <w:rFonts w:ascii="Times New Roman" w:hAnsi="Times New Roman"/>
          <w:bCs/>
          <w:sz w:val="24"/>
          <w:szCs w:val="24"/>
        </w:rPr>
        <w:t xml:space="preserve"> </w:t>
      </w:r>
      <w:proofErr w:type="spellStart"/>
      <w:r w:rsidRPr="008E3C41">
        <w:rPr>
          <w:rFonts w:ascii="Times New Roman" w:hAnsi="Times New Roman"/>
          <w:bCs/>
          <w:sz w:val="24"/>
          <w:szCs w:val="24"/>
        </w:rPr>
        <w:t>Dzhumagulov</w:t>
      </w:r>
      <w:proofErr w:type="spellEnd"/>
      <w:r w:rsidR="00BB2249" w:rsidRPr="00BB2249">
        <w:rPr>
          <w:rFonts w:ascii="Times New Roman" w:hAnsi="Times New Roman"/>
          <w:bCs/>
          <w:sz w:val="24"/>
          <w:szCs w:val="24"/>
        </w:rPr>
        <w:t xml:space="preserve"> </w:t>
      </w:r>
    </w:p>
    <w:p w14:paraId="021505A2" w14:textId="77777777" w:rsidR="00BB2249" w:rsidRPr="00BB2249" w:rsidRDefault="00BB2249" w:rsidP="00BB2249">
      <w:pPr>
        <w:spacing w:line="360" w:lineRule="auto"/>
        <w:rPr>
          <w:szCs w:val="24"/>
          <w:lang w:eastAsia="de-DE" w:bidi="en-US"/>
        </w:rPr>
      </w:pPr>
    </w:p>
    <w:p w14:paraId="7B85D105" w14:textId="0A6E6D80" w:rsidR="00BB2249" w:rsidRPr="006F7FDA" w:rsidRDefault="008E3C41" w:rsidP="00BB2249">
      <w:pPr>
        <w:pStyle w:val="MDPI16affiliation"/>
        <w:spacing w:line="360" w:lineRule="auto"/>
        <w:ind w:left="0" w:firstLine="0"/>
        <w:jc w:val="center"/>
        <w:rPr>
          <w:rFonts w:ascii="Times New Roman" w:hAnsi="Times New Roman"/>
          <w:sz w:val="24"/>
          <w:szCs w:val="24"/>
        </w:rPr>
      </w:pPr>
      <w:r w:rsidRPr="008E3C41">
        <w:rPr>
          <w:rFonts w:ascii="Times New Roman" w:hAnsi="Times New Roman"/>
          <w:bCs/>
          <w:iCs/>
          <w:sz w:val="24"/>
          <w:szCs w:val="24"/>
          <w:lang w:val="kk-KZ" w:eastAsia="ru-RU"/>
        </w:rPr>
        <w:t>Saken Seifullin Kazakh Agrotechnical University, Astana</w:t>
      </w:r>
      <w:r w:rsidR="00287377" w:rsidRPr="00287377">
        <w:rPr>
          <w:rFonts w:ascii="Times New Roman" w:hAnsi="Times New Roman"/>
          <w:bCs/>
          <w:iCs/>
          <w:sz w:val="24"/>
          <w:szCs w:val="24"/>
          <w:lang w:val="kk-KZ" w:eastAsia="ru-RU"/>
        </w:rPr>
        <w:t xml:space="preserve">, </w:t>
      </w:r>
      <w:r w:rsidR="00BB2249" w:rsidRPr="006F7FDA">
        <w:rPr>
          <w:rFonts w:ascii="Times New Roman" w:hAnsi="Times New Roman"/>
          <w:bCs/>
          <w:iCs/>
          <w:sz w:val="24"/>
          <w:szCs w:val="24"/>
          <w:lang w:val="kk-KZ" w:eastAsia="ru-RU"/>
        </w:rPr>
        <w:t>Republic of Kazakhstan</w:t>
      </w:r>
    </w:p>
    <w:p w14:paraId="57B09D5C" w14:textId="19F980B2" w:rsidR="00BB2249" w:rsidRPr="008E3C41" w:rsidRDefault="00BB2249" w:rsidP="00BB2249">
      <w:pPr>
        <w:pStyle w:val="MDPI16affiliation"/>
        <w:spacing w:line="360" w:lineRule="auto"/>
        <w:ind w:left="0" w:firstLine="0"/>
        <w:jc w:val="center"/>
        <w:rPr>
          <w:rFonts w:ascii="Times New Roman" w:hAnsi="Times New Roman"/>
          <w:color w:val="FF0000"/>
          <w:sz w:val="24"/>
          <w:szCs w:val="24"/>
        </w:rPr>
      </w:pPr>
      <w:r w:rsidRPr="00931975">
        <w:rPr>
          <w:rFonts w:ascii="Times New Roman" w:hAnsi="Times New Roman"/>
          <w:i/>
          <w:color w:val="auto"/>
          <w:sz w:val="24"/>
          <w:szCs w:val="24"/>
        </w:rPr>
        <w:t>*Corresponding author:</w:t>
      </w:r>
      <w:r w:rsidR="00931975" w:rsidRPr="00931975">
        <w:rPr>
          <w:color w:val="auto"/>
        </w:rPr>
        <w:t xml:space="preserve"> </w:t>
      </w:r>
      <w:hyperlink r:id="rId13" w:history="1">
        <w:r w:rsidR="00931975" w:rsidRPr="002715E4">
          <w:rPr>
            <w:rStyle w:val="af1"/>
            <w:rFonts w:ascii="Times New Roman" w:hAnsi="Times New Roman"/>
            <w:i/>
            <w:sz w:val="24"/>
            <w:szCs w:val="24"/>
          </w:rPr>
          <w:t>arman.rustembayev@mymail.academy</w:t>
        </w:r>
      </w:hyperlink>
      <w:r w:rsidR="00931975">
        <w:rPr>
          <w:rFonts w:ascii="Times New Roman" w:hAnsi="Times New Roman"/>
          <w:i/>
          <w:color w:val="FF0000"/>
          <w:sz w:val="24"/>
          <w:szCs w:val="24"/>
        </w:rPr>
        <w:t xml:space="preserve"> </w:t>
      </w:r>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6F7FDA">
        <w:rPr>
          <w:rFonts w:ascii="Times New Roman" w:hAnsi="Times New Roman"/>
          <w:b/>
          <w:sz w:val="24"/>
          <w:szCs w:val="24"/>
        </w:rPr>
        <w:t>ABSTRACT</w:t>
      </w:r>
    </w:p>
    <w:p w14:paraId="665570A4" w14:textId="016E9646" w:rsidR="00BB2249" w:rsidRPr="00C85712" w:rsidRDefault="00175AD0" w:rsidP="00472D0C">
      <w:pPr>
        <w:pStyle w:val="MDPI31text"/>
        <w:spacing w:line="360" w:lineRule="auto"/>
        <w:ind w:left="0" w:firstLine="0"/>
        <w:rPr>
          <w:rFonts w:ascii="Times New Roman" w:hAnsi="Times New Roman"/>
          <w:color w:val="auto"/>
          <w:sz w:val="24"/>
        </w:rPr>
      </w:pPr>
      <w:r w:rsidRPr="00175AD0">
        <w:rPr>
          <w:rFonts w:ascii="Times New Roman" w:hAnsi="Times New Roman"/>
          <w:color w:val="auto"/>
          <w:sz w:val="24"/>
        </w:rPr>
        <w:t>Agroclimatic variability plays a major role in the population dynamics of harmful non-gregarious locusts in arid and semi-arid agricultural landscapes. This study aimed to assess the impact of hydrothermal conditions on locust population density and to develop a Machine Learning–GIS forecasting model for spatially differentiated phytosanitary risk assessment in Kazakhstan. Long-term phytosanitary monitoring data for 2003–2024 were integrated with meteorological variables, remote sensing indicators, and derived agroclimatic predictors. Agroclimatic zones were classified into high-, moderate-, and low-risk groups according to the absolute population index. Five forecasting approaches were tested: Gradient Boosting, Support Vector Regression, Random Forest, SARIMA, and Linear Regression. Model performance was evaluated using MAE, RMSE, and R². The results showed that locust population regulation differed among risk zones. High-risk areas were mainly associated with thermal predictors and 5–7-year outbreak periodicity, while moderate-risk zones reflected the combined influence of temperature and moisture with 7–10-year cyclicity. Low-risk zones were characterized by moisture-limited stabilization and longer 10–12-year cycles. Gradient Boosting performed best in high-risk areas, whereas Support Vector Regression was more effective in moderate- and low-risk zones. The identified hydrothermal thresholds, including land surface temperature of 30–35°C, precipitation of 20–50 mm, and soil moisture of 0.60–0.75, may serve as early-warning indicators for targeted locust management</w:t>
      </w:r>
      <w:r w:rsidR="00BB2249" w:rsidRPr="00C85712">
        <w:rPr>
          <w:rFonts w:ascii="Times New Roman" w:hAnsi="Times New Roman"/>
          <w:color w:val="auto"/>
          <w:sz w:val="24"/>
        </w:rPr>
        <w:t>.</w:t>
      </w:r>
    </w:p>
    <w:p w14:paraId="76CF3D1C" w14:textId="77777777" w:rsidR="00BB2249" w:rsidRPr="00C85712" w:rsidRDefault="00BB2249" w:rsidP="00AE5B70">
      <w:pPr>
        <w:pStyle w:val="MDPI31text"/>
        <w:spacing w:line="360" w:lineRule="auto"/>
        <w:ind w:left="0" w:firstLine="0"/>
        <w:rPr>
          <w:rFonts w:ascii="Times New Roman" w:hAnsi="Times New Roman"/>
          <w:sz w:val="24"/>
        </w:rPr>
      </w:pPr>
    </w:p>
    <w:p w14:paraId="07684CD8" w14:textId="50A9589A" w:rsidR="00BB2249" w:rsidRDefault="00BB2249" w:rsidP="00AE5B70">
      <w:pPr>
        <w:pStyle w:val="MDPI31text"/>
        <w:spacing w:line="360" w:lineRule="auto"/>
        <w:ind w:left="0" w:firstLine="0"/>
        <w:rPr>
          <w:rFonts w:ascii="Times New Roman" w:hAnsi="Times New Roman"/>
          <w:sz w:val="24"/>
          <w:szCs w:val="24"/>
          <w:lang w:eastAsia="ar-SA"/>
        </w:rPr>
      </w:pPr>
      <w:r w:rsidRPr="006F7FDA">
        <w:rPr>
          <w:rFonts w:ascii="Times New Roman" w:hAnsi="Times New Roman"/>
          <w:b/>
          <w:sz w:val="24"/>
          <w:szCs w:val="24"/>
        </w:rPr>
        <w:t>Keywords:</w:t>
      </w:r>
      <w:r>
        <w:rPr>
          <w:rFonts w:ascii="Times New Roman" w:hAnsi="Times New Roman"/>
          <w:b/>
          <w:sz w:val="24"/>
          <w:szCs w:val="24"/>
        </w:rPr>
        <w:t xml:space="preserve"> </w:t>
      </w:r>
      <w:r w:rsidR="00175AD0" w:rsidRPr="00175AD0">
        <w:rPr>
          <w:rFonts w:ascii="Times New Roman" w:hAnsi="Times New Roman"/>
          <w:sz w:val="24"/>
          <w:szCs w:val="24"/>
          <w:lang w:eastAsia="ar-SA"/>
        </w:rPr>
        <w:t>non-gregarious locusts</w:t>
      </w:r>
      <w:r w:rsidR="00175AD0">
        <w:rPr>
          <w:rFonts w:ascii="Times New Roman" w:hAnsi="Times New Roman"/>
          <w:sz w:val="24"/>
          <w:szCs w:val="24"/>
          <w:lang w:eastAsia="ar-SA"/>
        </w:rPr>
        <w:t>,</w:t>
      </w:r>
      <w:r w:rsidR="00175AD0" w:rsidRPr="00175AD0">
        <w:rPr>
          <w:rFonts w:ascii="Times New Roman" w:hAnsi="Times New Roman"/>
          <w:sz w:val="24"/>
          <w:szCs w:val="24"/>
          <w:lang w:eastAsia="ar-SA"/>
        </w:rPr>
        <w:t xml:space="preserve"> agroclimatic variability</w:t>
      </w:r>
      <w:r w:rsidR="00175AD0">
        <w:rPr>
          <w:rFonts w:ascii="Times New Roman" w:hAnsi="Times New Roman"/>
          <w:sz w:val="24"/>
          <w:szCs w:val="24"/>
          <w:lang w:eastAsia="ar-SA"/>
        </w:rPr>
        <w:t>,</w:t>
      </w:r>
      <w:r w:rsidR="00175AD0" w:rsidRPr="00175AD0">
        <w:rPr>
          <w:rFonts w:ascii="Times New Roman" w:hAnsi="Times New Roman"/>
          <w:sz w:val="24"/>
          <w:szCs w:val="24"/>
          <w:lang w:eastAsia="ar-SA"/>
        </w:rPr>
        <w:t xml:space="preserve"> machine learning</w:t>
      </w:r>
      <w:r w:rsidR="00175AD0">
        <w:rPr>
          <w:rFonts w:ascii="Times New Roman" w:hAnsi="Times New Roman"/>
          <w:sz w:val="24"/>
          <w:szCs w:val="24"/>
          <w:lang w:eastAsia="ar-SA"/>
        </w:rPr>
        <w:t>,</w:t>
      </w:r>
      <w:r w:rsidR="00175AD0" w:rsidRPr="00175AD0">
        <w:rPr>
          <w:rFonts w:ascii="Times New Roman" w:hAnsi="Times New Roman"/>
          <w:sz w:val="24"/>
          <w:szCs w:val="24"/>
          <w:lang w:eastAsia="ar-SA"/>
        </w:rPr>
        <w:t xml:space="preserve"> GIS</w:t>
      </w:r>
      <w:r w:rsidR="00175AD0">
        <w:rPr>
          <w:rFonts w:ascii="Times New Roman" w:hAnsi="Times New Roman"/>
          <w:sz w:val="24"/>
          <w:szCs w:val="24"/>
          <w:lang w:eastAsia="ar-SA"/>
        </w:rPr>
        <w:t xml:space="preserve">, </w:t>
      </w:r>
      <w:r w:rsidR="00175AD0" w:rsidRPr="00175AD0">
        <w:rPr>
          <w:rFonts w:ascii="Times New Roman" w:hAnsi="Times New Roman"/>
          <w:sz w:val="24"/>
          <w:szCs w:val="24"/>
          <w:lang w:eastAsia="ar-SA"/>
        </w:rPr>
        <w:t>phytosanitary forecasting</w:t>
      </w:r>
      <w:r w:rsidR="00397A3C">
        <w:rPr>
          <w:rFonts w:ascii="Times New Roman" w:hAnsi="Times New Roman"/>
          <w:sz w:val="24"/>
          <w:szCs w:val="24"/>
          <w:lang w:eastAsia="ar-SA"/>
        </w:rPr>
        <w:t>.</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3DB55BAF" w14:textId="5EA0B75E" w:rsidR="00DD0660" w:rsidRPr="00DD0660" w:rsidRDefault="00DD0660" w:rsidP="00F4551E">
      <w:pPr>
        <w:pStyle w:val="afd"/>
        <w:numPr>
          <w:ilvl w:val="1"/>
          <w:numId w:val="30"/>
        </w:numPr>
        <w:tabs>
          <w:tab w:val="left" w:pos="567"/>
        </w:tabs>
        <w:spacing w:line="360" w:lineRule="auto"/>
        <w:ind w:left="0" w:firstLine="0"/>
        <w:contextualSpacing w:val="0"/>
        <w:rPr>
          <w:b/>
          <w:bCs/>
          <w:lang w:eastAsia="ru-RU"/>
        </w:rPr>
      </w:pPr>
      <w:r w:rsidRPr="00DD0660">
        <w:rPr>
          <w:b/>
          <w:bCs/>
          <w:lang w:eastAsia="ru-RU"/>
        </w:rPr>
        <w:lastRenderedPageBreak/>
        <w:t xml:space="preserve">Ecological and </w:t>
      </w:r>
      <w:proofErr w:type="spellStart"/>
      <w:r w:rsidRPr="00DD0660">
        <w:rPr>
          <w:b/>
          <w:bCs/>
          <w:lang w:eastAsia="ru-RU"/>
        </w:rPr>
        <w:t>Agro</w:t>
      </w:r>
      <w:proofErr w:type="spellEnd"/>
      <w:r w:rsidRPr="00DD0660">
        <w:rPr>
          <w:b/>
          <w:bCs/>
          <w:lang w:eastAsia="ru-RU"/>
        </w:rPr>
        <w:t>-Economic Relevance of Non-Gregarious Locusts</w:t>
      </w:r>
    </w:p>
    <w:p w14:paraId="718B0F01" w14:textId="38C2A69B" w:rsidR="00DD0660" w:rsidRPr="00DD0660" w:rsidRDefault="00DD0660" w:rsidP="00DD0660">
      <w:pPr>
        <w:spacing w:line="360" w:lineRule="auto"/>
        <w:ind w:firstLine="567"/>
        <w:rPr>
          <w:szCs w:val="24"/>
          <w:lang w:eastAsia="ru-RU"/>
        </w:rPr>
      </w:pPr>
      <w:r w:rsidRPr="00DD0660">
        <w:rPr>
          <w:szCs w:val="24"/>
          <w:lang w:eastAsia="ru-RU"/>
        </w:rPr>
        <w:t xml:space="preserve">Locusts and grasshoppers (Orthoptera: Acrididae) are among the most ecologically influential herbivorous insects in arid and semi-arid agroecosystems. Foundational acridological synthesis established that locust population dynamics are regulated by density-dependent phase transitions, climatic variability, and trophic interactions </w:t>
      </w:r>
      <w:r w:rsidR="00825B71">
        <w:rPr>
          <w:szCs w:val="24"/>
          <w:lang w:eastAsia="ru-RU"/>
        </w:rPr>
        <w:t>(</w:t>
      </w:r>
      <w:r w:rsidR="00825B71" w:rsidRPr="00825B71">
        <w:rPr>
          <w:color w:val="auto"/>
          <w:szCs w:val="24"/>
        </w:rPr>
        <w:t>Uvarov, 1977</w:t>
      </w:r>
      <w:r w:rsidR="00825B71">
        <w:rPr>
          <w:szCs w:val="24"/>
          <w:lang w:eastAsia="ru-RU"/>
        </w:rPr>
        <w:t>)</w:t>
      </w:r>
      <w:r w:rsidRPr="00DD0660">
        <w:rPr>
          <w:szCs w:val="24"/>
          <w:lang w:eastAsia="ru-RU"/>
        </w:rPr>
        <w:t xml:space="preserve">. Subsequent ecological research demonstrated that grasshopper outbreaks alter primary productivity, nutrient cycling, and rangeland </w:t>
      </w:r>
      <w:r w:rsidRPr="00FC73F3">
        <w:rPr>
          <w:szCs w:val="24"/>
          <w:lang w:eastAsia="ru-RU"/>
        </w:rPr>
        <w:t xml:space="preserve">stability </w:t>
      </w:r>
      <w:r w:rsidR="00FC73F3" w:rsidRPr="00FC73F3">
        <w:rPr>
          <w:szCs w:val="24"/>
          <w:lang w:eastAsia="ru-RU"/>
        </w:rPr>
        <w:t>(</w:t>
      </w:r>
      <w:r w:rsidR="00FC73F3" w:rsidRPr="00FC73F3">
        <w:rPr>
          <w:color w:val="auto"/>
          <w:szCs w:val="24"/>
        </w:rPr>
        <w:t>Branson et</w:t>
      </w:r>
      <w:r w:rsidR="00FC73F3">
        <w:rPr>
          <w:color w:val="auto"/>
          <w:szCs w:val="24"/>
        </w:rPr>
        <w:t xml:space="preserve"> al. 2006</w:t>
      </w:r>
      <w:r w:rsidR="00FC73F3">
        <w:rPr>
          <w:szCs w:val="24"/>
          <w:lang w:eastAsia="ru-RU"/>
        </w:rPr>
        <w:t>)</w:t>
      </w:r>
      <w:r w:rsidRPr="00DD0660">
        <w:rPr>
          <w:szCs w:val="24"/>
          <w:lang w:eastAsia="ru-RU"/>
        </w:rPr>
        <w:t>.</w:t>
      </w:r>
    </w:p>
    <w:p w14:paraId="7ECB8FAC" w14:textId="17A8840F" w:rsidR="00DD0660" w:rsidRPr="00DD0660" w:rsidRDefault="00DD0660" w:rsidP="00DD0660">
      <w:pPr>
        <w:spacing w:line="360" w:lineRule="auto"/>
        <w:ind w:firstLine="567"/>
        <w:rPr>
          <w:szCs w:val="24"/>
          <w:lang w:eastAsia="ru-RU"/>
        </w:rPr>
      </w:pPr>
      <w:r w:rsidRPr="00DD0660">
        <w:rPr>
          <w:szCs w:val="24"/>
          <w:lang w:eastAsia="ru-RU"/>
        </w:rPr>
        <w:t xml:space="preserve">In addition to the gregarious locust species </w:t>
      </w:r>
      <w:r w:rsidRPr="00DD0660">
        <w:rPr>
          <w:i/>
          <w:iCs/>
          <w:szCs w:val="24"/>
          <w:lang w:eastAsia="ru-RU"/>
        </w:rPr>
        <w:t>Calliptamus italicus</w:t>
      </w:r>
      <w:r w:rsidRPr="00DD0660">
        <w:rPr>
          <w:szCs w:val="24"/>
          <w:lang w:eastAsia="ru-RU"/>
        </w:rPr>
        <w:t xml:space="preserve"> (Linnaeus, 1758), </w:t>
      </w:r>
      <w:r w:rsidRPr="00DD0660">
        <w:rPr>
          <w:i/>
          <w:iCs/>
          <w:szCs w:val="24"/>
          <w:lang w:eastAsia="ru-RU"/>
        </w:rPr>
        <w:t>Dociostaurus maroccanus</w:t>
      </w:r>
      <w:r w:rsidRPr="00DD0660">
        <w:rPr>
          <w:szCs w:val="24"/>
          <w:lang w:eastAsia="ru-RU"/>
        </w:rPr>
        <w:t xml:space="preserve"> (Thunberg, 1815), and </w:t>
      </w:r>
      <w:r w:rsidRPr="00DD0660">
        <w:rPr>
          <w:i/>
          <w:iCs/>
          <w:szCs w:val="24"/>
          <w:lang w:eastAsia="ru-RU"/>
        </w:rPr>
        <w:t>Locusta migratoria</w:t>
      </w:r>
      <w:r w:rsidRPr="00DD0660">
        <w:rPr>
          <w:szCs w:val="24"/>
          <w:lang w:eastAsia="ru-RU"/>
        </w:rPr>
        <w:t xml:space="preserve"> (Linnaeus, 1758) </w:t>
      </w:r>
      <w:r w:rsidR="00C3527B">
        <w:rPr>
          <w:szCs w:val="24"/>
          <w:lang w:eastAsia="ru-RU"/>
        </w:rPr>
        <w:t>(</w:t>
      </w:r>
      <w:r w:rsidR="00C3527B" w:rsidRPr="00C3527B">
        <w:rPr>
          <w:color w:val="auto"/>
          <w:szCs w:val="24"/>
        </w:rPr>
        <w:t>Azhbenov et al.</w:t>
      </w:r>
      <w:r w:rsidR="00C3527B">
        <w:rPr>
          <w:color w:val="auto"/>
          <w:szCs w:val="24"/>
        </w:rPr>
        <w:t xml:space="preserve"> 2015</w:t>
      </w:r>
      <w:r w:rsidR="00C3527B">
        <w:rPr>
          <w:szCs w:val="24"/>
          <w:lang w:eastAsia="ru-RU"/>
        </w:rPr>
        <w:t>)</w:t>
      </w:r>
      <w:r w:rsidRPr="00DD0660">
        <w:rPr>
          <w:szCs w:val="24"/>
          <w:lang w:eastAsia="ru-RU"/>
        </w:rPr>
        <w:t xml:space="preserve">, a complex of economically significant non-gregarious acridid species constitutes a persistent phytosanitary threat to agricultural production in Kazakhstan </w:t>
      </w:r>
      <w:r w:rsidR="004E4034">
        <w:rPr>
          <w:szCs w:val="24"/>
          <w:lang w:eastAsia="ru-RU"/>
        </w:rPr>
        <w:t>(</w:t>
      </w:r>
      <w:r w:rsidR="004E4034" w:rsidRPr="004E4034">
        <w:rPr>
          <w:color w:val="auto"/>
          <w:szCs w:val="24"/>
        </w:rPr>
        <w:t>Baibussenov</w:t>
      </w:r>
      <w:r w:rsidR="004E4034">
        <w:rPr>
          <w:color w:val="auto"/>
          <w:szCs w:val="24"/>
        </w:rPr>
        <w:t xml:space="preserve"> et al. 2022</w:t>
      </w:r>
      <w:r w:rsidR="004E4034">
        <w:rPr>
          <w:szCs w:val="24"/>
          <w:lang w:eastAsia="ru-RU"/>
        </w:rPr>
        <w:t>)</w:t>
      </w:r>
      <w:r w:rsidRPr="00DD0660">
        <w:rPr>
          <w:szCs w:val="24"/>
          <w:lang w:eastAsia="ru-RU"/>
        </w:rPr>
        <w:t xml:space="preserve">. Their distribution across the country exhibits pronounced agroclimatic zonation determined by gradients of moisture availability and thermal resources </w:t>
      </w:r>
      <w:r w:rsidR="00D54353">
        <w:rPr>
          <w:szCs w:val="24"/>
          <w:lang w:eastAsia="ru-RU"/>
        </w:rPr>
        <w:t>(</w:t>
      </w:r>
      <w:r w:rsidR="004E4034" w:rsidRPr="004E4034">
        <w:rPr>
          <w:color w:val="auto"/>
          <w:szCs w:val="24"/>
        </w:rPr>
        <w:t>Baibussenov</w:t>
      </w:r>
      <w:r w:rsidR="004E4034">
        <w:rPr>
          <w:color w:val="auto"/>
          <w:szCs w:val="24"/>
        </w:rPr>
        <w:t xml:space="preserve"> et al. 2022; </w:t>
      </w:r>
      <w:r w:rsidR="008F228C" w:rsidRPr="008F228C">
        <w:rPr>
          <w:rStyle w:val="aff"/>
          <w:rFonts w:eastAsiaTheme="majorEastAsia"/>
          <w:b w:val="0"/>
          <w:bCs w:val="0"/>
          <w:color w:val="auto"/>
          <w:szCs w:val="24"/>
        </w:rPr>
        <w:t>Childebaev 2017</w:t>
      </w:r>
      <w:r w:rsidR="008F228C">
        <w:rPr>
          <w:rStyle w:val="aff"/>
          <w:rFonts w:eastAsiaTheme="majorEastAsia"/>
          <w:b w:val="0"/>
          <w:bCs w:val="0"/>
          <w:color w:val="auto"/>
          <w:szCs w:val="24"/>
        </w:rPr>
        <w:t xml:space="preserve">; </w:t>
      </w:r>
      <w:r w:rsidR="00D54353" w:rsidRPr="00D54353">
        <w:rPr>
          <w:rStyle w:val="aff"/>
          <w:rFonts w:eastAsiaTheme="majorEastAsia"/>
          <w:b w:val="0"/>
          <w:bCs w:val="0"/>
          <w:color w:val="auto"/>
          <w:szCs w:val="24"/>
        </w:rPr>
        <w:t>Uspanov</w:t>
      </w:r>
      <w:r w:rsidR="00D54353">
        <w:rPr>
          <w:rStyle w:val="aff"/>
          <w:rFonts w:eastAsiaTheme="majorEastAsia"/>
          <w:b w:val="0"/>
          <w:bCs w:val="0"/>
          <w:color w:val="auto"/>
          <w:szCs w:val="24"/>
        </w:rPr>
        <w:t xml:space="preserve"> et al. 2012</w:t>
      </w:r>
      <w:r w:rsidR="00D54353">
        <w:rPr>
          <w:szCs w:val="24"/>
          <w:lang w:eastAsia="ru-RU"/>
        </w:rPr>
        <w:t>)</w:t>
      </w:r>
      <w:r w:rsidRPr="00DD0660">
        <w:rPr>
          <w:szCs w:val="24"/>
          <w:lang w:eastAsia="ru-RU"/>
        </w:rPr>
        <w:t>.</w:t>
      </w:r>
      <w:r w:rsidRPr="00DD0660">
        <w:rPr>
          <w:szCs w:val="24"/>
          <w:lang w:val="kk-KZ" w:eastAsia="ru-RU"/>
        </w:rPr>
        <w:t xml:space="preserve"> </w:t>
      </w:r>
      <w:r w:rsidRPr="00DD0660">
        <w:rPr>
          <w:szCs w:val="24"/>
          <w:lang w:eastAsia="ru-RU"/>
        </w:rPr>
        <w:t xml:space="preserve">In the forest-steppe and northern steppe zones, characterized by comparatively higher precipitation and moderate temperature regimes, the dominant species include </w:t>
      </w:r>
      <w:r w:rsidRPr="00DD0660">
        <w:rPr>
          <w:i/>
          <w:iCs/>
          <w:szCs w:val="24"/>
          <w:lang w:eastAsia="ru-RU"/>
        </w:rPr>
        <w:t>Gomphocerus sibiricus</w:t>
      </w:r>
      <w:r w:rsidRPr="00DD0660">
        <w:rPr>
          <w:szCs w:val="24"/>
          <w:lang w:eastAsia="ru-RU"/>
        </w:rPr>
        <w:t xml:space="preserve"> (Linnaeus, 1767), </w:t>
      </w:r>
      <w:r w:rsidRPr="00DD0660">
        <w:rPr>
          <w:i/>
          <w:iCs/>
          <w:szCs w:val="24"/>
          <w:lang w:eastAsia="ru-RU"/>
        </w:rPr>
        <w:t>Chorthippus albomarginatus</w:t>
      </w:r>
      <w:r w:rsidRPr="00DD0660">
        <w:rPr>
          <w:szCs w:val="24"/>
          <w:lang w:eastAsia="ru-RU"/>
        </w:rPr>
        <w:t xml:space="preserve"> (De Geer, 1773), </w:t>
      </w:r>
      <w:r w:rsidRPr="00DD0660">
        <w:rPr>
          <w:i/>
          <w:iCs/>
          <w:szCs w:val="24"/>
          <w:lang w:eastAsia="ru-RU"/>
        </w:rPr>
        <w:t>Oedaleus decorus</w:t>
      </w:r>
      <w:r w:rsidRPr="00DD0660">
        <w:rPr>
          <w:szCs w:val="24"/>
          <w:lang w:eastAsia="ru-RU"/>
        </w:rPr>
        <w:t xml:space="preserve"> (Germar, 1825), </w:t>
      </w:r>
      <w:r w:rsidRPr="00DD0660">
        <w:rPr>
          <w:i/>
          <w:iCs/>
          <w:szCs w:val="24"/>
          <w:lang w:eastAsia="ru-RU"/>
        </w:rPr>
        <w:t>Pararcyptera microptera</w:t>
      </w:r>
      <w:r w:rsidRPr="00DD0660">
        <w:rPr>
          <w:szCs w:val="24"/>
          <w:lang w:eastAsia="ru-RU"/>
        </w:rPr>
        <w:t xml:space="preserve"> (Fischer von Waldheim, 1833), </w:t>
      </w:r>
      <w:r w:rsidRPr="00DD0660">
        <w:rPr>
          <w:i/>
          <w:iCs/>
          <w:szCs w:val="24"/>
          <w:lang w:eastAsia="ru-RU"/>
        </w:rPr>
        <w:t>Podisma pedestris</w:t>
      </w:r>
      <w:r w:rsidRPr="00DD0660">
        <w:rPr>
          <w:szCs w:val="24"/>
          <w:lang w:eastAsia="ru-RU"/>
        </w:rPr>
        <w:t xml:space="preserve"> (Linnaeus, 1758), and </w:t>
      </w:r>
      <w:r w:rsidRPr="00DD0660">
        <w:rPr>
          <w:i/>
          <w:iCs/>
          <w:szCs w:val="24"/>
          <w:lang w:eastAsia="ru-RU"/>
        </w:rPr>
        <w:t>Stauroderus scalaris</w:t>
      </w:r>
      <w:r w:rsidRPr="00DD0660">
        <w:rPr>
          <w:szCs w:val="24"/>
          <w:lang w:eastAsia="ru-RU"/>
        </w:rPr>
        <w:t xml:space="preserve"> (Fischer von Waldheim, 1846). The abundance of these species is closely associated with the productivity and structural composition of grass–forb communities.</w:t>
      </w:r>
    </w:p>
    <w:p w14:paraId="6253B27E" w14:textId="77777777" w:rsidR="00DD0660" w:rsidRPr="00DD0660" w:rsidRDefault="00DD0660" w:rsidP="00DD0660">
      <w:pPr>
        <w:spacing w:line="360" w:lineRule="auto"/>
        <w:ind w:firstLine="567"/>
        <w:rPr>
          <w:szCs w:val="24"/>
          <w:lang w:eastAsia="ru-RU"/>
        </w:rPr>
      </w:pPr>
      <w:r w:rsidRPr="00DD0660">
        <w:rPr>
          <w:szCs w:val="24"/>
          <w:lang w:eastAsia="ru-RU"/>
        </w:rPr>
        <w:t xml:space="preserve">In the dry-steppe and semi-desert regions, where the climate is strongly continental and characterized by periodic droughts, </w:t>
      </w:r>
      <w:r w:rsidRPr="00DD0660">
        <w:rPr>
          <w:i/>
          <w:iCs/>
          <w:szCs w:val="24"/>
          <w:lang w:eastAsia="ru-RU"/>
        </w:rPr>
        <w:t>Dociostaurus brevicollis</w:t>
      </w:r>
      <w:r w:rsidRPr="00DD0660">
        <w:rPr>
          <w:szCs w:val="24"/>
          <w:lang w:eastAsia="ru-RU"/>
        </w:rPr>
        <w:t xml:space="preserve"> (Eversmann, 1848), </w:t>
      </w:r>
      <w:r w:rsidRPr="00DD0660">
        <w:rPr>
          <w:i/>
          <w:iCs/>
          <w:szCs w:val="24"/>
          <w:lang w:eastAsia="ru-RU"/>
        </w:rPr>
        <w:t>Dociostaurus kraussi</w:t>
      </w:r>
      <w:r w:rsidRPr="00DD0660">
        <w:rPr>
          <w:szCs w:val="24"/>
          <w:lang w:eastAsia="ru-RU"/>
        </w:rPr>
        <w:t xml:space="preserve"> (Ingenitsky, 1897), and </w:t>
      </w:r>
      <w:r w:rsidRPr="00DD0660">
        <w:rPr>
          <w:i/>
          <w:iCs/>
          <w:szCs w:val="24"/>
          <w:lang w:eastAsia="ru-RU"/>
        </w:rPr>
        <w:t>Oedipoda caerulescens</w:t>
      </w:r>
      <w:r w:rsidRPr="00DD0660">
        <w:rPr>
          <w:szCs w:val="24"/>
          <w:lang w:eastAsia="ru-RU"/>
        </w:rPr>
        <w:t xml:space="preserve"> (Linnaeus, 1758) predominate. These species demonstrate high ecological plasticity and the capacity to form localized outbreak foci under favorable spring soil moisture conditions.</w:t>
      </w:r>
      <w:r w:rsidRPr="00DD0660">
        <w:rPr>
          <w:szCs w:val="24"/>
          <w:lang w:val="kk-KZ" w:eastAsia="ru-RU"/>
        </w:rPr>
        <w:t xml:space="preserve"> </w:t>
      </w:r>
      <w:r w:rsidRPr="00DD0660">
        <w:rPr>
          <w:szCs w:val="24"/>
          <w:lang w:eastAsia="ru-RU"/>
        </w:rPr>
        <w:t xml:space="preserve">In the semi-desert and desert zones of southern and western Kazakhstan, stable populations are formed by </w:t>
      </w:r>
      <w:r w:rsidRPr="00DD0660">
        <w:rPr>
          <w:i/>
          <w:iCs/>
          <w:szCs w:val="24"/>
          <w:lang w:eastAsia="ru-RU"/>
        </w:rPr>
        <w:t>Calliptamus turanicus</w:t>
      </w:r>
      <w:r w:rsidRPr="00DD0660">
        <w:rPr>
          <w:szCs w:val="24"/>
          <w:lang w:eastAsia="ru-RU"/>
        </w:rPr>
        <w:t xml:space="preserve"> (Tarbinsky, 1930), </w:t>
      </w:r>
      <w:r w:rsidRPr="00DD0660">
        <w:rPr>
          <w:i/>
          <w:iCs/>
          <w:szCs w:val="24"/>
          <w:lang w:eastAsia="ru-RU"/>
        </w:rPr>
        <w:t>Calliptamus barbarus</w:t>
      </w:r>
      <w:r w:rsidRPr="00DD0660">
        <w:rPr>
          <w:szCs w:val="24"/>
          <w:lang w:eastAsia="ru-RU"/>
        </w:rPr>
        <w:t xml:space="preserve"> (Costa, 1836), </w:t>
      </w:r>
      <w:r w:rsidRPr="00DD0660">
        <w:rPr>
          <w:i/>
          <w:iCs/>
          <w:szCs w:val="24"/>
          <w:lang w:eastAsia="ru-RU"/>
        </w:rPr>
        <w:t>Oedipoda miniata</w:t>
      </w:r>
      <w:r w:rsidRPr="00DD0660">
        <w:rPr>
          <w:szCs w:val="24"/>
          <w:lang w:eastAsia="ru-RU"/>
        </w:rPr>
        <w:t xml:space="preserve"> (Pallas, 1771), and </w:t>
      </w:r>
      <w:r w:rsidRPr="00DD0660">
        <w:rPr>
          <w:i/>
          <w:iCs/>
          <w:szCs w:val="24"/>
          <w:lang w:eastAsia="ru-RU"/>
        </w:rPr>
        <w:t>Ramburiella turcomana</w:t>
      </w:r>
      <w:r w:rsidRPr="00DD0660">
        <w:rPr>
          <w:szCs w:val="24"/>
          <w:lang w:eastAsia="ru-RU"/>
        </w:rPr>
        <w:t xml:space="preserve"> (Fischer von Waldheim, 1833). The population density of these taxa is primarily regulated by cumulative heat supply and soil moisture dynamics during embryonic development.</w:t>
      </w:r>
    </w:p>
    <w:p w14:paraId="3FF3731A" w14:textId="0B790E20" w:rsidR="00DD0660" w:rsidRPr="00DD0660" w:rsidRDefault="00DD0660" w:rsidP="00DD0660">
      <w:pPr>
        <w:spacing w:line="360" w:lineRule="auto"/>
        <w:ind w:firstLine="567"/>
        <w:rPr>
          <w:szCs w:val="24"/>
          <w:lang w:eastAsia="ru-RU"/>
        </w:rPr>
      </w:pPr>
      <w:r w:rsidRPr="00DD0660">
        <w:rPr>
          <w:szCs w:val="24"/>
          <w:lang w:eastAsia="ru-RU"/>
        </w:rPr>
        <w:t xml:space="preserve">Long-term ecological studies confirmed that population regulation depends on both abiotic forcing and density-dependent mortality </w:t>
      </w:r>
      <w:r w:rsidR="00B63F4D">
        <w:rPr>
          <w:szCs w:val="24"/>
          <w:lang w:eastAsia="ru-RU"/>
        </w:rPr>
        <w:t>(</w:t>
      </w:r>
      <w:r w:rsidR="00D21453" w:rsidRPr="00D21453">
        <w:rPr>
          <w:color w:val="auto"/>
          <w:szCs w:val="24"/>
        </w:rPr>
        <w:t>Jonas</w:t>
      </w:r>
      <w:r w:rsidR="00D21453" w:rsidRPr="00B63F4D">
        <w:rPr>
          <w:color w:val="auto"/>
          <w:szCs w:val="24"/>
        </w:rPr>
        <w:t xml:space="preserve"> </w:t>
      </w:r>
      <w:r w:rsidR="00D21453">
        <w:rPr>
          <w:color w:val="auto"/>
          <w:szCs w:val="24"/>
        </w:rPr>
        <w:t xml:space="preserve">et al. 2015; </w:t>
      </w:r>
      <w:r w:rsidR="00B63F4D" w:rsidRPr="00B63F4D">
        <w:rPr>
          <w:color w:val="auto"/>
          <w:szCs w:val="24"/>
        </w:rPr>
        <w:t>Lockwood</w:t>
      </w:r>
      <w:r w:rsidR="00B63F4D">
        <w:rPr>
          <w:color w:val="auto"/>
          <w:szCs w:val="24"/>
        </w:rPr>
        <w:t xml:space="preserve"> and</w:t>
      </w:r>
      <w:r w:rsidR="00B63F4D" w:rsidRPr="00B63F4D">
        <w:rPr>
          <w:color w:val="auto"/>
          <w:szCs w:val="24"/>
        </w:rPr>
        <w:t xml:space="preserve"> Lockwood 2008</w:t>
      </w:r>
      <w:r w:rsidR="00B63F4D">
        <w:rPr>
          <w:szCs w:val="24"/>
          <w:lang w:eastAsia="ru-RU"/>
        </w:rPr>
        <w:t>)</w:t>
      </w:r>
      <w:r w:rsidRPr="00DD0660">
        <w:rPr>
          <w:szCs w:val="24"/>
          <w:lang w:eastAsia="ru-RU"/>
        </w:rPr>
        <w:t>. Regional analyses in Asian steppe ecosystems revealed spatial clustering of outbreak foci linked to vegetation heterogeneity.</w:t>
      </w:r>
      <w:r w:rsidRPr="00DD0660">
        <w:rPr>
          <w:szCs w:val="24"/>
          <w:lang w:val="kk-KZ" w:eastAsia="ru-RU"/>
        </w:rPr>
        <w:t xml:space="preserve"> </w:t>
      </w:r>
      <w:r w:rsidRPr="00DD0660">
        <w:rPr>
          <w:szCs w:val="24"/>
          <w:lang w:eastAsia="ru-RU"/>
        </w:rPr>
        <w:t xml:space="preserve">Climatic variability plays a central role in outbreak </w:t>
      </w:r>
      <w:r w:rsidRPr="00DD0660">
        <w:rPr>
          <w:szCs w:val="24"/>
          <w:lang w:eastAsia="ru-RU"/>
        </w:rPr>
        <w:lastRenderedPageBreak/>
        <w:t xml:space="preserve">dynamics. Rainfall anomalies and temperature accumulation explain interannual population fluctuations at continental scales. Coupled vegetation–locust feedbacks further reinforce these dynamics </w:t>
      </w:r>
      <w:r w:rsidR="007122A7">
        <w:rPr>
          <w:szCs w:val="24"/>
          <w:lang w:eastAsia="ru-RU"/>
        </w:rPr>
        <w:t>(</w:t>
      </w:r>
      <w:r w:rsidR="007122A7" w:rsidRPr="007122A7">
        <w:rPr>
          <w:color w:val="auto"/>
          <w:szCs w:val="24"/>
        </w:rPr>
        <w:t>Retkute</w:t>
      </w:r>
      <w:r w:rsidR="007122A7">
        <w:rPr>
          <w:color w:val="auto"/>
          <w:szCs w:val="24"/>
        </w:rPr>
        <w:t xml:space="preserve"> et al. 2024</w:t>
      </w:r>
      <w:r w:rsidR="007122A7">
        <w:rPr>
          <w:szCs w:val="24"/>
          <w:lang w:eastAsia="ru-RU"/>
        </w:rPr>
        <w:t>)</w:t>
      </w:r>
      <w:r w:rsidRPr="00DD0660">
        <w:rPr>
          <w:szCs w:val="24"/>
          <w:lang w:eastAsia="ru-RU"/>
        </w:rPr>
        <w:t>, while density-dependent phase transitions amplify demographic responses</w:t>
      </w:r>
      <w:r w:rsidR="006C70D3">
        <w:rPr>
          <w:szCs w:val="24"/>
          <w:lang w:eastAsia="ru-RU"/>
        </w:rPr>
        <w:t xml:space="preserve"> (</w:t>
      </w:r>
      <w:r w:rsidR="006C70D3" w:rsidRPr="006C70D3">
        <w:rPr>
          <w:color w:val="auto"/>
          <w:szCs w:val="24"/>
        </w:rPr>
        <w:t>Sword</w:t>
      </w:r>
      <w:r w:rsidR="006C70D3">
        <w:rPr>
          <w:color w:val="auto"/>
          <w:szCs w:val="24"/>
        </w:rPr>
        <w:t xml:space="preserve"> et al. 2010</w:t>
      </w:r>
      <w:r w:rsidR="006C70D3">
        <w:rPr>
          <w:szCs w:val="24"/>
          <w:lang w:eastAsia="ru-RU"/>
        </w:rPr>
        <w:t>)</w:t>
      </w:r>
      <w:r w:rsidRPr="00DD0660">
        <w:rPr>
          <w:szCs w:val="24"/>
          <w:lang w:eastAsia="ru-RU"/>
        </w:rPr>
        <w:t>. Geographic variation in recruitment patterns under projected climate change highlights the vulnerability of steppe ecosystems to outbreak intensification</w:t>
      </w:r>
      <w:r w:rsidR="008619DB">
        <w:rPr>
          <w:szCs w:val="24"/>
          <w:lang w:eastAsia="ru-RU"/>
        </w:rPr>
        <w:t xml:space="preserve"> (</w:t>
      </w:r>
      <w:r w:rsidR="008619DB" w:rsidRPr="008619DB">
        <w:rPr>
          <w:color w:val="auto"/>
          <w:szCs w:val="24"/>
        </w:rPr>
        <w:t>Humphreys</w:t>
      </w:r>
      <w:r w:rsidR="008619DB">
        <w:rPr>
          <w:color w:val="auto"/>
          <w:szCs w:val="24"/>
        </w:rPr>
        <w:t xml:space="preserve"> et al. 2022</w:t>
      </w:r>
      <w:r w:rsidR="008619DB">
        <w:rPr>
          <w:szCs w:val="24"/>
          <w:lang w:eastAsia="ru-RU"/>
        </w:rPr>
        <w:t>)</w:t>
      </w:r>
      <w:r w:rsidRPr="00DD0660">
        <w:rPr>
          <w:szCs w:val="24"/>
          <w:lang w:eastAsia="ru-RU"/>
        </w:rPr>
        <w:t>.</w:t>
      </w:r>
    </w:p>
    <w:p w14:paraId="7993726D" w14:textId="784612AB" w:rsidR="00DD0660" w:rsidRPr="00DD0660" w:rsidRDefault="00DD0660" w:rsidP="00DD0660">
      <w:pPr>
        <w:spacing w:line="360" w:lineRule="auto"/>
        <w:ind w:firstLine="567"/>
        <w:rPr>
          <w:szCs w:val="24"/>
          <w:lang w:eastAsia="ru-RU"/>
        </w:rPr>
      </w:pPr>
      <w:r w:rsidRPr="00DD0660">
        <w:rPr>
          <w:szCs w:val="24"/>
          <w:lang w:eastAsia="ru-RU"/>
        </w:rPr>
        <w:t xml:space="preserve">Climate-driven ecological responses have been widely documented across terrestrial insect systems </w:t>
      </w:r>
      <w:r w:rsidR="00A84ABE">
        <w:rPr>
          <w:szCs w:val="24"/>
          <w:lang w:eastAsia="ru-RU"/>
        </w:rPr>
        <w:t>(</w:t>
      </w:r>
      <w:r w:rsidR="00016599" w:rsidRPr="00016599">
        <w:rPr>
          <w:color w:val="auto"/>
          <w:szCs w:val="24"/>
        </w:rPr>
        <w:t>Bale</w:t>
      </w:r>
      <w:r w:rsidR="00016599" w:rsidRPr="00A84ABE">
        <w:rPr>
          <w:color w:val="auto"/>
          <w:szCs w:val="24"/>
        </w:rPr>
        <w:t xml:space="preserve"> </w:t>
      </w:r>
      <w:r w:rsidR="00016599">
        <w:rPr>
          <w:color w:val="auto"/>
          <w:szCs w:val="24"/>
        </w:rPr>
        <w:t xml:space="preserve">et al. 2002; </w:t>
      </w:r>
      <w:r w:rsidR="00A84ABE" w:rsidRPr="00A84ABE">
        <w:rPr>
          <w:color w:val="auto"/>
          <w:szCs w:val="24"/>
        </w:rPr>
        <w:t>Deutsch</w:t>
      </w:r>
      <w:r w:rsidR="00A84ABE">
        <w:rPr>
          <w:color w:val="auto"/>
          <w:szCs w:val="24"/>
        </w:rPr>
        <w:t xml:space="preserve"> et al. 2008</w:t>
      </w:r>
      <w:r w:rsidR="00D40CBE">
        <w:rPr>
          <w:color w:val="auto"/>
          <w:szCs w:val="24"/>
        </w:rPr>
        <w:t>; Ladányi</w:t>
      </w:r>
      <w:r w:rsidR="00D40CBE" w:rsidRPr="007122A7">
        <w:rPr>
          <w:color w:val="auto"/>
          <w:szCs w:val="24"/>
        </w:rPr>
        <w:t xml:space="preserve"> </w:t>
      </w:r>
      <w:r w:rsidR="00D40CBE">
        <w:rPr>
          <w:color w:val="auto"/>
          <w:szCs w:val="24"/>
        </w:rPr>
        <w:t>and</w:t>
      </w:r>
      <w:r w:rsidR="00D40CBE" w:rsidRPr="007122A7">
        <w:rPr>
          <w:color w:val="auto"/>
          <w:szCs w:val="24"/>
        </w:rPr>
        <w:t xml:space="preserve"> Horváth 2010</w:t>
      </w:r>
      <w:r w:rsidR="00164AFA">
        <w:rPr>
          <w:color w:val="auto"/>
          <w:szCs w:val="24"/>
        </w:rPr>
        <w:t xml:space="preserve">; </w:t>
      </w:r>
      <w:r w:rsidR="00164AFA" w:rsidRPr="00164AFA">
        <w:rPr>
          <w:color w:val="auto"/>
          <w:szCs w:val="24"/>
        </w:rPr>
        <w:t>Parmesan 2006</w:t>
      </w:r>
      <w:r w:rsidR="00A84ABE">
        <w:rPr>
          <w:szCs w:val="24"/>
          <w:lang w:eastAsia="ru-RU"/>
        </w:rPr>
        <w:t>)</w:t>
      </w:r>
      <w:r w:rsidRPr="00DD0660">
        <w:rPr>
          <w:szCs w:val="24"/>
          <w:lang w:eastAsia="ru-RU"/>
        </w:rPr>
        <w:t xml:space="preserve">. Global climate assessments indicate increasing aridity and thermal variability in continental </w:t>
      </w:r>
      <w:r w:rsidRPr="00A84ABE">
        <w:rPr>
          <w:szCs w:val="24"/>
          <w:lang w:eastAsia="ru-RU"/>
        </w:rPr>
        <w:t xml:space="preserve">interiors </w:t>
      </w:r>
      <w:r w:rsidR="00A84ABE" w:rsidRPr="00A84ABE">
        <w:rPr>
          <w:szCs w:val="24"/>
          <w:lang w:eastAsia="ru-RU"/>
        </w:rPr>
        <w:t>(</w:t>
      </w:r>
      <w:r w:rsidR="00A84ABE" w:rsidRPr="00A84ABE">
        <w:rPr>
          <w:color w:val="auto"/>
          <w:szCs w:val="24"/>
        </w:rPr>
        <w:t>Mingalev 2021</w:t>
      </w:r>
      <w:r w:rsidR="00A84ABE">
        <w:rPr>
          <w:szCs w:val="24"/>
          <w:lang w:eastAsia="ru-RU"/>
        </w:rPr>
        <w:t>)</w:t>
      </w:r>
      <w:r w:rsidRPr="00DD0660">
        <w:rPr>
          <w:szCs w:val="24"/>
          <w:lang w:eastAsia="ru-RU"/>
        </w:rPr>
        <w:t xml:space="preserve">, directly affecting agricultural productivity </w:t>
      </w:r>
      <w:r w:rsidR="00F00CA5">
        <w:rPr>
          <w:szCs w:val="24"/>
          <w:lang w:eastAsia="ru-RU"/>
        </w:rPr>
        <w:t>(</w:t>
      </w:r>
      <w:r w:rsidR="00F00CA5" w:rsidRPr="00F00CA5">
        <w:rPr>
          <w:color w:val="auto"/>
          <w:szCs w:val="24"/>
        </w:rPr>
        <w:t>Lobell</w:t>
      </w:r>
      <w:r w:rsidR="00F00CA5">
        <w:rPr>
          <w:color w:val="auto"/>
          <w:szCs w:val="24"/>
        </w:rPr>
        <w:t xml:space="preserve"> et al. 2011</w:t>
      </w:r>
      <w:r w:rsidR="00F00CA5">
        <w:rPr>
          <w:szCs w:val="24"/>
          <w:lang w:eastAsia="ru-RU"/>
        </w:rPr>
        <w:t>)</w:t>
      </w:r>
      <w:r w:rsidRPr="00DD0660">
        <w:rPr>
          <w:szCs w:val="24"/>
          <w:lang w:eastAsia="ru-RU"/>
        </w:rPr>
        <w:t xml:space="preserve"> and food security </w:t>
      </w:r>
      <w:r w:rsidR="00425FA4">
        <w:rPr>
          <w:szCs w:val="24"/>
          <w:lang w:eastAsia="ru-RU"/>
        </w:rPr>
        <w:t>(</w:t>
      </w:r>
      <w:r w:rsidR="00425FA4">
        <w:rPr>
          <w:color w:val="auto"/>
          <w:szCs w:val="24"/>
        </w:rPr>
        <w:t>Wheeler</w:t>
      </w:r>
      <w:r w:rsidR="00425FA4" w:rsidRPr="00425FA4">
        <w:rPr>
          <w:color w:val="auto"/>
          <w:szCs w:val="24"/>
        </w:rPr>
        <w:t xml:space="preserve"> </w:t>
      </w:r>
      <w:r w:rsidR="00425FA4">
        <w:rPr>
          <w:color w:val="auto"/>
          <w:szCs w:val="24"/>
        </w:rPr>
        <w:t>and</w:t>
      </w:r>
      <w:r w:rsidR="00425FA4" w:rsidRPr="00425FA4">
        <w:rPr>
          <w:color w:val="auto"/>
          <w:szCs w:val="24"/>
        </w:rPr>
        <w:t xml:space="preserve"> Von Braun 2013</w:t>
      </w:r>
      <w:r w:rsidR="00425FA4">
        <w:rPr>
          <w:szCs w:val="24"/>
          <w:lang w:eastAsia="ru-RU"/>
        </w:rPr>
        <w:t>)</w:t>
      </w:r>
      <w:r w:rsidRPr="00DD0660">
        <w:rPr>
          <w:szCs w:val="24"/>
          <w:lang w:eastAsia="ru-RU"/>
        </w:rPr>
        <w:t>. In Kazakhstan, such climatic instability increases the probability of locust population surges.</w:t>
      </w:r>
    </w:p>
    <w:p w14:paraId="740C903B" w14:textId="77777777" w:rsidR="00DD0660" w:rsidRPr="00DD0660" w:rsidRDefault="00DD0660" w:rsidP="00DD0660">
      <w:pPr>
        <w:spacing w:line="360" w:lineRule="auto"/>
        <w:ind w:firstLine="567"/>
        <w:rPr>
          <w:szCs w:val="24"/>
          <w:lang w:eastAsia="ru-RU"/>
        </w:rPr>
      </w:pPr>
    </w:p>
    <w:p w14:paraId="2899B277" w14:textId="2A605F36" w:rsidR="00DD0660" w:rsidRPr="00DD0660" w:rsidRDefault="00DD0660" w:rsidP="00F4551E">
      <w:pPr>
        <w:pStyle w:val="afd"/>
        <w:numPr>
          <w:ilvl w:val="1"/>
          <w:numId w:val="30"/>
        </w:numPr>
        <w:tabs>
          <w:tab w:val="left" w:pos="567"/>
        </w:tabs>
        <w:spacing w:line="360" w:lineRule="auto"/>
        <w:ind w:left="0" w:firstLine="0"/>
        <w:contextualSpacing w:val="0"/>
        <w:rPr>
          <w:b/>
          <w:bCs/>
          <w:lang w:eastAsia="ru-RU"/>
        </w:rPr>
      </w:pPr>
      <w:r w:rsidRPr="00DD0660">
        <w:rPr>
          <w:b/>
          <w:bCs/>
        </w:rPr>
        <w:t>Classical Phytosanitary Forecasting: Structure and Limitations</w:t>
      </w:r>
    </w:p>
    <w:p w14:paraId="2B60443E" w14:textId="33F1D1DF" w:rsidR="00DD0660" w:rsidRPr="00DD0660" w:rsidRDefault="00DD0660" w:rsidP="00DD0660">
      <w:pPr>
        <w:spacing w:line="360" w:lineRule="auto"/>
        <w:ind w:firstLine="567"/>
        <w:rPr>
          <w:szCs w:val="24"/>
          <w:lang w:eastAsia="ru-RU"/>
        </w:rPr>
      </w:pPr>
      <w:r w:rsidRPr="00DD0660">
        <w:rPr>
          <w:szCs w:val="24"/>
          <w:lang w:eastAsia="ru-RU"/>
        </w:rPr>
        <w:t xml:space="preserve">Traditional phytosanitary monitoring systems rely on standardized accounting methods, field surveys, and expert threshold assessments </w:t>
      </w:r>
      <w:r w:rsidR="00B705C2">
        <w:rPr>
          <w:szCs w:val="24"/>
          <w:lang w:eastAsia="ru-RU"/>
        </w:rPr>
        <w:t>(</w:t>
      </w:r>
      <w:r w:rsidR="00B705C2" w:rsidRPr="00B705C2">
        <w:rPr>
          <w:color w:val="auto"/>
          <w:szCs w:val="24"/>
        </w:rPr>
        <w:t>Gahramanov</w:t>
      </w:r>
      <w:r w:rsidR="00B705C2">
        <w:rPr>
          <w:color w:val="auto"/>
          <w:szCs w:val="24"/>
        </w:rPr>
        <w:t xml:space="preserve"> et al. </w:t>
      </w:r>
      <w:r w:rsidR="00B705C2" w:rsidRPr="00562BC7">
        <w:rPr>
          <w:color w:val="auto"/>
          <w:szCs w:val="24"/>
        </w:rPr>
        <w:t>2024</w:t>
      </w:r>
      <w:r w:rsidR="00562BC7" w:rsidRPr="00562BC7">
        <w:rPr>
          <w:color w:val="auto"/>
          <w:szCs w:val="24"/>
        </w:rPr>
        <w:t>; Sagitov</w:t>
      </w:r>
      <w:r w:rsidR="00562BC7">
        <w:rPr>
          <w:color w:val="auto"/>
          <w:szCs w:val="24"/>
        </w:rPr>
        <w:t xml:space="preserve"> et al. 2016</w:t>
      </w:r>
      <w:r w:rsidR="00B705C2">
        <w:rPr>
          <w:szCs w:val="24"/>
          <w:lang w:eastAsia="ru-RU"/>
        </w:rPr>
        <w:t>)</w:t>
      </w:r>
      <w:r w:rsidRPr="00DD0660">
        <w:rPr>
          <w:szCs w:val="24"/>
          <w:lang w:eastAsia="ru-RU"/>
        </w:rPr>
        <w:t>. Operational manuals emphasize descriptive extrapolation of previous-year densities and climatic analogues</w:t>
      </w:r>
      <w:r w:rsidR="00F00CA5">
        <w:rPr>
          <w:szCs w:val="24"/>
          <w:lang w:eastAsia="ru-RU"/>
        </w:rPr>
        <w:t xml:space="preserve"> (</w:t>
      </w:r>
      <w:r w:rsidR="00F00CA5" w:rsidRPr="00F00CA5">
        <w:rPr>
          <w:color w:val="auto"/>
          <w:szCs w:val="24"/>
        </w:rPr>
        <w:t>Dubrovin</w:t>
      </w:r>
      <w:r w:rsidR="00F00CA5">
        <w:rPr>
          <w:color w:val="auto"/>
          <w:szCs w:val="24"/>
        </w:rPr>
        <w:t xml:space="preserve"> et al. 2011</w:t>
      </w:r>
      <w:r w:rsidR="00F00CA5">
        <w:rPr>
          <w:szCs w:val="24"/>
          <w:lang w:eastAsia="ru-RU"/>
        </w:rPr>
        <w:t>)</w:t>
      </w:r>
      <w:r w:rsidRPr="00DD0660">
        <w:rPr>
          <w:szCs w:val="24"/>
          <w:lang w:eastAsia="ru-RU"/>
        </w:rPr>
        <w:t>.</w:t>
      </w:r>
    </w:p>
    <w:p w14:paraId="2726BD2A" w14:textId="386C7963" w:rsidR="00DD0660" w:rsidRPr="00DD0660" w:rsidRDefault="00DD0660" w:rsidP="00DD0660">
      <w:pPr>
        <w:spacing w:line="360" w:lineRule="auto"/>
        <w:ind w:firstLine="567"/>
        <w:rPr>
          <w:szCs w:val="24"/>
          <w:lang w:eastAsia="ru-RU"/>
        </w:rPr>
      </w:pPr>
      <w:r w:rsidRPr="00DD0660">
        <w:rPr>
          <w:szCs w:val="24"/>
          <w:lang w:eastAsia="ru-RU"/>
        </w:rPr>
        <w:t xml:space="preserve">However, statistical ecology has demonstrated that multicollinearity among environmental predictors biases parametric estimation </w:t>
      </w:r>
      <w:r w:rsidR="00046977">
        <w:rPr>
          <w:szCs w:val="24"/>
          <w:lang w:eastAsia="ru-RU"/>
        </w:rPr>
        <w:t>(</w:t>
      </w:r>
      <w:r w:rsidR="00046977" w:rsidRPr="00046977">
        <w:rPr>
          <w:color w:val="auto"/>
          <w:szCs w:val="24"/>
        </w:rPr>
        <w:t>Dormann</w:t>
      </w:r>
      <w:r w:rsidR="00046977">
        <w:rPr>
          <w:color w:val="auto"/>
        </w:rPr>
        <w:t xml:space="preserve"> et al. 2013</w:t>
      </w:r>
      <w:r w:rsidR="00E46630" w:rsidRPr="00E46630">
        <w:rPr>
          <w:color w:val="auto"/>
        </w:rPr>
        <w:t xml:space="preserve">; </w:t>
      </w:r>
      <w:r w:rsidR="00A65FF3" w:rsidRPr="001B4D79">
        <w:rPr>
          <w:color w:val="auto"/>
          <w:szCs w:val="24"/>
        </w:rPr>
        <w:t>Elith and Leathwick 2009</w:t>
      </w:r>
      <w:r w:rsidR="00A65FF3">
        <w:rPr>
          <w:color w:val="auto"/>
          <w:szCs w:val="24"/>
        </w:rPr>
        <w:t xml:space="preserve">; </w:t>
      </w:r>
      <w:r w:rsidR="00E46630" w:rsidRPr="00E46630">
        <w:rPr>
          <w:color w:val="auto"/>
          <w:szCs w:val="24"/>
        </w:rPr>
        <w:t>Olden et</w:t>
      </w:r>
      <w:r w:rsidR="00E46630">
        <w:rPr>
          <w:color w:val="auto"/>
          <w:szCs w:val="24"/>
        </w:rPr>
        <w:t xml:space="preserve"> al. 2008</w:t>
      </w:r>
      <w:r w:rsidR="00046977">
        <w:rPr>
          <w:szCs w:val="24"/>
          <w:lang w:eastAsia="ru-RU"/>
        </w:rPr>
        <w:t>)</w:t>
      </w:r>
      <w:r w:rsidRPr="00DD0660">
        <w:rPr>
          <w:szCs w:val="24"/>
          <w:lang w:eastAsia="ru-RU"/>
        </w:rPr>
        <w:t xml:space="preserve">. Remote sensing integration into vegetation science further revealed that ecological drivers operate across multiple spatial scales </w:t>
      </w:r>
      <w:r w:rsidR="00CB6038">
        <w:rPr>
          <w:szCs w:val="24"/>
          <w:lang w:eastAsia="ru-RU"/>
        </w:rPr>
        <w:t>(</w:t>
      </w:r>
      <w:r w:rsidR="00CB6038" w:rsidRPr="00CB6038">
        <w:rPr>
          <w:color w:val="auto"/>
          <w:szCs w:val="24"/>
        </w:rPr>
        <w:t>Xie</w:t>
      </w:r>
      <w:r w:rsidR="00CB6038">
        <w:rPr>
          <w:color w:val="auto"/>
          <w:szCs w:val="24"/>
        </w:rPr>
        <w:t xml:space="preserve"> et al. 2008</w:t>
      </w:r>
      <w:r w:rsidR="00CB6038">
        <w:rPr>
          <w:szCs w:val="24"/>
          <w:lang w:eastAsia="ru-RU"/>
        </w:rPr>
        <w:t>)</w:t>
      </w:r>
      <w:r w:rsidRPr="00DD0660">
        <w:rPr>
          <w:szCs w:val="24"/>
          <w:lang w:eastAsia="ru-RU"/>
        </w:rPr>
        <w:t>.</w:t>
      </w:r>
    </w:p>
    <w:p w14:paraId="1433C868" w14:textId="38F45D18" w:rsidR="00DD0660" w:rsidRPr="00DD0660" w:rsidRDefault="00DD0660" w:rsidP="00DD0660">
      <w:pPr>
        <w:spacing w:line="360" w:lineRule="auto"/>
        <w:ind w:firstLine="567"/>
        <w:rPr>
          <w:szCs w:val="24"/>
          <w:lang w:eastAsia="ru-RU"/>
        </w:rPr>
      </w:pPr>
      <w:r w:rsidRPr="00DD0660">
        <w:rPr>
          <w:szCs w:val="24"/>
          <w:lang w:eastAsia="ru-RU"/>
        </w:rPr>
        <w:t xml:space="preserve">Insect population responses are inherently nonlinear and interaction-driven. Ensemble tree-based algorithms such as Random Forest mitigate multicollinearity and overfitting issues </w:t>
      </w:r>
      <w:r w:rsidR="000B6631" w:rsidRPr="000B6631">
        <w:rPr>
          <w:szCs w:val="24"/>
          <w:lang w:eastAsia="ru-RU"/>
        </w:rPr>
        <w:t>(</w:t>
      </w:r>
      <w:r w:rsidR="000B6631" w:rsidRPr="000B6631">
        <w:rPr>
          <w:color w:val="auto"/>
          <w:szCs w:val="24"/>
        </w:rPr>
        <w:t>Breiman 2001</w:t>
      </w:r>
      <w:r w:rsidR="000B6631">
        <w:rPr>
          <w:szCs w:val="24"/>
          <w:lang w:eastAsia="ru-RU"/>
        </w:rPr>
        <w:t>)</w:t>
      </w:r>
      <w:r w:rsidRPr="00DD0660">
        <w:rPr>
          <w:szCs w:val="24"/>
          <w:lang w:eastAsia="ru-RU"/>
        </w:rPr>
        <w:t xml:space="preserve">, while boosting methods iteratively optimize prediction error </w:t>
      </w:r>
      <w:r w:rsidR="00FD033C">
        <w:rPr>
          <w:szCs w:val="24"/>
          <w:lang w:eastAsia="ru-RU"/>
        </w:rPr>
        <w:t>(</w:t>
      </w:r>
      <w:r w:rsidR="00FD033C" w:rsidRPr="00FD033C">
        <w:rPr>
          <w:color w:val="auto"/>
        </w:rPr>
        <w:t>Friedman 2001</w:t>
      </w:r>
      <w:r w:rsidR="00FD033C">
        <w:rPr>
          <w:szCs w:val="24"/>
          <w:lang w:eastAsia="ru-RU"/>
        </w:rPr>
        <w:t>)</w:t>
      </w:r>
      <w:r w:rsidRPr="00DD0660">
        <w:rPr>
          <w:szCs w:val="24"/>
          <w:lang w:eastAsia="ru-RU"/>
        </w:rPr>
        <w:t xml:space="preserve">. Statistical learning theory formalized the advantages of nonparametric modeling under high-dimensional predictor spaces </w:t>
      </w:r>
      <w:r w:rsidR="002273A1">
        <w:rPr>
          <w:szCs w:val="24"/>
          <w:lang w:eastAsia="ru-RU"/>
        </w:rPr>
        <w:t>(</w:t>
      </w:r>
      <w:r w:rsidR="002273A1" w:rsidRPr="002273A1">
        <w:rPr>
          <w:color w:val="auto"/>
          <w:szCs w:val="24"/>
        </w:rPr>
        <w:t>Hastie</w:t>
      </w:r>
      <w:r w:rsidR="002273A1">
        <w:rPr>
          <w:color w:val="auto"/>
          <w:szCs w:val="24"/>
        </w:rPr>
        <w:t xml:space="preserve"> et al. 2009</w:t>
      </w:r>
      <w:r w:rsidR="002273A1">
        <w:rPr>
          <w:szCs w:val="24"/>
          <w:lang w:eastAsia="ru-RU"/>
        </w:rPr>
        <w:t>)</w:t>
      </w:r>
      <w:r w:rsidRPr="00DD0660">
        <w:rPr>
          <w:szCs w:val="24"/>
          <w:lang w:eastAsia="ru-RU"/>
        </w:rPr>
        <w:t>.</w:t>
      </w:r>
    </w:p>
    <w:p w14:paraId="219BF096" w14:textId="27149D06" w:rsidR="00DD0660" w:rsidRPr="00DD0660" w:rsidRDefault="00DD0660" w:rsidP="00DD0660">
      <w:pPr>
        <w:spacing w:line="360" w:lineRule="auto"/>
        <w:ind w:firstLine="567"/>
        <w:rPr>
          <w:szCs w:val="24"/>
          <w:lang w:eastAsia="ru-RU"/>
        </w:rPr>
      </w:pPr>
      <w:r w:rsidRPr="00DD0660">
        <w:rPr>
          <w:szCs w:val="24"/>
          <w:lang w:eastAsia="ru-RU"/>
        </w:rPr>
        <w:t xml:space="preserve">Deep neural architectures expanded predictive capability in nonlinear systems </w:t>
      </w:r>
      <w:r w:rsidR="00EE44B6">
        <w:rPr>
          <w:szCs w:val="24"/>
          <w:lang w:eastAsia="ru-RU"/>
        </w:rPr>
        <w:t>(</w:t>
      </w:r>
      <w:r w:rsidR="00EE44B6" w:rsidRPr="00EE44B6">
        <w:rPr>
          <w:color w:val="auto"/>
          <w:szCs w:val="24"/>
        </w:rPr>
        <w:t>Goodfellow</w:t>
      </w:r>
      <w:r w:rsidR="00EE44B6">
        <w:rPr>
          <w:color w:val="auto"/>
          <w:szCs w:val="24"/>
        </w:rPr>
        <w:t xml:space="preserve"> et al. 2016</w:t>
      </w:r>
      <w:r w:rsidR="00EE44B6">
        <w:rPr>
          <w:szCs w:val="24"/>
          <w:lang w:eastAsia="ru-RU"/>
        </w:rPr>
        <w:t>)</w:t>
      </w:r>
      <w:r w:rsidRPr="00DD0660">
        <w:rPr>
          <w:szCs w:val="24"/>
          <w:lang w:eastAsia="ru-RU"/>
        </w:rPr>
        <w:t xml:space="preserve">. Ecological classification tasks confirmed improved robustness of Random Forest in species–environment relationships </w:t>
      </w:r>
      <w:r w:rsidR="00480B1B">
        <w:rPr>
          <w:szCs w:val="24"/>
          <w:lang w:eastAsia="ru-RU"/>
        </w:rPr>
        <w:t>(</w:t>
      </w:r>
      <w:r w:rsidR="00480B1B" w:rsidRPr="00480B1B">
        <w:rPr>
          <w:color w:val="auto"/>
          <w:szCs w:val="24"/>
        </w:rPr>
        <w:t>Cutler</w:t>
      </w:r>
      <w:r w:rsidR="00480B1B">
        <w:rPr>
          <w:color w:val="auto"/>
          <w:szCs w:val="24"/>
        </w:rPr>
        <w:t xml:space="preserve"> et al. 2007</w:t>
      </w:r>
      <w:r w:rsidR="00480B1B">
        <w:rPr>
          <w:szCs w:val="24"/>
          <w:lang w:eastAsia="ru-RU"/>
        </w:rPr>
        <w:t>)</w:t>
      </w:r>
      <w:r w:rsidRPr="00DD0660">
        <w:rPr>
          <w:szCs w:val="24"/>
          <w:lang w:eastAsia="ru-RU"/>
        </w:rPr>
        <w:t xml:space="preserve">. In agricultural pest modeling, machine learning significantly reduced forecasting error compared to classical biometeorological models </w:t>
      </w:r>
      <w:r w:rsidR="005A3CF0">
        <w:rPr>
          <w:szCs w:val="24"/>
          <w:lang w:eastAsia="ru-RU"/>
        </w:rPr>
        <w:t>(</w:t>
      </w:r>
      <w:r w:rsidR="005A3CF0" w:rsidRPr="005A3CF0">
        <w:rPr>
          <w:color w:val="auto"/>
          <w:szCs w:val="24"/>
        </w:rPr>
        <w:t>de Oliveira Aparecido et al.</w:t>
      </w:r>
      <w:r w:rsidR="005A3CF0">
        <w:rPr>
          <w:color w:val="auto"/>
          <w:szCs w:val="24"/>
        </w:rPr>
        <w:t xml:space="preserve"> 2020</w:t>
      </w:r>
      <w:r w:rsidR="005153D0">
        <w:rPr>
          <w:color w:val="auto"/>
          <w:szCs w:val="24"/>
        </w:rPr>
        <w:t xml:space="preserve">; </w:t>
      </w:r>
      <w:r w:rsidR="005153D0" w:rsidRPr="005153D0">
        <w:rPr>
          <w:color w:val="auto"/>
          <w:szCs w:val="24"/>
        </w:rPr>
        <w:t>Singh</w:t>
      </w:r>
      <w:r w:rsidR="005153D0">
        <w:rPr>
          <w:color w:val="auto"/>
          <w:szCs w:val="24"/>
        </w:rPr>
        <w:t xml:space="preserve"> et al. 2024</w:t>
      </w:r>
      <w:r w:rsidR="005A3CF0">
        <w:rPr>
          <w:szCs w:val="24"/>
          <w:lang w:eastAsia="ru-RU"/>
        </w:rPr>
        <w:t>)</w:t>
      </w:r>
      <w:r w:rsidRPr="00DD0660">
        <w:rPr>
          <w:szCs w:val="24"/>
          <w:lang w:eastAsia="ru-RU"/>
        </w:rPr>
        <w:t>.</w:t>
      </w:r>
    </w:p>
    <w:p w14:paraId="31DF1F80" w14:textId="7A7D6F58" w:rsidR="00F4551E" w:rsidRDefault="00DD0660" w:rsidP="00F4551E">
      <w:pPr>
        <w:spacing w:line="360" w:lineRule="auto"/>
        <w:ind w:firstLine="567"/>
        <w:rPr>
          <w:szCs w:val="24"/>
          <w:lang w:eastAsia="ru-RU"/>
        </w:rPr>
      </w:pPr>
      <w:r w:rsidRPr="00DD0660">
        <w:rPr>
          <w:szCs w:val="24"/>
          <w:lang w:eastAsia="ru-RU"/>
        </w:rPr>
        <w:t xml:space="preserve">Temporal dependencies further necessitate recurrent neural architectures. LSTM networks effectively capture lagged climatic effects </w:t>
      </w:r>
      <w:r w:rsidR="00046977">
        <w:rPr>
          <w:szCs w:val="24"/>
          <w:lang w:eastAsia="ru-RU"/>
        </w:rPr>
        <w:t>(</w:t>
      </w:r>
      <w:r w:rsidR="00046977" w:rsidRPr="00046977">
        <w:rPr>
          <w:color w:val="auto"/>
          <w:szCs w:val="24"/>
        </w:rPr>
        <w:t xml:space="preserve">Hochreiter </w:t>
      </w:r>
      <w:r w:rsidR="00046977">
        <w:rPr>
          <w:color w:val="auto"/>
          <w:szCs w:val="24"/>
        </w:rPr>
        <w:t>and</w:t>
      </w:r>
      <w:r w:rsidR="00046977" w:rsidRPr="00046977">
        <w:rPr>
          <w:color w:val="auto"/>
          <w:szCs w:val="24"/>
        </w:rPr>
        <w:t xml:space="preserve"> Schmidhuber 1997</w:t>
      </w:r>
      <w:r w:rsidR="00FD033C">
        <w:rPr>
          <w:color w:val="auto"/>
          <w:szCs w:val="24"/>
        </w:rPr>
        <w:t xml:space="preserve">; </w:t>
      </w:r>
      <w:r w:rsidR="00FD033C" w:rsidRPr="00FD033C">
        <w:rPr>
          <w:color w:val="auto"/>
          <w:szCs w:val="24"/>
        </w:rPr>
        <w:t>Xiao</w:t>
      </w:r>
      <w:r w:rsidR="00FD033C">
        <w:rPr>
          <w:color w:val="auto"/>
          <w:szCs w:val="24"/>
        </w:rPr>
        <w:t xml:space="preserve"> </w:t>
      </w:r>
      <w:r w:rsidR="00FD033C">
        <w:rPr>
          <w:color w:val="auto"/>
          <w:szCs w:val="24"/>
        </w:rPr>
        <w:lastRenderedPageBreak/>
        <w:t>et al. 2019</w:t>
      </w:r>
      <w:r w:rsidR="00046977">
        <w:rPr>
          <w:szCs w:val="24"/>
          <w:lang w:eastAsia="ru-RU"/>
        </w:rPr>
        <w:t>)</w:t>
      </w:r>
      <w:r w:rsidRPr="00DD0660">
        <w:rPr>
          <w:szCs w:val="24"/>
          <w:lang w:eastAsia="ru-RU"/>
        </w:rPr>
        <w:t xml:space="preserve">. Advances in deep learning demonstrate transformative capacity in complex environmental prediction </w:t>
      </w:r>
      <w:r w:rsidR="004617CA">
        <w:rPr>
          <w:szCs w:val="24"/>
          <w:lang w:eastAsia="ru-RU"/>
        </w:rPr>
        <w:t>(</w:t>
      </w:r>
      <w:r w:rsidR="005153D0" w:rsidRPr="005153D0">
        <w:rPr>
          <w:color w:val="auto"/>
          <w:szCs w:val="24"/>
        </w:rPr>
        <w:t>LeCun</w:t>
      </w:r>
      <w:r w:rsidR="005153D0" w:rsidRPr="004617CA">
        <w:rPr>
          <w:color w:val="auto"/>
          <w:szCs w:val="24"/>
        </w:rPr>
        <w:t xml:space="preserve"> </w:t>
      </w:r>
      <w:r w:rsidR="005153D0">
        <w:rPr>
          <w:color w:val="auto"/>
          <w:szCs w:val="24"/>
        </w:rPr>
        <w:t xml:space="preserve">et al. 2015; </w:t>
      </w:r>
      <w:r w:rsidR="004617CA" w:rsidRPr="004617CA">
        <w:rPr>
          <w:color w:val="auto"/>
          <w:szCs w:val="24"/>
        </w:rPr>
        <w:t>Reichstein</w:t>
      </w:r>
      <w:r w:rsidR="004617CA">
        <w:rPr>
          <w:color w:val="auto"/>
          <w:szCs w:val="24"/>
        </w:rPr>
        <w:t xml:space="preserve"> et al. 2019</w:t>
      </w:r>
      <w:r w:rsidR="004617CA">
        <w:rPr>
          <w:szCs w:val="24"/>
          <w:lang w:eastAsia="ru-RU"/>
        </w:rPr>
        <w:t>)</w:t>
      </w:r>
      <w:r w:rsidR="00F4551E">
        <w:rPr>
          <w:szCs w:val="24"/>
          <w:lang w:eastAsia="ru-RU"/>
        </w:rPr>
        <w:t>.</w:t>
      </w:r>
    </w:p>
    <w:p w14:paraId="5EA42741" w14:textId="77777777" w:rsidR="00F4551E" w:rsidRDefault="00F4551E" w:rsidP="00F4551E">
      <w:pPr>
        <w:spacing w:line="360" w:lineRule="auto"/>
        <w:ind w:firstLine="567"/>
        <w:rPr>
          <w:szCs w:val="24"/>
          <w:lang w:eastAsia="ru-RU"/>
        </w:rPr>
      </w:pPr>
    </w:p>
    <w:p w14:paraId="4426FAAE" w14:textId="4844EEC8" w:rsidR="00DD0660" w:rsidRPr="00F4551E" w:rsidRDefault="00DD0660" w:rsidP="00F4551E">
      <w:pPr>
        <w:pStyle w:val="afd"/>
        <w:numPr>
          <w:ilvl w:val="1"/>
          <w:numId w:val="30"/>
        </w:numPr>
        <w:tabs>
          <w:tab w:val="left" w:pos="567"/>
        </w:tabs>
        <w:spacing w:line="360" w:lineRule="auto"/>
        <w:ind w:left="0" w:firstLine="0"/>
        <w:contextualSpacing w:val="0"/>
        <w:rPr>
          <w:color w:val="000000"/>
          <w:lang w:eastAsia="ru-RU"/>
        </w:rPr>
      </w:pPr>
      <w:r w:rsidRPr="00F4551E">
        <w:rPr>
          <w:b/>
        </w:rPr>
        <w:t>Machine Learning and Spatiotemporal Modeling in Pest Forecasting</w:t>
      </w:r>
    </w:p>
    <w:p w14:paraId="266BB011" w14:textId="0F247C15" w:rsidR="00DD0660" w:rsidRPr="00DD0660" w:rsidRDefault="00DD0660" w:rsidP="00DD0660">
      <w:pPr>
        <w:spacing w:line="360" w:lineRule="auto"/>
        <w:ind w:firstLine="567"/>
        <w:rPr>
          <w:szCs w:val="24"/>
          <w:lang w:eastAsia="ru-RU"/>
        </w:rPr>
      </w:pPr>
      <w:r w:rsidRPr="00DD0660">
        <w:rPr>
          <w:szCs w:val="24"/>
          <w:lang w:eastAsia="ru-RU"/>
        </w:rPr>
        <w:t xml:space="preserve">The rapid development of machine learning (ML) methods has fundamentally transformed predictive ecological modeling. Breiman </w:t>
      </w:r>
      <w:r w:rsidR="000B6631">
        <w:rPr>
          <w:szCs w:val="24"/>
          <w:lang w:eastAsia="ru-RU"/>
        </w:rPr>
        <w:t>(2001)</w:t>
      </w:r>
      <w:r w:rsidRPr="00DD0660">
        <w:rPr>
          <w:szCs w:val="24"/>
          <w:lang w:eastAsia="ru-RU"/>
        </w:rPr>
        <w:t xml:space="preserve"> introduced Random Forest (RF) as a nonparametric ensemble learning algorithm capable of handling nonlinear relationships and high-dimensional predictor spaces. Its robustness to multicollinearity and overfitting made it particularly suitable for ecological applications. Shortly thereafter, Friedman </w:t>
      </w:r>
      <w:r w:rsidR="00FD033C">
        <w:rPr>
          <w:szCs w:val="24"/>
          <w:lang w:eastAsia="ru-RU"/>
        </w:rPr>
        <w:t>(2001)</w:t>
      </w:r>
      <w:r w:rsidRPr="00DD0660">
        <w:rPr>
          <w:szCs w:val="24"/>
          <w:lang w:eastAsia="ru-RU"/>
        </w:rPr>
        <w:t xml:space="preserve"> formalized Gradient Boosting Machines (GBM), demonstrating that iterative error minimization significantly improves regression and classification accuracy in complex datasets.</w:t>
      </w:r>
    </w:p>
    <w:p w14:paraId="0C4E4143" w14:textId="5A7F02B7" w:rsidR="00DD0660" w:rsidRPr="00DD0660" w:rsidRDefault="00DD0660" w:rsidP="00DD0660">
      <w:pPr>
        <w:spacing w:line="360" w:lineRule="auto"/>
        <w:ind w:firstLine="567"/>
        <w:rPr>
          <w:szCs w:val="24"/>
          <w:lang w:eastAsia="ru-RU"/>
        </w:rPr>
      </w:pPr>
      <w:r w:rsidRPr="00DD0660">
        <w:rPr>
          <w:szCs w:val="24"/>
          <w:lang w:eastAsia="ru-RU"/>
        </w:rPr>
        <w:t xml:space="preserve">The theoretical foundations of statistical learning were consolidated by Hastie, Tibshirani, and Friedman </w:t>
      </w:r>
      <w:r w:rsidR="002273A1">
        <w:rPr>
          <w:szCs w:val="24"/>
          <w:lang w:eastAsia="ru-RU"/>
        </w:rPr>
        <w:t>(2009)</w:t>
      </w:r>
      <w:r w:rsidRPr="00DD0660">
        <w:rPr>
          <w:szCs w:val="24"/>
          <w:lang w:eastAsia="ru-RU"/>
        </w:rPr>
        <w:t xml:space="preserve">, who showed that flexible, nonparametric models outperform traditional parametric regression when predictor–response relationships are nonlinear and interaction-driven. The subsequent emergence of deep learning architectures expanded this capacity. Goodfellow et al. </w:t>
      </w:r>
      <w:r w:rsidR="00EE44B6">
        <w:rPr>
          <w:szCs w:val="24"/>
          <w:lang w:eastAsia="ru-RU"/>
        </w:rPr>
        <w:t>(2016)</w:t>
      </w:r>
      <w:r w:rsidRPr="00DD0660">
        <w:rPr>
          <w:szCs w:val="24"/>
          <w:lang w:eastAsia="ru-RU"/>
        </w:rPr>
        <w:t xml:space="preserve"> demonstrated how multilayer neural networks approximate complex functional mappings, providing a computational basis for modeling ecological systems characterized by threshold responses and feedback loops.</w:t>
      </w:r>
    </w:p>
    <w:p w14:paraId="312A6CF3" w14:textId="37FE7963" w:rsidR="00DD0660" w:rsidRPr="00DD0660" w:rsidRDefault="00DD0660" w:rsidP="00DD0660">
      <w:pPr>
        <w:spacing w:line="360" w:lineRule="auto"/>
        <w:ind w:firstLine="567"/>
        <w:rPr>
          <w:szCs w:val="24"/>
          <w:lang w:eastAsia="ru-RU"/>
        </w:rPr>
      </w:pPr>
      <w:r w:rsidRPr="00DD0660">
        <w:rPr>
          <w:szCs w:val="24"/>
          <w:lang w:eastAsia="ru-RU"/>
        </w:rPr>
        <w:t xml:space="preserve">Cutler et al. </w:t>
      </w:r>
      <w:r w:rsidR="00480B1B">
        <w:rPr>
          <w:szCs w:val="24"/>
          <w:lang w:eastAsia="ru-RU"/>
        </w:rPr>
        <w:t>(2007)</w:t>
      </w:r>
      <w:r w:rsidRPr="00DD0660">
        <w:rPr>
          <w:szCs w:val="24"/>
          <w:lang w:eastAsia="ru-RU"/>
        </w:rPr>
        <w:t xml:space="preserve"> were among the first to systematically apply Random Forest to ecological classification problems, showing improved performance in species distribution tasks compared to logistic regression. In agricultural systems, De Oliveira Aparecido et al. </w:t>
      </w:r>
      <w:r w:rsidR="005A3CF0">
        <w:rPr>
          <w:szCs w:val="24"/>
          <w:lang w:eastAsia="ru-RU"/>
        </w:rPr>
        <w:t>(2020)</w:t>
      </w:r>
      <w:r w:rsidRPr="00DD0660">
        <w:rPr>
          <w:szCs w:val="24"/>
          <w:lang w:eastAsia="ru-RU"/>
        </w:rPr>
        <w:t xml:space="preserve"> applied machine learning algorithms to forecast pest and disease incidence in Coffea arabica, reporting substantial improvements in predictive accuracy and reduction of false-positive outbreak signals relative to biometeorological regression models. </w:t>
      </w:r>
    </w:p>
    <w:p w14:paraId="43A2764D" w14:textId="553A6DA7" w:rsidR="00DD0660" w:rsidRPr="00DD0660" w:rsidRDefault="00DD0660" w:rsidP="00DD0660">
      <w:pPr>
        <w:spacing w:line="360" w:lineRule="auto"/>
        <w:ind w:firstLine="567"/>
        <w:rPr>
          <w:szCs w:val="24"/>
          <w:lang w:eastAsia="ru-RU"/>
        </w:rPr>
      </w:pPr>
      <w:r w:rsidRPr="00DD0660">
        <w:rPr>
          <w:szCs w:val="24"/>
          <w:lang w:eastAsia="ru-RU"/>
        </w:rPr>
        <w:t xml:space="preserve">Temporal dynamics represent a critical component of insect population modeling. Xiao et al. </w:t>
      </w:r>
      <w:r w:rsidR="00FD033C">
        <w:rPr>
          <w:szCs w:val="24"/>
          <w:lang w:eastAsia="ru-RU"/>
        </w:rPr>
        <w:t>(2019)</w:t>
      </w:r>
      <w:r w:rsidRPr="00DD0660">
        <w:rPr>
          <w:szCs w:val="24"/>
          <w:lang w:eastAsia="ru-RU"/>
        </w:rPr>
        <w:t xml:space="preserve"> applied Long Short-Term Memory (LSTM) networks to forecast cotton pest outbreaks based on meteorological time series. Their study confirmed that recurrent neural networks significantly outperform static models by capturing lagged climatic dependencies. The theoretical foundation for LSTM networks was established by Hochreiter and Schmidhuber </w:t>
      </w:r>
      <w:r w:rsidR="00046977">
        <w:rPr>
          <w:szCs w:val="24"/>
          <w:lang w:eastAsia="ru-RU"/>
        </w:rPr>
        <w:t>(1997)</w:t>
      </w:r>
      <w:r w:rsidRPr="00DD0660">
        <w:rPr>
          <w:szCs w:val="24"/>
          <w:lang w:eastAsia="ru-RU"/>
        </w:rPr>
        <w:t>, who addressed the vanishing gradient problem in recurrent architectures, enabling long-range temporal memory representation.</w:t>
      </w:r>
    </w:p>
    <w:p w14:paraId="4AA14183" w14:textId="45DF7599" w:rsidR="00DD0660" w:rsidRPr="00DD0660" w:rsidRDefault="00DD0660" w:rsidP="00DD0660">
      <w:pPr>
        <w:spacing w:line="360" w:lineRule="auto"/>
        <w:ind w:firstLine="567"/>
        <w:rPr>
          <w:szCs w:val="24"/>
          <w:lang w:eastAsia="ru-RU"/>
        </w:rPr>
      </w:pPr>
      <w:r w:rsidRPr="00B6672E">
        <w:rPr>
          <w:szCs w:val="24"/>
          <w:lang w:eastAsia="ru-RU"/>
        </w:rPr>
        <w:t xml:space="preserve">LeCun et al. </w:t>
      </w:r>
      <w:r w:rsidR="005153D0" w:rsidRPr="00B6672E">
        <w:rPr>
          <w:szCs w:val="24"/>
          <w:lang w:eastAsia="ru-RU"/>
        </w:rPr>
        <w:t>(2015)</w:t>
      </w:r>
      <w:r w:rsidRPr="00B6672E">
        <w:rPr>
          <w:szCs w:val="24"/>
          <w:lang w:eastAsia="ru-RU"/>
        </w:rPr>
        <w:t xml:space="preserve"> and Reichstein et al. </w:t>
      </w:r>
      <w:r w:rsidR="004617CA" w:rsidRPr="004617CA">
        <w:rPr>
          <w:szCs w:val="24"/>
          <w:lang w:eastAsia="ru-RU"/>
        </w:rPr>
        <w:t>(</w:t>
      </w:r>
      <w:r w:rsidR="004617CA">
        <w:rPr>
          <w:szCs w:val="24"/>
          <w:lang w:eastAsia="ru-RU"/>
        </w:rPr>
        <w:t>2019</w:t>
      </w:r>
      <w:r w:rsidR="004617CA" w:rsidRPr="004617CA">
        <w:rPr>
          <w:szCs w:val="24"/>
          <w:lang w:eastAsia="ru-RU"/>
        </w:rPr>
        <w:t>)</w:t>
      </w:r>
      <w:r w:rsidRPr="00DD0660">
        <w:rPr>
          <w:szCs w:val="24"/>
          <w:lang w:eastAsia="ru-RU"/>
        </w:rPr>
        <w:t xml:space="preserve"> further demonstrated that deep learning frameworks provide superior pattern recognition capacity in environmental and Earth system </w:t>
      </w:r>
      <w:r w:rsidRPr="00DD0660">
        <w:rPr>
          <w:szCs w:val="24"/>
          <w:lang w:eastAsia="ru-RU"/>
        </w:rPr>
        <w:lastRenderedPageBreak/>
        <w:t xml:space="preserve">sciences, particularly where nonlinearities and high-frequency variability dominate system behavior. Reichstein et al. </w:t>
      </w:r>
      <w:r w:rsidR="004617CA">
        <w:rPr>
          <w:szCs w:val="24"/>
          <w:lang w:eastAsia="ru-RU"/>
        </w:rPr>
        <w:t>(2019)</w:t>
      </w:r>
      <w:r w:rsidRPr="00DD0660">
        <w:rPr>
          <w:szCs w:val="24"/>
          <w:lang w:eastAsia="ru-RU"/>
        </w:rPr>
        <w:t xml:space="preserve"> emphasized that deep neural networks enable extraction of latent ecological relationships from large, heterogeneous datasets, a key requirement in multi-source phytosanitary forecasting.</w:t>
      </w:r>
    </w:p>
    <w:p w14:paraId="275B1AC1" w14:textId="548084B5" w:rsidR="00DD0660" w:rsidRPr="00DD0660" w:rsidRDefault="00DD0660" w:rsidP="00DD0660">
      <w:pPr>
        <w:spacing w:line="360" w:lineRule="auto"/>
        <w:ind w:firstLine="567"/>
        <w:rPr>
          <w:szCs w:val="24"/>
          <w:lang w:eastAsia="ru-RU"/>
        </w:rPr>
      </w:pPr>
      <w:r w:rsidRPr="00DD0660">
        <w:rPr>
          <w:szCs w:val="24"/>
          <w:lang w:eastAsia="ru-RU"/>
        </w:rPr>
        <w:t xml:space="preserve">In the specific context of locust ecology, Sun et al. </w:t>
      </w:r>
      <w:r w:rsidR="00BC3539">
        <w:rPr>
          <w:szCs w:val="24"/>
          <w:lang w:eastAsia="ru-RU"/>
        </w:rPr>
        <w:t>(2022)</w:t>
      </w:r>
      <w:r w:rsidRPr="00DD0660">
        <w:rPr>
          <w:szCs w:val="24"/>
          <w:lang w:eastAsia="ru-RU"/>
        </w:rPr>
        <w:t xml:space="preserve"> developed a multivariate time-lag sliding window ML framework for forecasting desert locust presence. By integrating NDVI, soil moisture, precipitation, and temperature variables with temporal lags, they demonstrated marked improvements in predictive stability. Gómez et al. </w:t>
      </w:r>
      <w:r w:rsidR="00FC603D">
        <w:rPr>
          <w:szCs w:val="24"/>
          <w:lang w:eastAsia="ru-RU"/>
        </w:rPr>
        <w:t>(2018)</w:t>
      </w:r>
      <w:r w:rsidRPr="00DD0660">
        <w:rPr>
          <w:szCs w:val="24"/>
          <w:lang w:eastAsia="ru-RU"/>
        </w:rPr>
        <w:t xml:space="preserve"> applied machine learning to ESA CCI soil moisture data for identifying desert locust breeding areas, revealing that soil moisture anomalies serve as leading indicators of reproductive site formation.</w:t>
      </w:r>
    </w:p>
    <w:p w14:paraId="6D1E219F" w14:textId="2F4FBB4E" w:rsidR="00DD0660" w:rsidRPr="00DD0660" w:rsidRDefault="00DD0660" w:rsidP="00DD0660">
      <w:pPr>
        <w:spacing w:line="360" w:lineRule="auto"/>
        <w:ind w:firstLine="567"/>
        <w:rPr>
          <w:szCs w:val="24"/>
          <w:lang w:eastAsia="ru-RU"/>
        </w:rPr>
      </w:pPr>
      <w:r w:rsidRPr="00DD0660">
        <w:rPr>
          <w:szCs w:val="24"/>
          <w:lang w:eastAsia="ru-RU"/>
        </w:rPr>
        <w:t xml:space="preserve">Lawton et al. </w:t>
      </w:r>
      <w:r w:rsidR="00046977">
        <w:rPr>
          <w:szCs w:val="24"/>
          <w:lang w:eastAsia="ru-RU"/>
        </w:rPr>
        <w:t>(2022)</w:t>
      </w:r>
      <w:r w:rsidRPr="00DD0660">
        <w:rPr>
          <w:szCs w:val="24"/>
          <w:lang w:eastAsia="ru-RU"/>
        </w:rPr>
        <w:t xml:space="preserve"> advanced locust ecological modeling by incorporating spatiotemporal hierarchy into predictive frameworks. Their findings showed that accounting for nested spatial structure improves model generalization and reduces prediction bias. This aligns with broader geospatial methodological advances outlined by </w:t>
      </w:r>
      <w:r w:rsidR="00CF3B8A" w:rsidRPr="00CF3B8A">
        <w:rPr>
          <w:color w:val="auto"/>
          <w:szCs w:val="24"/>
        </w:rPr>
        <w:t>Goodchild</w:t>
      </w:r>
      <w:r w:rsidRPr="00DD0660">
        <w:rPr>
          <w:szCs w:val="24"/>
          <w:lang w:eastAsia="ru-RU"/>
        </w:rPr>
        <w:t xml:space="preserve"> </w:t>
      </w:r>
      <w:r w:rsidR="00CF3B8A">
        <w:rPr>
          <w:szCs w:val="24"/>
          <w:lang w:eastAsia="ru-RU"/>
        </w:rPr>
        <w:t>(</w:t>
      </w:r>
      <w:r w:rsidR="00CF3B8A" w:rsidRPr="00CF3B8A">
        <w:rPr>
          <w:color w:val="auto"/>
          <w:szCs w:val="24"/>
        </w:rPr>
        <w:t>2009</w:t>
      </w:r>
      <w:r w:rsidR="00CF3B8A">
        <w:rPr>
          <w:szCs w:val="24"/>
          <w:lang w:eastAsia="ru-RU"/>
        </w:rPr>
        <w:t>)</w:t>
      </w:r>
      <w:r w:rsidRPr="00DD0660">
        <w:rPr>
          <w:szCs w:val="24"/>
          <w:lang w:eastAsia="ru-RU"/>
        </w:rPr>
        <w:t>, who formalized spatial data structures and geostatistical modeling within GIS science.</w:t>
      </w:r>
    </w:p>
    <w:p w14:paraId="37FCC3DA" w14:textId="1C0E9B5B" w:rsidR="00DD0660" w:rsidRPr="00DD0660" w:rsidRDefault="00DD0660" w:rsidP="00DD0660">
      <w:pPr>
        <w:spacing w:line="360" w:lineRule="auto"/>
        <w:ind w:firstLine="567"/>
        <w:rPr>
          <w:szCs w:val="24"/>
          <w:lang w:eastAsia="ru-RU"/>
        </w:rPr>
      </w:pPr>
      <w:r w:rsidRPr="00DD0660">
        <w:rPr>
          <w:szCs w:val="24"/>
          <w:lang w:eastAsia="ru-RU"/>
        </w:rPr>
        <w:t xml:space="preserve">Accuracy assessment remains central to ML–GIS integration. Congalton and Green </w:t>
      </w:r>
      <w:r w:rsidR="00B6672E">
        <w:rPr>
          <w:szCs w:val="24"/>
          <w:lang w:eastAsia="ru-RU"/>
        </w:rPr>
        <w:t>(2019)</w:t>
      </w:r>
      <w:r w:rsidRPr="00DD0660">
        <w:rPr>
          <w:szCs w:val="24"/>
          <w:lang w:eastAsia="ru-RU"/>
        </w:rPr>
        <w:t xml:space="preserve"> established rigorous protocols for evaluating classification accuracy in remotely sensed data, emphasizing confusion matrices, kappa statistics, and spatial validation procedures. These standards are particularly relevant when forecasting models inform policy-level phytosanitary decisions.</w:t>
      </w:r>
    </w:p>
    <w:p w14:paraId="76F25C08" w14:textId="188B6DBF" w:rsidR="00DD0660" w:rsidRPr="00DD0660" w:rsidRDefault="00DD0660" w:rsidP="00DD0660">
      <w:pPr>
        <w:spacing w:line="360" w:lineRule="auto"/>
        <w:ind w:firstLine="567"/>
        <w:rPr>
          <w:szCs w:val="24"/>
          <w:lang w:eastAsia="ru-RU"/>
        </w:rPr>
      </w:pPr>
      <w:r w:rsidRPr="00DD0660">
        <w:rPr>
          <w:szCs w:val="24"/>
          <w:lang w:eastAsia="ru-RU"/>
        </w:rPr>
        <w:t xml:space="preserve">Comprehensive syntheses by Klein et al. </w:t>
      </w:r>
      <w:r w:rsidR="00543FBB">
        <w:rPr>
          <w:szCs w:val="24"/>
          <w:lang w:eastAsia="ru-RU"/>
        </w:rPr>
        <w:t>(2021)</w:t>
      </w:r>
      <w:r w:rsidRPr="00DD0660">
        <w:rPr>
          <w:szCs w:val="24"/>
          <w:lang w:eastAsia="ru-RU"/>
        </w:rPr>
        <w:t xml:space="preserve"> highlighted the increasing integration of Earth observation data with locust monitoring systems. Their review documented how NDVI anomalies, land surface temperature, and soil moisture products contribute to early warning frameworks. In a subsequent applied study, Klein et al. </w:t>
      </w:r>
      <w:r w:rsidR="00543FBB">
        <w:rPr>
          <w:szCs w:val="24"/>
          <w:lang w:eastAsia="ru-RU"/>
        </w:rPr>
        <w:t>(2023)</w:t>
      </w:r>
      <w:r w:rsidRPr="00DD0660">
        <w:rPr>
          <w:szCs w:val="24"/>
          <w:lang w:eastAsia="ru-RU"/>
        </w:rPr>
        <w:t xml:space="preserve"> demonstrated operational geospatial integration of EO-derived predictors into locust management platforms, confirming the feasibility of linking ML predictions with spatial decision-support systems.</w:t>
      </w:r>
    </w:p>
    <w:p w14:paraId="4AC196F1" w14:textId="77777777" w:rsidR="00DD0660" w:rsidRPr="00DD0660" w:rsidRDefault="00DD0660" w:rsidP="00DD0660">
      <w:pPr>
        <w:spacing w:line="360" w:lineRule="auto"/>
        <w:ind w:firstLine="567"/>
        <w:rPr>
          <w:szCs w:val="24"/>
          <w:lang w:eastAsia="ru-RU"/>
        </w:rPr>
      </w:pPr>
      <w:r w:rsidRPr="00DD0660">
        <w:rPr>
          <w:szCs w:val="24"/>
          <w:lang w:eastAsia="ru-RU"/>
        </w:rPr>
        <w:t>Collectively, these studies indicate that contemporary locust forecasting requires:</w:t>
      </w:r>
    </w:p>
    <w:p w14:paraId="7FC87516" w14:textId="752E71DE" w:rsidR="00DD0660" w:rsidRPr="00DD0660" w:rsidRDefault="00DD0660" w:rsidP="00DD0660">
      <w:pPr>
        <w:numPr>
          <w:ilvl w:val="0"/>
          <w:numId w:val="32"/>
        </w:numPr>
        <w:tabs>
          <w:tab w:val="clear" w:pos="720"/>
          <w:tab w:val="left" w:pos="993"/>
        </w:tabs>
        <w:spacing w:line="360" w:lineRule="auto"/>
        <w:ind w:left="0" w:firstLine="567"/>
        <w:rPr>
          <w:szCs w:val="24"/>
          <w:lang w:eastAsia="ru-RU"/>
        </w:rPr>
      </w:pPr>
      <w:r w:rsidRPr="00DD0660">
        <w:rPr>
          <w:szCs w:val="24"/>
          <w:lang w:eastAsia="ru-RU"/>
        </w:rPr>
        <w:t xml:space="preserve">Nonparametric ensemble algorithms for nonlinear ecological relationships </w:t>
      </w:r>
      <w:r w:rsidR="000B6631">
        <w:rPr>
          <w:szCs w:val="24"/>
          <w:lang w:eastAsia="ru-RU"/>
        </w:rPr>
        <w:t>(</w:t>
      </w:r>
      <w:r w:rsidR="000B6631" w:rsidRPr="000B6631">
        <w:rPr>
          <w:color w:val="auto"/>
          <w:szCs w:val="24"/>
        </w:rPr>
        <w:t>Breiman 2001</w:t>
      </w:r>
      <w:r w:rsidR="00FD033C">
        <w:rPr>
          <w:color w:val="auto"/>
          <w:szCs w:val="24"/>
        </w:rPr>
        <w:t xml:space="preserve">; </w:t>
      </w:r>
      <w:r w:rsidR="00480B1B" w:rsidRPr="00480B1B">
        <w:rPr>
          <w:color w:val="auto"/>
          <w:szCs w:val="24"/>
        </w:rPr>
        <w:t>Cutler</w:t>
      </w:r>
      <w:r w:rsidR="00480B1B">
        <w:rPr>
          <w:color w:val="auto"/>
          <w:szCs w:val="24"/>
        </w:rPr>
        <w:t xml:space="preserve"> et al. 2007; </w:t>
      </w:r>
      <w:r w:rsidR="005A3CF0" w:rsidRPr="005153D0">
        <w:rPr>
          <w:color w:val="auto"/>
          <w:szCs w:val="24"/>
        </w:rPr>
        <w:t>de Oliveira Aparecido</w:t>
      </w:r>
      <w:r w:rsidR="005A3CF0" w:rsidRPr="00FD033C">
        <w:rPr>
          <w:color w:val="auto"/>
        </w:rPr>
        <w:t xml:space="preserve"> </w:t>
      </w:r>
      <w:r w:rsidR="005A3CF0">
        <w:rPr>
          <w:color w:val="auto"/>
        </w:rPr>
        <w:t xml:space="preserve">et al. 2020; </w:t>
      </w:r>
      <w:r w:rsidR="00FD033C" w:rsidRPr="00FD033C">
        <w:rPr>
          <w:color w:val="auto"/>
        </w:rPr>
        <w:t>Friedman 2001</w:t>
      </w:r>
      <w:r w:rsidR="005153D0">
        <w:rPr>
          <w:color w:val="auto"/>
        </w:rPr>
        <w:t xml:space="preserve">; </w:t>
      </w:r>
      <w:r w:rsidR="00EE44B6" w:rsidRPr="00EE44B6">
        <w:rPr>
          <w:color w:val="auto"/>
          <w:szCs w:val="24"/>
        </w:rPr>
        <w:t>Goodfellow</w:t>
      </w:r>
      <w:r w:rsidR="00EE44B6" w:rsidRPr="005153D0">
        <w:rPr>
          <w:color w:val="auto"/>
          <w:szCs w:val="24"/>
        </w:rPr>
        <w:t xml:space="preserve"> </w:t>
      </w:r>
      <w:r w:rsidR="00EE44B6">
        <w:rPr>
          <w:color w:val="auto"/>
          <w:szCs w:val="24"/>
        </w:rPr>
        <w:t xml:space="preserve">et al. 2016; </w:t>
      </w:r>
      <w:r w:rsidR="002273A1" w:rsidRPr="002273A1">
        <w:rPr>
          <w:color w:val="auto"/>
          <w:szCs w:val="24"/>
        </w:rPr>
        <w:t>Hastie</w:t>
      </w:r>
      <w:r w:rsidR="002273A1">
        <w:rPr>
          <w:color w:val="auto"/>
          <w:szCs w:val="24"/>
        </w:rPr>
        <w:t xml:space="preserve"> et al. 2009; </w:t>
      </w:r>
      <w:r w:rsidR="005153D0" w:rsidRPr="005153D0">
        <w:rPr>
          <w:color w:val="auto"/>
          <w:szCs w:val="24"/>
        </w:rPr>
        <w:t>Singh</w:t>
      </w:r>
      <w:r w:rsidR="005153D0">
        <w:rPr>
          <w:color w:val="auto"/>
          <w:szCs w:val="24"/>
        </w:rPr>
        <w:t xml:space="preserve"> et al. 2024</w:t>
      </w:r>
      <w:r w:rsidR="000B6631">
        <w:rPr>
          <w:szCs w:val="24"/>
          <w:lang w:eastAsia="ru-RU"/>
        </w:rPr>
        <w:t>)</w:t>
      </w:r>
      <w:r w:rsidRPr="00DD0660">
        <w:rPr>
          <w:szCs w:val="24"/>
          <w:lang w:eastAsia="ru-RU"/>
        </w:rPr>
        <w:t>;</w:t>
      </w:r>
    </w:p>
    <w:p w14:paraId="4840CF84" w14:textId="22729AED" w:rsidR="00DD0660" w:rsidRPr="00DD0660" w:rsidRDefault="00DD0660" w:rsidP="00DD0660">
      <w:pPr>
        <w:numPr>
          <w:ilvl w:val="0"/>
          <w:numId w:val="32"/>
        </w:numPr>
        <w:tabs>
          <w:tab w:val="clear" w:pos="720"/>
          <w:tab w:val="left" w:pos="993"/>
        </w:tabs>
        <w:spacing w:line="360" w:lineRule="auto"/>
        <w:ind w:left="0" w:firstLine="567"/>
        <w:rPr>
          <w:szCs w:val="24"/>
          <w:lang w:eastAsia="ru-RU"/>
        </w:rPr>
      </w:pPr>
      <w:r w:rsidRPr="00DD0660">
        <w:rPr>
          <w:szCs w:val="24"/>
          <w:lang w:eastAsia="ru-RU"/>
        </w:rPr>
        <w:t>Recurrent neural networks for temporal dependency modeling</w:t>
      </w:r>
      <w:r w:rsidR="00046977">
        <w:rPr>
          <w:szCs w:val="24"/>
          <w:lang w:eastAsia="ru-RU"/>
        </w:rPr>
        <w:t xml:space="preserve"> (</w:t>
      </w:r>
      <w:r w:rsidR="00046977" w:rsidRPr="00046977">
        <w:rPr>
          <w:color w:val="auto"/>
          <w:szCs w:val="24"/>
        </w:rPr>
        <w:t xml:space="preserve">Hochreiter </w:t>
      </w:r>
      <w:r w:rsidR="00046977">
        <w:rPr>
          <w:color w:val="auto"/>
          <w:szCs w:val="24"/>
        </w:rPr>
        <w:t>and</w:t>
      </w:r>
      <w:r w:rsidR="00046977" w:rsidRPr="00046977">
        <w:rPr>
          <w:color w:val="auto"/>
          <w:szCs w:val="24"/>
        </w:rPr>
        <w:t xml:space="preserve"> Schmidhuber 1997</w:t>
      </w:r>
      <w:r w:rsidR="00FD033C">
        <w:rPr>
          <w:color w:val="auto"/>
          <w:szCs w:val="24"/>
        </w:rPr>
        <w:t xml:space="preserve">; </w:t>
      </w:r>
      <w:r w:rsidR="00FD033C" w:rsidRPr="00FD033C">
        <w:rPr>
          <w:color w:val="auto"/>
          <w:szCs w:val="24"/>
        </w:rPr>
        <w:t>Xiao</w:t>
      </w:r>
      <w:r w:rsidR="00FD033C">
        <w:rPr>
          <w:color w:val="auto"/>
          <w:szCs w:val="24"/>
        </w:rPr>
        <w:t xml:space="preserve"> et al. 2019</w:t>
      </w:r>
      <w:r w:rsidR="00046977">
        <w:rPr>
          <w:szCs w:val="24"/>
          <w:lang w:eastAsia="ru-RU"/>
        </w:rPr>
        <w:t>)</w:t>
      </w:r>
      <w:r w:rsidRPr="00DD0660">
        <w:rPr>
          <w:szCs w:val="24"/>
          <w:lang w:eastAsia="ru-RU"/>
        </w:rPr>
        <w:t>;</w:t>
      </w:r>
    </w:p>
    <w:p w14:paraId="7965E4F9" w14:textId="4E1CAA6C" w:rsidR="00DD0660" w:rsidRPr="00DD0660" w:rsidRDefault="00DD0660" w:rsidP="00DD0660">
      <w:pPr>
        <w:numPr>
          <w:ilvl w:val="0"/>
          <w:numId w:val="32"/>
        </w:numPr>
        <w:tabs>
          <w:tab w:val="clear" w:pos="720"/>
          <w:tab w:val="left" w:pos="993"/>
        </w:tabs>
        <w:spacing w:line="360" w:lineRule="auto"/>
        <w:ind w:left="0" w:firstLine="567"/>
        <w:rPr>
          <w:szCs w:val="24"/>
          <w:lang w:eastAsia="ru-RU"/>
        </w:rPr>
      </w:pPr>
      <w:r w:rsidRPr="00DD0660">
        <w:rPr>
          <w:szCs w:val="24"/>
          <w:lang w:eastAsia="ru-RU"/>
        </w:rPr>
        <w:lastRenderedPageBreak/>
        <w:t xml:space="preserve">Deep learning architectures for complex environmental pattern extraction </w:t>
      </w:r>
      <w:r w:rsidR="004617CA">
        <w:rPr>
          <w:szCs w:val="24"/>
          <w:lang w:eastAsia="ru-RU"/>
        </w:rPr>
        <w:t>(</w:t>
      </w:r>
      <w:r w:rsidR="005153D0" w:rsidRPr="005153D0">
        <w:rPr>
          <w:color w:val="auto"/>
          <w:szCs w:val="24"/>
        </w:rPr>
        <w:t>LeCun</w:t>
      </w:r>
      <w:r w:rsidR="005153D0" w:rsidRPr="004617CA">
        <w:rPr>
          <w:color w:val="auto"/>
          <w:szCs w:val="24"/>
        </w:rPr>
        <w:t xml:space="preserve"> </w:t>
      </w:r>
      <w:r w:rsidR="005153D0">
        <w:rPr>
          <w:color w:val="auto"/>
          <w:szCs w:val="24"/>
        </w:rPr>
        <w:t xml:space="preserve">et al. 2015; </w:t>
      </w:r>
      <w:r w:rsidR="004617CA" w:rsidRPr="004617CA">
        <w:rPr>
          <w:color w:val="auto"/>
          <w:szCs w:val="24"/>
        </w:rPr>
        <w:t>Reichstein</w:t>
      </w:r>
      <w:r w:rsidR="004617CA">
        <w:rPr>
          <w:color w:val="auto"/>
          <w:szCs w:val="24"/>
        </w:rPr>
        <w:t xml:space="preserve"> et al. 2019</w:t>
      </w:r>
      <w:r w:rsidR="004617CA">
        <w:rPr>
          <w:szCs w:val="24"/>
          <w:lang w:eastAsia="ru-RU"/>
        </w:rPr>
        <w:t>)</w:t>
      </w:r>
      <w:r w:rsidRPr="00DD0660">
        <w:rPr>
          <w:szCs w:val="24"/>
          <w:lang w:eastAsia="ru-RU"/>
        </w:rPr>
        <w:t>;</w:t>
      </w:r>
    </w:p>
    <w:p w14:paraId="550E257C" w14:textId="1365C9F9" w:rsidR="00DD0660" w:rsidRPr="00DD0660" w:rsidRDefault="00DD0660" w:rsidP="00DD0660">
      <w:pPr>
        <w:numPr>
          <w:ilvl w:val="0"/>
          <w:numId w:val="32"/>
        </w:numPr>
        <w:tabs>
          <w:tab w:val="clear" w:pos="720"/>
          <w:tab w:val="left" w:pos="993"/>
        </w:tabs>
        <w:spacing w:line="360" w:lineRule="auto"/>
        <w:ind w:left="0" w:firstLine="567"/>
        <w:rPr>
          <w:szCs w:val="24"/>
          <w:lang w:eastAsia="ru-RU"/>
        </w:rPr>
      </w:pPr>
      <w:r w:rsidRPr="00DD0660">
        <w:rPr>
          <w:szCs w:val="24"/>
          <w:lang w:eastAsia="ru-RU"/>
        </w:rPr>
        <w:t xml:space="preserve">Lag-integrated ML frameworks for outbreak </w:t>
      </w:r>
      <w:r w:rsidRPr="00BC3539">
        <w:rPr>
          <w:szCs w:val="24"/>
          <w:lang w:eastAsia="ru-RU"/>
        </w:rPr>
        <w:t xml:space="preserve">prediction </w:t>
      </w:r>
      <w:r w:rsidR="00BC3539" w:rsidRPr="00BC3539">
        <w:rPr>
          <w:szCs w:val="24"/>
          <w:lang w:eastAsia="ru-RU"/>
        </w:rPr>
        <w:t>(</w:t>
      </w:r>
      <w:r w:rsidR="00FC603D" w:rsidRPr="00FC603D">
        <w:rPr>
          <w:color w:val="auto"/>
          <w:szCs w:val="24"/>
        </w:rPr>
        <w:t>Gómez</w:t>
      </w:r>
      <w:r w:rsidR="00FC603D" w:rsidRPr="00BC3539">
        <w:rPr>
          <w:color w:val="auto"/>
          <w:szCs w:val="24"/>
        </w:rPr>
        <w:t xml:space="preserve"> </w:t>
      </w:r>
      <w:r w:rsidR="00FC603D">
        <w:rPr>
          <w:color w:val="auto"/>
          <w:szCs w:val="24"/>
        </w:rPr>
        <w:t xml:space="preserve">et al. 2018; </w:t>
      </w:r>
      <w:r w:rsidR="00BC3539" w:rsidRPr="00BC3539">
        <w:rPr>
          <w:color w:val="auto"/>
          <w:szCs w:val="24"/>
        </w:rPr>
        <w:t>Sun et</w:t>
      </w:r>
      <w:r w:rsidR="00BC3539">
        <w:rPr>
          <w:color w:val="auto"/>
          <w:szCs w:val="24"/>
        </w:rPr>
        <w:t xml:space="preserve"> al. 2022</w:t>
      </w:r>
      <w:r w:rsidR="00BC3539">
        <w:rPr>
          <w:szCs w:val="24"/>
          <w:lang w:eastAsia="ru-RU"/>
        </w:rPr>
        <w:t>)</w:t>
      </w:r>
      <w:r w:rsidRPr="00DD0660">
        <w:rPr>
          <w:szCs w:val="24"/>
          <w:lang w:eastAsia="ru-RU"/>
        </w:rPr>
        <w:t>;</w:t>
      </w:r>
    </w:p>
    <w:p w14:paraId="1AC0D7CC" w14:textId="6B0B1B30" w:rsidR="00DD0660" w:rsidRPr="00DD0660" w:rsidRDefault="00DD0660" w:rsidP="00DD0660">
      <w:pPr>
        <w:numPr>
          <w:ilvl w:val="0"/>
          <w:numId w:val="32"/>
        </w:numPr>
        <w:tabs>
          <w:tab w:val="clear" w:pos="720"/>
          <w:tab w:val="left" w:pos="993"/>
        </w:tabs>
        <w:spacing w:line="360" w:lineRule="auto"/>
        <w:ind w:left="0" w:firstLine="567"/>
        <w:rPr>
          <w:szCs w:val="24"/>
          <w:lang w:eastAsia="ru-RU"/>
        </w:rPr>
      </w:pPr>
      <w:r w:rsidRPr="00DD0660">
        <w:rPr>
          <w:szCs w:val="24"/>
          <w:lang w:eastAsia="ru-RU"/>
        </w:rPr>
        <w:t xml:space="preserve">Hierarchical and spatially explicit modeling </w:t>
      </w:r>
      <w:r w:rsidRPr="00046977">
        <w:rPr>
          <w:szCs w:val="24"/>
          <w:lang w:eastAsia="ru-RU"/>
        </w:rPr>
        <w:t xml:space="preserve">structures </w:t>
      </w:r>
      <w:r w:rsidR="00046977" w:rsidRPr="00046977">
        <w:rPr>
          <w:szCs w:val="24"/>
          <w:lang w:eastAsia="ru-RU"/>
        </w:rPr>
        <w:t>(</w:t>
      </w:r>
      <w:r w:rsidR="00B6672E" w:rsidRPr="00B6672E">
        <w:rPr>
          <w:color w:val="auto"/>
          <w:szCs w:val="24"/>
        </w:rPr>
        <w:t xml:space="preserve">Congalton </w:t>
      </w:r>
      <w:r w:rsidR="00B6672E">
        <w:rPr>
          <w:color w:val="auto"/>
          <w:szCs w:val="24"/>
        </w:rPr>
        <w:t>and</w:t>
      </w:r>
      <w:r w:rsidR="00B6672E" w:rsidRPr="00B6672E">
        <w:rPr>
          <w:color w:val="auto"/>
          <w:szCs w:val="24"/>
        </w:rPr>
        <w:t xml:space="preserve"> Green 2019</w:t>
      </w:r>
      <w:r w:rsidR="00B6672E">
        <w:rPr>
          <w:color w:val="auto"/>
          <w:szCs w:val="24"/>
        </w:rPr>
        <w:t xml:space="preserve">; </w:t>
      </w:r>
      <w:r w:rsidR="00CF3B8A" w:rsidRPr="00CF3B8A">
        <w:rPr>
          <w:color w:val="auto"/>
          <w:szCs w:val="24"/>
        </w:rPr>
        <w:t>Goodchild</w:t>
      </w:r>
      <w:r w:rsidR="00CF3B8A" w:rsidRPr="00046977">
        <w:rPr>
          <w:color w:val="auto"/>
          <w:szCs w:val="24"/>
        </w:rPr>
        <w:t xml:space="preserve"> </w:t>
      </w:r>
      <w:r w:rsidR="00CF3B8A">
        <w:rPr>
          <w:color w:val="auto"/>
          <w:szCs w:val="24"/>
        </w:rPr>
        <w:t xml:space="preserve">2009; </w:t>
      </w:r>
      <w:r w:rsidR="00046977" w:rsidRPr="00046977">
        <w:rPr>
          <w:color w:val="auto"/>
          <w:szCs w:val="24"/>
        </w:rPr>
        <w:t>Lawton</w:t>
      </w:r>
      <w:r w:rsidR="00046977">
        <w:rPr>
          <w:color w:val="auto"/>
          <w:szCs w:val="24"/>
        </w:rPr>
        <w:t xml:space="preserve"> et al. 2022</w:t>
      </w:r>
      <w:r w:rsidR="00046977">
        <w:rPr>
          <w:szCs w:val="24"/>
          <w:lang w:eastAsia="ru-RU"/>
        </w:rPr>
        <w:t>)</w:t>
      </w:r>
      <w:r w:rsidRPr="00DD0660">
        <w:rPr>
          <w:szCs w:val="24"/>
          <w:lang w:eastAsia="ru-RU"/>
        </w:rPr>
        <w:t>;</w:t>
      </w:r>
    </w:p>
    <w:p w14:paraId="7323671A" w14:textId="44175878" w:rsidR="00DD0660" w:rsidRPr="00DD0660" w:rsidRDefault="00DD0660" w:rsidP="00DD0660">
      <w:pPr>
        <w:numPr>
          <w:ilvl w:val="0"/>
          <w:numId w:val="32"/>
        </w:numPr>
        <w:tabs>
          <w:tab w:val="clear" w:pos="720"/>
          <w:tab w:val="left" w:pos="993"/>
        </w:tabs>
        <w:spacing w:line="360" w:lineRule="auto"/>
        <w:ind w:left="0" w:firstLine="567"/>
        <w:rPr>
          <w:szCs w:val="24"/>
          <w:lang w:eastAsia="ru-RU"/>
        </w:rPr>
      </w:pPr>
      <w:r w:rsidRPr="00DD0660">
        <w:rPr>
          <w:szCs w:val="24"/>
          <w:lang w:eastAsia="ru-RU"/>
        </w:rPr>
        <w:t xml:space="preserve">Operational ML–GIS integration for decision-support systems </w:t>
      </w:r>
      <w:r w:rsidR="00543FBB">
        <w:rPr>
          <w:szCs w:val="24"/>
          <w:lang w:eastAsia="ru-RU"/>
        </w:rPr>
        <w:t>(</w:t>
      </w:r>
      <w:r w:rsidR="00543FBB" w:rsidRPr="00543FBB">
        <w:rPr>
          <w:color w:val="auto"/>
          <w:szCs w:val="24"/>
        </w:rPr>
        <w:t>Klein</w:t>
      </w:r>
      <w:r w:rsidR="00543FBB">
        <w:rPr>
          <w:color w:val="auto"/>
          <w:szCs w:val="24"/>
        </w:rPr>
        <w:t xml:space="preserve"> et al. 2021, 2023</w:t>
      </w:r>
      <w:r w:rsidR="00543FBB">
        <w:rPr>
          <w:szCs w:val="24"/>
          <w:lang w:eastAsia="ru-RU"/>
        </w:rPr>
        <w:t>)</w:t>
      </w:r>
      <w:r w:rsidRPr="00DD0660">
        <w:rPr>
          <w:szCs w:val="24"/>
          <w:lang w:eastAsia="ru-RU"/>
        </w:rPr>
        <w:t>.</w:t>
      </w:r>
    </w:p>
    <w:p w14:paraId="425D040B" w14:textId="77777777" w:rsidR="00F4551E" w:rsidRDefault="00DD0660" w:rsidP="00F4551E">
      <w:pPr>
        <w:spacing w:line="360" w:lineRule="auto"/>
        <w:ind w:firstLine="567"/>
        <w:rPr>
          <w:szCs w:val="24"/>
          <w:lang w:eastAsia="ru-RU"/>
        </w:rPr>
      </w:pPr>
      <w:r w:rsidRPr="00DD0660">
        <w:rPr>
          <w:szCs w:val="24"/>
          <w:lang w:eastAsia="ru-RU"/>
        </w:rPr>
        <w:t>However, while these methodological advances have been widely applied to desert locust systems and selected crop pests, comparable ML–GIS frameworks for non-gregarious locust populations in continental Eurasian agroecosystems remain limited. This gap justifies the development of regionally calibrated ensemble-based phytosanitary forecasting systems integrating multi-source environmental predictors within a spatial decision-support architecture.</w:t>
      </w:r>
    </w:p>
    <w:p w14:paraId="42AE9FDE" w14:textId="77777777" w:rsidR="00F4551E" w:rsidRDefault="00F4551E" w:rsidP="00F4551E">
      <w:pPr>
        <w:spacing w:line="360" w:lineRule="auto"/>
        <w:ind w:firstLine="567"/>
        <w:rPr>
          <w:szCs w:val="24"/>
          <w:lang w:eastAsia="ru-RU"/>
        </w:rPr>
      </w:pPr>
    </w:p>
    <w:p w14:paraId="52C21D36" w14:textId="002CC9F5" w:rsidR="00DD0660" w:rsidRPr="00F4551E" w:rsidRDefault="00DD0660" w:rsidP="00F4551E">
      <w:pPr>
        <w:pStyle w:val="afd"/>
        <w:numPr>
          <w:ilvl w:val="1"/>
          <w:numId w:val="30"/>
        </w:numPr>
        <w:tabs>
          <w:tab w:val="left" w:pos="567"/>
        </w:tabs>
        <w:spacing w:line="360" w:lineRule="auto"/>
        <w:ind w:left="0" w:firstLine="0"/>
        <w:contextualSpacing w:val="0"/>
        <w:rPr>
          <w:color w:val="000000"/>
          <w:lang w:eastAsia="ru-RU"/>
        </w:rPr>
      </w:pPr>
      <w:r w:rsidRPr="00F4551E">
        <w:rPr>
          <w:b/>
        </w:rPr>
        <w:t>GIS and Remote Sensing for Spatial Risk Modeling</w:t>
      </w:r>
    </w:p>
    <w:p w14:paraId="7BE7700A" w14:textId="77777777" w:rsidR="00DD0660" w:rsidRPr="00DD0660" w:rsidRDefault="00DD0660" w:rsidP="00DD0660">
      <w:pPr>
        <w:spacing w:line="360" w:lineRule="auto"/>
        <w:ind w:firstLine="567"/>
        <w:rPr>
          <w:szCs w:val="24"/>
          <w:lang w:eastAsia="ru-RU"/>
        </w:rPr>
      </w:pPr>
      <w:r w:rsidRPr="00DD0660">
        <w:rPr>
          <w:szCs w:val="24"/>
          <w:lang w:eastAsia="ru-RU"/>
        </w:rPr>
        <w:t>The transition from descriptive habitat assessment to fully operational forecasting platforms requires the integration of machine learning algorithms with spatially explicit GIS infrastructures. Recent empirical studies demonstrate that such integration substantially improves outbreak detection accuracy and spatial prioritization of intervention zones.</w:t>
      </w:r>
    </w:p>
    <w:p w14:paraId="78C21E26" w14:textId="01DB6A71" w:rsidR="00DD0660" w:rsidRPr="00DD0660" w:rsidRDefault="00DD0660" w:rsidP="00DD0660">
      <w:pPr>
        <w:spacing w:line="360" w:lineRule="auto"/>
        <w:ind w:firstLine="567"/>
        <w:rPr>
          <w:szCs w:val="24"/>
          <w:lang w:eastAsia="ru-RU"/>
        </w:rPr>
      </w:pPr>
      <w:r w:rsidRPr="00DD0660">
        <w:rPr>
          <w:szCs w:val="24"/>
          <w:lang w:eastAsia="ru-RU"/>
        </w:rPr>
        <w:t xml:space="preserve">Klein et al. </w:t>
      </w:r>
      <w:r w:rsidR="00543FBB">
        <w:rPr>
          <w:szCs w:val="24"/>
          <w:lang w:eastAsia="ru-RU"/>
        </w:rPr>
        <w:t>(2021)</w:t>
      </w:r>
      <w:r w:rsidRPr="00DD0660">
        <w:rPr>
          <w:szCs w:val="24"/>
          <w:lang w:eastAsia="ru-RU"/>
        </w:rPr>
        <w:t xml:space="preserve"> systematically analyzed remote sensing applications in locust ecology and demonstrated that vegetation greening dynamics derived from NDVI time series provide early signals of breeding habitat formation. Their review emphasized the predictive value of MODIS-derived vegetation indices in identifying pre-outbreak ecological conditions.</w:t>
      </w:r>
    </w:p>
    <w:p w14:paraId="4A0B9502" w14:textId="33D9F780" w:rsidR="00DD0660" w:rsidRPr="00DD0660" w:rsidRDefault="00DD0660" w:rsidP="00DD0660">
      <w:pPr>
        <w:spacing w:line="360" w:lineRule="auto"/>
        <w:ind w:firstLine="567"/>
        <w:rPr>
          <w:szCs w:val="24"/>
          <w:lang w:eastAsia="ru-RU"/>
        </w:rPr>
      </w:pPr>
      <w:r w:rsidRPr="00DD0660">
        <w:rPr>
          <w:szCs w:val="24"/>
          <w:lang w:eastAsia="ru-RU"/>
        </w:rPr>
        <w:t xml:space="preserve">Building on this approach, Klein et al. </w:t>
      </w:r>
      <w:r w:rsidR="00543FBB">
        <w:rPr>
          <w:szCs w:val="24"/>
          <w:lang w:eastAsia="ru-RU"/>
        </w:rPr>
        <w:t>(2023)</w:t>
      </w:r>
      <w:r w:rsidRPr="00DD0660">
        <w:rPr>
          <w:szCs w:val="24"/>
          <w:lang w:eastAsia="ru-RU"/>
        </w:rPr>
        <w:t xml:space="preserve"> implemented a geospatial decision-support framework integrating Earth observation datasets into operational locust management systems. Their study showed that combining satellite-derived vegetation metrics with climatic thresholds allows for spatially prioritized intervention planning, reducing response time during outbreak phases.</w:t>
      </w:r>
    </w:p>
    <w:p w14:paraId="39605BA6" w14:textId="2E787125" w:rsidR="00DD0660" w:rsidRPr="00DD0660" w:rsidRDefault="00DD0660" w:rsidP="00DD0660">
      <w:pPr>
        <w:spacing w:line="360" w:lineRule="auto"/>
        <w:ind w:firstLine="567"/>
        <w:rPr>
          <w:szCs w:val="24"/>
          <w:lang w:eastAsia="ru-RU"/>
        </w:rPr>
      </w:pPr>
      <w:r w:rsidRPr="00DD0660">
        <w:rPr>
          <w:szCs w:val="24"/>
          <w:lang w:eastAsia="ru-RU"/>
        </w:rPr>
        <w:t xml:space="preserve">At the methodological level, Elith and Leathwick </w:t>
      </w:r>
      <w:r w:rsidR="001B4D79">
        <w:rPr>
          <w:szCs w:val="24"/>
          <w:lang w:eastAsia="ru-RU"/>
        </w:rPr>
        <w:t>(2009)</w:t>
      </w:r>
      <w:r w:rsidRPr="00DD0660">
        <w:rPr>
          <w:szCs w:val="24"/>
          <w:lang w:eastAsia="ru-RU"/>
        </w:rPr>
        <w:t xml:space="preserve"> demonstrated that species distribution modeling (SDM) frameworks enable robust estimation of nonlinear environmental response curves. Phillips et al. </w:t>
      </w:r>
      <w:r w:rsidR="00A6011B">
        <w:rPr>
          <w:szCs w:val="24"/>
          <w:lang w:eastAsia="ru-RU"/>
        </w:rPr>
        <w:t>(2006)</w:t>
      </w:r>
      <w:r w:rsidRPr="00DD0660">
        <w:rPr>
          <w:szCs w:val="24"/>
          <w:lang w:eastAsia="ru-RU"/>
        </w:rPr>
        <w:t xml:space="preserve"> formalized the Maximum Entropy (MaxEnt) approach for presence-only ecological data, providing a mathematically consistent solution for habitat suitability modeling under incomplete sampling conditions. Subsequent methodological </w:t>
      </w:r>
      <w:r w:rsidRPr="002A504E">
        <w:rPr>
          <w:szCs w:val="24"/>
          <w:lang w:eastAsia="ru-RU"/>
        </w:rPr>
        <w:lastRenderedPageBreak/>
        <w:t xml:space="preserve">refinement by </w:t>
      </w:r>
      <w:r w:rsidRPr="002A504E">
        <w:rPr>
          <w:color w:val="auto"/>
          <w:szCs w:val="24"/>
          <w:lang w:eastAsia="ru-RU"/>
        </w:rPr>
        <w:t xml:space="preserve">Elith et al. </w:t>
      </w:r>
      <w:r w:rsidR="002A504E">
        <w:rPr>
          <w:color w:val="auto"/>
          <w:szCs w:val="24"/>
          <w:lang w:eastAsia="ru-RU"/>
        </w:rPr>
        <w:t>(2009)</w:t>
      </w:r>
      <w:r w:rsidRPr="002A504E">
        <w:rPr>
          <w:szCs w:val="24"/>
          <w:lang w:eastAsia="ru-RU"/>
        </w:rPr>
        <w:t xml:space="preserve"> improved</w:t>
      </w:r>
      <w:r w:rsidRPr="00DD0660">
        <w:rPr>
          <w:szCs w:val="24"/>
          <w:lang w:eastAsia="ru-RU"/>
        </w:rPr>
        <w:t xml:space="preserve"> interpretability and predictive performance of SDMs through regularization and cross-validation strategies.</w:t>
      </w:r>
    </w:p>
    <w:p w14:paraId="40A8B4B0" w14:textId="37845DA4" w:rsidR="00DD0660" w:rsidRPr="00DD0660" w:rsidRDefault="00DD0660" w:rsidP="00DD0660">
      <w:pPr>
        <w:spacing w:line="360" w:lineRule="auto"/>
        <w:ind w:firstLine="567"/>
        <w:rPr>
          <w:szCs w:val="24"/>
          <w:lang w:eastAsia="ru-RU"/>
        </w:rPr>
      </w:pPr>
      <w:r w:rsidRPr="00DD0660">
        <w:rPr>
          <w:szCs w:val="24"/>
          <w:lang w:eastAsia="ru-RU"/>
        </w:rPr>
        <w:t xml:space="preserve">In the context of ensemble forecasting, Thuiller et al. </w:t>
      </w:r>
      <w:r w:rsidR="000E40E5">
        <w:rPr>
          <w:szCs w:val="24"/>
          <w:lang w:eastAsia="ru-RU"/>
        </w:rPr>
        <w:t>(2009)</w:t>
      </w:r>
      <w:r w:rsidRPr="00DD0660">
        <w:rPr>
          <w:szCs w:val="24"/>
          <w:lang w:eastAsia="ru-RU"/>
        </w:rPr>
        <w:t xml:space="preserve"> introduced BIOMOD, demonstrating that combining multiple algorithms significantly increases robustness under environmental uncertainty. Araújo and New </w:t>
      </w:r>
      <w:r w:rsidR="00171316">
        <w:rPr>
          <w:szCs w:val="24"/>
          <w:lang w:eastAsia="ru-RU"/>
        </w:rPr>
        <w:t>(2007)</w:t>
      </w:r>
      <w:r w:rsidRPr="00DD0660">
        <w:rPr>
          <w:szCs w:val="24"/>
          <w:lang w:eastAsia="ru-RU"/>
        </w:rPr>
        <w:t xml:space="preserve"> further showed that ensemble approaches outperform single-model predictions when projecting species distributions under climate change scenarios.</w:t>
      </w:r>
    </w:p>
    <w:p w14:paraId="2328A56C" w14:textId="6BE1FB4C" w:rsidR="00DD0660" w:rsidRPr="00DD0660" w:rsidRDefault="00DD0660" w:rsidP="00DD0660">
      <w:pPr>
        <w:spacing w:line="360" w:lineRule="auto"/>
        <w:ind w:firstLine="567"/>
        <w:rPr>
          <w:szCs w:val="24"/>
          <w:lang w:eastAsia="ru-RU"/>
        </w:rPr>
      </w:pPr>
      <w:r w:rsidRPr="00DD0660">
        <w:rPr>
          <w:szCs w:val="24"/>
          <w:lang w:eastAsia="ru-RU"/>
        </w:rPr>
        <w:t xml:space="preserve">Cross-scale ecological theory supports these modeling strategies. Peters et al. </w:t>
      </w:r>
      <w:r w:rsidR="000E40E5">
        <w:rPr>
          <w:szCs w:val="24"/>
          <w:lang w:eastAsia="ru-RU"/>
        </w:rPr>
        <w:t>(2009)</w:t>
      </w:r>
      <w:r w:rsidRPr="00DD0660">
        <w:rPr>
          <w:szCs w:val="24"/>
          <w:lang w:eastAsia="ru-RU"/>
        </w:rPr>
        <w:t xml:space="preserve"> highlighted that ecosystem processes operate across spatial and temporal scales, necessitating hierarchical modeling structures. Reichstein et al. </w:t>
      </w:r>
      <w:r w:rsidR="004617CA">
        <w:rPr>
          <w:szCs w:val="24"/>
          <w:lang w:eastAsia="ru-RU"/>
        </w:rPr>
        <w:t>(2019)</w:t>
      </w:r>
      <w:r w:rsidRPr="00DD0660">
        <w:rPr>
          <w:szCs w:val="24"/>
          <w:lang w:eastAsia="ru-RU"/>
        </w:rPr>
        <w:t xml:space="preserve"> demonstrated that deep learning techniques can detect nonlinear patterns in Earth system data beyond the capacity of traditional regression models. Ibrahim et al. </w:t>
      </w:r>
      <w:r w:rsidR="00A84ABE">
        <w:rPr>
          <w:szCs w:val="24"/>
          <w:lang w:eastAsia="ru-RU"/>
        </w:rPr>
        <w:t>(2022)</w:t>
      </w:r>
      <w:r w:rsidRPr="00DD0660">
        <w:rPr>
          <w:szCs w:val="24"/>
          <w:lang w:eastAsia="ru-RU"/>
        </w:rPr>
        <w:t xml:space="preserve"> provided an applied example of expert-system integration with machine learning for agricultural pest population forecasting, illustrating operational feasibility.</w:t>
      </w:r>
    </w:p>
    <w:p w14:paraId="695EDFC5" w14:textId="3F87DF41" w:rsidR="00DD0660" w:rsidRPr="00DD0660" w:rsidRDefault="00DD0660" w:rsidP="00DD0660">
      <w:pPr>
        <w:spacing w:line="360" w:lineRule="auto"/>
        <w:ind w:firstLine="567"/>
        <w:rPr>
          <w:szCs w:val="24"/>
          <w:lang w:eastAsia="ru-RU"/>
        </w:rPr>
      </w:pPr>
      <w:r w:rsidRPr="00DD0660">
        <w:rPr>
          <w:szCs w:val="24"/>
          <w:lang w:eastAsia="ru-RU"/>
        </w:rPr>
        <w:t xml:space="preserve">High-resolution climatic datasets such as WorldClim </w:t>
      </w:r>
      <w:r w:rsidR="00EE7A19">
        <w:rPr>
          <w:szCs w:val="24"/>
          <w:lang w:eastAsia="ru-RU"/>
        </w:rPr>
        <w:t>(</w:t>
      </w:r>
      <w:r w:rsidR="00EE7A19" w:rsidRPr="00EE7A19">
        <w:rPr>
          <w:color w:val="auto"/>
          <w:szCs w:val="24"/>
        </w:rPr>
        <w:t xml:space="preserve">Fick </w:t>
      </w:r>
      <w:r w:rsidR="00EE7A19">
        <w:rPr>
          <w:color w:val="auto"/>
          <w:szCs w:val="24"/>
        </w:rPr>
        <w:t>and</w:t>
      </w:r>
      <w:r w:rsidR="00EE7A19" w:rsidRPr="00EE7A19">
        <w:rPr>
          <w:color w:val="auto"/>
          <w:szCs w:val="24"/>
        </w:rPr>
        <w:t xml:space="preserve"> Hijmans 2017</w:t>
      </w:r>
      <w:r w:rsidR="00EE7A19">
        <w:rPr>
          <w:szCs w:val="24"/>
          <w:lang w:eastAsia="ru-RU"/>
        </w:rPr>
        <w:t>)</w:t>
      </w:r>
      <w:r w:rsidRPr="00DD0660">
        <w:rPr>
          <w:szCs w:val="24"/>
          <w:lang w:eastAsia="ru-RU"/>
        </w:rPr>
        <w:t xml:space="preserve"> enable spatially continuous predictor surfaces, while SRTM-based digital elevation models </w:t>
      </w:r>
      <w:r w:rsidR="007122A7">
        <w:rPr>
          <w:szCs w:val="24"/>
          <w:lang w:eastAsia="ru-RU"/>
        </w:rPr>
        <w:t>(</w:t>
      </w:r>
      <w:bookmarkStart w:id="0" w:name="OLE_LINK1"/>
      <w:r w:rsidR="007122A7" w:rsidRPr="007122A7">
        <w:rPr>
          <w:color w:val="auto"/>
          <w:szCs w:val="24"/>
        </w:rPr>
        <w:t>Farr</w:t>
      </w:r>
      <w:r w:rsidR="007122A7">
        <w:rPr>
          <w:color w:val="auto"/>
          <w:szCs w:val="24"/>
        </w:rPr>
        <w:t xml:space="preserve"> et al. 2007</w:t>
      </w:r>
      <w:bookmarkEnd w:id="0"/>
      <w:r w:rsidR="007122A7">
        <w:rPr>
          <w:szCs w:val="24"/>
          <w:lang w:eastAsia="ru-RU"/>
        </w:rPr>
        <w:t>)</w:t>
      </w:r>
      <w:r w:rsidRPr="00DD0660">
        <w:rPr>
          <w:szCs w:val="24"/>
          <w:lang w:eastAsia="ru-RU"/>
        </w:rPr>
        <w:t xml:space="preserve"> improve topographic stratification of ecological niches. Interpretability frameworks such as SHAP </w:t>
      </w:r>
      <w:r w:rsidR="00164AFA" w:rsidRPr="00164AFA">
        <w:rPr>
          <w:szCs w:val="24"/>
          <w:lang w:eastAsia="ru-RU"/>
        </w:rPr>
        <w:t>(</w:t>
      </w:r>
      <w:r w:rsidR="00164AFA" w:rsidRPr="00D40CBE">
        <w:rPr>
          <w:color w:val="auto"/>
          <w:szCs w:val="24"/>
        </w:rPr>
        <w:t xml:space="preserve">Lundberg </w:t>
      </w:r>
      <w:r w:rsidR="00164AFA" w:rsidRPr="00164AFA">
        <w:rPr>
          <w:color w:val="auto"/>
          <w:szCs w:val="24"/>
        </w:rPr>
        <w:t>and</w:t>
      </w:r>
      <w:r w:rsidR="00164AFA" w:rsidRPr="00D40CBE">
        <w:rPr>
          <w:color w:val="auto"/>
          <w:szCs w:val="24"/>
        </w:rPr>
        <w:t xml:space="preserve"> Lee 2017</w:t>
      </w:r>
      <w:r w:rsidR="00164AFA" w:rsidRPr="00164AFA">
        <w:rPr>
          <w:szCs w:val="24"/>
          <w:lang w:eastAsia="ru-RU"/>
        </w:rPr>
        <w:t>)</w:t>
      </w:r>
      <w:r w:rsidRPr="00DD0660">
        <w:rPr>
          <w:szCs w:val="24"/>
          <w:lang w:eastAsia="ru-RU"/>
        </w:rPr>
        <w:t xml:space="preserve"> further enhance transparency of machine learning predictions, allowing identification of dominant climatic drivers influencing outbreak probability.</w:t>
      </w:r>
    </w:p>
    <w:p w14:paraId="77BB89F7" w14:textId="2AB91E5A" w:rsidR="00DD0660" w:rsidRPr="00DD0660" w:rsidRDefault="00DD0660" w:rsidP="00DD0660">
      <w:pPr>
        <w:spacing w:line="360" w:lineRule="auto"/>
        <w:ind w:firstLine="567"/>
        <w:rPr>
          <w:szCs w:val="24"/>
          <w:lang w:eastAsia="ru-RU"/>
        </w:rPr>
      </w:pPr>
      <w:r w:rsidRPr="00DD0660">
        <w:rPr>
          <w:szCs w:val="24"/>
          <w:lang w:eastAsia="ru-RU"/>
        </w:rPr>
        <w:t xml:space="preserve">Within the Central Asian context, habitat suitability and phytosanitary zoning of harmful non-gregarious locusts have been investigated by </w:t>
      </w:r>
      <w:r w:rsidR="00B330A7" w:rsidRPr="00DD0660">
        <w:rPr>
          <w:szCs w:val="24"/>
          <w:lang w:eastAsia="ru-RU"/>
        </w:rPr>
        <w:t xml:space="preserve">K.S. </w:t>
      </w:r>
      <w:r w:rsidRPr="00DD0660">
        <w:rPr>
          <w:szCs w:val="24"/>
          <w:lang w:eastAsia="ru-RU"/>
        </w:rPr>
        <w:t xml:space="preserve">Baibussenov and co-authors </w:t>
      </w:r>
      <w:r w:rsidR="00B330A7">
        <w:rPr>
          <w:szCs w:val="24"/>
          <w:lang w:eastAsia="ru-RU"/>
        </w:rPr>
        <w:t>(2024)</w:t>
      </w:r>
      <w:r w:rsidRPr="00DD0660">
        <w:rPr>
          <w:szCs w:val="24"/>
          <w:lang w:eastAsia="ru-RU"/>
        </w:rPr>
        <w:t>. Their work demonstrated that integrating satellite-derived vegetation indices with agro-climatic zoning significantly improves identification of high-risk reproductive habitats in Northern Kazakhstan. This regional evidence confirms that non-gregarious locust systems require spatially stratified modeling approaches calibrated to local environmental gradients.</w:t>
      </w:r>
    </w:p>
    <w:p w14:paraId="70A8BD2B" w14:textId="77777777" w:rsidR="00DD0660" w:rsidRPr="00DD0660" w:rsidRDefault="00DD0660" w:rsidP="00DD0660">
      <w:pPr>
        <w:spacing w:line="360" w:lineRule="auto"/>
        <w:ind w:firstLine="567"/>
        <w:rPr>
          <w:szCs w:val="24"/>
          <w:lang w:eastAsia="ru-RU"/>
        </w:rPr>
      </w:pPr>
      <w:r w:rsidRPr="00DD0660">
        <w:rPr>
          <w:szCs w:val="24"/>
          <w:lang w:eastAsia="ru-RU"/>
        </w:rPr>
        <w:t>Despite these advances, no fully integrated ML–GIS forecasting architecture currently exists for harmful non-gregarious locust populations in Kazakhstan.</w:t>
      </w:r>
    </w:p>
    <w:p w14:paraId="48BEC06E" w14:textId="77777777" w:rsidR="003D614B" w:rsidRDefault="00DD0660" w:rsidP="003D614B">
      <w:pPr>
        <w:spacing w:line="360" w:lineRule="auto"/>
        <w:ind w:firstLine="567"/>
        <w:rPr>
          <w:szCs w:val="24"/>
          <w:lang w:eastAsia="ru-RU"/>
        </w:rPr>
      </w:pPr>
      <w:r w:rsidRPr="00DD0660">
        <w:rPr>
          <w:szCs w:val="24"/>
          <w:lang w:eastAsia="ru-RU"/>
        </w:rPr>
        <w:t>Existing regional studies focus primarily on habitat suitability rather than dynamic population forecasting coupled with web-based decision-support platforms. Therefore, the development of an ensemble-based predictive framework combining multi-source environmental predictors, machine learning algorithms, and GIS deployment represents both a methodological and operational advancement in phytosanitary management.</w:t>
      </w:r>
    </w:p>
    <w:p w14:paraId="42230223" w14:textId="77777777" w:rsidR="003D614B" w:rsidRDefault="003D614B" w:rsidP="003D614B">
      <w:pPr>
        <w:spacing w:line="360" w:lineRule="auto"/>
        <w:ind w:firstLine="567"/>
        <w:rPr>
          <w:szCs w:val="24"/>
          <w:lang w:eastAsia="ru-RU"/>
        </w:rPr>
      </w:pPr>
    </w:p>
    <w:p w14:paraId="5ADA9282" w14:textId="067E2EBD" w:rsidR="00DD0660" w:rsidRPr="003D614B" w:rsidRDefault="00DD0660" w:rsidP="003D614B">
      <w:pPr>
        <w:pStyle w:val="afd"/>
        <w:numPr>
          <w:ilvl w:val="1"/>
          <w:numId w:val="30"/>
        </w:numPr>
        <w:tabs>
          <w:tab w:val="left" w:pos="567"/>
        </w:tabs>
        <w:spacing w:line="360" w:lineRule="auto"/>
        <w:ind w:left="0" w:firstLine="0"/>
        <w:contextualSpacing w:val="0"/>
        <w:rPr>
          <w:color w:val="000000"/>
          <w:lang w:eastAsia="ru-RU"/>
        </w:rPr>
      </w:pPr>
      <w:r w:rsidRPr="003D614B">
        <w:rPr>
          <w:b/>
        </w:rPr>
        <w:lastRenderedPageBreak/>
        <w:t>Research Gap and Objective</w:t>
      </w:r>
    </w:p>
    <w:p w14:paraId="0E336417" w14:textId="77777777" w:rsidR="00DD0660" w:rsidRPr="00DD0660" w:rsidRDefault="00DD0660" w:rsidP="00DD0660">
      <w:pPr>
        <w:pStyle w:val="afa"/>
        <w:spacing w:line="360" w:lineRule="auto"/>
        <w:ind w:firstLine="567"/>
        <w:rPr>
          <w:rStyle w:val="relative"/>
        </w:rPr>
      </w:pPr>
      <w:r w:rsidRPr="00DD0660">
        <w:t>Given the agro-climatic heterogeneity of Kazakhstan and the ecological specificity of non-gregarious locust species, region-specific predictive modeling frameworks are required. Previous GIS-based niche simulations in Northern Kazakhstan demonstrated feasibility of habitat modeling however, these efforts did not incorporate deep learning architectures, ensemble validation, or interactive web deployment</w:t>
      </w:r>
    </w:p>
    <w:p w14:paraId="6493782E" w14:textId="77777777" w:rsidR="00DD0660" w:rsidRPr="00DD0660" w:rsidRDefault="00DD0660" w:rsidP="00DD0660">
      <w:pPr>
        <w:pStyle w:val="afa"/>
        <w:spacing w:line="360" w:lineRule="auto"/>
        <w:ind w:firstLine="567"/>
      </w:pPr>
      <w:r w:rsidRPr="00DD0660">
        <w:t>Therefore, this study aims to develop and validate an integrated Machine Learning–GIS framework for phytosanitary forecasting of harmful non-gregarious locust populations across agro-climatic zones of Kazakhstan. The system integrates:</w:t>
      </w:r>
    </w:p>
    <w:p w14:paraId="087674E6" w14:textId="77777777" w:rsidR="00DD0660" w:rsidRPr="00DD0660" w:rsidRDefault="00DD0660" w:rsidP="003823C8">
      <w:pPr>
        <w:pStyle w:val="afa"/>
        <w:numPr>
          <w:ilvl w:val="0"/>
          <w:numId w:val="31"/>
        </w:numPr>
        <w:tabs>
          <w:tab w:val="clear" w:pos="720"/>
          <w:tab w:val="left" w:pos="993"/>
        </w:tabs>
        <w:spacing w:line="360" w:lineRule="auto"/>
        <w:ind w:left="0" w:firstLine="567"/>
      </w:pPr>
      <w:r w:rsidRPr="00DD0660">
        <w:t>Multi-year phytosanitary monitoring data</w:t>
      </w:r>
    </w:p>
    <w:p w14:paraId="436F5C85" w14:textId="77777777" w:rsidR="00DD0660" w:rsidRPr="00DD0660" w:rsidRDefault="00DD0660" w:rsidP="003823C8">
      <w:pPr>
        <w:pStyle w:val="afa"/>
        <w:numPr>
          <w:ilvl w:val="0"/>
          <w:numId w:val="31"/>
        </w:numPr>
        <w:tabs>
          <w:tab w:val="clear" w:pos="720"/>
          <w:tab w:val="left" w:pos="993"/>
        </w:tabs>
        <w:spacing w:line="360" w:lineRule="auto"/>
        <w:ind w:left="0" w:firstLine="567"/>
      </w:pPr>
      <w:r w:rsidRPr="00DD0660">
        <w:t>Climatic and meteorological predictors</w:t>
      </w:r>
    </w:p>
    <w:p w14:paraId="223D204D" w14:textId="77777777" w:rsidR="00DD0660" w:rsidRPr="00DD0660" w:rsidRDefault="00DD0660" w:rsidP="003823C8">
      <w:pPr>
        <w:pStyle w:val="afa"/>
        <w:numPr>
          <w:ilvl w:val="0"/>
          <w:numId w:val="31"/>
        </w:numPr>
        <w:tabs>
          <w:tab w:val="clear" w:pos="720"/>
          <w:tab w:val="left" w:pos="993"/>
        </w:tabs>
        <w:spacing w:line="360" w:lineRule="auto"/>
        <w:ind w:left="0" w:firstLine="567"/>
      </w:pPr>
      <w:r w:rsidRPr="00DD0660">
        <w:t>Satellite-derived vegetation and soil moisture indices</w:t>
      </w:r>
    </w:p>
    <w:p w14:paraId="1E0CF67A" w14:textId="77777777" w:rsidR="00DD0660" w:rsidRPr="00DD0660" w:rsidRDefault="00DD0660" w:rsidP="003823C8">
      <w:pPr>
        <w:pStyle w:val="afa"/>
        <w:numPr>
          <w:ilvl w:val="0"/>
          <w:numId w:val="31"/>
        </w:numPr>
        <w:tabs>
          <w:tab w:val="clear" w:pos="720"/>
          <w:tab w:val="left" w:pos="993"/>
        </w:tabs>
        <w:spacing w:line="360" w:lineRule="auto"/>
        <w:ind w:left="0" w:firstLine="567"/>
      </w:pPr>
      <w:r w:rsidRPr="00DD0660">
        <w:t>Ensemble machine learning algorithms</w:t>
      </w:r>
    </w:p>
    <w:p w14:paraId="74F39E19" w14:textId="72586B40" w:rsidR="00397A3C" w:rsidRPr="00DD0660" w:rsidRDefault="00DD0660" w:rsidP="00DD0660">
      <w:pPr>
        <w:shd w:val="clear" w:color="auto" w:fill="FFFFFF" w:themeFill="background1"/>
        <w:spacing w:line="360" w:lineRule="auto"/>
        <w:ind w:firstLine="567"/>
        <w:rPr>
          <w:color w:val="auto"/>
          <w:szCs w:val="24"/>
        </w:rPr>
      </w:pPr>
      <w:r w:rsidRPr="00DD0660">
        <w:rPr>
          <w:szCs w:val="24"/>
        </w:rPr>
        <w:t xml:space="preserve">The framework is designed to transition phytosanitary management from reactive intervention toward proactive ecological population </w:t>
      </w:r>
      <w:r w:rsidRPr="00DD0660">
        <w:rPr>
          <w:color w:val="auto"/>
          <w:szCs w:val="24"/>
        </w:rPr>
        <w:t>regulation</w:t>
      </w:r>
      <w:r w:rsidR="00397A3C" w:rsidRPr="00DD0660">
        <w:rPr>
          <w:color w:val="auto"/>
          <w:szCs w:val="24"/>
        </w:rPr>
        <w:t>.</w:t>
      </w:r>
    </w:p>
    <w:p w14:paraId="41052CB4" w14:textId="77777777" w:rsidR="00397A3C" w:rsidRPr="00DD0660" w:rsidRDefault="00397A3C" w:rsidP="00DD0660">
      <w:pPr>
        <w:pStyle w:val="MDPI31text"/>
        <w:spacing w:line="360" w:lineRule="auto"/>
        <w:ind w:left="0" w:firstLine="567"/>
        <w:rPr>
          <w:rFonts w:ascii="Times New Roman" w:hAnsi="Times New Roman"/>
          <w:b/>
          <w:color w:val="FF0000"/>
          <w:sz w:val="24"/>
          <w:szCs w:val="24"/>
          <w:lang w:eastAsia="zh-CN"/>
        </w:rPr>
      </w:pPr>
    </w:p>
    <w:p w14:paraId="7E90C689" w14:textId="0664F94D" w:rsidR="00397A3C" w:rsidRPr="003823C8"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3823C8">
        <w:rPr>
          <w:rFonts w:ascii="Times New Roman" w:hAnsi="Times New Roman"/>
          <w:color w:val="auto"/>
          <w:sz w:val="24"/>
          <w:szCs w:val="24"/>
        </w:rPr>
        <w:t>MATERIALS AND METHODS</w:t>
      </w:r>
    </w:p>
    <w:p w14:paraId="32AF693C" w14:textId="0318CF26" w:rsidR="00E86408" w:rsidRPr="003823C8" w:rsidRDefault="003823C8" w:rsidP="003D614B">
      <w:pPr>
        <w:pStyle w:val="afd"/>
        <w:numPr>
          <w:ilvl w:val="1"/>
          <w:numId w:val="30"/>
        </w:numPr>
        <w:tabs>
          <w:tab w:val="left" w:pos="567"/>
        </w:tabs>
        <w:suppressAutoHyphens/>
        <w:spacing w:line="360" w:lineRule="auto"/>
        <w:ind w:left="0" w:firstLine="0"/>
        <w:contextualSpacing w:val="0"/>
        <w:rPr>
          <w:b/>
          <w:bCs/>
          <w:iCs/>
          <w:szCs w:val="28"/>
        </w:rPr>
      </w:pPr>
      <w:r w:rsidRPr="003823C8">
        <w:rPr>
          <w:b/>
          <w:bCs/>
          <w:iCs/>
          <w:szCs w:val="28"/>
        </w:rPr>
        <w:t>Study Area</w:t>
      </w:r>
    </w:p>
    <w:p w14:paraId="56CADC36" w14:textId="482269F5" w:rsidR="002503C3" w:rsidRPr="002503C3" w:rsidRDefault="002503C3" w:rsidP="002503C3">
      <w:pPr>
        <w:pStyle w:val="afa"/>
        <w:spacing w:line="360" w:lineRule="auto"/>
        <w:ind w:firstLine="567"/>
        <w:rPr>
          <w:color w:val="auto"/>
        </w:rPr>
      </w:pPr>
      <w:r w:rsidRPr="002503C3">
        <w:rPr>
          <w:color w:val="auto"/>
        </w:rPr>
        <w:t xml:space="preserve">The study encompasses forest-steppe, steppe, dry-steppe, semi-desert, and desert agro-climatic zones of Kazakhstan. These regions exhibit strong continentality, with annual temperature amplitudes exceeding 35–40°C and precipitation gradients from 150 to 400 mm </w:t>
      </w:r>
      <w:r w:rsidRPr="00A84ABE">
        <w:rPr>
          <w:color w:val="auto"/>
        </w:rPr>
        <w:t xml:space="preserve">annually </w:t>
      </w:r>
      <w:r w:rsidR="00A84ABE" w:rsidRPr="00A84ABE">
        <w:rPr>
          <w:color w:val="auto"/>
        </w:rPr>
        <w:t>(Mingalev</w:t>
      </w:r>
      <w:r w:rsidR="00A84ABE" w:rsidRPr="00ED5168">
        <w:rPr>
          <w:color w:val="auto"/>
        </w:rPr>
        <w:t xml:space="preserve"> 2021</w:t>
      </w:r>
      <w:r w:rsidR="00A84ABE">
        <w:rPr>
          <w:color w:val="auto"/>
        </w:rPr>
        <w:t>)</w:t>
      </w:r>
      <w:r w:rsidRPr="002503C3">
        <w:rPr>
          <w:color w:val="auto"/>
        </w:rPr>
        <w:t>.</w:t>
      </w:r>
    </w:p>
    <w:p w14:paraId="3F6EEF24" w14:textId="77777777" w:rsidR="002503C3" w:rsidRPr="002503C3" w:rsidRDefault="002503C3" w:rsidP="002503C3">
      <w:pPr>
        <w:pStyle w:val="afa"/>
        <w:spacing w:line="360" w:lineRule="auto"/>
        <w:ind w:firstLine="567"/>
        <w:rPr>
          <w:color w:val="auto"/>
        </w:rPr>
      </w:pPr>
      <w:r w:rsidRPr="002503C3">
        <w:rPr>
          <w:color w:val="auto"/>
        </w:rPr>
        <w:t>The study employed a two-dimensional classification of agroclimatic zones based on two principal parameters: the moisture regime and the thermal regime (Fig. 1).</w:t>
      </w:r>
    </w:p>
    <w:p w14:paraId="7129CDCD" w14:textId="77777777" w:rsidR="002503C3" w:rsidRDefault="002503C3" w:rsidP="002503C3">
      <w:pPr>
        <w:pStyle w:val="afa"/>
        <w:spacing w:line="360" w:lineRule="auto"/>
        <w:ind w:firstLine="567"/>
        <w:rPr>
          <w:color w:val="auto"/>
        </w:rPr>
      </w:pPr>
      <w:r w:rsidRPr="002503C3">
        <w:rPr>
          <w:color w:val="auto"/>
        </w:rPr>
        <w:t>The delineated agroclimatic zones were consolidated into eight groups according to shared diagnostic characteristics. Below, these groups are described in terms of their spatial distribution and their association with specif</w:t>
      </w:r>
      <w:r>
        <w:rPr>
          <w:color w:val="auto"/>
        </w:rPr>
        <w:t>ic natural–climatic conditions.</w:t>
      </w:r>
    </w:p>
    <w:p w14:paraId="29946CEF" w14:textId="6BC91AF8" w:rsidR="002503C3" w:rsidRPr="002503C3" w:rsidRDefault="002503C3" w:rsidP="002503C3">
      <w:pPr>
        <w:pStyle w:val="afa"/>
        <w:spacing w:line="360" w:lineRule="auto"/>
        <w:ind w:firstLine="567"/>
        <w:rPr>
          <w:color w:val="auto"/>
        </w:rPr>
      </w:pPr>
      <w:r w:rsidRPr="002503C3">
        <w:rPr>
          <w:bCs/>
          <w:color w:val="auto"/>
        </w:rPr>
        <w:t xml:space="preserve">I. Extremely arid zones: </w:t>
      </w:r>
      <w:r w:rsidRPr="002503C3">
        <w:rPr>
          <w:rStyle w:val="aff"/>
          <w:rFonts w:eastAsiaTheme="majorEastAsia"/>
          <w:b w:val="0"/>
          <w:color w:val="auto"/>
        </w:rPr>
        <w:t>Extremely arid / Hot</w:t>
      </w:r>
      <w:r w:rsidRPr="002503C3">
        <w:rPr>
          <w:bCs/>
          <w:color w:val="auto"/>
        </w:rPr>
        <w:t xml:space="preserve"> - this zone occupies the southwestern part of Kyzylorda Region within the Aral Sea basin and limited sectors of the Ustyurt Plateau in Mangystau Region, corresponding to the southern desert subzone of the Turan Lowland characterized by extremely low precipitation and intense continental heat conditions.</w:t>
      </w:r>
    </w:p>
    <w:p w14:paraId="062E16C3" w14:textId="58D4747B" w:rsidR="002503C3" w:rsidRDefault="002503C3" w:rsidP="002503C3">
      <w:pPr>
        <w:suppressAutoHyphens/>
        <w:spacing w:line="360" w:lineRule="auto"/>
        <w:ind w:firstLine="567"/>
        <w:rPr>
          <w:bCs/>
          <w:color w:val="auto"/>
          <w:szCs w:val="24"/>
        </w:rPr>
      </w:pPr>
      <w:r w:rsidRPr="002503C3">
        <w:rPr>
          <w:bCs/>
          <w:color w:val="auto"/>
          <w:szCs w:val="24"/>
        </w:rPr>
        <w:t xml:space="preserve">II. Highly arid zones: </w:t>
      </w:r>
      <w:r w:rsidRPr="002503C3">
        <w:rPr>
          <w:rStyle w:val="aff"/>
          <w:rFonts w:eastAsiaTheme="majorEastAsia"/>
          <w:b w:val="0"/>
          <w:color w:val="auto"/>
          <w:szCs w:val="24"/>
        </w:rPr>
        <w:t>Highly arid / Moderately warm</w:t>
      </w:r>
      <w:r w:rsidRPr="002503C3">
        <w:rPr>
          <w:bCs/>
          <w:color w:val="auto"/>
          <w:szCs w:val="24"/>
        </w:rPr>
        <w:t xml:space="preserve"> - distributed across the northern Caspian Lowland and the southern part of Aktobe Region, this zone coincides with the transitional belt between dry steppe and northern semi-desert landscapes; </w:t>
      </w:r>
      <w:r w:rsidRPr="002503C3">
        <w:rPr>
          <w:rStyle w:val="aff"/>
          <w:rFonts w:eastAsiaTheme="majorEastAsia"/>
          <w:b w:val="0"/>
          <w:color w:val="auto"/>
          <w:szCs w:val="24"/>
        </w:rPr>
        <w:t>Highly arid / Warm</w:t>
      </w:r>
      <w:r w:rsidRPr="002503C3">
        <w:rPr>
          <w:rStyle w:val="aff"/>
          <w:rFonts w:eastAsiaTheme="majorEastAsia"/>
          <w:color w:val="auto"/>
          <w:szCs w:val="24"/>
        </w:rPr>
        <w:t xml:space="preserve"> </w:t>
      </w:r>
      <w:r w:rsidRPr="002503C3">
        <w:rPr>
          <w:rStyle w:val="aff"/>
          <w:rFonts w:eastAsiaTheme="majorEastAsia"/>
          <w:color w:val="auto"/>
          <w:szCs w:val="24"/>
        </w:rPr>
        <w:lastRenderedPageBreak/>
        <w:t>-</w:t>
      </w:r>
      <w:r>
        <w:rPr>
          <w:rStyle w:val="aff"/>
          <w:rFonts w:eastAsiaTheme="majorEastAsia"/>
          <w:color w:val="auto"/>
          <w:szCs w:val="24"/>
        </w:rPr>
        <w:t xml:space="preserve"> </w:t>
      </w:r>
      <w:r w:rsidRPr="002503C3">
        <w:rPr>
          <w:bCs/>
          <w:color w:val="auto"/>
          <w:szCs w:val="24"/>
        </w:rPr>
        <w:t xml:space="preserve">extending over central Aktobe Region, the southern margins of Karaganda Region, and parts of the Ulytau area, it corresponds predominantly to semi-desert and dry steppe environments of Central Kazakhstan; </w:t>
      </w:r>
      <w:r w:rsidRPr="002503C3">
        <w:rPr>
          <w:rStyle w:val="aff"/>
          <w:rFonts w:eastAsiaTheme="majorEastAsia"/>
          <w:b w:val="0"/>
          <w:color w:val="auto"/>
          <w:szCs w:val="24"/>
        </w:rPr>
        <w:t xml:space="preserve">Highly arid / Moderately hot </w:t>
      </w:r>
      <w:r w:rsidRPr="002503C3">
        <w:rPr>
          <w:rStyle w:val="aff"/>
          <w:rFonts w:eastAsiaTheme="majorEastAsia"/>
          <w:color w:val="auto"/>
          <w:szCs w:val="24"/>
        </w:rPr>
        <w:t>-</w:t>
      </w:r>
      <w:r w:rsidRPr="002503C3">
        <w:rPr>
          <w:bCs/>
          <w:color w:val="auto"/>
          <w:szCs w:val="24"/>
        </w:rPr>
        <w:t xml:space="preserve"> covering most of Kyzylorda Region and the plain territories of Turkistan and southern Zhambyl Regions, this zone is associated with the clay and sandy deserts of the Turan Lowland; </w:t>
      </w:r>
      <w:r w:rsidRPr="002503C3">
        <w:rPr>
          <w:rStyle w:val="aff"/>
          <w:rFonts w:eastAsiaTheme="majorEastAsia"/>
          <w:b w:val="0"/>
          <w:color w:val="auto"/>
          <w:szCs w:val="24"/>
        </w:rPr>
        <w:t>Highly arid / Hot</w:t>
      </w:r>
      <w:r w:rsidRPr="002503C3">
        <w:rPr>
          <w:rStyle w:val="aff"/>
          <w:rFonts w:eastAsiaTheme="majorEastAsia"/>
          <w:color w:val="auto"/>
          <w:szCs w:val="24"/>
        </w:rPr>
        <w:t xml:space="preserve"> -</w:t>
      </w:r>
      <w:r w:rsidRPr="002503C3">
        <w:rPr>
          <w:bCs/>
          <w:color w:val="auto"/>
          <w:szCs w:val="24"/>
        </w:rPr>
        <w:br/>
        <w:t>occupying Mangystau Region, southern Atyrau Region, and extensive desert tracts of Turkistan and Zhambyl Regions, it corresponds to the arid desert landscapes of the Caspian Lowland, Betpak-Dala, and Moyynkum.</w:t>
      </w:r>
    </w:p>
    <w:p w14:paraId="0E9D2BB9" w14:textId="77777777" w:rsidR="002503C3" w:rsidRDefault="002503C3" w:rsidP="002503C3">
      <w:pPr>
        <w:suppressAutoHyphens/>
        <w:spacing w:line="360" w:lineRule="auto"/>
        <w:ind w:firstLine="567"/>
        <w:rPr>
          <w:bCs/>
          <w:color w:val="auto"/>
          <w:szCs w:val="24"/>
        </w:rPr>
      </w:pPr>
      <w:r w:rsidRPr="002503C3">
        <w:rPr>
          <w:bCs/>
          <w:color w:val="auto"/>
          <w:szCs w:val="24"/>
        </w:rPr>
        <w:t xml:space="preserve">III. Moderately arid zones: </w:t>
      </w:r>
      <w:r w:rsidRPr="002503C3">
        <w:rPr>
          <w:rStyle w:val="aff"/>
          <w:rFonts w:eastAsiaTheme="majorEastAsia"/>
          <w:b w:val="0"/>
          <w:color w:val="auto"/>
          <w:szCs w:val="24"/>
        </w:rPr>
        <w:t>Moderately arid / Moderately warm</w:t>
      </w:r>
      <w:r w:rsidRPr="002503C3">
        <w:rPr>
          <w:bCs/>
          <w:color w:val="auto"/>
          <w:szCs w:val="24"/>
        </w:rPr>
        <w:t xml:space="preserve"> - located in southern Kostanay Region, northern Karaganda Region, and western Akmola Region, this zone aligns with the dry steppe belt of northern Central Kazakhstan; </w:t>
      </w:r>
      <w:r w:rsidRPr="002503C3">
        <w:rPr>
          <w:rStyle w:val="aff"/>
          <w:rFonts w:eastAsiaTheme="majorEastAsia"/>
          <w:b w:val="0"/>
          <w:color w:val="auto"/>
          <w:szCs w:val="24"/>
        </w:rPr>
        <w:t>Moderately arid / Warm</w:t>
      </w:r>
      <w:r w:rsidRPr="002503C3">
        <w:rPr>
          <w:rStyle w:val="aff"/>
          <w:rFonts w:eastAsiaTheme="majorEastAsia"/>
          <w:bCs w:val="0"/>
          <w:color w:val="auto"/>
          <w:szCs w:val="24"/>
        </w:rPr>
        <w:t xml:space="preserve"> -</w:t>
      </w:r>
      <w:r w:rsidRPr="002503C3">
        <w:rPr>
          <w:bCs/>
          <w:color w:val="auto"/>
          <w:szCs w:val="24"/>
        </w:rPr>
        <w:t xml:space="preserve"> observed in southern West Kazakhstan Region, western Kostanay Region, and parts of Abai Region, it corresponds to the dry steppe transitioning toward semi-desert conditions; </w:t>
      </w:r>
      <w:r w:rsidRPr="002503C3">
        <w:rPr>
          <w:rStyle w:val="aff"/>
          <w:rFonts w:eastAsiaTheme="majorEastAsia"/>
          <w:b w:val="0"/>
          <w:color w:val="auto"/>
          <w:szCs w:val="24"/>
        </w:rPr>
        <w:t>Moderately arid / Moderately hot</w:t>
      </w:r>
      <w:r w:rsidRPr="002503C3">
        <w:rPr>
          <w:rStyle w:val="aff"/>
          <w:rFonts w:eastAsiaTheme="majorEastAsia"/>
          <w:color w:val="auto"/>
          <w:szCs w:val="24"/>
        </w:rPr>
        <w:t xml:space="preserve"> -</w:t>
      </w:r>
      <w:r w:rsidRPr="002503C3">
        <w:rPr>
          <w:color w:val="auto"/>
          <w:szCs w:val="24"/>
        </w:rPr>
        <w:t xml:space="preserve"> </w:t>
      </w:r>
      <w:r w:rsidRPr="002503C3">
        <w:rPr>
          <w:bCs/>
          <w:color w:val="auto"/>
          <w:szCs w:val="24"/>
        </w:rPr>
        <w:t xml:space="preserve">distributed in eastern Turkistan Region and southern Zhetysu Region, this zone reflects semi-desert landscapes and foothill plains adjacent to the mountain systems of southeastern Kazakhstan; </w:t>
      </w:r>
      <w:r w:rsidRPr="002503C3">
        <w:rPr>
          <w:rStyle w:val="aff"/>
          <w:rFonts w:eastAsiaTheme="majorEastAsia"/>
          <w:b w:val="0"/>
          <w:color w:val="auto"/>
          <w:szCs w:val="24"/>
        </w:rPr>
        <w:t>Moderately arid / Hot</w:t>
      </w:r>
      <w:r w:rsidRPr="002503C3">
        <w:rPr>
          <w:rStyle w:val="aff"/>
          <w:rFonts w:eastAsiaTheme="majorEastAsia"/>
          <w:color w:val="auto"/>
          <w:szCs w:val="24"/>
        </w:rPr>
        <w:t xml:space="preserve"> -</w:t>
      </w:r>
      <w:r w:rsidRPr="002503C3">
        <w:rPr>
          <w:rStyle w:val="aff"/>
          <w:rFonts w:eastAsiaTheme="majorEastAsia"/>
          <w:bCs w:val="0"/>
          <w:color w:val="auto"/>
          <w:szCs w:val="24"/>
        </w:rPr>
        <w:t xml:space="preserve"> </w:t>
      </w:r>
      <w:r w:rsidRPr="002503C3">
        <w:rPr>
          <w:bCs/>
          <w:color w:val="auto"/>
          <w:szCs w:val="24"/>
        </w:rPr>
        <w:t>extending across the foothill areas of Zhambyl and Turkistan Regions and northern Almaty Region, it corresponds to semi-desert and pre-mountain steppe environments.</w:t>
      </w:r>
      <w:r>
        <w:rPr>
          <w:bCs/>
          <w:color w:val="auto"/>
          <w:szCs w:val="24"/>
        </w:rPr>
        <w:t xml:space="preserve"> </w:t>
      </w:r>
    </w:p>
    <w:p w14:paraId="2137E621" w14:textId="777AE346" w:rsidR="002503C3" w:rsidRDefault="002503C3" w:rsidP="002503C3">
      <w:pPr>
        <w:suppressAutoHyphens/>
        <w:spacing w:line="360" w:lineRule="auto"/>
        <w:ind w:firstLine="567"/>
        <w:rPr>
          <w:bCs/>
          <w:color w:val="auto"/>
          <w:szCs w:val="24"/>
        </w:rPr>
      </w:pPr>
      <w:r w:rsidRPr="002503C3">
        <w:rPr>
          <w:bCs/>
          <w:color w:val="auto"/>
          <w:szCs w:val="24"/>
        </w:rPr>
        <w:t xml:space="preserve">IV. Slightly humid zones: </w:t>
      </w:r>
      <w:r w:rsidRPr="002503C3">
        <w:rPr>
          <w:rStyle w:val="aff"/>
          <w:rFonts w:eastAsiaTheme="majorEastAsia"/>
          <w:b w:val="0"/>
          <w:color w:val="auto"/>
          <w:szCs w:val="24"/>
        </w:rPr>
        <w:t>Slightly humid / Slightly warm</w:t>
      </w:r>
      <w:r>
        <w:rPr>
          <w:rStyle w:val="aff"/>
          <w:rFonts w:eastAsiaTheme="majorEastAsia"/>
          <w:color w:val="auto"/>
          <w:szCs w:val="24"/>
        </w:rPr>
        <w:t xml:space="preserve"> </w:t>
      </w:r>
      <w:r w:rsidRPr="002503C3">
        <w:rPr>
          <w:rStyle w:val="aff"/>
          <w:rFonts w:eastAsiaTheme="majorEastAsia"/>
          <w:color w:val="auto"/>
          <w:szCs w:val="24"/>
        </w:rPr>
        <w:t>-</w:t>
      </w:r>
      <w:r w:rsidRPr="002503C3">
        <w:rPr>
          <w:rStyle w:val="aff"/>
          <w:rFonts w:eastAsiaTheme="majorEastAsia"/>
          <w:bCs w:val="0"/>
          <w:color w:val="auto"/>
          <w:szCs w:val="24"/>
        </w:rPr>
        <w:t xml:space="preserve"> </w:t>
      </w:r>
      <w:r w:rsidRPr="002503C3">
        <w:rPr>
          <w:bCs/>
          <w:color w:val="auto"/>
          <w:szCs w:val="24"/>
        </w:rPr>
        <w:t xml:space="preserve">confined to northern Kostanay Region, this zone coincides with the southern forest-steppe subzone; </w:t>
      </w:r>
      <w:r w:rsidRPr="002503C3">
        <w:rPr>
          <w:rStyle w:val="aff"/>
          <w:rFonts w:eastAsiaTheme="majorEastAsia"/>
          <w:b w:val="0"/>
          <w:color w:val="auto"/>
          <w:szCs w:val="24"/>
        </w:rPr>
        <w:t>Slightly humid / Moderately warm</w:t>
      </w:r>
      <w:r w:rsidRPr="002503C3">
        <w:rPr>
          <w:bCs/>
          <w:color w:val="auto"/>
          <w:szCs w:val="24"/>
        </w:rPr>
        <w:t xml:space="preserve"> - covering large parts of Kostanay Region as well as northern Aktobe, western Pavlodar, and Akmola Regions, it corresponds to the typical steppe zone of northern Kazakhstan; </w:t>
      </w:r>
      <w:r w:rsidRPr="002503C3">
        <w:rPr>
          <w:rStyle w:val="aff"/>
          <w:rFonts w:eastAsiaTheme="majorEastAsia"/>
          <w:b w:val="0"/>
          <w:color w:val="auto"/>
          <w:szCs w:val="24"/>
        </w:rPr>
        <w:t>Slightly humid / Moderately hot</w:t>
      </w:r>
      <w:r w:rsidRPr="002503C3">
        <w:rPr>
          <w:bCs/>
          <w:color w:val="auto"/>
          <w:szCs w:val="24"/>
        </w:rPr>
        <w:t xml:space="preserve"> - located in central Karaganda Region and southern Abai Region, this zone reflects steppe landscapes transitioning toward dry steppe conditions; </w:t>
      </w:r>
      <w:r w:rsidRPr="002503C3">
        <w:rPr>
          <w:rStyle w:val="aff"/>
          <w:rFonts w:eastAsiaTheme="majorEastAsia"/>
          <w:b w:val="0"/>
          <w:color w:val="auto"/>
          <w:szCs w:val="24"/>
        </w:rPr>
        <w:t>Slightly humid / Hot</w:t>
      </w:r>
      <w:r w:rsidRPr="002503C3">
        <w:rPr>
          <w:rStyle w:val="aff"/>
          <w:rFonts w:eastAsiaTheme="majorEastAsia"/>
          <w:color w:val="auto"/>
          <w:szCs w:val="24"/>
        </w:rPr>
        <w:t xml:space="preserve"> -</w:t>
      </w:r>
      <w:r w:rsidRPr="002503C3">
        <w:rPr>
          <w:bCs/>
          <w:color w:val="auto"/>
          <w:szCs w:val="24"/>
        </w:rPr>
        <w:t xml:space="preserve"> distributed in the foothill areas of Almaty and southern Zhetysu Regions, it corresponds to pre-mountain steppe landscapes of southeastern Kazakhstan.</w:t>
      </w:r>
      <w:r>
        <w:rPr>
          <w:bCs/>
          <w:color w:val="auto"/>
          <w:szCs w:val="24"/>
        </w:rPr>
        <w:t xml:space="preserve"> </w:t>
      </w:r>
    </w:p>
    <w:p w14:paraId="2E1CEA08" w14:textId="77777777" w:rsidR="002503C3" w:rsidRDefault="002503C3" w:rsidP="002503C3">
      <w:pPr>
        <w:suppressAutoHyphens/>
        <w:spacing w:line="360" w:lineRule="auto"/>
        <w:ind w:firstLine="567"/>
        <w:rPr>
          <w:bCs/>
          <w:color w:val="auto"/>
          <w:szCs w:val="24"/>
        </w:rPr>
      </w:pPr>
      <w:r w:rsidRPr="002503C3">
        <w:rPr>
          <w:bCs/>
          <w:color w:val="auto"/>
          <w:szCs w:val="24"/>
        </w:rPr>
        <w:t xml:space="preserve">V. Sufficiently humid zones: </w:t>
      </w:r>
      <w:r w:rsidRPr="002503C3">
        <w:rPr>
          <w:rStyle w:val="aff"/>
          <w:rFonts w:eastAsiaTheme="majorEastAsia"/>
          <w:b w:val="0"/>
          <w:color w:val="auto"/>
          <w:szCs w:val="24"/>
        </w:rPr>
        <w:t>Sufficiently humid / Slightly warm</w:t>
      </w:r>
      <w:r w:rsidRPr="002503C3">
        <w:rPr>
          <w:rStyle w:val="aff"/>
          <w:rFonts w:eastAsiaTheme="majorEastAsia"/>
          <w:color w:val="auto"/>
          <w:szCs w:val="24"/>
        </w:rPr>
        <w:t xml:space="preserve"> -</w:t>
      </w:r>
      <w:r w:rsidRPr="002503C3">
        <w:rPr>
          <w:bCs/>
          <w:color w:val="auto"/>
          <w:szCs w:val="24"/>
        </w:rPr>
        <w:t xml:space="preserve"> occupying most of North Kazakhstan Region and northern Pavlodar Region, this zone corresponds to the forest-steppe landscapes of northern Kazakhstan; </w:t>
      </w:r>
      <w:r w:rsidRPr="002503C3">
        <w:rPr>
          <w:rStyle w:val="aff"/>
          <w:rFonts w:eastAsiaTheme="majorEastAsia"/>
          <w:b w:val="0"/>
          <w:color w:val="auto"/>
          <w:szCs w:val="24"/>
        </w:rPr>
        <w:t>Sufficiently humid / Moderately warm</w:t>
      </w:r>
      <w:r w:rsidRPr="002503C3">
        <w:rPr>
          <w:rStyle w:val="aff"/>
          <w:rFonts w:eastAsiaTheme="majorEastAsia"/>
          <w:color w:val="auto"/>
          <w:szCs w:val="24"/>
        </w:rPr>
        <w:t xml:space="preserve"> -</w:t>
      </w:r>
      <w:r w:rsidRPr="002503C3">
        <w:rPr>
          <w:bCs/>
          <w:color w:val="auto"/>
          <w:szCs w:val="24"/>
        </w:rPr>
        <w:t xml:space="preserve"> found across central and northern Akmola Region and northwestern Karaganda Region, it aligns with steppe landscapes characterized by relatively stable moisture availability; </w:t>
      </w:r>
      <w:r w:rsidRPr="002503C3">
        <w:rPr>
          <w:rStyle w:val="aff"/>
          <w:rFonts w:eastAsiaTheme="majorEastAsia"/>
          <w:b w:val="0"/>
          <w:color w:val="auto"/>
          <w:szCs w:val="24"/>
        </w:rPr>
        <w:t>Sufficiently humid / Moderately hot</w:t>
      </w:r>
      <w:r w:rsidRPr="002503C3">
        <w:rPr>
          <w:rStyle w:val="aff"/>
          <w:rFonts w:eastAsiaTheme="majorEastAsia"/>
          <w:color w:val="auto"/>
          <w:szCs w:val="24"/>
        </w:rPr>
        <w:t xml:space="preserve"> -</w:t>
      </w:r>
      <w:r w:rsidRPr="002503C3">
        <w:rPr>
          <w:rStyle w:val="aff"/>
          <w:rFonts w:eastAsiaTheme="majorEastAsia"/>
          <w:bCs w:val="0"/>
          <w:color w:val="auto"/>
          <w:szCs w:val="24"/>
        </w:rPr>
        <w:t xml:space="preserve"> </w:t>
      </w:r>
      <w:r w:rsidRPr="002503C3">
        <w:rPr>
          <w:bCs/>
          <w:color w:val="auto"/>
          <w:szCs w:val="24"/>
        </w:rPr>
        <w:t xml:space="preserve">present in eastern Pavlodar Region and the foothill areas of East Kazakhstan Region, this zone corresponds to pre-mountain steppe environments influenced by orographic </w:t>
      </w:r>
      <w:r w:rsidRPr="002503C3">
        <w:rPr>
          <w:bCs/>
          <w:color w:val="auto"/>
          <w:szCs w:val="24"/>
        </w:rPr>
        <w:lastRenderedPageBreak/>
        <w:t xml:space="preserve">effects; </w:t>
      </w:r>
      <w:r w:rsidRPr="002503C3">
        <w:rPr>
          <w:rStyle w:val="aff"/>
          <w:rFonts w:eastAsiaTheme="majorEastAsia"/>
          <w:b w:val="0"/>
          <w:color w:val="auto"/>
          <w:szCs w:val="24"/>
        </w:rPr>
        <w:t>Sufficiently humid / Hot</w:t>
      </w:r>
      <w:r w:rsidRPr="002503C3">
        <w:rPr>
          <w:rStyle w:val="aff"/>
          <w:rFonts w:eastAsiaTheme="majorEastAsia"/>
          <w:color w:val="auto"/>
          <w:szCs w:val="24"/>
        </w:rPr>
        <w:t xml:space="preserve"> -</w:t>
      </w:r>
      <w:r w:rsidRPr="002503C3">
        <w:rPr>
          <w:bCs/>
          <w:color w:val="auto"/>
          <w:szCs w:val="24"/>
        </w:rPr>
        <w:t xml:space="preserve"> located in the southern foothills of Almaty Region, it corresponds to the lower mountain belts of the Northern Tien Shan.</w:t>
      </w:r>
      <w:r>
        <w:rPr>
          <w:bCs/>
          <w:color w:val="auto"/>
          <w:szCs w:val="24"/>
        </w:rPr>
        <w:t xml:space="preserve"> </w:t>
      </w:r>
    </w:p>
    <w:p w14:paraId="05A8D95E" w14:textId="77777777" w:rsidR="002503C3" w:rsidRDefault="002503C3" w:rsidP="002503C3">
      <w:pPr>
        <w:suppressAutoHyphens/>
        <w:spacing w:line="360" w:lineRule="auto"/>
        <w:ind w:firstLine="567"/>
        <w:rPr>
          <w:bCs/>
          <w:color w:val="auto"/>
          <w:szCs w:val="24"/>
        </w:rPr>
      </w:pPr>
      <w:r w:rsidRPr="002503C3">
        <w:rPr>
          <w:bCs/>
          <w:color w:val="auto"/>
          <w:szCs w:val="24"/>
        </w:rPr>
        <w:t xml:space="preserve">VI. Persistently humid zones: </w:t>
      </w:r>
      <w:r w:rsidRPr="002503C3">
        <w:rPr>
          <w:rStyle w:val="aff"/>
          <w:rFonts w:eastAsiaTheme="majorEastAsia"/>
          <w:b w:val="0"/>
          <w:color w:val="auto"/>
          <w:szCs w:val="24"/>
        </w:rPr>
        <w:t>Persistently humid / Slightly warm</w:t>
      </w:r>
      <w:r>
        <w:rPr>
          <w:rStyle w:val="aff"/>
          <w:rFonts w:eastAsiaTheme="majorEastAsia"/>
          <w:color w:val="auto"/>
          <w:szCs w:val="24"/>
        </w:rPr>
        <w:t xml:space="preserve"> </w:t>
      </w:r>
      <w:r w:rsidRPr="002503C3">
        <w:rPr>
          <w:rStyle w:val="aff"/>
          <w:rFonts w:eastAsiaTheme="majorEastAsia"/>
          <w:color w:val="auto"/>
          <w:szCs w:val="24"/>
        </w:rPr>
        <w:t>-</w:t>
      </w:r>
      <w:r w:rsidRPr="002503C3">
        <w:rPr>
          <w:bCs/>
          <w:color w:val="auto"/>
          <w:szCs w:val="24"/>
        </w:rPr>
        <w:t xml:space="preserve"> extending over northern parts of North Kazakhstan and Akmola Regions, this zone corresponds to the northern forest-steppe subzone with stable moisture conditions; </w:t>
      </w:r>
      <w:r w:rsidRPr="002503C3">
        <w:rPr>
          <w:rStyle w:val="aff"/>
          <w:rFonts w:eastAsiaTheme="majorEastAsia"/>
          <w:b w:val="0"/>
          <w:color w:val="auto"/>
          <w:szCs w:val="24"/>
        </w:rPr>
        <w:t>Persistently humid / Hot</w:t>
      </w:r>
      <w:r w:rsidRPr="002503C3">
        <w:rPr>
          <w:rStyle w:val="aff"/>
          <w:rFonts w:eastAsiaTheme="majorEastAsia"/>
          <w:color w:val="auto"/>
          <w:szCs w:val="24"/>
        </w:rPr>
        <w:t xml:space="preserve"> -</w:t>
      </w:r>
      <w:r w:rsidRPr="002503C3">
        <w:rPr>
          <w:bCs/>
          <w:color w:val="auto"/>
          <w:szCs w:val="24"/>
        </w:rPr>
        <w:br/>
        <w:t>confined to mountainous areas of Almaty Region, it corresponds to mountain forest and meadow belts characterized by enhanced orographic precipitation.</w:t>
      </w:r>
    </w:p>
    <w:p w14:paraId="3F7A3123" w14:textId="39A7A2BF" w:rsidR="002503C3" w:rsidRPr="002503C3" w:rsidRDefault="002503C3" w:rsidP="002503C3">
      <w:pPr>
        <w:suppressAutoHyphens/>
        <w:spacing w:line="360" w:lineRule="auto"/>
        <w:ind w:firstLine="567"/>
        <w:rPr>
          <w:bCs/>
          <w:color w:val="auto"/>
          <w:szCs w:val="24"/>
        </w:rPr>
      </w:pPr>
      <w:r w:rsidRPr="002503C3">
        <w:rPr>
          <w:bCs/>
          <w:color w:val="auto"/>
          <w:szCs w:val="24"/>
        </w:rPr>
        <w:t xml:space="preserve">VII. Optimally humid zones: </w:t>
      </w:r>
      <w:r w:rsidRPr="002503C3">
        <w:rPr>
          <w:rStyle w:val="aff"/>
          <w:rFonts w:eastAsiaTheme="majorEastAsia"/>
          <w:b w:val="0"/>
          <w:color w:val="auto"/>
          <w:szCs w:val="24"/>
        </w:rPr>
        <w:t>Optimally humid / Slightly warm</w:t>
      </w:r>
      <w:r w:rsidRPr="002503C3">
        <w:rPr>
          <w:rStyle w:val="aff"/>
          <w:rFonts w:eastAsiaTheme="majorEastAsia"/>
          <w:color w:val="auto"/>
          <w:szCs w:val="24"/>
        </w:rPr>
        <w:t xml:space="preserve"> -</w:t>
      </w:r>
      <w:r w:rsidRPr="002503C3">
        <w:rPr>
          <w:rStyle w:val="aff"/>
          <w:rFonts w:eastAsiaTheme="majorEastAsia"/>
          <w:bCs w:val="0"/>
          <w:color w:val="auto"/>
          <w:szCs w:val="24"/>
        </w:rPr>
        <w:t xml:space="preserve"> </w:t>
      </w:r>
      <w:r w:rsidRPr="002503C3">
        <w:rPr>
          <w:bCs/>
          <w:color w:val="auto"/>
          <w:szCs w:val="24"/>
        </w:rPr>
        <w:t xml:space="preserve">located in central and northern North Kazakhstan Region, this zone coincides with the most climatically balanced segments of the forest-steppe zone; </w:t>
      </w:r>
      <w:r w:rsidRPr="002503C3">
        <w:rPr>
          <w:rStyle w:val="aff"/>
          <w:rFonts w:eastAsiaTheme="majorEastAsia"/>
          <w:b w:val="0"/>
          <w:color w:val="auto"/>
          <w:szCs w:val="24"/>
        </w:rPr>
        <w:t>Optimally humid / Hot</w:t>
      </w:r>
      <w:r w:rsidRPr="002503C3">
        <w:rPr>
          <w:rStyle w:val="aff"/>
          <w:rFonts w:eastAsiaTheme="majorEastAsia"/>
          <w:color w:val="auto"/>
          <w:szCs w:val="24"/>
        </w:rPr>
        <w:t xml:space="preserve"> -</w:t>
      </w:r>
      <w:r w:rsidRPr="002503C3">
        <w:rPr>
          <w:bCs/>
          <w:color w:val="auto"/>
          <w:szCs w:val="24"/>
        </w:rPr>
        <w:t xml:space="preserve"> distributed within mountainous areas of Zhetysu and Almaty Regions, it corresponds to well-watered mountain forest and meadow belts.</w:t>
      </w:r>
    </w:p>
    <w:p w14:paraId="0E64E75C" w14:textId="53AEC36F" w:rsidR="00E86408" w:rsidRPr="002503C3" w:rsidRDefault="002503C3" w:rsidP="002503C3">
      <w:pPr>
        <w:suppressAutoHyphens/>
        <w:spacing w:line="360" w:lineRule="auto"/>
        <w:ind w:firstLine="567"/>
        <w:rPr>
          <w:color w:val="auto"/>
          <w:szCs w:val="24"/>
        </w:rPr>
      </w:pPr>
      <w:r w:rsidRPr="002503C3">
        <w:rPr>
          <w:bCs/>
          <w:color w:val="auto"/>
          <w:szCs w:val="24"/>
        </w:rPr>
        <w:t xml:space="preserve">VIII. Extremely humid zones: </w:t>
      </w:r>
      <w:r w:rsidRPr="002503C3">
        <w:rPr>
          <w:rStyle w:val="aff"/>
          <w:rFonts w:eastAsiaTheme="majorEastAsia"/>
          <w:b w:val="0"/>
          <w:color w:val="auto"/>
          <w:szCs w:val="24"/>
        </w:rPr>
        <w:t>Extremely humid / Slightly warm</w:t>
      </w:r>
      <w:r w:rsidRPr="002503C3">
        <w:rPr>
          <w:rStyle w:val="aff"/>
          <w:rFonts w:eastAsiaTheme="majorEastAsia"/>
          <w:color w:val="auto"/>
          <w:szCs w:val="24"/>
        </w:rPr>
        <w:t xml:space="preserve"> - </w:t>
      </w:r>
      <w:r w:rsidRPr="002503C3">
        <w:rPr>
          <w:bCs/>
          <w:color w:val="auto"/>
          <w:szCs w:val="24"/>
        </w:rPr>
        <w:t xml:space="preserve">observed in the northeastern part of East Kazakhstan Region, this zone corresponds to the mountain-taiga landscapes of the Altai; </w:t>
      </w:r>
      <w:r w:rsidRPr="002503C3">
        <w:rPr>
          <w:rStyle w:val="aff"/>
          <w:rFonts w:eastAsiaTheme="majorEastAsia"/>
          <w:b w:val="0"/>
          <w:color w:val="auto"/>
          <w:szCs w:val="24"/>
        </w:rPr>
        <w:t>Extremely humid / Moderately warm</w:t>
      </w:r>
      <w:r w:rsidRPr="002503C3">
        <w:rPr>
          <w:rStyle w:val="aff"/>
          <w:rFonts w:eastAsiaTheme="majorEastAsia"/>
          <w:color w:val="auto"/>
          <w:szCs w:val="24"/>
        </w:rPr>
        <w:t xml:space="preserve"> -</w:t>
      </w:r>
      <w:r w:rsidRPr="002503C3">
        <w:rPr>
          <w:bCs/>
          <w:color w:val="auto"/>
          <w:szCs w:val="24"/>
        </w:rPr>
        <w:t xml:space="preserve"> occupying mountainous territories of East Kazakhstan Region, it aligns with the Altai mountain-forest zone characterized by high annual precipitation; </w:t>
      </w:r>
      <w:r w:rsidRPr="002503C3">
        <w:rPr>
          <w:rStyle w:val="aff"/>
          <w:rFonts w:eastAsiaTheme="majorEastAsia"/>
          <w:b w:val="0"/>
          <w:color w:val="auto"/>
          <w:szCs w:val="24"/>
        </w:rPr>
        <w:t>Extremely humid / Warm</w:t>
      </w:r>
      <w:r w:rsidRPr="002503C3">
        <w:rPr>
          <w:bCs/>
          <w:color w:val="auto"/>
          <w:szCs w:val="24"/>
        </w:rPr>
        <w:t xml:space="preserve"> - distributed in southeastern mountainous areas, this zone corresponds to forested belts of the Tien Shan mountain system; </w:t>
      </w:r>
      <w:r w:rsidRPr="002503C3">
        <w:rPr>
          <w:rStyle w:val="aff"/>
          <w:rFonts w:eastAsiaTheme="majorEastAsia"/>
          <w:b w:val="0"/>
          <w:color w:val="auto"/>
          <w:szCs w:val="24"/>
        </w:rPr>
        <w:t>Extremely humid / Hot</w:t>
      </w:r>
      <w:r w:rsidRPr="002503C3">
        <w:rPr>
          <w:rStyle w:val="aff"/>
          <w:rFonts w:eastAsiaTheme="majorEastAsia"/>
          <w:color w:val="auto"/>
          <w:szCs w:val="24"/>
        </w:rPr>
        <w:t xml:space="preserve"> -</w:t>
      </w:r>
      <w:r w:rsidRPr="002503C3">
        <w:rPr>
          <w:bCs/>
          <w:color w:val="auto"/>
          <w:szCs w:val="24"/>
        </w:rPr>
        <w:t xml:space="preserve"> confined to high-mountain areas of Almaty Region, this zone corresponds to upper mountain meadow and nival belts with maximum moisture availability</w:t>
      </w:r>
      <w:r w:rsidR="00E86408" w:rsidRPr="002503C3">
        <w:rPr>
          <w:color w:val="auto"/>
          <w:szCs w:val="24"/>
        </w:rPr>
        <w:t>.</w:t>
      </w:r>
    </w:p>
    <w:p w14:paraId="2373EBE1" w14:textId="77777777" w:rsidR="00E86408" w:rsidRPr="002503C3" w:rsidRDefault="00E86408" w:rsidP="002503C3">
      <w:pPr>
        <w:suppressAutoHyphens/>
        <w:spacing w:line="360" w:lineRule="auto"/>
        <w:ind w:firstLine="567"/>
        <w:rPr>
          <w:bCs/>
          <w:iCs/>
          <w:color w:val="auto"/>
          <w:szCs w:val="24"/>
          <w:highlight w:val="yellow"/>
        </w:rPr>
      </w:pPr>
    </w:p>
    <w:p w14:paraId="55F5E47C" w14:textId="77777777" w:rsidR="003D614B" w:rsidRDefault="00496FDC" w:rsidP="003D614B">
      <w:pPr>
        <w:pStyle w:val="afd"/>
        <w:numPr>
          <w:ilvl w:val="1"/>
          <w:numId w:val="30"/>
        </w:numPr>
        <w:tabs>
          <w:tab w:val="left" w:pos="567"/>
        </w:tabs>
        <w:suppressAutoHyphens/>
        <w:spacing w:line="360" w:lineRule="auto"/>
        <w:ind w:left="0" w:firstLine="0"/>
        <w:rPr>
          <w:b/>
          <w:bCs/>
          <w:iCs/>
          <w:szCs w:val="28"/>
        </w:rPr>
      </w:pPr>
      <w:r w:rsidRPr="002503C3">
        <w:rPr>
          <w:b/>
          <w:bCs/>
          <w:iCs/>
          <w:szCs w:val="28"/>
        </w:rPr>
        <w:t xml:space="preserve"> </w:t>
      </w:r>
      <w:r w:rsidR="002503C3" w:rsidRPr="002503C3">
        <w:rPr>
          <w:b/>
          <w:bCs/>
          <w:iCs/>
          <w:szCs w:val="28"/>
        </w:rPr>
        <w:t>Data Sources</w:t>
      </w:r>
    </w:p>
    <w:p w14:paraId="22FDB269" w14:textId="554B54B8" w:rsidR="003D614B" w:rsidRPr="00F4551E" w:rsidRDefault="003D614B" w:rsidP="00F4551E">
      <w:pPr>
        <w:tabs>
          <w:tab w:val="left" w:pos="567"/>
        </w:tabs>
        <w:suppressAutoHyphens/>
        <w:spacing w:line="360" w:lineRule="auto"/>
        <w:rPr>
          <w:b/>
          <w:bCs/>
          <w:iCs/>
          <w:szCs w:val="28"/>
        </w:rPr>
      </w:pPr>
      <w:r w:rsidRPr="003D614B">
        <w:t>2.2.1. Phytosanitary Monitoring Data</w:t>
      </w:r>
    </w:p>
    <w:p w14:paraId="79B22CF3" w14:textId="77777777" w:rsidR="003D614B" w:rsidRPr="003D614B" w:rsidRDefault="003D614B" w:rsidP="003D614B">
      <w:pPr>
        <w:pStyle w:val="afa"/>
        <w:spacing w:line="360" w:lineRule="auto"/>
        <w:ind w:firstLine="567"/>
        <w:rPr>
          <w:rStyle w:val="relative"/>
        </w:rPr>
      </w:pPr>
      <w:r w:rsidRPr="003D614B">
        <w:t xml:space="preserve">Multi-year historical records of population density, infestation area, and developmental stages were obtained from state phytosanitary services </w:t>
      </w:r>
    </w:p>
    <w:p w14:paraId="43735911" w14:textId="77777777" w:rsidR="003D614B" w:rsidRPr="003D614B" w:rsidRDefault="003D614B" w:rsidP="003D614B">
      <w:pPr>
        <w:spacing w:line="360" w:lineRule="auto"/>
        <w:ind w:firstLine="567"/>
        <w:rPr>
          <w:szCs w:val="24"/>
        </w:rPr>
      </w:pPr>
      <w:r w:rsidRPr="003D614B">
        <w:rPr>
          <w:szCs w:val="24"/>
        </w:rPr>
        <w:t xml:space="preserve"> Data were standardized into a continuous density index (individuals m²).</w:t>
      </w:r>
    </w:p>
    <w:p w14:paraId="3B2CC581" w14:textId="77777777" w:rsidR="003D614B" w:rsidRPr="003D614B" w:rsidRDefault="003D614B" w:rsidP="003D614B">
      <w:pPr>
        <w:pStyle w:val="Default"/>
        <w:spacing w:line="360" w:lineRule="auto"/>
        <w:ind w:firstLine="567"/>
        <w:jc w:val="both"/>
        <w:rPr>
          <w:rFonts w:ascii="Times New Roman" w:hAnsi="Times New Roman" w:cs="Times New Roman"/>
          <w:lang w:val="en-US"/>
        </w:rPr>
      </w:pPr>
      <w:r w:rsidRPr="003D614B">
        <w:rPr>
          <w:rFonts w:ascii="Times New Roman" w:hAnsi="Times New Roman" w:cs="Times New Roman"/>
          <w:lang w:val="en-US"/>
        </w:rPr>
        <w:t>To determine the phase of non-gregarious locust pests in the analyzed years, the main indicators of crop pest population — relative (Prel), average (Pav), and absolute (</w:t>
      </w:r>
      <w:proofErr w:type="spellStart"/>
      <w:r w:rsidRPr="003D614B">
        <w:rPr>
          <w:rFonts w:ascii="Times New Roman" w:hAnsi="Times New Roman" w:cs="Times New Roman"/>
          <w:lang w:val="en-US"/>
        </w:rPr>
        <w:t>Pabs</w:t>
      </w:r>
      <w:proofErr w:type="spellEnd"/>
      <w:r w:rsidRPr="003D614B">
        <w:rPr>
          <w:rFonts w:ascii="Times New Roman" w:hAnsi="Times New Roman" w:cs="Times New Roman"/>
          <w:lang w:val="en-US"/>
        </w:rPr>
        <w:t xml:space="preserve">) population — were calculated by the following formula: </w:t>
      </w:r>
    </w:p>
    <w:p w14:paraId="354959CE" w14:textId="77777777" w:rsidR="003D614B" w:rsidRPr="003D614B" w:rsidRDefault="003D614B" w:rsidP="003D614B">
      <w:pPr>
        <w:pStyle w:val="Default"/>
        <w:spacing w:line="360" w:lineRule="auto"/>
        <w:ind w:firstLine="567"/>
        <w:jc w:val="both"/>
        <w:rPr>
          <w:rFonts w:ascii="Times New Roman" w:hAnsi="Times New Roman" w:cs="Times New Roman"/>
          <w:lang w:val="en-US"/>
        </w:rPr>
      </w:pPr>
    </w:p>
    <w:tbl>
      <w:tblPr>
        <w:tblW w:w="8505" w:type="dxa"/>
        <w:jc w:val="center"/>
        <w:tblLook w:val="04A0" w:firstRow="1" w:lastRow="0" w:firstColumn="1" w:lastColumn="0" w:noHBand="0" w:noVBand="1"/>
      </w:tblPr>
      <w:tblGrid>
        <w:gridCol w:w="6957"/>
        <w:gridCol w:w="1548"/>
      </w:tblGrid>
      <w:tr w:rsidR="003D614B" w:rsidRPr="003D614B" w14:paraId="1359C12A" w14:textId="77777777" w:rsidTr="005B7712">
        <w:trPr>
          <w:jc w:val="center"/>
        </w:trPr>
        <w:tc>
          <w:tcPr>
            <w:tcW w:w="6374" w:type="dxa"/>
            <w:vAlign w:val="center"/>
          </w:tcPr>
          <w:p w14:paraId="1058E2A4" w14:textId="6C0AB0C8" w:rsidR="003D614B" w:rsidRPr="003D614B" w:rsidRDefault="003D614B" w:rsidP="003D614B">
            <w:pPr>
              <w:spacing w:line="360" w:lineRule="auto"/>
              <w:jc w:val="center"/>
              <w:rPr>
                <w:rFonts w:eastAsia="Cambria Math"/>
                <w:szCs w:val="24"/>
              </w:rPr>
            </w:pPr>
            <w:r w:rsidRPr="003D614B">
              <w:rPr>
                <w:rFonts w:ascii="Cambria Math" w:hAnsi="Cambria Math" w:cs="Cambria Math"/>
              </w:rPr>
              <w:t>𝑃𝑟𝑒𝑙</w:t>
            </w:r>
            <w:r w:rsidRPr="003D614B">
              <w:t>=</w:t>
            </w:r>
            <w:r w:rsidRPr="003D614B">
              <w:rPr>
                <w:rFonts w:ascii="Cambria Math" w:hAnsi="Cambria Math" w:cs="Cambria Math"/>
              </w:rPr>
              <w:t>𝐴𝑝</w:t>
            </w:r>
            <w:r w:rsidRPr="003D614B">
              <w:t>100/</w:t>
            </w:r>
            <w:r w:rsidRPr="003D614B">
              <w:rPr>
                <w:rFonts w:ascii="Cambria Math" w:hAnsi="Cambria Math" w:cs="Cambria Math"/>
              </w:rPr>
              <w:t>𝐴𝑠</w:t>
            </w:r>
          </w:p>
        </w:tc>
        <w:tc>
          <w:tcPr>
            <w:tcW w:w="1418" w:type="dxa"/>
            <w:vAlign w:val="center"/>
          </w:tcPr>
          <w:p w14:paraId="3CFB64E0" w14:textId="77777777" w:rsidR="003D614B" w:rsidRPr="003D614B" w:rsidRDefault="003D614B" w:rsidP="003D614B">
            <w:pPr>
              <w:spacing w:line="360" w:lineRule="auto"/>
              <w:jc w:val="right"/>
              <w:rPr>
                <w:color w:val="000000" w:themeColor="text1"/>
                <w:szCs w:val="24"/>
                <w:lang w:val="ru-RU"/>
              </w:rPr>
            </w:pPr>
            <w:r w:rsidRPr="003D614B">
              <w:rPr>
                <w:color w:val="000000" w:themeColor="text1"/>
                <w:szCs w:val="24"/>
                <w:lang w:val="ru-RU"/>
              </w:rPr>
              <w:t>(1)</w:t>
            </w:r>
          </w:p>
        </w:tc>
      </w:tr>
    </w:tbl>
    <w:p w14:paraId="185D16E6" w14:textId="77777777" w:rsidR="003D614B" w:rsidRPr="003D614B" w:rsidRDefault="003D614B" w:rsidP="003D614B">
      <w:pPr>
        <w:pStyle w:val="Default"/>
        <w:spacing w:line="360" w:lineRule="auto"/>
        <w:jc w:val="both"/>
        <w:rPr>
          <w:rFonts w:ascii="Times New Roman" w:hAnsi="Times New Roman" w:cs="Times New Roman"/>
          <w:lang w:val="en-US"/>
        </w:rPr>
      </w:pPr>
    </w:p>
    <w:p w14:paraId="518D609F" w14:textId="77777777" w:rsidR="003D614B" w:rsidRPr="003D614B" w:rsidRDefault="003D614B" w:rsidP="003D614B">
      <w:pPr>
        <w:pStyle w:val="Default"/>
        <w:spacing w:line="360" w:lineRule="auto"/>
        <w:jc w:val="both"/>
        <w:rPr>
          <w:rFonts w:ascii="Times New Roman" w:hAnsi="Times New Roman" w:cs="Times New Roman"/>
          <w:lang w:val="en-US"/>
        </w:rPr>
      </w:pPr>
      <w:proofErr w:type="gramStart"/>
      <w:r w:rsidRPr="003D614B">
        <w:rPr>
          <w:rFonts w:ascii="Times New Roman" w:hAnsi="Times New Roman" w:cs="Times New Roman"/>
          <w:lang w:val="en-US"/>
        </w:rPr>
        <w:t>where</w:t>
      </w:r>
      <w:proofErr w:type="gramEnd"/>
      <w:r w:rsidRPr="003D614B">
        <w:rPr>
          <w:rFonts w:ascii="Times New Roman" w:hAnsi="Times New Roman" w:cs="Times New Roman"/>
          <w:lang w:val="en-US"/>
        </w:rPr>
        <w:t xml:space="preserve"> </w:t>
      </w:r>
    </w:p>
    <w:p w14:paraId="37C09E9C" w14:textId="77777777" w:rsidR="003D614B" w:rsidRPr="003D614B" w:rsidRDefault="003D614B" w:rsidP="003D614B">
      <w:pPr>
        <w:pStyle w:val="Default"/>
        <w:spacing w:line="360" w:lineRule="auto"/>
        <w:jc w:val="both"/>
        <w:rPr>
          <w:rFonts w:ascii="Times New Roman" w:hAnsi="Times New Roman" w:cs="Times New Roman"/>
          <w:lang w:val="en-US"/>
        </w:rPr>
      </w:pPr>
      <w:r w:rsidRPr="003D614B">
        <w:rPr>
          <w:rFonts w:ascii="Times New Roman" w:hAnsi="Times New Roman" w:cs="Times New Roman"/>
          <w:lang w:val="en-US"/>
        </w:rPr>
        <w:lastRenderedPageBreak/>
        <w:t xml:space="preserve">Prel — relative population, % </w:t>
      </w:r>
    </w:p>
    <w:p w14:paraId="7391A142" w14:textId="77777777" w:rsidR="003D614B" w:rsidRPr="003D614B" w:rsidRDefault="003D614B" w:rsidP="003D614B">
      <w:pPr>
        <w:pStyle w:val="Default"/>
        <w:spacing w:line="360" w:lineRule="auto"/>
        <w:jc w:val="both"/>
        <w:rPr>
          <w:rFonts w:ascii="Times New Roman" w:hAnsi="Times New Roman" w:cs="Times New Roman"/>
          <w:lang w:val="en-US"/>
        </w:rPr>
      </w:pPr>
      <w:r w:rsidRPr="003D614B">
        <w:rPr>
          <w:rFonts w:ascii="Times New Roman" w:hAnsi="Times New Roman" w:cs="Times New Roman"/>
          <w:lang w:val="en-US"/>
        </w:rPr>
        <w:t xml:space="preserve">Ap — populated area, thousand ha </w:t>
      </w:r>
    </w:p>
    <w:p w14:paraId="34E451F8" w14:textId="77777777" w:rsidR="003D614B" w:rsidRPr="003D614B" w:rsidRDefault="003D614B" w:rsidP="003D614B">
      <w:pPr>
        <w:pStyle w:val="Default"/>
        <w:spacing w:line="360" w:lineRule="auto"/>
        <w:jc w:val="both"/>
        <w:rPr>
          <w:rFonts w:ascii="Times New Roman" w:hAnsi="Times New Roman" w:cs="Times New Roman"/>
          <w:lang w:val="en-US"/>
        </w:rPr>
      </w:pPr>
      <w:r w:rsidRPr="003D614B">
        <w:rPr>
          <w:rFonts w:ascii="Times New Roman" w:hAnsi="Times New Roman" w:cs="Times New Roman"/>
          <w:lang w:val="en-US"/>
        </w:rPr>
        <w:t xml:space="preserve">As — surveyed area, thousand ha </w:t>
      </w:r>
    </w:p>
    <w:p w14:paraId="36296DA3" w14:textId="77777777" w:rsidR="003D614B" w:rsidRDefault="003D614B" w:rsidP="003D614B">
      <w:pPr>
        <w:pStyle w:val="Default"/>
        <w:spacing w:line="360" w:lineRule="auto"/>
        <w:jc w:val="both"/>
        <w:rPr>
          <w:rFonts w:ascii="Times New Roman" w:hAnsi="Times New Roman" w:cs="Times New Roman"/>
          <w:lang w:val="en-US"/>
        </w:rPr>
      </w:pPr>
    </w:p>
    <w:tbl>
      <w:tblPr>
        <w:tblW w:w="8505" w:type="dxa"/>
        <w:jc w:val="center"/>
        <w:tblLook w:val="04A0" w:firstRow="1" w:lastRow="0" w:firstColumn="1" w:lastColumn="0" w:noHBand="0" w:noVBand="1"/>
      </w:tblPr>
      <w:tblGrid>
        <w:gridCol w:w="6957"/>
        <w:gridCol w:w="1548"/>
      </w:tblGrid>
      <w:tr w:rsidR="003D614B" w:rsidRPr="003D614B" w14:paraId="53A31626" w14:textId="77777777" w:rsidTr="005B7712">
        <w:trPr>
          <w:jc w:val="center"/>
        </w:trPr>
        <w:tc>
          <w:tcPr>
            <w:tcW w:w="6374" w:type="dxa"/>
            <w:vAlign w:val="center"/>
          </w:tcPr>
          <w:p w14:paraId="7B2B4030" w14:textId="65FAFC2D" w:rsidR="003D614B" w:rsidRPr="003D614B" w:rsidRDefault="003D614B" w:rsidP="000B6631">
            <w:pPr>
              <w:spacing w:line="360" w:lineRule="auto"/>
              <w:jc w:val="center"/>
              <w:rPr>
                <w:rFonts w:eastAsia="Cambria Math"/>
                <w:szCs w:val="24"/>
              </w:rPr>
            </w:pPr>
            <w:r w:rsidRPr="00AE053E">
              <w:rPr>
                <w:rFonts w:ascii="Cambria Math" w:hAnsi="Cambria Math" w:cs="Cambria Math"/>
              </w:rPr>
              <w:t>𝑃𝑎𝑣</w:t>
            </w:r>
            <w:r w:rsidRPr="00AE053E">
              <w:rPr>
                <w:rFonts w:asciiTheme="minorHAnsi" w:hAnsiTheme="minorHAnsi" w:cstheme="minorHAnsi"/>
              </w:rPr>
              <w:t>=[</w:t>
            </w:r>
            <w:r w:rsidRPr="00AE053E">
              <w:rPr>
                <w:rFonts w:ascii="Cambria Math" w:hAnsi="Cambria Math" w:cs="Cambria Math"/>
              </w:rPr>
              <w:t>𝐴𝑝</w:t>
            </w:r>
            <w:r w:rsidRPr="00AE053E">
              <w:rPr>
                <w:rFonts w:asciiTheme="minorHAnsi" w:hAnsiTheme="minorHAnsi" w:cstheme="minorHAnsi"/>
              </w:rPr>
              <w:t>(0−5)</w:t>
            </w:r>
            <w:r w:rsidRPr="00AE053E">
              <w:rPr>
                <w:rFonts w:ascii="Cambria Math" w:hAnsi="Cambria Math" w:cs="Cambria Math"/>
              </w:rPr>
              <w:t>𝑁𝑎𝑣</w:t>
            </w:r>
            <w:r w:rsidRPr="00AE053E">
              <w:rPr>
                <w:rFonts w:asciiTheme="minorHAnsi" w:hAnsiTheme="minorHAnsi" w:cstheme="minorHAnsi"/>
              </w:rPr>
              <w:t>(0−5)]++[</w:t>
            </w:r>
            <w:r w:rsidRPr="00AE053E">
              <w:rPr>
                <w:rFonts w:ascii="Cambria Math" w:hAnsi="Cambria Math" w:cs="Cambria Math"/>
              </w:rPr>
              <w:t>𝐴𝑝</w:t>
            </w:r>
            <w:r w:rsidRPr="00AE053E">
              <w:rPr>
                <w:rFonts w:asciiTheme="minorHAnsi" w:hAnsiTheme="minorHAnsi" w:cstheme="minorHAnsi"/>
              </w:rPr>
              <w:t>(30)</w:t>
            </w:r>
            <w:r w:rsidRPr="00AE053E">
              <w:rPr>
                <w:rFonts w:ascii="Cambria Math" w:hAnsi="Cambria Math" w:cs="Cambria Math"/>
              </w:rPr>
              <w:t>𝑁𝑎𝑣</w:t>
            </w:r>
            <w:r w:rsidRPr="00AE053E">
              <w:rPr>
                <w:rFonts w:asciiTheme="minorHAnsi" w:hAnsiTheme="minorHAnsi" w:cstheme="minorHAnsi"/>
              </w:rPr>
              <w:t>(30)]/</w:t>
            </w:r>
            <w:r w:rsidRPr="00AE053E">
              <w:rPr>
                <w:rFonts w:ascii="Cambria Math" w:hAnsi="Cambria Math" w:cs="Cambria Math"/>
              </w:rPr>
              <w:t>𝐴𝑝</w:t>
            </w:r>
          </w:p>
        </w:tc>
        <w:tc>
          <w:tcPr>
            <w:tcW w:w="1418" w:type="dxa"/>
            <w:vAlign w:val="center"/>
          </w:tcPr>
          <w:p w14:paraId="454A6F78" w14:textId="4D544814" w:rsidR="003D614B" w:rsidRPr="003D614B" w:rsidRDefault="003D614B" w:rsidP="003D614B">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rPr>
              <w:t>2</w:t>
            </w:r>
            <w:r w:rsidRPr="003D614B">
              <w:rPr>
                <w:color w:val="000000" w:themeColor="text1"/>
                <w:szCs w:val="24"/>
                <w:lang w:val="ru-RU"/>
              </w:rPr>
              <w:t>)</w:t>
            </w:r>
          </w:p>
        </w:tc>
      </w:tr>
    </w:tbl>
    <w:p w14:paraId="6AA54053" w14:textId="77777777" w:rsidR="003D614B" w:rsidRPr="003D614B" w:rsidRDefault="003D614B" w:rsidP="003D614B">
      <w:pPr>
        <w:pStyle w:val="Default"/>
        <w:spacing w:line="360" w:lineRule="auto"/>
        <w:jc w:val="both"/>
        <w:rPr>
          <w:rFonts w:ascii="Times New Roman" w:hAnsi="Times New Roman" w:cs="Times New Roman"/>
          <w:lang w:val="en-US"/>
        </w:rPr>
      </w:pPr>
    </w:p>
    <w:p w14:paraId="7D165F6B" w14:textId="77777777" w:rsidR="003D614B" w:rsidRPr="003D614B" w:rsidRDefault="003D614B" w:rsidP="003D614B">
      <w:pPr>
        <w:pStyle w:val="Default"/>
        <w:spacing w:line="360" w:lineRule="auto"/>
        <w:jc w:val="both"/>
        <w:rPr>
          <w:rFonts w:ascii="Times New Roman" w:hAnsi="Times New Roman" w:cs="Times New Roman"/>
          <w:lang w:val="en-US"/>
        </w:rPr>
      </w:pPr>
      <w:proofErr w:type="gramStart"/>
      <w:r w:rsidRPr="003D614B">
        <w:rPr>
          <w:rFonts w:ascii="Times New Roman" w:hAnsi="Times New Roman" w:cs="Times New Roman"/>
          <w:lang w:val="en-US"/>
        </w:rPr>
        <w:t>where</w:t>
      </w:r>
      <w:proofErr w:type="gramEnd"/>
      <w:r w:rsidRPr="003D614B">
        <w:rPr>
          <w:rFonts w:ascii="Times New Roman" w:hAnsi="Times New Roman" w:cs="Times New Roman"/>
          <w:lang w:val="en-US"/>
        </w:rPr>
        <w:t xml:space="preserve"> </w:t>
      </w:r>
    </w:p>
    <w:p w14:paraId="5E578687" w14:textId="77777777" w:rsidR="003D614B" w:rsidRPr="003D614B" w:rsidRDefault="003D614B" w:rsidP="003D614B">
      <w:pPr>
        <w:pStyle w:val="Default"/>
        <w:spacing w:line="360" w:lineRule="auto"/>
        <w:jc w:val="both"/>
        <w:rPr>
          <w:rFonts w:ascii="Times New Roman" w:hAnsi="Times New Roman" w:cs="Times New Roman"/>
          <w:lang w:val="en-US"/>
        </w:rPr>
      </w:pPr>
      <w:r w:rsidRPr="003D614B">
        <w:rPr>
          <w:rFonts w:ascii="Times New Roman" w:hAnsi="Times New Roman" w:cs="Times New Roman"/>
          <w:lang w:val="en-US"/>
        </w:rPr>
        <w:t xml:space="preserve">Pav — average population, </w:t>
      </w:r>
      <w:proofErr w:type="gramStart"/>
      <w:r w:rsidRPr="003D614B">
        <w:rPr>
          <w:rFonts w:ascii="Times New Roman" w:hAnsi="Times New Roman" w:cs="Times New Roman"/>
          <w:lang w:val="en-US"/>
        </w:rPr>
        <w:t>pcs./</w:t>
      </w:r>
      <w:proofErr w:type="gramEnd"/>
      <w:r w:rsidRPr="003D614B">
        <w:rPr>
          <w:rFonts w:ascii="Times New Roman" w:hAnsi="Times New Roman" w:cs="Times New Roman"/>
          <w:lang w:val="en-US"/>
        </w:rPr>
        <w:t xml:space="preserve">m2 </w:t>
      </w:r>
    </w:p>
    <w:p w14:paraId="5ED0D038" w14:textId="77777777" w:rsidR="003D614B" w:rsidRPr="003D614B" w:rsidRDefault="003D614B" w:rsidP="003D614B">
      <w:pPr>
        <w:pStyle w:val="Default"/>
        <w:spacing w:line="360" w:lineRule="auto"/>
        <w:jc w:val="both"/>
        <w:rPr>
          <w:rFonts w:ascii="Times New Roman" w:hAnsi="Times New Roman" w:cs="Times New Roman"/>
          <w:lang w:val="en-US"/>
        </w:rPr>
      </w:pPr>
      <w:r w:rsidRPr="003D614B">
        <w:rPr>
          <w:rFonts w:ascii="Times New Roman" w:hAnsi="Times New Roman" w:cs="Times New Roman"/>
          <w:lang w:val="en-US"/>
        </w:rPr>
        <w:t>Ap (0-5</w:t>
      </w:r>
      <w:proofErr w:type="gramStart"/>
      <w:r w:rsidRPr="003D614B">
        <w:rPr>
          <w:rFonts w:ascii="Times New Roman" w:hAnsi="Times New Roman" w:cs="Times New Roman"/>
          <w:lang w:val="en-US"/>
        </w:rPr>
        <w:t>),..</w:t>
      </w:r>
      <w:proofErr w:type="gramEnd"/>
      <w:r w:rsidRPr="003D614B">
        <w:rPr>
          <w:rFonts w:ascii="Times New Roman" w:hAnsi="Times New Roman" w:cs="Times New Roman"/>
          <w:lang w:val="en-US"/>
        </w:rPr>
        <w:t>(&gt;30) — populated area (</w:t>
      </w:r>
      <w:proofErr w:type="spellStart"/>
      <w:r w:rsidRPr="003D614B">
        <w:rPr>
          <w:rFonts w:ascii="Times New Roman" w:hAnsi="Times New Roman" w:cs="Times New Roman"/>
          <w:lang w:val="en-US"/>
        </w:rPr>
        <w:t>ths</w:t>
      </w:r>
      <w:proofErr w:type="spellEnd"/>
      <w:r w:rsidRPr="003D614B">
        <w:rPr>
          <w:rFonts w:ascii="Times New Roman" w:hAnsi="Times New Roman" w:cs="Times New Roman"/>
          <w:lang w:val="en-US"/>
        </w:rPr>
        <w:t>. ha) with the given population density (</w:t>
      </w:r>
      <w:proofErr w:type="gramStart"/>
      <w:r w:rsidRPr="003D614B">
        <w:rPr>
          <w:rFonts w:ascii="Times New Roman" w:hAnsi="Times New Roman" w:cs="Times New Roman"/>
          <w:lang w:val="en-US"/>
        </w:rPr>
        <w:t>pcs./</w:t>
      </w:r>
      <w:proofErr w:type="gramEnd"/>
      <w:r w:rsidRPr="003D614B">
        <w:rPr>
          <w:rFonts w:ascii="Times New Roman" w:hAnsi="Times New Roman" w:cs="Times New Roman"/>
          <w:lang w:val="en-US"/>
        </w:rPr>
        <w:t xml:space="preserve">m2) </w:t>
      </w:r>
    </w:p>
    <w:p w14:paraId="0BD0D2C2" w14:textId="77777777" w:rsidR="003D614B" w:rsidRPr="003D614B" w:rsidRDefault="003D614B" w:rsidP="003D614B">
      <w:pPr>
        <w:pStyle w:val="Default"/>
        <w:spacing w:line="360" w:lineRule="auto"/>
        <w:jc w:val="both"/>
        <w:rPr>
          <w:rFonts w:ascii="Times New Roman" w:hAnsi="Times New Roman" w:cs="Times New Roman"/>
          <w:lang w:val="en-US"/>
        </w:rPr>
      </w:pPr>
      <w:r w:rsidRPr="003D614B">
        <w:rPr>
          <w:rFonts w:ascii="Times New Roman" w:hAnsi="Times New Roman" w:cs="Times New Roman"/>
          <w:lang w:val="en-US"/>
        </w:rPr>
        <w:t>Nav (0-</w:t>
      </w:r>
      <w:proofErr w:type="gramStart"/>
      <w:r w:rsidRPr="003D614B">
        <w:rPr>
          <w:rFonts w:ascii="Times New Roman" w:hAnsi="Times New Roman" w:cs="Times New Roman"/>
          <w:lang w:val="en-US"/>
        </w:rPr>
        <w:t>5)...</w:t>
      </w:r>
      <w:proofErr w:type="gramEnd"/>
      <w:r w:rsidRPr="003D614B">
        <w:rPr>
          <w:rFonts w:ascii="Times New Roman" w:hAnsi="Times New Roman" w:cs="Times New Roman"/>
          <w:lang w:val="en-US"/>
        </w:rPr>
        <w:t xml:space="preserve">030; — average population density, pcs./m2 </w:t>
      </w:r>
    </w:p>
    <w:p w14:paraId="65320ADB" w14:textId="77777777" w:rsidR="003D614B" w:rsidRPr="003D614B" w:rsidRDefault="003D614B" w:rsidP="003D614B">
      <w:pPr>
        <w:pStyle w:val="Default"/>
        <w:spacing w:line="360" w:lineRule="auto"/>
        <w:jc w:val="both"/>
        <w:rPr>
          <w:rFonts w:ascii="Times New Roman" w:hAnsi="Times New Roman" w:cs="Times New Roman"/>
          <w:lang w:val="en-US"/>
        </w:rPr>
      </w:pPr>
      <w:r w:rsidRPr="003D614B">
        <w:rPr>
          <w:rFonts w:ascii="Times New Roman" w:hAnsi="Times New Roman" w:cs="Times New Roman"/>
          <w:lang w:val="en-US"/>
        </w:rPr>
        <w:t xml:space="preserve">Ap — populated area, thousand ha </w:t>
      </w:r>
    </w:p>
    <w:p w14:paraId="4BD75E1B" w14:textId="77777777" w:rsidR="003D614B" w:rsidRDefault="003D614B" w:rsidP="003D614B">
      <w:pPr>
        <w:pStyle w:val="Default"/>
        <w:spacing w:line="360" w:lineRule="auto"/>
        <w:jc w:val="both"/>
        <w:rPr>
          <w:rFonts w:ascii="Times New Roman" w:hAnsi="Times New Roman" w:cs="Times New Roman"/>
          <w:lang w:val="en-US"/>
        </w:rPr>
      </w:pPr>
    </w:p>
    <w:tbl>
      <w:tblPr>
        <w:tblW w:w="8505" w:type="dxa"/>
        <w:jc w:val="center"/>
        <w:tblLook w:val="04A0" w:firstRow="1" w:lastRow="0" w:firstColumn="1" w:lastColumn="0" w:noHBand="0" w:noVBand="1"/>
      </w:tblPr>
      <w:tblGrid>
        <w:gridCol w:w="6957"/>
        <w:gridCol w:w="1548"/>
      </w:tblGrid>
      <w:tr w:rsidR="003D614B" w:rsidRPr="003D614B" w14:paraId="31F66070" w14:textId="77777777" w:rsidTr="005B7712">
        <w:trPr>
          <w:jc w:val="center"/>
        </w:trPr>
        <w:tc>
          <w:tcPr>
            <w:tcW w:w="6374" w:type="dxa"/>
            <w:vAlign w:val="center"/>
          </w:tcPr>
          <w:p w14:paraId="57C26F30" w14:textId="7AB1A706" w:rsidR="003D614B" w:rsidRPr="003D614B" w:rsidRDefault="003D614B" w:rsidP="000B6631">
            <w:pPr>
              <w:spacing w:line="360" w:lineRule="auto"/>
              <w:jc w:val="center"/>
              <w:rPr>
                <w:rFonts w:eastAsia="Cambria Math"/>
                <w:szCs w:val="24"/>
              </w:rPr>
            </w:pPr>
            <w:r w:rsidRPr="00AE053E">
              <w:rPr>
                <w:rFonts w:ascii="Cambria Math" w:hAnsi="Cambria Math" w:cs="Cambria Math"/>
              </w:rPr>
              <w:t>𝑃𝑎𝑏𝑠</w:t>
            </w:r>
            <w:r w:rsidRPr="00AE053E">
              <w:rPr>
                <w:rFonts w:asciiTheme="minorHAnsi" w:hAnsiTheme="minorHAnsi" w:cstheme="minorHAnsi"/>
              </w:rPr>
              <w:t>=</w:t>
            </w:r>
            <w:r w:rsidRPr="00AE053E">
              <w:rPr>
                <w:rFonts w:ascii="Cambria Math" w:hAnsi="Cambria Math" w:cs="Cambria Math"/>
              </w:rPr>
              <w:t>𝑃𝑟𝑒𝑙𝑃𝑎𝑣</w:t>
            </w:r>
            <w:r w:rsidRPr="00AE053E">
              <w:rPr>
                <w:rFonts w:asciiTheme="minorHAnsi" w:hAnsiTheme="minorHAnsi" w:cstheme="minorHAnsi"/>
              </w:rPr>
              <w:t>/100</w:t>
            </w:r>
          </w:p>
        </w:tc>
        <w:tc>
          <w:tcPr>
            <w:tcW w:w="1418" w:type="dxa"/>
            <w:vAlign w:val="center"/>
          </w:tcPr>
          <w:p w14:paraId="59306DEF" w14:textId="4776FE9E" w:rsidR="003D614B" w:rsidRPr="003D614B" w:rsidRDefault="003D614B" w:rsidP="003D614B">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rPr>
              <w:t>3</w:t>
            </w:r>
            <w:r w:rsidRPr="003D614B">
              <w:rPr>
                <w:color w:val="000000" w:themeColor="text1"/>
                <w:szCs w:val="24"/>
                <w:lang w:val="ru-RU"/>
              </w:rPr>
              <w:t>)</w:t>
            </w:r>
          </w:p>
        </w:tc>
      </w:tr>
    </w:tbl>
    <w:p w14:paraId="2274DD94" w14:textId="77777777" w:rsidR="003D614B" w:rsidRPr="003D614B" w:rsidRDefault="003D614B" w:rsidP="003D614B">
      <w:pPr>
        <w:pStyle w:val="Default"/>
        <w:spacing w:line="360" w:lineRule="auto"/>
        <w:jc w:val="both"/>
        <w:rPr>
          <w:rFonts w:ascii="Times New Roman" w:hAnsi="Times New Roman" w:cs="Times New Roman"/>
          <w:sz w:val="18"/>
          <w:szCs w:val="18"/>
          <w:lang w:val="en-US"/>
        </w:rPr>
      </w:pPr>
    </w:p>
    <w:p w14:paraId="78654BCE" w14:textId="77777777" w:rsidR="003D614B" w:rsidRPr="003D614B" w:rsidRDefault="003D614B" w:rsidP="003D614B">
      <w:pPr>
        <w:pStyle w:val="Default"/>
        <w:spacing w:line="360" w:lineRule="auto"/>
        <w:jc w:val="both"/>
        <w:rPr>
          <w:rFonts w:ascii="Times New Roman" w:hAnsi="Times New Roman" w:cs="Times New Roman"/>
          <w:color w:val="auto"/>
          <w:lang w:val="en-US"/>
        </w:rPr>
      </w:pPr>
      <w:proofErr w:type="gramStart"/>
      <w:r w:rsidRPr="003D614B">
        <w:rPr>
          <w:rFonts w:ascii="Times New Roman" w:hAnsi="Times New Roman" w:cs="Times New Roman"/>
          <w:color w:val="auto"/>
          <w:lang w:val="en-US"/>
        </w:rPr>
        <w:t>where</w:t>
      </w:r>
      <w:proofErr w:type="gramEnd"/>
      <w:r w:rsidRPr="003D614B">
        <w:rPr>
          <w:rFonts w:ascii="Times New Roman" w:hAnsi="Times New Roman" w:cs="Times New Roman"/>
          <w:color w:val="auto"/>
          <w:lang w:val="en-US"/>
        </w:rPr>
        <w:t xml:space="preserve"> </w:t>
      </w:r>
    </w:p>
    <w:p w14:paraId="611A2441" w14:textId="77777777" w:rsidR="003D614B" w:rsidRPr="003D614B" w:rsidRDefault="003D614B" w:rsidP="003D614B">
      <w:pPr>
        <w:pStyle w:val="Default"/>
        <w:spacing w:line="360" w:lineRule="auto"/>
        <w:jc w:val="both"/>
        <w:rPr>
          <w:rFonts w:ascii="Times New Roman" w:hAnsi="Times New Roman" w:cs="Times New Roman"/>
          <w:color w:val="auto"/>
          <w:lang w:val="en-US"/>
        </w:rPr>
      </w:pPr>
      <w:proofErr w:type="spellStart"/>
      <w:r w:rsidRPr="003D614B">
        <w:rPr>
          <w:rFonts w:ascii="Times New Roman" w:hAnsi="Times New Roman" w:cs="Times New Roman"/>
          <w:color w:val="auto"/>
          <w:lang w:val="en-US"/>
        </w:rPr>
        <w:t>Pabs</w:t>
      </w:r>
      <w:proofErr w:type="spellEnd"/>
      <w:r w:rsidRPr="003D614B">
        <w:rPr>
          <w:rFonts w:ascii="Times New Roman" w:hAnsi="Times New Roman" w:cs="Times New Roman"/>
          <w:color w:val="auto"/>
          <w:lang w:val="en-US"/>
        </w:rPr>
        <w:t xml:space="preserve"> — absolute population, </w:t>
      </w:r>
      <w:proofErr w:type="gramStart"/>
      <w:r w:rsidRPr="003D614B">
        <w:rPr>
          <w:rFonts w:ascii="Times New Roman" w:hAnsi="Times New Roman" w:cs="Times New Roman"/>
          <w:color w:val="auto"/>
          <w:lang w:val="en-US"/>
        </w:rPr>
        <w:t>pcs./</w:t>
      </w:r>
      <w:proofErr w:type="gramEnd"/>
      <w:r w:rsidRPr="003D614B">
        <w:rPr>
          <w:rFonts w:ascii="Times New Roman" w:hAnsi="Times New Roman" w:cs="Times New Roman"/>
          <w:color w:val="auto"/>
          <w:lang w:val="en-US"/>
        </w:rPr>
        <w:t xml:space="preserve">m2 </w:t>
      </w:r>
    </w:p>
    <w:p w14:paraId="42EDCCB8" w14:textId="77777777" w:rsidR="003D614B" w:rsidRPr="003D614B" w:rsidRDefault="003D614B" w:rsidP="003D614B">
      <w:pPr>
        <w:pStyle w:val="Default"/>
        <w:spacing w:line="360" w:lineRule="auto"/>
        <w:jc w:val="both"/>
        <w:rPr>
          <w:rFonts w:ascii="Times New Roman" w:hAnsi="Times New Roman" w:cs="Times New Roman"/>
          <w:color w:val="auto"/>
          <w:lang w:val="en-US"/>
        </w:rPr>
      </w:pPr>
      <w:r w:rsidRPr="003D614B">
        <w:rPr>
          <w:rFonts w:ascii="Times New Roman" w:hAnsi="Times New Roman" w:cs="Times New Roman"/>
          <w:color w:val="auto"/>
          <w:lang w:val="en-US"/>
        </w:rPr>
        <w:t xml:space="preserve">Prel — relative population, % </w:t>
      </w:r>
    </w:p>
    <w:p w14:paraId="37D39965" w14:textId="77777777" w:rsidR="003D614B" w:rsidRPr="003D614B" w:rsidRDefault="003D614B" w:rsidP="003D614B">
      <w:pPr>
        <w:pStyle w:val="Default"/>
        <w:spacing w:line="360" w:lineRule="auto"/>
        <w:jc w:val="both"/>
        <w:rPr>
          <w:rFonts w:ascii="Times New Roman" w:hAnsi="Times New Roman" w:cs="Times New Roman"/>
          <w:color w:val="auto"/>
          <w:lang w:val="en-US"/>
        </w:rPr>
      </w:pPr>
      <w:r w:rsidRPr="003D614B">
        <w:rPr>
          <w:rFonts w:ascii="Times New Roman" w:hAnsi="Times New Roman" w:cs="Times New Roman"/>
          <w:color w:val="auto"/>
          <w:lang w:val="en-US"/>
        </w:rPr>
        <w:t xml:space="preserve">Pav — average population, </w:t>
      </w:r>
      <w:proofErr w:type="gramStart"/>
      <w:r w:rsidRPr="003D614B">
        <w:rPr>
          <w:rFonts w:ascii="Times New Roman" w:hAnsi="Times New Roman" w:cs="Times New Roman"/>
          <w:color w:val="auto"/>
          <w:lang w:val="en-US"/>
        </w:rPr>
        <w:t>pcs./</w:t>
      </w:r>
      <w:proofErr w:type="gramEnd"/>
      <w:r w:rsidRPr="003D614B">
        <w:rPr>
          <w:rFonts w:ascii="Times New Roman" w:hAnsi="Times New Roman" w:cs="Times New Roman"/>
          <w:color w:val="auto"/>
          <w:lang w:val="en-US"/>
        </w:rPr>
        <w:t xml:space="preserve">m2 </w:t>
      </w:r>
    </w:p>
    <w:p w14:paraId="5A457016" w14:textId="77777777" w:rsidR="003D614B" w:rsidRDefault="003D614B" w:rsidP="003D614B">
      <w:pPr>
        <w:pStyle w:val="Default"/>
        <w:spacing w:line="360" w:lineRule="auto"/>
        <w:ind w:firstLine="567"/>
        <w:jc w:val="both"/>
        <w:rPr>
          <w:rFonts w:ascii="Times New Roman" w:hAnsi="Times New Roman" w:cs="Times New Roman"/>
          <w:color w:val="auto"/>
          <w:lang w:val="en-US"/>
        </w:rPr>
      </w:pPr>
      <w:r w:rsidRPr="003D614B">
        <w:rPr>
          <w:rFonts w:ascii="Times New Roman" w:hAnsi="Times New Roman" w:cs="Times New Roman"/>
          <w:color w:val="auto"/>
          <w:lang w:val="en-US"/>
        </w:rPr>
        <w:t>The final indicator of absolute population (</w:t>
      </w:r>
      <w:proofErr w:type="spellStart"/>
      <w:r w:rsidRPr="003D614B">
        <w:rPr>
          <w:rFonts w:ascii="Times New Roman" w:hAnsi="Times New Roman" w:cs="Times New Roman"/>
          <w:color w:val="auto"/>
          <w:lang w:val="en-US"/>
        </w:rPr>
        <w:t>Pabs</w:t>
      </w:r>
      <w:proofErr w:type="spellEnd"/>
      <w:r w:rsidRPr="003D614B">
        <w:rPr>
          <w:rFonts w:ascii="Times New Roman" w:hAnsi="Times New Roman" w:cs="Times New Roman"/>
          <w:color w:val="auto"/>
          <w:lang w:val="en-US"/>
        </w:rPr>
        <w:t>) was the one used to train the neural network-based forecasting models because it reflects changes in the population of the studied pests. All calculations were performed automatically in MS Excel.</w:t>
      </w:r>
    </w:p>
    <w:p w14:paraId="4BBB4EE5" w14:textId="34E9ED49" w:rsidR="003D614B" w:rsidRPr="003D614B" w:rsidRDefault="003D614B" w:rsidP="00F4551E">
      <w:pPr>
        <w:pStyle w:val="Default"/>
        <w:spacing w:line="360" w:lineRule="auto"/>
        <w:jc w:val="both"/>
        <w:rPr>
          <w:rFonts w:ascii="Times New Roman" w:hAnsi="Times New Roman" w:cs="Times New Roman"/>
          <w:color w:val="auto"/>
          <w:lang w:val="en-US"/>
        </w:rPr>
      </w:pPr>
      <w:r w:rsidRPr="003D614B">
        <w:rPr>
          <w:rFonts w:ascii="Times New Roman" w:hAnsi="Times New Roman" w:cs="Times New Roman"/>
          <w:color w:val="auto"/>
          <w:lang w:val="en-US"/>
        </w:rPr>
        <w:t>2.2.2. Meteorological and Climatic Data</w:t>
      </w:r>
    </w:p>
    <w:p w14:paraId="6BCE7C3C" w14:textId="77777777" w:rsidR="003D614B" w:rsidRPr="003D614B" w:rsidRDefault="003D614B" w:rsidP="003D614B">
      <w:pPr>
        <w:pStyle w:val="afa"/>
        <w:spacing w:line="360" w:lineRule="auto"/>
        <w:ind w:firstLine="567"/>
      </w:pPr>
      <w:r w:rsidRPr="003D614B">
        <w:t>Meteorological variables included: Mean, minimum, maximum air temperature; Growing Degree Days (GDD); Precipitation totals; Relative humidity; Soil moisture.</w:t>
      </w:r>
    </w:p>
    <w:p w14:paraId="5B2DBFB5" w14:textId="2CE8EEAD" w:rsidR="003D614B" w:rsidRDefault="003D614B" w:rsidP="003D614B">
      <w:pPr>
        <w:pStyle w:val="afa"/>
        <w:spacing w:line="360" w:lineRule="auto"/>
        <w:ind w:firstLine="567"/>
      </w:pPr>
      <w:r w:rsidRPr="003D614B">
        <w:t xml:space="preserve">Climatic datasets were derived from national meteorological services and global databases (WorldClim v2, </w:t>
      </w:r>
      <w:hyperlink r:id="rId14" w:tgtFrame="_new" w:history="1">
        <w:r w:rsidRPr="003D614B">
          <w:rPr>
            <w:rStyle w:val="af1"/>
            <w:color w:val="auto"/>
          </w:rPr>
          <w:t>https://www.worldclim.org</w:t>
        </w:r>
      </w:hyperlink>
      <w:r w:rsidRPr="003D614B">
        <w:t xml:space="preserve">) </w:t>
      </w:r>
      <w:r w:rsidR="00EE7A19">
        <w:t>(</w:t>
      </w:r>
      <w:r w:rsidR="00EE7A19" w:rsidRPr="00EE7A19">
        <w:rPr>
          <w:color w:val="auto"/>
        </w:rPr>
        <w:t xml:space="preserve">Fick </w:t>
      </w:r>
      <w:r w:rsidR="00EE7A19">
        <w:rPr>
          <w:color w:val="auto"/>
        </w:rPr>
        <w:t>and</w:t>
      </w:r>
      <w:r w:rsidR="00EE7A19" w:rsidRPr="00EE7A19">
        <w:rPr>
          <w:color w:val="auto"/>
        </w:rPr>
        <w:t xml:space="preserve"> Hijmans 2017</w:t>
      </w:r>
      <w:r w:rsidR="00EE7A19">
        <w:t>)</w:t>
      </w:r>
      <w:r>
        <w:t>.</w:t>
      </w:r>
    </w:p>
    <w:p w14:paraId="4B984B4D" w14:textId="052061B1" w:rsidR="003D614B" w:rsidRPr="003D614B" w:rsidRDefault="003D614B" w:rsidP="00F4551E">
      <w:pPr>
        <w:pStyle w:val="afa"/>
        <w:spacing w:line="360" w:lineRule="auto"/>
      </w:pPr>
      <w:r w:rsidRPr="003D614B">
        <w:rPr>
          <w:color w:val="auto"/>
        </w:rPr>
        <w:t>2.2.3. Remote Sensing Predictors</w:t>
      </w:r>
    </w:p>
    <w:p w14:paraId="2C8DB399" w14:textId="1D64C451" w:rsidR="003D614B" w:rsidRPr="003D614B" w:rsidRDefault="003D614B" w:rsidP="003D614B">
      <w:pPr>
        <w:pStyle w:val="afa"/>
        <w:spacing w:line="360" w:lineRule="auto"/>
        <w:ind w:firstLine="567"/>
      </w:pPr>
      <w:r w:rsidRPr="003D614B">
        <w:t xml:space="preserve">Satellite sources: MODIS (NDVI, EVI, LST) </w:t>
      </w:r>
      <w:r w:rsidR="00B63A47">
        <w:t>(</w:t>
      </w:r>
      <w:r w:rsidR="00B63A47" w:rsidRPr="00B63A47">
        <w:rPr>
          <w:color w:val="auto"/>
        </w:rPr>
        <w:t>Didan et al.</w:t>
      </w:r>
      <w:r w:rsidR="00B63A47">
        <w:rPr>
          <w:color w:val="auto"/>
        </w:rPr>
        <w:t xml:space="preserve"> 2019</w:t>
      </w:r>
      <w:r w:rsidR="00B63A47">
        <w:t>)</w:t>
      </w:r>
      <w:r w:rsidRPr="003D614B">
        <w:t xml:space="preserve">; Sentinel-2 multispectral imagery; Landsat 8/9 thermal bands; SMAP/SMOS soil moisture datasets </w:t>
      </w:r>
      <w:r w:rsidR="000C7CBD">
        <w:t>(</w:t>
      </w:r>
      <w:r w:rsidR="000C7CBD" w:rsidRPr="000C7CBD">
        <w:rPr>
          <w:color w:val="auto"/>
          <w:lang w:val="kk-KZ"/>
        </w:rPr>
        <w:t>Entekhabi</w:t>
      </w:r>
      <w:r w:rsidR="000C7CBD">
        <w:rPr>
          <w:color w:val="auto"/>
        </w:rPr>
        <w:t xml:space="preserve"> et al. 2010</w:t>
      </w:r>
      <w:r w:rsidR="000C7CBD">
        <w:t>)</w:t>
      </w:r>
      <w:r w:rsidRPr="003D614B">
        <w:t>.</w:t>
      </w:r>
    </w:p>
    <w:p w14:paraId="532FBA44" w14:textId="7A9DD8F1" w:rsidR="003D614B" w:rsidRPr="003D614B" w:rsidRDefault="003D614B" w:rsidP="003D614B">
      <w:pPr>
        <w:pStyle w:val="afa"/>
        <w:spacing w:line="360" w:lineRule="auto"/>
        <w:ind w:firstLine="567"/>
      </w:pPr>
      <w:r w:rsidRPr="003D614B">
        <w:t xml:space="preserve">Vegetation indices were calculated using standard formulations </w:t>
      </w:r>
      <w:r w:rsidR="00B63A47">
        <w:t>(</w:t>
      </w:r>
      <w:r w:rsidR="00B63A47" w:rsidRPr="00B63A47">
        <w:rPr>
          <w:color w:val="auto"/>
        </w:rPr>
        <w:t>Didan et al.</w:t>
      </w:r>
      <w:r w:rsidR="00B63A47">
        <w:rPr>
          <w:color w:val="auto"/>
        </w:rPr>
        <w:t xml:space="preserve"> 2019</w:t>
      </w:r>
      <w:r w:rsidR="000A01F8">
        <w:rPr>
          <w:color w:val="auto"/>
        </w:rPr>
        <w:t>; Huete et al. 2002</w:t>
      </w:r>
      <w:r w:rsidR="00B63A47">
        <w:t>)</w:t>
      </w:r>
      <w:r w:rsidRPr="003D614B">
        <w:t>:</w:t>
      </w:r>
    </w:p>
    <w:p w14:paraId="690999B1" w14:textId="77777777" w:rsidR="003D614B" w:rsidRPr="003D614B" w:rsidRDefault="003D614B" w:rsidP="003D614B">
      <w:pPr>
        <w:spacing w:line="360" w:lineRule="auto"/>
        <w:ind w:firstLine="567"/>
        <w:rPr>
          <w:szCs w:val="24"/>
        </w:rPr>
      </w:pPr>
      <w:r w:rsidRPr="003D614B">
        <w:rPr>
          <w:rStyle w:val="katex-mathml"/>
          <w:szCs w:val="24"/>
        </w:rPr>
        <w:lastRenderedPageBreak/>
        <w:t>NDVI=NIR−RedNIR+RedNDVI = \frac{NIR - Red}{NIR + Red}</w:t>
      </w:r>
      <w:r w:rsidRPr="003D614B">
        <w:rPr>
          <w:rStyle w:val="mord"/>
          <w:szCs w:val="24"/>
        </w:rPr>
        <w:t>NDVI</w:t>
      </w:r>
      <w:r w:rsidRPr="003D614B">
        <w:rPr>
          <w:rStyle w:val="mrel"/>
          <w:szCs w:val="24"/>
        </w:rPr>
        <w:t>=</w:t>
      </w:r>
      <w:r w:rsidRPr="003D614B">
        <w:rPr>
          <w:rStyle w:val="mord"/>
          <w:szCs w:val="24"/>
        </w:rPr>
        <w:t>NIR</w:t>
      </w:r>
      <w:r w:rsidRPr="003D614B">
        <w:rPr>
          <w:rStyle w:val="mbin"/>
          <w:szCs w:val="24"/>
        </w:rPr>
        <w:t>+</w:t>
      </w:r>
      <w:r w:rsidRPr="003D614B">
        <w:rPr>
          <w:rStyle w:val="mord"/>
          <w:szCs w:val="24"/>
        </w:rPr>
        <w:t>RedNIR</w:t>
      </w:r>
      <w:r w:rsidRPr="003D614B">
        <w:rPr>
          <w:rStyle w:val="mbin"/>
          <w:szCs w:val="24"/>
        </w:rPr>
        <w:t>−</w:t>
      </w:r>
      <w:r w:rsidRPr="003D614B">
        <w:rPr>
          <w:rStyle w:val="mord"/>
          <w:szCs w:val="24"/>
        </w:rPr>
        <w:t>Red</w:t>
      </w:r>
      <w:r w:rsidRPr="003D614B">
        <w:rPr>
          <w:rStyle w:val="vlist-s"/>
          <w:szCs w:val="24"/>
        </w:rPr>
        <w:t>​</w:t>
      </w:r>
      <w:r w:rsidRPr="003D614B">
        <w:rPr>
          <w:szCs w:val="24"/>
        </w:rPr>
        <w:t xml:space="preserve"> </w:t>
      </w:r>
      <w:r w:rsidRPr="003D614B">
        <w:rPr>
          <w:rStyle w:val="katex-mathml"/>
          <w:szCs w:val="24"/>
        </w:rPr>
        <w:t>EVI=2.5</w:t>
      </w:r>
      <w:r w:rsidRPr="003D614B">
        <w:rPr>
          <w:rStyle w:val="katex-mathml"/>
          <w:rFonts w:ascii="Cambria Math" w:hAnsi="Cambria Math" w:cs="Cambria Math"/>
          <w:szCs w:val="24"/>
        </w:rPr>
        <w:t>⋅</w:t>
      </w:r>
      <w:r w:rsidRPr="003D614B">
        <w:rPr>
          <w:rStyle w:val="katex-mathml"/>
          <w:szCs w:val="24"/>
        </w:rPr>
        <w:t>NIR−RedNIR+6Red−7.5Blue+1EVI = 2.5 \cdot \frac{NIR - Red}{NIR + 6Red - 7.5Blue + 1}</w:t>
      </w:r>
      <w:r w:rsidRPr="003D614B">
        <w:rPr>
          <w:rStyle w:val="mord"/>
          <w:szCs w:val="24"/>
        </w:rPr>
        <w:t>EVI</w:t>
      </w:r>
      <w:r w:rsidRPr="003D614B">
        <w:rPr>
          <w:rStyle w:val="mrel"/>
          <w:szCs w:val="24"/>
        </w:rPr>
        <w:t>=</w:t>
      </w:r>
      <w:r w:rsidRPr="003D614B">
        <w:rPr>
          <w:rStyle w:val="mord"/>
          <w:szCs w:val="24"/>
        </w:rPr>
        <w:t>2.5</w:t>
      </w:r>
      <w:r w:rsidRPr="003D614B">
        <w:rPr>
          <w:rStyle w:val="mbin"/>
          <w:rFonts w:ascii="Cambria Math" w:hAnsi="Cambria Math" w:cs="Cambria Math"/>
          <w:szCs w:val="24"/>
        </w:rPr>
        <w:t>⋅</w:t>
      </w:r>
      <w:r w:rsidRPr="003D614B">
        <w:rPr>
          <w:rStyle w:val="mord"/>
          <w:szCs w:val="24"/>
        </w:rPr>
        <w:t>NIR</w:t>
      </w:r>
      <w:r w:rsidRPr="003D614B">
        <w:rPr>
          <w:rStyle w:val="mbin"/>
          <w:szCs w:val="24"/>
        </w:rPr>
        <w:t>+</w:t>
      </w:r>
      <w:r w:rsidRPr="003D614B">
        <w:rPr>
          <w:rStyle w:val="mord"/>
          <w:szCs w:val="24"/>
        </w:rPr>
        <w:t>6Red</w:t>
      </w:r>
      <w:r w:rsidRPr="003D614B">
        <w:rPr>
          <w:rStyle w:val="mbin"/>
          <w:szCs w:val="24"/>
        </w:rPr>
        <w:t>−</w:t>
      </w:r>
      <w:r w:rsidRPr="003D614B">
        <w:rPr>
          <w:rStyle w:val="mord"/>
          <w:szCs w:val="24"/>
        </w:rPr>
        <w:t>7.5Blue</w:t>
      </w:r>
      <w:r w:rsidRPr="003D614B">
        <w:rPr>
          <w:rStyle w:val="mbin"/>
          <w:szCs w:val="24"/>
        </w:rPr>
        <w:t>+</w:t>
      </w:r>
      <w:r w:rsidRPr="003D614B">
        <w:rPr>
          <w:rStyle w:val="mord"/>
          <w:szCs w:val="24"/>
        </w:rPr>
        <w:t>1NIR</w:t>
      </w:r>
      <w:r w:rsidRPr="003D614B">
        <w:rPr>
          <w:rStyle w:val="mbin"/>
          <w:szCs w:val="24"/>
        </w:rPr>
        <w:t>−</w:t>
      </w:r>
      <w:r w:rsidRPr="003D614B">
        <w:rPr>
          <w:rStyle w:val="mord"/>
          <w:szCs w:val="24"/>
        </w:rPr>
        <w:t>Red</w:t>
      </w:r>
      <w:r w:rsidRPr="003D614B">
        <w:rPr>
          <w:rStyle w:val="vlist-s"/>
          <w:szCs w:val="24"/>
        </w:rPr>
        <w:t>​</w:t>
      </w:r>
      <w:r w:rsidRPr="003D614B">
        <w:rPr>
          <w:szCs w:val="24"/>
        </w:rPr>
        <w:t xml:space="preserve"> </w:t>
      </w:r>
    </w:p>
    <w:p w14:paraId="594B5D9D" w14:textId="4620AF79" w:rsidR="00E86408" w:rsidRPr="003D614B" w:rsidRDefault="003D614B" w:rsidP="003D614B">
      <w:pPr>
        <w:suppressAutoHyphens/>
        <w:spacing w:line="360" w:lineRule="auto"/>
        <w:ind w:firstLine="567"/>
        <w:rPr>
          <w:color w:val="auto"/>
          <w:szCs w:val="28"/>
        </w:rPr>
      </w:pPr>
      <w:r w:rsidRPr="003D614B">
        <w:t xml:space="preserve">Topographic variables were derived from SRTM DEM data </w:t>
      </w:r>
      <w:r w:rsidR="007122A7">
        <w:t>(</w:t>
      </w:r>
      <w:r w:rsidR="007122A7" w:rsidRPr="007122A7">
        <w:rPr>
          <w:color w:val="auto"/>
          <w:szCs w:val="24"/>
        </w:rPr>
        <w:t>Farr</w:t>
      </w:r>
      <w:r w:rsidR="007122A7">
        <w:rPr>
          <w:color w:val="auto"/>
          <w:szCs w:val="24"/>
        </w:rPr>
        <w:t xml:space="preserve"> et al. 2007</w:t>
      </w:r>
      <w:r w:rsidR="007122A7">
        <w:t>)</w:t>
      </w:r>
      <w:r w:rsidR="00E86408" w:rsidRPr="003D614B">
        <w:rPr>
          <w:color w:val="auto"/>
          <w:szCs w:val="24"/>
          <w:lang w:val="en"/>
        </w:rPr>
        <w:t>.</w:t>
      </w:r>
    </w:p>
    <w:p w14:paraId="79F36462" w14:textId="77777777" w:rsidR="00E86408" w:rsidRPr="00F4551E" w:rsidRDefault="00E86408" w:rsidP="003D614B">
      <w:pPr>
        <w:spacing w:line="360" w:lineRule="auto"/>
        <w:ind w:firstLine="567"/>
        <w:rPr>
          <w:b/>
          <w:bCs/>
          <w:iCs/>
          <w:color w:val="auto"/>
          <w:szCs w:val="28"/>
          <w:highlight w:val="yellow"/>
        </w:rPr>
      </w:pPr>
    </w:p>
    <w:p w14:paraId="6E92C2B6" w14:textId="792D9087" w:rsidR="003D614B" w:rsidRPr="00F4551E" w:rsidRDefault="003D614B" w:rsidP="00F4551E">
      <w:pPr>
        <w:pStyle w:val="afd"/>
        <w:numPr>
          <w:ilvl w:val="1"/>
          <w:numId w:val="30"/>
        </w:numPr>
        <w:tabs>
          <w:tab w:val="left" w:pos="567"/>
        </w:tabs>
        <w:spacing w:line="360" w:lineRule="auto"/>
        <w:ind w:left="0" w:firstLine="0"/>
        <w:contextualSpacing w:val="0"/>
        <w:jc w:val="both"/>
      </w:pPr>
      <w:r w:rsidRPr="00F4551E">
        <w:rPr>
          <w:b/>
          <w:bCs/>
          <w:iCs/>
          <w:szCs w:val="28"/>
        </w:rPr>
        <w:t>Data Preprocessing and Feature Engineering</w:t>
      </w:r>
      <w:r w:rsidR="00F4551E" w:rsidRPr="00F4551E">
        <w:rPr>
          <w:b/>
          <w:bCs/>
          <w:iCs/>
          <w:szCs w:val="28"/>
        </w:rPr>
        <w:t xml:space="preserve">: </w:t>
      </w:r>
      <w:r w:rsidR="00F4551E" w:rsidRPr="00F4551E">
        <w:rPr>
          <w:bCs/>
        </w:rPr>
        <w:t xml:space="preserve">Outlier removal via IQR method; Missing value imputation using </w:t>
      </w:r>
      <w:proofErr w:type="spellStart"/>
      <w:r w:rsidR="00F4551E" w:rsidRPr="00F4551E">
        <w:rPr>
          <w:bCs/>
        </w:rPr>
        <w:t>kNN</w:t>
      </w:r>
      <w:proofErr w:type="spellEnd"/>
      <w:r w:rsidR="00F4551E" w:rsidRPr="00F4551E">
        <w:rPr>
          <w:bCs/>
        </w:rPr>
        <w:t>; Multicollinearity control (VIF &lt; 5); Time-lag construction (1–</w:t>
      </w:r>
      <w:proofErr w:type="gramStart"/>
      <w:r w:rsidR="00F4551E" w:rsidRPr="00F4551E">
        <w:rPr>
          <w:bCs/>
        </w:rPr>
        <w:t>3 month</w:t>
      </w:r>
      <w:proofErr w:type="gramEnd"/>
      <w:r w:rsidR="00F4551E" w:rsidRPr="00F4551E">
        <w:rPr>
          <w:bCs/>
        </w:rPr>
        <w:t xml:space="preserve"> windows); Feature normalization (Min–Max scaling). Exploratory Data Analysis (EDA) identified nonlinear and threshold responses </w:t>
      </w:r>
      <w:r w:rsidR="002273A1">
        <w:rPr>
          <w:bCs/>
        </w:rPr>
        <w:t>(</w:t>
      </w:r>
      <w:r w:rsidR="002273A1" w:rsidRPr="002273A1">
        <w:t>Hastie</w:t>
      </w:r>
      <w:r w:rsidR="002273A1">
        <w:t xml:space="preserve"> et al. 2009</w:t>
      </w:r>
      <w:r w:rsidR="002273A1">
        <w:rPr>
          <w:bCs/>
        </w:rPr>
        <w:t>)</w:t>
      </w:r>
      <w:r w:rsidRPr="00F4551E">
        <w:t>.</w:t>
      </w:r>
    </w:p>
    <w:p w14:paraId="0F44A80C" w14:textId="77777777" w:rsidR="003D614B" w:rsidRPr="0040161F" w:rsidRDefault="003D614B" w:rsidP="003D614B">
      <w:pPr>
        <w:pStyle w:val="MDPI31text"/>
        <w:spacing w:line="360" w:lineRule="auto"/>
        <w:ind w:left="0" w:firstLine="567"/>
        <w:rPr>
          <w:rFonts w:ascii="Times New Roman" w:eastAsia="Batang" w:hAnsi="Times New Roman"/>
          <w:color w:val="FF0000"/>
          <w:sz w:val="24"/>
          <w:szCs w:val="24"/>
        </w:rPr>
      </w:pPr>
    </w:p>
    <w:p w14:paraId="3B53405A" w14:textId="2FEC5A61" w:rsidR="00E86408" w:rsidRPr="007A1B7F" w:rsidRDefault="007A1B7F" w:rsidP="007A1B7F">
      <w:pPr>
        <w:pStyle w:val="afd"/>
        <w:numPr>
          <w:ilvl w:val="1"/>
          <w:numId w:val="30"/>
        </w:numPr>
        <w:tabs>
          <w:tab w:val="left" w:pos="567"/>
        </w:tabs>
        <w:spacing w:line="360" w:lineRule="auto"/>
        <w:ind w:left="0" w:firstLine="0"/>
        <w:contextualSpacing w:val="0"/>
        <w:rPr>
          <w:b/>
          <w:bCs/>
          <w:iCs/>
          <w:szCs w:val="28"/>
        </w:rPr>
      </w:pPr>
      <w:r w:rsidRPr="007A1B7F">
        <w:rPr>
          <w:b/>
          <w:bCs/>
          <w:iCs/>
          <w:szCs w:val="28"/>
        </w:rPr>
        <w:t>Machine Learning Modeling</w:t>
      </w:r>
    </w:p>
    <w:p w14:paraId="2D546FEE" w14:textId="77777777" w:rsidR="00AF3847" w:rsidRPr="00AF3847" w:rsidRDefault="00AF3847" w:rsidP="00AF3847">
      <w:pPr>
        <w:spacing w:line="360" w:lineRule="auto"/>
        <w:ind w:firstLine="567"/>
        <w:rPr>
          <w:szCs w:val="24"/>
        </w:rPr>
      </w:pPr>
      <w:r w:rsidRPr="00AF3847">
        <w:rPr>
          <w:szCs w:val="24"/>
        </w:rPr>
        <w:t>To model nonlinear, interaction-driven, and temporal relationships between environmental predictors and locust population density, five supervised learning approaches were implemented: Multiple Linear Regression (MLR), Support Vector Regression (SVR), Seasonal Autoregressive Integrated Moving Average (SARIMA), Random Forest (RF), and Gradient Boosting Machine (GBM). The response variable y represents standardized locust population density (individuals m</w:t>
      </w:r>
      <w:r w:rsidRPr="00AF3847">
        <w:rPr>
          <w:rFonts w:ascii="Cambria Math" w:hAnsi="Cambria Math" w:cs="Cambria Math"/>
          <w:szCs w:val="24"/>
        </w:rPr>
        <w:t>⁻</w:t>
      </w:r>
      <w:r w:rsidRPr="00AF3847">
        <w:rPr>
          <w:szCs w:val="24"/>
        </w:rPr>
        <w:t>²), and X denotes the predictor matrix.</w:t>
      </w:r>
    </w:p>
    <w:p w14:paraId="5A1DF8D4" w14:textId="7D79E73C" w:rsidR="00AF3847" w:rsidRPr="00AF3847" w:rsidRDefault="00AF3847" w:rsidP="00AF3847">
      <w:pPr>
        <w:spacing w:line="360" w:lineRule="auto"/>
        <w:ind w:firstLine="567"/>
        <w:rPr>
          <w:bCs/>
          <w:i/>
          <w:iCs/>
          <w:szCs w:val="24"/>
        </w:rPr>
      </w:pPr>
      <w:r w:rsidRPr="00AF3847">
        <w:rPr>
          <w:bCs/>
          <w:i/>
          <w:iCs/>
          <w:szCs w:val="24"/>
        </w:rPr>
        <w:t>Multiple Linear Regression (MLR):</w:t>
      </w:r>
    </w:p>
    <w:p w14:paraId="12F468A5" w14:textId="77777777" w:rsidR="00AF3847" w:rsidRDefault="00AF3847" w:rsidP="00AF3847">
      <w:pPr>
        <w:spacing w:line="360" w:lineRule="auto"/>
        <w:ind w:firstLine="567"/>
        <w:rPr>
          <w:szCs w:val="24"/>
        </w:rPr>
      </w:pPr>
    </w:p>
    <w:tbl>
      <w:tblPr>
        <w:tblW w:w="8505" w:type="dxa"/>
        <w:jc w:val="center"/>
        <w:tblLook w:val="04A0" w:firstRow="1" w:lastRow="0" w:firstColumn="1" w:lastColumn="0" w:noHBand="0" w:noVBand="1"/>
      </w:tblPr>
      <w:tblGrid>
        <w:gridCol w:w="6957"/>
        <w:gridCol w:w="1548"/>
      </w:tblGrid>
      <w:tr w:rsidR="00AF3847" w:rsidRPr="003D614B" w14:paraId="22091662" w14:textId="77777777" w:rsidTr="005B7712">
        <w:trPr>
          <w:jc w:val="center"/>
        </w:trPr>
        <w:tc>
          <w:tcPr>
            <w:tcW w:w="6374" w:type="dxa"/>
            <w:vAlign w:val="center"/>
          </w:tcPr>
          <w:p w14:paraId="09A2B6ED" w14:textId="41C98550" w:rsidR="00AF3847" w:rsidRPr="00AF3847" w:rsidRDefault="00AF3847" w:rsidP="000B6631">
            <w:pPr>
              <w:spacing w:line="360" w:lineRule="auto"/>
              <w:jc w:val="center"/>
              <w:rPr>
                <w:rFonts w:eastAsia="Cambria Math"/>
                <w:szCs w:val="24"/>
              </w:rPr>
            </w:pPr>
            <m:oMathPara>
              <m:oMathParaPr>
                <m:jc m:val="center"/>
              </m:oMathParaPr>
              <m:oMath>
                <m:r>
                  <w:rPr>
                    <w:rFonts w:ascii="Cambria Math" w:hAnsi="Cambria Math"/>
                    <w:szCs w:val="24"/>
                  </w:rPr>
                  <m:t>y_i = β_0 + Σ_(j=1)^p β_j x_(ij) + ε_i</m:t>
                </m:r>
              </m:oMath>
            </m:oMathPara>
          </w:p>
        </w:tc>
        <w:tc>
          <w:tcPr>
            <w:tcW w:w="1418" w:type="dxa"/>
            <w:vAlign w:val="center"/>
          </w:tcPr>
          <w:p w14:paraId="42506A41" w14:textId="4C78CF8B" w:rsidR="00AF3847" w:rsidRPr="003D614B" w:rsidRDefault="00AF3847" w:rsidP="00AF3847">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4</w:t>
            </w:r>
            <w:r w:rsidRPr="003D614B">
              <w:rPr>
                <w:color w:val="000000" w:themeColor="text1"/>
                <w:szCs w:val="24"/>
                <w:lang w:val="ru-RU"/>
              </w:rPr>
              <w:t>)</w:t>
            </w:r>
          </w:p>
        </w:tc>
      </w:tr>
    </w:tbl>
    <w:p w14:paraId="6EE98FFE" w14:textId="77777777" w:rsidR="00AF3847" w:rsidRPr="00AF3847" w:rsidRDefault="00AF3847" w:rsidP="00AF3847">
      <w:pPr>
        <w:spacing w:line="360" w:lineRule="auto"/>
        <w:rPr>
          <w:szCs w:val="24"/>
        </w:rPr>
      </w:pPr>
    </w:p>
    <w:p w14:paraId="0306A647" w14:textId="77777777" w:rsidR="00AF3847" w:rsidRPr="006C0672" w:rsidRDefault="00AF3847" w:rsidP="00AF3847">
      <w:pPr>
        <w:spacing w:line="360" w:lineRule="auto"/>
        <w:rPr>
          <w:szCs w:val="24"/>
        </w:rPr>
      </w:pPr>
      <w:r w:rsidRPr="006C0672">
        <w:rPr>
          <w:szCs w:val="24"/>
        </w:rPr>
        <w:t>where:</w:t>
      </w:r>
    </w:p>
    <w:p w14:paraId="3125AC17" w14:textId="77777777" w:rsidR="00AF3847" w:rsidRPr="006C0672" w:rsidRDefault="00AF3847" w:rsidP="00AF3847">
      <w:pPr>
        <w:spacing w:line="360" w:lineRule="auto"/>
        <w:rPr>
          <w:szCs w:val="24"/>
        </w:rPr>
      </w:pPr>
      <w:r w:rsidRPr="006C0672">
        <w:rPr>
          <w:szCs w:val="24"/>
        </w:rPr>
        <w:t>y_i – observed locust density;</w:t>
      </w:r>
    </w:p>
    <w:p w14:paraId="0D47ADFA" w14:textId="77777777" w:rsidR="00AF3847" w:rsidRPr="006C0672" w:rsidRDefault="00AF3847" w:rsidP="00AF3847">
      <w:pPr>
        <w:spacing w:line="360" w:lineRule="auto"/>
        <w:rPr>
          <w:szCs w:val="24"/>
        </w:rPr>
      </w:pPr>
      <w:r w:rsidRPr="006C0672">
        <w:rPr>
          <w:szCs w:val="24"/>
        </w:rPr>
        <w:t>β_0 – intercept;</w:t>
      </w:r>
    </w:p>
    <w:p w14:paraId="11E9FC1B" w14:textId="77777777" w:rsidR="00AF3847" w:rsidRPr="006C0672" w:rsidRDefault="00AF3847" w:rsidP="00AF3847">
      <w:pPr>
        <w:spacing w:line="360" w:lineRule="auto"/>
        <w:rPr>
          <w:szCs w:val="24"/>
        </w:rPr>
      </w:pPr>
      <w:r w:rsidRPr="006C0672">
        <w:rPr>
          <w:szCs w:val="24"/>
        </w:rPr>
        <w:t>β_j – regression coefficients;</w:t>
      </w:r>
    </w:p>
    <w:p w14:paraId="587958B2" w14:textId="77777777" w:rsidR="00AF3847" w:rsidRPr="006C0672" w:rsidRDefault="00AF3847" w:rsidP="00AF3847">
      <w:pPr>
        <w:spacing w:line="360" w:lineRule="auto"/>
        <w:rPr>
          <w:szCs w:val="24"/>
        </w:rPr>
      </w:pPr>
      <w:r w:rsidRPr="006C0672">
        <w:rPr>
          <w:szCs w:val="24"/>
        </w:rPr>
        <w:t>x_(ij) – predictor variables;</w:t>
      </w:r>
    </w:p>
    <w:p w14:paraId="424C8A0B" w14:textId="77777777" w:rsidR="00AF3847" w:rsidRPr="006C0672" w:rsidRDefault="00AF3847" w:rsidP="00AF3847">
      <w:pPr>
        <w:spacing w:line="360" w:lineRule="auto"/>
        <w:rPr>
          <w:szCs w:val="24"/>
        </w:rPr>
      </w:pPr>
      <w:r w:rsidRPr="006C0672">
        <w:rPr>
          <w:szCs w:val="24"/>
        </w:rPr>
        <w:t>ε_i – random error term;</w:t>
      </w:r>
    </w:p>
    <w:p w14:paraId="5FABD0EF" w14:textId="77777777" w:rsidR="00AF3847" w:rsidRDefault="00AF3847" w:rsidP="00AF3847">
      <w:pPr>
        <w:spacing w:line="360" w:lineRule="auto"/>
        <w:rPr>
          <w:szCs w:val="24"/>
        </w:rPr>
      </w:pPr>
      <w:r>
        <w:rPr>
          <w:szCs w:val="24"/>
        </w:rPr>
        <w:t>p – number of predictors.</w:t>
      </w:r>
    </w:p>
    <w:p w14:paraId="30BBBB59" w14:textId="331B82B7" w:rsidR="00AF3847" w:rsidRDefault="00AF3847" w:rsidP="00AF3847">
      <w:pPr>
        <w:spacing w:line="360" w:lineRule="auto"/>
        <w:ind w:firstLine="567"/>
        <w:rPr>
          <w:bCs/>
          <w:i/>
          <w:iCs/>
          <w:szCs w:val="24"/>
        </w:rPr>
      </w:pPr>
      <w:r w:rsidRPr="00AF3847">
        <w:rPr>
          <w:bCs/>
          <w:i/>
          <w:iCs/>
          <w:szCs w:val="24"/>
        </w:rPr>
        <w:t>Support Vector Regression (SVR):</w:t>
      </w:r>
    </w:p>
    <w:p w14:paraId="117C0BD0" w14:textId="77777777" w:rsidR="0014336E" w:rsidRDefault="0014336E" w:rsidP="00AF3847">
      <w:pPr>
        <w:spacing w:line="360" w:lineRule="auto"/>
        <w:ind w:firstLine="567"/>
        <w:rPr>
          <w:bCs/>
          <w:i/>
          <w:iCs/>
          <w:szCs w:val="24"/>
        </w:rPr>
      </w:pPr>
    </w:p>
    <w:tbl>
      <w:tblPr>
        <w:tblW w:w="8505" w:type="dxa"/>
        <w:jc w:val="center"/>
        <w:tblLook w:val="04A0" w:firstRow="1" w:lastRow="0" w:firstColumn="1" w:lastColumn="0" w:noHBand="0" w:noVBand="1"/>
      </w:tblPr>
      <w:tblGrid>
        <w:gridCol w:w="6957"/>
        <w:gridCol w:w="1548"/>
      </w:tblGrid>
      <w:tr w:rsidR="00AF3847" w:rsidRPr="003D614B" w14:paraId="541E85EA" w14:textId="77777777" w:rsidTr="005B7712">
        <w:trPr>
          <w:jc w:val="center"/>
        </w:trPr>
        <w:tc>
          <w:tcPr>
            <w:tcW w:w="6374" w:type="dxa"/>
            <w:vAlign w:val="center"/>
          </w:tcPr>
          <w:p w14:paraId="38AB99CF" w14:textId="79200F54" w:rsidR="00AF3847" w:rsidRPr="00AF3847" w:rsidRDefault="00AF3847" w:rsidP="000B6631">
            <w:pPr>
              <w:spacing w:line="360" w:lineRule="auto"/>
              <w:jc w:val="center"/>
              <w:rPr>
                <w:rFonts w:eastAsia="Cambria Math"/>
                <w:szCs w:val="24"/>
              </w:rPr>
            </w:pPr>
            <m:oMathPara>
              <m:oMathParaPr>
                <m:jc m:val="center"/>
              </m:oMathParaPr>
              <m:oMath>
                <m:r>
                  <w:rPr>
                    <w:rFonts w:ascii="Cambria Math" w:hAnsi="Cambria Math"/>
                    <w:szCs w:val="24"/>
                  </w:rPr>
                  <m:t>min 1/2 ||w||^2 + C Σ_(i=1)^n (ξ_i + ξ_i*)</m:t>
                </m:r>
              </m:oMath>
            </m:oMathPara>
          </w:p>
        </w:tc>
        <w:tc>
          <w:tcPr>
            <w:tcW w:w="1418" w:type="dxa"/>
            <w:vAlign w:val="center"/>
          </w:tcPr>
          <w:p w14:paraId="2A387CF5" w14:textId="3C71F166" w:rsidR="00AF3847" w:rsidRPr="003D614B" w:rsidRDefault="00AF3847" w:rsidP="00AF3847">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5</w:t>
            </w:r>
            <w:r w:rsidRPr="003D614B">
              <w:rPr>
                <w:color w:val="000000" w:themeColor="text1"/>
                <w:szCs w:val="24"/>
                <w:lang w:val="ru-RU"/>
              </w:rPr>
              <w:t>)</w:t>
            </w:r>
          </w:p>
        </w:tc>
      </w:tr>
    </w:tbl>
    <w:p w14:paraId="0C321753" w14:textId="77777777" w:rsidR="00AF3847" w:rsidRDefault="00AF3847" w:rsidP="00AF3847">
      <w:pPr>
        <w:spacing w:line="360" w:lineRule="auto"/>
        <w:rPr>
          <w:szCs w:val="24"/>
        </w:rPr>
      </w:pPr>
    </w:p>
    <w:p w14:paraId="5B94CAA1" w14:textId="77777777" w:rsidR="00AF3847" w:rsidRPr="006C0672" w:rsidRDefault="00AF3847" w:rsidP="0014336E">
      <w:pPr>
        <w:spacing w:line="360" w:lineRule="auto"/>
        <w:rPr>
          <w:szCs w:val="24"/>
        </w:rPr>
      </w:pPr>
      <w:r w:rsidRPr="006C0672">
        <w:rPr>
          <w:szCs w:val="24"/>
        </w:rPr>
        <w:t>where:</w:t>
      </w:r>
    </w:p>
    <w:p w14:paraId="762E6325" w14:textId="77777777" w:rsidR="00AF3847" w:rsidRPr="006C0672" w:rsidRDefault="00AF3847" w:rsidP="0014336E">
      <w:pPr>
        <w:spacing w:line="360" w:lineRule="auto"/>
        <w:rPr>
          <w:szCs w:val="24"/>
        </w:rPr>
      </w:pPr>
      <w:r w:rsidRPr="006C0672">
        <w:rPr>
          <w:szCs w:val="24"/>
        </w:rPr>
        <w:lastRenderedPageBreak/>
        <w:t>w – weight vector;</w:t>
      </w:r>
    </w:p>
    <w:p w14:paraId="6C9E686B" w14:textId="77777777" w:rsidR="00AF3847" w:rsidRPr="006C0672" w:rsidRDefault="00AF3847" w:rsidP="0014336E">
      <w:pPr>
        <w:spacing w:line="360" w:lineRule="auto"/>
        <w:rPr>
          <w:szCs w:val="24"/>
        </w:rPr>
      </w:pPr>
      <w:r w:rsidRPr="006C0672">
        <w:rPr>
          <w:szCs w:val="24"/>
        </w:rPr>
        <w:t>C – regularization parameter;</w:t>
      </w:r>
    </w:p>
    <w:p w14:paraId="1418B2F5" w14:textId="77777777" w:rsidR="00AF3847" w:rsidRPr="006C0672" w:rsidRDefault="00AF3847" w:rsidP="0014336E">
      <w:pPr>
        <w:spacing w:line="360" w:lineRule="auto"/>
        <w:rPr>
          <w:szCs w:val="24"/>
        </w:rPr>
      </w:pPr>
      <w:r w:rsidRPr="006C0672">
        <w:rPr>
          <w:szCs w:val="24"/>
        </w:rPr>
        <w:t>ξ_i, ξ_i* – slack variables;</w:t>
      </w:r>
    </w:p>
    <w:p w14:paraId="2AD042F5" w14:textId="77777777" w:rsidR="00AF3847" w:rsidRDefault="00AF3847" w:rsidP="0014336E">
      <w:pPr>
        <w:spacing w:line="360" w:lineRule="auto"/>
        <w:rPr>
          <w:szCs w:val="24"/>
        </w:rPr>
      </w:pPr>
      <w:r>
        <w:rPr>
          <w:szCs w:val="24"/>
        </w:rPr>
        <w:t>n – number of observations.</w:t>
      </w:r>
    </w:p>
    <w:p w14:paraId="1519A15A" w14:textId="46018C1E" w:rsidR="00AF3847" w:rsidRDefault="00AF3847" w:rsidP="0014336E">
      <w:pPr>
        <w:spacing w:line="360" w:lineRule="auto"/>
        <w:ind w:firstLine="567"/>
        <w:rPr>
          <w:bCs/>
          <w:i/>
          <w:iCs/>
          <w:szCs w:val="24"/>
        </w:rPr>
      </w:pPr>
      <w:r w:rsidRPr="00AF3847">
        <w:rPr>
          <w:bCs/>
          <w:i/>
          <w:iCs/>
          <w:szCs w:val="24"/>
        </w:rPr>
        <w:t>Seasonal ARIMA (SARIMA):</w:t>
      </w:r>
    </w:p>
    <w:p w14:paraId="079CF942" w14:textId="77777777" w:rsidR="0014336E" w:rsidRDefault="0014336E" w:rsidP="0014336E">
      <w:pPr>
        <w:spacing w:line="360" w:lineRule="auto"/>
        <w:rPr>
          <w:szCs w:val="24"/>
        </w:rPr>
      </w:pPr>
    </w:p>
    <w:tbl>
      <w:tblPr>
        <w:tblW w:w="8505" w:type="dxa"/>
        <w:jc w:val="center"/>
        <w:tblLook w:val="04A0" w:firstRow="1" w:lastRow="0" w:firstColumn="1" w:lastColumn="0" w:noHBand="0" w:noVBand="1"/>
      </w:tblPr>
      <w:tblGrid>
        <w:gridCol w:w="6957"/>
        <w:gridCol w:w="1548"/>
      </w:tblGrid>
      <w:tr w:rsidR="0014336E" w:rsidRPr="003D614B" w14:paraId="30D739E7" w14:textId="77777777" w:rsidTr="005B7712">
        <w:trPr>
          <w:jc w:val="center"/>
        </w:trPr>
        <w:tc>
          <w:tcPr>
            <w:tcW w:w="6374" w:type="dxa"/>
            <w:vAlign w:val="center"/>
          </w:tcPr>
          <w:p w14:paraId="195F3A10" w14:textId="7CCB3A72" w:rsidR="0014336E" w:rsidRPr="00AF3847" w:rsidRDefault="0014336E" w:rsidP="000B6631">
            <w:pPr>
              <w:spacing w:line="360" w:lineRule="auto"/>
              <w:jc w:val="center"/>
              <w:rPr>
                <w:rFonts w:eastAsia="Cambria Math"/>
                <w:szCs w:val="24"/>
              </w:rPr>
            </w:pPr>
            <m:oMathPara>
              <m:oMathParaPr>
                <m:jc m:val="center"/>
              </m:oMathParaPr>
              <m:oMath>
                <m:r>
                  <w:rPr>
                    <w:rFonts w:ascii="Cambria Math" w:hAnsi="Cambria Math"/>
                    <w:szCs w:val="24"/>
                  </w:rPr>
                  <m:t>SARIMA(p,d,q)(P,D,Q)_s</m:t>
                </m:r>
              </m:oMath>
            </m:oMathPara>
          </w:p>
        </w:tc>
        <w:tc>
          <w:tcPr>
            <w:tcW w:w="1418" w:type="dxa"/>
            <w:vAlign w:val="center"/>
          </w:tcPr>
          <w:p w14:paraId="754345BC" w14:textId="50F0ABBB" w:rsidR="0014336E" w:rsidRPr="003D614B" w:rsidRDefault="0014336E" w:rsidP="0014336E">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6</w:t>
            </w:r>
            <w:r w:rsidRPr="003D614B">
              <w:rPr>
                <w:color w:val="000000" w:themeColor="text1"/>
                <w:szCs w:val="24"/>
                <w:lang w:val="ru-RU"/>
              </w:rPr>
              <w:t>)</w:t>
            </w:r>
          </w:p>
        </w:tc>
      </w:tr>
    </w:tbl>
    <w:p w14:paraId="75D53E92" w14:textId="77777777" w:rsidR="00AF3847" w:rsidRPr="006C0672" w:rsidRDefault="00AF3847" w:rsidP="0014336E">
      <w:pPr>
        <w:spacing w:line="360" w:lineRule="auto"/>
        <w:rPr>
          <w:szCs w:val="24"/>
        </w:rPr>
      </w:pPr>
    </w:p>
    <w:p w14:paraId="10CE67EB" w14:textId="77777777" w:rsidR="00AF3847" w:rsidRPr="006C0672" w:rsidRDefault="00AF3847" w:rsidP="0014336E">
      <w:pPr>
        <w:spacing w:line="360" w:lineRule="auto"/>
        <w:rPr>
          <w:szCs w:val="24"/>
        </w:rPr>
      </w:pPr>
      <w:r w:rsidRPr="006C0672">
        <w:rPr>
          <w:szCs w:val="24"/>
        </w:rPr>
        <w:t>where:</w:t>
      </w:r>
    </w:p>
    <w:p w14:paraId="59756608" w14:textId="77777777" w:rsidR="00AF3847" w:rsidRPr="006C0672" w:rsidRDefault="00AF3847" w:rsidP="0014336E">
      <w:pPr>
        <w:spacing w:line="360" w:lineRule="auto"/>
        <w:rPr>
          <w:szCs w:val="24"/>
        </w:rPr>
      </w:pPr>
      <w:r w:rsidRPr="006C0672">
        <w:rPr>
          <w:szCs w:val="24"/>
        </w:rPr>
        <w:t>p,d,q – non-seasonal autoregressive, differencing, and moving average orders;</w:t>
      </w:r>
    </w:p>
    <w:p w14:paraId="07D81B93" w14:textId="77777777" w:rsidR="00AF3847" w:rsidRPr="006C0672" w:rsidRDefault="00AF3847" w:rsidP="0014336E">
      <w:pPr>
        <w:spacing w:line="360" w:lineRule="auto"/>
        <w:rPr>
          <w:szCs w:val="24"/>
        </w:rPr>
      </w:pPr>
      <w:r w:rsidRPr="006C0672">
        <w:rPr>
          <w:szCs w:val="24"/>
        </w:rPr>
        <w:t>P,D,Q – seasonal components;</w:t>
      </w:r>
    </w:p>
    <w:p w14:paraId="00FF2EFA" w14:textId="77777777" w:rsidR="00AF3847" w:rsidRDefault="00AF3847" w:rsidP="0014336E">
      <w:pPr>
        <w:spacing w:line="360" w:lineRule="auto"/>
        <w:rPr>
          <w:szCs w:val="24"/>
        </w:rPr>
      </w:pPr>
      <w:r>
        <w:rPr>
          <w:szCs w:val="24"/>
        </w:rPr>
        <w:t>s – seasonal period.</w:t>
      </w:r>
    </w:p>
    <w:p w14:paraId="75FF6B8F" w14:textId="6B09051F" w:rsidR="00AF3847" w:rsidRDefault="00AF3847" w:rsidP="0014336E">
      <w:pPr>
        <w:spacing w:line="360" w:lineRule="auto"/>
        <w:ind w:firstLine="567"/>
        <w:rPr>
          <w:bCs/>
          <w:i/>
          <w:iCs/>
          <w:szCs w:val="24"/>
        </w:rPr>
      </w:pPr>
      <w:r w:rsidRPr="00AF3847">
        <w:rPr>
          <w:bCs/>
          <w:i/>
          <w:iCs/>
          <w:szCs w:val="24"/>
        </w:rPr>
        <w:t>Random Forest (RF):</w:t>
      </w:r>
    </w:p>
    <w:p w14:paraId="0690FF67" w14:textId="77777777" w:rsidR="0014336E" w:rsidRDefault="0014336E" w:rsidP="0014336E">
      <w:pPr>
        <w:spacing w:line="360" w:lineRule="auto"/>
        <w:rPr>
          <w:szCs w:val="24"/>
        </w:rPr>
      </w:pPr>
    </w:p>
    <w:tbl>
      <w:tblPr>
        <w:tblW w:w="8505" w:type="dxa"/>
        <w:jc w:val="center"/>
        <w:tblLook w:val="04A0" w:firstRow="1" w:lastRow="0" w:firstColumn="1" w:lastColumn="0" w:noHBand="0" w:noVBand="1"/>
      </w:tblPr>
      <w:tblGrid>
        <w:gridCol w:w="6957"/>
        <w:gridCol w:w="1548"/>
      </w:tblGrid>
      <w:tr w:rsidR="0014336E" w:rsidRPr="003D614B" w14:paraId="20C97667" w14:textId="77777777" w:rsidTr="005B7712">
        <w:trPr>
          <w:jc w:val="center"/>
        </w:trPr>
        <w:tc>
          <w:tcPr>
            <w:tcW w:w="6374" w:type="dxa"/>
            <w:vAlign w:val="center"/>
          </w:tcPr>
          <w:p w14:paraId="3F246FF5" w14:textId="5379F322" w:rsidR="0014336E" w:rsidRPr="00AF3847" w:rsidRDefault="0014336E" w:rsidP="000B6631">
            <w:pPr>
              <w:spacing w:line="360" w:lineRule="auto"/>
              <w:jc w:val="center"/>
              <w:rPr>
                <w:rFonts w:eastAsia="Cambria Math"/>
                <w:szCs w:val="24"/>
              </w:rPr>
            </w:pPr>
            <m:oMathPara>
              <m:oMathParaPr>
                <m:jc m:val="center"/>
              </m:oMathParaPr>
              <m:oMath>
                <m:r>
                  <w:rPr>
                    <w:rFonts w:ascii="Cambria Math" w:hAnsi="Cambria Math"/>
                    <w:szCs w:val="24"/>
                  </w:rPr>
                  <m:t>ŷ = (1/T) Σ_(t=1)^T f_t(x)</m:t>
                </m:r>
              </m:oMath>
            </m:oMathPara>
          </w:p>
        </w:tc>
        <w:tc>
          <w:tcPr>
            <w:tcW w:w="1418" w:type="dxa"/>
            <w:vAlign w:val="center"/>
          </w:tcPr>
          <w:p w14:paraId="73E7DB00" w14:textId="73CFD686" w:rsidR="0014336E" w:rsidRPr="003D614B" w:rsidRDefault="0014336E" w:rsidP="0014336E">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7</w:t>
            </w:r>
            <w:r w:rsidRPr="003D614B">
              <w:rPr>
                <w:color w:val="000000" w:themeColor="text1"/>
                <w:szCs w:val="24"/>
                <w:lang w:val="ru-RU"/>
              </w:rPr>
              <w:t>)</w:t>
            </w:r>
          </w:p>
        </w:tc>
      </w:tr>
    </w:tbl>
    <w:p w14:paraId="1D4ABBBF" w14:textId="77777777" w:rsidR="00AF3847" w:rsidRPr="006C0672" w:rsidRDefault="00AF3847" w:rsidP="0014336E">
      <w:pPr>
        <w:spacing w:line="360" w:lineRule="auto"/>
        <w:rPr>
          <w:szCs w:val="24"/>
        </w:rPr>
      </w:pPr>
    </w:p>
    <w:p w14:paraId="5711605B" w14:textId="77777777" w:rsidR="00AF3847" w:rsidRPr="006C0672" w:rsidRDefault="00AF3847" w:rsidP="0014336E">
      <w:pPr>
        <w:spacing w:line="360" w:lineRule="auto"/>
        <w:rPr>
          <w:szCs w:val="24"/>
        </w:rPr>
      </w:pPr>
      <w:r w:rsidRPr="006C0672">
        <w:rPr>
          <w:szCs w:val="24"/>
        </w:rPr>
        <w:t>where:</w:t>
      </w:r>
    </w:p>
    <w:p w14:paraId="50AA7852" w14:textId="77777777" w:rsidR="00AF3847" w:rsidRPr="006C0672" w:rsidRDefault="00AF3847" w:rsidP="0014336E">
      <w:pPr>
        <w:spacing w:line="360" w:lineRule="auto"/>
        <w:rPr>
          <w:szCs w:val="24"/>
        </w:rPr>
      </w:pPr>
      <w:r w:rsidRPr="006C0672">
        <w:rPr>
          <w:szCs w:val="24"/>
        </w:rPr>
        <w:t>ŷ – predicted density;</w:t>
      </w:r>
    </w:p>
    <w:p w14:paraId="36D6C5E5" w14:textId="77777777" w:rsidR="00AF3847" w:rsidRPr="006C0672" w:rsidRDefault="00AF3847" w:rsidP="0014336E">
      <w:pPr>
        <w:spacing w:line="360" w:lineRule="auto"/>
        <w:rPr>
          <w:szCs w:val="24"/>
        </w:rPr>
      </w:pPr>
      <w:r w:rsidRPr="006C0672">
        <w:rPr>
          <w:szCs w:val="24"/>
        </w:rPr>
        <w:t>T – number of trees;</w:t>
      </w:r>
    </w:p>
    <w:p w14:paraId="6872AF71" w14:textId="77777777" w:rsidR="00AF3847" w:rsidRPr="006C0672" w:rsidRDefault="00AF3847" w:rsidP="0014336E">
      <w:pPr>
        <w:spacing w:line="360" w:lineRule="auto"/>
        <w:rPr>
          <w:szCs w:val="24"/>
        </w:rPr>
      </w:pPr>
      <w:r w:rsidRPr="006C0672">
        <w:rPr>
          <w:szCs w:val="24"/>
        </w:rPr>
        <w:t>f_t(x) – regression tree;</w:t>
      </w:r>
    </w:p>
    <w:p w14:paraId="0271C2CB" w14:textId="77777777" w:rsidR="00AF3847" w:rsidRDefault="00AF3847" w:rsidP="0014336E">
      <w:pPr>
        <w:spacing w:line="360" w:lineRule="auto"/>
        <w:rPr>
          <w:szCs w:val="24"/>
        </w:rPr>
      </w:pPr>
      <w:r>
        <w:rPr>
          <w:szCs w:val="24"/>
        </w:rPr>
        <w:t>x – predictor vector.</w:t>
      </w:r>
    </w:p>
    <w:p w14:paraId="207E9987" w14:textId="614A8DC2" w:rsidR="00AF3847" w:rsidRPr="00AF3847" w:rsidRDefault="00AF3847" w:rsidP="0014336E">
      <w:pPr>
        <w:spacing w:line="360" w:lineRule="auto"/>
        <w:ind w:firstLine="567"/>
        <w:rPr>
          <w:szCs w:val="24"/>
        </w:rPr>
      </w:pPr>
      <w:r w:rsidRPr="00AF3847">
        <w:rPr>
          <w:bCs/>
          <w:i/>
          <w:iCs/>
          <w:szCs w:val="24"/>
        </w:rPr>
        <w:t>Gradient Boosting Machine (GBM):</w:t>
      </w:r>
    </w:p>
    <w:p w14:paraId="33D485B1" w14:textId="77777777" w:rsidR="00AF3847" w:rsidRDefault="00AF3847" w:rsidP="0014336E">
      <w:pPr>
        <w:spacing w:line="360" w:lineRule="auto"/>
        <w:rPr>
          <w:szCs w:val="24"/>
        </w:rPr>
      </w:pPr>
    </w:p>
    <w:tbl>
      <w:tblPr>
        <w:tblW w:w="8505" w:type="dxa"/>
        <w:jc w:val="center"/>
        <w:tblLook w:val="04A0" w:firstRow="1" w:lastRow="0" w:firstColumn="1" w:lastColumn="0" w:noHBand="0" w:noVBand="1"/>
      </w:tblPr>
      <w:tblGrid>
        <w:gridCol w:w="6957"/>
        <w:gridCol w:w="1548"/>
      </w:tblGrid>
      <w:tr w:rsidR="0014336E" w:rsidRPr="003D614B" w14:paraId="631653CE" w14:textId="77777777" w:rsidTr="005B7712">
        <w:trPr>
          <w:jc w:val="center"/>
        </w:trPr>
        <w:tc>
          <w:tcPr>
            <w:tcW w:w="6374" w:type="dxa"/>
            <w:vAlign w:val="center"/>
          </w:tcPr>
          <w:p w14:paraId="13B3D033" w14:textId="1FB4CFA1" w:rsidR="0014336E" w:rsidRPr="00AF3847" w:rsidRDefault="0014336E" w:rsidP="000B6631">
            <w:pPr>
              <w:spacing w:line="360" w:lineRule="auto"/>
              <w:jc w:val="center"/>
              <w:rPr>
                <w:rFonts w:eastAsia="Cambria Math"/>
                <w:szCs w:val="24"/>
              </w:rPr>
            </w:pPr>
            <m:oMathPara>
              <m:oMathParaPr>
                <m:jc m:val="center"/>
              </m:oMathParaPr>
              <m:oMath>
                <m:r>
                  <w:rPr>
                    <w:rFonts w:ascii="Cambria Math" w:hAnsi="Cambria Math"/>
                    <w:szCs w:val="24"/>
                  </w:rPr>
                  <m:t>F_m(x) = F_(m-1)(x) + ν h_m(x)</m:t>
                </m:r>
              </m:oMath>
            </m:oMathPara>
          </w:p>
        </w:tc>
        <w:tc>
          <w:tcPr>
            <w:tcW w:w="1418" w:type="dxa"/>
            <w:vAlign w:val="center"/>
          </w:tcPr>
          <w:p w14:paraId="744701A0" w14:textId="5709E1BC" w:rsidR="0014336E" w:rsidRPr="003D614B" w:rsidRDefault="0014336E" w:rsidP="0014336E">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8</w:t>
            </w:r>
            <w:r w:rsidRPr="003D614B">
              <w:rPr>
                <w:color w:val="000000" w:themeColor="text1"/>
                <w:szCs w:val="24"/>
                <w:lang w:val="ru-RU"/>
              </w:rPr>
              <w:t>)</w:t>
            </w:r>
          </w:p>
        </w:tc>
      </w:tr>
    </w:tbl>
    <w:p w14:paraId="23FE0022" w14:textId="77777777" w:rsidR="00AF3847" w:rsidRPr="006C0672" w:rsidRDefault="00AF3847" w:rsidP="0014336E">
      <w:pPr>
        <w:spacing w:line="360" w:lineRule="auto"/>
        <w:rPr>
          <w:szCs w:val="24"/>
        </w:rPr>
      </w:pPr>
    </w:p>
    <w:p w14:paraId="6257CB3A" w14:textId="77777777" w:rsidR="00AF3847" w:rsidRPr="006C0672" w:rsidRDefault="00AF3847" w:rsidP="0014336E">
      <w:pPr>
        <w:spacing w:line="360" w:lineRule="auto"/>
        <w:rPr>
          <w:szCs w:val="24"/>
        </w:rPr>
      </w:pPr>
      <w:r w:rsidRPr="006C0672">
        <w:rPr>
          <w:szCs w:val="24"/>
        </w:rPr>
        <w:t>where:</w:t>
      </w:r>
    </w:p>
    <w:p w14:paraId="5D1C56B8" w14:textId="77777777" w:rsidR="00AF3847" w:rsidRPr="006C0672" w:rsidRDefault="00AF3847" w:rsidP="0014336E">
      <w:pPr>
        <w:spacing w:line="360" w:lineRule="auto"/>
        <w:rPr>
          <w:szCs w:val="24"/>
        </w:rPr>
      </w:pPr>
      <w:r w:rsidRPr="006C0672">
        <w:rPr>
          <w:szCs w:val="24"/>
        </w:rPr>
        <w:t>F_m(x) – boosted model at iteration m;</w:t>
      </w:r>
    </w:p>
    <w:p w14:paraId="2337CB34" w14:textId="77777777" w:rsidR="00AF3847" w:rsidRPr="006C0672" w:rsidRDefault="00AF3847" w:rsidP="0014336E">
      <w:pPr>
        <w:spacing w:line="360" w:lineRule="auto"/>
        <w:rPr>
          <w:szCs w:val="24"/>
        </w:rPr>
      </w:pPr>
      <w:r w:rsidRPr="006C0672">
        <w:rPr>
          <w:szCs w:val="24"/>
        </w:rPr>
        <w:t>ν – learning rate;</w:t>
      </w:r>
    </w:p>
    <w:p w14:paraId="2E7B551F" w14:textId="77777777" w:rsidR="00AF3847" w:rsidRPr="006C0672" w:rsidRDefault="00AF3847" w:rsidP="0014336E">
      <w:pPr>
        <w:spacing w:line="360" w:lineRule="auto"/>
        <w:rPr>
          <w:szCs w:val="24"/>
        </w:rPr>
      </w:pPr>
      <w:r w:rsidRPr="006C0672">
        <w:rPr>
          <w:szCs w:val="24"/>
        </w:rPr>
        <w:t>h_m(x) – weak learner;</w:t>
      </w:r>
    </w:p>
    <w:p w14:paraId="771AE397" w14:textId="77777777" w:rsidR="00AF3847" w:rsidRDefault="00AF3847" w:rsidP="0014336E">
      <w:pPr>
        <w:spacing w:line="360" w:lineRule="auto"/>
        <w:rPr>
          <w:szCs w:val="24"/>
        </w:rPr>
      </w:pPr>
      <w:r>
        <w:rPr>
          <w:szCs w:val="24"/>
        </w:rPr>
        <w:t>m – boosting iteration index.</w:t>
      </w:r>
    </w:p>
    <w:p w14:paraId="7D394104" w14:textId="5D9A0686" w:rsidR="00AF3847" w:rsidRPr="00AF3847" w:rsidRDefault="00AF3847" w:rsidP="0014336E">
      <w:pPr>
        <w:spacing w:line="360" w:lineRule="auto"/>
        <w:ind w:firstLine="567"/>
        <w:rPr>
          <w:szCs w:val="24"/>
        </w:rPr>
      </w:pPr>
      <w:r w:rsidRPr="00AF3847">
        <w:rPr>
          <w:bCs/>
          <w:i/>
          <w:iCs/>
          <w:szCs w:val="24"/>
        </w:rPr>
        <w:t>Performance Metrics:</w:t>
      </w:r>
    </w:p>
    <w:p w14:paraId="18802EB7" w14:textId="77777777" w:rsidR="00AF3847" w:rsidRDefault="00AF3847" w:rsidP="0014336E">
      <w:pPr>
        <w:spacing w:line="360" w:lineRule="auto"/>
        <w:rPr>
          <w:szCs w:val="24"/>
        </w:rPr>
      </w:pPr>
    </w:p>
    <w:tbl>
      <w:tblPr>
        <w:tblW w:w="8505" w:type="dxa"/>
        <w:jc w:val="center"/>
        <w:tblLook w:val="04A0" w:firstRow="1" w:lastRow="0" w:firstColumn="1" w:lastColumn="0" w:noHBand="0" w:noVBand="1"/>
      </w:tblPr>
      <w:tblGrid>
        <w:gridCol w:w="6957"/>
        <w:gridCol w:w="1548"/>
      </w:tblGrid>
      <w:tr w:rsidR="0014336E" w:rsidRPr="003D614B" w14:paraId="06402D24" w14:textId="77777777" w:rsidTr="005B7712">
        <w:trPr>
          <w:jc w:val="center"/>
        </w:trPr>
        <w:tc>
          <w:tcPr>
            <w:tcW w:w="6374" w:type="dxa"/>
            <w:vAlign w:val="center"/>
          </w:tcPr>
          <w:p w14:paraId="5B2234CC" w14:textId="00942FE8" w:rsidR="0014336E" w:rsidRPr="00AF3847" w:rsidRDefault="0014336E" w:rsidP="000B6631">
            <w:pPr>
              <w:spacing w:line="360" w:lineRule="auto"/>
              <w:jc w:val="center"/>
              <w:rPr>
                <w:rFonts w:eastAsia="Cambria Math"/>
                <w:szCs w:val="24"/>
              </w:rPr>
            </w:pPr>
            <m:oMathPara>
              <m:oMathParaPr>
                <m:jc m:val="center"/>
              </m:oMathParaPr>
              <m:oMath>
                <m:r>
                  <w:rPr>
                    <w:rFonts w:ascii="Cambria Math" w:hAnsi="Cambria Math"/>
                    <w:szCs w:val="24"/>
                  </w:rPr>
                  <w:lastRenderedPageBreak/>
                  <m:t>RMSE = sqrt</m:t>
                </m:r>
                <m:d>
                  <m:dPr>
                    <m:ctrlPr>
                      <w:rPr>
                        <w:rFonts w:ascii="Cambria Math" w:hAnsi="Cambria Math"/>
                        <w:i/>
                        <w:szCs w:val="24"/>
                      </w:rPr>
                    </m:ctrlPr>
                  </m:dPr>
                  <m:e>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m:t>
                            </m:r>
                          </m:num>
                          <m:den>
                            <m:r>
                              <w:rPr>
                                <w:rFonts w:ascii="Cambria Math" w:hAnsi="Cambria Math"/>
                                <w:szCs w:val="24"/>
                              </w:rPr>
                              <m:t>n</m:t>
                            </m:r>
                          </m:den>
                        </m:f>
                      </m:e>
                    </m:d>
                    <m:sSubSup>
                      <m:sSubSupPr>
                        <m:ctrlPr>
                          <w:rPr>
                            <w:rFonts w:ascii="Cambria Math" w:hAnsi="Cambria Math"/>
                            <w:i/>
                            <w:szCs w:val="24"/>
                          </w:rPr>
                        </m:ctrlPr>
                      </m:sSubSupPr>
                      <m:e>
                        <m:r>
                          <w:rPr>
                            <w:rFonts w:ascii="Cambria Math" w:hAnsi="Cambria Math"/>
                            <w:szCs w:val="24"/>
                          </w:rPr>
                          <m:t>Σ</m:t>
                        </m:r>
                      </m:e>
                      <m:sub>
                        <m:r>
                          <w:rPr>
                            <w:rFonts w:ascii="Cambria Math" w:hAnsi="Cambria Math"/>
                            <w:szCs w:val="24"/>
                          </w:rPr>
                          <m:t>i=1</m:t>
                        </m:r>
                      </m:sub>
                      <m:sup>
                        <m:r>
                          <w:rPr>
                            <w:rFonts w:ascii="Cambria Math" w:hAnsi="Cambria Math"/>
                            <w:szCs w:val="24"/>
                          </w:rPr>
                          <m:t>n</m:t>
                        </m:r>
                      </m:sup>
                    </m:sSubSup>
                    <m:sSup>
                      <m:sSupPr>
                        <m:ctrlPr>
                          <w:rPr>
                            <w:rFonts w:ascii="Cambria Math" w:hAnsi="Cambria Math"/>
                            <w:i/>
                            <w:szCs w:val="24"/>
                          </w:rPr>
                        </m:ctrlPr>
                      </m:sSupPr>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i</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ŷ</m:t>
                                </m:r>
                              </m:e>
                              <m:sub>
                                <m:r>
                                  <w:rPr>
                                    <w:rFonts w:ascii="Cambria Math" w:hAnsi="Cambria Math"/>
                                    <w:szCs w:val="24"/>
                                  </w:rPr>
                                  <m:t>i</m:t>
                                </m:r>
                              </m:sub>
                            </m:sSub>
                          </m:e>
                        </m:d>
                      </m:e>
                      <m:sup>
                        <m:r>
                          <w:rPr>
                            <w:rFonts w:ascii="Cambria Math" w:hAnsi="Cambria Math"/>
                            <w:szCs w:val="24"/>
                          </w:rPr>
                          <m:t>2</m:t>
                        </m:r>
                      </m:sup>
                    </m:sSup>
                  </m:e>
                </m:d>
              </m:oMath>
            </m:oMathPara>
          </w:p>
        </w:tc>
        <w:tc>
          <w:tcPr>
            <w:tcW w:w="1418" w:type="dxa"/>
            <w:vAlign w:val="center"/>
          </w:tcPr>
          <w:p w14:paraId="4A5050FF" w14:textId="5B011E83" w:rsidR="0014336E" w:rsidRPr="003D614B" w:rsidRDefault="0014336E" w:rsidP="0014336E">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9</w:t>
            </w:r>
            <w:r w:rsidRPr="003D614B">
              <w:rPr>
                <w:color w:val="000000" w:themeColor="text1"/>
                <w:szCs w:val="24"/>
                <w:lang w:val="ru-RU"/>
              </w:rPr>
              <w:t>)</w:t>
            </w:r>
          </w:p>
        </w:tc>
      </w:tr>
    </w:tbl>
    <w:p w14:paraId="381274CC" w14:textId="77777777" w:rsidR="0014336E" w:rsidRDefault="0014336E" w:rsidP="0014336E">
      <w:pPr>
        <w:spacing w:line="360" w:lineRule="auto"/>
        <w:rPr>
          <w:szCs w:val="24"/>
        </w:rPr>
      </w:pPr>
    </w:p>
    <w:p w14:paraId="7886C147" w14:textId="77777777" w:rsidR="00AF3847" w:rsidRPr="006C0672" w:rsidRDefault="00AF3847" w:rsidP="0014336E">
      <w:pPr>
        <w:spacing w:line="360" w:lineRule="auto"/>
        <w:rPr>
          <w:szCs w:val="24"/>
        </w:rPr>
      </w:pPr>
      <w:r w:rsidRPr="006C0672">
        <w:rPr>
          <w:szCs w:val="24"/>
        </w:rPr>
        <w:t>where:</w:t>
      </w:r>
    </w:p>
    <w:p w14:paraId="64B1A8F1" w14:textId="77777777" w:rsidR="00AF3847" w:rsidRPr="006C0672" w:rsidRDefault="00AF3847" w:rsidP="0014336E">
      <w:pPr>
        <w:spacing w:line="360" w:lineRule="auto"/>
        <w:rPr>
          <w:szCs w:val="24"/>
        </w:rPr>
      </w:pPr>
      <w:r w:rsidRPr="006C0672">
        <w:rPr>
          <w:szCs w:val="24"/>
        </w:rPr>
        <w:t>y_i – observed values;</w:t>
      </w:r>
    </w:p>
    <w:p w14:paraId="0EAB11FA" w14:textId="77777777" w:rsidR="00AF3847" w:rsidRPr="006C0672" w:rsidRDefault="00AF3847" w:rsidP="0014336E">
      <w:pPr>
        <w:spacing w:line="360" w:lineRule="auto"/>
        <w:rPr>
          <w:szCs w:val="24"/>
        </w:rPr>
      </w:pPr>
      <w:r w:rsidRPr="006C0672">
        <w:rPr>
          <w:szCs w:val="24"/>
        </w:rPr>
        <w:t>ŷ_i – predicted values;</w:t>
      </w:r>
    </w:p>
    <w:p w14:paraId="53DD50ED" w14:textId="77777777" w:rsidR="00AF3847" w:rsidRPr="006C0672" w:rsidRDefault="00AF3847" w:rsidP="0014336E">
      <w:pPr>
        <w:spacing w:line="360" w:lineRule="auto"/>
        <w:rPr>
          <w:szCs w:val="24"/>
        </w:rPr>
      </w:pPr>
      <w:r w:rsidRPr="006C0672">
        <w:rPr>
          <w:szCs w:val="24"/>
        </w:rPr>
        <w:t>n – number of observations.</w:t>
      </w:r>
    </w:p>
    <w:p w14:paraId="6C767B46" w14:textId="77777777" w:rsidR="00AF3847" w:rsidRDefault="00AF3847" w:rsidP="0014336E">
      <w:pPr>
        <w:spacing w:line="360" w:lineRule="auto"/>
        <w:rPr>
          <w:szCs w:val="24"/>
        </w:rPr>
      </w:pPr>
    </w:p>
    <w:tbl>
      <w:tblPr>
        <w:tblW w:w="8505" w:type="dxa"/>
        <w:jc w:val="center"/>
        <w:tblLook w:val="04A0" w:firstRow="1" w:lastRow="0" w:firstColumn="1" w:lastColumn="0" w:noHBand="0" w:noVBand="1"/>
      </w:tblPr>
      <w:tblGrid>
        <w:gridCol w:w="6957"/>
        <w:gridCol w:w="1548"/>
      </w:tblGrid>
      <w:tr w:rsidR="0014336E" w:rsidRPr="003D614B" w14:paraId="7DC52CFA" w14:textId="77777777" w:rsidTr="005B7712">
        <w:trPr>
          <w:jc w:val="center"/>
        </w:trPr>
        <w:tc>
          <w:tcPr>
            <w:tcW w:w="6374" w:type="dxa"/>
            <w:vAlign w:val="center"/>
          </w:tcPr>
          <w:p w14:paraId="732F905F" w14:textId="1FC516DD" w:rsidR="0014336E" w:rsidRPr="00AF3847" w:rsidRDefault="0014336E" w:rsidP="000B6631">
            <w:pPr>
              <w:spacing w:line="360" w:lineRule="auto"/>
              <w:jc w:val="center"/>
              <w:rPr>
                <w:rFonts w:eastAsia="Cambria Math"/>
                <w:szCs w:val="24"/>
              </w:rPr>
            </w:pPr>
            <m:oMathPara>
              <m:oMathParaPr>
                <m:jc m:val="center"/>
              </m:oMathParaPr>
              <m:oMath>
                <m:r>
                  <w:rPr>
                    <w:rFonts w:ascii="Cambria Math" w:hAnsi="Cambria Math"/>
                    <w:szCs w:val="24"/>
                  </w:rPr>
                  <m:t>MAE = (1/n) Σ_(i=1)^n |y_i - ŷ_i|</m:t>
                </m:r>
              </m:oMath>
            </m:oMathPara>
          </w:p>
        </w:tc>
        <w:tc>
          <w:tcPr>
            <w:tcW w:w="1418" w:type="dxa"/>
            <w:vAlign w:val="center"/>
          </w:tcPr>
          <w:p w14:paraId="02C29470" w14:textId="7EAF69EB" w:rsidR="0014336E" w:rsidRPr="003D614B" w:rsidRDefault="0014336E" w:rsidP="0014336E">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10</w:t>
            </w:r>
            <w:r w:rsidRPr="003D614B">
              <w:rPr>
                <w:color w:val="000000" w:themeColor="text1"/>
                <w:szCs w:val="24"/>
                <w:lang w:val="ru-RU"/>
              </w:rPr>
              <w:t>)</w:t>
            </w:r>
          </w:p>
        </w:tc>
      </w:tr>
    </w:tbl>
    <w:p w14:paraId="72275B6F" w14:textId="77777777" w:rsidR="0014336E" w:rsidRPr="006C0672" w:rsidRDefault="0014336E" w:rsidP="0014336E">
      <w:pPr>
        <w:spacing w:line="360" w:lineRule="auto"/>
        <w:rPr>
          <w:szCs w:val="24"/>
        </w:rPr>
      </w:pPr>
    </w:p>
    <w:p w14:paraId="2240A562" w14:textId="77777777" w:rsidR="00AF3847" w:rsidRPr="006C0672" w:rsidRDefault="00AF3847" w:rsidP="0014336E">
      <w:pPr>
        <w:spacing w:line="360" w:lineRule="auto"/>
        <w:rPr>
          <w:szCs w:val="24"/>
        </w:rPr>
      </w:pPr>
      <w:r w:rsidRPr="006C0672">
        <w:rPr>
          <w:szCs w:val="24"/>
        </w:rPr>
        <w:t>where symbols are defined as above.</w:t>
      </w:r>
    </w:p>
    <w:p w14:paraId="25155F52" w14:textId="77777777" w:rsidR="00AF3847" w:rsidRDefault="00AF3847" w:rsidP="0014336E">
      <w:pPr>
        <w:spacing w:line="360" w:lineRule="auto"/>
        <w:rPr>
          <w:szCs w:val="24"/>
        </w:rPr>
      </w:pPr>
    </w:p>
    <w:tbl>
      <w:tblPr>
        <w:tblW w:w="8505" w:type="dxa"/>
        <w:jc w:val="center"/>
        <w:tblLook w:val="04A0" w:firstRow="1" w:lastRow="0" w:firstColumn="1" w:lastColumn="0" w:noHBand="0" w:noVBand="1"/>
      </w:tblPr>
      <w:tblGrid>
        <w:gridCol w:w="7582"/>
        <w:gridCol w:w="923"/>
      </w:tblGrid>
      <w:tr w:rsidR="0014336E" w:rsidRPr="003D614B" w14:paraId="7DA9FC99" w14:textId="77777777" w:rsidTr="0014336E">
        <w:trPr>
          <w:jc w:val="center"/>
        </w:trPr>
        <w:tc>
          <w:tcPr>
            <w:tcW w:w="6946" w:type="dxa"/>
            <w:vAlign w:val="center"/>
          </w:tcPr>
          <w:p w14:paraId="029BCBA3" w14:textId="502600D9" w:rsidR="0014336E" w:rsidRPr="00AF3847" w:rsidRDefault="0014336E" w:rsidP="000B6631">
            <w:pPr>
              <w:spacing w:line="360" w:lineRule="auto"/>
              <w:jc w:val="center"/>
              <w:rPr>
                <w:rFonts w:eastAsia="Cambria Math"/>
                <w:szCs w:val="24"/>
              </w:rPr>
            </w:pPr>
            <m:oMathPara>
              <m:oMathParaPr>
                <m:jc m:val="center"/>
              </m:oMathParaPr>
              <m:oMath>
                <m:r>
                  <w:rPr>
                    <w:rFonts w:ascii="Cambria Math" w:hAnsi="Cambria Math"/>
                    <w:szCs w:val="24"/>
                  </w:rPr>
                  <m:t>R^2 = 1 - [Σ_(i=1)^n (y_i - ŷ_i)^2 / Σ_(i=1)^n (y_i - ȳ)^2]</m:t>
                </m:r>
              </m:oMath>
            </m:oMathPara>
          </w:p>
        </w:tc>
        <w:tc>
          <w:tcPr>
            <w:tcW w:w="846" w:type="dxa"/>
            <w:vAlign w:val="center"/>
          </w:tcPr>
          <w:p w14:paraId="2DDFCC36" w14:textId="132BE320" w:rsidR="0014336E" w:rsidRPr="003D614B" w:rsidRDefault="0014336E" w:rsidP="0014336E">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11</w:t>
            </w:r>
            <w:r w:rsidRPr="003D614B">
              <w:rPr>
                <w:color w:val="000000" w:themeColor="text1"/>
                <w:szCs w:val="24"/>
                <w:lang w:val="ru-RU"/>
              </w:rPr>
              <w:t>)</w:t>
            </w:r>
          </w:p>
        </w:tc>
      </w:tr>
    </w:tbl>
    <w:p w14:paraId="3677E984" w14:textId="77777777" w:rsidR="0014336E" w:rsidRPr="006C0672" w:rsidRDefault="0014336E" w:rsidP="0014336E">
      <w:pPr>
        <w:spacing w:line="360" w:lineRule="auto"/>
        <w:rPr>
          <w:szCs w:val="24"/>
        </w:rPr>
      </w:pPr>
    </w:p>
    <w:p w14:paraId="7918F7F4" w14:textId="77777777" w:rsidR="00AF3847" w:rsidRDefault="00AF3847" w:rsidP="0014336E">
      <w:pPr>
        <w:spacing w:line="360" w:lineRule="auto"/>
        <w:rPr>
          <w:szCs w:val="24"/>
        </w:rPr>
      </w:pPr>
      <w:r w:rsidRPr="006C0672">
        <w:rPr>
          <w:szCs w:val="24"/>
        </w:rPr>
        <w:t>whe</w:t>
      </w:r>
      <w:r>
        <w:rPr>
          <w:szCs w:val="24"/>
        </w:rPr>
        <w:t>re ȳ – mean of observed values.</w:t>
      </w:r>
    </w:p>
    <w:p w14:paraId="01626F3B" w14:textId="7E5CC6FF" w:rsidR="00AF3847" w:rsidRDefault="00AF3847" w:rsidP="0014336E">
      <w:pPr>
        <w:spacing w:line="360" w:lineRule="auto"/>
        <w:ind w:firstLine="567"/>
        <w:rPr>
          <w:bCs/>
          <w:i/>
          <w:iCs/>
          <w:szCs w:val="24"/>
        </w:rPr>
      </w:pPr>
      <w:r w:rsidRPr="00AF3847">
        <w:rPr>
          <w:bCs/>
          <w:i/>
          <w:iCs/>
          <w:szCs w:val="24"/>
        </w:rPr>
        <w:t>Model Interpretability (SHAP):</w:t>
      </w:r>
    </w:p>
    <w:p w14:paraId="43E254D1" w14:textId="77777777" w:rsidR="0014336E" w:rsidRDefault="0014336E" w:rsidP="0014336E">
      <w:pPr>
        <w:spacing w:line="360" w:lineRule="auto"/>
        <w:rPr>
          <w:szCs w:val="24"/>
        </w:rPr>
      </w:pPr>
    </w:p>
    <w:tbl>
      <w:tblPr>
        <w:tblW w:w="8505" w:type="dxa"/>
        <w:jc w:val="center"/>
        <w:tblLook w:val="04A0" w:firstRow="1" w:lastRow="0" w:firstColumn="1" w:lastColumn="0" w:noHBand="0" w:noVBand="1"/>
      </w:tblPr>
      <w:tblGrid>
        <w:gridCol w:w="6957"/>
        <w:gridCol w:w="1548"/>
      </w:tblGrid>
      <w:tr w:rsidR="0014336E" w:rsidRPr="003D614B" w14:paraId="5CFFE740" w14:textId="77777777" w:rsidTr="005B7712">
        <w:trPr>
          <w:jc w:val="center"/>
        </w:trPr>
        <w:tc>
          <w:tcPr>
            <w:tcW w:w="6374" w:type="dxa"/>
            <w:vAlign w:val="center"/>
          </w:tcPr>
          <w:p w14:paraId="510CBEFF" w14:textId="2A0EABC1" w:rsidR="0014336E" w:rsidRPr="00AF3847" w:rsidRDefault="005B7712" w:rsidP="000B6631">
            <w:pPr>
              <w:spacing w:line="360" w:lineRule="auto"/>
              <w:jc w:val="center"/>
              <w:rPr>
                <w:rFonts w:eastAsia="Cambria Math"/>
                <w:szCs w:val="24"/>
              </w:rPr>
            </w:pPr>
            <m:oMath>
              <m:r>
                <w:rPr>
                  <w:rFonts w:ascii="Cambria Math" w:hAnsi="Cambria Math"/>
                  <w:szCs w:val="24"/>
                </w:rPr>
                <m:t>f(x) = φ_0 + Σ_(j=1)^p φ_j</m:t>
              </m:r>
            </m:oMath>
            <w:r w:rsidRPr="006C0672">
              <w:rPr>
                <w:rFonts w:eastAsiaTheme="minorEastAsia"/>
                <w:szCs w:val="24"/>
              </w:rPr>
              <w:t xml:space="preserve"> </w:t>
            </w:r>
          </w:p>
        </w:tc>
        <w:tc>
          <w:tcPr>
            <w:tcW w:w="1418" w:type="dxa"/>
            <w:vAlign w:val="center"/>
          </w:tcPr>
          <w:p w14:paraId="71080DA2" w14:textId="1E5A2823" w:rsidR="0014336E" w:rsidRPr="003D614B" w:rsidRDefault="0014336E" w:rsidP="005B7712">
            <w:pPr>
              <w:spacing w:line="360" w:lineRule="auto"/>
              <w:jc w:val="right"/>
              <w:rPr>
                <w:color w:val="000000" w:themeColor="text1"/>
                <w:szCs w:val="24"/>
                <w:lang w:val="ru-RU"/>
              </w:rPr>
            </w:pPr>
            <w:r w:rsidRPr="003D614B">
              <w:rPr>
                <w:color w:val="000000" w:themeColor="text1"/>
                <w:szCs w:val="24"/>
                <w:lang w:val="ru-RU"/>
              </w:rPr>
              <w:t>(</w:t>
            </w:r>
            <w:r>
              <w:rPr>
                <w:color w:val="000000" w:themeColor="text1"/>
                <w:szCs w:val="24"/>
                <w:lang w:val="ru-RU"/>
              </w:rPr>
              <w:t>1</w:t>
            </w:r>
            <w:r w:rsidR="005B7712">
              <w:rPr>
                <w:color w:val="000000" w:themeColor="text1"/>
                <w:szCs w:val="24"/>
                <w:lang w:val="ru-RU"/>
              </w:rPr>
              <w:t>2</w:t>
            </w:r>
            <w:r w:rsidRPr="003D614B">
              <w:rPr>
                <w:color w:val="000000" w:themeColor="text1"/>
                <w:szCs w:val="24"/>
                <w:lang w:val="ru-RU"/>
              </w:rPr>
              <w:t>)</w:t>
            </w:r>
          </w:p>
        </w:tc>
      </w:tr>
    </w:tbl>
    <w:p w14:paraId="396A31EB" w14:textId="77777777" w:rsidR="00AF3847" w:rsidRPr="006C0672" w:rsidRDefault="00AF3847" w:rsidP="005B7712">
      <w:pPr>
        <w:spacing w:line="360" w:lineRule="auto"/>
        <w:rPr>
          <w:szCs w:val="24"/>
        </w:rPr>
      </w:pPr>
    </w:p>
    <w:p w14:paraId="3A09E4E1" w14:textId="77777777" w:rsidR="00AF3847" w:rsidRPr="006C0672" w:rsidRDefault="00AF3847" w:rsidP="005B7712">
      <w:pPr>
        <w:spacing w:line="360" w:lineRule="auto"/>
        <w:rPr>
          <w:szCs w:val="24"/>
        </w:rPr>
      </w:pPr>
      <w:r w:rsidRPr="006C0672">
        <w:rPr>
          <w:szCs w:val="24"/>
        </w:rPr>
        <w:t>where:</w:t>
      </w:r>
    </w:p>
    <w:p w14:paraId="289E63C8" w14:textId="77777777" w:rsidR="00AF3847" w:rsidRPr="006C0672" w:rsidRDefault="00AF3847" w:rsidP="005B7712">
      <w:pPr>
        <w:spacing w:line="360" w:lineRule="auto"/>
        <w:rPr>
          <w:szCs w:val="24"/>
        </w:rPr>
      </w:pPr>
      <w:r w:rsidRPr="006C0672">
        <w:rPr>
          <w:szCs w:val="24"/>
        </w:rPr>
        <w:t>φ_0 – base prediction;</w:t>
      </w:r>
    </w:p>
    <w:p w14:paraId="5F66B38A" w14:textId="77777777" w:rsidR="00AF3847" w:rsidRPr="006C0672" w:rsidRDefault="00AF3847" w:rsidP="005B7712">
      <w:pPr>
        <w:spacing w:line="360" w:lineRule="auto"/>
        <w:rPr>
          <w:szCs w:val="24"/>
        </w:rPr>
      </w:pPr>
      <w:r w:rsidRPr="006C0672">
        <w:rPr>
          <w:szCs w:val="24"/>
        </w:rPr>
        <w:t>φ_j – contribution of predictor j;</w:t>
      </w:r>
    </w:p>
    <w:p w14:paraId="6C2BA59D" w14:textId="0202A4B5" w:rsidR="00397A3C" w:rsidRPr="00AF3847" w:rsidRDefault="00AF3847" w:rsidP="005B7712">
      <w:pPr>
        <w:pStyle w:val="MDPI31text"/>
        <w:spacing w:line="360" w:lineRule="auto"/>
        <w:ind w:left="0" w:firstLine="0"/>
        <w:rPr>
          <w:rFonts w:ascii="Times New Roman" w:hAnsi="Times New Roman"/>
          <w:color w:val="auto"/>
          <w:sz w:val="24"/>
          <w:szCs w:val="24"/>
        </w:rPr>
      </w:pPr>
      <w:r w:rsidRPr="006C0672">
        <w:rPr>
          <w:rFonts w:ascii="Times New Roman" w:hAnsi="Times New Roman"/>
          <w:sz w:val="24"/>
          <w:szCs w:val="24"/>
        </w:rPr>
        <w:t xml:space="preserve">p – number of </w:t>
      </w:r>
      <w:r w:rsidRPr="00AF3847">
        <w:rPr>
          <w:rFonts w:ascii="Times New Roman" w:hAnsi="Times New Roman"/>
          <w:color w:val="auto"/>
          <w:sz w:val="24"/>
          <w:szCs w:val="24"/>
        </w:rPr>
        <w:t>predictors</w:t>
      </w:r>
      <w:r w:rsidR="00397A3C" w:rsidRPr="00AF3847">
        <w:rPr>
          <w:rFonts w:ascii="Times New Roman" w:hAnsi="Times New Roman"/>
          <w:color w:val="auto"/>
          <w:sz w:val="24"/>
          <w:szCs w:val="24"/>
        </w:rPr>
        <w:t>.</w:t>
      </w:r>
    </w:p>
    <w:p w14:paraId="617D5911" w14:textId="77777777" w:rsidR="00397A3C" w:rsidRPr="0040161F" w:rsidRDefault="00397A3C" w:rsidP="005B7712">
      <w:pPr>
        <w:pStyle w:val="MDPI31text"/>
        <w:spacing w:line="360" w:lineRule="auto"/>
        <w:ind w:left="0" w:firstLine="0"/>
        <w:rPr>
          <w:rFonts w:ascii="Times New Roman" w:eastAsia="Batang" w:hAnsi="Times New Roman"/>
          <w:color w:val="FF0000"/>
          <w:sz w:val="24"/>
          <w:szCs w:val="24"/>
        </w:rPr>
      </w:pPr>
    </w:p>
    <w:p w14:paraId="20CEC3B5" w14:textId="70291EFE" w:rsidR="00397A3C" w:rsidRPr="005B7712" w:rsidRDefault="005B7712"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Pr>
          <w:rFonts w:ascii="Times New Roman" w:hAnsi="Times New Roman"/>
          <w:color w:val="auto"/>
          <w:sz w:val="24"/>
          <w:szCs w:val="24"/>
        </w:rPr>
        <w:t xml:space="preserve">RESEARCH </w:t>
      </w:r>
      <w:r w:rsidR="00397A3C" w:rsidRPr="005B7712">
        <w:rPr>
          <w:rFonts w:ascii="Times New Roman" w:hAnsi="Times New Roman"/>
          <w:color w:val="auto"/>
          <w:sz w:val="24"/>
          <w:szCs w:val="24"/>
        </w:rPr>
        <w:t>RESULTS</w:t>
      </w:r>
    </w:p>
    <w:p w14:paraId="729114DF" w14:textId="51165CBE" w:rsidR="00030CB4" w:rsidRPr="00B74863" w:rsidRDefault="00030CB4" w:rsidP="00B74863">
      <w:pPr>
        <w:pStyle w:val="afd"/>
        <w:numPr>
          <w:ilvl w:val="1"/>
          <w:numId w:val="30"/>
        </w:numPr>
        <w:tabs>
          <w:tab w:val="left" w:pos="567"/>
        </w:tabs>
        <w:spacing w:line="360" w:lineRule="auto"/>
        <w:ind w:left="0" w:firstLine="0"/>
        <w:contextualSpacing w:val="0"/>
        <w:rPr>
          <w:b/>
          <w:bCs/>
          <w:lang w:val="kk-KZ" w:eastAsia="ru-RU"/>
        </w:rPr>
      </w:pPr>
      <w:r w:rsidRPr="00B74863">
        <w:rPr>
          <w:b/>
          <w:bCs/>
          <w:lang w:eastAsia="ru-RU"/>
        </w:rPr>
        <w:t xml:space="preserve">Data </w:t>
      </w:r>
      <w:r w:rsidR="00B74863">
        <w:rPr>
          <w:b/>
          <w:bCs/>
          <w:lang w:eastAsia="ru-RU"/>
        </w:rPr>
        <w:t>C</w:t>
      </w:r>
      <w:r w:rsidRPr="00B74863">
        <w:rPr>
          <w:b/>
          <w:bCs/>
          <w:lang w:eastAsia="ru-RU"/>
        </w:rPr>
        <w:t xml:space="preserve">ollection and </w:t>
      </w:r>
      <w:r w:rsidR="00B74863">
        <w:rPr>
          <w:b/>
          <w:bCs/>
          <w:lang w:eastAsia="ru-RU"/>
        </w:rPr>
        <w:t>P</w:t>
      </w:r>
      <w:r w:rsidRPr="00B74863">
        <w:rPr>
          <w:b/>
          <w:bCs/>
          <w:lang w:eastAsia="ru-RU"/>
        </w:rPr>
        <w:t>rocessing</w:t>
      </w:r>
    </w:p>
    <w:p w14:paraId="42DAA0C1" w14:textId="77777777" w:rsidR="00030CB4" w:rsidRPr="006C0672" w:rsidRDefault="00030CB4" w:rsidP="00B74863">
      <w:pPr>
        <w:spacing w:line="360" w:lineRule="auto"/>
        <w:ind w:firstLine="567"/>
        <w:rPr>
          <w:szCs w:val="24"/>
        </w:rPr>
      </w:pPr>
      <w:r w:rsidRPr="006C0672">
        <w:rPr>
          <w:szCs w:val="24"/>
        </w:rPr>
        <w:t>In our study, long-term datasets on the distribution and infestation patterns of harmful non-gregarious locusts were compiled, systematized, and statistically processed in order to identify regularities in their multiannual population dynamics and to provide a basis for subsequent forecasting. In particular, extensive historical records documenting long-term fluctuations in the abundance of harmful non-gregarious locusts across the entire territory of Kazakhstan were assembled and analyzed.</w:t>
      </w:r>
    </w:p>
    <w:p w14:paraId="5855DBC3" w14:textId="77777777" w:rsidR="00030CB4" w:rsidRPr="006C0672" w:rsidRDefault="00030CB4" w:rsidP="00B74863">
      <w:pPr>
        <w:spacing w:line="360" w:lineRule="auto"/>
        <w:ind w:firstLine="567"/>
        <w:rPr>
          <w:szCs w:val="24"/>
        </w:rPr>
      </w:pPr>
      <w:r w:rsidRPr="006C0672">
        <w:rPr>
          <w:szCs w:val="24"/>
        </w:rPr>
        <w:t>For subsequent processing and analysis using machine learning techniques, data on the abundance and spatial distribution of the target species were compiled for the period 2003–</w:t>
      </w:r>
      <w:r w:rsidRPr="006C0672">
        <w:rPr>
          <w:szCs w:val="24"/>
        </w:rPr>
        <w:lastRenderedPageBreak/>
        <w:t>2024.During the processing of the long-term datasets, the following parameters were employed as quantitative indicators of pest population levels: relative population (Prel, %), average population (Ap, pcs./m2), and absolute population (Pabs, pcs./m2).</w:t>
      </w:r>
    </w:p>
    <w:p w14:paraId="603D346F" w14:textId="70DCA4E6" w:rsidR="00F64F16" w:rsidRPr="00030CB4" w:rsidRDefault="00030CB4" w:rsidP="00B74863">
      <w:pPr>
        <w:spacing w:line="360" w:lineRule="auto"/>
        <w:ind w:firstLine="567"/>
        <w:rPr>
          <w:color w:val="auto"/>
          <w:szCs w:val="28"/>
        </w:rPr>
      </w:pPr>
      <w:r w:rsidRPr="006C0672">
        <w:rPr>
          <w:szCs w:val="24"/>
        </w:rPr>
        <w:t>Thus, the mean absolute population index (Pabs, pcs./m2) was calculated for each agroclimatic zone. Table 1 below presents the temporal variation of this indicator within each agroclimatic zone of Kazakhstan</w:t>
      </w:r>
      <w:r w:rsidR="00F64F16" w:rsidRPr="00030CB4">
        <w:rPr>
          <w:color w:val="auto"/>
          <w:szCs w:val="28"/>
        </w:rPr>
        <w:t>.</w:t>
      </w:r>
    </w:p>
    <w:p w14:paraId="68F34FCC" w14:textId="77777777" w:rsidR="00030CB4" w:rsidRPr="006C0672" w:rsidRDefault="00030CB4" w:rsidP="00B74863">
      <w:pPr>
        <w:spacing w:line="360" w:lineRule="auto"/>
        <w:ind w:firstLine="567"/>
        <w:rPr>
          <w:szCs w:val="24"/>
          <w:lang w:eastAsia="ru-RU"/>
        </w:rPr>
      </w:pPr>
      <w:r w:rsidRPr="006C0672">
        <w:rPr>
          <w:szCs w:val="24"/>
          <w:lang w:eastAsia="ru-RU"/>
        </w:rPr>
        <w:t>Thus, Kazakhstan comprises 25 agroclimatic zones (Table 1), which were consolidated into eight major groups according to shared climatic characteristics. The analysis covers the period 2003–2024 and presents averaged indicators for each identified agroclimatic zone of Kazakhstan. In addition, the dataset includes the number of observations and the mean value of the population index of harmful non-gregarious locusts—the absolute infestation index (</w:t>
      </w:r>
      <w:r w:rsidRPr="006C0672">
        <w:rPr>
          <w:i/>
          <w:iCs/>
          <w:szCs w:val="24"/>
          <w:lang w:eastAsia="ru-RU"/>
        </w:rPr>
        <w:t>Pabs</w:t>
      </w:r>
      <w:r w:rsidRPr="006C0672">
        <w:rPr>
          <w:szCs w:val="24"/>
          <w:lang w:eastAsia="ru-RU"/>
        </w:rPr>
        <w:t>, pcs./m²). The latter demonstrates substantial variability across zones, necessitating structured ranking for subsequent analytical procedures.</w:t>
      </w:r>
    </w:p>
    <w:p w14:paraId="271176F1" w14:textId="5949313B" w:rsidR="00F64F16" w:rsidRPr="00030CB4" w:rsidRDefault="00030CB4" w:rsidP="00B74863">
      <w:pPr>
        <w:pStyle w:val="afa"/>
        <w:shd w:val="clear" w:color="auto" w:fill="FFFFFF" w:themeFill="background1"/>
        <w:spacing w:line="360" w:lineRule="auto"/>
        <w:ind w:firstLine="567"/>
        <w:rPr>
          <w:color w:val="auto"/>
        </w:rPr>
      </w:pPr>
      <w:r w:rsidRPr="006C0672">
        <w:rPr>
          <w:lang w:eastAsia="ru-RU"/>
        </w:rPr>
        <w:t xml:space="preserve">For the purpose of stratification, and based on the mean population density and the frequency of outbreaks of non-gregarious locust pests, all agroclimatic zones were classified into three outbreak risk categories (Table </w:t>
      </w:r>
      <w:r w:rsidRPr="006C0672">
        <w:rPr>
          <w:lang w:val="kk-KZ" w:eastAsia="ru-RU"/>
        </w:rPr>
        <w:t>2</w:t>
      </w:r>
      <w:r w:rsidRPr="00030CB4">
        <w:rPr>
          <w:color w:val="auto"/>
          <w:lang w:eastAsia="ru-RU"/>
        </w:rPr>
        <w:t>)</w:t>
      </w:r>
      <w:r w:rsidR="00F64F16" w:rsidRPr="00030CB4">
        <w:rPr>
          <w:color w:val="auto"/>
          <w:lang w:val="en"/>
        </w:rPr>
        <w:t>.</w:t>
      </w:r>
    </w:p>
    <w:p w14:paraId="2C569108" w14:textId="77777777" w:rsidR="00030CB4" w:rsidRPr="006C0672" w:rsidRDefault="00030CB4" w:rsidP="00B74863">
      <w:pPr>
        <w:spacing w:line="360" w:lineRule="auto"/>
        <w:ind w:firstLine="567"/>
        <w:rPr>
          <w:szCs w:val="24"/>
          <w:lang w:val="kk-KZ" w:eastAsia="ru-RU"/>
        </w:rPr>
      </w:pPr>
      <w:r w:rsidRPr="006C0672">
        <w:rPr>
          <w:szCs w:val="24"/>
          <w:lang w:eastAsia="ru-RU"/>
        </w:rPr>
        <w:t>The ranking of Kazakhstan’s agroclimatic zones according to the outbreak risk of non-gregarious locust pests was performed based on the mean value of the absolute population index (</w:t>
      </w:r>
      <w:r w:rsidRPr="006C0672">
        <w:rPr>
          <w:i/>
          <w:iCs/>
          <w:szCs w:val="24"/>
          <w:lang w:eastAsia="ru-RU"/>
        </w:rPr>
        <w:t>Pabs</w:t>
      </w:r>
      <w:r w:rsidRPr="006C0672">
        <w:rPr>
          <w:szCs w:val="24"/>
          <w:lang w:eastAsia="ru-RU"/>
        </w:rPr>
        <w:t xml:space="preserve">, pcs./m²) for the period of 2003–2024. The classification comprises three risk </w:t>
      </w:r>
      <w:r w:rsidRPr="006C0672">
        <w:rPr>
          <w:rStyle w:val="aff"/>
          <w:rFonts w:eastAsiaTheme="majorEastAsia"/>
          <w:b w:val="0"/>
          <w:bCs w:val="0"/>
          <w:szCs w:val="24"/>
        </w:rPr>
        <w:t>risk of reproduction and harmfulness</w:t>
      </w:r>
      <w:r w:rsidRPr="006C0672">
        <w:rPr>
          <w:b/>
          <w:bCs/>
          <w:szCs w:val="24"/>
          <w:lang w:eastAsia="ru-RU"/>
        </w:rPr>
        <w:t>:</w:t>
      </w:r>
      <w:r w:rsidRPr="006C0672">
        <w:rPr>
          <w:szCs w:val="24"/>
          <w:lang w:eastAsia="ru-RU"/>
        </w:rPr>
        <w:t xml:space="preserve"> high (&gt; 8.0 pcs./m²), moderate (2.0–8.0 pcs./m²), and low (&lt; 2.0 pcs./m²).</w:t>
      </w:r>
    </w:p>
    <w:p w14:paraId="1006A2F8" w14:textId="77777777" w:rsidR="00030CB4" w:rsidRPr="006C0672" w:rsidRDefault="00030CB4" w:rsidP="00B74863">
      <w:pPr>
        <w:spacing w:line="360" w:lineRule="auto"/>
        <w:ind w:firstLine="567"/>
        <w:rPr>
          <w:szCs w:val="24"/>
          <w:lang w:eastAsia="ru-RU"/>
        </w:rPr>
      </w:pPr>
      <w:r w:rsidRPr="006C0672">
        <w:rPr>
          <w:szCs w:val="24"/>
          <w:lang w:eastAsia="ru-RU"/>
        </w:rPr>
        <w:t xml:space="preserve">High-risk zones include (23) </w:t>
      </w:r>
      <w:r w:rsidRPr="006C0672">
        <w:rPr>
          <w:i/>
          <w:iCs/>
          <w:szCs w:val="24"/>
          <w:lang w:eastAsia="ru-RU"/>
        </w:rPr>
        <w:t>Highly arid / Warm</w:t>
      </w:r>
      <w:r w:rsidRPr="006C0672">
        <w:rPr>
          <w:szCs w:val="24"/>
          <w:lang w:eastAsia="ru-RU"/>
        </w:rPr>
        <w:t xml:space="preserve">, (42) </w:t>
      </w:r>
      <w:r w:rsidRPr="006C0672">
        <w:rPr>
          <w:i/>
          <w:iCs/>
          <w:szCs w:val="24"/>
          <w:lang w:eastAsia="ru-RU"/>
        </w:rPr>
        <w:t>Slightly humid / Moderately warm</w:t>
      </w:r>
      <w:r w:rsidRPr="006C0672">
        <w:rPr>
          <w:szCs w:val="24"/>
          <w:lang w:eastAsia="ru-RU"/>
        </w:rPr>
        <w:t xml:space="preserve">, and (75) </w:t>
      </w:r>
      <w:r w:rsidRPr="006C0672">
        <w:rPr>
          <w:i/>
          <w:iCs/>
          <w:szCs w:val="24"/>
          <w:lang w:eastAsia="ru-RU"/>
        </w:rPr>
        <w:t>Optimally humid / Hot</w:t>
      </w:r>
      <w:r w:rsidRPr="006C0672">
        <w:rPr>
          <w:szCs w:val="24"/>
          <w:lang w:eastAsia="ru-RU"/>
        </w:rPr>
        <w:t>. These territories are characterized by a favorable thermal regime combined with the absence of excessive moisture, which promotes accelerated embryonic development, high larval survival, and a shortened generation cycle. In zone (23), pronounced aridity creates optimal conditions for xerophilous non-gregarious locust species. In zone (42), moderate warmth under limited moisture availability sustains stable foci of elevated population density. In zone (75), the dominant driver is a hot climatic regime that intensifies developmental rates even under optimal moisture supply. Collectively, these zones represent areas of persistent reproduction and potential chronification of outbreak foci.</w:t>
      </w:r>
    </w:p>
    <w:p w14:paraId="69A6CD5F" w14:textId="77777777" w:rsidR="00030CB4" w:rsidRPr="006C0672" w:rsidRDefault="00030CB4" w:rsidP="00B74863">
      <w:pPr>
        <w:spacing w:line="360" w:lineRule="auto"/>
        <w:ind w:firstLine="567"/>
        <w:rPr>
          <w:szCs w:val="24"/>
          <w:lang w:eastAsia="ru-RU"/>
        </w:rPr>
      </w:pPr>
      <w:r w:rsidRPr="006C0672">
        <w:rPr>
          <w:szCs w:val="24"/>
          <w:lang w:eastAsia="ru-RU"/>
        </w:rPr>
        <w:t xml:space="preserve">Moderate risk was identified for (15) </w:t>
      </w:r>
      <w:r w:rsidRPr="006C0672">
        <w:rPr>
          <w:i/>
          <w:iCs/>
          <w:szCs w:val="24"/>
          <w:lang w:eastAsia="ru-RU"/>
        </w:rPr>
        <w:t>Extremely arid / Hot</w:t>
      </w:r>
      <w:r w:rsidRPr="006C0672">
        <w:rPr>
          <w:szCs w:val="24"/>
          <w:lang w:eastAsia="ru-RU"/>
        </w:rPr>
        <w:t xml:space="preserve">, (22) </w:t>
      </w:r>
      <w:r w:rsidRPr="006C0672">
        <w:rPr>
          <w:i/>
          <w:iCs/>
          <w:szCs w:val="24"/>
          <w:lang w:eastAsia="ru-RU"/>
        </w:rPr>
        <w:t>Highly arid / Moderately warm</w:t>
      </w:r>
      <w:r w:rsidRPr="006C0672">
        <w:rPr>
          <w:szCs w:val="24"/>
          <w:lang w:eastAsia="ru-RU"/>
        </w:rPr>
        <w:t xml:space="preserve">, (25) </w:t>
      </w:r>
      <w:r w:rsidRPr="006C0672">
        <w:rPr>
          <w:i/>
          <w:iCs/>
          <w:szCs w:val="24"/>
          <w:lang w:eastAsia="ru-RU"/>
        </w:rPr>
        <w:t>Highly arid / Hot</w:t>
      </w:r>
      <w:r w:rsidRPr="006C0672">
        <w:rPr>
          <w:szCs w:val="24"/>
          <w:lang w:eastAsia="ru-RU"/>
        </w:rPr>
        <w:t xml:space="preserve">, (35) </w:t>
      </w:r>
      <w:r w:rsidRPr="006C0672">
        <w:rPr>
          <w:i/>
          <w:iCs/>
          <w:szCs w:val="24"/>
          <w:lang w:eastAsia="ru-RU"/>
        </w:rPr>
        <w:t>Moderately arid / Hot</w:t>
      </w:r>
      <w:r w:rsidRPr="006C0672">
        <w:rPr>
          <w:szCs w:val="24"/>
          <w:lang w:eastAsia="ru-RU"/>
        </w:rPr>
        <w:t xml:space="preserve">, (41) </w:t>
      </w:r>
      <w:r w:rsidRPr="006C0672">
        <w:rPr>
          <w:i/>
          <w:iCs/>
          <w:szCs w:val="24"/>
          <w:lang w:eastAsia="ru-RU"/>
        </w:rPr>
        <w:t>Slightly humid / Slightly warm</w:t>
      </w:r>
      <w:r w:rsidRPr="006C0672">
        <w:rPr>
          <w:szCs w:val="24"/>
          <w:lang w:eastAsia="ru-RU"/>
        </w:rPr>
        <w:t xml:space="preserve">, (44) </w:t>
      </w:r>
      <w:r w:rsidRPr="006C0672">
        <w:rPr>
          <w:i/>
          <w:iCs/>
          <w:szCs w:val="24"/>
          <w:lang w:eastAsia="ru-RU"/>
        </w:rPr>
        <w:t>Slightly humid / Moderately hot</w:t>
      </w:r>
      <w:r w:rsidRPr="006C0672">
        <w:rPr>
          <w:szCs w:val="24"/>
          <w:lang w:eastAsia="ru-RU"/>
        </w:rPr>
        <w:t xml:space="preserve">, and (85) </w:t>
      </w:r>
      <w:r w:rsidRPr="006C0672">
        <w:rPr>
          <w:i/>
          <w:iCs/>
          <w:szCs w:val="24"/>
          <w:lang w:eastAsia="ru-RU"/>
        </w:rPr>
        <w:t>Extremely humid / Hot</w:t>
      </w:r>
      <w:r w:rsidRPr="006C0672">
        <w:rPr>
          <w:szCs w:val="24"/>
          <w:lang w:eastAsia="ru-RU"/>
        </w:rPr>
        <w:t xml:space="preserve">. Under extremely and highly arid hot conditions, stimulating thermal regimes are counterbalanced by limiting effects </w:t>
      </w:r>
      <w:r w:rsidRPr="006C0672">
        <w:rPr>
          <w:szCs w:val="24"/>
          <w:lang w:eastAsia="ru-RU"/>
        </w:rPr>
        <w:lastRenderedPageBreak/>
        <w:t>of reduced forage availability and substrate overheating. In moderately arid and slightly humid zones, transitional ecotopes prevail, where populations maintain relatively stable densities without pronounced outbreak dynamics. In zone (85), elevated temperatures partially compensate for excessive moisture; however, enhanced biotic regulation and increased soil humidity constrain further population growth.</w:t>
      </w:r>
    </w:p>
    <w:p w14:paraId="3F21A814" w14:textId="77777777" w:rsidR="00030CB4" w:rsidRPr="006C0672" w:rsidRDefault="00030CB4" w:rsidP="00B74863">
      <w:pPr>
        <w:spacing w:line="360" w:lineRule="auto"/>
        <w:ind w:firstLine="567"/>
        <w:rPr>
          <w:szCs w:val="24"/>
          <w:lang w:eastAsia="ru-RU"/>
        </w:rPr>
      </w:pPr>
      <w:r w:rsidRPr="006C0672">
        <w:rPr>
          <w:szCs w:val="24"/>
          <w:lang w:eastAsia="ru-RU"/>
        </w:rPr>
        <w:t xml:space="preserve">Low risk is characteristic of (24) </w:t>
      </w:r>
      <w:r w:rsidRPr="006C0672">
        <w:rPr>
          <w:i/>
          <w:iCs/>
          <w:szCs w:val="24"/>
          <w:lang w:eastAsia="ru-RU"/>
        </w:rPr>
        <w:t>Highly arid / Moderately hot</w:t>
      </w:r>
      <w:r w:rsidRPr="006C0672">
        <w:rPr>
          <w:szCs w:val="24"/>
          <w:lang w:eastAsia="ru-RU"/>
        </w:rPr>
        <w:t xml:space="preserve">, (32) </w:t>
      </w:r>
      <w:r w:rsidRPr="006C0672">
        <w:rPr>
          <w:i/>
          <w:iCs/>
          <w:szCs w:val="24"/>
          <w:lang w:eastAsia="ru-RU"/>
        </w:rPr>
        <w:t>Moderately arid / Moderately warm</w:t>
      </w:r>
      <w:r w:rsidRPr="006C0672">
        <w:rPr>
          <w:szCs w:val="24"/>
          <w:lang w:eastAsia="ru-RU"/>
        </w:rPr>
        <w:t xml:space="preserve">, (33) </w:t>
      </w:r>
      <w:r w:rsidRPr="006C0672">
        <w:rPr>
          <w:i/>
          <w:iCs/>
          <w:szCs w:val="24"/>
          <w:lang w:eastAsia="ru-RU"/>
        </w:rPr>
        <w:t>Moderately arid / Warm</w:t>
      </w:r>
      <w:r w:rsidRPr="006C0672">
        <w:rPr>
          <w:szCs w:val="24"/>
          <w:lang w:eastAsia="ru-RU"/>
        </w:rPr>
        <w:t xml:space="preserve">, (34) </w:t>
      </w:r>
      <w:r w:rsidRPr="006C0672">
        <w:rPr>
          <w:i/>
          <w:iCs/>
          <w:szCs w:val="24"/>
          <w:lang w:eastAsia="ru-RU"/>
        </w:rPr>
        <w:t>Moderately arid / Moderately hot</w:t>
      </w:r>
      <w:r w:rsidRPr="006C0672">
        <w:rPr>
          <w:szCs w:val="24"/>
          <w:lang w:eastAsia="ru-RU"/>
        </w:rPr>
        <w:t xml:space="preserve">, (45) </w:t>
      </w:r>
      <w:r w:rsidRPr="006C0672">
        <w:rPr>
          <w:i/>
          <w:iCs/>
          <w:szCs w:val="24"/>
          <w:lang w:eastAsia="ru-RU"/>
        </w:rPr>
        <w:t>Slightly humid / Hot</w:t>
      </w:r>
      <w:r w:rsidRPr="006C0672">
        <w:rPr>
          <w:szCs w:val="24"/>
          <w:lang w:eastAsia="ru-RU"/>
        </w:rPr>
        <w:t xml:space="preserve">, (51) </w:t>
      </w:r>
      <w:r w:rsidRPr="006C0672">
        <w:rPr>
          <w:i/>
          <w:iCs/>
          <w:szCs w:val="24"/>
          <w:lang w:eastAsia="ru-RU"/>
        </w:rPr>
        <w:t>Sufficiently humid / Slightly warm</w:t>
      </w:r>
      <w:r w:rsidRPr="006C0672">
        <w:rPr>
          <w:szCs w:val="24"/>
          <w:lang w:eastAsia="ru-RU"/>
        </w:rPr>
        <w:t xml:space="preserve">, (52) </w:t>
      </w:r>
      <w:r w:rsidRPr="006C0672">
        <w:rPr>
          <w:i/>
          <w:iCs/>
          <w:szCs w:val="24"/>
          <w:lang w:eastAsia="ru-RU"/>
        </w:rPr>
        <w:t>Sufficiently humid / Moderately warm</w:t>
      </w:r>
      <w:r w:rsidRPr="006C0672">
        <w:rPr>
          <w:szCs w:val="24"/>
          <w:lang w:eastAsia="ru-RU"/>
        </w:rPr>
        <w:t xml:space="preserve">, (54) </w:t>
      </w:r>
      <w:r w:rsidRPr="006C0672">
        <w:rPr>
          <w:i/>
          <w:iCs/>
          <w:szCs w:val="24"/>
          <w:lang w:eastAsia="ru-RU"/>
        </w:rPr>
        <w:t>Sufficiently humid / Moderately hot</w:t>
      </w:r>
      <w:r w:rsidRPr="006C0672">
        <w:rPr>
          <w:szCs w:val="24"/>
          <w:lang w:eastAsia="ru-RU"/>
        </w:rPr>
        <w:t xml:space="preserve">, (55) </w:t>
      </w:r>
      <w:r w:rsidRPr="006C0672">
        <w:rPr>
          <w:i/>
          <w:iCs/>
          <w:szCs w:val="24"/>
          <w:lang w:eastAsia="ru-RU"/>
        </w:rPr>
        <w:t>Sufficiently humid / Hot</w:t>
      </w:r>
      <w:r w:rsidRPr="006C0672">
        <w:rPr>
          <w:szCs w:val="24"/>
          <w:lang w:eastAsia="ru-RU"/>
        </w:rPr>
        <w:t xml:space="preserve">, (61) </w:t>
      </w:r>
      <w:r w:rsidRPr="006C0672">
        <w:rPr>
          <w:i/>
          <w:iCs/>
          <w:szCs w:val="24"/>
          <w:lang w:eastAsia="ru-RU"/>
        </w:rPr>
        <w:t>Persistently humid / Slightly warm</w:t>
      </w:r>
      <w:r w:rsidRPr="006C0672">
        <w:rPr>
          <w:szCs w:val="24"/>
          <w:lang w:eastAsia="ru-RU"/>
        </w:rPr>
        <w:t xml:space="preserve">, (65) </w:t>
      </w:r>
      <w:r w:rsidRPr="006C0672">
        <w:rPr>
          <w:i/>
          <w:iCs/>
          <w:szCs w:val="24"/>
          <w:lang w:eastAsia="ru-RU"/>
        </w:rPr>
        <w:t>Persistently humid / Hot</w:t>
      </w:r>
      <w:r w:rsidRPr="006C0672">
        <w:rPr>
          <w:szCs w:val="24"/>
          <w:lang w:eastAsia="ru-RU"/>
        </w:rPr>
        <w:t xml:space="preserve">, (71) </w:t>
      </w:r>
      <w:r w:rsidRPr="006C0672">
        <w:rPr>
          <w:i/>
          <w:iCs/>
          <w:szCs w:val="24"/>
          <w:lang w:eastAsia="ru-RU"/>
        </w:rPr>
        <w:t>Optimally humid / Slightly warm</w:t>
      </w:r>
      <w:r w:rsidRPr="006C0672">
        <w:rPr>
          <w:szCs w:val="24"/>
          <w:lang w:eastAsia="ru-RU"/>
        </w:rPr>
        <w:t xml:space="preserve">, (81) </w:t>
      </w:r>
      <w:r w:rsidRPr="006C0672">
        <w:rPr>
          <w:i/>
          <w:iCs/>
          <w:szCs w:val="24"/>
          <w:lang w:eastAsia="ru-RU"/>
        </w:rPr>
        <w:t>Extremely humid / Slightly warm</w:t>
      </w:r>
      <w:r w:rsidRPr="006C0672">
        <w:rPr>
          <w:szCs w:val="24"/>
          <w:lang w:eastAsia="ru-RU"/>
        </w:rPr>
        <w:t xml:space="preserve">, (82) </w:t>
      </w:r>
      <w:r w:rsidRPr="006C0672">
        <w:rPr>
          <w:i/>
          <w:iCs/>
          <w:szCs w:val="24"/>
          <w:lang w:eastAsia="ru-RU"/>
        </w:rPr>
        <w:t>Extremely humid / Moderately warm</w:t>
      </w:r>
      <w:r w:rsidRPr="006C0672">
        <w:rPr>
          <w:szCs w:val="24"/>
          <w:lang w:eastAsia="ru-RU"/>
        </w:rPr>
        <w:t xml:space="preserve">, and (83) </w:t>
      </w:r>
      <w:r w:rsidRPr="006C0672">
        <w:rPr>
          <w:i/>
          <w:iCs/>
          <w:szCs w:val="24"/>
          <w:lang w:eastAsia="ru-RU"/>
        </w:rPr>
        <w:t>Extremely humid / Warm</w:t>
      </w:r>
      <w:r w:rsidRPr="006C0672">
        <w:rPr>
          <w:szCs w:val="24"/>
          <w:lang w:eastAsia="ru-RU"/>
        </w:rPr>
        <w:t>. These zones are characterized either by insufficient thermal resources for accelerated ontogenesis or by elevated soil moisture levels that increase egg mortality and promote the development of entomopathogenic microflora. Consequently, populations persist at background, ecologically stabilized densities without prerequisites for mass reproduction.</w:t>
      </w:r>
    </w:p>
    <w:p w14:paraId="0939D6B1" w14:textId="77777777" w:rsidR="00030CB4" w:rsidRDefault="00030CB4" w:rsidP="00B74863">
      <w:pPr>
        <w:spacing w:line="360" w:lineRule="auto"/>
        <w:ind w:firstLine="567"/>
        <w:rPr>
          <w:szCs w:val="24"/>
          <w:lang w:eastAsia="ru-RU"/>
        </w:rPr>
      </w:pPr>
      <w:r w:rsidRPr="006C0672">
        <w:rPr>
          <w:szCs w:val="24"/>
          <w:lang w:eastAsia="ru-RU"/>
        </w:rPr>
        <w:t>Overall, the findings indicate that the decisive factor for non-gregarious locust population proliferation is the optimal combination of a favorable thermal regime and moderate aridity. Excessive moisture and reduced temperatures function as primary limiting factors. The spatial configuration of outbreak risk exhibits a mosaic pattern, reflecting the adaptive strategy of resident populations that achieve maximum density under hydrothermal optimum conditions.</w:t>
      </w:r>
    </w:p>
    <w:p w14:paraId="0719D0D9" w14:textId="77777777" w:rsidR="00B74863" w:rsidRPr="006C0672" w:rsidRDefault="00B74863" w:rsidP="00B74863">
      <w:pPr>
        <w:spacing w:line="360" w:lineRule="auto"/>
        <w:ind w:firstLine="567"/>
        <w:rPr>
          <w:szCs w:val="24"/>
          <w:lang w:eastAsia="ru-RU"/>
        </w:rPr>
      </w:pPr>
    </w:p>
    <w:p w14:paraId="0AEE0C76" w14:textId="54282358" w:rsidR="00030CB4" w:rsidRPr="00B74863" w:rsidRDefault="00030CB4" w:rsidP="00B74863">
      <w:pPr>
        <w:pStyle w:val="afd"/>
        <w:numPr>
          <w:ilvl w:val="1"/>
          <w:numId w:val="30"/>
        </w:numPr>
        <w:tabs>
          <w:tab w:val="left" w:pos="567"/>
        </w:tabs>
        <w:spacing w:line="360" w:lineRule="auto"/>
        <w:ind w:left="0" w:firstLine="0"/>
        <w:contextualSpacing w:val="0"/>
        <w:rPr>
          <w:b/>
          <w:bCs/>
        </w:rPr>
      </w:pPr>
      <w:r w:rsidRPr="00B74863">
        <w:rPr>
          <w:b/>
          <w:bCs/>
        </w:rPr>
        <w:t xml:space="preserve">Principal </w:t>
      </w:r>
      <w:r w:rsidR="00B74863">
        <w:rPr>
          <w:b/>
          <w:bCs/>
        </w:rPr>
        <w:t>P</w:t>
      </w:r>
      <w:r w:rsidRPr="00B74863">
        <w:rPr>
          <w:b/>
          <w:bCs/>
        </w:rPr>
        <w:t xml:space="preserve">redictors for </w:t>
      </w:r>
      <w:r w:rsidR="00B74863">
        <w:rPr>
          <w:b/>
          <w:bCs/>
        </w:rPr>
        <w:t>F</w:t>
      </w:r>
      <w:r w:rsidRPr="00B74863">
        <w:rPr>
          <w:b/>
          <w:bCs/>
        </w:rPr>
        <w:t xml:space="preserve">orecasting the </w:t>
      </w:r>
      <w:r w:rsidR="00B74863">
        <w:rPr>
          <w:b/>
          <w:bCs/>
        </w:rPr>
        <w:t>P</w:t>
      </w:r>
      <w:r w:rsidRPr="00B74863">
        <w:rPr>
          <w:b/>
          <w:bCs/>
        </w:rPr>
        <w:t xml:space="preserve">opulation </w:t>
      </w:r>
      <w:r w:rsidR="00B74863">
        <w:rPr>
          <w:b/>
          <w:bCs/>
        </w:rPr>
        <w:t>D</w:t>
      </w:r>
      <w:r w:rsidRPr="00B74863">
        <w:rPr>
          <w:b/>
          <w:bCs/>
        </w:rPr>
        <w:t xml:space="preserve">ynamics of the </w:t>
      </w:r>
      <w:r w:rsidR="00B74863">
        <w:rPr>
          <w:b/>
          <w:bCs/>
        </w:rPr>
        <w:t>Studied P</w:t>
      </w:r>
      <w:r w:rsidRPr="00B74863">
        <w:rPr>
          <w:b/>
          <w:bCs/>
        </w:rPr>
        <w:t>ests</w:t>
      </w:r>
    </w:p>
    <w:p w14:paraId="6960BB45" w14:textId="77777777" w:rsidR="00030CB4" w:rsidRPr="006C0672" w:rsidRDefault="00030CB4" w:rsidP="00B74863">
      <w:pPr>
        <w:spacing w:line="360" w:lineRule="auto"/>
        <w:ind w:firstLine="567"/>
        <w:rPr>
          <w:szCs w:val="24"/>
          <w:lang w:eastAsia="ru-RU"/>
        </w:rPr>
      </w:pPr>
      <w:r w:rsidRPr="006C0672">
        <w:rPr>
          <w:szCs w:val="24"/>
          <w:lang w:eastAsia="ru-RU"/>
        </w:rPr>
        <w:t>To identify the principal predictors for forecasting the population dynamics of harmful non-gregarious locusts within each agroclimatic zone of Kazakhstan, the analysis was grounded on the previously delineated three risk categories of reproduction and harmfulness: the high-risk zone, the moderate-risk zone, and the low-risk zone. Each risk category comprises a defined set of agroclimatic zones characterized by comparable ecological and climatic conditions. Accordingly, the identification of key predictive variables was conducted within the framework of these three reproduction and harmfulness risk zones.</w:t>
      </w:r>
    </w:p>
    <w:p w14:paraId="640CD59D" w14:textId="3EFD2CF1" w:rsidR="00F64F16" w:rsidRPr="00030CB4" w:rsidRDefault="00030CB4" w:rsidP="00B74863">
      <w:pPr>
        <w:pStyle w:val="afa"/>
        <w:shd w:val="clear" w:color="auto" w:fill="FFFFFF" w:themeFill="background1"/>
        <w:spacing w:line="360" w:lineRule="auto"/>
        <w:ind w:firstLine="567"/>
        <w:rPr>
          <w:color w:val="auto"/>
        </w:rPr>
      </w:pPr>
      <w:r w:rsidRPr="006C0672">
        <w:rPr>
          <w:lang w:eastAsia="ru-RU"/>
        </w:rPr>
        <w:t xml:space="preserve">Table 3 presents the predictors incorporated into the modeling of population dynamics using a range of analytical and machine learning </w:t>
      </w:r>
      <w:r w:rsidRPr="00030CB4">
        <w:rPr>
          <w:color w:val="auto"/>
          <w:lang w:eastAsia="ru-RU"/>
        </w:rPr>
        <w:t>approaches</w:t>
      </w:r>
      <w:r w:rsidR="00F64F16" w:rsidRPr="00030CB4">
        <w:rPr>
          <w:color w:val="auto"/>
          <w:lang w:val="en"/>
        </w:rPr>
        <w:t>.</w:t>
      </w:r>
    </w:p>
    <w:p w14:paraId="43EEE7A3" w14:textId="77777777" w:rsidR="00030CB4" w:rsidRPr="006B021F" w:rsidRDefault="00030CB4" w:rsidP="00B74863">
      <w:pPr>
        <w:spacing w:line="360" w:lineRule="auto"/>
        <w:ind w:firstLine="567"/>
        <w:rPr>
          <w:rFonts w:cstheme="minorHAnsi"/>
          <w:szCs w:val="24"/>
          <w:lang w:eastAsia="ru-RU"/>
        </w:rPr>
      </w:pPr>
      <w:r w:rsidRPr="006B021F">
        <w:rPr>
          <w:rFonts w:cstheme="minorHAnsi"/>
          <w:szCs w:val="24"/>
          <w:lang w:eastAsia="ru-RU"/>
        </w:rPr>
        <w:t xml:space="preserve">Subsequently, the importance of climatic predictors was assessed through correlation analysis examining the relationships between climatic variables and locust abundance, in </w:t>
      </w:r>
      <w:r w:rsidRPr="006B021F">
        <w:rPr>
          <w:rFonts w:cstheme="minorHAnsi"/>
          <w:szCs w:val="24"/>
          <w:lang w:eastAsia="ru-RU"/>
        </w:rPr>
        <w:lastRenderedPageBreak/>
        <w:t>combination with feature importance estimation using the Random Forest and Gradient Boosting algorithms. The analysis was performed separately for each reproduction and harmfulness risk zone, within which the top 15 most influential predictors were identified.</w:t>
      </w:r>
    </w:p>
    <w:p w14:paraId="3F3922D8" w14:textId="77777777" w:rsidR="00030CB4" w:rsidRDefault="00030CB4" w:rsidP="00B74863">
      <w:pPr>
        <w:spacing w:line="360" w:lineRule="auto"/>
        <w:ind w:firstLine="567"/>
        <w:rPr>
          <w:rFonts w:cstheme="minorHAnsi"/>
          <w:szCs w:val="24"/>
          <w:lang w:eastAsia="ru-RU"/>
        </w:rPr>
      </w:pPr>
      <w:r w:rsidRPr="006B021F">
        <w:rPr>
          <w:rFonts w:cstheme="minorHAnsi"/>
          <w:szCs w:val="24"/>
          <w:lang w:eastAsia="ru-RU"/>
        </w:rPr>
        <w:t>Across the three risk categories (high, moderate, and low), distinct patterns and strengths of association between climatic variables and the population density of non-gregarious locust pests were observed. These differences indicate zone-specific climatic controls on population dynamics and underscore the necessity of differentiated predictive modeling frameworks. The comparative results of the correlation structure and feature importance ranking for each risk zone are presented in Figs 2, 3, and 4.</w:t>
      </w:r>
    </w:p>
    <w:p w14:paraId="5B6BCE9C" w14:textId="0DFA8F04" w:rsidR="00F64F16" w:rsidRPr="00030CB4" w:rsidRDefault="00030CB4" w:rsidP="00B74863">
      <w:pPr>
        <w:pStyle w:val="afa"/>
        <w:shd w:val="clear" w:color="auto" w:fill="FFFFFF" w:themeFill="background1"/>
        <w:spacing w:line="360" w:lineRule="auto"/>
        <w:ind w:firstLine="567"/>
        <w:rPr>
          <w:color w:val="auto"/>
        </w:rPr>
      </w:pPr>
      <w:r w:rsidRPr="003B785B">
        <w:rPr>
          <w:rFonts w:cstheme="minorHAnsi"/>
          <w:lang w:eastAsia="ru-RU"/>
        </w:rPr>
        <w:t xml:space="preserve">The comparative analysis of Figs 2–4 reveals a clear zonal differentiation in the climatic regulation of harmful non-gregarious locust populations, as identified by the Random Forest model. The ranking of the top 15 predictors across high-, moderate-, and low-risk zones demonstrates that the structure of environmental control shifts systematically along the hydrothermal gradient, confirming that population dynamics are governed by distinct ecological mechanisms under contrasting agroclimatic </w:t>
      </w:r>
      <w:r w:rsidRPr="00030CB4">
        <w:rPr>
          <w:rFonts w:cstheme="minorHAnsi"/>
          <w:color w:val="auto"/>
          <w:lang w:eastAsia="ru-RU"/>
        </w:rPr>
        <w:t>regimes</w:t>
      </w:r>
      <w:r w:rsidR="00F64F16" w:rsidRPr="00030CB4">
        <w:rPr>
          <w:color w:val="auto"/>
          <w:lang w:val="en"/>
        </w:rPr>
        <w:t>.</w:t>
      </w:r>
    </w:p>
    <w:p w14:paraId="51E22A10" w14:textId="6A90B6A7" w:rsidR="00F64F16" w:rsidRPr="00030CB4" w:rsidRDefault="00030CB4" w:rsidP="00B74863">
      <w:pPr>
        <w:pStyle w:val="afa"/>
        <w:shd w:val="clear" w:color="auto" w:fill="FFFFFF" w:themeFill="background1"/>
        <w:spacing w:line="360" w:lineRule="auto"/>
        <w:ind w:firstLine="567"/>
        <w:rPr>
          <w:color w:val="auto"/>
        </w:rPr>
      </w:pPr>
      <w:r w:rsidRPr="003B785B">
        <w:rPr>
          <w:rFonts w:cstheme="minorHAnsi"/>
          <w:lang w:eastAsia="ru-RU"/>
        </w:rPr>
        <w:t>In the high-risk zone (Figure 2), which includes the Highly arid / Warm (23), Slightly humid / Moderately warm (42), and Optimally humid / Hot (75) agroclimatic types, the predictor hierarchy is dominated by thermal and surface energy variables. Heat_Stress_Index, LSTEvap_interaction, AirTemp_squared, and Energy_Balance consistently occupy the highest importance ranks. This indicates that, in outbreak-prone territories, temperature-driven acceleration of embryogenesis and larval development constitutes the primary regulatory mechanism. The strong contribution of AirTemp_squared demonstrates pronounced nonlinear temperature responses, suggesting the existence of a climatic optimum beyond which density increases disproportionately. Soil moisture and precipitation variables, while present, exhibit comparatively lower importance scores, implying that in these zones moisture does not act as a limiting factor. Instead, the system operates under conditions of thermal saturation, where energy availability and land surface temperature variability determine interannual fluctuations in Pabs. Lagged temperature indicators (</w:t>
      </w:r>
      <w:r w:rsidRPr="00030CB4">
        <w:rPr>
          <w:rFonts w:cstheme="minorHAnsi"/>
          <w:color w:val="auto"/>
          <w:lang w:eastAsia="ru-RU"/>
        </w:rPr>
        <w:t>Prev_temperature, Temp_ma3) further reinforce the cumulative nature of heat accumulation effects</w:t>
      </w:r>
      <w:r w:rsidR="00F64F16" w:rsidRPr="00030CB4">
        <w:rPr>
          <w:color w:val="auto"/>
          <w:lang w:val="en"/>
        </w:rPr>
        <w:t>.</w:t>
      </w:r>
    </w:p>
    <w:p w14:paraId="63D18C03" w14:textId="77777777" w:rsidR="00B74863" w:rsidRPr="003B785B" w:rsidRDefault="00B74863" w:rsidP="00B74863">
      <w:pPr>
        <w:spacing w:line="360" w:lineRule="auto"/>
        <w:ind w:firstLine="567"/>
        <w:rPr>
          <w:rFonts w:cstheme="minorHAnsi"/>
          <w:szCs w:val="24"/>
          <w:lang w:eastAsia="ru-RU"/>
        </w:rPr>
      </w:pPr>
      <w:r w:rsidRPr="003B785B">
        <w:rPr>
          <w:rFonts w:cstheme="minorHAnsi"/>
          <w:szCs w:val="24"/>
          <w:lang w:eastAsia="ru-RU"/>
        </w:rPr>
        <w:t>In contrast, the moderate-risk zone (Fig</w:t>
      </w:r>
      <w:r w:rsidRPr="006C0672">
        <w:rPr>
          <w:rFonts w:cstheme="minorHAnsi"/>
          <w:szCs w:val="24"/>
          <w:lang w:eastAsia="ru-RU"/>
        </w:rPr>
        <w:t>.</w:t>
      </w:r>
      <w:r w:rsidRPr="003B785B">
        <w:rPr>
          <w:rFonts w:cstheme="minorHAnsi"/>
          <w:szCs w:val="24"/>
          <w:lang w:eastAsia="ru-RU"/>
        </w:rPr>
        <w:t xml:space="preserve"> 3) displays a more balanced predictor structure. Alongside thermal indices, Aridity_Index, Moisture_Index, PrecipSPI_interaction, and SoilMoisture_squared gain substantially higher importance relative to the high-risk configuration. The increased contribution of precipitation–SPI interaction terms indicates that interannual rainfall variability becomes a decisive factor for population amplification. Unlike </w:t>
      </w:r>
      <w:r w:rsidRPr="003B785B">
        <w:rPr>
          <w:rFonts w:cstheme="minorHAnsi"/>
          <w:szCs w:val="24"/>
          <w:lang w:eastAsia="ru-RU"/>
        </w:rPr>
        <w:lastRenderedPageBreak/>
        <w:t>the high-risk zone, where heat alone drives reproduction, moderate-risk territories require a synchronised combination of adequate thermal resources and optimal soil moisture. The prominence of SoilMoisture_squared confirms a hump-shaped response curve, where both drought and excessive wetness suppress egg survival. Moreover, lagged precipitation variables exert stronger influence than in the high-risk group, suggesting that antecedent hydrological conditions modulate habitat suitability in transitional steppe ecotones. This pattern reflects a dual-control regime, where population outbreaks emerge only when thermal and moisture thresholds coincide.</w:t>
      </w:r>
    </w:p>
    <w:p w14:paraId="6C747729" w14:textId="78F537E9" w:rsidR="00F64F16" w:rsidRPr="00B74863" w:rsidRDefault="00B74863" w:rsidP="00B74863">
      <w:pPr>
        <w:pStyle w:val="afa"/>
        <w:shd w:val="clear" w:color="auto" w:fill="FFFFFF" w:themeFill="background1"/>
        <w:spacing w:line="360" w:lineRule="auto"/>
        <w:ind w:firstLine="567"/>
        <w:rPr>
          <w:color w:val="auto"/>
        </w:rPr>
      </w:pPr>
      <w:r w:rsidRPr="003B785B">
        <w:rPr>
          <w:rFonts w:cstheme="minorHAnsi"/>
          <w:lang w:eastAsia="ru-RU"/>
        </w:rPr>
        <w:t>The low-risk zone (Fig</w:t>
      </w:r>
      <w:r>
        <w:rPr>
          <w:rFonts w:cstheme="minorHAnsi"/>
          <w:lang w:eastAsia="ru-RU"/>
        </w:rPr>
        <w:t>.</w:t>
      </w:r>
      <w:r w:rsidRPr="003B785B">
        <w:rPr>
          <w:rFonts w:cstheme="minorHAnsi"/>
          <w:lang w:eastAsia="ru-RU"/>
        </w:rPr>
        <w:t xml:space="preserve"> 4) is characterized by a marked shift toward humidity-related constraints. Moisture_Index, Aridity_Index, SoilMoisture_squared, and Temp_Amplitude dominate the importance ranking, while direct thermal stress indicators lose relative explanatory power. Compared with Figs 2 and 3, Heat_Stress_Index and Energy_Balance show noticeably reduced contributions, indicating that temperature no longer acts as the primary growth-limiting factor. Instead, excessive or unstable moisture conditions increase egg mortality and promote biotic regulation. The high importance of Temp_Amplitude suggests that large diurnal or seasonal temperature contrasts introduce developmental instability, preventing synchronous cohort formation. Year_trend also gains relative significance, implying that long-term climatic tendencies, rather than short-term anomalies, shape background population levels in these humid or cooler </w:t>
      </w:r>
      <w:r w:rsidRPr="00B74863">
        <w:rPr>
          <w:rFonts w:cstheme="minorHAnsi"/>
          <w:color w:val="auto"/>
          <w:lang w:eastAsia="ru-RU"/>
        </w:rPr>
        <w:t>environments</w:t>
      </w:r>
      <w:r w:rsidR="00F64F16" w:rsidRPr="00B74863">
        <w:rPr>
          <w:color w:val="auto"/>
          <w:lang w:val="en"/>
        </w:rPr>
        <w:t>.</w:t>
      </w:r>
    </w:p>
    <w:p w14:paraId="1BCD7FDD" w14:textId="77777777" w:rsidR="00B74863" w:rsidRPr="009D0308" w:rsidRDefault="00B74863" w:rsidP="00B74863">
      <w:pPr>
        <w:spacing w:line="360" w:lineRule="auto"/>
        <w:ind w:firstLine="567"/>
        <w:rPr>
          <w:rFonts w:cstheme="minorHAnsi"/>
          <w:szCs w:val="24"/>
          <w:lang w:eastAsia="ru-RU"/>
        </w:rPr>
      </w:pPr>
      <w:r w:rsidRPr="003B785B">
        <w:rPr>
          <w:rFonts w:cstheme="minorHAnsi"/>
          <w:szCs w:val="24"/>
          <w:lang w:eastAsia="ru-RU"/>
        </w:rPr>
        <w:t xml:space="preserve">Direct comparison among the three figures demonstrates a progressive transition from energy-driven regulation (high risk) to interaction-driven balance (moderate risk) and finally to moisture-limited suppression (low risk). Thermal quadratic terms are strongest in the high-risk zone, moderate in the transitional zone, and weakest in the humid zone. Conversely, soil moisture and aridity indices show minimal influence in high-risk territories but become central in moderate and especially low-risk areas. Interaction terms involving precipitation gain peak </w:t>
      </w:r>
      <w:r w:rsidRPr="009D0308">
        <w:rPr>
          <w:rFonts w:cstheme="minorHAnsi"/>
          <w:szCs w:val="24"/>
          <w:lang w:eastAsia="ru-RU"/>
        </w:rPr>
        <w:t>importance in moderate-risk zones, highlighting the requirement of hydrological synchrony for outbreak formation.</w:t>
      </w:r>
    </w:p>
    <w:p w14:paraId="35AF10DC" w14:textId="77777777" w:rsidR="00B74863" w:rsidRPr="009D0308" w:rsidRDefault="00B74863" w:rsidP="00B74863">
      <w:pPr>
        <w:spacing w:line="360" w:lineRule="auto"/>
        <w:ind w:firstLine="567"/>
        <w:rPr>
          <w:rFonts w:cstheme="minorHAnsi"/>
          <w:szCs w:val="24"/>
          <w:lang w:eastAsia="ru-RU"/>
        </w:rPr>
      </w:pPr>
      <w:r w:rsidRPr="009D0308">
        <w:rPr>
          <w:rFonts w:cstheme="minorHAnsi"/>
          <w:szCs w:val="24"/>
          <w:lang w:eastAsia="ru-RU"/>
        </w:rPr>
        <w:t>Overall, the results indicate that the most favorable conditions for the development and spatial expansion of locust pests are characterized by the following parameter ranges: land surface temperature (LST) of 30–35°C, corresponding to the thermal optimum for reproduction; precipitation totals of 20–50 mm, ensuring sufficient but not excessive moisture supply; soil moisture values of 0.60–0.75, reflecting moderately humid conditions; and a Standardized Precipitation Index (SPI) close to neutral or slightly positive (0–0.5), indicative of near-normal or mildly humid climatic conditions.</w:t>
      </w:r>
    </w:p>
    <w:p w14:paraId="18269E04" w14:textId="77777777" w:rsidR="00B74863" w:rsidRDefault="00B74863" w:rsidP="00B74863">
      <w:pPr>
        <w:spacing w:line="360" w:lineRule="auto"/>
        <w:ind w:firstLine="567"/>
        <w:rPr>
          <w:rFonts w:cstheme="minorHAnsi"/>
          <w:szCs w:val="24"/>
          <w:lang w:eastAsia="ru-RU"/>
        </w:rPr>
      </w:pPr>
      <w:r w:rsidRPr="009D0308">
        <w:rPr>
          <w:rFonts w:cstheme="minorHAnsi"/>
          <w:szCs w:val="24"/>
          <w:lang w:eastAsia="ru-RU"/>
        </w:rPr>
        <w:lastRenderedPageBreak/>
        <w:t>Conversely, unfavorable conditions for locust development and spread are associated with thermal extremes (LST &lt; 25°C or &gt; 40°C), very low (&lt; 15 mm) or excessive (&gt; 70 mm) precipitation, and critically low (&lt; 0.5) or excessively high (&gt; 0.9) soil moisture levels. These findings highlight the nonlinear and threshold-dependent responses of non-gregarious locust populations to climatic variability.</w:t>
      </w:r>
    </w:p>
    <w:p w14:paraId="575C2F81" w14:textId="77777777" w:rsidR="00B74863" w:rsidRPr="009D0308" w:rsidRDefault="00B74863" w:rsidP="00B74863">
      <w:pPr>
        <w:spacing w:line="360" w:lineRule="auto"/>
        <w:ind w:firstLine="567"/>
        <w:rPr>
          <w:rFonts w:cstheme="minorHAnsi"/>
          <w:szCs w:val="24"/>
          <w:lang w:eastAsia="ru-RU"/>
        </w:rPr>
      </w:pPr>
    </w:p>
    <w:p w14:paraId="1C88CDFB" w14:textId="0B1B5872" w:rsidR="00B74863" w:rsidRPr="00B74863" w:rsidRDefault="00B74863" w:rsidP="000778CE">
      <w:pPr>
        <w:pStyle w:val="afd"/>
        <w:numPr>
          <w:ilvl w:val="1"/>
          <w:numId w:val="30"/>
        </w:numPr>
        <w:tabs>
          <w:tab w:val="left" w:pos="567"/>
        </w:tabs>
        <w:spacing w:line="360" w:lineRule="auto"/>
        <w:ind w:left="0" w:firstLine="0"/>
        <w:contextualSpacing w:val="0"/>
        <w:rPr>
          <w:lang w:eastAsia="ru-RU"/>
        </w:rPr>
      </w:pPr>
      <w:r w:rsidRPr="00B74863">
        <w:rPr>
          <w:b/>
          <w:bCs/>
        </w:rPr>
        <w:t>Predictive m</w:t>
      </w:r>
      <w:r w:rsidRPr="00B74863">
        <w:rPr>
          <w:rFonts w:cstheme="minorHAnsi"/>
          <w:b/>
          <w:bCs/>
        </w:rPr>
        <w:t>odeling</w:t>
      </w:r>
      <w:r w:rsidRPr="00B74863">
        <w:rPr>
          <w:b/>
          <w:bCs/>
        </w:rPr>
        <w:t xml:space="preserve"> of Harmful Non-Gregarious Locust Population Dynamics across Kazakhstan’s Agroclimatic Zones Using Machine Learning Techniques</w:t>
      </w:r>
    </w:p>
    <w:p w14:paraId="4752D772" w14:textId="77777777" w:rsidR="00B74863" w:rsidRPr="00B74863" w:rsidRDefault="00B74863" w:rsidP="00B74863">
      <w:pPr>
        <w:spacing w:line="360" w:lineRule="auto"/>
        <w:ind w:firstLine="567"/>
        <w:rPr>
          <w:szCs w:val="24"/>
          <w:lang w:eastAsia="ru-RU"/>
        </w:rPr>
      </w:pPr>
      <w:r w:rsidRPr="00B74863">
        <w:rPr>
          <w:szCs w:val="24"/>
          <w:lang w:eastAsia="ru-RU"/>
        </w:rPr>
        <w:t>The management of harmful non-gregarious locusts in arid and semi-arid agroecosystems remains a major phytosanitary challenge in Kazakhstan, where pronounced agroclimatic heterogeneity drives spatially uneven population growth and chronic infestations. Unlike gregarious species, non-gregarious locusts maintain persistent damaging populations requiring continuous monitoring and fine-scale forecasting. Their dynamics are shaped by nonlinear interactions among temperature, soil moisture, vegetation productivity, land use, and anthropogenic factors, limiting the predictive capacity of conventional statistical models.</w:t>
      </w:r>
    </w:p>
    <w:p w14:paraId="50201245" w14:textId="77777777" w:rsidR="00B74863" w:rsidRPr="00B74863" w:rsidRDefault="00B74863" w:rsidP="00B74863">
      <w:pPr>
        <w:spacing w:line="360" w:lineRule="auto"/>
        <w:ind w:firstLine="567"/>
        <w:rPr>
          <w:szCs w:val="24"/>
          <w:lang w:eastAsia="ru-RU"/>
        </w:rPr>
      </w:pPr>
      <w:r w:rsidRPr="00B74863">
        <w:rPr>
          <w:szCs w:val="24"/>
          <w:lang w:eastAsia="ru-RU"/>
        </w:rPr>
        <w:t>Machine learning (ML) provides an effective framework for modeling these complex spatiotemporal systems. By capturing nonlinear relationships and high-order interactions within long-term monitoring datasets, ML algorithms improve predictive accuracy and generalization across agroclimatic gradients. This enables integrated forecasting of population density and threshold exceedance risk, supporting spatially explicit risk assessment.</w:t>
      </w:r>
    </w:p>
    <w:p w14:paraId="7969C372" w14:textId="77777777" w:rsidR="00B74863" w:rsidRPr="00B74863" w:rsidRDefault="00B74863" w:rsidP="00B74863">
      <w:pPr>
        <w:spacing w:line="360" w:lineRule="auto"/>
        <w:ind w:firstLine="567"/>
        <w:rPr>
          <w:szCs w:val="24"/>
          <w:lang w:eastAsia="ru-RU"/>
        </w:rPr>
      </w:pPr>
      <w:r w:rsidRPr="00B74863">
        <w:rPr>
          <w:szCs w:val="24"/>
          <w:lang w:eastAsia="ru-RU"/>
        </w:rPr>
        <w:t>The shift from descriptive monitoring to predictive analytics is central to the digital transformation of phytosanitary systems. ML-based models convert surveillance data into operational forecasts, enabling targeted interventions, spatial prioritization of control measures, and optimization of pesticide use.</w:t>
      </w:r>
    </w:p>
    <w:p w14:paraId="697BD935" w14:textId="77777777" w:rsidR="00B74863" w:rsidRPr="00B74863" w:rsidRDefault="00B74863" w:rsidP="00B74863">
      <w:pPr>
        <w:spacing w:line="360" w:lineRule="auto"/>
        <w:ind w:firstLine="567"/>
        <w:rPr>
          <w:szCs w:val="24"/>
          <w:lang w:eastAsia="ru-RU"/>
        </w:rPr>
      </w:pPr>
      <w:r w:rsidRPr="00B74863">
        <w:rPr>
          <w:szCs w:val="24"/>
          <w:lang w:eastAsia="ru-RU"/>
        </w:rPr>
        <w:t>For each agroclimatic zone classified by reproduction and harmfulness risk, a standardized analytical pipeline was applied. Data were divided into training (80%) and testing (20%) subsets using a temporally consistent split to preserve chronological structure and prevent data leakage. Feature standardization was performed on training data and applied to the test set to ensure numerical stability and methodological rigor.</w:t>
      </w:r>
    </w:p>
    <w:p w14:paraId="4F48BC91" w14:textId="77777777" w:rsidR="00B74863" w:rsidRPr="00B74863" w:rsidRDefault="00B74863" w:rsidP="00B74863">
      <w:pPr>
        <w:spacing w:line="360" w:lineRule="auto"/>
        <w:ind w:firstLine="567"/>
        <w:rPr>
          <w:szCs w:val="24"/>
          <w:lang w:eastAsia="ru-RU"/>
        </w:rPr>
      </w:pPr>
      <w:r w:rsidRPr="00B74863">
        <w:rPr>
          <w:szCs w:val="24"/>
          <w:lang w:eastAsia="ru-RU"/>
        </w:rPr>
        <w:t>Five models were trained independently within each zone: Support Vector Regression (SVR), Seasonal Autoregressive Integrated Moving Average (SARIMA), Linear Regression, Gradient Boosting, and Random Forest. This design enabled comparison between parametric, time-series, and ensemble ML approaches in capturing temporal dependence and nonlinear interactions.</w:t>
      </w:r>
    </w:p>
    <w:p w14:paraId="3476D93F" w14:textId="77777777" w:rsidR="00B74863" w:rsidRPr="00B74863" w:rsidRDefault="00B74863" w:rsidP="00B74863">
      <w:pPr>
        <w:spacing w:line="360" w:lineRule="auto"/>
        <w:ind w:firstLine="567"/>
        <w:rPr>
          <w:szCs w:val="24"/>
          <w:lang w:eastAsia="ru-RU"/>
        </w:rPr>
      </w:pPr>
      <w:r w:rsidRPr="00B74863">
        <w:rPr>
          <w:szCs w:val="24"/>
          <w:lang w:eastAsia="ru-RU"/>
        </w:rPr>
        <w:lastRenderedPageBreak/>
        <w:t>Model performance was evaluated on the independent test set using standard regression metrics to assess predictive accuracy and generalization. Cross-zone comparison allowed identification of the most robust modeling strategies under varying agroclimatic conditions, providing a reproducible basis for digital phytosanitary forecasting and decision-support systems.</w:t>
      </w:r>
    </w:p>
    <w:p w14:paraId="4E79262B" w14:textId="77777777" w:rsidR="00B74863" w:rsidRPr="00B74863" w:rsidRDefault="00B74863" w:rsidP="00B74863">
      <w:pPr>
        <w:pBdr>
          <w:bottom w:val="single" w:sz="6" w:space="14" w:color="auto"/>
        </w:pBdr>
        <w:spacing w:line="360" w:lineRule="auto"/>
        <w:ind w:firstLine="567"/>
        <w:rPr>
          <w:vanish/>
          <w:szCs w:val="24"/>
          <w:lang w:eastAsia="ru-RU"/>
        </w:rPr>
      </w:pPr>
      <w:r w:rsidRPr="00B74863">
        <w:rPr>
          <w:vanish/>
          <w:szCs w:val="24"/>
          <w:lang w:eastAsia="ru-RU"/>
        </w:rPr>
        <w:t>Начало формы</w:t>
      </w:r>
    </w:p>
    <w:p w14:paraId="18BA291F" w14:textId="77777777" w:rsidR="00B74863" w:rsidRPr="00B74863" w:rsidRDefault="00B74863" w:rsidP="00B74863">
      <w:pPr>
        <w:pBdr>
          <w:top w:val="single" w:sz="6" w:space="1" w:color="auto"/>
        </w:pBdr>
        <w:spacing w:line="360" w:lineRule="auto"/>
        <w:ind w:firstLine="567"/>
        <w:rPr>
          <w:vanish/>
          <w:szCs w:val="24"/>
          <w:lang w:eastAsia="ru-RU"/>
        </w:rPr>
      </w:pPr>
      <w:r w:rsidRPr="00B74863">
        <w:rPr>
          <w:vanish/>
          <w:szCs w:val="24"/>
          <w:lang w:eastAsia="ru-RU"/>
        </w:rPr>
        <w:t>Конец формы</w:t>
      </w:r>
    </w:p>
    <w:p w14:paraId="38C85A83" w14:textId="77777777" w:rsidR="00B74863" w:rsidRPr="00B74863" w:rsidRDefault="00B74863" w:rsidP="00B74863">
      <w:pPr>
        <w:spacing w:line="360" w:lineRule="auto"/>
        <w:ind w:firstLine="567"/>
        <w:rPr>
          <w:szCs w:val="24"/>
        </w:rPr>
      </w:pPr>
      <w:r w:rsidRPr="00B74863">
        <w:rPr>
          <w:szCs w:val="24"/>
        </w:rPr>
        <w:t>Figs 5–7 present the results of phytosanitary forecasting of harmful non-gregarious locust populations in Kazakhstan based on machine learning algorithms integrated with GIS technologies, stratified by the three reproduction and harmfulness risk zones (high, moderate, and low). These figures illustrate the spatially explicit modeling outputs and the differentiated forecast patterns across the respective risk categories.</w:t>
      </w:r>
    </w:p>
    <w:p w14:paraId="79451BAB" w14:textId="77777777" w:rsidR="00B74863" w:rsidRPr="00B74863" w:rsidRDefault="00B74863" w:rsidP="00B74863">
      <w:pPr>
        <w:spacing w:line="360" w:lineRule="auto"/>
        <w:ind w:firstLine="567"/>
        <w:rPr>
          <w:szCs w:val="24"/>
          <w:lang w:eastAsia="ru-RU"/>
        </w:rPr>
      </w:pPr>
      <w:r w:rsidRPr="00B74863">
        <w:rPr>
          <w:szCs w:val="24"/>
          <w:lang w:eastAsia="ru-RU"/>
        </w:rPr>
        <w:t>The high-risk zone (Fig. 5) is characterized by the most pronounced amplitude of population fluctuations and the highest outbreak intensity among all risk categories. Under conditions of persistent aridity combined with elevated temperatures, non-gregarious locust populations remain at low densities for several years but respond sharply to favorable climatic triggers. Key drivers include moisture deficit concentrating populations in vegetated refugia, accelerated development under warm conditions, reduced interspecific competition at low densities, episodic precipitation stimulating vegetation growth, and weakened pressure from natural enemies in arid ecosystems.</w:t>
      </w:r>
    </w:p>
    <w:p w14:paraId="4B0C4772" w14:textId="6B436548" w:rsidR="00F64F16" w:rsidRPr="00B74863" w:rsidRDefault="00B74863" w:rsidP="00B74863">
      <w:pPr>
        <w:pStyle w:val="afa"/>
        <w:spacing w:line="360" w:lineRule="auto"/>
        <w:ind w:firstLine="567"/>
        <w:rPr>
          <w:color w:val="auto"/>
        </w:rPr>
      </w:pPr>
      <w:r w:rsidRPr="00B74863">
        <w:rPr>
          <w:lang w:eastAsia="ru-RU"/>
        </w:rPr>
        <w:t xml:space="preserve">In the training period (2003–2018), distinct population increases were recorded in 2006, 2009, and 2015, with the 2009 outbreak representing the most extreme peak. These rises were separated by intervals of approximately 5–6 years, confirming a quasi-cyclic outbreak pattern within the 5–7-year periodicity range. During the test period (2019–2024), a renewed increase was observed in 2021, followed by a decline and partial stabilization, indicating preservation of cyclical behavior rather than a linear </w:t>
      </w:r>
      <w:r w:rsidRPr="00B74863">
        <w:rPr>
          <w:color w:val="auto"/>
          <w:lang w:eastAsia="ru-RU"/>
        </w:rPr>
        <w:t>trend</w:t>
      </w:r>
      <w:r w:rsidR="00F64F16" w:rsidRPr="00B74863">
        <w:rPr>
          <w:color w:val="auto"/>
          <w:lang w:val="en"/>
        </w:rPr>
        <w:t>.</w:t>
      </w:r>
    </w:p>
    <w:p w14:paraId="12D191E3" w14:textId="77777777" w:rsidR="00B74863" w:rsidRPr="00B74863" w:rsidRDefault="00B74863" w:rsidP="00B74863">
      <w:pPr>
        <w:spacing w:line="360" w:lineRule="auto"/>
        <w:ind w:firstLine="567"/>
        <w:rPr>
          <w:szCs w:val="24"/>
          <w:lang w:eastAsia="ru-RU"/>
        </w:rPr>
      </w:pPr>
      <w:r w:rsidRPr="00B74863">
        <w:rPr>
          <w:szCs w:val="24"/>
          <w:lang w:eastAsia="ru-RU"/>
        </w:rPr>
        <w:t>Among the evaluated models, Gradient Boosting most accurately reproduced the magnitude and timing of observed increases in the test period. It achieved the lowest error metrics (MAE = 1.660722; RMSE = 2.636057; R² = 0.004572) relative to Random Forest, SVR, Linear Regression, and SARIMA, demonstrating superior capacity to capture nonlinear responses under highly variable climatic conditions (Table 4).</w:t>
      </w:r>
    </w:p>
    <w:p w14:paraId="0CD66265" w14:textId="77777777" w:rsidR="00B74863" w:rsidRPr="00B74863" w:rsidRDefault="00B74863" w:rsidP="00B74863">
      <w:pPr>
        <w:spacing w:line="360" w:lineRule="auto"/>
        <w:ind w:firstLine="567"/>
        <w:rPr>
          <w:szCs w:val="24"/>
          <w:lang w:eastAsia="ru-RU"/>
        </w:rPr>
      </w:pPr>
      <w:r w:rsidRPr="00B74863">
        <w:rPr>
          <w:szCs w:val="24"/>
          <w:lang w:eastAsia="ru-RU"/>
        </w:rPr>
        <w:t>The forecast for 2025–2030, based solely on Gradient Boosting, suggests moderate overall density levels with projected increases in 2027 and 2030, consistent with the established 5–7-year quasi-cyclic structure. Thus, the high-risk zone maintains recurrent outbreak dynamics driven primarily by climatic variability rather than sustained long-term population growth.</w:t>
      </w:r>
    </w:p>
    <w:p w14:paraId="311DBB74" w14:textId="1789879F" w:rsidR="00F64F16" w:rsidRPr="00B74863" w:rsidRDefault="00B74863" w:rsidP="00B74863">
      <w:pPr>
        <w:tabs>
          <w:tab w:val="num" w:pos="720"/>
        </w:tabs>
        <w:spacing w:line="360" w:lineRule="auto"/>
        <w:ind w:firstLine="567"/>
        <w:rPr>
          <w:color w:val="auto"/>
          <w:szCs w:val="24"/>
        </w:rPr>
      </w:pPr>
      <w:r w:rsidRPr="00B74863">
        <w:rPr>
          <w:szCs w:val="24"/>
          <w:lang w:eastAsia="ru-RU"/>
        </w:rPr>
        <w:lastRenderedPageBreak/>
        <w:t xml:space="preserve">The moderate-risk zone of reproduction and harmfulness (Fig. 6) is characterized by lower outbreak amplitude compared with high-risk territories, with mean population densities typically 2–10 times lower. Nevertheless, areas experiencing hydrological extremes—both moisture deficit and excess—tend to display relatively elevated average values within this category. Warm and moderately hot thermal regimes remain important risk factors even under moderate overall conditions, whereas territorial extent does not directly correlate with population density, indicating that climatic suitability rather than area determines outbreak </w:t>
      </w:r>
      <w:r w:rsidRPr="00B74863">
        <w:rPr>
          <w:color w:val="auto"/>
          <w:szCs w:val="24"/>
          <w:lang w:eastAsia="ru-RU"/>
        </w:rPr>
        <w:t>potential</w:t>
      </w:r>
      <w:r w:rsidR="00F64F16" w:rsidRPr="00B74863">
        <w:rPr>
          <w:color w:val="auto"/>
          <w:szCs w:val="24"/>
          <w:lang w:val="en" w:eastAsia="ru-RU"/>
        </w:rPr>
        <w:t>.</w:t>
      </w:r>
    </w:p>
    <w:p w14:paraId="523CD9D2" w14:textId="77777777" w:rsidR="00B74863" w:rsidRPr="00B74863" w:rsidRDefault="00B74863" w:rsidP="00B74863">
      <w:pPr>
        <w:spacing w:line="360" w:lineRule="auto"/>
        <w:ind w:firstLine="567"/>
        <w:rPr>
          <w:szCs w:val="24"/>
          <w:lang w:eastAsia="ru-RU"/>
        </w:rPr>
      </w:pPr>
      <w:r w:rsidRPr="00B74863">
        <w:rPr>
          <w:szCs w:val="24"/>
          <w:lang w:eastAsia="ru-RU"/>
        </w:rPr>
        <w:t>During the training period (2003–2018), population increases were observed in 2007 and 2014, separated by roughly seven years, confirming a 7–10-year outbreak periodicity. These peaks were moderate and substantially lower than those recorded in high-risk zones. In the test period (2019–2024), no significant outbreak occurred; instead, population dynamics remained relatively stable with moderate seasonal variability, indicating preservation of cyclic behavior without escalation.</w:t>
      </w:r>
    </w:p>
    <w:p w14:paraId="037D27A8" w14:textId="77777777" w:rsidR="00B74863" w:rsidRPr="00B74863" w:rsidRDefault="00B74863" w:rsidP="00B74863">
      <w:pPr>
        <w:spacing w:line="360" w:lineRule="auto"/>
        <w:ind w:firstLine="567"/>
        <w:rPr>
          <w:szCs w:val="24"/>
          <w:lang w:eastAsia="ru-RU"/>
        </w:rPr>
      </w:pPr>
      <w:r w:rsidRPr="00B74863">
        <w:rPr>
          <w:szCs w:val="24"/>
          <w:lang w:eastAsia="ru-RU"/>
        </w:rPr>
        <w:t>Among the evaluated models, Support Vector Regression (SVR) demonstrated the closest approximation to observed dynamics in the test interval, particularly in capturing moderate peaks without overestimation. It achieved the best predictive performance (MAE = 1.135353; RMSE = 3.039394; R² = –0.022965) relative to Random Forest, Gradient Boosting, Linear Regression, and SARIMA (Table 5).</w:t>
      </w:r>
    </w:p>
    <w:p w14:paraId="5CAD1F37" w14:textId="73670DC1" w:rsidR="00F64F16" w:rsidRPr="00B74863" w:rsidRDefault="00B74863" w:rsidP="00B74863">
      <w:pPr>
        <w:shd w:val="clear" w:color="auto" w:fill="FFFFFF" w:themeFill="background1"/>
        <w:spacing w:line="360" w:lineRule="auto"/>
        <w:ind w:firstLine="567"/>
        <w:rPr>
          <w:color w:val="auto"/>
          <w:szCs w:val="24"/>
        </w:rPr>
      </w:pPr>
      <w:r w:rsidRPr="00B74863">
        <w:rPr>
          <w:szCs w:val="24"/>
          <w:lang w:eastAsia="ru-RU"/>
        </w:rPr>
        <w:t xml:space="preserve">The forecast for 2025–2030, based solely on SVR, indicates stable density levels without warning of a major outbreak. This projection is consistent with the established 7–10-year cyclic structure, suggesting that the next substantial increase is unlikely within the forecast </w:t>
      </w:r>
      <w:r w:rsidRPr="00B74863">
        <w:rPr>
          <w:color w:val="auto"/>
          <w:szCs w:val="24"/>
          <w:lang w:eastAsia="ru-RU"/>
        </w:rPr>
        <w:t>horizon</w:t>
      </w:r>
      <w:r w:rsidR="00F64F16" w:rsidRPr="00B74863">
        <w:rPr>
          <w:color w:val="auto"/>
          <w:szCs w:val="24"/>
          <w:lang w:val="en"/>
        </w:rPr>
        <w:t>.</w:t>
      </w:r>
    </w:p>
    <w:p w14:paraId="7A687267" w14:textId="77777777" w:rsidR="00B74863" w:rsidRPr="00B74863" w:rsidRDefault="00B74863" w:rsidP="00B74863">
      <w:pPr>
        <w:spacing w:line="360" w:lineRule="auto"/>
        <w:ind w:firstLine="567"/>
        <w:rPr>
          <w:szCs w:val="24"/>
          <w:lang w:eastAsia="ru-RU"/>
        </w:rPr>
      </w:pPr>
      <w:r w:rsidRPr="00B74863">
        <w:rPr>
          <w:szCs w:val="24"/>
          <w:lang w:eastAsia="ru-RU"/>
        </w:rPr>
        <w:t xml:space="preserve">The low-risk zone of reproduction and harmfulness </w:t>
      </w:r>
      <w:r w:rsidRPr="00B74863">
        <w:rPr>
          <w:szCs w:val="24"/>
          <w:lang w:val="kk-KZ" w:eastAsia="ru-RU"/>
        </w:rPr>
        <w:t>(</w:t>
      </w:r>
      <w:r w:rsidRPr="00B74863">
        <w:rPr>
          <w:szCs w:val="24"/>
          <w:lang w:eastAsia="ru-RU"/>
        </w:rPr>
        <w:t>Fig. 7</w:t>
      </w:r>
      <w:r w:rsidRPr="00B74863">
        <w:rPr>
          <w:szCs w:val="24"/>
          <w:lang w:val="kk-KZ" w:eastAsia="ru-RU"/>
        </w:rPr>
        <w:t>)</w:t>
      </w:r>
      <w:r w:rsidRPr="00B74863">
        <w:rPr>
          <w:szCs w:val="24"/>
          <w:lang w:eastAsia="ru-RU"/>
        </w:rPr>
        <w:t xml:space="preserve"> is primarily regulated by ecological constraints that limit large-scale population growth. Excessive soil moisture creates unfavorable conditions for oviposition and larval development, while relatively cool climatic regimes slow ontogenesis and shorten the active period. Stable humidity enhances natural enemy pressure, and a short vegetation season further restricts harmfulness.</w:t>
      </w:r>
    </w:p>
    <w:p w14:paraId="13F9C744" w14:textId="77777777" w:rsidR="00B74863" w:rsidRPr="00B74863" w:rsidRDefault="00B74863" w:rsidP="00B74863">
      <w:pPr>
        <w:spacing w:line="360" w:lineRule="auto"/>
        <w:ind w:firstLine="567"/>
        <w:rPr>
          <w:szCs w:val="24"/>
          <w:lang w:eastAsia="ru-RU"/>
        </w:rPr>
      </w:pPr>
      <w:r w:rsidRPr="00B74863">
        <w:rPr>
          <w:szCs w:val="24"/>
          <w:lang w:eastAsia="ru-RU"/>
        </w:rPr>
        <w:t>Within the training period (2003–2018), a moderate population increase was recorded in 2012, representing the only clearly expressed peak within this interval. Earlier minor elevation in 2004 remained weak and did not reach outbreak magnitude. The temporal distance between the 2004 minor rise and the 2012 peak supports the established 10–12-year periodicity of substantial population amplification in this zone. In the test period (2019–2024), population levels remained stable, with fluctuations not exceedingly approximately 10% of the long-term mean, confirming the absence of outbreak conditions.</w:t>
      </w:r>
    </w:p>
    <w:p w14:paraId="705E3A44" w14:textId="77777777" w:rsidR="00B74863" w:rsidRPr="00B74863" w:rsidRDefault="00B74863" w:rsidP="00B74863">
      <w:pPr>
        <w:spacing w:line="360" w:lineRule="auto"/>
        <w:ind w:firstLine="567"/>
        <w:rPr>
          <w:szCs w:val="24"/>
          <w:lang w:eastAsia="ru-RU"/>
        </w:rPr>
      </w:pPr>
      <w:r w:rsidRPr="00B74863">
        <w:rPr>
          <w:szCs w:val="24"/>
          <w:lang w:eastAsia="ru-RU"/>
        </w:rPr>
        <w:lastRenderedPageBreak/>
        <w:t>Among the evaluated models, Support Vector Regression (SVR) demonstrated the closest approximation to observed values in the test interval (MAE = 1.211944; RMSE = 1.940160; R² = –0.009623), outperforming Random Forest, Gradient Boosting, Linear Regression, and SARIMA (Table 6).</w:t>
      </w:r>
    </w:p>
    <w:p w14:paraId="5DBDBFF6" w14:textId="69EE363E" w:rsidR="00397A3C" w:rsidRPr="00B74863" w:rsidRDefault="00B74863" w:rsidP="00B74863">
      <w:pPr>
        <w:pStyle w:val="MDPI31text"/>
        <w:spacing w:line="360" w:lineRule="auto"/>
        <w:ind w:left="0" w:firstLine="567"/>
        <w:rPr>
          <w:rFonts w:ascii="Times New Roman" w:hAnsi="Times New Roman"/>
          <w:color w:val="auto"/>
          <w:sz w:val="24"/>
          <w:szCs w:val="24"/>
        </w:rPr>
      </w:pPr>
      <w:r w:rsidRPr="00B74863">
        <w:rPr>
          <w:rFonts w:ascii="Times New Roman" w:hAnsi="Times New Roman"/>
          <w:sz w:val="24"/>
          <w:szCs w:val="24"/>
          <w:lang w:eastAsia="ru-RU"/>
        </w:rPr>
        <w:t xml:space="preserve">The forecast for 2025–2030, based exclusively on SVR, indicates continued stability without evidence of critical density escalation. Overall, the low-risk zone maintains a regulated population regime in which substantial outbreaks occur infrequently—approximately once every 10–12 years—and remain strongly constrained by climatic and ecological limiting </w:t>
      </w:r>
      <w:r w:rsidRPr="00B74863">
        <w:rPr>
          <w:rFonts w:ascii="Times New Roman" w:hAnsi="Times New Roman"/>
          <w:color w:val="auto"/>
          <w:sz w:val="24"/>
          <w:szCs w:val="24"/>
          <w:lang w:eastAsia="ru-RU"/>
        </w:rPr>
        <w:t>factors</w:t>
      </w:r>
      <w:r w:rsidR="00397A3C" w:rsidRPr="00B74863">
        <w:rPr>
          <w:rFonts w:ascii="Times New Roman" w:hAnsi="Times New Roman"/>
          <w:color w:val="auto"/>
          <w:sz w:val="24"/>
          <w:szCs w:val="24"/>
        </w:rPr>
        <w:t>.</w:t>
      </w:r>
    </w:p>
    <w:p w14:paraId="537A1616" w14:textId="77777777" w:rsidR="00397A3C" w:rsidRPr="00B74863" w:rsidRDefault="00397A3C" w:rsidP="00B74863">
      <w:pPr>
        <w:pStyle w:val="MDPI31text"/>
        <w:spacing w:line="360" w:lineRule="auto"/>
        <w:ind w:left="0" w:firstLine="567"/>
        <w:rPr>
          <w:rFonts w:ascii="Times New Roman" w:hAnsi="Times New Roman"/>
          <w:color w:val="FF0000"/>
          <w:sz w:val="24"/>
          <w:szCs w:val="24"/>
        </w:rPr>
      </w:pPr>
    </w:p>
    <w:p w14:paraId="0DAE1C0B" w14:textId="52D61458" w:rsidR="00397A3C" w:rsidRPr="00B74863" w:rsidRDefault="00B74863" w:rsidP="00AE5B70">
      <w:pPr>
        <w:pStyle w:val="MDPI31text"/>
        <w:numPr>
          <w:ilvl w:val="0"/>
          <w:numId w:val="30"/>
        </w:numPr>
        <w:tabs>
          <w:tab w:val="left" w:pos="567"/>
        </w:tabs>
        <w:spacing w:line="360" w:lineRule="auto"/>
        <w:ind w:left="0" w:firstLine="0"/>
        <w:rPr>
          <w:rFonts w:ascii="Times New Roman" w:hAnsi="Times New Roman"/>
          <w:b/>
          <w:color w:val="auto"/>
          <w:sz w:val="24"/>
          <w:szCs w:val="24"/>
        </w:rPr>
      </w:pPr>
      <w:r w:rsidRPr="00B74863">
        <w:rPr>
          <w:rFonts w:ascii="Times New Roman" w:hAnsi="Times New Roman"/>
          <w:b/>
          <w:color w:val="auto"/>
          <w:sz w:val="24"/>
          <w:szCs w:val="24"/>
        </w:rPr>
        <w:t>DISCUSSION</w:t>
      </w:r>
    </w:p>
    <w:p w14:paraId="75E33375" w14:textId="67397999" w:rsidR="00B74863" w:rsidRPr="008D1C74" w:rsidRDefault="00B74863" w:rsidP="008D1C74">
      <w:pPr>
        <w:pStyle w:val="afa"/>
        <w:spacing w:line="360" w:lineRule="auto"/>
        <w:ind w:firstLine="567"/>
      </w:pPr>
      <w:r w:rsidRPr="008D1C74">
        <w:t xml:space="preserve">The sustainable management of harmful non-gregarious locusts requires continuous ecological monitoring due to their chronic presence in agroecosystems and capacity for periodic density amplification </w:t>
      </w:r>
      <w:r w:rsidR="004E4034">
        <w:t>(</w:t>
      </w:r>
      <w:r w:rsidR="007932F1" w:rsidRPr="00C3527B">
        <w:rPr>
          <w:color w:val="auto"/>
        </w:rPr>
        <w:t>Azhbenov et al.</w:t>
      </w:r>
      <w:r w:rsidR="007932F1">
        <w:rPr>
          <w:color w:val="auto"/>
        </w:rPr>
        <w:t xml:space="preserve"> 2015; </w:t>
      </w:r>
      <w:r w:rsidR="004E4034" w:rsidRPr="004E4034">
        <w:rPr>
          <w:color w:val="auto"/>
        </w:rPr>
        <w:t>Baibussenov</w:t>
      </w:r>
      <w:r w:rsidR="004E4034">
        <w:rPr>
          <w:color w:val="auto"/>
        </w:rPr>
        <w:t xml:space="preserve"> et al. 2022</w:t>
      </w:r>
      <w:r w:rsidR="00FC73F3">
        <w:rPr>
          <w:color w:val="auto"/>
        </w:rPr>
        <w:t xml:space="preserve">; </w:t>
      </w:r>
      <w:r w:rsidR="00FC73F3" w:rsidRPr="00FC73F3">
        <w:rPr>
          <w:color w:val="auto"/>
        </w:rPr>
        <w:t>Branson et</w:t>
      </w:r>
      <w:r w:rsidR="00FC73F3">
        <w:rPr>
          <w:color w:val="auto"/>
        </w:rPr>
        <w:t xml:space="preserve"> al. 2006</w:t>
      </w:r>
      <w:r w:rsidR="00825B71">
        <w:rPr>
          <w:color w:val="auto"/>
        </w:rPr>
        <w:t xml:space="preserve">; </w:t>
      </w:r>
      <w:r w:rsidR="00825B71" w:rsidRPr="00825B71">
        <w:rPr>
          <w:color w:val="auto"/>
        </w:rPr>
        <w:t>Uvarov, 1977</w:t>
      </w:r>
      <w:r w:rsidR="004E4034">
        <w:t>)</w:t>
      </w:r>
      <w:r w:rsidRPr="008D1C74">
        <w:t xml:space="preserve">. Unlike gregarious migratory locusts addressed within continental early warning frameworks </w:t>
      </w:r>
      <w:r w:rsidR="00D21453">
        <w:t>(</w:t>
      </w:r>
      <w:r w:rsidR="008F228C" w:rsidRPr="008F228C">
        <w:rPr>
          <w:rStyle w:val="aff"/>
          <w:rFonts w:eastAsiaTheme="majorEastAsia"/>
          <w:b w:val="0"/>
          <w:bCs w:val="0"/>
          <w:color w:val="auto"/>
        </w:rPr>
        <w:t>Childebaev 2017</w:t>
      </w:r>
      <w:r w:rsidR="008F228C">
        <w:rPr>
          <w:rStyle w:val="aff"/>
          <w:rFonts w:eastAsiaTheme="majorEastAsia"/>
          <w:b w:val="0"/>
          <w:bCs w:val="0"/>
          <w:color w:val="auto"/>
        </w:rPr>
        <w:t xml:space="preserve">; </w:t>
      </w:r>
      <w:r w:rsidR="00D21453" w:rsidRPr="00D21453">
        <w:rPr>
          <w:color w:val="auto"/>
        </w:rPr>
        <w:t>Jonas</w:t>
      </w:r>
      <w:r w:rsidR="00D21453" w:rsidRPr="00B63F4D">
        <w:rPr>
          <w:color w:val="auto"/>
        </w:rPr>
        <w:t xml:space="preserve"> </w:t>
      </w:r>
      <w:r w:rsidR="00D21453">
        <w:rPr>
          <w:color w:val="auto"/>
        </w:rPr>
        <w:t>et al. 2015</w:t>
      </w:r>
      <w:r w:rsidR="00D54353">
        <w:rPr>
          <w:color w:val="auto"/>
        </w:rPr>
        <w:t xml:space="preserve">; </w:t>
      </w:r>
      <w:r w:rsidR="00D54353" w:rsidRPr="00D54353">
        <w:rPr>
          <w:rStyle w:val="aff"/>
          <w:rFonts w:eastAsiaTheme="majorEastAsia"/>
          <w:b w:val="0"/>
          <w:bCs w:val="0"/>
          <w:color w:val="auto"/>
        </w:rPr>
        <w:t>Uspanov</w:t>
      </w:r>
      <w:r w:rsidR="00D54353">
        <w:rPr>
          <w:rStyle w:val="aff"/>
          <w:rFonts w:eastAsiaTheme="majorEastAsia"/>
          <w:b w:val="0"/>
          <w:bCs w:val="0"/>
          <w:color w:val="auto"/>
        </w:rPr>
        <w:t xml:space="preserve"> et al. 2012</w:t>
      </w:r>
      <w:r w:rsidR="00D21453">
        <w:t>)</w:t>
      </w:r>
      <w:r w:rsidRPr="008D1C74">
        <w:t xml:space="preserve">, non-gregarious species form spatially persistent populations whose dynamics are closely linked to local hydrothermal conditions </w:t>
      </w:r>
      <w:r w:rsidR="007122A7">
        <w:t>(</w:t>
      </w:r>
      <w:r w:rsidR="00B63F4D" w:rsidRPr="00B63F4D">
        <w:rPr>
          <w:color w:val="auto"/>
        </w:rPr>
        <w:t>Lockwood</w:t>
      </w:r>
      <w:r w:rsidR="00B63F4D">
        <w:rPr>
          <w:color w:val="auto"/>
        </w:rPr>
        <w:t xml:space="preserve"> and</w:t>
      </w:r>
      <w:r w:rsidR="00B63F4D" w:rsidRPr="00B63F4D">
        <w:rPr>
          <w:color w:val="auto"/>
        </w:rPr>
        <w:t xml:space="preserve"> Lockwood 2008</w:t>
      </w:r>
      <w:r w:rsidR="00B63F4D">
        <w:rPr>
          <w:color w:val="auto"/>
        </w:rPr>
        <w:t xml:space="preserve">; </w:t>
      </w:r>
      <w:r w:rsidR="007122A7" w:rsidRPr="007122A7">
        <w:rPr>
          <w:color w:val="auto"/>
        </w:rPr>
        <w:t>Retkute</w:t>
      </w:r>
      <w:r w:rsidR="007122A7">
        <w:rPr>
          <w:color w:val="auto"/>
        </w:rPr>
        <w:t xml:space="preserve"> et al. 2024</w:t>
      </w:r>
      <w:r w:rsidR="006C70D3">
        <w:rPr>
          <w:color w:val="auto"/>
        </w:rPr>
        <w:t xml:space="preserve">; </w:t>
      </w:r>
      <w:r w:rsidR="006C70D3" w:rsidRPr="006C70D3">
        <w:rPr>
          <w:color w:val="auto"/>
        </w:rPr>
        <w:t>Sword</w:t>
      </w:r>
      <w:r w:rsidR="006C70D3">
        <w:rPr>
          <w:color w:val="auto"/>
        </w:rPr>
        <w:t xml:space="preserve"> et al. 2010</w:t>
      </w:r>
      <w:r w:rsidR="007122A7">
        <w:t>)</w:t>
      </w:r>
      <w:r w:rsidRPr="008D1C74">
        <w:t xml:space="preserve">. Previous regional studies in Kazakhstan and adjacent steppe systems have demonstrated that temperature accumulation, precipitation variability, and vegetation productivity jointly determine reproductive success and larval survival </w:t>
      </w:r>
      <w:r w:rsidR="00A84ABE" w:rsidRPr="00A84ABE">
        <w:t>(</w:t>
      </w:r>
      <w:r w:rsidR="00016599" w:rsidRPr="00016599">
        <w:rPr>
          <w:color w:val="auto"/>
        </w:rPr>
        <w:t>Bale</w:t>
      </w:r>
      <w:r w:rsidR="00016599" w:rsidRPr="00A84ABE">
        <w:rPr>
          <w:color w:val="auto"/>
        </w:rPr>
        <w:t xml:space="preserve"> </w:t>
      </w:r>
      <w:r w:rsidR="00016599">
        <w:rPr>
          <w:color w:val="auto"/>
        </w:rPr>
        <w:t xml:space="preserve">et al. 2002; </w:t>
      </w:r>
      <w:r w:rsidR="00A84ABE" w:rsidRPr="00A84ABE">
        <w:rPr>
          <w:color w:val="auto"/>
        </w:rPr>
        <w:t>Deutsch</w:t>
      </w:r>
      <w:r w:rsidR="00A84ABE">
        <w:rPr>
          <w:color w:val="auto"/>
        </w:rPr>
        <w:t xml:space="preserve"> et al. 2008; </w:t>
      </w:r>
      <w:r w:rsidR="008619DB" w:rsidRPr="008619DB">
        <w:rPr>
          <w:color w:val="auto"/>
        </w:rPr>
        <w:t>Humphreys</w:t>
      </w:r>
      <w:r w:rsidR="008619DB">
        <w:rPr>
          <w:color w:val="auto"/>
        </w:rPr>
        <w:t xml:space="preserve"> et al. 2022; </w:t>
      </w:r>
      <w:r w:rsidR="00D40CBE">
        <w:rPr>
          <w:color w:val="auto"/>
        </w:rPr>
        <w:t>Ladányi</w:t>
      </w:r>
      <w:r w:rsidR="00D40CBE" w:rsidRPr="007122A7">
        <w:rPr>
          <w:color w:val="auto"/>
        </w:rPr>
        <w:t xml:space="preserve"> </w:t>
      </w:r>
      <w:r w:rsidR="00D40CBE">
        <w:rPr>
          <w:color w:val="auto"/>
        </w:rPr>
        <w:t>and</w:t>
      </w:r>
      <w:r w:rsidR="00D40CBE" w:rsidRPr="007122A7">
        <w:rPr>
          <w:color w:val="auto"/>
        </w:rPr>
        <w:t xml:space="preserve"> Horváth 2010</w:t>
      </w:r>
      <w:r w:rsidR="00D40CBE">
        <w:rPr>
          <w:color w:val="auto"/>
        </w:rPr>
        <w:t xml:space="preserve">; </w:t>
      </w:r>
      <w:r w:rsidR="00A84ABE" w:rsidRPr="00A84ABE">
        <w:rPr>
          <w:color w:val="auto"/>
        </w:rPr>
        <w:t>Mingalev</w:t>
      </w:r>
      <w:r w:rsidR="00A84ABE" w:rsidRPr="00ED5168">
        <w:rPr>
          <w:color w:val="auto"/>
        </w:rPr>
        <w:t xml:space="preserve"> 2021</w:t>
      </w:r>
      <w:r w:rsidR="00164AFA">
        <w:rPr>
          <w:color w:val="auto"/>
        </w:rPr>
        <w:t xml:space="preserve">; </w:t>
      </w:r>
      <w:r w:rsidR="00164AFA" w:rsidRPr="00164AFA">
        <w:rPr>
          <w:color w:val="auto"/>
        </w:rPr>
        <w:t>Parmesan 2006</w:t>
      </w:r>
      <w:r w:rsidR="00A84ABE">
        <w:t>)</w:t>
      </w:r>
      <w:r w:rsidRPr="008D1C74">
        <w:t xml:space="preserve">. Agroclimatic zonation analyses further emphasized that spatial heterogeneity in aridity and thermal regimes leads to differentiated outbreak potential across territories </w:t>
      </w:r>
      <w:r w:rsidR="00F00CA5">
        <w:t>(</w:t>
      </w:r>
      <w:r w:rsidR="00517D46" w:rsidRPr="00F00CA5">
        <w:rPr>
          <w:color w:val="auto"/>
        </w:rPr>
        <w:t>Dubrovin</w:t>
      </w:r>
      <w:r w:rsidR="00517D46">
        <w:rPr>
          <w:color w:val="auto"/>
        </w:rPr>
        <w:t xml:space="preserve"> et al. 2011; </w:t>
      </w:r>
      <w:r w:rsidR="00425FA4" w:rsidRPr="00B705C2">
        <w:rPr>
          <w:color w:val="auto"/>
        </w:rPr>
        <w:t>Gahramanov</w:t>
      </w:r>
      <w:r w:rsidR="00425FA4" w:rsidRPr="00F00CA5">
        <w:rPr>
          <w:color w:val="auto"/>
        </w:rPr>
        <w:t xml:space="preserve"> </w:t>
      </w:r>
      <w:r w:rsidR="00425FA4">
        <w:rPr>
          <w:color w:val="auto"/>
        </w:rPr>
        <w:t xml:space="preserve">et al., 2024; </w:t>
      </w:r>
      <w:r w:rsidR="00F00CA5" w:rsidRPr="00562BC7">
        <w:rPr>
          <w:color w:val="auto"/>
        </w:rPr>
        <w:t>Lobell et al. 2011</w:t>
      </w:r>
      <w:r w:rsidR="00425FA4" w:rsidRPr="00562BC7">
        <w:rPr>
          <w:color w:val="auto"/>
        </w:rPr>
        <w:t xml:space="preserve">; </w:t>
      </w:r>
      <w:r w:rsidR="00562BC7" w:rsidRPr="00562BC7">
        <w:rPr>
          <w:color w:val="auto"/>
        </w:rPr>
        <w:t>Sagitov et</w:t>
      </w:r>
      <w:r w:rsidR="00562BC7">
        <w:rPr>
          <w:color w:val="auto"/>
        </w:rPr>
        <w:t xml:space="preserve"> al. 2016; </w:t>
      </w:r>
      <w:r w:rsidR="00425FA4">
        <w:rPr>
          <w:color w:val="auto"/>
        </w:rPr>
        <w:t>Wheeler</w:t>
      </w:r>
      <w:r w:rsidR="00425FA4" w:rsidRPr="00425FA4">
        <w:rPr>
          <w:color w:val="auto"/>
        </w:rPr>
        <w:t xml:space="preserve"> </w:t>
      </w:r>
      <w:r w:rsidR="00425FA4">
        <w:rPr>
          <w:color w:val="auto"/>
        </w:rPr>
        <w:t>and</w:t>
      </w:r>
      <w:r w:rsidR="00425FA4" w:rsidRPr="00425FA4">
        <w:rPr>
          <w:color w:val="auto"/>
        </w:rPr>
        <w:t xml:space="preserve"> Von Braun 2013</w:t>
      </w:r>
      <w:r w:rsidR="00F00CA5">
        <w:t>)</w:t>
      </w:r>
      <w:r w:rsidRPr="008D1C74">
        <w:t>.</w:t>
      </w:r>
    </w:p>
    <w:p w14:paraId="6F34F90D" w14:textId="5CF21C39" w:rsidR="00B74863" w:rsidRPr="008D1C74" w:rsidRDefault="00B74863" w:rsidP="008D1C74">
      <w:pPr>
        <w:pStyle w:val="MDPI31text"/>
        <w:spacing w:line="360" w:lineRule="auto"/>
        <w:ind w:left="0" w:firstLine="567"/>
        <w:rPr>
          <w:rFonts w:ascii="Times New Roman" w:hAnsi="Times New Roman"/>
          <w:color w:val="FF0000"/>
          <w:sz w:val="24"/>
          <w:szCs w:val="24"/>
          <w:lang w:val="en"/>
        </w:rPr>
      </w:pPr>
      <w:r w:rsidRPr="008D1C74">
        <w:rPr>
          <w:rFonts w:ascii="Times New Roman" w:hAnsi="Times New Roman"/>
          <w:sz w:val="24"/>
          <w:szCs w:val="24"/>
        </w:rPr>
        <w:t xml:space="preserve">The integrated structure of the forecasting framework is conceptually summarized in Fig. 8. The Results of the present study confirm and extend these findings by demonstrating that predictor dominance varies systematically across high-, moderate-, and low-risk zones. In the high-risk zone, temperature-related variables (LST, </w:t>
      </w:r>
      <w:proofErr w:type="spellStart"/>
      <w:r w:rsidRPr="008D1C74">
        <w:rPr>
          <w:rFonts w:ascii="Times New Roman" w:hAnsi="Times New Roman"/>
          <w:sz w:val="24"/>
          <w:szCs w:val="24"/>
        </w:rPr>
        <w:t>AirTemp</w:t>
      </w:r>
      <w:proofErr w:type="spellEnd"/>
      <w:r w:rsidRPr="008D1C74">
        <w:rPr>
          <w:rFonts w:ascii="Times New Roman" w:hAnsi="Times New Roman"/>
          <w:sz w:val="24"/>
          <w:szCs w:val="24"/>
        </w:rPr>
        <w:t xml:space="preserve">, quadratic temperature terms, </w:t>
      </w:r>
      <w:proofErr w:type="spellStart"/>
      <w:r w:rsidRPr="008D1C74">
        <w:rPr>
          <w:rFonts w:ascii="Times New Roman" w:hAnsi="Times New Roman"/>
          <w:sz w:val="24"/>
          <w:szCs w:val="24"/>
        </w:rPr>
        <w:t>Heat_Stress_Index</w:t>
      </w:r>
      <w:proofErr w:type="spellEnd"/>
      <w:r w:rsidRPr="008D1C74">
        <w:rPr>
          <w:rFonts w:ascii="Times New Roman" w:hAnsi="Times New Roman"/>
          <w:sz w:val="24"/>
          <w:szCs w:val="24"/>
        </w:rPr>
        <w:t xml:space="preserve">) exhibited the highest importance scores. Such nonlinear temperature effects correspond to established insect physiological response curves and biometeorological principles described in earlier modeling research </w:t>
      </w:r>
      <w:r w:rsidR="00046977">
        <w:rPr>
          <w:rFonts w:ascii="Times New Roman" w:hAnsi="Times New Roman"/>
          <w:sz w:val="24"/>
          <w:szCs w:val="24"/>
        </w:rPr>
        <w:t>(</w:t>
      </w:r>
      <w:proofErr w:type="spellStart"/>
      <w:r w:rsidR="000B6631" w:rsidRPr="000B6631">
        <w:rPr>
          <w:rFonts w:ascii="Times New Roman" w:hAnsi="Times New Roman"/>
          <w:color w:val="auto"/>
          <w:sz w:val="24"/>
          <w:szCs w:val="24"/>
        </w:rPr>
        <w:t>Breiman</w:t>
      </w:r>
      <w:proofErr w:type="spellEnd"/>
      <w:r w:rsidR="000B6631" w:rsidRPr="000B6631">
        <w:rPr>
          <w:rFonts w:ascii="Times New Roman" w:hAnsi="Times New Roman"/>
          <w:color w:val="auto"/>
          <w:sz w:val="24"/>
          <w:szCs w:val="24"/>
        </w:rPr>
        <w:t xml:space="preserve"> 2001</w:t>
      </w:r>
      <w:r w:rsidR="000B6631">
        <w:rPr>
          <w:rFonts w:ascii="Times New Roman" w:hAnsi="Times New Roman"/>
          <w:color w:val="auto"/>
          <w:sz w:val="24"/>
          <w:szCs w:val="24"/>
        </w:rPr>
        <w:t xml:space="preserve">; </w:t>
      </w:r>
      <w:proofErr w:type="spellStart"/>
      <w:r w:rsidR="00046977" w:rsidRPr="00046977">
        <w:rPr>
          <w:rFonts w:ascii="Times New Roman" w:hAnsi="Times New Roman"/>
          <w:color w:val="auto"/>
          <w:sz w:val="24"/>
          <w:szCs w:val="24"/>
        </w:rPr>
        <w:t>Dormann</w:t>
      </w:r>
      <w:proofErr w:type="spellEnd"/>
      <w:r w:rsidR="00046977" w:rsidRPr="00046977">
        <w:rPr>
          <w:rFonts w:ascii="Times New Roman" w:hAnsi="Times New Roman"/>
          <w:color w:val="auto"/>
          <w:sz w:val="24"/>
          <w:szCs w:val="24"/>
        </w:rPr>
        <w:t xml:space="preserve"> et al. 2013</w:t>
      </w:r>
      <w:r w:rsidR="001B4D79">
        <w:rPr>
          <w:rFonts w:ascii="Times New Roman" w:hAnsi="Times New Roman"/>
          <w:color w:val="auto"/>
          <w:sz w:val="24"/>
          <w:szCs w:val="24"/>
        </w:rPr>
        <w:t xml:space="preserve">; </w:t>
      </w:r>
      <w:proofErr w:type="spellStart"/>
      <w:r w:rsidR="001B4D79" w:rsidRPr="001B4D79">
        <w:rPr>
          <w:rFonts w:ascii="Times New Roman" w:hAnsi="Times New Roman"/>
          <w:color w:val="auto"/>
          <w:sz w:val="24"/>
          <w:szCs w:val="24"/>
        </w:rPr>
        <w:t>Elith</w:t>
      </w:r>
      <w:proofErr w:type="spellEnd"/>
      <w:r w:rsidR="001B4D79" w:rsidRPr="001B4D79">
        <w:rPr>
          <w:rFonts w:ascii="Times New Roman" w:hAnsi="Times New Roman"/>
          <w:color w:val="auto"/>
          <w:sz w:val="24"/>
          <w:szCs w:val="24"/>
        </w:rPr>
        <w:t xml:space="preserve"> and </w:t>
      </w:r>
      <w:proofErr w:type="spellStart"/>
      <w:r w:rsidR="001B4D79" w:rsidRPr="001B4D79">
        <w:rPr>
          <w:rFonts w:ascii="Times New Roman" w:hAnsi="Times New Roman"/>
          <w:color w:val="auto"/>
          <w:sz w:val="24"/>
          <w:szCs w:val="24"/>
        </w:rPr>
        <w:t>Leathwick</w:t>
      </w:r>
      <w:proofErr w:type="spellEnd"/>
      <w:r w:rsidR="001B4D79" w:rsidRPr="001B4D79">
        <w:rPr>
          <w:rFonts w:ascii="Times New Roman" w:hAnsi="Times New Roman"/>
          <w:color w:val="auto"/>
          <w:sz w:val="24"/>
          <w:szCs w:val="24"/>
        </w:rPr>
        <w:t xml:space="preserve"> 2009</w:t>
      </w:r>
      <w:r w:rsidR="00CB6038">
        <w:rPr>
          <w:rFonts w:ascii="Times New Roman" w:hAnsi="Times New Roman"/>
          <w:color w:val="auto"/>
          <w:sz w:val="24"/>
          <w:szCs w:val="24"/>
        </w:rPr>
        <w:t xml:space="preserve">; </w:t>
      </w:r>
      <w:r w:rsidR="00E46630" w:rsidRPr="00E46630">
        <w:rPr>
          <w:rFonts w:ascii="Times New Roman" w:hAnsi="Times New Roman"/>
          <w:color w:val="auto"/>
          <w:sz w:val="24"/>
          <w:szCs w:val="24"/>
        </w:rPr>
        <w:t>Olden et al. 2008;</w:t>
      </w:r>
      <w:r w:rsidR="00E46630" w:rsidRPr="00E46630">
        <w:rPr>
          <w:color w:val="auto"/>
          <w:sz w:val="24"/>
          <w:szCs w:val="24"/>
        </w:rPr>
        <w:t xml:space="preserve"> </w:t>
      </w:r>
      <w:r w:rsidR="00CB6038" w:rsidRPr="00CB6038">
        <w:rPr>
          <w:rFonts w:ascii="Times New Roman" w:hAnsi="Times New Roman"/>
          <w:color w:val="auto"/>
          <w:sz w:val="24"/>
          <w:szCs w:val="24"/>
        </w:rPr>
        <w:t>Xie et al. 2008</w:t>
      </w:r>
      <w:r w:rsidR="00046977" w:rsidRPr="001B4D79">
        <w:rPr>
          <w:rFonts w:ascii="Times New Roman" w:hAnsi="Times New Roman"/>
          <w:sz w:val="24"/>
          <w:szCs w:val="24"/>
        </w:rPr>
        <w:t>)</w:t>
      </w:r>
      <w:r w:rsidRPr="008D1C74">
        <w:rPr>
          <w:rFonts w:ascii="Times New Roman" w:hAnsi="Times New Roman"/>
          <w:sz w:val="24"/>
          <w:szCs w:val="24"/>
        </w:rPr>
        <w:t xml:space="preserve">. The observed 5–7-year periodicity in </w:t>
      </w:r>
      <w:r w:rsidRPr="008D1C74">
        <w:rPr>
          <w:rFonts w:ascii="Times New Roman" w:hAnsi="Times New Roman"/>
          <w:sz w:val="24"/>
          <w:szCs w:val="24"/>
        </w:rPr>
        <w:lastRenderedPageBreak/>
        <w:t xml:space="preserve">this zone aligns with quasi-cyclic density fluctuations reported for grasshopper and locust systems under strong climatic forcing </w:t>
      </w:r>
      <w:r w:rsidR="00BC3539" w:rsidRPr="00D21453">
        <w:rPr>
          <w:rFonts w:ascii="Times New Roman" w:hAnsi="Times New Roman"/>
          <w:sz w:val="24"/>
          <w:szCs w:val="24"/>
        </w:rPr>
        <w:t>(</w:t>
      </w:r>
      <w:r w:rsidR="00D21453" w:rsidRPr="00D21453">
        <w:rPr>
          <w:rFonts w:ascii="Times New Roman" w:hAnsi="Times New Roman"/>
          <w:color w:val="auto"/>
          <w:sz w:val="24"/>
          <w:szCs w:val="24"/>
        </w:rPr>
        <w:t xml:space="preserve">Jonas et al. 2015; </w:t>
      </w:r>
      <w:r w:rsidR="00BC3539" w:rsidRPr="00D21453">
        <w:rPr>
          <w:rFonts w:ascii="Times New Roman" w:hAnsi="Times New Roman"/>
          <w:color w:val="auto"/>
          <w:sz w:val="24"/>
          <w:szCs w:val="24"/>
        </w:rPr>
        <w:t>Sun</w:t>
      </w:r>
      <w:r w:rsidR="00BC3539" w:rsidRPr="00BC3539">
        <w:rPr>
          <w:rFonts w:ascii="Times New Roman" w:hAnsi="Times New Roman"/>
          <w:color w:val="auto"/>
          <w:sz w:val="24"/>
          <w:szCs w:val="24"/>
        </w:rPr>
        <w:t xml:space="preserve"> et al. 2022</w:t>
      </w:r>
      <w:r w:rsidR="002A504E">
        <w:rPr>
          <w:rFonts w:ascii="Times New Roman" w:hAnsi="Times New Roman"/>
          <w:color w:val="auto"/>
          <w:sz w:val="24"/>
          <w:szCs w:val="24"/>
        </w:rPr>
        <w:t>).</w:t>
      </w:r>
      <w:r w:rsidRPr="008D1C74">
        <w:rPr>
          <w:rFonts w:ascii="Times New Roman" w:hAnsi="Times New Roman"/>
          <w:sz w:val="24"/>
          <w:szCs w:val="24"/>
        </w:rPr>
        <w:t xml:space="preserve"> Under arid conditions, episodic precipitation pulses following drought periods may trigger vegetation surges, enabling rapid demographic release when thermal accumulation is sufficient.</w:t>
      </w:r>
    </w:p>
    <w:p w14:paraId="7DCDAB6F" w14:textId="0EB52D05" w:rsidR="008D1C74" w:rsidRPr="008D1C74" w:rsidRDefault="008D1C74" w:rsidP="008D1C74">
      <w:pPr>
        <w:pStyle w:val="afa"/>
        <w:spacing w:line="360" w:lineRule="auto"/>
        <w:ind w:firstLine="567"/>
      </w:pPr>
      <w:r w:rsidRPr="008D1C74">
        <w:t xml:space="preserve">In contrast, the moderate-risk zone displayed increased importance of precipitation indices and interaction terms (e.g., SPI–temperature coupling). Previous agroecological analyses have emphasized the combined role of soil moisture and accumulated heat in determining locust reproductive output </w:t>
      </w:r>
      <w:r w:rsidR="00046977">
        <w:t>(</w:t>
      </w:r>
      <w:r w:rsidR="00543FBB" w:rsidRPr="00543FBB">
        <w:rPr>
          <w:color w:val="auto"/>
        </w:rPr>
        <w:t>Klein</w:t>
      </w:r>
      <w:r w:rsidR="00543FBB" w:rsidRPr="00046977">
        <w:rPr>
          <w:color w:val="auto"/>
        </w:rPr>
        <w:t xml:space="preserve"> </w:t>
      </w:r>
      <w:r w:rsidR="00543FBB">
        <w:rPr>
          <w:color w:val="auto"/>
        </w:rPr>
        <w:t xml:space="preserve">et al. 2021; </w:t>
      </w:r>
      <w:r w:rsidR="00046977" w:rsidRPr="00046977">
        <w:rPr>
          <w:color w:val="auto"/>
        </w:rPr>
        <w:t>Lawton</w:t>
      </w:r>
      <w:r w:rsidR="00046977">
        <w:rPr>
          <w:color w:val="auto"/>
        </w:rPr>
        <w:t xml:space="preserve"> et al. 2022</w:t>
      </w:r>
      <w:r w:rsidR="00A84ABE">
        <w:rPr>
          <w:color w:val="auto"/>
        </w:rPr>
        <w:t xml:space="preserve">; </w:t>
      </w:r>
      <w:r w:rsidR="00A84ABE" w:rsidRPr="00A84ABE">
        <w:rPr>
          <w:color w:val="auto"/>
        </w:rPr>
        <w:t>Mingalev</w:t>
      </w:r>
      <w:r w:rsidR="00A84ABE" w:rsidRPr="00ED5168">
        <w:rPr>
          <w:color w:val="auto"/>
        </w:rPr>
        <w:t xml:space="preserve"> 2021</w:t>
      </w:r>
      <w:r w:rsidR="00046977">
        <w:t>)</w:t>
      </w:r>
      <w:r w:rsidRPr="008D1C74">
        <w:t>. The 7–10-year periodicity observed in the Results suggests a transitional regulatory regime in which outbreaks require simultaneous alignment of thermal and hydrological drivers. This dual control mechanism reduces outbreak amplitude relative to high-risk territories and reflects stronger background environmental buffering.</w:t>
      </w:r>
    </w:p>
    <w:p w14:paraId="68AC3647" w14:textId="607AFF32" w:rsidR="008D1C74" w:rsidRDefault="008D1C74" w:rsidP="008D1C74">
      <w:pPr>
        <w:pStyle w:val="afa"/>
        <w:spacing w:line="360" w:lineRule="auto"/>
        <w:ind w:firstLine="567"/>
      </w:pPr>
      <w:r w:rsidRPr="008D1C74">
        <w:t>Low-risk zones were characterized by dominance of moisture-related predictors and reduced thermal signal. Excessive soil moisture, relatively cooler conditions, and shorter vegetation periods constrain oviposition success and larval development</w:t>
      </w:r>
      <w:r w:rsidR="00B63F4D">
        <w:t xml:space="preserve"> (</w:t>
      </w:r>
      <w:r w:rsidR="007932F1" w:rsidRPr="00C3527B">
        <w:rPr>
          <w:color w:val="auto"/>
        </w:rPr>
        <w:t>Azhbenov et al.</w:t>
      </w:r>
      <w:r w:rsidR="007932F1">
        <w:rPr>
          <w:color w:val="auto"/>
        </w:rPr>
        <w:t xml:space="preserve"> 2015; </w:t>
      </w:r>
      <w:r w:rsidR="00B63F4D" w:rsidRPr="00B63F4D">
        <w:rPr>
          <w:color w:val="auto"/>
        </w:rPr>
        <w:t>Lockwood</w:t>
      </w:r>
      <w:r w:rsidR="00B63F4D">
        <w:rPr>
          <w:color w:val="auto"/>
        </w:rPr>
        <w:t xml:space="preserve"> and</w:t>
      </w:r>
      <w:r w:rsidR="00B63F4D" w:rsidRPr="00B63F4D">
        <w:rPr>
          <w:color w:val="auto"/>
        </w:rPr>
        <w:t xml:space="preserve"> Lockwood 2008</w:t>
      </w:r>
      <w:r w:rsidR="00B63F4D">
        <w:t>)</w:t>
      </w:r>
      <w:r w:rsidRPr="008D1C74">
        <w:t xml:space="preserve">. Earlier studies in humid and forest-steppe environments demonstrated that increased vegetation stability enhances biotic regulation and suppresses large-scale amplification </w:t>
      </w:r>
      <w:r w:rsidR="00517D46">
        <w:t>(</w:t>
      </w:r>
      <w:r w:rsidR="00517D46" w:rsidRPr="00F00CA5">
        <w:rPr>
          <w:color w:val="auto"/>
        </w:rPr>
        <w:t>Dubrovin</w:t>
      </w:r>
      <w:r w:rsidR="00517D46">
        <w:rPr>
          <w:color w:val="auto"/>
        </w:rPr>
        <w:t xml:space="preserve"> et al. 2011</w:t>
      </w:r>
      <w:r w:rsidR="00425FA4">
        <w:rPr>
          <w:color w:val="auto"/>
        </w:rPr>
        <w:t>; Wheeler</w:t>
      </w:r>
      <w:r w:rsidR="00425FA4" w:rsidRPr="00425FA4">
        <w:rPr>
          <w:color w:val="auto"/>
        </w:rPr>
        <w:t xml:space="preserve"> </w:t>
      </w:r>
      <w:r w:rsidR="00425FA4">
        <w:rPr>
          <w:color w:val="auto"/>
        </w:rPr>
        <w:t>and</w:t>
      </w:r>
      <w:r w:rsidR="00425FA4" w:rsidRPr="00425FA4">
        <w:rPr>
          <w:color w:val="auto"/>
        </w:rPr>
        <w:t xml:space="preserve"> Von Braun 2013</w:t>
      </w:r>
      <w:r w:rsidR="00517D46">
        <w:t>)</w:t>
      </w:r>
      <w:r w:rsidRPr="008D1C74">
        <w:t>. The extended 10–12-year periodicity identified in the Results indicates rare coincidence of favorable hydrothermal conditions and confirms the presence of stronger ecological constraints.</w:t>
      </w:r>
    </w:p>
    <w:p w14:paraId="44B288F3" w14:textId="77777777" w:rsidR="008D1C74" w:rsidRPr="008D1C74" w:rsidRDefault="008D1C74" w:rsidP="008D1C74">
      <w:pPr>
        <w:pStyle w:val="afa"/>
        <w:spacing w:line="360" w:lineRule="auto"/>
        <w:ind w:firstLine="567"/>
      </w:pPr>
    </w:p>
    <w:p w14:paraId="0AE249DE" w14:textId="1B01373D" w:rsidR="008D1C74" w:rsidRPr="008D1C74" w:rsidRDefault="008D1C74" w:rsidP="008D1C74">
      <w:pPr>
        <w:pStyle w:val="afa"/>
        <w:numPr>
          <w:ilvl w:val="1"/>
          <w:numId w:val="30"/>
        </w:numPr>
        <w:tabs>
          <w:tab w:val="left" w:pos="567"/>
        </w:tabs>
        <w:spacing w:line="360" w:lineRule="auto"/>
        <w:ind w:left="0" w:firstLine="0"/>
        <w:rPr>
          <w:b/>
        </w:rPr>
      </w:pPr>
      <w:r w:rsidRPr="008D1C74">
        <w:rPr>
          <w:b/>
        </w:rPr>
        <w:t>Interzonal Comparative Interpretation</w:t>
      </w:r>
    </w:p>
    <w:p w14:paraId="263875DC" w14:textId="77777777" w:rsidR="008D1C74" w:rsidRPr="008D1C74" w:rsidRDefault="008D1C74" w:rsidP="008D1C74">
      <w:pPr>
        <w:pStyle w:val="afa"/>
        <w:spacing w:line="360" w:lineRule="auto"/>
        <w:ind w:firstLine="567"/>
      </w:pPr>
      <w:r w:rsidRPr="008D1C74">
        <w:t>A direct comparison across zones reveals structured ecological differentiation. First, outbreak amplitude decreased progressively from high- to low-risk territories. Second, dominant predictors shifted from thermally driven nonlinear responses in arid systems toward moisture-dominated regulation in humid zones. Third, cyclicity extended from 5–7 years (high-risk) to 10–12 years (low-risk), reflecting increasing environmental constraint. Finally, algorithmic suitability varied with ecological regime: Gradient Boosting performed optimally under strong nonlinear thermal forcing, whereas Support Vector Regression (SVR) provided superior stability under moderate and moisture-regulated conditions.</w:t>
      </w:r>
    </w:p>
    <w:p w14:paraId="7DCAAA98" w14:textId="77777777" w:rsidR="008D1C74" w:rsidRDefault="008D1C74" w:rsidP="008D1C74">
      <w:pPr>
        <w:pStyle w:val="afa"/>
        <w:spacing w:line="360" w:lineRule="auto"/>
        <w:ind w:firstLine="567"/>
      </w:pPr>
      <w:r w:rsidRPr="008D1C74">
        <w:t>These patterns confirm that model selection is ecologically contingent rather than universally transferable. The Results therefore demonstrate both zonal differentiation in population dynamics and zonal dependence of o</w:t>
      </w:r>
      <w:r>
        <w:t>ptimal predictive architecture.</w:t>
      </w:r>
    </w:p>
    <w:p w14:paraId="74A73FBE" w14:textId="77777777" w:rsidR="008D1C74" w:rsidRPr="008D1C74" w:rsidRDefault="008D1C74" w:rsidP="008D1C74">
      <w:pPr>
        <w:pStyle w:val="afa"/>
        <w:spacing w:line="360" w:lineRule="auto"/>
        <w:ind w:firstLine="567"/>
      </w:pPr>
    </w:p>
    <w:p w14:paraId="3EC14B9B" w14:textId="4EFDCFB9" w:rsidR="008D1C74" w:rsidRPr="008D1C74" w:rsidRDefault="008D1C74" w:rsidP="008D1C74">
      <w:pPr>
        <w:pStyle w:val="afa"/>
        <w:numPr>
          <w:ilvl w:val="1"/>
          <w:numId w:val="30"/>
        </w:numPr>
        <w:tabs>
          <w:tab w:val="left" w:pos="567"/>
        </w:tabs>
        <w:spacing w:line="360" w:lineRule="auto"/>
        <w:ind w:left="0" w:firstLine="0"/>
        <w:rPr>
          <w:b/>
        </w:rPr>
      </w:pPr>
      <w:r w:rsidRPr="008D1C74">
        <w:rPr>
          <w:b/>
        </w:rPr>
        <w:t>Machine Learning Performance and Ecological Nonlinearity</w:t>
      </w:r>
    </w:p>
    <w:p w14:paraId="187E498F" w14:textId="3C2A279F" w:rsidR="008D1C74" w:rsidRPr="008D1C74" w:rsidRDefault="008D1C74" w:rsidP="008D1C74">
      <w:pPr>
        <w:pStyle w:val="afa"/>
        <w:spacing w:line="360" w:lineRule="auto"/>
        <w:ind w:firstLine="567"/>
      </w:pPr>
      <w:r w:rsidRPr="008D1C74">
        <w:t xml:space="preserve">The comparative evaluation of ML algorithms is consistent with established statistical learning principles </w:t>
      </w:r>
      <w:r w:rsidR="00FD033C">
        <w:t>(</w:t>
      </w:r>
      <w:r w:rsidR="00480B1B" w:rsidRPr="00480B1B">
        <w:rPr>
          <w:color w:val="auto"/>
        </w:rPr>
        <w:t>Cutler</w:t>
      </w:r>
      <w:r w:rsidR="00480B1B">
        <w:rPr>
          <w:color w:val="auto"/>
        </w:rPr>
        <w:t xml:space="preserve"> et al. 2007; </w:t>
      </w:r>
      <w:r w:rsidR="005A3CF0" w:rsidRPr="005A3CF0">
        <w:rPr>
          <w:color w:val="auto"/>
        </w:rPr>
        <w:t>de Oliveira Aparecido</w:t>
      </w:r>
      <w:r w:rsidR="005A3CF0" w:rsidRPr="00FD033C">
        <w:rPr>
          <w:color w:val="auto"/>
        </w:rPr>
        <w:t xml:space="preserve"> </w:t>
      </w:r>
      <w:r w:rsidR="005A3CF0">
        <w:rPr>
          <w:color w:val="auto"/>
        </w:rPr>
        <w:t xml:space="preserve">et al. 2020; </w:t>
      </w:r>
      <w:r w:rsidR="00FD033C" w:rsidRPr="00FD033C">
        <w:rPr>
          <w:color w:val="auto"/>
        </w:rPr>
        <w:t>Friedman 2001</w:t>
      </w:r>
      <w:r w:rsidR="005153D0">
        <w:rPr>
          <w:color w:val="auto"/>
        </w:rPr>
        <w:t xml:space="preserve">; </w:t>
      </w:r>
      <w:r w:rsidR="00EE44B6" w:rsidRPr="00EE44B6">
        <w:rPr>
          <w:color w:val="auto"/>
        </w:rPr>
        <w:t>Goodfellow</w:t>
      </w:r>
      <w:r w:rsidR="00EE44B6" w:rsidRPr="005153D0">
        <w:rPr>
          <w:color w:val="auto"/>
        </w:rPr>
        <w:t xml:space="preserve"> </w:t>
      </w:r>
      <w:r w:rsidR="00EE44B6">
        <w:rPr>
          <w:color w:val="auto"/>
        </w:rPr>
        <w:t xml:space="preserve">et al. 2016; </w:t>
      </w:r>
      <w:r w:rsidR="002273A1" w:rsidRPr="002273A1">
        <w:rPr>
          <w:color w:val="auto"/>
        </w:rPr>
        <w:t>Hastie</w:t>
      </w:r>
      <w:r w:rsidR="002273A1">
        <w:rPr>
          <w:color w:val="auto"/>
        </w:rPr>
        <w:t xml:space="preserve"> et al. 2009; </w:t>
      </w:r>
      <w:r w:rsidR="005153D0" w:rsidRPr="005153D0">
        <w:rPr>
          <w:color w:val="auto"/>
        </w:rPr>
        <w:t>Singh</w:t>
      </w:r>
      <w:r w:rsidR="005153D0">
        <w:rPr>
          <w:color w:val="auto"/>
        </w:rPr>
        <w:t xml:space="preserve"> et al. 2024</w:t>
      </w:r>
      <w:r w:rsidR="00FD033C">
        <w:t>)</w:t>
      </w:r>
      <w:r w:rsidRPr="008D1C74">
        <w:t xml:space="preserve">. Ensemble tree-based methods are particularly effective in capturing nonlinear interactions and threshold effects, while kernel-based regression provides smooth nonlinear approximation under moderate variance conditions. Remote sensing–derived predictors (NDVI, LST) have previously improved locust habitat modeling and early warning accuracy </w:t>
      </w:r>
      <w:r w:rsidR="004617CA">
        <w:t>(</w:t>
      </w:r>
      <w:r w:rsidR="00FC603D" w:rsidRPr="00FC603D">
        <w:rPr>
          <w:color w:val="auto"/>
        </w:rPr>
        <w:t>Gómez</w:t>
      </w:r>
      <w:r w:rsidR="00FC603D" w:rsidRPr="00BC3539">
        <w:rPr>
          <w:color w:val="auto"/>
        </w:rPr>
        <w:t xml:space="preserve"> </w:t>
      </w:r>
      <w:r w:rsidR="00FC603D">
        <w:rPr>
          <w:color w:val="auto"/>
        </w:rPr>
        <w:t xml:space="preserve">et al. 2018; </w:t>
      </w:r>
      <w:r w:rsidR="00046977" w:rsidRPr="00046977">
        <w:rPr>
          <w:color w:val="auto"/>
        </w:rPr>
        <w:t xml:space="preserve">Hochreiter </w:t>
      </w:r>
      <w:r w:rsidR="00046977">
        <w:rPr>
          <w:color w:val="auto"/>
        </w:rPr>
        <w:t>and</w:t>
      </w:r>
      <w:r w:rsidR="00046977" w:rsidRPr="00046977">
        <w:rPr>
          <w:color w:val="auto"/>
        </w:rPr>
        <w:t xml:space="preserve"> Schmidhuber 1997</w:t>
      </w:r>
      <w:r w:rsidR="00046977">
        <w:rPr>
          <w:color w:val="auto"/>
        </w:rPr>
        <w:t xml:space="preserve">; </w:t>
      </w:r>
      <w:r w:rsidR="005153D0" w:rsidRPr="005153D0">
        <w:rPr>
          <w:color w:val="auto"/>
        </w:rPr>
        <w:t>LeCun</w:t>
      </w:r>
      <w:r w:rsidR="005153D0" w:rsidRPr="004617CA">
        <w:rPr>
          <w:color w:val="auto"/>
        </w:rPr>
        <w:t xml:space="preserve"> </w:t>
      </w:r>
      <w:r w:rsidR="005153D0">
        <w:rPr>
          <w:color w:val="auto"/>
        </w:rPr>
        <w:t xml:space="preserve">et al. 2015; </w:t>
      </w:r>
      <w:r w:rsidR="004617CA" w:rsidRPr="004617CA">
        <w:rPr>
          <w:color w:val="auto"/>
        </w:rPr>
        <w:t>Reichstein</w:t>
      </w:r>
      <w:r w:rsidR="004617CA">
        <w:rPr>
          <w:color w:val="auto"/>
        </w:rPr>
        <w:t xml:space="preserve"> et al. 2019</w:t>
      </w:r>
      <w:r w:rsidR="005153D0">
        <w:rPr>
          <w:color w:val="auto"/>
        </w:rPr>
        <w:t xml:space="preserve">; </w:t>
      </w:r>
      <w:r w:rsidR="00BC3539" w:rsidRPr="00BC3539">
        <w:rPr>
          <w:color w:val="auto"/>
        </w:rPr>
        <w:t>Sun et</w:t>
      </w:r>
      <w:r w:rsidR="00BC3539">
        <w:rPr>
          <w:color w:val="auto"/>
        </w:rPr>
        <w:t xml:space="preserve"> al. 2022; </w:t>
      </w:r>
      <w:r w:rsidR="005153D0" w:rsidRPr="00FD033C">
        <w:rPr>
          <w:color w:val="auto"/>
        </w:rPr>
        <w:t>Xiao</w:t>
      </w:r>
      <w:r w:rsidR="005153D0">
        <w:rPr>
          <w:color w:val="auto"/>
        </w:rPr>
        <w:t xml:space="preserve"> et al. 2019</w:t>
      </w:r>
      <w:r w:rsidR="004617CA">
        <w:t>)</w:t>
      </w:r>
      <w:r w:rsidRPr="008D1C74">
        <w:t>, and their integration within a zonal ML framework strengthens ecological interpretability.</w:t>
      </w:r>
    </w:p>
    <w:p w14:paraId="3FD8BB08" w14:textId="40E2A3C8" w:rsidR="008D1C74" w:rsidRPr="008D1C74" w:rsidRDefault="008D1C74" w:rsidP="008D1C74">
      <w:pPr>
        <w:pStyle w:val="afa"/>
        <w:spacing w:line="360" w:lineRule="auto"/>
        <w:ind w:firstLine="567"/>
      </w:pPr>
      <w:r w:rsidRPr="008D1C74">
        <w:t xml:space="preserve">Gradient Boosting achieved the lowest MAE and RMSE values in high-risk territories, confirming its suitability for systems characterized by abrupt density amplification and interaction-driven responses </w:t>
      </w:r>
      <w:r w:rsidR="00B63A47">
        <w:t>(</w:t>
      </w:r>
      <w:r w:rsidR="0067360D" w:rsidRPr="00DD0660">
        <w:rPr>
          <w:lang w:eastAsia="ru-RU"/>
        </w:rPr>
        <w:t>Baibussenov</w:t>
      </w:r>
      <w:r w:rsidR="0067360D" w:rsidRPr="00B63A47">
        <w:rPr>
          <w:color w:val="auto"/>
        </w:rPr>
        <w:t xml:space="preserve"> </w:t>
      </w:r>
      <w:r w:rsidR="0067360D">
        <w:rPr>
          <w:color w:val="auto"/>
        </w:rPr>
        <w:t xml:space="preserve">et al. 2024; </w:t>
      </w:r>
      <w:r w:rsidR="00B63A47" w:rsidRPr="00B63A47">
        <w:rPr>
          <w:color w:val="auto"/>
        </w:rPr>
        <w:t>Didan et al.</w:t>
      </w:r>
      <w:r w:rsidR="00B63A47">
        <w:rPr>
          <w:color w:val="auto"/>
        </w:rPr>
        <w:t xml:space="preserve"> 2019</w:t>
      </w:r>
      <w:r w:rsidR="000A01F8">
        <w:rPr>
          <w:color w:val="auto"/>
        </w:rPr>
        <w:t xml:space="preserve">; </w:t>
      </w:r>
      <w:r w:rsidR="000C7CBD" w:rsidRPr="000C7CBD">
        <w:rPr>
          <w:color w:val="auto"/>
          <w:lang w:val="kk-KZ"/>
        </w:rPr>
        <w:t>Entekhabi</w:t>
      </w:r>
      <w:r w:rsidR="000C7CBD">
        <w:rPr>
          <w:color w:val="auto"/>
        </w:rPr>
        <w:t xml:space="preserve"> et al. 2010; </w:t>
      </w:r>
      <w:r w:rsidR="000A01F8">
        <w:rPr>
          <w:color w:val="auto"/>
        </w:rPr>
        <w:t>Huete et al. 2002</w:t>
      </w:r>
      <w:r w:rsidR="000C7CBD">
        <w:rPr>
          <w:color w:val="auto"/>
        </w:rPr>
        <w:t xml:space="preserve">; </w:t>
      </w:r>
      <w:r w:rsidR="000C7CBD" w:rsidRPr="00A6011B">
        <w:rPr>
          <w:color w:val="auto"/>
        </w:rPr>
        <w:t>Phillips</w:t>
      </w:r>
      <w:r w:rsidR="000C7CBD">
        <w:rPr>
          <w:color w:val="auto"/>
        </w:rPr>
        <w:t xml:space="preserve"> et al. 2006</w:t>
      </w:r>
      <w:r w:rsidR="00B63A47">
        <w:t>)</w:t>
      </w:r>
      <w:r w:rsidRPr="008D1C74">
        <w:t xml:space="preserve">. In moderate- and low-risk zones, SVR demonstrated improved generalization and reduced overfitting, consistent with findings in ecological regression modeling under moderate amplitude variability </w:t>
      </w:r>
      <w:r w:rsidR="004617CA">
        <w:t>(</w:t>
      </w:r>
      <w:r w:rsidR="00171316">
        <w:rPr>
          <w:color w:val="auto"/>
        </w:rPr>
        <w:t>Araújo</w:t>
      </w:r>
      <w:r w:rsidR="00171316" w:rsidRPr="00171316">
        <w:rPr>
          <w:color w:val="auto"/>
        </w:rPr>
        <w:t xml:space="preserve"> </w:t>
      </w:r>
      <w:r w:rsidR="00171316">
        <w:rPr>
          <w:color w:val="auto"/>
        </w:rPr>
        <w:t>and</w:t>
      </w:r>
      <w:r w:rsidR="00171316" w:rsidRPr="00171316">
        <w:rPr>
          <w:color w:val="auto"/>
        </w:rPr>
        <w:t xml:space="preserve"> New 2007</w:t>
      </w:r>
      <w:r w:rsidR="00171316">
        <w:rPr>
          <w:color w:val="auto"/>
        </w:rPr>
        <w:t xml:space="preserve">; </w:t>
      </w:r>
      <w:r w:rsidR="000E40E5" w:rsidRPr="000E40E5">
        <w:rPr>
          <w:color w:val="auto"/>
        </w:rPr>
        <w:t>Peters</w:t>
      </w:r>
      <w:r w:rsidR="000E40E5" w:rsidRPr="004617CA">
        <w:rPr>
          <w:color w:val="auto"/>
        </w:rPr>
        <w:t xml:space="preserve"> </w:t>
      </w:r>
      <w:r w:rsidR="000E40E5">
        <w:rPr>
          <w:color w:val="auto"/>
        </w:rPr>
        <w:t xml:space="preserve">et al. 2009; </w:t>
      </w:r>
      <w:r w:rsidR="004617CA" w:rsidRPr="004617CA">
        <w:rPr>
          <w:color w:val="auto"/>
        </w:rPr>
        <w:t>Reichstein</w:t>
      </w:r>
      <w:r w:rsidR="004617CA">
        <w:rPr>
          <w:color w:val="auto"/>
        </w:rPr>
        <w:t xml:space="preserve"> et al. 2019</w:t>
      </w:r>
      <w:r w:rsidR="000E40E5">
        <w:rPr>
          <w:color w:val="auto"/>
        </w:rPr>
        <w:t xml:space="preserve">; </w:t>
      </w:r>
      <w:r w:rsidR="000E40E5" w:rsidRPr="000E40E5">
        <w:rPr>
          <w:color w:val="auto"/>
        </w:rPr>
        <w:t>Thuiller</w:t>
      </w:r>
      <w:r w:rsidR="000E40E5">
        <w:rPr>
          <w:color w:val="auto"/>
        </w:rPr>
        <w:t xml:space="preserve"> et al. 2009</w:t>
      </w:r>
      <w:r w:rsidR="004617CA">
        <w:t>)</w:t>
      </w:r>
      <w:r w:rsidRPr="008D1C74">
        <w:t xml:space="preserve">. The application of SHAP-based interpretability methods enhances transparency and addresses common concerns regarding “black-box” ML systems in ecological management </w:t>
      </w:r>
      <w:r w:rsidR="00A84ABE">
        <w:t>(</w:t>
      </w:r>
      <w:r w:rsidR="007122A7" w:rsidRPr="007122A7">
        <w:rPr>
          <w:color w:val="auto"/>
        </w:rPr>
        <w:t>Farr</w:t>
      </w:r>
      <w:r w:rsidR="007122A7">
        <w:rPr>
          <w:color w:val="auto"/>
        </w:rPr>
        <w:t xml:space="preserve"> et al. 2007; </w:t>
      </w:r>
      <w:r w:rsidR="00EE7A19" w:rsidRPr="00EE7A19">
        <w:rPr>
          <w:color w:val="auto"/>
        </w:rPr>
        <w:t xml:space="preserve">Fick </w:t>
      </w:r>
      <w:r w:rsidR="00EE7A19">
        <w:rPr>
          <w:color w:val="auto"/>
        </w:rPr>
        <w:t>and</w:t>
      </w:r>
      <w:r w:rsidR="00EE7A19" w:rsidRPr="00EE7A19">
        <w:rPr>
          <w:color w:val="auto"/>
        </w:rPr>
        <w:t xml:space="preserve"> Hijmans 2017</w:t>
      </w:r>
      <w:r w:rsidR="00EE7A19">
        <w:rPr>
          <w:color w:val="auto"/>
        </w:rPr>
        <w:t xml:space="preserve">; </w:t>
      </w:r>
      <w:r w:rsidR="00A84ABE" w:rsidRPr="00A84ABE">
        <w:rPr>
          <w:color w:val="auto"/>
        </w:rPr>
        <w:t>Ibrahim</w:t>
      </w:r>
      <w:r w:rsidR="00A84ABE">
        <w:rPr>
          <w:color w:val="auto"/>
        </w:rPr>
        <w:t xml:space="preserve"> et al. 2022</w:t>
      </w:r>
      <w:r w:rsidR="00164AFA">
        <w:rPr>
          <w:color w:val="auto"/>
        </w:rPr>
        <w:t xml:space="preserve">; </w:t>
      </w:r>
      <w:r w:rsidR="00164AFA" w:rsidRPr="00D40CBE">
        <w:rPr>
          <w:color w:val="auto"/>
        </w:rPr>
        <w:t xml:space="preserve">Lundberg </w:t>
      </w:r>
      <w:r w:rsidR="00164AFA" w:rsidRPr="00164AFA">
        <w:rPr>
          <w:color w:val="auto"/>
        </w:rPr>
        <w:t>and</w:t>
      </w:r>
      <w:r w:rsidR="00164AFA" w:rsidRPr="00D40CBE">
        <w:rPr>
          <w:color w:val="auto"/>
        </w:rPr>
        <w:t xml:space="preserve"> Lee 2017</w:t>
      </w:r>
      <w:r w:rsidR="00A84ABE">
        <w:t>)</w:t>
      </w:r>
      <w:r w:rsidRPr="008D1C74">
        <w:t>.</w:t>
      </w:r>
    </w:p>
    <w:p w14:paraId="6C218837" w14:textId="77777777" w:rsidR="008D1C74" w:rsidRDefault="008D1C74" w:rsidP="008D1C74">
      <w:pPr>
        <w:pStyle w:val="afa"/>
        <w:spacing w:line="360" w:lineRule="auto"/>
        <w:ind w:firstLine="567"/>
      </w:pPr>
      <w:r w:rsidRPr="008D1C74">
        <w:t xml:space="preserve">Although R² values remained relatively low across zones, such metrics must be interpreted in the context of stochastic outbreak systems. Insect population dynamics driven by episodic climatic pulses rarely exhibit high variance explanation through deterministic predictors alone. Error-based metrics (MAE, RMSE) therefore provide more meaningful evaluation of short-term forecasting performance in </w:t>
      </w:r>
      <w:r>
        <w:t>applied phytosanitary contexts.</w:t>
      </w:r>
    </w:p>
    <w:p w14:paraId="41E7A7E6" w14:textId="77777777" w:rsidR="008D1C74" w:rsidRDefault="008D1C74" w:rsidP="008D1C74">
      <w:pPr>
        <w:pStyle w:val="afa"/>
        <w:spacing w:line="360" w:lineRule="auto"/>
        <w:ind w:firstLine="567"/>
      </w:pPr>
    </w:p>
    <w:p w14:paraId="2BC47164" w14:textId="0E1281FC" w:rsidR="008D1C74" w:rsidRPr="008D1C74" w:rsidRDefault="008D1C74" w:rsidP="008D1C74">
      <w:pPr>
        <w:pStyle w:val="afa"/>
        <w:numPr>
          <w:ilvl w:val="1"/>
          <w:numId w:val="30"/>
        </w:numPr>
        <w:tabs>
          <w:tab w:val="left" w:pos="567"/>
        </w:tabs>
        <w:spacing w:line="360" w:lineRule="auto"/>
        <w:ind w:left="0" w:firstLine="0"/>
        <w:rPr>
          <w:b/>
        </w:rPr>
      </w:pPr>
      <w:r w:rsidRPr="008D1C74">
        <w:rPr>
          <w:b/>
        </w:rPr>
        <w:t>Climate Variability and Future Risk</w:t>
      </w:r>
    </w:p>
    <w:p w14:paraId="2A3ECB7E" w14:textId="60638883" w:rsidR="008D1C74" w:rsidRPr="008D1C74" w:rsidRDefault="008D1C74" w:rsidP="008D1C74">
      <w:pPr>
        <w:pStyle w:val="afa"/>
        <w:spacing w:line="360" w:lineRule="auto"/>
        <w:ind w:firstLine="567"/>
      </w:pPr>
      <w:r w:rsidRPr="008D1C74">
        <w:t xml:space="preserve">The persistence of quasi-cyclic behavior without monotonic density increase suggests that current climatic variability maintains oscillatory rather than directional regimes. However, global climate assessments indicate increasing thermal variability in continental interiors </w:t>
      </w:r>
      <w:r w:rsidR="002A1475">
        <w:t>(</w:t>
      </w:r>
      <w:r w:rsidR="002A1475" w:rsidRPr="002A1475">
        <w:rPr>
          <w:color w:val="auto"/>
        </w:rPr>
        <w:t>Legg 2021</w:t>
      </w:r>
      <w:r w:rsidR="002A1475">
        <w:t>)</w:t>
      </w:r>
      <w:r w:rsidRPr="008D1C74">
        <w:t xml:space="preserve">. Experimental and theoretical studies show that warming within physiological optima can intensify ectotherm population growth, whereas exceeding thermal thresholds may suppress survival. Climate-forced density oscillations similar to those observed in the high-risk </w:t>
      </w:r>
      <w:r w:rsidRPr="008D1C74">
        <w:lastRenderedPageBreak/>
        <w:t xml:space="preserve">zone have been documented in semi-arid locust systems under large-scale atmospheric anomalies </w:t>
      </w:r>
      <w:r w:rsidR="00863F3F" w:rsidRPr="00863F3F">
        <w:t>(</w:t>
      </w:r>
      <w:r w:rsidR="00AB2E6B" w:rsidRPr="00AB2E6B">
        <w:rPr>
          <w:color w:val="auto"/>
        </w:rPr>
        <w:t xml:space="preserve">Belovsky </w:t>
      </w:r>
      <w:r w:rsidR="00AB2E6B">
        <w:rPr>
          <w:color w:val="auto"/>
        </w:rPr>
        <w:t>and</w:t>
      </w:r>
      <w:r w:rsidR="00AB2E6B" w:rsidRPr="00AB2E6B">
        <w:rPr>
          <w:color w:val="auto"/>
        </w:rPr>
        <w:t xml:space="preserve"> Slade 1995</w:t>
      </w:r>
      <w:r w:rsidR="00AB2E6B">
        <w:rPr>
          <w:color w:val="auto"/>
        </w:rPr>
        <w:t xml:space="preserve">; </w:t>
      </w:r>
      <w:r w:rsidR="001C02B0" w:rsidRPr="001C02B0">
        <w:rPr>
          <w:color w:val="auto"/>
        </w:rPr>
        <w:t>Schmitz 2008</w:t>
      </w:r>
      <w:r w:rsidR="001C02B0">
        <w:rPr>
          <w:color w:val="auto"/>
        </w:rPr>
        <w:t xml:space="preserve">; </w:t>
      </w:r>
      <w:r w:rsidR="00863F3F" w:rsidRPr="00863F3F">
        <w:rPr>
          <w:color w:val="auto"/>
        </w:rPr>
        <w:t xml:space="preserve">Stige </w:t>
      </w:r>
      <w:r w:rsidR="00863F3F">
        <w:rPr>
          <w:color w:val="auto"/>
        </w:rPr>
        <w:t>et</w:t>
      </w:r>
      <w:r w:rsidR="00863F3F" w:rsidRPr="00863F3F">
        <w:rPr>
          <w:color w:val="auto"/>
        </w:rPr>
        <w:t xml:space="preserve"> al. </w:t>
      </w:r>
      <w:r w:rsidR="00863F3F">
        <w:rPr>
          <w:color w:val="auto"/>
        </w:rPr>
        <w:t>2007</w:t>
      </w:r>
      <w:r w:rsidR="00863F3F" w:rsidRPr="00863F3F">
        <w:t>)</w:t>
      </w:r>
      <w:r w:rsidRPr="008D1C74">
        <w:t>.</w:t>
      </w:r>
    </w:p>
    <w:p w14:paraId="66345A8C" w14:textId="77777777" w:rsidR="008D1C74" w:rsidRDefault="008D1C74" w:rsidP="008D1C74">
      <w:pPr>
        <w:pStyle w:val="afa"/>
        <w:spacing w:line="360" w:lineRule="auto"/>
        <w:ind w:firstLine="567"/>
      </w:pPr>
      <w:r w:rsidRPr="008D1C74">
        <w:t>Under projected warming scenarios, moderate-risk territories may experience shortened periodicity if thermal accumulation increases without compensatory moisture limitation. Conversely, excessive aridification may constrain survival in currently high-risk zones. Integrating climate scenario ensembles into the present ML–GIS framework represents a critical direction for improvin</w:t>
      </w:r>
      <w:r>
        <w:t>g anticipatory risk assessment.</w:t>
      </w:r>
    </w:p>
    <w:p w14:paraId="2E599FF9" w14:textId="77777777" w:rsidR="008D1C74" w:rsidRDefault="008D1C74" w:rsidP="008D1C74">
      <w:pPr>
        <w:pStyle w:val="afa"/>
        <w:spacing w:line="360" w:lineRule="auto"/>
        <w:ind w:firstLine="567"/>
      </w:pPr>
    </w:p>
    <w:p w14:paraId="2415F330" w14:textId="6BA3E7E9" w:rsidR="008D1C74" w:rsidRPr="008D1C74" w:rsidRDefault="008D1C74" w:rsidP="008D1C74">
      <w:pPr>
        <w:pStyle w:val="afa"/>
        <w:numPr>
          <w:ilvl w:val="1"/>
          <w:numId w:val="30"/>
        </w:numPr>
        <w:tabs>
          <w:tab w:val="left" w:pos="567"/>
        </w:tabs>
        <w:spacing w:line="360" w:lineRule="auto"/>
        <w:ind w:left="0" w:firstLine="0"/>
        <w:rPr>
          <w:b/>
        </w:rPr>
      </w:pPr>
      <w:r w:rsidRPr="008D1C74">
        <w:rPr>
          <w:b/>
        </w:rPr>
        <w:t>Integrated ML–GIS Architecture</w:t>
      </w:r>
    </w:p>
    <w:p w14:paraId="791F435D" w14:textId="77777777" w:rsidR="008D1C74" w:rsidRPr="008D1C74" w:rsidRDefault="008D1C74" w:rsidP="008D1C74">
      <w:pPr>
        <w:pStyle w:val="afa"/>
        <w:spacing w:line="360" w:lineRule="auto"/>
        <w:ind w:firstLine="567"/>
      </w:pPr>
      <w:r w:rsidRPr="008D1C74">
        <w:t>The conceptual architecture developed in this study (Fig. 8) formalizes the forecasting process as a two-layer circular system integrating modeling and operational deployment. The inner layer comprises the ML core, zonal stratification, and model evaluation, while the outer layer encompasses data acquisition, preprocessing, GIS-based spatial prediction, and decision support.</w:t>
      </w:r>
    </w:p>
    <w:p w14:paraId="75411B75" w14:textId="5EC17E9C" w:rsidR="008D1C74" w:rsidRDefault="008D1C74" w:rsidP="008D1C74">
      <w:pPr>
        <w:pStyle w:val="afa"/>
        <w:spacing w:line="360" w:lineRule="auto"/>
        <w:ind w:firstLine="567"/>
      </w:pPr>
      <w:r w:rsidRPr="008D1C74">
        <w:t xml:space="preserve">Such modular design aligns with ensemble ecological forecasting strategies and adaptive management principles </w:t>
      </w:r>
      <w:r w:rsidR="00FD033C">
        <w:t>(</w:t>
      </w:r>
      <w:r w:rsidR="00171316">
        <w:rPr>
          <w:color w:val="auto"/>
        </w:rPr>
        <w:t>Araújo</w:t>
      </w:r>
      <w:r w:rsidR="00171316" w:rsidRPr="00171316">
        <w:rPr>
          <w:color w:val="auto"/>
        </w:rPr>
        <w:t xml:space="preserve"> </w:t>
      </w:r>
      <w:r w:rsidR="00171316">
        <w:rPr>
          <w:color w:val="auto"/>
        </w:rPr>
        <w:t>and</w:t>
      </w:r>
      <w:r w:rsidR="00171316" w:rsidRPr="00171316">
        <w:rPr>
          <w:color w:val="auto"/>
        </w:rPr>
        <w:t xml:space="preserve"> New 2007</w:t>
      </w:r>
      <w:r w:rsidR="00171316">
        <w:rPr>
          <w:color w:val="auto"/>
        </w:rPr>
        <w:t xml:space="preserve">; </w:t>
      </w:r>
      <w:r w:rsidR="00FD033C" w:rsidRPr="00FD033C">
        <w:rPr>
          <w:color w:val="auto"/>
        </w:rPr>
        <w:t>Friedman 2001</w:t>
      </w:r>
      <w:r w:rsidR="002273A1">
        <w:rPr>
          <w:color w:val="auto"/>
        </w:rPr>
        <w:t xml:space="preserve">; </w:t>
      </w:r>
      <w:r w:rsidR="002273A1" w:rsidRPr="002273A1">
        <w:rPr>
          <w:color w:val="auto"/>
        </w:rPr>
        <w:t>Hastie</w:t>
      </w:r>
      <w:r w:rsidR="002273A1">
        <w:rPr>
          <w:color w:val="auto"/>
        </w:rPr>
        <w:t xml:space="preserve"> et al. 2009</w:t>
      </w:r>
      <w:r w:rsidR="00507037">
        <w:rPr>
          <w:color w:val="auto"/>
        </w:rPr>
        <w:t xml:space="preserve">; </w:t>
      </w:r>
      <w:r w:rsidR="00507037" w:rsidRPr="00507037">
        <w:rPr>
          <w:color w:val="auto"/>
        </w:rPr>
        <w:t>Levin 1992</w:t>
      </w:r>
      <w:r w:rsidR="00FD033C">
        <w:t>)</w:t>
      </w:r>
      <w:r w:rsidRPr="008D1C74">
        <w:t xml:space="preserve">. By incorporating iterative feedback, the system allows recalibration as new monitoring data become available. The spatial translation of predictions into rasterized risk classes enhances operational applicability and supports targeted phytosanitary intervention. Integration of ML with GIS has been increasingly advocated in ecological decision-support systems </w:t>
      </w:r>
      <w:r w:rsidR="00046977" w:rsidRPr="00046977">
        <w:t>(</w:t>
      </w:r>
      <w:r w:rsidR="00046977" w:rsidRPr="00046977">
        <w:rPr>
          <w:color w:val="auto"/>
        </w:rPr>
        <w:t>Dormann</w:t>
      </w:r>
      <w:r w:rsidR="00046977">
        <w:rPr>
          <w:color w:val="auto"/>
        </w:rPr>
        <w:t xml:space="preserve"> et al. 2013</w:t>
      </w:r>
      <w:r w:rsidR="001B4D79">
        <w:rPr>
          <w:color w:val="auto"/>
        </w:rPr>
        <w:t xml:space="preserve">; </w:t>
      </w:r>
      <w:r w:rsidR="001B4D79" w:rsidRPr="001B4D79">
        <w:rPr>
          <w:color w:val="auto"/>
        </w:rPr>
        <w:t xml:space="preserve">Elith </w:t>
      </w:r>
      <w:r w:rsidR="001B4D79">
        <w:rPr>
          <w:color w:val="auto"/>
        </w:rPr>
        <w:t>and</w:t>
      </w:r>
      <w:r w:rsidR="001B4D79" w:rsidRPr="001B4D79">
        <w:rPr>
          <w:color w:val="auto"/>
        </w:rPr>
        <w:t xml:space="preserve"> Leathwick 2009</w:t>
      </w:r>
      <w:r w:rsidR="00A6011B">
        <w:rPr>
          <w:color w:val="auto"/>
        </w:rPr>
        <w:t xml:space="preserve">; </w:t>
      </w:r>
      <w:r w:rsidR="00A6011B" w:rsidRPr="00A6011B">
        <w:rPr>
          <w:color w:val="auto"/>
        </w:rPr>
        <w:t>Phillips</w:t>
      </w:r>
      <w:r w:rsidR="00A6011B">
        <w:rPr>
          <w:color w:val="auto"/>
        </w:rPr>
        <w:t xml:space="preserve"> et al. 2006</w:t>
      </w:r>
      <w:r w:rsidR="00046977">
        <w:t>)</w:t>
      </w:r>
      <w:r w:rsidRPr="008D1C74">
        <w:t>, yet its application to non-gregarious locust forecasting remains limited. The present framework therefore bridges methodological advances in statistical learning with region-specif</w:t>
      </w:r>
      <w:r>
        <w:t>ic agroclimatic stratification.</w:t>
      </w:r>
    </w:p>
    <w:p w14:paraId="65608243" w14:textId="77777777" w:rsidR="008D1C74" w:rsidRDefault="008D1C74" w:rsidP="008D1C74">
      <w:pPr>
        <w:pStyle w:val="afa"/>
        <w:spacing w:line="360" w:lineRule="auto"/>
        <w:ind w:firstLine="567"/>
      </w:pPr>
    </w:p>
    <w:p w14:paraId="1C674175" w14:textId="5E776CF4" w:rsidR="008D1C74" w:rsidRPr="008D1C74" w:rsidRDefault="008D1C74" w:rsidP="008D1C74">
      <w:pPr>
        <w:pStyle w:val="afa"/>
        <w:numPr>
          <w:ilvl w:val="1"/>
          <w:numId w:val="30"/>
        </w:numPr>
        <w:tabs>
          <w:tab w:val="left" w:pos="567"/>
        </w:tabs>
        <w:spacing w:line="360" w:lineRule="auto"/>
        <w:ind w:left="0" w:firstLine="0"/>
        <w:rPr>
          <w:b/>
        </w:rPr>
      </w:pPr>
      <w:r w:rsidRPr="008D1C74">
        <w:rPr>
          <w:b/>
        </w:rPr>
        <w:t>Management Implications</w:t>
      </w:r>
    </w:p>
    <w:p w14:paraId="4046D682" w14:textId="77777777" w:rsidR="008D1C74" w:rsidRPr="008D1C74" w:rsidRDefault="008D1C74" w:rsidP="008D1C74">
      <w:pPr>
        <w:pStyle w:val="afa"/>
        <w:spacing w:line="360" w:lineRule="auto"/>
        <w:ind w:firstLine="567"/>
      </w:pPr>
      <w:r w:rsidRPr="008D1C74">
        <w:t>The hydrothermal thresholds identified in the Results (LST 30–35°C, moderate precipitation pulses, soil moisture 0.60–0.75) provide practical early-warning criteria. High-risk zones require proactive monitoring of cumulative temperature indices, while moderate-risk territories demand synchronized rainfall and moisture analysis. Low-risk areas may prioritize surveillance efficiency rather than preventive chemical treatment.</w:t>
      </w:r>
    </w:p>
    <w:p w14:paraId="0858DB58" w14:textId="47948A33" w:rsidR="008D1C74" w:rsidRDefault="008D1C74" w:rsidP="008D1C74">
      <w:pPr>
        <w:pStyle w:val="afa"/>
        <w:spacing w:line="360" w:lineRule="auto"/>
        <w:ind w:firstLine="567"/>
      </w:pPr>
      <w:r w:rsidRPr="008D1C74">
        <w:t xml:space="preserve">This stratified approach aligns with sustainable agricultural intensification strategies that emphasize targeted intervention and reduced chemical load </w:t>
      </w:r>
      <w:r w:rsidR="004617CA" w:rsidRPr="004617CA">
        <w:t>(</w:t>
      </w:r>
      <w:r w:rsidR="004617CA" w:rsidRPr="004617CA">
        <w:rPr>
          <w:color w:val="auto"/>
        </w:rPr>
        <w:t>Foley</w:t>
      </w:r>
      <w:r w:rsidR="004617CA">
        <w:rPr>
          <w:color w:val="auto"/>
        </w:rPr>
        <w:t xml:space="preserve"> et al. 2011; </w:t>
      </w:r>
      <w:r w:rsidR="004617CA" w:rsidRPr="004617CA">
        <w:rPr>
          <w:color w:val="auto"/>
        </w:rPr>
        <w:t>Tilman</w:t>
      </w:r>
      <w:r w:rsidR="004617CA">
        <w:rPr>
          <w:color w:val="auto"/>
        </w:rPr>
        <w:t xml:space="preserve"> et al. </w:t>
      </w:r>
      <w:r w:rsidR="004617CA">
        <w:rPr>
          <w:color w:val="auto"/>
        </w:rPr>
        <w:lastRenderedPageBreak/>
        <w:t>2002</w:t>
      </w:r>
      <w:r w:rsidR="004617CA">
        <w:t>)</w:t>
      </w:r>
      <w:r w:rsidRPr="008D1C74">
        <w:t>. By linking predictive analytics with spatial deployment, the framework enhances phytosanitary efficiency while min</w:t>
      </w:r>
      <w:r>
        <w:t>imizing ecological disturbance.</w:t>
      </w:r>
    </w:p>
    <w:p w14:paraId="13DBDC19" w14:textId="77777777" w:rsidR="008D1C74" w:rsidRDefault="008D1C74" w:rsidP="008D1C74">
      <w:pPr>
        <w:pStyle w:val="afa"/>
        <w:spacing w:line="360" w:lineRule="auto"/>
        <w:ind w:firstLine="567"/>
      </w:pPr>
    </w:p>
    <w:p w14:paraId="2ED7928F" w14:textId="14B60FDB" w:rsidR="008D1C74" w:rsidRPr="008D1C74" w:rsidRDefault="008D1C74" w:rsidP="008D1C74">
      <w:pPr>
        <w:pStyle w:val="afa"/>
        <w:numPr>
          <w:ilvl w:val="1"/>
          <w:numId w:val="30"/>
        </w:numPr>
        <w:tabs>
          <w:tab w:val="left" w:pos="567"/>
        </w:tabs>
        <w:spacing w:line="360" w:lineRule="auto"/>
        <w:ind w:left="0" w:firstLine="0"/>
        <w:rPr>
          <w:b/>
        </w:rPr>
      </w:pPr>
      <w:r w:rsidRPr="008D1C74">
        <w:rPr>
          <w:b/>
        </w:rPr>
        <w:t>Limitations and Research Directions</w:t>
      </w:r>
    </w:p>
    <w:p w14:paraId="1F1E39D0" w14:textId="77777777" w:rsidR="008D1C74" w:rsidRPr="008D1C74" w:rsidRDefault="008D1C74" w:rsidP="008D1C74">
      <w:pPr>
        <w:pStyle w:val="afa"/>
        <w:spacing w:line="360" w:lineRule="auto"/>
        <w:ind w:firstLine="567"/>
      </w:pPr>
      <w:r w:rsidRPr="008D1C74">
        <w:t>Despite the robustness of the dataset, extension of temporal coverage would improve detection of low-frequency cycles, particularly in humid zones. Incorporating land-use change, grazing intensity, and vegetation nutrient dynamics may further refine ecological realism. Hybrid integration of process-based population models with ML algorithms could enhance extrapolation under novel climatic regimes.</w:t>
      </w:r>
    </w:p>
    <w:p w14:paraId="021CFA65" w14:textId="659CAD70" w:rsidR="00397A3C" w:rsidRPr="008D1C74" w:rsidRDefault="008D1C74" w:rsidP="008D1C74">
      <w:pPr>
        <w:pStyle w:val="MDPI31text"/>
        <w:spacing w:line="360" w:lineRule="auto"/>
        <w:ind w:left="0" w:firstLine="567"/>
        <w:rPr>
          <w:rFonts w:ascii="Times New Roman" w:hAnsi="Times New Roman"/>
          <w:color w:val="auto"/>
          <w:sz w:val="24"/>
          <w:szCs w:val="24"/>
        </w:rPr>
      </w:pPr>
      <w:r w:rsidRPr="008D1C74">
        <w:rPr>
          <w:rFonts w:ascii="Times New Roman" w:hAnsi="Times New Roman"/>
          <w:sz w:val="24"/>
          <w:szCs w:val="24"/>
        </w:rPr>
        <w:t xml:space="preserve">Cross-border integration within Central Asia would strengthen regional coherence and improve forecasting reliability under transboundary climatic </w:t>
      </w:r>
      <w:r w:rsidRPr="008D1C74">
        <w:rPr>
          <w:rFonts w:ascii="Times New Roman" w:hAnsi="Times New Roman"/>
          <w:color w:val="auto"/>
          <w:sz w:val="24"/>
          <w:szCs w:val="24"/>
        </w:rPr>
        <w:t>influences</w:t>
      </w:r>
      <w:r w:rsidR="00397A3C" w:rsidRPr="008D1C74">
        <w:rPr>
          <w:rFonts w:ascii="Times New Roman" w:hAnsi="Times New Roman"/>
          <w:color w:val="auto"/>
          <w:sz w:val="24"/>
          <w:szCs w:val="24"/>
        </w:rPr>
        <w:t>.</w:t>
      </w:r>
    </w:p>
    <w:p w14:paraId="2CBEB07C" w14:textId="77777777" w:rsidR="00397A3C" w:rsidRPr="008D1C74" w:rsidRDefault="00397A3C" w:rsidP="008D1C74">
      <w:pPr>
        <w:pStyle w:val="MDPI31text"/>
        <w:spacing w:line="360" w:lineRule="auto"/>
        <w:ind w:left="0" w:firstLine="567"/>
        <w:rPr>
          <w:rFonts w:ascii="Times New Roman" w:hAnsi="Times New Roman"/>
          <w:color w:val="FF0000"/>
          <w:sz w:val="24"/>
          <w:szCs w:val="24"/>
        </w:rPr>
      </w:pPr>
    </w:p>
    <w:p w14:paraId="2A855CF1" w14:textId="4E548E21" w:rsidR="00397A3C" w:rsidRPr="008D1C74"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8D1C74">
        <w:rPr>
          <w:rFonts w:ascii="Times New Roman" w:hAnsi="Times New Roman"/>
          <w:color w:val="auto"/>
          <w:sz w:val="24"/>
          <w:szCs w:val="24"/>
        </w:rPr>
        <w:t>CONCLUSION</w:t>
      </w:r>
    </w:p>
    <w:p w14:paraId="3E674B26" w14:textId="06EAD200" w:rsidR="00F34F54" w:rsidRPr="00F34F54" w:rsidRDefault="00F34F54" w:rsidP="00F34F54">
      <w:pPr>
        <w:pStyle w:val="afa"/>
        <w:spacing w:line="360" w:lineRule="auto"/>
        <w:ind w:firstLine="567"/>
      </w:pPr>
      <w:r w:rsidRPr="00F34F54">
        <w:t>This study establishes an ecologically stratified ML–GIS framework for forecasting harmful non-gregarious locust populations under heterogeneous agroclimatic conditions. The central contribution lies in demonstrating that population dynamics, predictor dominance, outbreak periodicity, and optimal modeling algorithms vary systematically along a hydrothermal gradient, thereby requiring zonal differentiation rather than uniform national-scale modeling.</w:t>
      </w:r>
    </w:p>
    <w:p w14:paraId="1BBAD73C" w14:textId="77777777" w:rsidR="00F34F54" w:rsidRPr="00F34F54" w:rsidRDefault="00F34F54" w:rsidP="00F34F54">
      <w:pPr>
        <w:pStyle w:val="afa"/>
        <w:spacing w:line="360" w:lineRule="auto"/>
        <w:ind w:firstLine="567"/>
      </w:pPr>
      <w:r w:rsidRPr="00F34F54">
        <w:t>Three structurally distinct regulatory regimes were identified: (i) thermally amplified nonlinear dynamics in high-risk zones with 5–7-year cyclicity, most accurately captured by Gradient Boosting; (ii) interaction-driven regulation in moderate-risk territories with 7–10-year periodicity, where Support Vector Regression ensures superior generalization; and (iii) moisture-limited stabilization in low-risk zones with extended 10–12-year cycles and reduced amplitude variability. These findings confirm that algorithmic suitability is ecologically contingent and directly linked to variance structure and climatic forcing intensity.</w:t>
      </w:r>
    </w:p>
    <w:p w14:paraId="69DFD7E2" w14:textId="77777777" w:rsidR="00F34F54" w:rsidRPr="00F34F54" w:rsidRDefault="00F34F54" w:rsidP="00F34F54">
      <w:pPr>
        <w:pStyle w:val="afa"/>
        <w:spacing w:line="360" w:lineRule="auto"/>
        <w:ind w:firstLine="567"/>
      </w:pPr>
      <w:r w:rsidRPr="00F34F54">
        <w:t>Methodologically, the study advances locust forecasting by integrating nonlinear machine learning, agroclimatic stratification, SHAP-based interpretability, and GIS-based spatial deployment within a unified adaptive architecture. The proposed two-layer circular system formalizes the transition from environmental monitoring to spatially explicit decision support, enabling iterative recalibration under evolving climatic conditions.</w:t>
      </w:r>
    </w:p>
    <w:p w14:paraId="4B69F70E" w14:textId="77777777" w:rsidR="00F34F54" w:rsidRPr="00F34F54" w:rsidRDefault="00F34F54" w:rsidP="00F34F54">
      <w:pPr>
        <w:pStyle w:val="afa"/>
        <w:spacing w:line="360" w:lineRule="auto"/>
        <w:ind w:firstLine="567"/>
      </w:pPr>
      <w:r w:rsidRPr="00F34F54">
        <w:t xml:space="preserve">Operationally, the identification of hydrothermal thresholds (LST 30–35°C; moderate precipitation pulses; soil moisture 0.60–0.75) provides actionable early-warning indicators and supports differentiated monitoring strategies across risk zones. By aligning predictive analytics </w:t>
      </w:r>
      <w:r w:rsidRPr="00F34F54">
        <w:lastRenderedPageBreak/>
        <w:t>with zonal ecological structure, the framework enhances phytosanitary precision while reducing unnecessary chemical intervention.</w:t>
      </w:r>
    </w:p>
    <w:p w14:paraId="3A425B3F" w14:textId="3B37BAE3" w:rsidR="00397A3C" w:rsidRPr="00F34F54" w:rsidRDefault="00F34F54" w:rsidP="00F34F54">
      <w:pPr>
        <w:shd w:val="clear" w:color="auto" w:fill="FFFFFF" w:themeFill="background1"/>
        <w:spacing w:line="360" w:lineRule="auto"/>
        <w:ind w:firstLine="567"/>
        <w:rPr>
          <w:color w:val="auto"/>
          <w:szCs w:val="24"/>
        </w:rPr>
      </w:pPr>
      <w:r w:rsidRPr="00F34F54">
        <w:rPr>
          <w:rStyle w:val="aff"/>
          <w:rFonts w:eastAsiaTheme="majorEastAsia"/>
          <w:b w:val="0"/>
          <w:bCs w:val="0"/>
        </w:rPr>
        <w:t xml:space="preserve">Taken together, this research demonstrates that ecologically structured machine learning is not merely a technical refinement but a necessary paradigm shift for climate-sensitive pest forecasting, establishing a transferable foundation for adaptive phytosanitary management in semi-arid agroecosystems under accelerating environmental </w:t>
      </w:r>
      <w:r w:rsidRPr="00F34F54">
        <w:rPr>
          <w:rStyle w:val="aff"/>
          <w:rFonts w:eastAsiaTheme="majorEastAsia"/>
          <w:b w:val="0"/>
          <w:bCs w:val="0"/>
          <w:color w:val="auto"/>
        </w:rPr>
        <w:t>change</w:t>
      </w:r>
      <w:r w:rsidR="00397A3C" w:rsidRPr="00F34F54">
        <w:rPr>
          <w:color w:val="auto"/>
          <w:szCs w:val="24"/>
        </w:rPr>
        <w:t>.</w:t>
      </w:r>
    </w:p>
    <w:p w14:paraId="1EB34533" w14:textId="77777777" w:rsidR="00397A3C" w:rsidRPr="00F34F54" w:rsidRDefault="00397A3C" w:rsidP="00F34F54">
      <w:pPr>
        <w:pStyle w:val="MDPI31text"/>
        <w:spacing w:line="360" w:lineRule="auto"/>
        <w:ind w:left="0" w:firstLine="567"/>
        <w:rPr>
          <w:rFonts w:ascii="Times New Roman" w:hAnsi="Times New Roman"/>
          <w:color w:val="FF0000"/>
          <w:sz w:val="24"/>
          <w:szCs w:val="24"/>
        </w:rPr>
      </w:pPr>
    </w:p>
    <w:p w14:paraId="5E7269AD" w14:textId="12DDCC5F" w:rsidR="00397A3C" w:rsidRPr="00320A9D" w:rsidRDefault="00397A3C" w:rsidP="00320A9D">
      <w:pPr>
        <w:pStyle w:val="MDPI31text"/>
        <w:spacing w:line="360" w:lineRule="auto"/>
        <w:ind w:left="0" w:firstLine="0"/>
        <w:rPr>
          <w:rFonts w:ascii="Times New Roman" w:hAnsi="Times New Roman"/>
          <w:color w:val="auto"/>
          <w:sz w:val="24"/>
          <w:szCs w:val="24"/>
        </w:rPr>
      </w:pPr>
      <w:r w:rsidRPr="00320A9D">
        <w:rPr>
          <w:rFonts w:ascii="Times New Roman" w:hAnsi="Times New Roman"/>
          <w:b/>
          <w:bCs/>
          <w:color w:val="auto"/>
          <w:sz w:val="24"/>
          <w:szCs w:val="24"/>
        </w:rPr>
        <w:t>F</w:t>
      </w:r>
      <w:r w:rsidR="00F4777F" w:rsidRPr="00320A9D">
        <w:rPr>
          <w:rFonts w:ascii="Times New Roman" w:hAnsi="Times New Roman"/>
          <w:b/>
          <w:bCs/>
          <w:color w:val="auto"/>
          <w:sz w:val="24"/>
          <w:szCs w:val="24"/>
        </w:rPr>
        <w:t>unding</w:t>
      </w:r>
      <w:r w:rsidRPr="00320A9D">
        <w:rPr>
          <w:rFonts w:ascii="Times New Roman" w:hAnsi="Times New Roman"/>
          <w:b/>
          <w:bCs/>
          <w:color w:val="auto"/>
          <w:sz w:val="24"/>
          <w:szCs w:val="24"/>
        </w:rPr>
        <w:t>:</w:t>
      </w:r>
      <w:r w:rsidRPr="00320A9D">
        <w:rPr>
          <w:rFonts w:ascii="Times New Roman" w:hAnsi="Times New Roman"/>
          <w:color w:val="auto"/>
          <w:sz w:val="24"/>
          <w:szCs w:val="24"/>
        </w:rPr>
        <w:t xml:space="preserve"> </w:t>
      </w:r>
      <w:r w:rsidR="00320A9D" w:rsidRPr="00320A9D">
        <w:rPr>
          <w:rFonts w:ascii="Times New Roman" w:hAnsi="Times New Roman"/>
          <w:color w:val="auto"/>
          <w:sz w:val="24"/>
          <w:szCs w:val="24"/>
        </w:rPr>
        <w:t>The research was carried out with financial support from the Committee of Science of the Ministry of Science and Higher Education of the Republic of Kazakhstan for 2024–2026 within the framework of the scientific project IRN AP22784639 "Development of phytosanitary forecasting models for harmful grasshoppers' population in Kazakhstan based on machine learning algorithms and GIS technologies"</w:t>
      </w:r>
      <w:r w:rsidR="00F64F16" w:rsidRPr="00320A9D">
        <w:rPr>
          <w:rFonts w:ascii="Times New Roman" w:hAnsi="Times New Roman"/>
          <w:color w:val="auto"/>
          <w:sz w:val="24"/>
          <w:szCs w:val="24"/>
        </w:rPr>
        <w:t>.</w:t>
      </w:r>
    </w:p>
    <w:p w14:paraId="664CFBDF" w14:textId="77777777" w:rsidR="00397A3C" w:rsidRPr="00320A9D" w:rsidRDefault="00397A3C" w:rsidP="00320A9D">
      <w:pPr>
        <w:pStyle w:val="MDPI31text"/>
        <w:spacing w:line="360" w:lineRule="auto"/>
        <w:ind w:left="0" w:firstLine="0"/>
        <w:rPr>
          <w:rFonts w:ascii="Times New Roman" w:hAnsi="Times New Roman"/>
          <w:color w:val="auto"/>
          <w:sz w:val="24"/>
          <w:szCs w:val="24"/>
        </w:rPr>
      </w:pPr>
    </w:p>
    <w:p w14:paraId="34F2A868" w14:textId="0515AFFB" w:rsidR="00F4777F" w:rsidRPr="0040161F" w:rsidRDefault="00F4777F" w:rsidP="00374E79">
      <w:pPr>
        <w:spacing w:line="360" w:lineRule="auto"/>
        <w:rPr>
          <w:color w:val="FF0000"/>
        </w:rPr>
      </w:pPr>
      <w:r w:rsidRPr="0040161F">
        <w:rPr>
          <w:b/>
          <w:color w:val="FF0000"/>
        </w:rPr>
        <w:t xml:space="preserve">Conflict of Interest: </w:t>
      </w:r>
      <w:r w:rsidR="00320A9D" w:rsidRPr="00320A9D">
        <w:rPr>
          <w:color w:val="FF0000"/>
        </w:rPr>
        <w:t>The authors declare that they have no conflict of interest</w:t>
      </w:r>
      <w:r w:rsidRPr="0040161F">
        <w:rPr>
          <w:color w:val="FF0000"/>
        </w:rPr>
        <w:t>.</w:t>
      </w:r>
    </w:p>
    <w:p w14:paraId="23D6B474" w14:textId="77777777" w:rsidR="00F4777F" w:rsidRPr="0040161F" w:rsidRDefault="00F4777F" w:rsidP="00374E79">
      <w:pPr>
        <w:spacing w:line="360" w:lineRule="auto"/>
        <w:rPr>
          <w:color w:val="FF0000"/>
        </w:rPr>
      </w:pPr>
    </w:p>
    <w:p w14:paraId="25A24650" w14:textId="57575085" w:rsidR="00F4777F" w:rsidRPr="0040161F" w:rsidRDefault="00F4777F" w:rsidP="00374E79">
      <w:pPr>
        <w:spacing w:line="360" w:lineRule="auto"/>
        <w:rPr>
          <w:color w:val="FF0000"/>
        </w:rPr>
      </w:pPr>
      <w:r w:rsidRPr="0040161F">
        <w:rPr>
          <w:b/>
          <w:color w:val="FF0000"/>
        </w:rPr>
        <w:t xml:space="preserve">Data Availability: </w:t>
      </w:r>
      <w:r w:rsidR="00F64F16" w:rsidRPr="0040161F">
        <w:rPr>
          <w:color w:val="FF0000"/>
        </w:rPr>
        <w:t>If you have presented all the data in the article, then write: All the data is available in the article. Alternatively, if you cannot present all the data and have additional information to share, write "Data will be available upon request."</w:t>
      </w:r>
      <w:r w:rsidRPr="0040161F">
        <w:rPr>
          <w:color w:val="FF0000"/>
        </w:rPr>
        <w:t>.</w:t>
      </w:r>
    </w:p>
    <w:p w14:paraId="0C1B93BE" w14:textId="77777777" w:rsidR="00F4777F" w:rsidRPr="0040161F" w:rsidRDefault="00F4777F" w:rsidP="00374E79">
      <w:pPr>
        <w:spacing w:line="360" w:lineRule="auto"/>
        <w:rPr>
          <w:color w:val="FF0000"/>
        </w:rPr>
      </w:pPr>
    </w:p>
    <w:p w14:paraId="4D535D9F" w14:textId="77777777" w:rsidR="00374E79" w:rsidRPr="0040161F" w:rsidRDefault="00374E79" w:rsidP="00374E79">
      <w:pPr>
        <w:pStyle w:val="style7"/>
        <w:spacing w:before="0" w:beforeAutospacing="0" w:after="0" w:afterAutospacing="0" w:line="360" w:lineRule="auto"/>
        <w:jc w:val="both"/>
        <w:rPr>
          <w:color w:val="FF0000"/>
          <w:lang w:val="en-US"/>
        </w:rPr>
      </w:pPr>
      <w:r w:rsidRPr="0040161F">
        <w:rPr>
          <w:b/>
          <w:bCs/>
          <w:color w:val="FF0000"/>
          <w:lang w:val="en-US"/>
        </w:rPr>
        <w:t xml:space="preserve">Ethics Statement: </w:t>
      </w:r>
      <w:r w:rsidRPr="0040161F">
        <w:rPr>
          <w:color w:val="FF0000"/>
          <w:lang w:val="en-US"/>
        </w:rPr>
        <w:t>State, like, the animal study was approved by the Ethics Committee of the [insert name of institute/University; approved vide number</w:t>
      </w:r>
      <w:proofErr w:type="gramStart"/>
      <w:r w:rsidRPr="0040161F">
        <w:rPr>
          <w:color w:val="FF0000"/>
          <w:lang w:val="en-US"/>
        </w:rPr>
        <w:t>: ??</w:t>
      </w:r>
      <w:proofErr w:type="gramEnd"/>
      <w:r w:rsidRPr="0040161F">
        <w:rPr>
          <w:color w:val="FF0000"/>
          <w:lang w:val="en-US"/>
        </w:rPr>
        <w:t xml:space="preserve"> Dated: ??] and conducted in accordance with local legislation and institutional requirements.</w:t>
      </w:r>
    </w:p>
    <w:p w14:paraId="26412726" w14:textId="77777777" w:rsidR="00374E79" w:rsidRPr="0040161F" w:rsidRDefault="00374E79" w:rsidP="00374E79">
      <w:pPr>
        <w:spacing w:line="360" w:lineRule="auto"/>
        <w:rPr>
          <w:color w:val="FF0000"/>
        </w:rPr>
      </w:pPr>
    </w:p>
    <w:p w14:paraId="731F9874" w14:textId="78DA7E5D" w:rsidR="00374E79" w:rsidRPr="0040161F" w:rsidRDefault="00374E79" w:rsidP="00374E79">
      <w:pPr>
        <w:spacing w:line="360" w:lineRule="auto"/>
        <w:rPr>
          <w:color w:val="FF0000"/>
        </w:rPr>
      </w:pPr>
      <w:r w:rsidRPr="0040161F">
        <w:rPr>
          <w:b/>
          <w:color w:val="FF0000"/>
        </w:rPr>
        <w:t xml:space="preserve">Authors’ Contributions: </w:t>
      </w:r>
    </w:p>
    <w:p w14:paraId="2ACC3428" w14:textId="77777777" w:rsidR="00374E79" w:rsidRPr="0040161F" w:rsidRDefault="00374E79" w:rsidP="00374E79">
      <w:pPr>
        <w:spacing w:line="360" w:lineRule="auto"/>
        <w:rPr>
          <w:color w:val="FF0000"/>
        </w:rPr>
      </w:pPr>
    </w:p>
    <w:p w14:paraId="45F3E272" w14:textId="0C23A6CF" w:rsidR="00397A3C" w:rsidRPr="0040161F" w:rsidRDefault="00397A3C" w:rsidP="00374E79">
      <w:pPr>
        <w:spacing w:line="360" w:lineRule="auto"/>
        <w:rPr>
          <w:color w:val="FF0000"/>
        </w:rPr>
      </w:pPr>
      <w:r w:rsidRPr="0040161F">
        <w:rPr>
          <w:b/>
          <w:color w:val="FF0000"/>
        </w:rPr>
        <w:t>G</w:t>
      </w:r>
      <w:r w:rsidR="00374E79" w:rsidRPr="0040161F">
        <w:rPr>
          <w:b/>
          <w:color w:val="FF0000"/>
        </w:rPr>
        <w:t>enerative</w:t>
      </w:r>
      <w:r w:rsidRPr="0040161F">
        <w:rPr>
          <w:b/>
          <w:color w:val="FF0000"/>
        </w:rPr>
        <w:t xml:space="preserve"> AI S</w:t>
      </w:r>
      <w:r w:rsidR="00374E79" w:rsidRPr="0040161F">
        <w:rPr>
          <w:b/>
          <w:color w:val="FF0000"/>
        </w:rPr>
        <w:t xml:space="preserve">tatement: </w:t>
      </w:r>
      <w:r w:rsidR="008627A2" w:rsidRPr="0040161F">
        <w:rPr>
          <w:color w:val="FF0000"/>
        </w:rPr>
        <w:t>The authors declare that no Gen AI/DeepSeek was used in the writing/creation of this manuscript</w:t>
      </w:r>
      <w:r w:rsidRPr="0040161F">
        <w:rPr>
          <w:color w:val="FF0000"/>
        </w:rPr>
        <w:t>.</w:t>
      </w:r>
    </w:p>
    <w:p w14:paraId="384301D6" w14:textId="77777777" w:rsidR="00397A3C" w:rsidRPr="0040161F" w:rsidRDefault="00397A3C" w:rsidP="00374E79">
      <w:pPr>
        <w:spacing w:line="360" w:lineRule="auto"/>
        <w:rPr>
          <w:color w:val="FF0000"/>
        </w:rPr>
      </w:pPr>
    </w:p>
    <w:p w14:paraId="068385EF" w14:textId="0C6510FA" w:rsidR="00397A3C" w:rsidRPr="00931975" w:rsidRDefault="00397A3C" w:rsidP="00397A3C">
      <w:pPr>
        <w:pStyle w:val="MDPI21heading1"/>
        <w:spacing w:before="0" w:after="120" w:line="360" w:lineRule="auto"/>
        <w:ind w:left="0"/>
        <w:rPr>
          <w:rFonts w:ascii="Times New Roman" w:hAnsi="Times New Roman"/>
          <w:color w:val="FF0000"/>
          <w:sz w:val="24"/>
          <w:szCs w:val="24"/>
        </w:rPr>
      </w:pPr>
      <w:r w:rsidRPr="00FB0687">
        <w:rPr>
          <w:rFonts w:ascii="Times New Roman" w:hAnsi="Times New Roman"/>
          <w:color w:val="auto"/>
          <w:sz w:val="24"/>
          <w:szCs w:val="24"/>
          <w:highlight w:val="yellow"/>
          <w:lang w:val="es-ES"/>
        </w:rPr>
        <w:t>REFERENCES</w:t>
      </w:r>
    </w:p>
    <w:p w14:paraId="781E2D1E" w14:textId="77777777" w:rsidR="00EB674C" w:rsidRPr="00031A62" w:rsidRDefault="00EB674C" w:rsidP="00031A62">
      <w:pPr>
        <w:pStyle w:val="afa"/>
        <w:spacing w:line="360" w:lineRule="auto"/>
        <w:ind w:left="567" w:hanging="567"/>
        <w:rPr>
          <w:color w:val="auto"/>
        </w:rPr>
      </w:pPr>
      <w:r w:rsidRPr="00031A62">
        <w:rPr>
          <w:color w:val="auto"/>
        </w:rPr>
        <w:t xml:space="preserve">Araújo, M. B., &amp; New, M. (2007). Ensemble forecasting of species distributions. </w:t>
      </w:r>
      <w:r w:rsidRPr="00031A62">
        <w:rPr>
          <w:rStyle w:val="aff0"/>
          <w:i w:val="0"/>
          <w:color w:val="auto"/>
        </w:rPr>
        <w:t>Trends in Ecology &amp; Evolution</w:t>
      </w:r>
      <w:r w:rsidRPr="00031A62">
        <w:rPr>
          <w:i/>
          <w:color w:val="auto"/>
        </w:rPr>
        <w:t>,</w:t>
      </w:r>
      <w:r w:rsidRPr="00031A62">
        <w:rPr>
          <w:color w:val="auto"/>
        </w:rPr>
        <w:t xml:space="preserve"> 22(1), 42-47. </w:t>
      </w:r>
      <w:hyperlink r:id="rId15" w:tgtFrame="_new" w:history="1">
        <w:r w:rsidRPr="00031A62">
          <w:rPr>
            <w:rStyle w:val="af1"/>
            <w:color w:val="auto"/>
          </w:rPr>
          <w:t>https://doi.org/10.1016/j.tree.2006.09.010</w:t>
        </w:r>
      </w:hyperlink>
    </w:p>
    <w:p w14:paraId="30A4407A" w14:textId="77777777" w:rsidR="00EB674C" w:rsidRPr="00031A62" w:rsidRDefault="00EB674C" w:rsidP="00031A62">
      <w:pPr>
        <w:tabs>
          <w:tab w:val="left" w:pos="709"/>
        </w:tabs>
        <w:spacing w:line="360" w:lineRule="auto"/>
        <w:ind w:left="567" w:hanging="567"/>
        <w:rPr>
          <w:szCs w:val="24"/>
          <w:lang w:val="es-ES"/>
        </w:rPr>
      </w:pPr>
      <w:r w:rsidRPr="00031A62">
        <w:rPr>
          <w:szCs w:val="24"/>
        </w:rPr>
        <w:t xml:space="preserve">Azhbenov, V. K., Baibussenov, K. S., Sarbaev, A. T., &amp; Harizanova, V. B. (2015). Preventive approach of phytosanitary control of locust pests in Kazakhstan and adjacent areas. In </w:t>
      </w:r>
      <w:r w:rsidRPr="00031A62">
        <w:rPr>
          <w:szCs w:val="24"/>
        </w:rPr>
        <w:lastRenderedPageBreak/>
        <w:t xml:space="preserve">Proceedings of the </w:t>
      </w:r>
      <w:r w:rsidRPr="00031A62">
        <w:rPr>
          <w:iCs/>
          <w:szCs w:val="24"/>
        </w:rPr>
        <w:t>International conference on agricultural, ecological and medical sciences (AEMS-2015), February 10-11, 2015, Penang, Malaysia</w:t>
      </w:r>
      <w:r w:rsidRPr="00031A62">
        <w:rPr>
          <w:szCs w:val="24"/>
          <w:lang w:val="kk-KZ"/>
        </w:rPr>
        <w:t xml:space="preserve"> </w:t>
      </w:r>
      <w:r w:rsidRPr="00031A62">
        <w:rPr>
          <w:szCs w:val="24"/>
        </w:rPr>
        <w:t xml:space="preserve">(pp. 33-37). </w:t>
      </w:r>
      <w:hyperlink r:id="rId16" w:history="1">
        <w:r w:rsidRPr="00031A62">
          <w:rPr>
            <w:rStyle w:val="af1"/>
            <w:color w:val="auto"/>
            <w:szCs w:val="24"/>
            <w:lang w:val="es-ES"/>
          </w:rPr>
          <w:t>http://dx.doi.org/10.15242/IICBE.C0215122</w:t>
        </w:r>
      </w:hyperlink>
    </w:p>
    <w:p w14:paraId="284A45EA" w14:textId="77777777" w:rsidR="00EB674C" w:rsidRPr="00031A62" w:rsidRDefault="00EB674C" w:rsidP="00031A62">
      <w:pPr>
        <w:tabs>
          <w:tab w:val="left" w:pos="709"/>
        </w:tabs>
        <w:spacing w:line="360" w:lineRule="auto"/>
        <w:ind w:left="567" w:hanging="567"/>
        <w:rPr>
          <w:szCs w:val="24"/>
          <w:lang w:val="es-ES"/>
        </w:rPr>
      </w:pPr>
      <w:r w:rsidRPr="00031A62">
        <w:rPr>
          <w:szCs w:val="24"/>
          <w:lang w:val="es-ES"/>
        </w:rPr>
        <w:t xml:space="preserve">Baibussenov, K., Bekbayeva, A., &amp; Azhbenov, V. (2022). </w:t>
      </w:r>
      <w:r w:rsidRPr="00031A62">
        <w:rPr>
          <w:szCs w:val="24"/>
        </w:rPr>
        <w:t xml:space="preserve">GIS-based potential distribution modeling for harmful non-gregarious locusts in agricultural areas of Northern Kazakhstan to improve preventive pest management. In Proceedings of the </w:t>
      </w:r>
      <w:r w:rsidRPr="00031A62">
        <w:rPr>
          <w:rStyle w:val="organictextcontentspan"/>
          <w:rFonts w:eastAsiaTheme="majorEastAsia"/>
          <w:bCs/>
          <w:color w:val="auto"/>
          <w:szCs w:val="24"/>
        </w:rPr>
        <w:t>24th</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Paris</w:t>
      </w:r>
      <w:r w:rsidRPr="00031A62">
        <w:rPr>
          <w:rStyle w:val="organictextcontentspan"/>
          <w:rFonts w:eastAsiaTheme="majorEastAsia"/>
          <w:color w:val="auto"/>
          <w:szCs w:val="24"/>
        </w:rPr>
        <w:t xml:space="preserve"> International </w:t>
      </w:r>
      <w:r w:rsidRPr="00031A62">
        <w:rPr>
          <w:rStyle w:val="organictextcontentspan"/>
          <w:rFonts w:eastAsiaTheme="majorEastAsia"/>
          <w:bCs/>
          <w:color w:val="auto"/>
          <w:szCs w:val="24"/>
        </w:rPr>
        <w:t>conference</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on</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advances</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on</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chemical</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agricultural</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biological</w:t>
      </w:r>
      <w:r w:rsidRPr="00031A62">
        <w:rPr>
          <w:rStyle w:val="organictextcontentspan"/>
          <w:rFonts w:eastAsiaTheme="majorEastAsia"/>
          <w:color w:val="auto"/>
          <w:szCs w:val="24"/>
        </w:rPr>
        <w:t xml:space="preserve"> &amp; </w:t>
      </w:r>
      <w:r w:rsidRPr="00031A62">
        <w:rPr>
          <w:rStyle w:val="organictextcontentspan"/>
          <w:rFonts w:eastAsiaTheme="majorEastAsia"/>
          <w:bCs/>
          <w:color w:val="auto"/>
          <w:szCs w:val="24"/>
        </w:rPr>
        <w:t>environmental</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sciences</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CABES</w:t>
      </w:r>
      <w:r w:rsidRPr="00031A62">
        <w:rPr>
          <w:rStyle w:val="organictextcontentspan"/>
          <w:rFonts w:eastAsiaTheme="majorEastAsia"/>
          <w:color w:val="auto"/>
          <w:szCs w:val="24"/>
        </w:rPr>
        <w:t>-</w:t>
      </w:r>
      <w:r w:rsidRPr="00031A62">
        <w:rPr>
          <w:rStyle w:val="organictextcontentspan"/>
          <w:rFonts w:eastAsiaTheme="majorEastAsia"/>
          <w:bCs/>
          <w:color w:val="auto"/>
          <w:szCs w:val="24"/>
        </w:rPr>
        <w:t>22</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April</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19</w:t>
      </w:r>
      <w:r w:rsidRPr="00031A62">
        <w:rPr>
          <w:rStyle w:val="organictextcontentspan"/>
          <w:rFonts w:eastAsiaTheme="majorEastAsia"/>
          <w:color w:val="auto"/>
          <w:szCs w:val="24"/>
        </w:rPr>
        <w:t>-</w:t>
      </w:r>
      <w:r w:rsidRPr="00031A62">
        <w:rPr>
          <w:rStyle w:val="organictextcontentspan"/>
          <w:rFonts w:eastAsiaTheme="majorEastAsia"/>
          <w:bCs/>
          <w:color w:val="auto"/>
          <w:szCs w:val="24"/>
        </w:rPr>
        <w:t>21</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2022,</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Paris</w:t>
      </w:r>
      <w:r w:rsidRPr="00031A62">
        <w:rPr>
          <w:rStyle w:val="organictextcontentspan"/>
          <w:rFonts w:eastAsiaTheme="majorEastAsia"/>
          <w:color w:val="auto"/>
          <w:szCs w:val="24"/>
        </w:rPr>
        <w:t xml:space="preserve">, </w:t>
      </w:r>
      <w:r w:rsidRPr="00031A62">
        <w:rPr>
          <w:rStyle w:val="organictextcontentspan"/>
          <w:rFonts w:eastAsiaTheme="majorEastAsia"/>
          <w:bCs/>
          <w:color w:val="auto"/>
          <w:szCs w:val="24"/>
        </w:rPr>
        <w:t>France</w:t>
      </w:r>
      <w:r w:rsidRPr="00031A62">
        <w:rPr>
          <w:szCs w:val="24"/>
          <w:lang w:val="kk-KZ"/>
        </w:rPr>
        <w:t xml:space="preserve"> </w:t>
      </w:r>
      <w:r w:rsidRPr="00031A62">
        <w:rPr>
          <w:szCs w:val="24"/>
        </w:rPr>
        <w:t xml:space="preserve">(pp. 48-56). </w:t>
      </w:r>
      <w:hyperlink r:id="rId17" w:history="1">
        <w:r w:rsidRPr="00031A62">
          <w:rPr>
            <w:rStyle w:val="af1"/>
            <w:color w:val="auto"/>
            <w:szCs w:val="24"/>
            <w:lang w:val="es-ES"/>
          </w:rPr>
          <w:t>https://doi.org/10.17758/EARES11.EAP0422106</w:t>
        </w:r>
      </w:hyperlink>
    </w:p>
    <w:p w14:paraId="04BC1565" w14:textId="77777777" w:rsidR="002C7DDA" w:rsidRPr="00031A62" w:rsidRDefault="002C7DDA" w:rsidP="00031A62">
      <w:pPr>
        <w:spacing w:line="360" w:lineRule="auto"/>
        <w:ind w:left="567" w:hanging="567"/>
        <w:rPr>
          <w:szCs w:val="24"/>
        </w:rPr>
      </w:pPr>
      <w:r w:rsidRPr="00031A62">
        <w:rPr>
          <w:szCs w:val="24"/>
          <w:lang w:val="kk-KZ"/>
        </w:rPr>
        <w:t xml:space="preserve">Baibussenov, K., Bekbayeva, A., &amp; Azhbenov, V. (2024). </w:t>
      </w:r>
      <w:r w:rsidRPr="00031A62">
        <w:rPr>
          <w:szCs w:val="24"/>
        </w:rPr>
        <w:t xml:space="preserve">Simulation of favourable habitats and potential spread for non-gregarious locust pests for preventive measures in North Kazakhstan based on satellite data. </w:t>
      </w:r>
      <w:r w:rsidRPr="00031A62">
        <w:rPr>
          <w:iCs/>
          <w:szCs w:val="24"/>
        </w:rPr>
        <w:t>Innovations in Biological Science, 6</w:t>
      </w:r>
      <w:r w:rsidRPr="00031A62">
        <w:rPr>
          <w:szCs w:val="24"/>
        </w:rPr>
        <w:t xml:space="preserve">, 153-174. </w:t>
      </w:r>
      <w:hyperlink r:id="rId18" w:history="1">
        <w:r w:rsidRPr="00031A62">
          <w:rPr>
            <w:rStyle w:val="af1"/>
            <w:color w:val="auto"/>
            <w:szCs w:val="24"/>
          </w:rPr>
          <w:t>https://doi.org/10.9734/bpi/ibs/v6/715</w:t>
        </w:r>
      </w:hyperlink>
    </w:p>
    <w:p w14:paraId="50BE7478" w14:textId="7F4E0DFA" w:rsidR="00EB674C" w:rsidRPr="00031A62" w:rsidRDefault="00EB674C" w:rsidP="00031A62">
      <w:pPr>
        <w:spacing w:line="360" w:lineRule="auto"/>
        <w:ind w:left="567" w:hanging="567"/>
        <w:rPr>
          <w:szCs w:val="24"/>
        </w:rPr>
      </w:pPr>
      <w:r w:rsidRPr="00031A62">
        <w:rPr>
          <w:szCs w:val="24"/>
        </w:rPr>
        <w:t xml:space="preserve">Bale, J. S., Masters, G. J., Hodkinson, I. D., Awmack, C., Bezemer, T. M., Brown, V. K., Butterfield, J., Buse, A., Coulson, J. C., Farrar, J., Good, J. E. G., Harrington, R., Hartley, S., Jones, T. H., Lindroth, R. L., Press, M. C., Symrnioudis, I., Watt, A. D., Whittaker, J. B. &amp; Whittaker, J. B. (2002). Herbivory in global climate change research: direct effects of rising temperature on insect herbivores. </w:t>
      </w:r>
      <w:r w:rsidRPr="00031A62">
        <w:rPr>
          <w:iCs/>
          <w:szCs w:val="24"/>
        </w:rPr>
        <w:t>Global Change Biology</w:t>
      </w:r>
      <w:r w:rsidRPr="00031A62">
        <w:rPr>
          <w:szCs w:val="24"/>
        </w:rPr>
        <w:t xml:space="preserve">, </w:t>
      </w:r>
      <w:r w:rsidRPr="00031A62">
        <w:rPr>
          <w:iCs/>
          <w:szCs w:val="24"/>
        </w:rPr>
        <w:t>8</w:t>
      </w:r>
      <w:r w:rsidRPr="00031A62">
        <w:rPr>
          <w:szCs w:val="24"/>
        </w:rPr>
        <w:t>(1), 1-16. https://doi.org/10.1046/j.1365-2486.2002.00451.x</w:t>
      </w:r>
    </w:p>
    <w:p w14:paraId="77FC4ED0" w14:textId="77777777" w:rsidR="0067206E" w:rsidRPr="00031A62" w:rsidRDefault="0067206E" w:rsidP="00031A62">
      <w:pPr>
        <w:pStyle w:val="afa"/>
        <w:spacing w:line="360" w:lineRule="auto"/>
        <w:ind w:left="567" w:hanging="567"/>
        <w:rPr>
          <w:color w:val="auto"/>
        </w:rPr>
      </w:pPr>
      <w:r w:rsidRPr="00031A62">
        <w:rPr>
          <w:color w:val="auto"/>
        </w:rPr>
        <w:t xml:space="preserve">Belovsky, G. E., &amp; Slade, J. B. (1995). Dynamics of two Montana grasshopper populations: Relationships among weather, food abundance and intraspecific competition. </w:t>
      </w:r>
      <w:r w:rsidRPr="00031A62">
        <w:rPr>
          <w:rStyle w:val="aff0"/>
          <w:i w:val="0"/>
          <w:color w:val="auto"/>
        </w:rPr>
        <w:t>Oecologia</w:t>
      </w:r>
      <w:r w:rsidRPr="00031A62">
        <w:rPr>
          <w:i/>
          <w:color w:val="auto"/>
        </w:rPr>
        <w:t xml:space="preserve">, </w:t>
      </w:r>
      <w:r w:rsidRPr="00031A62">
        <w:rPr>
          <w:color w:val="auto"/>
        </w:rPr>
        <w:t>101(3), 383-396. https://doi.org/10.1007/bf00328826</w:t>
      </w:r>
    </w:p>
    <w:p w14:paraId="528002AA" w14:textId="6CE63B0A" w:rsidR="002E6641" w:rsidRPr="00031A62" w:rsidRDefault="00931975" w:rsidP="00031A62">
      <w:pPr>
        <w:spacing w:line="360" w:lineRule="auto"/>
        <w:ind w:left="567" w:hanging="567"/>
        <w:rPr>
          <w:szCs w:val="24"/>
        </w:rPr>
      </w:pPr>
      <w:r w:rsidRPr="00931975">
        <w:rPr>
          <w:szCs w:val="24"/>
        </w:rPr>
        <w:t xml:space="preserve">Branson, D. H., Joern, A., &amp; Sword, G. A. (2006). Sustainable management of insect herbivores in grassland ecosystems: New perspectives in grasshopper control. BioScience, 56(9), 743-755. </w:t>
      </w:r>
      <w:hyperlink r:id="rId19" w:history="1">
        <w:r w:rsidRPr="002715E4">
          <w:rPr>
            <w:rStyle w:val="af1"/>
            <w:szCs w:val="24"/>
          </w:rPr>
          <w:t>https://doi.org/10.1641/0006-3568(2006)56[743:SMOIHI]2.0.CO;2</w:t>
        </w:r>
      </w:hyperlink>
      <w:r>
        <w:rPr>
          <w:szCs w:val="24"/>
        </w:rPr>
        <w:t xml:space="preserve"> </w:t>
      </w:r>
    </w:p>
    <w:p w14:paraId="070A62EE" w14:textId="77777777" w:rsidR="002C7DDA" w:rsidRPr="00031A62" w:rsidRDefault="002C7DDA" w:rsidP="00031A62">
      <w:pPr>
        <w:spacing w:line="360" w:lineRule="auto"/>
        <w:ind w:left="567" w:hanging="567"/>
        <w:rPr>
          <w:szCs w:val="24"/>
        </w:rPr>
      </w:pPr>
      <w:r w:rsidRPr="00031A62">
        <w:rPr>
          <w:szCs w:val="24"/>
        </w:rPr>
        <w:t xml:space="preserve">Breiman, L. (2001). Random forests. </w:t>
      </w:r>
      <w:r w:rsidRPr="00031A62">
        <w:rPr>
          <w:rStyle w:val="aff0"/>
          <w:i w:val="0"/>
          <w:color w:val="auto"/>
          <w:szCs w:val="24"/>
        </w:rPr>
        <w:t>Machine Learning</w:t>
      </w:r>
      <w:r w:rsidRPr="00031A62">
        <w:rPr>
          <w:i/>
          <w:szCs w:val="24"/>
        </w:rPr>
        <w:t>,</w:t>
      </w:r>
      <w:r w:rsidRPr="00031A62">
        <w:rPr>
          <w:szCs w:val="24"/>
        </w:rPr>
        <w:t xml:space="preserve"> 45, 5-32. https://doi.org/10.1023/A:1010933404324</w:t>
      </w:r>
    </w:p>
    <w:p w14:paraId="263D6EF7" w14:textId="72F5AB80" w:rsidR="002E6641" w:rsidRPr="00031A62" w:rsidRDefault="002E6641" w:rsidP="00031A62">
      <w:pPr>
        <w:tabs>
          <w:tab w:val="left" w:pos="709"/>
        </w:tabs>
        <w:spacing w:line="360" w:lineRule="auto"/>
        <w:ind w:left="567" w:hanging="567"/>
        <w:rPr>
          <w:szCs w:val="24"/>
        </w:rPr>
      </w:pPr>
      <w:r w:rsidRPr="00031A62">
        <w:rPr>
          <w:rStyle w:val="aff"/>
          <w:rFonts w:eastAsiaTheme="majorEastAsia"/>
          <w:b w:val="0"/>
          <w:bCs w:val="0"/>
          <w:color w:val="auto"/>
          <w:szCs w:val="24"/>
        </w:rPr>
        <w:t>Childebaev, M. K. (2017).</w:t>
      </w:r>
      <w:r w:rsidRPr="00031A62">
        <w:rPr>
          <w:szCs w:val="24"/>
        </w:rPr>
        <w:t xml:space="preserve"> </w:t>
      </w:r>
      <w:r w:rsidR="00D54353" w:rsidRPr="00031A62">
        <w:rPr>
          <w:szCs w:val="24"/>
        </w:rPr>
        <w:t>Materials on the fauna and ecology of orthopteran insects (orthoptera) of karaganda region (Central Kazakhstan)</w:t>
      </w:r>
      <w:r w:rsidRPr="00031A62">
        <w:rPr>
          <w:szCs w:val="24"/>
        </w:rPr>
        <w:t xml:space="preserve">. </w:t>
      </w:r>
      <w:r w:rsidR="00D54353" w:rsidRPr="00031A62">
        <w:rPr>
          <w:rStyle w:val="aff0"/>
          <w:i w:val="0"/>
          <w:color w:val="auto"/>
          <w:szCs w:val="24"/>
        </w:rPr>
        <w:t>News of the National Academy of Sciences of the Republic of Kazakhstan. Series of Biological and Medical</w:t>
      </w:r>
      <w:r w:rsidRPr="00031A62">
        <w:rPr>
          <w:szCs w:val="24"/>
        </w:rPr>
        <w:t>,</w:t>
      </w:r>
      <w:r w:rsidR="008F228C" w:rsidRPr="00031A62">
        <w:rPr>
          <w:szCs w:val="24"/>
        </w:rPr>
        <w:t xml:space="preserve"> 3(321),</w:t>
      </w:r>
      <w:r w:rsidRPr="00031A62">
        <w:rPr>
          <w:szCs w:val="24"/>
        </w:rPr>
        <w:t xml:space="preserve"> 113</w:t>
      </w:r>
      <w:r w:rsidR="004F4700" w:rsidRPr="00031A62">
        <w:rPr>
          <w:szCs w:val="24"/>
        </w:rPr>
        <w:t>-</w:t>
      </w:r>
      <w:r w:rsidRPr="00031A62">
        <w:rPr>
          <w:szCs w:val="24"/>
        </w:rPr>
        <w:t>119.</w:t>
      </w:r>
      <w:r w:rsidRPr="00031A62">
        <w:rPr>
          <w:szCs w:val="24"/>
          <w:lang w:val="kk-KZ"/>
        </w:rPr>
        <w:t xml:space="preserve"> </w:t>
      </w:r>
      <w:r w:rsidR="00D54353" w:rsidRPr="00031A62">
        <w:rPr>
          <w:szCs w:val="24"/>
        </w:rPr>
        <w:t>(in Russian)</w:t>
      </w:r>
    </w:p>
    <w:p w14:paraId="67F1CE85" w14:textId="77777777" w:rsidR="002C7DDA" w:rsidRPr="00031A62" w:rsidRDefault="002C7DDA" w:rsidP="00031A62">
      <w:pPr>
        <w:spacing w:line="360" w:lineRule="auto"/>
        <w:ind w:left="567" w:hanging="567"/>
        <w:rPr>
          <w:szCs w:val="24"/>
          <w:lang w:val="kk-KZ"/>
        </w:rPr>
      </w:pPr>
      <w:r w:rsidRPr="00031A62">
        <w:rPr>
          <w:szCs w:val="24"/>
        </w:rPr>
        <w:t xml:space="preserve">Congalton, R. G., &amp; Green, K. (2019). </w:t>
      </w:r>
      <w:r w:rsidRPr="00031A62">
        <w:rPr>
          <w:iCs/>
          <w:szCs w:val="24"/>
        </w:rPr>
        <w:t>Assessing the accuracy of remotely sensed data: Principles and practices</w:t>
      </w:r>
      <w:r w:rsidRPr="00031A62">
        <w:rPr>
          <w:szCs w:val="24"/>
        </w:rPr>
        <w:t>. Boca Raton: CRC Press.</w:t>
      </w:r>
      <w:r w:rsidRPr="00031A62">
        <w:rPr>
          <w:szCs w:val="24"/>
          <w:lang w:val="kk-KZ"/>
        </w:rPr>
        <w:t xml:space="preserve"> </w:t>
      </w:r>
    </w:p>
    <w:p w14:paraId="110F455D" w14:textId="77777777" w:rsidR="002C7DDA" w:rsidRPr="00031A62" w:rsidRDefault="002C7DDA" w:rsidP="00031A62">
      <w:pPr>
        <w:spacing w:line="360" w:lineRule="auto"/>
        <w:ind w:left="567" w:hanging="567"/>
        <w:rPr>
          <w:szCs w:val="24"/>
          <w:lang w:val="kk-KZ"/>
        </w:rPr>
      </w:pPr>
      <w:r w:rsidRPr="00031A62">
        <w:rPr>
          <w:szCs w:val="24"/>
        </w:rPr>
        <w:lastRenderedPageBreak/>
        <w:t xml:space="preserve">Cutler, D. R., Edwards Jr, T. C., Beard, K. H., Cutler, A., Hess, K. T., Gibson, J., &amp; Lawler, J. J. (2007). Random forests for classification in ecology. </w:t>
      </w:r>
      <w:r w:rsidRPr="00031A62">
        <w:rPr>
          <w:iCs/>
          <w:szCs w:val="24"/>
        </w:rPr>
        <w:t>Ecology</w:t>
      </w:r>
      <w:r w:rsidRPr="00031A62">
        <w:rPr>
          <w:szCs w:val="24"/>
        </w:rPr>
        <w:t xml:space="preserve">, </w:t>
      </w:r>
      <w:r w:rsidRPr="00031A62">
        <w:rPr>
          <w:iCs/>
          <w:szCs w:val="24"/>
        </w:rPr>
        <w:t>88</w:t>
      </w:r>
      <w:r w:rsidRPr="00031A62">
        <w:rPr>
          <w:szCs w:val="24"/>
        </w:rPr>
        <w:t>(11), 2783-2792.</w:t>
      </w:r>
      <w:r w:rsidRPr="00031A62">
        <w:rPr>
          <w:szCs w:val="24"/>
          <w:lang w:val="kk-KZ"/>
        </w:rPr>
        <w:t xml:space="preserve"> </w:t>
      </w:r>
      <w:hyperlink r:id="rId20" w:history="1">
        <w:r w:rsidRPr="00031A62">
          <w:rPr>
            <w:rStyle w:val="af1"/>
            <w:color w:val="auto"/>
            <w:szCs w:val="24"/>
            <w:lang w:val="kk-KZ"/>
          </w:rPr>
          <w:t>https://doi.org/10.1890/07-0539.1</w:t>
        </w:r>
      </w:hyperlink>
    </w:p>
    <w:p w14:paraId="0CB588BF" w14:textId="77777777" w:rsidR="002C7DDA" w:rsidRPr="00031A62" w:rsidRDefault="002C7DDA" w:rsidP="00031A62">
      <w:pPr>
        <w:spacing w:line="360" w:lineRule="auto"/>
        <w:ind w:left="567" w:hanging="567"/>
        <w:rPr>
          <w:szCs w:val="24"/>
          <w:lang w:val="kk-KZ"/>
        </w:rPr>
      </w:pPr>
      <w:r w:rsidRPr="00031A62">
        <w:rPr>
          <w:szCs w:val="24"/>
          <w:lang w:val="pt-BR"/>
        </w:rPr>
        <w:t xml:space="preserve">de Oliveira Aparecido, L. E., de Souza Rolim, G., da Silva Cabral De Moraes, J. R., Costa, C. T. S., &amp; de Souza, P. S. (2020). </w:t>
      </w:r>
      <w:r w:rsidRPr="00031A62">
        <w:rPr>
          <w:szCs w:val="24"/>
        </w:rPr>
        <w:t xml:space="preserve">Machine learning algorithms for forecasting the incidence of Coffea arabica pests and diseases. </w:t>
      </w:r>
      <w:r w:rsidRPr="00031A62">
        <w:rPr>
          <w:iCs/>
          <w:szCs w:val="24"/>
        </w:rPr>
        <w:t>International Journal of Biometeorology</w:t>
      </w:r>
      <w:r w:rsidRPr="00031A62">
        <w:rPr>
          <w:szCs w:val="24"/>
        </w:rPr>
        <w:t xml:space="preserve">, </w:t>
      </w:r>
      <w:r w:rsidRPr="00031A62">
        <w:rPr>
          <w:iCs/>
          <w:szCs w:val="24"/>
        </w:rPr>
        <w:t>64</w:t>
      </w:r>
      <w:r w:rsidRPr="00031A62">
        <w:rPr>
          <w:szCs w:val="24"/>
        </w:rPr>
        <w:t>(4), 671-688.</w:t>
      </w:r>
      <w:r w:rsidRPr="00031A62">
        <w:rPr>
          <w:szCs w:val="24"/>
          <w:lang w:val="kk-KZ"/>
        </w:rPr>
        <w:t xml:space="preserve"> </w:t>
      </w:r>
      <w:hyperlink r:id="rId21" w:history="1">
        <w:r w:rsidRPr="00031A62">
          <w:rPr>
            <w:rStyle w:val="af1"/>
            <w:color w:val="auto"/>
            <w:szCs w:val="24"/>
            <w:lang w:val="kk-KZ"/>
          </w:rPr>
          <w:t>https://doi.org/10.1007/s00484-019-01856-1</w:t>
        </w:r>
      </w:hyperlink>
    </w:p>
    <w:p w14:paraId="34839D73" w14:textId="1E163318" w:rsidR="00EB674C" w:rsidRPr="00031A62" w:rsidRDefault="00EB674C" w:rsidP="00031A62">
      <w:pPr>
        <w:spacing w:line="360" w:lineRule="auto"/>
        <w:ind w:left="567" w:hanging="567"/>
        <w:rPr>
          <w:szCs w:val="24"/>
          <w:lang w:val="es-ES"/>
        </w:rPr>
      </w:pPr>
      <w:r w:rsidRPr="00031A62">
        <w:rPr>
          <w:szCs w:val="24"/>
        </w:rPr>
        <w:t xml:space="preserve">Deutsch, C. A., Tewksbury, J. J., Huey, R. B., Sheldon, K. S., Ghalambor, C. K., Haak, D. C., &amp; Martin, P. R. (2008). Impacts of climate warming on terrestrial ectotherms across latitude. </w:t>
      </w:r>
      <w:r w:rsidRPr="00031A62">
        <w:rPr>
          <w:iCs/>
          <w:szCs w:val="24"/>
        </w:rPr>
        <w:t>Proceedings of the National Academy of Sciences</w:t>
      </w:r>
      <w:r w:rsidRPr="00031A62">
        <w:rPr>
          <w:szCs w:val="24"/>
        </w:rPr>
        <w:t xml:space="preserve">, </w:t>
      </w:r>
      <w:r w:rsidRPr="00031A62">
        <w:rPr>
          <w:iCs/>
          <w:szCs w:val="24"/>
        </w:rPr>
        <w:t>105</w:t>
      </w:r>
      <w:r w:rsidRPr="00031A62">
        <w:rPr>
          <w:szCs w:val="24"/>
        </w:rPr>
        <w:t xml:space="preserve">(18), 6668-6672. </w:t>
      </w:r>
      <w:hyperlink r:id="rId22" w:history="1">
        <w:r w:rsidRPr="00031A62">
          <w:rPr>
            <w:rStyle w:val="af1"/>
            <w:color w:val="auto"/>
            <w:szCs w:val="24"/>
            <w:lang w:val="es-ES"/>
          </w:rPr>
          <w:t>https://doi.org/10.1073</w:t>
        </w:r>
        <w:r w:rsidRPr="00031A62">
          <w:rPr>
            <w:rStyle w:val="af1"/>
            <w:color w:val="auto"/>
            <w:szCs w:val="24"/>
            <w:lang w:val="kk-KZ"/>
          </w:rPr>
          <w:t>/</w:t>
        </w:r>
        <w:r w:rsidRPr="00031A62">
          <w:rPr>
            <w:rStyle w:val="af1"/>
            <w:color w:val="auto"/>
            <w:szCs w:val="24"/>
            <w:lang w:val="es-ES"/>
          </w:rPr>
          <w:t>pnas.0709472105</w:t>
        </w:r>
      </w:hyperlink>
    </w:p>
    <w:p w14:paraId="09DF6303" w14:textId="77777777" w:rsidR="002C7DDA" w:rsidRPr="00031A62" w:rsidRDefault="002C7DDA" w:rsidP="00031A62">
      <w:pPr>
        <w:spacing w:line="360" w:lineRule="auto"/>
        <w:ind w:left="567" w:hanging="567"/>
        <w:rPr>
          <w:szCs w:val="24"/>
          <w:lang w:val="kk-KZ"/>
        </w:rPr>
      </w:pPr>
      <w:r w:rsidRPr="00031A62">
        <w:rPr>
          <w:szCs w:val="24"/>
          <w:lang w:val="es-ES"/>
        </w:rPr>
        <w:t>Didan, K., Munoz, A. B., Solano, R., &amp; Huete, A. (201</w:t>
      </w:r>
      <w:r w:rsidRPr="00031A62">
        <w:rPr>
          <w:szCs w:val="24"/>
          <w:lang w:val="kk-KZ"/>
        </w:rPr>
        <w:t>9</w:t>
      </w:r>
      <w:r w:rsidRPr="00031A62">
        <w:rPr>
          <w:szCs w:val="24"/>
          <w:lang w:val="es-ES"/>
        </w:rPr>
        <w:t xml:space="preserve">). </w:t>
      </w:r>
      <w:r w:rsidRPr="00031A62">
        <w:rPr>
          <w:szCs w:val="24"/>
        </w:rPr>
        <w:t xml:space="preserve">MODIS vegetation index user’s guide (MOD13 series). </w:t>
      </w:r>
      <w:r w:rsidRPr="00031A62">
        <w:rPr>
          <w:iCs/>
          <w:szCs w:val="24"/>
        </w:rPr>
        <w:t>University of Arizona: Vegetation index and Phenology Lab</w:t>
      </w:r>
      <w:r w:rsidRPr="00031A62">
        <w:rPr>
          <w:szCs w:val="24"/>
        </w:rPr>
        <w:t xml:space="preserve">, </w:t>
      </w:r>
      <w:r w:rsidRPr="00031A62">
        <w:rPr>
          <w:iCs/>
          <w:szCs w:val="24"/>
        </w:rPr>
        <w:t>35</w:t>
      </w:r>
      <w:r w:rsidRPr="00031A62">
        <w:rPr>
          <w:szCs w:val="24"/>
        </w:rPr>
        <w:t>, 2-33.</w:t>
      </w:r>
      <w:r w:rsidRPr="00031A62">
        <w:rPr>
          <w:szCs w:val="24"/>
          <w:lang w:val="kk-KZ"/>
        </w:rPr>
        <w:t xml:space="preserve"> </w:t>
      </w:r>
      <w:hyperlink r:id="rId23" w:history="1">
        <w:r w:rsidRPr="00031A62">
          <w:rPr>
            <w:rStyle w:val="af1"/>
            <w:color w:val="auto"/>
            <w:szCs w:val="24"/>
            <w:lang w:val="kk-KZ"/>
          </w:rPr>
          <w:t>https://vip.arizona.edu/MODIS_ATBD.php</w:t>
        </w:r>
      </w:hyperlink>
    </w:p>
    <w:p w14:paraId="6AB8FB50" w14:textId="77777777" w:rsidR="00EB674C" w:rsidRPr="00031A62" w:rsidRDefault="00EB674C" w:rsidP="00031A62">
      <w:pPr>
        <w:pStyle w:val="afa"/>
        <w:spacing w:line="360" w:lineRule="auto"/>
        <w:ind w:left="567" w:hanging="567"/>
        <w:rPr>
          <w:color w:val="auto"/>
        </w:rPr>
      </w:pPr>
      <w:r w:rsidRPr="00031A62">
        <w:rPr>
          <w:color w:val="auto"/>
          <w:lang w:val="kk-KZ"/>
        </w:rPr>
        <w:t xml:space="preserve">Dormann, C. F., Elith, J., Bacher, S., Buchmann, C., Carl, G., Carré, G., García Marquéz, J. R., Gruber, B., Lafourcade, B., Leitão, P. J., Münkemüller, T., McClean, C., Osborne, P. E., Reineking, B., Schröder, B., Skidmore, A. K., Zurell, D., &amp; Lautenbach, S. (2013). </w:t>
      </w:r>
      <w:r w:rsidRPr="00031A62">
        <w:rPr>
          <w:color w:val="auto"/>
        </w:rPr>
        <w:t xml:space="preserve">Collinearity: A review of methods to deal with it and a simulation study evaluating their performance. </w:t>
      </w:r>
      <w:r w:rsidRPr="00031A62">
        <w:rPr>
          <w:rStyle w:val="aff0"/>
          <w:i w:val="0"/>
          <w:color w:val="auto"/>
        </w:rPr>
        <w:t>Ecography</w:t>
      </w:r>
      <w:r w:rsidRPr="00031A62">
        <w:rPr>
          <w:color w:val="auto"/>
        </w:rPr>
        <w:t xml:space="preserve">, 36(1), 27-46. </w:t>
      </w:r>
      <w:hyperlink r:id="rId24" w:tgtFrame="_new" w:history="1">
        <w:r w:rsidRPr="00031A62">
          <w:rPr>
            <w:rStyle w:val="af1"/>
            <w:color w:val="auto"/>
          </w:rPr>
          <w:t>https://doi.org/10.1111/j.1600-0587.2012.07348.x</w:t>
        </w:r>
      </w:hyperlink>
    </w:p>
    <w:p w14:paraId="33E0701D" w14:textId="77777777" w:rsidR="002C7DDA" w:rsidRPr="00031A62" w:rsidRDefault="002C7DDA" w:rsidP="00031A62">
      <w:pPr>
        <w:spacing w:line="360" w:lineRule="auto"/>
        <w:ind w:left="567" w:hanging="567"/>
        <w:rPr>
          <w:szCs w:val="24"/>
        </w:rPr>
      </w:pPr>
      <w:r w:rsidRPr="00031A62">
        <w:rPr>
          <w:szCs w:val="24"/>
        </w:rPr>
        <w:t xml:space="preserve">Dubrovin, V. V., Teniaeva, O. L., &amp; Kritskaia, V. P. (2011). Metody fitosanitarnogo monitoringa v zashchite rastenii ot vrednykh nasekomykh [Methods of phytosanitary monitoring in the protection of plants from harmful </w:t>
      </w:r>
      <w:r w:rsidRPr="00031A62">
        <w:rPr>
          <w:rStyle w:val="rynqvb"/>
          <w:color w:val="auto"/>
          <w:szCs w:val="24"/>
          <w:lang w:val="en"/>
        </w:rPr>
        <w:t>insects</w:t>
      </w:r>
      <w:r w:rsidRPr="00031A62">
        <w:rPr>
          <w:szCs w:val="24"/>
        </w:rPr>
        <w:t>]. Saratov: Saratov State Agrarian University named after N. I. Vavilov, 230 p.</w:t>
      </w:r>
    </w:p>
    <w:p w14:paraId="29025DBD" w14:textId="77777777" w:rsidR="00EB674C" w:rsidRPr="00031A62" w:rsidRDefault="00EB674C" w:rsidP="00031A62">
      <w:pPr>
        <w:pStyle w:val="afa"/>
        <w:spacing w:line="360" w:lineRule="auto"/>
        <w:ind w:left="567" w:hanging="567"/>
        <w:rPr>
          <w:color w:val="auto"/>
        </w:rPr>
      </w:pPr>
      <w:r w:rsidRPr="00031A62">
        <w:rPr>
          <w:color w:val="auto"/>
        </w:rPr>
        <w:t xml:space="preserve">Elith, J., &amp; Leathwick, J. R. (2009). Species distribution models: Ecological explanation and prediction across space and time. </w:t>
      </w:r>
      <w:r w:rsidRPr="00031A62">
        <w:rPr>
          <w:rStyle w:val="aff0"/>
          <w:i w:val="0"/>
          <w:color w:val="auto"/>
        </w:rPr>
        <w:t>Annual Review of Ecology, Evolution, and Systematics</w:t>
      </w:r>
      <w:r w:rsidRPr="00031A62">
        <w:rPr>
          <w:i/>
          <w:color w:val="auto"/>
        </w:rPr>
        <w:t xml:space="preserve">, </w:t>
      </w:r>
      <w:r w:rsidRPr="00031A62">
        <w:rPr>
          <w:color w:val="auto"/>
        </w:rPr>
        <w:t xml:space="preserve">40, 677-697. </w:t>
      </w:r>
      <w:hyperlink r:id="rId25" w:tgtFrame="_new" w:history="1">
        <w:r w:rsidRPr="00031A62">
          <w:rPr>
            <w:rStyle w:val="af1"/>
            <w:color w:val="auto"/>
          </w:rPr>
          <w:t>https://doi.org/10.1146/annurev.ecolsys.110308.120159</w:t>
        </w:r>
      </w:hyperlink>
    </w:p>
    <w:p w14:paraId="63A8D3CE" w14:textId="77777777" w:rsidR="002C7DDA" w:rsidRPr="00031A62" w:rsidRDefault="002C7DDA" w:rsidP="00031A62">
      <w:pPr>
        <w:spacing w:line="360" w:lineRule="auto"/>
        <w:ind w:left="567" w:hanging="567"/>
        <w:rPr>
          <w:szCs w:val="24"/>
          <w:lang w:val="kk-KZ"/>
        </w:rPr>
      </w:pPr>
      <w:r w:rsidRPr="00031A62">
        <w:rPr>
          <w:szCs w:val="24"/>
          <w:lang w:val="kk-KZ"/>
        </w:rPr>
        <w:t xml:space="preserve">Entekhabi, D., Njoku, E. G., O'neill, P. E., Kellogg, K. H., Crow, W. T., Edelstein, W. N., Entin, J. K., Goodman, S. D., Jackson, T. J., Johnson, J., Kimball, J., Piepmeier, J. R., Koster, R. D., Martin, N., McDonald, K. C., Moghaddam, M., Moran, S., Reichle, R., Shi, J. C., Spencer, M. W., Thurman, S. W., Tsang, L., &amp; Van Zyl, J. (2010). </w:t>
      </w:r>
      <w:r w:rsidRPr="00031A62">
        <w:rPr>
          <w:szCs w:val="24"/>
        </w:rPr>
        <w:t xml:space="preserve">The soil moisture active passive (SMAP) mission. </w:t>
      </w:r>
      <w:r w:rsidRPr="00031A62">
        <w:rPr>
          <w:iCs/>
          <w:szCs w:val="24"/>
        </w:rPr>
        <w:t>Proceedings of the IEEE</w:t>
      </w:r>
      <w:r w:rsidRPr="00031A62">
        <w:rPr>
          <w:szCs w:val="24"/>
        </w:rPr>
        <w:t xml:space="preserve">, </w:t>
      </w:r>
      <w:r w:rsidRPr="00031A62">
        <w:rPr>
          <w:iCs/>
          <w:szCs w:val="24"/>
        </w:rPr>
        <w:t>98</w:t>
      </w:r>
      <w:r w:rsidRPr="00031A62">
        <w:rPr>
          <w:szCs w:val="24"/>
        </w:rPr>
        <w:t>(5), 704-716.</w:t>
      </w:r>
      <w:r w:rsidRPr="00031A62">
        <w:rPr>
          <w:szCs w:val="24"/>
          <w:lang w:val="kk-KZ"/>
        </w:rPr>
        <w:t xml:space="preserve"> </w:t>
      </w:r>
      <w:hyperlink r:id="rId26" w:history="1">
        <w:r w:rsidRPr="00031A62">
          <w:rPr>
            <w:rStyle w:val="af1"/>
            <w:color w:val="auto"/>
            <w:szCs w:val="24"/>
            <w:lang w:val="kk-KZ"/>
          </w:rPr>
          <w:t>https://doi.org/10.1109/JPROC.2010.2043918</w:t>
        </w:r>
      </w:hyperlink>
    </w:p>
    <w:p w14:paraId="79E40182" w14:textId="77777777" w:rsidR="0067206E" w:rsidRPr="00031A62" w:rsidRDefault="0067206E" w:rsidP="00031A62">
      <w:pPr>
        <w:spacing w:line="360" w:lineRule="auto"/>
        <w:ind w:left="567" w:hanging="567"/>
        <w:rPr>
          <w:szCs w:val="24"/>
        </w:rPr>
      </w:pPr>
      <w:r w:rsidRPr="00031A62">
        <w:rPr>
          <w:szCs w:val="24"/>
        </w:rPr>
        <w:lastRenderedPageBreak/>
        <w:t xml:space="preserve">Farr, T. G., Rosen, P. A., Caro, E., Crippen, R., Duren, R., Hensley, S., Kobrick, M., Paller, M., Rodriguez, E., Roth, L., Seal, D., Shaffer, S., Shimada, J., Umland, J., Werner, M., Oskin, M., Burbank, D., &amp; Alsdorf, D. (2007). The shuttle radar topography mission. </w:t>
      </w:r>
      <w:r w:rsidRPr="00031A62">
        <w:rPr>
          <w:iCs/>
          <w:szCs w:val="24"/>
        </w:rPr>
        <w:t>Reviews of Geophysics</w:t>
      </w:r>
      <w:r w:rsidRPr="00031A62">
        <w:rPr>
          <w:szCs w:val="24"/>
        </w:rPr>
        <w:t xml:space="preserve">, </w:t>
      </w:r>
      <w:r w:rsidRPr="00031A62">
        <w:rPr>
          <w:iCs/>
          <w:szCs w:val="24"/>
        </w:rPr>
        <w:t>45</w:t>
      </w:r>
      <w:r w:rsidRPr="00031A62">
        <w:rPr>
          <w:szCs w:val="24"/>
        </w:rPr>
        <w:t xml:space="preserve">(2), RG2004. </w:t>
      </w:r>
      <w:hyperlink r:id="rId27" w:history="1">
        <w:r w:rsidRPr="00031A62">
          <w:rPr>
            <w:rStyle w:val="af1"/>
            <w:color w:val="auto"/>
            <w:szCs w:val="24"/>
          </w:rPr>
          <w:t>https://doi.org/10.1029/2005RG000183</w:t>
        </w:r>
      </w:hyperlink>
    </w:p>
    <w:p w14:paraId="59DEC745" w14:textId="77777777" w:rsidR="0067206E" w:rsidRPr="00031A62" w:rsidRDefault="0067206E" w:rsidP="00031A62">
      <w:pPr>
        <w:spacing w:line="360" w:lineRule="auto"/>
        <w:ind w:left="567" w:hanging="567"/>
        <w:rPr>
          <w:szCs w:val="24"/>
        </w:rPr>
      </w:pPr>
      <w:r w:rsidRPr="00031A62">
        <w:rPr>
          <w:szCs w:val="24"/>
        </w:rPr>
        <w:t>Fick, S. E., &amp; Hijmans, R. J. (2017). WorldClim 2: New 1</w:t>
      </w:r>
      <w:r w:rsidRPr="00031A62">
        <w:rPr>
          <w:rFonts w:ascii="Cambria Math" w:hAnsi="Cambria Math" w:cs="Cambria Math"/>
          <w:szCs w:val="24"/>
        </w:rPr>
        <w:t>‐</w:t>
      </w:r>
      <w:r w:rsidRPr="00031A62">
        <w:rPr>
          <w:szCs w:val="24"/>
        </w:rPr>
        <w:t xml:space="preserve">km spatial resolution climate surfaces for global land areas. </w:t>
      </w:r>
      <w:r w:rsidRPr="00031A62">
        <w:rPr>
          <w:iCs/>
          <w:szCs w:val="24"/>
        </w:rPr>
        <w:t>International Journal of Climatology</w:t>
      </w:r>
      <w:r w:rsidRPr="00031A62">
        <w:rPr>
          <w:szCs w:val="24"/>
        </w:rPr>
        <w:t xml:space="preserve">, </w:t>
      </w:r>
      <w:r w:rsidRPr="00031A62">
        <w:rPr>
          <w:iCs/>
          <w:szCs w:val="24"/>
        </w:rPr>
        <w:t>37</w:t>
      </w:r>
      <w:r w:rsidRPr="00031A62">
        <w:rPr>
          <w:szCs w:val="24"/>
        </w:rPr>
        <w:t xml:space="preserve">(12), 4302-4315. </w:t>
      </w:r>
      <w:hyperlink r:id="rId28" w:history="1">
        <w:r w:rsidRPr="00031A62">
          <w:rPr>
            <w:rStyle w:val="af1"/>
            <w:color w:val="auto"/>
            <w:szCs w:val="24"/>
          </w:rPr>
          <w:t>https://doi.org/10.1002/joc.5086</w:t>
        </w:r>
      </w:hyperlink>
    </w:p>
    <w:p w14:paraId="7FF3DEE0" w14:textId="77777777" w:rsidR="00EB674C" w:rsidRPr="00031A62" w:rsidRDefault="00EB674C" w:rsidP="00031A62">
      <w:pPr>
        <w:spacing w:line="360" w:lineRule="auto"/>
        <w:ind w:left="567" w:hanging="567"/>
        <w:rPr>
          <w:rStyle w:val="af1"/>
          <w:color w:val="auto"/>
          <w:szCs w:val="24"/>
        </w:rPr>
      </w:pPr>
      <w:r w:rsidRPr="00031A62">
        <w:rPr>
          <w:szCs w:val="24"/>
        </w:rPr>
        <w:t xml:space="preserve">Foley, J. A., Ramankutty, N., Brauman, K. A., Cassidy, E. S., Gerber, J. S., Johnston, M., Mueller, N. D., O'Connell, C., Ray, D. K., West, P. C., Balzer, C., Bennett, E. M., Carpenter, S.R., Hill, J., Monfreda, C., Polasky, S., Rockström, J., Sheehan, J., Siebert, S, Tilman, D., &amp; Zaks, D. P. M. (2011). Solutions for a cultivated planet. </w:t>
      </w:r>
      <w:r w:rsidRPr="00031A62">
        <w:rPr>
          <w:rStyle w:val="aff0"/>
          <w:i w:val="0"/>
          <w:color w:val="auto"/>
          <w:szCs w:val="24"/>
        </w:rPr>
        <w:t>Nature</w:t>
      </w:r>
      <w:r w:rsidRPr="00031A62">
        <w:rPr>
          <w:i/>
          <w:szCs w:val="24"/>
        </w:rPr>
        <w:t>,</w:t>
      </w:r>
      <w:r w:rsidRPr="00031A62">
        <w:rPr>
          <w:szCs w:val="24"/>
        </w:rPr>
        <w:t xml:space="preserve"> 478(7369), 337-342. </w:t>
      </w:r>
      <w:hyperlink r:id="rId29" w:tgtFrame="_new" w:history="1">
        <w:r w:rsidRPr="00031A62">
          <w:rPr>
            <w:rStyle w:val="af1"/>
            <w:color w:val="auto"/>
            <w:szCs w:val="24"/>
          </w:rPr>
          <w:t>https://doi.org/10.1038/nature10452</w:t>
        </w:r>
      </w:hyperlink>
    </w:p>
    <w:p w14:paraId="5735C97A" w14:textId="77777777" w:rsidR="000314E0" w:rsidRPr="00031A62" w:rsidRDefault="000314E0" w:rsidP="00031A62">
      <w:pPr>
        <w:pStyle w:val="afa"/>
        <w:spacing w:line="360" w:lineRule="auto"/>
        <w:ind w:left="567" w:hanging="567"/>
        <w:rPr>
          <w:color w:val="auto"/>
        </w:rPr>
      </w:pPr>
      <w:r w:rsidRPr="00031A62">
        <w:rPr>
          <w:color w:val="auto"/>
        </w:rPr>
        <w:t xml:space="preserve">Friedman, J. H. (2001). Greedy function approximation: A gradient boosting machine. </w:t>
      </w:r>
      <w:r w:rsidRPr="00031A62">
        <w:rPr>
          <w:rStyle w:val="aff0"/>
          <w:i w:val="0"/>
          <w:color w:val="auto"/>
        </w:rPr>
        <w:t>Annals of Statistics</w:t>
      </w:r>
      <w:r w:rsidRPr="00031A62">
        <w:rPr>
          <w:color w:val="auto"/>
        </w:rPr>
        <w:t xml:space="preserve">, 29(5), 1189-1232. </w:t>
      </w:r>
      <w:hyperlink r:id="rId30" w:tgtFrame="_new" w:history="1">
        <w:r w:rsidRPr="00031A62">
          <w:rPr>
            <w:rStyle w:val="af1"/>
            <w:color w:val="auto"/>
          </w:rPr>
          <w:t>https://doi.org/10.1214/aos/1013203451</w:t>
        </w:r>
      </w:hyperlink>
    </w:p>
    <w:p w14:paraId="569B36F8" w14:textId="77777777" w:rsidR="002C7DDA" w:rsidRPr="00031A62" w:rsidRDefault="002C7DDA" w:rsidP="00031A62">
      <w:pPr>
        <w:spacing w:line="360" w:lineRule="auto"/>
        <w:ind w:left="567" w:hanging="567"/>
        <w:rPr>
          <w:szCs w:val="24"/>
        </w:rPr>
      </w:pPr>
      <w:r w:rsidRPr="00031A62">
        <w:rPr>
          <w:szCs w:val="24"/>
        </w:rPr>
        <w:t xml:space="preserve">Gahramanov, S., Ismayilova, V., Taghiyev, M., Mammadov, H., &amp; Musayeva, K. (2024). Study of the resistance of economically important pine species to dangerous pests on the Absheron Peninsula. </w:t>
      </w:r>
      <w:r w:rsidRPr="00031A62">
        <w:rPr>
          <w:iCs/>
          <w:szCs w:val="24"/>
        </w:rPr>
        <w:t>BIO Web of Conferences,</w:t>
      </w:r>
      <w:r w:rsidRPr="00031A62">
        <w:rPr>
          <w:szCs w:val="24"/>
        </w:rPr>
        <w:t xml:space="preserve"> 100, 04035. </w:t>
      </w:r>
      <w:hyperlink r:id="rId31" w:history="1">
        <w:r w:rsidRPr="00031A62">
          <w:rPr>
            <w:rStyle w:val="af1"/>
            <w:color w:val="auto"/>
            <w:szCs w:val="24"/>
          </w:rPr>
          <w:t>https://doi.org/10.1051/bioconf/2024100</w:t>
        </w:r>
      </w:hyperlink>
    </w:p>
    <w:p w14:paraId="6B29BE91" w14:textId="77777777" w:rsidR="002C7DDA" w:rsidRPr="00031A62" w:rsidRDefault="002C7DDA" w:rsidP="00031A62">
      <w:pPr>
        <w:spacing w:line="360" w:lineRule="auto"/>
        <w:ind w:left="567" w:hanging="567"/>
        <w:rPr>
          <w:szCs w:val="24"/>
          <w:lang w:val="kk-KZ"/>
        </w:rPr>
      </w:pPr>
      <w:r w:rsidRPr="00031A62">
        <w:rPr>
          <w:szCs w:val="24"/>
        </w:rPr>
        <w:t xml:space="preserve">Gómez, D., Salvador, P., Sanz, J., Casanova, C., Taratiel, D., &amp; Casanova, J. L. (2018). Machine learning approach to locate desert locust breeding areas based on ESA CCI soil moisture. </w:t>
      </w:r>
      <w:r w:rsidRPr="00031A62">
        <w:rPr>
          <w:iCs/>
          <w:szCs w:val="24"/>
        </w:rPr>
        <w:t>Journal of Applied Remote Sensing</w:t>
      </w:r>
      <w:r w:rsidRPr="00031A62">
        <w:rPr>
          <w:szCs w:val="24"/>
        </w:rPr>
        <w:t xml:space="preserve">, </w:t>
      </w:r>
      <w:r w:rsidRPr="00031A62">
        <w:rPr>
          <w:iCs/>
          <w:szCs w:val="24"/>
        </w:rPr>
        <w:t>12</w:t>
      </w:r>
      <w:r w:rsidRPr="00031A62">
        <w:rPr>
          <w:szCs w:val="24"/>
        </w:rPr>
        <w:t>(3), 36011.</w:t>
      </w:r>
      <w:r w:rsidRPr="00031A62">
        <w:rPr>
          <w:szCs w:val="24"/>
          <w:lang w:val="kk-KZ"/>
        </w:rPr>
        <w:t xml:space="preserve"> </w:t>
      </w:r>
      <w:hyperlink r:id="rId32" w:history="1">
        <w:r w:rsidRPr="00031A62">
          <w:rPr>
            <w:rStyle w:val="af1"/>
            <w:color w:val="auto"/>
            <w:szCs w:val="24"/>
            <w:lang w:val="kk-KZ"/>
          </w:rPr>
          <w:t>https://doi.org/10.1117/1.JRS.12.036011</w:t>
        </w:r>
      </w:hyperlink>
    </w:p>
    <w:p w14:paraId="5171454A" w14:textId="77777777" w:rsidR="002C7DDA" w:rsidRPr="00031A62" w:rsidRDefault="002C7DDA" w:rsidP="00031A62">
      <w:pPr>
        <w:spacing w:line="360" w:lineRule="auto"/>
        <w:ind w:left="567" w:hanging="567"/>
        <w:rPr>
          <w:szCs w:val="24"/>
          <w:lang w:val="kk-KZ"/>
        </w:rPr>
      </w:pPr>
      <w:r w:rsidRPr="00031A62">
        <w:rPr>
          <w:szCs w:val="24"/>
        </w:rPr>
        <w:t xml:space="preserve">Goodchild, M. F. (2009). Geographic information systems and science: Today and tomorrow. </w:t>
      </w:r>
      <w:r w:rsidRPr="00031A62">
        <w:rPr>
          <w:iCs/>
          <w:szCs w:val="24"/>
        </w:rPr>
        <w:t>Annals of GIS</w:t>
      </w:r>
      <w:r w:rsidRPr="00031A62">
        <w:rPr>
          <w:szCs w:val="24"/>
        </w:rPr>
        <w:t xml:space="preserve">, </w:t>
      </w:r>
      <w:r w:rsidRPr="00031A62">
        <w:rPr>
          <w:iCs/>
          <w:szCs w:val="24"/>
        </w:rPr>
        <w:t>15</w:t>
      </w:r>
      <w:r w:rsidRPr="00031A62">
        <w:rPr>
          <w:szCs w:val="24"/>
        </w:rPr>
        <w:t>(1), 3-9.</w:t>
      </w:r>
      <w:r w:rsidRPr="00031A62">
        <w:rPr>
          <w:szCs w:val="24"/>
          <w:lang w:val="kk-KZ"/>
        </w:rPr>
        <w:t xml:space="preserve"> </w:t>
      </w:r>
      <w:hyperlink r:id="rId33" w:history="1">
        <w:r w:rsidRPr="00031A62">
          <w:rPr>
            <w:rStyle w:val="af1"/>
            <w:color w:val="auto"/>
            <w:szCs w:val="24"/>
            <w:lang w:val="kk-KZ"/>
          </w:rPr>
          <w:t>https://doi.org/10.1080/19475680903250715</w:t>
        </w:r>
      </w:hyperlink>
    </w:p>
    <w:p w14:paraId="23D5E7EC" w14:textId="77777777" w:rsidR="002C7DDA" w:rsidRPr="00031A62" w:rsidRDefault="002C7DDA" w:rsidP="00031A62">
      <w:pPr>
        <w:spacing w:line="360" w:lineRule="auto"/>
        <w:ind w:left="567" w:hanging="567"/>
        <w:rPr>
          <w:szCs w:val="24"/>
        </w:rPr>
      </w:pPr>
      <w:r w:rsidRPr="00031A62">
        <w:rPr>
          <w:szCs w:val="24"/>
        </w:rPr>
        <w:t xml:space="preserve">Goodfellow, I., Bengio, Y., Courville, A., &amp; Bengio, Y. (2016). </w:t>
      </w:r>
      <w:r w:rsidRPr="00031A62">
        <w:rPr>
          <w:iCs/>
          <w:szCs w:val="24"/>
        </w:rPr>
        <w:t>Deep learning.</w:t>
      </w:r>
      <w:r w:rsidRPr="00031A62">
        <w:rPr>
          <w:szCs w:val="24"/>
        </w:rPr>
        <w:t xml:space="preserve"> Cambridge: MIT press,</w:t>
      </w:r>
      <w:r w:rsidRPr="00031A62">
        <w:rPr>
          <w:szCs w:val="24"/>
          <w:lang w:val="kk-KZ"/>
        </w:rPr>
        <w:t xml:space="preserve"> </w:t>
      </w:r>
      <w:r w:rsidRPr="00031A62">
        <w:rPr>
          <w:szCs w:val="24"/>
        </w:rPr>
        <w:t>800 p.</w:t>
      </w:r>
    </w:p>
    <w:p w14:paraId="7016069B" w14:textId="54C6E688" w:rsidR="002C7DDA" w:rsidRPr="00031A62" w:rsidRDefault="002C7DDA" w:rsidP="00031A62">
      <w:pPr>
        <w:spacing w:line="360" w:lineRule="auto"/>
        <w:ind w:left="567" w:hanging="567"/>
        <w:rPr>
          <w:szCs w:val="24"/>
          <w:lang w:val="kk-KZ"/>
        </w:rPr>
      </w:pPr>
      <w:r w:rsidRPr="00031A62">
        <w:rPr>
          <w:szCs w:val="24"/>
        </w:rPr>
        <w:t xml:space="preserve">Hastie, T., Tibshirani, R., Friedman, J. H., &amp; Friedman, J. H. (2009). </w:t>
      </w:r>
      <w:r w:rsidRPr="00031A62">
        <w:rPr>
          <w:iCs/>
          <w:szCs w:val="24"/>
        </w:rPr>
        <w:t>The elements of statistical learning: Data mining, inference, and prediction (2nd ed.)</w:t>
      </w:r>
      <w:r w:rsidRPr="00031A62">
        <w:rPr>
          <w:szCs w:val="24"/>
        </w:rPr>
        <w:t>. New York: Springer, 745 p.</w:t>
      </w:r>
      <w:r w:rsidRPr="00031A62">
        <w:rPr>
          <w:szCs w:val="24"/>
          <w:lang w:val="kk-KZ"/>
        </w:rPr>
        <w:t xml:space="preserve"> </w:t>
      </w:r>
      <w:hyperlink r:id="rId34" w:history="1">
        <w:r w:rsidRPr="00031A62">
          <w:rPr>
            <w:rStyle w:val="af1"/>
            <w:color w:val="auto"/>
            <w:szCs w:val="24"/>
            <w:lang w:val="kk-KZ"/>
          </w:rPr>
          <w:t>https://doi.org/10.1007/b94608</w:t>
        </w:r>
      </w:hyperlink>
    </w:p>
    <w:p w14:paraId="1FAD2C03" w14:textId="77777777" w:rsidR="002C7DDA" w:rsidRPr="00031A62" w:rsidRDefault="002C7DDA" w:rsidP="00031A62">
      <w:pPr>
        <w:spacing w:line="360" w:lineRule="auto"/>
        <w:ind w:left="567" w:hanging="567"/>
        <w:rPr>
          <w:szCs w:val="24"/>
          <w:lang w:val="kk-KZ"/>
        </w:rPr>
      </w:pPr>
      <w:r w:rsidRPr="00031A62">
        <w:rPr>
          <w:szCs w:val="24"/>
        </w:rPr>
        <w:t xml:space="preserve">Hochreiter, S., &amp; Schmidhuber, J. (1997). Long short-term memory. </w:t>
      </w:r>
      <w:r w:rsidRPr="00031A62">
        <w:rPr>
          <w:iCs/>
          <w:szCs w:val="24"/>
        </w:rPr>
        <w:t>Neural Computation</w:t>
      </w:r>
      <w:r w:rsidRPr="00031A62">
        <w:rPr>
          <w:szCs w:val="24"/>
        </w:rPr>
        <w:t xml:space="preserve">, </w:t>
      </w:r>
      <w:r w:rsidRPr="00031A62">
        <w:rPr>
          <w:iCs/>
          <w:szCs w:val="24"/>
        </w:rPr>
        <w:t>9</w:t>
      </w:r>
      <w:r w:rsidRPr="00031A62">
        <w:rPr>
          <w:szCs w:val="24"/>
        </w:rPr>
        <w:t>(8), 1735-1780.</w:t>
      </w:r>
      <w:r w:rsidRPr="00031A62">
        <w:rPr>
          <w:szCs w:val="24"/>
          <w:lang w:val="kk-KZ"/>
        </w:rPr>
        <w:t xml:space="preserve"> </w:t>
      </w:r>
      <w:hyperlink r:id="rId35" w:history="1">
        <w:r w:rsidRPr="00031A62">
          <w:rPr>
            <w:rStyle w:val="af1"/>
            <w:color w:val="auto"/>
            <w:szCs w:val="24"/>
            <w:lang w:val="kk-KZ"/>
          </w:rPr>
          <w:t>https://doi.org/10.1162/neco.1997.9.8.1735</w:t>
        </w:r>
      </w:hyperlink>
    </w:p>
    <w:p w14:paraId="304E7783" w14:textId="77777777" w:rsidR="002C7DDA" w:rsidRPr="00031A62" w:rsidRDefault="002C7DDA" w:rsidP="00031A62">
      <w:pPr>
        <w:spacing w:line="360" w:lineRule="auto"/>
        <w:ind w:left="567" w:hanging="567"/>
        <w:rPr>
          <w:szCs w:val="24"/>
          <w:lang w:val="kk-KZ"/>
        </w:rPr>
      </w:pPr>
      <w:r w:rsidRPr="00031A62">
        <w:rPr>
          <w:szCs w:val="24"/>
          <w:lang w:val="pt-BR"/>
        </w:rPr>
        <w:t xml:space="preserve">Huete, A., Didan, K., Miura, T., Rodriguez, E. P., Gao, X., &amp; Ferreira, L. G. (2002). </w:t>
      </w:r>
      <w:r w:rsidRPr="00031A62">
        <w:rPr>
          <w:szCs w:val="24"/>
        </w:rPr>
        <w:t xml:space="preserve">Overview of the radiometric and biophysical performance of the MODIS vegetation indices. </w:t>
      </w:r>
      <w:r w:rsidRPr="00031A62">
        <w:rPr>
          <w:iCs/>
          <w:szCs w:val="24"/>
        </w:rPr>
        <w:lastRenderedPageBreak/>
        <w:t>Remote Sensing of Environment</w:t>
      </w:r>
      <w:r w:rsidRPr="00031A62">
        <w:rPr>
          <w:szCs w:val="24"/>
        </w:rPr>
        <w:t xml:space="preserve">, </w:t>
      </w:r>
      <w:r w:rsidRPr="00031A62">
        <w:rPr>
          <w:iCs/>
          <w:szCs w:val="24"/>
        </w:rPr>
        <w:t>83</w:t>
      </w:r>
      <w:r w:rsidRPr="00031A62">
        <w:rPr>
          <w:szCs w:val="24"/>
        </w:rPr>
        <w:t>(1-2), 195-213.</w:t>
      </w:r>
      <w:r w:rsidRPr="00031A62">
        <w:rPr>
          <w:szCs w:val="24"/>
          <w:lang w:val="kk-KZ"/>
        </w:rPr>
        <w:t xml:space="preserve"> </w:t>
      </w:r>
      <w:hyperlink r:id="rId36" w:history="1">
        <w:r w:rsidRPr="00031A62">
          <w:rPr>
            <w:rStyle w:val="af1"/>
            <w:color w:val="auto"/>
            <w:szCs w:val="24"/>
            <w:lang w:val="kk-KZ"/>
          </w:rPr>
          <w:t>https://doi.org/10.1016/S0034-4257(02)00096-2</w:t>
        </w:r>
      </w:hyperlink>
    </w:p>
    <w:p w14:paraId="7C21897F" w14:textId="77777777" w:rsidR="00EB674C" w:rsidRPr="00031A62" w:rsidRDefault="00EB674C" w:rsidP="00031A62">
      <w:pPr>
        <w:spacing w:line="360" w:lineRule="auto"/>
        <w:ind w:left="567" w:hanging="567"/>
        <w:rPr>
          <w:szCs w:val="24"/>
        </w:rPr>
      </w:pPr>
      <w:r w:rsidRPr="00031A62">
        <w:rPr>
          <w:szCs w:val="24"/>
        </w:rPr>
        <w:t xml:space="preserve">Humphreys, J. M., Srygley, R. B., &amp; Branson, D. H. (2022). Geographic variation in migratory grasshopper recruitment under projected climate change. </w:t>
      </w:r>
      <w:r w:rsidRPr="00031A62">
        <w:rPr>
          <w:iCs/>
          <w:szCs w:val="24"/>
        </w:rPr>
        <w:t>Geographies</w:t>
      </w:r>
      <w:r w:rsidRPr="00031A62">
        <w:rPr>
          <w:szCs w:val="24"/>
        </w:rPr>
        <w:t xml:space="preserve">, </w:t>
      </w:r>
      <w:r w:rsidRPr="00031A62">
        <w:rPr>
          <w:iCs/>
          <w:szCs w:val="24"/>
        </w:rPr>
        <w:t>2</w:t>
      </w:r>
      <w:r w:rsidRPr="00031A62">
        <w:rPr>
          <w:szCs w:val="24"/>
        </w:rPr>
        <w:t xml:space="preserve">(1), 12-30. </w:t>
      </w:r>
      <w:hyperlink r:id="rId37" w:history="1">
        <w:r w:rsidRPr="00031A62">
          <w:rPr>
            <w:rStyle w:val="af1"/>
            <w:color w:val="auto"/>
            <w:szCs w:val="24"/>
          </w:rPr>
          <w:t>https://doi.org/10.3390/geographies2010003</w:t>
        </w:r>
      </w:hyperlink>
    </w:p>
    <w:p w14:paraId="7E8A92B2" w14:textId="77777777" w:rsidR="002C7DDA" w:rsidRPr="00031A62" w:rsidRDefault="002C7DDA" w:rsidP="00031A62">
      <w:pPr>
        <w:spacing w:line="360" w:lineRule="auto"/>
        <w:ind w:left="567" w:hanging="567"/>
        <w:rPr>
          <w:szCs w:val="24"/>
        </w:rPr>
      </w:pPr>
      <w:r w:rsidRPr="00031A62">
        <w:rPr>
          <w:szCs w:val="24"/>
        </w:rPr>
        <w:t xml:space="preserve">Ibrahim, E. A., Salifu, D., Mwalili, S., Dubois, T., Collins, R., &amp; Tonnang, H. E. (2022). An expert system for insect pest population dynamics prediction. </w:t>
      </w:r>
      <w:r w:rsidRPr="00031A62">
        <w:rPr>
          <w:iCs/>
          <w:szCs w:val="24"/>
        </w:rPr>
        <w:t>Computers and Electronics in Agriculture</w:t>
      </w:r>
      <w:r w:rsidRPr="00031A62">
        <w:rPr>
          <w:szCs w:val="24"/>
        </w:rPr>
        <w:t xml:space="preserve">, </w:t>
      </w:r>
      <w:r w:rsidRPr="00031A62">
        <w:rPr>
          <w:iCs/>
          <w:szCs w:val="24"/>
        </w:rPr>
        <w:t>198</w:t>
      </w:r>
      <w:r w:rsidRPr="00031A62">
        <w:rPr>
          <w:szCs w:val="24"/>
        </w:rPr>
        <w:t xml:space="preserve">, 107124. </w:t>
      </w:r>
      <w:hyperlink r:id="rId38" w:history="1">
        <w:r w:rsidRPr="00031A62">
          <w:rPr>
            <w:rStyle w:val="af1"/>
            <w:color w:val="auto"/>
            <w:szCs w:val="24"/>
          </w:rPr>
          <w:t>https://doi.org/10.1016/j.compag.2022.107124</w:t>
        </w:r>
      </w:hyperlink>
    </w:p>
    <w:p w14:paraId="518B873C" w14:textId="4902EDE0" w:rsidR="002E6641" w:rsidRPr="00031A62" w:rsidRDefault="002E6641" w:rsidP="00031A62">
      <w:pPr>
        <w:spacing w:line="360" w:lineRule="auto"/>
        <w:ind w:left="567" w:hanging="567"/>
        <w:rPr>
          <w:szCs w:val="24"/>
        </w:rPr>
      </w:pPr>
      <w:r w:rsidRPr="00031A62">
        <w:rPr>
          <w:szCs w:val="24"/>
        </w:rPr>
        <w:t xml:space="preserve">Jonas, J. L., Wolesensky, W., &amp; Joern, A. (2015). Weather affects grasshopper population dynamics in continental grassland over annual and decadal periods. </w:t>
      </w:r>
      <w:r w:rsidRPr="00031A62">
        <w:rPr>
          <w:iCs/>
          <w:szCs w:val="24"/>
        </w:rPr>
        <w:t>Rangeland Ecology &amp; Management</w:t>
      </w:r>
      <w:r w:rsidRPr="00031A62">
        <w:rPr>
          <w:szCs w:val="24"/>
        </w:rPr>
        <w:t xml:space="preserve">, </w:t>
      </w:r>
      <w:r w:rsidRPr="00031A62">
        <w:rPr>
          <w:iCs/>
          <w:szCs w:val="24"/>
        </w:rPr>
        <w:t>68</w:t>
      </w:r>
      <w:r w:rsidRPr="00031A62">
        <w:rPr>
          <w:szCs w:val="24"/>
        </w:rPr>
        <w:t xml:space="preserve">(1), 29-39. </w:t>
      </w:r>
      <w:hyperlink r:id="rId39" w:history="1">
        <w:r w:rsidRPr="00031A62">
          <w:rPr>
            <w:rStyle w:val="af1"/>
            <w:color w:val="auto"/>
            <w:szCs w:val="24"/>
          </w:rPr>
          <w:t>http://dx.doi.org/10.1016/j.rama.2014.12.011</w:t>
        </w:r>
      </w:hyperlink>
    </w:p>
    <w:p w14:paraId="344DB3E9" w14:textId="5A814474" w:rsidR="002C7DDA" w:rsidRPr="00031A62" w:rsidRDefault="002C7DDA" w:rsidP="00031A62">
      <w:pPr>
        <w:spacing w:line="360" w:lineRule="auto"/>
        <w:ind w:left="567" w:hanging="567"/>
        <w:rPr>
          <w:szCs w:val="24"/>
          <w:lang w:val="kk-KZ"/>
        </w:rPr>
      </w:pPr>
      <w:r w:rsidRPr="00031A62">
        <w:rPr>
          <w:szCs w:val="24"/>
        </w:rPr>
        <w:t xml:space="preserve">Klein, I., Oppelt, N., &amp; Kuenzer, C. (2021). Application of remote sensing data for locust research and management </w:t>
      </w:r>
      <w:r w:rsidR="00B14726" w:rsidRPr="00031A62">
        <w:rPr>
          <w:szCs w:val="24"/>
        </w:rPr>
        <w:t>–</w:t>
      </w:r>
      <w:r w:rsidRPr="00031A62">
        <w:rPr>
          <w:szCs w:val="24"/>
        </w:rPr>
        <w:t xml:space="preserve"> A review. </w:t>
      </w:r>
      <w:r w:rsidRPr="00031A62">
        <w:rPr>
          <w:iCs/>
          <w:szCs w:val="24"/>
        </w:rPr>
        <w:t>Insects</w:t>
      </w:r>
      <w:r w:rsidRPr="00031A62">
        <w:rPr>
          <w:szCs w:val="24"/>
        </w:rPr>
        <w:t xml:space="preserve">, </w:t>
      </w:r>
      <w:r w:rsidRPr="00031A62">
        <w:rPr>
          <w:iCs/>
          <w:szCs w:val="24"/>
        </w:rPr>
        <w:t>12</w:t>
      </w:r>
      <w:r w:rsidRPr="00031A62">
        <w:rPr>
          <w:szCs w:val="24"/>
        </w:rPr>
        <w:t>(3), 233.</w:t>
      </w:r>
      <w:r w:rsidRPr="00031A62">
        <w:rPr>
          <w:szCs w:val="24"/>
          <w:lang w:val="kk-KZ"/>
        </w:rPr>
        <w:t xml:space="preserve"> </w:t>
      </w:r>
      <w:hyperlink r:id="rId40" w:history="1">
        <w:r w:rsidRPr="00031A62">
          <w:rPr>
            <w:rStyle w:val="af1"/>
            <w:color w:val="auto"/>
            <w:szCs w:val="24"/>
            <w:lang w:val="kk-KZ"/>
          </w:rPr>
          <w:t>https://doi.org/10.3390/insects12030233</w:t>
        </w:r>
      </w:hyperlink>
    </w:p>
    <w:p w14:paraId="23FBB0BC" w14:textId="77777777" w:rsidR="002C7DDA" w:rsidRPr="00031A62" w:rsidRDefault="002C7DDA" w:rsidP="00031A62">
      <w:pPr>
        <w:spacing w:line="360" w:lineRule="auto"/>
        <w:ind w:left="567" w:hanging="567"/>
        <w:rPr>
          <w:szCs w:val="24"/>
          <w:lang w:val="kk-KZ"/>
        </w:rPr>
      </w:pPr>
      <w:r w:rsidRPr="00031A62">
        <w:rPr>
          <w:szCs w:val="24"/>
          <w:lang w:val="kk-KZ"/>
        </w:rPr>
        <w:t xml:space="preserve">Klein, I., Uereyen, S., Eisfelder, C., Pankov, V., Oppelt, N., &amp; Kuenzer, C. (2023). </w:t>
      </w:r>
      <w:r w:rsidRPr="00031A62">
        <w:rPr>
          <w:szCs w:val="24"/>
        </w:rPr>
        <w:t xml:space="preserve">Application of geospatial and remote sensing data to support locust management. </w:t>
      </w:r>
      <w:r w:rsidRPr="00031A62">
        <w:rPr>
          <w:iCs/>
          <w:szCs w:val="24"/>
        </w:rPr>
        <w:t>International Journal of Applied Earth Observation and Geoinformation</w:t>
      </w:r>
      <w:r w:rsidRPr="00031A62">
        <w:rPr>
          <w:szCs w:val="24"/>
        </w:rPr>
        <w:t xml:space="preserve">, </w:t>
      </w:r>
      <w:r w:rsidRPr="00031A62">
        <w:rPr>
          <w:iCs/>
          <w:szCs w:val="24"/>
        </w:rPr>
        <w:t>117</w:t>
      </w:r>
      <w:r w:rsidRPr="00031A62">
        <w:rPr>
          <w:szCs w:val="24"/>
        </w:rPr>
        <w:t>, 103212.</w:t>
      </w:r>
      <w:r w:rsidRPr="00031A62">
        <w:rPr>
          <w:szCs w:val="24"/>
          <w:lang w:val="kk-KZ"/>
        </w:rPr>
        <w:t xml:space="preserve"> </w:t>
      </w:r>
      <w:hyperlink r:id="rId41" w:history="1">
        <w:r w:rsidRPr="00031A62">
          <w:rPr>
            <w:rStyle w:val="af1"/>
            <w:color w:val="auto"/>
            <w:szCs w:val="24"/>
            <w:lang w:val="kk-KZ"/>
          </w:rPr>
          <w:t>https://doi.org/10.1016/j.jag.2023.103212</w:t>
        </w:r>
      </w:hyperlink>
    </w:p>
    <w:p w14:paraId="4C0A891C" w14:textId="77777777" w:rsidR="00EB674C" w:rsidRPr="00031A62" w:rsidRDefault="00EB674C" w:rsidP="00031A62">
      <w:pPr>
        <w:spacing w:line="360" w:lineRule="auto"/>
        <w:ind w:left="567" w:hanging="567"/>
        <w:rPr>
          <w:szCs w:val="24"/>
        </w:rPr>
      </w:pPr>
      <w:r w:rsidRPr="00031A62">
        <w:rPr>
          <w:szCs w:val="24"/>
        </w:rPr>
        <w:t xml:space="preserve">Ladányi, M., &amp; Horváth, L. (2010). A review of the potential climate change impact on insect populations- general and agricultural aspects. </w:t>
      </w:r>
      <w:r w:rsidRPr="00031A62">
        <w:rPr>
          <w:iCs/>
          <w:szCs w:val="24"/>
        </w:rPr>
        <w:t>Applied Ecology and Environmental Research</w:t>
      </w:r>
      <w:r w:rsidRPr="00031A62">
        <w:rPr>
          <w:szCs w:val="24"/>
        </w:rPr>
        <w:t xml:space="preserve">, </w:t>
      </w:r>
      <w:r w:rsidRPr="00031A62">
        <w:rPr>
          <w:iCs/>
          <w:szCs w:val="24"/>
        </w:rPr>
        <w:t>8</w:t>
      </w:r>
      <w:r w:rsidRPr="00031A62">
        <w:rPr>
          <w:szCs w:val="24"/>
        </w:rPr>
        <w:t>(2), 143-152.</w:t>
      </w:r>
    </w:p>
    <w:p w14:paraId="21885C22" w14:textId="7517E882" w:rsidR="002C7DDA" w:rsidRPr="00031A62" w:rsidRDefault="002C7DDA" w:rsidP="00031A62">
      <w:pPr>
        <w:spacing w:line="360" w:lineRule="auto"/>
        <w:ind w:left="567" w:hanging="567"/>
        <w:rPr>
          <w:szCs w:val="24"/>
          <w:lang w:val="kk-KZ"/>
        </w:rPr>
      </w:pPr>
      <w:r w:rsidRPr="00031A62">
        <w:rPr>
          <w:szCs w:val="24"/>
        </w:rPr>
        <w:t>Lawton, D., Scarth, P., Deveson, E., Piou, C., Spessa, A., Waters, C., &amp; Cease, A. J. (2022). S</w:t>
      </w:r>
      <w:r w:rsidR="00314E3F" w:rsidRPr="00031A62">
        <w:rPr>
          <w:szCs w:val="24"/>
        </w:rPr>
        <w:t>eeing the locust in the swarm: A</w:t>
      </w:r>
      <w:r w:rsidRPr="00031A62">
        <w:rPr>
          <w:szCs w:val="24"/>
        </w:rPr>
        <w:t xml:space="preserve">ccounting for spatiotemporal hierarchy improves ecological models of insect populations. </w:t>
      </w:r>
      <w:r w:rsidRPr="00031A62">
        <w:rPr>
          <w:iCs/>
          <w:szCs w:val="24"/>
        </w:rPr>
        <w:t>Ecography</w:t>
      </w:r>
      <w:r w:rsidRPr="00031A62">
        <w:rPr>
          <w:szCs w:val="24"/>
        </w:rPr>
        <w:t xml:space="preserve">, </w:t>
      </w:r>
      <w:r w:rsidRPr="00031A62">
        <w:rPr>
          <w:iCs/>
          <w:szCs w:val="24"/>
        </w:rPr>
        <w:t>2022</w:t>
      </w:r>
      <w:r w:rsidRPr="00031A62">
        <w:rPr>
          <w:szCs w:val="24"/>
        </w:rPr>
        <w:t>(2), e05763.</w:t>
      </w:r>
      <w:r w:rsidRPr="00031A62">
        <w:rPr>
          <w:szCs w:val="24"/>
          <w:lang w:val="kk-KZ"/>
        </w:rPr>
        <w:t xml:space="preserve"> </w:t>
      </w:r>
      <w:hyperlink r:id="rId42" w:history="1">
        <w:r w:rsidRPr="00031A62">
          <w:rPr>
            <w:rStyle w:val="af1"/>
            <w:color w:val="auto"/>
            <w:szCs w:val="24"/>
            <w:lang w:val="kk-KZ"/>
          </w:rPr>
          <w:t>https://doi.org/10.1111/ecog.05763</w:t>
        </w:r>
      </w:hyperlink>
    </w:p>
    <w:p w14:paraId="674F55A4" w14:textId="5E7D78FE" w:rsidR="002C7DDA" w:rsidRPr="00031A62" w:rsidRDefault="002C7DDA" w:rsidP="00031A62">
      <w:pPr>
        <w:spacing w:line="360" w:lineRule="auto"/>
        <w:ind w:left="567" w:hanging="567"/>
        <w:rPr>
          <w:szCs w:val="24"/>
          <w:lang w:val="kk-KZ"/>
        </w:rPr>
      </w:pPr>
      <w:r w:rsidRPr="00031A62">
        <w:rPr>
          <w:szCs w:val="24"/>
        </w:rPr>
        <w:t>LeCun, Y., Bengio, Y., &amp; Hinton, G. (2015). Deep learning. N</w:t>
      </w:r>
      <w:r w:rsidRPr="00031A62">
        <w:rPr>
          <w:iCs/>
          <w:szCs w:val="24"/>
        </w:rPr>
        <w:t>ature</w:t>
      </w:r>
      <w:r w:rsidRPr="00031A62">
        <w:rPr>
          <w:szCs w:val="24"/>
        </w:rPr>
        <w:t xml:space="preserve">, </w:t>
      </w:r>
      <w:r w:rsidRPr="00031A62">
        <w:rPr>
          <w:iCs/>
          <w:szCs w:val="24"/>
        </w:rPr>
        <w:t>521</w:t>
      </w:r>
      <w:r w:rsidRPr="00031A62">
        <w:rPr>
          <w:szCs w:val="24"/>
        </w:rPr>
        <w:t>(7553), 436-444.</w:t>
      </w:r>
      <w:r w:rsidRPr="00031A62">
        <w:rPr>
          <w:szCs w:val="24"/>
          <w:lang w:val="kk-KZ"/>
        </w:rPr>
        <w:t xml:space="preserve"> </w:t>
      </w:r>
      <w:hyperlink r:id="rId43" w:history="1">
        <w:r w:rsidRPr="00031A62">
          <w:rPr>
            <w:rStyle w:val="af1"/>
            <w:color w:val="auto"/>
            <w:szCs w:val="24"/>
            <w:lang w:val="kk-KZ"/>
          </w:rPr>
          <w:t>https://doi.org/10.1038/nature14539</w:t>
        </w:r>
      </w:hyperlink>
    </w:p>
    <w:p w14:paraId="12490682" w14:textId="7E1E14F1" w:rsidR="0067206E" w:rsidRPr="00031A62" w:rsidRDefault="0067206E" w:rsidP="00031A6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567" w:hanging="567"/>
        <w:jc w:val="both"/>
        <w:rPr>
          <w:rFonts w:ascii="Times New Roman" w:hAnsi="Times New Roman" w:cs="Times New Roman"/>
          <w:szCs w:val="24"/>
          <w:lang w:val="en-US"/>
        </w:rPr>
      </w:pPr>
      <w:r w:rsidRPr="00031A62">
        <w:rPr>
          <w:rFonts w:ascii="Times New Roman" w:hAnsi="Times New Roman" w:cs="Times New Roman"/>
          <w:szCs w:val="24"/>
          <w:lang w:val="en-US"/>
        </w:rPr>
        <w:t xml:space="preserve">Legg, S. (2021). IPCC, 2021: Climate change 2021 </w:t>
      </w:r>
      <w:r w:rsidR="00B14726" w:rsidRPr="00031A62">
        <w:rPr>
          <w:rFonts w:ascii="Times New Roman" w:hAnsi="Times New Roman" w:cs="Times New Roman"/>
          <w:szCs w:val="24"/>
          <w:lang w:val="en-US"/>
        </w:rPr>
        <w:t>–</w:t>
      </w:r>
      <w:r w:rsidRPr="00031A62">
        <w:rPr>
          <w:rFonts w:ascii="Times New Roman" w:hAnsi="Times New Roman" w:cs="Times New Roman"/>
          <w:szCs w:val="24"/>
          <w:lang w:val="en-US"/>
        </w:rPr>
        <w:t xml:space="preserve"> The physical science basis. </w:t>
      </w:r>
      <w:r w:rsidRPr="00031A62">
        <w:rPr>
          <w:rFonts w:ascii="Times New Roman" w:hAnsi="Times New Roman" w:cs="Times New Roman"/>
          <w:iCs/>
          <w:szCs w:val="24"/>
          <w:lang w:val="en-US"/>
        </w:rPr>
        <w:t>Interaction</w:t>
      </w:r>
      <w:r w:rsidRPr="00031A62">
        <w:rPr>
          <w:rFonts w:ascii="Times New Roman" w:hAnsi="Times New Roman" w:cs="Times New Roman"/>
          <w:szCs w:val="24"/>
          <w:lang w:val="en-US"/>
        </w:rPr>
        <w:t xml:space="preserve">, </w:t>
      </w:r>
      <w:r w:rsidRPr="00031A62">
        <w:rPr>
          <w:rFonts w:ascii="Times New Roman" w:hAnsi="Times New Roman" w:cs="Times New Roman"/>
          <w:iCs/>
          <w:szCs w:val="24"/>
          <w:lang w:val="en-US"/>
        </w:rPr>
        <w:t>49</w:t>
      </w:r>
      <w:r w:rsidRPr="00031A62">
        <w:rPr>
          <w:rFonts w:ascii="Times New Roman" w:hAnsi="Times New Roman" w:cs="Times New Roman"/>
          <w:szCs w:val="24"/>
          <w:lang w:val="en-US"/>
        </w:rPr>
        <w:t>(4), 44-45.</w:t>
      </w:r>
      <w:r w:rsidRPr="00031A62">
        <w:rPr>
          <w:rFonts w:ascii="Times New Roman" w:hAnsi="Times New Roman" w:cs="Times New Roman"/>
          <w:szCs w:val="24"/>
          <w:lang w:val="kk-KZ"/>
        </w:rPr>
        <w:t xml:space="preserve"> </w:t>
      </w:r>
      <w:r w:rsidRPr="00031A62">
        <w:rPr>
          <w:rFonts w:ascii="Times New Roman" w:hAnsi="Times New Roman" w:cs="Times New Roman"/>
          <w:szCs w:val="24"/>
          <w:lang w:val="en-US"/>
        </w:rPr>
        <w:t>https://search.informit.org/doi/10.3316/informit.315096509383738</w:t>
      </w:r>
    </w:p>
    <w:p w14:paraId="0CF45070" w14:textId="77777777" w:rsidR="000314E0" w:rsidRPr="00031A62" w:rsidRDefault="000314E0" w:rsidP="00031A62">
      <w:pPr>
        <w:pStyle w:val="afa"/>
        <w:spacing w:line="360" w:lineRule="auto"/>
        <w:ind w:left="567" w:hanging="567"/>
        <w:rPr>
          <w:color w:val="auto"/>
        </w:rPr>
      </w:pPr>
      <w:r w:rsidRPr="00031A62">
        <w:rPr>
          <w:color w:val="auto"/>
        </w:rPr>
        <w:t xml:space="preserve">Levin, S. A. (1992). The problem of pattern and scale in ecology: The Robert H. MacArthur award lecture. </w:t>
      </w:r>
      <w:r w:rsidRPr="00031A62">
        <w:rPr>
          <w:rStyle w:val="aff0"/>
          <w:i w:val="0"/>
          <w:color w:val="auto"/>
        </w:rPr>
        <w:t>Ecology</w:t>
      </w:r>
      <w:r w:rsidRPr="00031A62">
        <w:rPr>
          <w:i/>
          <w:color w:val="auto"/>
        </w:rPr>
        <w:t>,</w:t>
      </w:r>
      <w:r w:rsidRPr="00031A62">
        <w:rPr>
          <w:color w:val="auto"/>
        </w:rPr>
        <w:t xml:space="preserve"> 73(6), 1943-1967. https://doi.org/10.2307/1941447</w:t>
      </w:r>
    </w:p>
    <w:p w14:paraId="481F2DF4" w14:textId="77777777" w:rsidR="00EB674C" w:rsidRPr="00031A62" w:rsidRDefault="00EB674C" w:rsidP="00031A62">
      <w:pPr>
        <w:spacing w:line="360" w:lineRule="auto"/>
        <w:ind w:left="567" w:hanging="567"/>
        <w:rPr>
          <w:szCs w:val="24"/>
        </w:rPr>
      </w:pPr>
      <w:r w:rsidRPr="00031A62">
        <w:rPr>
          <w:szCs w:val="24"/>
        </w:rPr>
        <w:t xml:space="preserve">Lobell, D. B., Schlenker, W., &amp; Costa-Roberts, J. (2011). Climate trends and global crop production since 1980. </w:t>
      </w:r>
      <w:r w:rsidRPr="00031A62">
        <w:rPr>
          <w:iCs/>
          <w:szCs w:val="24"/>
        </w:rPr>
        <w:t>Science</w:t>
      </w:r>
      <w:r w:rsidRPr="00031A62">
        <w:rPr>
          <w:szCs w:val="24"/>
        </w:rPr>
        <w:t xml:space="preserve">, </w:t>
      </w:r>
      <w:r w:rsidRPr="00031A62">
        <w:rPr>
          <w:iCs/>
          <w:szCs w:val="24"/>
        </w:rPr>
        <w:t>333</w:t>
      </w:r>
      <w:r w:rsidRPr="00031A62">
        <w:rPr>
          <w:szCs w:val="24"/>
        </w:rPr>
        <w:t>(6042), 616-620. https://doi.org/10.1126/science.1204531</w:t>
      </w:r>
    </w:p>
    <w:p w14:paraId="70CFDAFE" w14:textId="392E3C24" w:rsidR="002E6641" w:rsidRPr="00031A62" w:rsidRDefault="002E6641" w:rsidP="00031A62">
      <w:pPr>
        <w:spacing w:line="360" w:lineRule="auto"/>
        <w:ind w:left="567" w:hanging="567"/>
        <w:rPr>
          <w:szCs w:val="24"/>
        </w:rPr>
      </w:pPr>
      <w:r w:rsidRPr="00031A62">
        <w:rPr>
          <w:szCs w:val="24"/>
        </w:rPr>
        <w:lastRenderedPageBreak/>
        <w:t xml:space="preserve">Lockwood, D. R., &amp; Lockwood, J. A. (2008). Grasshopper population ecology: </w:t>
      </w:r>
      <w:r w:rsidR="00B63F4D" w:rsidRPr="00031A62">
        <w:rPr>
          <w:szCs w:val="24"/>
        </w:rPr>
        <w:t>C</w:t>
      </w:r>
      <w:r w:rsidRPr="00031A62">
        <w:rPr>
          <w:szCs w:val="24"/>
        </w:rPr>
        <w:t xml:space="preserve">atastrophe, criticality, and critique. </w:t>
      </w:r>
      <w:r w:rsidRPr="00031A62">
        <w:rPr>
          <w:iCs/>
          <w:szCs w:val="24"/>
        </w:rPr>
        <w:t>Ecology and Society</w:t>
      </w:r>
      <w:r w:rsidRPr="00031A62">
        <w:rPr>
          <w:szCs w:val="24"/>
        </w:rPr>
        <w:t xml:space="preserve">, </w:t>
      </w:r>
      <w:r w:rsidRPr="00031A62">
        <w:rPr>
          <w:iCs/>
          <w:szCs w:val="24"/>
        </w:rPr>
        <w:t>13</w:t>
      </w:r>
      <w:r w:rsidRPr="00031A62">
        <w:rPr>
          <w:szCs w:val="24"/>
        </w:rPr>
        <w:t>(1)</w:t>
      </w:r>
      <w:r w:rsidR="00B63F4D" w:rsidRPr="00031A62">
        <w:rPr>
          <w:szCs w:val="24"/>
        </w:rPr>
        <w:t>, 34</w:t>
      </w:r>
      <w:r w:rsidRPr="00031A62">
        <w:rPr>
          <w:szCs w:val="24"/>
        </w:rPr>
        <w:t xml:space="preserve">. </w:t>
      </w:r>
      <w:r w:rsidR="00B63F4D" w:rsidRPr="00031A62">
        <w:rPr>
          <w:szCs w:val="24"/>
        </w:rPr>
        <w:t>https://doi.org/10.5751/ES-02496-130134</w:t>
      </w:r>
    </w:p>
    <w:p w14:paraId="7367D9DE" w14:textId="77777777" w:rsidR="0067206E" w:rsidRPr="00031A62" w:rsidRDefault="0067206E" w:rsidP="00031A62">
      <w:pPr>
        <w:spacing w:line="360" w:lineRule="auto"/>
        <w:ind w:left="567" w:hanging="567"/>
        <w:rPr>
          <w:szCs w:val="24"/>
        </w:rPr>
      </w:pPr>
      <w:r w:rsidRPr="00031A62">
        <w:rPr>
          <w:szCs w:val="24"/>
        </w:rPr>
        <w:t>Lundberg, S. M., &amp; Lee, S. I. (2017). A unified approach to interpreting model predictions. In Advances in neural information processing systems 30: Proceedings of the 31st Conference on neural information processing systems (NIPS 2017), Long Beach, CA, USA (pp. 4766-4775). Red Hook, NY: Curran Associates, Inc.</w:t>
      </w:r>
    </w:p>
    <w:p w14:paraId="262E2FF8" w14:textId="77777777" w:rsidR="002C7DDA" w:rsidRPr="00031A62" w:rsidRDefault="002C7DDA" w:rsidP="00031A62">
      <w:pPr>
        <w:spacing w:line="360" w:lineRule="auto"/>
        <w:ind w:left="567" w:hanging="567"/>
        <w:rPr>
          <w:szCs w:val="24"/>
          <w:lang w:val="kk-KZ"/>
        </w:rPr>
      </w:pPr>
      <w:r w:rsidRPr="00031A62">
        <w:rPr>
          <w:szCs w:val="24"/>
        </w:rPr>
        <w:t xml:space="preserve">Mingalev, D. E. (2021). Agroclimatic zoning of Russia and Kazakhstan under current climate change. </w:t>
      </w:r>
      <w:r w:rsidRPr="00031A62">
        <w:rPr>
          <w:rStyle w:val="aff0"/>
          <w:i w:val="0"/>
          <w:color w:val="auto"/>
          <w:szCs w:val="24"/>
        </w:rPr>
        <w:t>Geography and Natural Resources, 42</w:t>
      </w:r>
      <w:r w:rsidRPr="00031A62">
        <w:rPr>
          <w:szCs w:val="24"/>
        </w:rPr>
        <w:t>(2), 24-31.</w:t>
      </w:r>
      <w:r w:rsidRPr="00031A62">
        <w:rPr>
          <w:szCs w:val="24"/>
          <w:lang w:val="kk-KZ"/>
        </w:rPr>
        <w:t xml:space="preserve"> </w:t>
      </w:r>
      <w:hyperlink r:id="rId44" w:history="1">
        <w:r w:rsidRPr="00031A62">
          <w:rPr>
            <w:rStyle w:val="af1"/>
            <w:color w:val="auto"/>
            <w:szCs w:val="24"/>
            <w:lang w:val="kk-KZ"/>
          </w:rPr>
          <w:t>https://doi.org/10.15372/GIPR20210203</w:t>
        </w:r>
      </w:hyperlink>
    </w:p>
    <w:p w14:paraId="5759B9C4" w14:textId="77777777" w:rsidR="002C7DDA" w:rsidRPr="00031A62" w:rsidRDefault="002C7DDA" w:rsidP="00031A62">
      <w:pPr>
        <w:spacing w:line="360" w:lineRule="auto"/>
        <w:ind w:left="567" w:hanging="567"/>
        <w:rPr>
          <w:szCs w:val="24"/>
        </w:rPr>
      </w:pPr>
      <w:r w:rsidRPr="00031A62">
        <w:rPr>
          <w:szCs w:val="24"/>
        </w:rPr>
        <w:t xml:space="preserve">Parmesan, C. (2006). Ecological and evolutionary responses to recent climate change. </w:t>
      </w:r>
      <w:r w:rsidRPr="00031A62">
        <w:rPr>
          <w:iCs/>
          <w:szCs w:val="24"/>
        </w:rPr>
        <w:t>Annual Review of Ecology Evolution and Systematics</w:t>
      </w:r>
      <w:r w:rsidRPr="00031A62">
        <w:rPr>
          <w:szCs w:val="24"/>
        </w:rPr>
        <w:t xml:space="preserve">, </w:t>
      </w:r>
      <w:r w:rsidRPr="00031A62">
        <w:rPr>
          <w:iCs/>
          <w:szCs w:val="24"/>
        </w:rPr>
        <w:t>37</w:t>
      </w:r>
      <w:r w:rsidRPr="00031A62">
        <w:rPr>
          <w:szCs w:val="24"/>
        </w:rPr>
        <w:t>(1), 637-669. https://doi.org/10.1146/annurev.ecolsys.37.091305.110100</w:t>
      </w:r>
    </w:p>
    <w:p w14:paraId="4DBCD889" w14:textId="6EC6FBE7" w:rsidR="0067206E" w:rsidRPr="00031A62" w:rsidRDefault="0067206E" w:rsidP="00031A62">
      <w:pPr>
        <w:spacing w:line="360" w:lineRule="auto"/>
        <w:ind w:left="567" w:hanging="567"/>
        <w:rPr>
          <w:rStyle w:val="c-bibliographic-informationvalue"/>
          <w:color w:val="auto"/>
          <w:szCs w:val="24"/>
        </w:rPr>
      </w:pPr>
      <w:r w:rsidRPr="00031A62">
        <w:rPr>
          <w:szCs w:val="24"/>
        </w:rPr>
        <w:t xml:space="preserve">Peters, D. P., Bestelmeyer, B. T., Knapp, A. K., Herrick, J. E., Monger, H. C., &amp; Havstad, K. M. (2009). Approaches to predicting broad-scale regime shifts using changing pattern-process relationships across scales. In S. Miao, S. Carstenn, &amp; M. Nungesser (Eds.), </w:t>
      </w:r>
      <w:r w:rsidRPr="00031A62">
        <w:rPr>
          <w:iCs/>
          <w:szCs w:val="24"/>
        </w:rPr>
        <w:t>Real world ecology: large-scale and long-term case studies and methods</w:t>
      </w:r>
      <w:r w:rsidRPr="00031A62">
        <w:rPr>
          <w:szCs w:val="24"/>
        </w:rPr>
        <w:t xml:space="preserve"> (pp. 47-72). New York, NY: Springer. https://doi.org/10.1007/978-0-387-77942-3_3</w:t>
      </w:r>
    </w:p>
    <w:p w14:paraId="72E4EA91" w14:textId="77777777" w:rsidR="000314E0" w:rsidRPr="00031A62" w:rsidRDefault="000314E0" w:rsidP="00031A62">
      <w:pPr>
        <w:pStyle w:val="afa"/>
        <w:spacing w:line="360" w:lineRule="auto"/>
        <w:ind w:left="567" w:hanging="567"/>
        <w:rPr>
          <w:color w:val="auto"/>
        </w:rPr>
      </w:pPr>
      <w:r w:rsidRPr="00031A62">
        <w:rPr>
          <w:color w:val="auto"/>
        </w:rPr>
        <w:t xml:space="preserve">Phillips, S. J., Anderson, R. P., &amp; Schapire, R. E. (2006). Maximum entropy modeling of species geographic distributions. </w:t>
      </w:r>
      <w:r w:rsidRPr="00031A62">
        <w:rPr>
          <w:rStyle w:val="aff0"/>
          <w:i w:val="0"/>
          <w:color w:val="auto"/>
        </w:rPr>
        <w:t>Ecological Modelling</w:t>
      </w:r>
      <w:r w:rsidRPr="00031A62">
        <w:rPr>
          <w:color w:val="auto"/>
        </w:rPr>
        <w:t xml:space="preserve">, 190(3-4), 231-259. </w:t>
      </w:r>
      <w:hyperlink r:id="rId45" w:tgtFrame="_new" w:history="1">
        <w:r w:rsidRPr="00031A62">
          <w:rPr>
            <w:rStyle w:val="af1"/>
            <w:color w:val="auto"/>
          </w:rPr>
          <w:t>https://doi.org/10.1016/j.ecolmodel.2005.03.026</w:t>
        </w:r>
      </w:hyperlink>
    </w:p>
    <w:p w14:paraId="1A4452E8" w14:textId="77777777" w:rsidR="002C7DDA" w:rsidRPr="00031A62" w:rsidRDefault="002C7DDA" w:rsidP="00031A62">
      <w:pPr>
        <w:spacing w:line="360" w:lineRule="auto"/>
        <w:ind w:left="567" w:hanging="567"/>
        <w:rPr>
          <w:szCs w:val="24"/>
          <w:lang w:val="kk-KZ"/>
        </w:rPr>
      </w:pPr>
      <w:r w:rsidRPr="00031A62">
        <w:rPr>
          <w:szCs w:val="24"/>
        </w:rPr>
        <w:t xml:space="preserve">Olden, J. D., Lawler, J. J., &amp; Poff, N. L. (2008). Machine learning methods without tears: A primer for ecologists. </w:t>
      </w:r>
      <w:r w:rsidRPr="00031A62">
        <w:rPr>
          <w:iCs/>
          <w:szCs w:val="24"/>
        </w:rPr>
        <w:t>The Quarterly Review of Biology</w:t>
      </w:r>
      <w:r w:rsidRPr="00031A62">
        <w:rPr>
          <w:szCs w:val="24"/>
        </w:rPr>
        <w:t xml:space="preserve">, </w:t>
      </w:r>
      <w:r w:rsidRPr="00031A62">
        <w:rPr>
          <w:iCs/>
          <w:szCs w:val="24"/>
        </w:rPr>
        <w:t>83</w:t>
      </w:r>
      <w:r w:rsidRPr="00031A62">
        <w:rPr>
          <w:szCs w:val="24"/>
        </w:rPr>
        <w:t>(2), 171-193.</w:t>
      </w:r>
      <w:r w:rsidRPr="00031A62">
        <w:rPr>
          <w:szCs w:val="24"/>
          <w:lang w:val="kk-KZ"/>
        </w:rPr>
        <w:t xml:space="preserve"> </w:t>
      </w:r>
      <w:r w:rsidRPr="00031A62">
        <w:rPr>
          <w:szCs w:val="24"/>
        </w:rPr>
        <w:t>https://doi.org/10.1086/587826</w:t>
      </w:r>
    </w:p>
    <w:p w14:paraId="6255CD12" w14:textId="77777777" w:rsidR="0067206E" w:rsidRPr="00031A62" w:rsidRDefault="0067206E" w:rsidP="00031A62">
      <w:pPr>
        <w:spacing w:line="360" w:lineRule="auto"/>
        <w:ind w:left="567" w:hanging="567"/>
        <w:rPr>
          <w:rStyle w:val="c-bibliographic-informationvalue"/>
          <w:color w:val="auto"/>
          <w:szCs w:val="24"/>
        </w:rPr>
      </w:pPr>
      <w:r w:rsidRPr="00031A62">
        <w:rPr>
          <w:szCs w:val="24"/>
        </w:rPr>
        <w:t xml:space="preserve">Reichstein, M., Camps-Valls, G., Stevens, B., Jung, M., Denzler, J., Carvalhais, N., &amp; Prabhat. (2019). Deep learning and process understanding for data-driven Earth system science. </w:t>
      </w:r>
      <w:r w:rsidRPr="00031A62">
        <w:rPr>
          <w:iCs/>
          <w:szCs w:val="24"/>
        </w:rPr>
        <w:t>Nature</w:t>
      </w:r>
      <w:r w:rsidRPr="00031A62">
        <w:rPr>
          <w:szCs w:val="24"/>
        </w:rPr>
        <w:t xml:space="preserve">, </w:t>
      </w:r>
      <w:r w:rsidRPr="00031A62">
        <w:rPr>
          <w:iCs/>
          <w:szCs w:val="24"/>
        </w:rPr>
        <w:t>566</w:t>
      </w:r>
      <w:r w:rsidRPr="00031A62">
        <w:rPr>
          <w:szCs w:val="24"/>
        </w:rPr>
        <w:t xml:space="preserve">(7743), 195-204. </w:t>
      </w:r>
      <w:hyperlink r:id="rId46" w:history="1">
        <w:r w:rsidRPr="00031A62">
          <w:rPr>
            <w:rStyle w:val="af1"/>
            <w:color w:val="auto"/>
            <w:szCs w:val="24"/>
          </w:rPr>
          <w:t>https://doi.org/10.1038/s41586-019-0912-1</w:t>
        </w:r>
      </w:hyperlink>
    </w:p>
    <w:p w14:paraId="133D0C2E" w14:textId="654AB123" w:rsidR="002E6641" w:rsidRPr="00031A62" w:rsidRDefault="002E6641" w:rsidP="00031A62">
      <w:pPr>
        <w:spacing w:line="360" w:lineRule="auto"/>
        <w:ind w:left="567" w:hanging="567"/>
        <w:rPr>
          <w:szCs w:val="24"/>
        </w:rPr>
      </w:pPr>
      <w:r w:rsidRPr="00031A62">
        <w:rPr>
          <w:szCs w:val="24"/>
        </w:rPr>
        <w:t xml:space="preserve">Retkute, R., Thurston, W., Cressman, K., &amp; Gilligan, C. A. (2024). A framework for modelling desert locust population dynamics and large-scale dispersal. </w:t>
      </w:r>
      <w:r w:rsidR="007122A7" w:rsidRPr="00031A62">
        <w:rPr>
          <w:iCs/>
          <w:szCs w:val="24"/>
        </w:rPr>
        <w:t>PLoS C</w:t>
      </w:r>
      <w:r w:rsidRPr="00031A62">
        <w:rPr>
          <w:iCs/>
          <w:szCs w:val="24"/>
        </w:rPr>
        <w:t xml:space="preserve">omputational </w:t>
      </w:r>
      <w:r w:rsidR="007122A7" w:rsidRPr="00031A62">
        <w:rPr>
          <w:iCs/>
          <w:szCs w:val="24"/>
        </w:rPr>
        <w:t>B</w:t>
      </w:r>
      <w:r w:rsidRPr="00031A62">
        <w:rPr>
          <w:iCs/>
          <w:szCs w:val="24"/>
        </w:rPr>
        <w:t>iology</w:t>
      </w:r>
      <w:r w:rsidRPr="00031A62">
        <w:rPr>
          <w:szCs w:val="24"/>
        </w:rPr>
        <w:t xml:space="preserve">, </w:t>
      </w:r>
      <w:r w:rsidRPr="00031A62">
        <w:rPr>
          <w:iCs/>
          <w:szCs w:val="24"/>
        </w:rPr>
        <w:t>20</w:t>
      </w:r>
      <w:r w:rsidRPr="00031A62">
        <w:rPr>
          <w:szCs w:val="24"/>
        </w:rPr>
        <w:t xml:space="preserve">(12), e1012562. </w:t>
      </w:r>
      <w:hyperlink r:id="rId47" w:history="1">
        <w:r w:rsidRPr="00031A62">
          <w:rPr>
            <w:rStyle w:val="af1"/>
            <w:color w:val="auto"/>
            <w:szCs w:val="24"/>
          </w:rPr>
          <w:t>https://doi.org/10.1371/journal.pcbi.1012562</w:t>
        </w:r>
      </w:hyperlink>
    </w:p>
    <w:p w14:paraId="1EB6D587" w14:textId="77777777" w:rsidR="002C7DDA" w:rsidRPr="00031A62" w:rsidRDefault="002C7DDA" w:rsidP="00031A62">
      <w:pPr>
        <w:spacing w:line="360" w:lineRule="auto"/>
        <w:ind w:left="567" w:hanging="567"/>
        <w:rPr>
          <w:szCs w:val="24"/>
        </w:rPr>
      </w:pPr>
      <w:r w:rsidRPr="00031A62">
        <w:rPr>
          <w:szCs w:val="24"/>
        </w:rPr>
        <w:t xml:space="preserve">Sagitov, A. O., Duisembekov, B. A., Ismukhambetov, J. D., Koishibaev, M., Ashikbaev, N. Zh., Zhanarbekova, A. B., Amanov, S. B., Kochorov, A. S., Toleubayev, K. M., Niyazbekov, Zh. B., &amp; Kopirova, G. I. (2016). Fitosanitarnyi monitoring vrednykh i osobo opasnykh vrednykh organizmov (vreditelei, boleznei, sornykh rastenii) </w:t>
      </w:r>
      <w:r w:rsidRPr="00031A62">
        <w:rPr>
          <w:szCs w:val="24"/>
        </w:rPr>
        <w:lastRenderedPageBreak/>
        <w:t>[Phytosanitary monitoring of harmful and especially dangerous harmful organisms (pests, diseases, weeds)]: Manual (3rd ed.). Almaty: Kazakh Research Institute of Plant Protection and Quarantine, 376 p. (in Kazakh)</w:t>
      </w:r>
    </w:p>
    <w:p w14:paraId="319D9DE7" w14:textId="77777777" w:rsidR="000314E0" w:rsidRPr="00031A62" w:rsidRDefault="000314E0" w:rsidP="00031A62">
      <w:pPr>
        <w:pStyle w:val="afa"/>
        <w:spacing w:line="360" w:lineRule="auto"/>
        <w:ind w:left="567" w:hanging="567"/>
        <w:rPr>
          <w:color w:val="auto"/>
        </w:rPr>
      </w:pPr>
      <w:r w:rsidRPr="00031A62">
        <w:rPr>
          <w:color w:val="auto"/>
        </w:rPr>
        <w:t xml:space="preserve">Schmitz, O. J. (2008). Effects of predator hunting mode on grassland ecosystem function. </w:t>
      </w:r>
      <w:r w:rsidRPr="00031A62">
        <w:rPr>
          <w:rStyle w:val="aff0"/>
          <w:i w:val="0"/>
          <w:color w:val="auto"/>
        </w:rPr>
        <w:t>Science</w:t>
      </w:r>
      <w:r w:rsidRPr="00031A62">
        <w:rPr>
          <w:i/>
          <w:color w:val="auto"/>
        </w:rPr>
        <w:t>,</w:t>
      </w:r>
      <w:r w:rsidRPr="00031A62">
        <w:rPr>
          <w:color w:val="auto"/>
        </w:rPr>
        <w:t xml:space="preserve"> 319(5865), 952-954. https://doi.org/10.1126/science.1152355</w:t>
      </w:r>
    </w:p>
    <w:p w14:paraId="3B79E40D" w14:textId="77777777" w:rsidR="002C7DDA" w:rsidRPr="00031A62" w:rsidRDefault="002C7DDA" w:rsidP="00031A62">
      <w:pPr>
        <w:spacing w:line="360" w:lineRule="auto"/>
        <w:ind w:left="567" w:hanging="567"/>
        <w:rPr>
          <w:szCs w:val="24"/>
        </w:rPr>
      </w:pPr>
      <w:r w:rsidRPr="00031A62">
        <w:rPr>
          <w:szCs w:val="24"/>
        </w:rPr>
        <w:t xml:space="preserve">Singh, A. K., Yeasin, M., Paul, R. K., Paul, A. K., &amp; Sarkar, A. (2024). Dynamic ensemble-based machine learning models for predicting pest populations. </w:t>
      </w:r>
      <w:r w:rsidRPr="00031A62">
        <w:rPr>
          <w:iCs/>
          <w:szCs w:val="24"/>
        </w:rPr>
        <w:t>Frontiers in Applied Mathematics and Statistics</w:t>
      </w:r>
      <w:r w:rsidRPr="00031A62">
        <w:rPr>
          <w:szCs w:val="24"/>
        </w:rPr>
        <w:t xml:space="preserve">, </w:t>
      </w:r>
      <w:r w:rsidRPr="00031A62">
        <w:rPr>
          <w:iCs/>
          <w:szCs w:val="24"/>
        </w:rPr>
        <w:t>10</w:t>
      </w:r>
      <w:r w:rsidRPr="00031A62">
        <w:rPr>
          <w:szCs w:val="24"/>
        </w:rPr>
        <w:t>, 1435517.</w:t>
      </w:r>
      <w:r w:rsidRPr="00031A62">
        <w:rPr>
          <w:szCs w:val="24"/>
          <w:lang w:val="kk-KZ"/>
        </w:rPr>
        <w:t xml:space="preserve"> </w:t>
      </w:r>
      <w:hyperlink r:id="rId48" w:history="1">
        <w:r w:rsidRPr="00031A62">
          <w:rPr>
            <w:rStyle w:val="af1"/>
            <w:color w:val="auto"/>
            <w:szCs w:val="24"/>
          </w:rPr>
          <w:t>https://doi.org/10.3389/fams.2024.1435517</w:t>
        </w:r>
      </w:hyperlink>
    </w:p>
    <w:p w14:paraId="5B6039F8" w14:textId="77777777" w:rsidR="002C7DDA" w:rsidRPr="00031A62" w:rsidRDefault="002C7DDA" w:rsidP="00031A62">
      <w:pPr>
        <w:spacing w:line="360" w:lineRule="auto"/>
        <w:ind w:left="567" w:hanging="567"/>
        <w:rPr>
          <w:szCs w:val="24"/>
          <w:lang w:val="kk-KZ"/>
        </w:rPr>
      </w:pPr>
      <w:r w:rsidRPr="00031A62">
        <w:rPr>
          <w:szCs w:val="24"/>
        </w:rPr>
        <w:t xml:space="preserve">Sun, R., Huang, W., Dong, Y., Zhao, L., Zhang, B., Ma, H., Geng, Y., Ruan, C., Xing, N., Chen, X., &amp; Li, X. (2022). Dynamic forecast of desert locust presence using machine learning with a multivariate time lag sliding window technique. </w:t>
      </w:r>
      <w:r w:rsidRPr="00031A62">
        <w:rPr>
          <w:iCs/>
          <w:szCs w:val="24"/>
        </w:rPr>
        <w:t>Remote Sensing</w:t>
      </w:r>
      <w:r w:rsidRPr="00031A62">
        <w:rPr>
          <w:szCs w:val="24"/>
        </w:rPr>
        <w:t xml:space="preserve">, </w:t>
      </w:r>
      <w:r w:rsidRPr="00031A62">
        <w:rPr>
          <w:iCs/>
          <w:szCs w:val="24"/>
        </w:rPr>
        <w:t>14</w:t>
      </w:r>
      <w:r w:rsidRPr="00031A62">
        <w:rPr>
          <w:szCs w:val="24"/>
        </w:rPr>
        <w:t>(3), 747.</w:t>
      </w:r>
      <w:r w:rsidRPr="00031A62">
        <w:rPr>
          <w:szCs w:val="24"/>
          <w:lang w:val="kk-KZ"/>
        </w:rPr>
        <w:t xml:space="preserve"> </w:t>
      </w:r>
      <w:hyperlink r:id="rId49" w:history="1">
        <w:r w:rsidRPr="00031A62">
          <w:rPr>
            <w:rStyle w:val="af1"/>
            <w:color w:val="auto"/>
            <w:szCs w:val="24"/>
            <w:lang w:val="kk-KZ"/>
          </w:rPr>
          <w:t>https://doi.org/10.3390/rs14030747</w:t>
        </w:r>
      </w:hyperlink>
    </w:p>
    <w:p w14:paraId="2808FB02" w14:textId="0C1CD3D8" w:rsidR="002E6641" w:rsidRPr="00031A62" w:rsidRDefault="002E6641" w:rsidP="00031A62">
      <w:pPr>
        <w:spacing w:line="360" w:lineRule="auto"/>
        <w:ind w:left="567" w:hanging="567"/>
        <w:rPr>
          <w:szCs w:val="24"/>
        </w:rPr>
      </w:pPr>
      <w:r w:rsidRPr="00031A62">
        <w:rPr>
          <w:szCs w:val="24"/>
        </w:rPr>
        <w:t xml:space="preserve">Sword, G. A., Lecoq, M., &amp; Simpson, S. J. (2010). Phase polyphenism and preventative locust management. </w:t>
      </w:r>
      <w:r w:rsidR="006C70D3" w:rsidRPr="00031A62">
        <w:rPr>
          <w:iCs/>
          <w:szCs w:val="24"/>
        </w:rPr>
        <w:t>Journal of Insect P</w:t>
      </w:r>
      <w:r w:rsidRPr="00031A62">
        <w:rPr>
          <w:iCs/>
          <w:szCs w:val="24"/>
        </w:rPr>
        <w:t>hysiology</w:t>
      </w:r>
      <w:r w:rsidRPr="00031A62">
        <w:rPr>
          <w:szCs w:val="24"/>
        </w:rPr>
        <w:t xml:space="preserve">, </w:t>
      </w:r>
      <w:r w:rsidRPr="00031A62">
        <w:rPr>
          <w:iCs/>
          <w:szCs w:val="24"/>
        </w:rPr>
        <w:t>56</w:t>
      </w:r>
      <w:r w:rsidRPr="00031A62">
        <w:rPr>
          <w:szCs w:val="24"/>
        </w:rPr>
        <w:t xml:space="preserve">(8), 949-957. </w:t>
      </w:r>
      <w:r w:rsidR="006C70D3" w:rsidRPr="00031A62">
        <w:rPr>
          <w:szCs w:val="24"/>
        </w:rPr>
        <w:t>https://doi.org/</w:t>
      </w:r>
      <w:r w:rsidRPr="00031A62">
        <w:rPr>
          <w:szCs w:val="24"/>
        </w:rPr>
        <w:t>10.1016/j.jinsphys.2010.05.005</w:t>
      </w:r>
    </w:p>
    <w:p w14:paraId="5F0D82D4" w14:textId="77777777" w:rsidR="0067206E" w:rsidRPr="00031A62" w:rsidRDefault="0067206E" w:rsidP="00031A62">
      <w:pPr>
        <w:spacing w:line="360" w:lineRule="auto"/>
        <w:ind w:left="567" w:hanging="567"/>
        <w:rPr>
          <w:szCs w:val="24"/>
        </w:rPr>
      </w:pPr>
      <w:r w:rsidRPr="00031A62">
        <w:rPr>
          <w:szCs w:val="24"/>
        </w:rPr>
        <w:t xml:space="preserve">Thuiller, W., Lafourcade, B., Engler, R., &amp; Araújo, M. B. (2009). BIOMOD – A platform for ensemble forecasting of species distributions. </w:t>
      </w:r>
      <w:r w:rsidRPr="00031A62">
        <w:rPr>
          <w:iCs/>
          <w:szCs w:val="24"/>
        </w:rPr>
        <w:t>Ecography</w:t>
      </w:r>
      <w:r w:rsidRPr="00031A62">
        <w:rPr>
          <w:szCs w:val="24"/>
        </w:rPr>
        <w:t xml:space="preserve">, </w:t>
      </w:r>
      <w:r w:rsidRPr="00031A62">
        <w:rPr>
          <w:iCs/>
          <w:szCs w:val="24"/>
        </w:rPr>
        <w:t>32</w:t>
      </w:r>
      <w:r w:rsidRPr="00031A62">
        <w:rPr>
          <w:szCs w:val="24"/>
        </w:rPr>
        <w:t xml:space="preserve">(3), 369-373. </w:t>
      </w:r>
      <w:hyperlink r:id="rId50" w:history="1">
        <w:r w:rsidRPr="00031A62">
          <w:rPr>
            <w:rStyle w:val="af1"/>
            <w:color w:val="auto"/>
            <w:szCs w:val="24"/>
          </w:rPr>
          <w:t>https://doi.org/10.1111/j.1600-0587.2008.05742.x</w:t>
        </w:r>
      </w:hyperlink>
    </w:p>
    <w:p w14:paraId="4646D927" w14:textId="77777777" w:rsidR="000314E0" w:rsidRPr="00031A62" w:rsidRDefault="000314E0" w:rsidP="00031A62">
      <w:pPr>
        <w:pStyle w:val="afa"/>
        <w:spacing w:line="360" w:lineRule="auto"/>
        <w:ind w:left="567" w:hanging="567"/>
        <w:rPr>
          <w:color w:val="auto"/>
        </w:rPr>
      </w:pPr>
      <w:r w:rsidRPr="00031A62">
        <w:rPr>
          <w:color w:val="auto"/>
        </w:rPr>
        <w:t xml:space="preserve">Tilman, D., Cassman, K. G., Matson, P. A., Naylor, R., &amp; Polasky, S. (2002). Agricultural sustainability and intensive production practices. </w:t>
      </w:r>
      <w:r w:rsidRPr="00031A62">
        <w:rPr>
          <w:rStyle w:val="aff0"/>
          <w:i w:val="0"/>
          <w:color w:val="auto"/>
        </w:rPr>
        <w:t>Nature</w:t>
      </w:r>
      <w:r w:rsidRPr="00031A62">
        <w:rPr>
          <w:i/>
          <w:color w:val="auto"/>
        </w:rPr>
        <w:t>,</w:t>
      </w:r>
      <w:r w:rsidRPr="00031A62">
        <w:rPr>
          <w:color w:val="auto"/>
        </w:rPr>
        <w:t xml:space="preserve"> 418(6898), 671-677. </w:t>
      </w:r>
      <w:hyperlink r:id="rId51" w:tgtFrame="_new" w:history="1">
        <w:r w:rsidRPr="00031A62">
          <w:rPr>
            <w:rStyle w:val="af1"/>
            <w:color w:val="auto"/>
          </w:rPr>
          <w:t>https://doi.org/10.1038/nature01014</w:t>
        </w:r>
      </w:hyperlink>
    </w:p>
    <w:p w14:paraId="79339A5D" w14:textId="77777777" w:rsidR="004F01B8" w:rsidRPr="00031A62" w:rsidRDefault="004F01B8" w:rsidP="00031A62">
      <w:pPr>
        <w:tabs>
          <w:tab w:val="left" w:pos="709"/>
        </w:tabs>
        <w:spacing w:line="360" w:lineRule="auto"/>
        <w:ind w:left="567" w:hanging="567"/>
        <w:rPr>
          <w:szCs w:val="24"/>
        </w:rPr>
      </w:pPr>
      <w:r w:rsidRPr="00031A62">
        <w:rPr>
          <w:rStyle w:val="aff"/>
          <w:rFonts w:eastAsiaTheme="majorEastAsia"/>
          <w:b w:val="0"/>
          <w:bCs w:val="0"/>
          <w:color w:val="auto"/>
          <w:szCs w:val="24"/>
        </w:rPr>
        <w:t>Uspanov, A. M., Dinasylov, A. S., Lednev, G. R., &amp; Niyazbekov, Z. B. (2012).</w:t>
      </w:r>
      <w:r w:rsidRPr="00031A62">
        <w:rPr>
          <w:szCs w:val="24"/>
        </w:rPr>
        <w:t xml:space="preserve"> Biological effectiveness of chemicals and formulation of entomopathogenic fungi </w:t>
      </w:r>
      <w:r w:rsidRPr="00031A62">
        <w:rPr>
          <w:i/>
          <w:szCs w:val="24"/>
        </w:rPr>
        <w:t>beauveria bassiana (bals.) vuill</w:t>
      </w:r>
      <w:r w:rsidRPr="00031A62">
        <w:rPr>
          <w:szCs w:val="24"/>
        </w:rPr>
        <w:t xml:space="preserve">. </w:t>
      </w:r>
      <w:r w:rsidRPr="00031A62">
        <w:rPr>
          <w:rStyle w:val="aff0"/>
          <w:i w:val="0"/>
          <w:color w:val="auto"/>
          <w:szCs w:val="24"/>
        </w:rPr>
        <w:t>Experimental Biology, 55</w:t>
      </w:r>
      <w:r w:rsidRPr="00031A62">
        <w:rPr>
          <w:szCs w:val="24"/>
        </w:rPr>
        <w:t>(3), 135-141. (in Russian)</w:t>
      </w:r>
    </w:p>
    <w:p w14:paraId="18E44490" w14:textId="77777777" w:rsidR="004F01B8" w:rsidRPr="00031A62" w:rsidRDefault="004F01B8" w:rsidP="00031A62">
      <w:pPr>
        <w:spacing w:line="360" w:lineRule="auto"/>
        <w:ind w:left="567" w:hanging="567"/>
        <w:rPr>
          <w:szCs w:val="24"/>
        </w:rPr>
      </w:pPr>
      <w:r w:rsidRPr="00031A62">
        <w:rPr>
          <w:szCs w:val="24"/>
        </w:rPr>
        <w:t xml:space="preserve">Uvarov, B. (1977). </w:t>
      </w:r>
      <w:r w:rsidRPr="00031A62">
        <w:rPr>
          <w:rStyle w:val="aff0"/>
          <w:i w:val="0"/>
          <w:color w:val="auto"/>
          <w:szCs w:val="24"/>
        </w:rPr>
        <w:t>Grasshoppers and locusts. A handbook of general acridology</w:t>
      </w:r>
      <w:r w:rsidRPr="00031A62">
        <w:rPr>
          <w:szCs w:val="24"/>
        </w:rPr>
        <w:t xml:space="preserve">. Vol. 2. London: Centre for Overseas Pest Research, London, 613 p. </w:t>
      </w:r>
    </w:p>
    <w:p w14:paraId="076A8638" w14:textId="082707C8" w:rsidR="002E6641" w:rsidRPr="00031A62" w:rsidRDefault="002E6641" w:rsidP="00031A62">
      <w:pPr>
        <w:spacing w:line="360" w:lineRule="auto"/>
        <w:ind w:left="567" w:hanging="567"/>
        <w:rPr>
          <w:szCs w:val="24"/>
        </w:rPr>
      </w:pPr>
      <w:r w:rsidRPr="00031A62">
        <w:rPr>
          <w:szCs w:val="24"/>
        </w:rPr>
        <w:t xml:space="preserve">Wheeler, T., &amp; Von Braun, J. (2013). Climate change impacts on global food security. </w:t>
      </w:r>
      <w:r w:rsidRPr="00031A62">
        <w:rPr>
          <w:iCs/>
          <w:szCs w:val="24"/>
        </w:rPr>
        <w:t>Science</w:t>
      </w:r>
      <w:r w:rsidRPr="00031A62">
        <w:rPr>
          <w:szCs w:val="24"/>
        </w:rPr>
        <w:t xml:space="preserve">, </w:t>
      </w:r>
      <w:r w:rsidRPr="00031A62">
        <w:rPr>
          <w:iCs/>
          <w:szCs w:val="24"/>
        </w:rPr>
        <w:t>341</w:t>
      </w:r>
      <w:r w:rsidRPr="00031A62">
        <w:rPr>
          <w:szCs w:val="24"/>
        </w:rPr>
        <w:t xml:space="preserve">(6145), 508-513. </w:t>
      </w:r>
      <w:r w:rsidR="00425FA4" w:rsidRPr="00031A62">
        <w:rPr>
          <w:szCs w:val="24"/>
        </w:rPr>
        <w:t>https://doi.org/10.1126/science.1239402</w:t>
      </w:r>
    </w:p>
    <w:p w14:paraId="2EBB9754" w14:textId="77777777" w:rsidR="002C7DDA" w:rsidRPr="00031A62" w:rsidRDefault="002C7DDA" w:rsidP="00031A62">
      <w:pPr>
        <w:spacing w:line="360" w:lineRule="auto"/>
        <w:ind w:left="567" w:hanging="567"/>
        <w:rPr>
          <w:szCs w:val="24"/>
          <w:lang w:val="kk-KZ"/>
        </w:rPr>
      </w:pPr>
      <w:r w:rsidRPr="00031A62">
        <w:rPr>
          <w:szCs w:val="24"/>
        </w:rPr>
        <w:t xml:space="preserve">Xiao, Q., Li, W., Kai, Y., Chen, P., Zhang, J., &amp; Wang, B. (2019). Occurrence prediction of pests and diseases in cotton on the basis of weather factors by long short term memory network. </w:t>
      </w:r>
      <w:r w:rsidRPr="00031A62">
        <w:rPr>
          <w:iCs/>
          <w:szCs w:val="24"/>
        </w:rPr>
        <w:t>BMC bioinformatics</w:t>
      </w:r>
      <w:r w:rsidRPr="00031A62">
        <w:rPr>
          <w:szCs w:val="24"/>
        </w:rPr>
        <w:t xml:space="preserve">, </w:t>
      </w:r>
      <w:r w:rsidRPr="00031A62">
        <w:rPr>
          <w:iCs/>
          <w:szCs w:val="24"/>
        </w:rPr>
        <w:t>20</w:t>
      </w:r>
      <w:r w:rsidRPr="00031A62">
        <w:rPr>
          <w:szCs w:val="24"/>
        </w:rPr>
        <w:t>(Suppl 25), 688.</w:t>
      </w:r>
      <w:r w:rsidRPr="00031A62">
        <w:rPr>
          <w:szCs w:val="24"/>
          <w:lang w:val="kk-KZ"/>
        </w:rPr>
        <w:t xml:space="preserve"> </w:t>
      </w:r>
      <w:hyperlink r:id="rId52" w:history="1">
        <w:r w:rsidRPr="00031A62">
          <w:rPr>
            <w:rStyle w:val="af1"/>
            <w:color w:val="auto"/>
            <w:szCs w:val="24"/>
            <w:lang w:val="kk-KZ"/>
          </w:rPr>
          <w:t>https://doi.org/10.1186/s12859-019-3262-y</w:t>
        </w:r>
      </w:hyperlink>
    </w:p>
    <w:p w14:paraId="079E2850" w14:textId="3A1B41B1" w:rsidR="00374E79" w:rsidRPr="004F01B8" w:rsidRDefault="002E6641" w:rsidP="00031A62">
      <w:pPr>
        <w:spacing w:line="360" w:lineRule="auto"/>
        <w:ind w:left="567" w:hanging="567"/>
        <w:rPr>
          <w:szCs w:val="24"/>
          <w:lang w:val="kk-KZ"/>
        </w:rPr>
      </w:pPr>
      <w:r w:rsidRPr="00031A62">
        <w:rPr>
          <w:szCs w:val="24"/>
        </w:rPr>
        <w:t xml:space="preserve">Xie, Y., Sha, Z., &amp; Yu, M. (2008). Remote sensing imagery in vegetation mapping: </w:t>
      </w:r>
      <w:r w:rsidR="00CB6038" w:rsidRPr="00031A62">
        <w:rPr>
          <w:szCs w:val="24"/>
        </w:rPr>
        <w:t>A</w:t>
      </w:r>
      <w:r w:rsidRPr="00031A62">
        <w:rPr>
          <w:szCs w:val="24"/>
        </w:rPr>
        <w:t xml:space="preserve"> review. </w:t>
      </w:r>
      <w:r w:rsidR="00CB6038" w:rsidRPr="00031A62">
        <w:rPr>
          <w:iCs/>
          <w:szCs w:val="24"/>
        </w:rPr>
        <w:t>Journal of P</w:t>
      </w:r>
      <w:r w:rsidRPr="00031A62">
        <w:rPr>
          <w:iCs/>
          <w:szCs w:val="24"/>
        </w:rPr>
        <w:t xml:space="preserve">lant </w:t>
      </w:r>
      <w:r w:rsidR="00CB6038" w:rsidRPr="00031A62">
        <w:rPr>
          <w:iCs/>
          <w:szCs w:val="24"/>
        </w:rPr>
        <w:t>E</w:t>
      </w:r>
      <w:r w:rsidRPr="00031A62">
        <w:rPr>
          <w:iCs/>
          <w:szCs w:val="24"/>
        </w:rPr>
        <w:t>cology</w:t>
      </w:r>
      <w:r w:rsidRPr="00031A62">
        <w:rPr>
          <w:szCs w:val="24"/>
        </w:rPr>
        <w:t xml:space="preserve">, </w:t>
      </w:r>
      <w:r w:rsidRPr="00031A62">
        <w:rPr>
          <w:iCs/>
          <w:szCs w:val="24"/>
        </w:rPr>
        <w:t>1</w:t>
      </w:r>
      <w:r w:rsidRPr="00031A62">
        <w:rPr>
          <w:szCs w:val="24"/>
        </w:rPr>
        <w:t>(1), 9-23.</w:t>
      </w:r>
      <w:r w:rsidRPr="00031A62">
        <w:rPr>
          <w:szCs w:val="24"/>
          <w:lang w:val="kk-KZ"/>
        </w:rPr>
        <w:t xml:space="preserve"> </w:t>
      </w:r>
      <w:hyperlink r:id="rId53" w:history="1">
        <w:r w:rsidRPr="00031A62">
          <w:rPr>
            <w:rStyle w:val="af1"/>
            <w:color w:val="auto"/>
            <w:szCs w:val="24"/>
            <w:lang w:val="kk-KZ"/>
          </w:rPr>
          <w:t>https://doi.org/10.1093/jpe/rtm005</w:t>
        </w:r>
      </w:hyperlink>
      <w:r w:rsidR="00374E79" w:rsidRPr="00FB0687">
        <w:rPr>
          <w:color w:val="FF0000"/>
        </w:rPr>
        <w:br w:type="page"/>
      </w:r>
    </w:p>
    <w:p w14:paraId="41B7AABE" w14:textId="60DC67A3" w:rsidR="00B834E8" w:rsidRPr="006A32EF" w:rsidRDefault="00B834E8" w:rsidP="00B834E8">
      <w:pPr>
        <w:spacing w:line="240" w:lineRule="auto"/>
        <w:rPr>
          <w:sz w:val="22"/>
          <w:szCs w:val="22"/>
        </w:rPr>
      </w:pPr>
      <w:r w:rsidRPr="00B834E8">
        <w:rPr>
          <w:b/>
          <w:szCs w:val="24"/>
        </w:rPr>
        <w:lastRenderedPageBreak/>
        <w:t>Table 1:</w:t>
      </w:r>
      <w:r w:rsidRPr="00B834E8">
        <w:rPr>
          <w:b/>
          <w:bCs/>
          <w:szCs w:val="24"/>
        </w:rPr>
        <w:t xml:space="preserve"> </w:t>
      </w:r>
      <w:r w:rsidRPr="00B834E8">
        <w:rPr>
          <w:bCs/>
          <w:szCs w:val="24"/>
        </w:rPr>
        <w:t xml:space="preserve">Statistics of the </w:t>
      </w:r>
      <w:r w:rsidR="00D01586">
        <w:rPr>
          <w:bCs/>
          <w:szCs w:val="24"/>
        </w:rPr>
        <w:t>n</w:t>
      </w:r>
      <w:r w:rsidRPr="00B834E8">
        <w:rPr>
          <w:bCs/>
          <w:szCs w:val="24"/>
        </w:rPr>
        <w:t xml:space="preserve">umber of </w:t>
      </w:r>
      <w:r w:rsidR="00D01586">
        <w:rPr>
          <w:bCs/>
          <w:szCs w:val="24"/>
        </w:rPr>
        <w:t>o</w:t>
      </w:r>
      <w:r w:rsidRPr="00B834E8">
        <w:rPr>
          <w:bCs/>
          <w:szCs w:val="24"/>
        </w:rPr>
        <w:t xml:space="preserve">bservations and the </w:t>
      </w:r>
      <w:r w:rsidR="00D01586">
        <w:rPr>
          <w:bCs/>
          <w:szCs w:val="24"/>
        </w:rPr>
        <w:t>m</w:t>
      </w:r>
      <w:r w:rsidRPr="00B834E8">
        <w:rPr>
          <w:bCs/>
          <w:szCs w:val="24"/>
        </w:rPr>
        <w:t xml:space="preserve">ean </w:t>
      </w:r>
      <w:r w:rsidR="00D01586">
        <w:rPr>
          <w:bCs/>
          <w:szCs w:val="24"/>
        </w:rPr>
        <w:t>a</w:t>
      </w:r>
      <w:r w:rsidRPr="00B834E8">
        <w:rPr>
          <w:bCs/>
          <w:szCs w:val="24"/>
        </w:rPr>
        <w:t xml:space="preserve">bsolute </w:t>
      </w:r>
      <w:r w:rsidR="00D01586">
        <w:rPr>
          <w:bCs/>
          <w:szCs w:val="24"/>
        </w:rPr>
        <w:t>i</w:t>
      </w:r>
      <w:r w:rsidRPr="00B834E8">
        <w:rPr>
          <w:bCs/>
          <w:szCs w:val="24"/>
        </w:rPr>
        <w:t xml:space="preserve">nfestation </w:t>
      </w:r>
      <w:r w:rsidR="00D01586">
        <w:rPr>
          <w:bCs/>
          <w:szCs w:val="24"/>
        </w:rPr>
        <w:t>i</w:t>
      </w:r>
      <w:r w:rsidRPr="00B834E8">
        <w:rPr>
          <w:bCs/>
          <w:szCs w:val="24"/>
        </w:rPr>
        <w:t>ndex (</w:t>
      </w:r>
      <w:r w:rsidR="00D01586">
        <w:rPr>
          <w:bCs/>
          <w:szCs w:val="24"/>
        </w:rPr>
        <w:t>p</w:t>
      </w:r>
      <w:r w:rsidRPr="00B834E8">
        <w:rPr>
          <w:bCs/>
          <w:szCs w:val="24"/>
        </w:rPr>
        <w:t xml:space="preserve">abs, pcs./m²) within the </w:t>
      </w:r>
      <w:r w:rsidR="00D01586">
        <w:rPr>
          <w:bCs/>
          <w:szCs w:val="24"/>
        </w:rPr>
        <w:t>a</w:t>
      </w:r>
      <w:r w:rsidRPr="00B834E8">
        <w:rPr>
          <w:bCs/>
          <w:szCs w:val="24"/>
        </w:rPr>
        <w:t xml:space="preserve">groclimatic </w:t>
      </w:r>
      <w:r w:rsidR="00D01586">
        <w:rPr>
          <w:bCs/>
          <w:szCs w:val="24"/>
        </w:rPr>
        <w:t>z</w:t>
      </w:r>
      <w:r w:rsidRPr="00B834E8">
        <w:rPr>
          <w:bCs/>
          <w:szCs w:val="24"/>
        </w:rPr>
        <w:t>ones of Kazakhstan (2003–2024)</w:t>
      </w:r>
    </w:p>
    <w:tbl>
      <w:tblPr>
        <w:tblW w:w="9015" w:type="dxa"/>
        <w:tblLook w:val="04A0" w:firstRow="1" w:lastRow="0" w:firstColumn="1" w:lastColumn="0" w:noHBand="0" w:noVBand="1"/>
      </w:tblPr>
      <w:tblGrid>
        <w:gridCol w:w="478"/>
        <w:gridCol w:w="1647"/>
        <w:gridCol w:w="1077"/>
        <w:gridCol w:w="1285"/>
        <w:gridCol w:w="1079"/>
        <w:gridCol w:w="836"/>
        <w:gridCol w:w="706"/>
        <w:gridCol w:w="974"/>
        <w:gridCol w:w="933"/>
      </w:tblGrid>
      <w:tr w:rsidR="00B834E8" w:rsidRPr="00B834E8" w14:paraId="3B307721" w14:textId="77777777" w:rsidTr="00B834E8">
        <w:tc>
          <w:tcPr>
            <w:tcW w:w="496" w:type="dxa"/>
            <w:tcBorders>
              <w:top w:val="single" w:sz="4" w:space="0" w:color="auto"/>
              <w:bottom w:val="single" w:sz="4" w:space="0" w:color="auto"/>
            </w:tcBorders>
          </w:tcPr>
          <w:p w14:paraId="3E1E1D7B" w14:textId="77777777" w:rsidR="00B834E8" w:rsidRPr="00B834E8" w:rsidRDefault="00B834E8" w:rsidP="00B834E8">
            <w:pPr>
              <w:spacing w:line="240" w:lineRule="auto"/>
              <w:jc w:val="center"/>
              <w:rPr>
                <w:sz w:val="20"/>
              </w:rPr>
            </w:pPr>
            <w:r w:rsidRPr="00B834E8">
              <w:rPr>
                <w:sz w:val="20"/>
              </w:rPr>
              <w:t>#</w:t>
            </w:r>
          </w:p>
        </w:tc>
        <w:tc>
          <w:tcPr>
            <w:tcW w:w="1767" w:type="dxa"/>
            <w:tcBorders>
              <w:top w:val="single" w:sz="4" w:space="0" w:color="auto"/>
              <w:bottom w:val="single" w:sz="4" w:space="0" w:color="auto"/>
            </w:tcBorders>
          </w:tcPr>
          <w:p w14:paraId="245DC516" w14:textId="77777777" w:rsidR="00B834E8" w:rsidRPr="00B834E8" w:rsidRDefault="00B834E8" w:rsidP="00B834E8">
            <w:pPr>
              <w:spacing w:line="240" w:lineRule="auto"/>
              <w:jc w:val="center"/>
              <w:rPr>
                <w:sz w:val="20"/>
              </w:rPr>
            </w:pPr>
            <w:r w:rsidRPr="00B834E8">
              <w:rPr>
                <w:sz w:val="20"/>
              </w:rPr>
              <w:t>Agroclimatic Zone</w:t>
            </w:r>
          </w:p>
        </w:tc>
        <w:tc>
          <w:tcPr>
            <w:tcW w:w="1185" w:type="dxa"/>
            <w:tcBorders>
              <w:top w:val="single" w:sz="4" w:space="0" w:color="auto"/>
              <w:bottom w:val="single" w:sz="4" w:space="0" w:color="auto"/>
            </w:tcBorders>
          </w:tcPr>
          <w:p w14:paraId="3C5EA8D2" w14:textId="77777777" w:rsidR="00B834E8" w:rsidRPr="00B834E8" w:rsidRDefault="00B834E8" w:rsidP="00B834E8">
            <w:pPr>
              <w:spacing w:line="240" w:lineRule="auto"/>
              <w:jc w:val="center"/>
              <w:rPr>
                <w:sz w:val="20"/>
              </w:rPr>
            </w:pPr>
            <w:r w:rsidRPr="00B834E8">
              <w:rPr>
                <w:sz w:val="20"/>
              </w:rPr>
              <w:t>Period</w:t>
            </w:r>
          </w:p>
        </w:tc>
        <w:tc>
          <w:tcPr>
            <w:tcW w:w="1289" w:type="dxa"/>
            <w:tcBorders>
              <w:top w:val="single" w:sz="4" w:space="0" w:color="auto"/>
              <w:bottom w:val="single" w:sz="4" w:space="0" w:color="auto"/>
            </w:tcBorders>
          </w:tcPr>
          <w:p w14:paraId="167F533D" w14:textId="77777777" w:rsidR="00B834E8" w:rsidRPr="00B834E8" w:rsidRDefault="00B834E8" w:rsidP="00B834E8">
            <w:pPr>
              <w:spacing w:line="240" w:lineRule="auto"/>
              <w:jc w:val="center"/>
              <w:rPr>
                <w:sz w:val="20"/>
              </w:rPr>
            </w:pPr>
            <w:r w:rsidRPr="00B834E8">
              <w:rPr>
                <w:sz w:val="20"/>
              </w:rPr>
              <w:t>Number of Observations</w:t>
            </w:r>
          </w:p>
        </w:tc>
        <w:tc>
          <w:tcPr>
            <w:tcW w:w="1124" w:type="dxa"/>
            <w:tcBorders>
              <w:top w:val="single" w:sz="4" w:space="0" w:color="auto"/>
              <w:bottom w:val="single" w:sz="4" w:space="0" w:color="auto"/>
            </w:tcBorders>
          </w:tcPr>
          <w:p w14:paraId="2DA9018F" w14:textId="77777777" w:rsidR="00B834E8" w:rsidRPr="00B834E8" w:rsidRDefault="00B834E8" w:rsidP="00B834E8">
            <w:pPr>
              <w:spacing w:line="240" w:lineRule="auto"/>
              <w:jc w:val="center"/>
              <w:rPr>
                <w:sz w:val="20"/>
              </w:rPr>
            </w:pPr>
            <w:r w:rsidRPr="00B834E8">
              <w:rPr>
                <w:sz w:val="20"/>
              </w:rPr>
              <w:t>Mean Pabs (pcs./m²)</w:t>
            </w:r>
          </w:p>
        </w:tc>
        <w:tc>
          <w:tcPr>
            <w:tcW w:w="839" w:type="dxa"/>
            <w:tcBorders>
              <w:top w:val="single" w:sz="4" w:space="0" w:color="auto"/>
              <w:bottom w:val="single" w:sz="4" w:space="0" w:color="auto"/>
            </w:tcBorders>
          </w:tcPr>
          <w:p w14:paraId="47AD9FD8" w14:textId="77777777" w:rsidR="00B834E8" w:rsidRPr="00B834E8" w:rsidRDefault="00B834E8" w:rsidP="00B834E8">
            <w:pPr>
              <w:spacing w:line="240" w:lineRule="auto"/>
              <w:jc w:val="center"/>
              <w:rPr>
                <w:sz w:val="20"/>
              </w:rPr>
            </w:pPr>
            <w:r w:rsidRPr="00B834E8">
              <w:rPr>
                <w:sz w:val="20"/>
              </w:rPr>
              <w:t>Median</w:t>
            </w:r>
          </w:p>
        </w:tc>
        <w:tc>
          <w:tcPr>
            <w:tcW w:w="719" w:type="dxa"/>
            <w:tcBorders>
              <w:top w:val="single" w:sz="4" w:space="0" w:color="auto"/>
              <w:bottom w:val="single" w:sz="4" w:space="0" w:color="auto"/>
            </w:tcBorders>
          </w:tcPr>
          <w:p w14:paraId="6AD9F396" w14:textId="77777777" w:rsidR="00B834E8" w:rsidRPr="00B834E8" w:rsidRDefault="00B834E8" w:rsidP="00B834E8">
            <w:pPr>
              <w:spacing w:line="240" w:lineRule="auto"/>
              <w:jc w:val="center"/>
              <w:rPr>
                <w:sz w:val="20"/>
              </w:rPr>
            </w:pPr>
            <w:r w:rsidRPr="00B834E8">
              <w:rPr>
                <w:sz w:val="20"/>
              </w:rPr>
              <w:t>Min</w:t>
            </w:r>
          </w:p>
        </w:tc>
        <w:tc>
          <w:tcPr>
            <w:tcW w:w="977" w:type="dxa"/>
            <w:tcBorders>
              <w:top w:val="single" w:sz="4" w:space="0" w:color="auto"/>
              <w:bottom w:val="single" w:sz="4" w:space="0" w:color="auto"/>
            </w:tcBorders>
          </w:tcPr>
          <w:p w14:paraId="4662C4B1" w14:textId="77777777" w:rsidR="00B834E8" w:rsidRPr="00B834E8" w:rsidRDefault="00B834E8" w:rsidP="00B834E8">
            <w:pPr>
              <w:spacing w:line="240" w:lineRule="auto"/>
              <w:jc w:val="center"/>
              <w:rPr>
                <w:sz w:val="20"/>
              </w:rPr>
            </w:pPr>
            <w:r w:rsidRPr="00B834E8">
              <w:rPr>
                <w:sz w:val="20"/>
              </w:rPr>
              <w:t>Max</w:t>
            </w:r>
          </w:p>
        </w:tc>
        <w:tc>
          <w:tcPr>
            <w:tcW w:w="955" w:type="dxa"/>
            <w:tcBorders>
              <w:top w:val="single" w:sz="4" w:space="0" w:color="auto"/>
              <w:bottom w:val="single" w:sz="4" w:space="0" w:color="auto"/>
            </w:tcBorders>
          </w:tcPr>
          <w:p w14:paraId="5620963D" w14:textId="77777777" w:rsidR="00B834E8" w:rsidRPr="00B834E8" w:rsidRDefault="00B834E8" w:rsidP="00B834E8">
            <w:pPr>
              <w:spacing w:line="240" w:lineRule="auto"/>
              <w:jc w:val="center"/>
              <w:rPr>
                <w:sz w:val="20"/>
              </w:rPr>
            </w:pPr>
            <w:r w:rsidRPr="00B834E8">
              <w:rPr>
                <w:sz w:val="20"/>
              </w:rPr>
              <w:t>Std. Dev.</w:t>
            </w:r>
          </w:p>
        </w:tc>
      </w:tr>
      <w:tr w:rsidR="00B834E8" w:rsidRPr="00B834E8" w14:paraId="1E9105FC" w14:textId="77777777" w:rsidTr="00B834E8">
        <w:tc>
          <w:tcPr>
            <w:tcW w:w="9351" w:type="dxa"/>
            <w:gridSpan w:val="9"/>
            <w:tcBorders>
              <w:top w:val="single" w:sz="4" w:space="0" w:color="auto"/>
              <w:bottom w:val="single" w:sz="4" w:space="0" w:color="auto"/>
            </w:tcBorders>
          </w:tcPr>
          <w:p w14:paraId="4D570614" w14:textId="77777777" w:rsidR="00B834E8" w:rsidRPr="00B834E8" w:rsidRDefault="00B834E8" w:rsidP="00B834E8">
            <w:pPr>
              <w:spacing w:line="240" w:lineRule="auto"/>
              <w:jc w:val="center"/>
              <w:rPr>
                <w:sz w:val="20"/>
              </w:rPr>
            </w:pPr>
            <w:r w:rsidRPr="00B834E8">
              <w:rPr>
                <w:sz w:val="20"/>
              </w:rPr>
              <w:t>I. Extremely arid zones</w:t>
            </w:r>
          </w:p>
        </w:tc>
      </w:tr>
      <w:tr w:rsidR="00B834E8" w:rsidRPr="00B834E8" w14:paraId="372A08B6" w14:textId="77777777" w:rsidTr="00B834E8">
        <w:tc>
          <w:tcPr>
            <w:tcW w:w="496" w:type="dxa"/>
            <w:tcBorders>
              <w:top w:val="single" w:sz="4" w:space="0" w:color="auto"/>
              <w:bottom w:val="single" w:sz="4" w:space="0" w:color="auto"/>
            </w:tcBorders>
          </w:tcPr>
          <w:p w14:paraId="3C9F4A6C" w14:textId="77777777" w:rsidR="00B834E8" w:rsidRPr="00B834E8" w:rsidRDefault="00B834E8" w:rsidP="00B834E8">
            <w:pPr>
              <w:spacing w:line="240" w:lineRule="auto"/>
              <w:rPr>
                <w:sz w:val="20"/>
              </w:rPr>
            </w:pPr>
            <w:r w:rsidRPr="00B834E8">
              <w:rPr>
                <w:sz w:val="20"/>
              </w:rPr>
              <w:t>1</w:t>
            </w:r>
          </w:p>
        </w:tc>
        <w:tc>
          <w:tcPr>
            <w:tcW w:w="1767" w:type="dxa"/>
            <w:tcBorders>
              <w:top w:val="single" w:sz="4" w:space="0" w:color="auto"/>
              <w:bottom w:val="single" w:sz="4" w:space="0" w:color="auto"/>
            </w:tcBorders>
          </w:tcPr>
          <w:p w14:paraId="45F6DBB7" w14:textId="77777777" w:rsidR="00B834E8" w:rsidRPr="00B834E8" w:rsidRDefault="00B834E8" w:rsidP="00B834E8">
            <w:pPr>
              <w:spacing w:line="240" w:lineRule="auto"/>
              <w:rPr>
                <w:sz w:val="20"/>
              </w:rPr>
            </w:pPr>
            <w:r w:rsidRPr="00B834E8">
              <w:rPr>
                <w:sz w:val="20"/>
              </w:rPr>
              <w:t>(15) Extremely arid / Hot</w:t>
            </w:r>
          </w:p>
        </w:tc>
        <w:tc>
          <w:tcPr>
            <w:tcW w:w="1185" w:type="dxa"/>
            <w:tcBorders>
              <w:top w:val="single" w:sz="4" w:space="0" w:color="auto"/>
              <w:bottom w:val="single" w:sz="4" w:space="0" w:color="auto"/>
            </w:tcBorders>
          </w:tcPr>
          <w:p w14:paraId="2A57C416"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bottom w:val="single" w:sz="4" w:space="0" w:color="auto"/>
            </w:tcBorders>
          </w:tcPr>
          <w:p w14:paraId="040A5A36" w14:textId="77777777" w:rsidR="00B834E8" w:rsidRPr="00B834E8" w:rsidRDefault="00B834E8" w:rsidP="00B834E8">
            <w:pPr>
              <w:spacing w:line="240" w:lineRule="auto"/>
              <w:jc w:val="center"/>
              <w:rPr>
                <w:sz w:val="20"/>
              </w:rPr>
            </w:pPr>
            <w:r w:rsidRPr="00B834E8">
              <w:rPr>
                <w:sz w:val="20"/>
              </w:rPr>
              <w:t>87</w:t>
            </w:r>
          </w:p>
        </w:tc>
        <w:tc>
          <w:tcPr>
            <w:tcW w:w="1124" w:type="dxa"/>
            <w:tcBorders>
              <w:top w:val="single" w:sz="4" w:space="0" w:color="auto"/>
              <w:bottom w:val="single" w:sz="4" w:space="0" w:color="auto"/>
            </w:tcBorders>
          </w:tcPr>
          <w:p w14:paraId="1C337168" w14:textId="77777777" w:rsidR="00B834E8" w:rsidRPr="00B834E8" w:rsidRDefault="00B834E8" w:rsidP="00B834E8">
            <w:pPr>
              <w:spacing w:line="240" w:lineRule="auto"/>
              <w:jc w:val="center"/>
              <w:rPr>
                <w:sz w:val="20"/>
              </w:rPr>
            </w:pPr>
            <w:r w:rsidRPr="00B834E8">
              <w:rPr>
                <w:sz w:val="20"/>
              </w:rPr>
              <w:t>2.91</w:t>
            </w:r>
          </w:p>
        </w:tc>
        <w:tc>
          <w:tcPr>
            <w:tcW w:w="839" w:type="dxa"/>
            <w:tcBorders>
              <w:top w:val="single" w:sz="4" w:space="0" w:color="auto"/>
              <w:bottom w:val="single" w:sz="4" w:space="0" w:color="auto"/>
            </w:tcBorders>
          </w:tcPr>
          <w:p w14:paraId="7C926790" w14:textId="77777777" w:rsidR="00B834E8" w:rsidRPr="00B834E8" w:rsidRDefault="00B834E8" w:rsidP="00B834E8">
            <w:pPr>
              <w:spacing w:line="240" w:lineRule="auto"/>
              <w:jc w:val="center"/>
              <w:rPr>
                <w:sz w:val="20"/>
              </w:rPr>
            </w:pPr>
            <w:r w:rsidRPr="00B834E8">
              <w:rPr>
                <w:sz w:val="20"/>
              </w:rPr>
              <w:t>0.429</w:t>
            </w:r>
          </w:p>
        </w:tc>
        <w:tc>
          <w:tcPr>
            <w:tcW w:w="719" w:type="dxa"/>
            <w:tcBorders>
              <w:top w:val="single" w:sz="4" w:space="0" w:color="auto"/>
              <w:bottom w:val="single" w:sz="4" w:space="0" w:color="auto"/>
            </w:tcBorders>
          </w:tcPr>
          <w:p w14:paraId="179BF5C7" w14:textId="77777777" w:rsidR="00B834E8" w:rsidRPr="00B834E8" w:rsidRDefault="00B834E8" w:rsidP="00B834E8">
            <w:pPr>
              <w:spacing w:line="240" w:lineRule="auto"/>
              <w:jc w:val="center"/>
              <w:rPr>
                <w:sz w:val="20"/>
              </w:rPr>
            </w:pPr>
            <w:r w:rsidRPr="00B834E8">
              <w:rPr>
                <w:sz w:val="20"/>
              </w:rPr>
              <w:t>0.00</w:t>
            </w:r>
          </w:p>
        </w:tc>
        <w:tc>
          <w:tcPr>
            <w:tcW w:w="977" w:type="dxa"/>
            <w:tcBorders>
              <w:top w:val="single" w:sz="4" w:space="0" w:color="auto"/>
              <w:bottom w:val="single" w:sz="4" w:space="0" w:color="auto"/>
            </w:tcBorders>
          </w:tcPr>
          <w:p w14:paraId="55308D83" w14:textId="77777777" w:rsidR="00B834E8" w:rsidRPr="00B834E8" w:rsidRDefault="00B834E8" w:rsidP="00B834E8">
            <w:pPr>
              <w:spacing w:line="240" w:lineRule="auto"/>
              <w:jc w:val="center"/>
              <w:rPr>
                <w:sz w:val="20"/>
              </w:rPr>
            </w:pPr>
            <w:r w:rsidRPr="00B834E8">
              <w:rPr>
                <w:sz w:val="20"/>
              </w:rPr>
              <w:t>155.5</w:t>
            </w:r>
          </w:p>
        </w:tc>
        <w:tc>
          <w:tcPr>
            <w:tcW w:w="955" w:type="dxa"/>
            <w:tcBorders>
              <w:top w:val="single" w:sz="4" w:space="0" w:color="auto"/>
              <w:bottom w:val="single" w:sz="4" w:space="0" w:color="auto"/>
            </w:tcBorders>
          </w:tcPr>
          <w:p w14:paraId="42B1B999" w14:textId="77777777" w:rsidR="00B834E8" w:rsidRPr="00B834E8" w:rsidRDefault="00B834E8" w:rsidP="00B834E8">
            <w:pPr>
              <w:spacing w:line="240" w:lineRule="auto"/>
              <w:jc w:val="center"/>
              <w:rPr>
                <w:sz w:val="20"/>
              </w:rPr>
            </w:pPr>
            <w:r w:rsidRPr="00B834E8">
              <w:rPr>
                <w:sz w:val="20"/>
              </w:rPr>
              <w:t>16.70</w:t>
            </w:r>
          </w:p>
        </w:tc>
      </w:tr>
      <w:tr w:rsidR="00B834E8" w:rsidRPr="00B834E8" w14:paraId="3AD74FBD" w14:textId="77777777" w:rsidTr="00B834E8">
        <w:tc>
          <w:tcPr>
            <w:tcW w:w="9351" w:type="dxa"/>
            <w:gridSpan w:val="9"/>
            <w:tcBorders>
              <w:top w:val="single" w:sz="4" w:space="0" w:color="auto"/>
              <w:bottom w:val="single" w:sz="4" w:space="0" w:color="auto"/>
            </w:tcBorders>
          </w:tcPr>
          <w:p w14:paraId="629CF7B2" w14:textId="77777777" w:rsidR="00B834E8" w:rsidRPr="00B834E8" w:rsidRDefault="00B834E8" w:rsidP="00B834E8">
            <w:pPr>
              <w:spacing w:line="240" w:lineRule="auto"/>
              <w:jc w:val="center"/>
              <w:rPr>
                <w:sz w:val="20"/>
              </w:rPr>
            </w:pPr>
            <w:r w:rsidRPr="00B834E8">
              <w:rPr>
                <w:sz w:val="20"/>
              </w:rPr>
              <w:t>II. Highly arid zones</w:t>
            </w:r>
          </w:p>
        </w:tc>
      </w:tr>
      <w:tr w:rsidR="00B834E8" w:rsidRPr="00B834E8" w14:paraId="5296240D" w14:textId="77777777" w:rsidTr="00B834E8">
        <w:tc>
          <w:tcPr>
            <w:tcW w:w="496" w:type="dxa"/>
            <w:tcBorders>
              <w:top w:val="single" w:sz="4" w:space="0" w:color="auto"/>
            </w:tcBorders>
          </w:tcPr>
          <w:p w14:paraId="711AEAF6" w14:textId="77777777" w:rsidR="00B834E8" w:rsidRPr="00B834E8" w:rsidRDefault="00B834E8" w:rsidP="00B834E8">
            <w:pPr>
              <w:spacing w:line="240" w:lineRule="auto"/>
              <w:rPr>
                <w:sz w:val="20"/>
              </w:rPr>
            </w:pPr>
            <w:r w:rsidRPr="00B834E8">
              <w:rPr>
                <w:sz w:val="20"/>
              </w:rPr>
              <w:t>2</w:t>
            </w:r>
          </w:p>
        </w:tc>
        <w:tc>
          <w:tcPr>
            <w:tcW w:w="1767" w:type="dxa"/>
            <w:tcBorders>
              <w:top w:val="single" w:sz="4" w:space="0" w:color="auto"/>
            </w:tcBorders>
          </w:tcPr>
          <w:p w14:paraId="30B4CF63" w14:textId="77777777" w:rsidR="00B834E8" w:rsidRPr="00B834E8" w:rsidRDefault="00B834E8" w:rsidP="00B834E8">
            <w:pPr>
              <w:spacing w:line="240" w:lineRule="auto"/>
              <w:rPr>
                <w:sz w:val="20"/>
              </w:rPr>
            </w:pPr>
            <w:r w:rsidRPr="00B834E8">
              <w:rPr>
                <w:sz w:val="20"/>
              </w:rPr>
              <w:t>(22) Highly arid / Moderately warm</w:t>
            </w:r>
          </w:p>
        </w:tc>
        <w:tc>
          <w:tcPr>
            <w:tcW w:w="1185" w:type="dxa"/>
            <w:tcBorders>
              <w:top w:val="single" w:sz="4" w:space="0" w:color="auto"/>
            </w:tcBorders>
          </w:tcPr>
          <w:p w14:paraId="2384D1B9"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tcBorders>
          </w:tcPr>
          <w:p w14:paraId="396E67FF" w14:textId="77777777" w:rsidR="00B834E8" w:rsidRPr="00B834E8" w:rsidRDefault="00B834E8" w:rsidP="00B834E8">
            <w:pPr>
              <w:spacing w:line="240" w:lineRule="auto"/>
              <w:jc w:val="center"/>
              <w:rPr>
                <w:sz w:val="20"/>
              </w:rPr>
            </w:pPr>
            <w:r w:rsidRPr="00B834E8">
              <w:rPr>
                <w:sz w:val="20"/>
              </w:rPr>
              <w:t>65</w:t>
            </w:r>
          </w:p>
        </w:tc>
        <w:tc>
          <w:tcPr>
            <w:tcW w:w="1124" w:type="dxa"/>
            <w:tcBorders>
              <w:top w:val="single" w:sz="4" w:space="0" w:color="auto"/>
            </w:tcBorders>
          </w:tcPr>
          <w:p w14:paraId="5B98678B" w14:textId="77777777" w:rsidR="00B834E8" w:rsidRPr="00B834E8" w:rsidRDefault="00B834E8" w:rsidP="00B834E8">
            <w:pPr>
              <w:spacing w:line="240" w:lineRule="auto"/>
              <w:jc w:val="center"/>
              <w:rPr>
                <w:sz w:val="20"/>
              </w:rPr>
            </w:pPr>
            <w:r w:rsidRPr="00B834E8">
              <w:rPr>
                <w:sz w:val="20"/>
              </w:rPr>
              <w:t>3.359</w:t>
            </w:r>
          </w:p>
        </w:tc>
        <w:tc>
          <w:tcPr>
            <w:tcW w:w="839" w:type="dxa"/>
            <w:tcBorders>
              <w:top w:val="single" w:sz="4" w:space="0" w:color="auto"/>
            </w:tcBorders>
          </w:tcPr>
          <w:p w14:paraId="00C92B66" w14:textId="77777777" w:rsidR="00B834E8" w:rsidRPr="00B834E8" w:rsidRDefault="00B834E8" w:rsidP="00B834E8">
            <w:pPr>
              <w:spacing w:line="240" w:lineRule="auto"/>
              <w:jc w:val="center"/>
              <w:rPr>
                <w:sz w:val="20"/>
              </w:rPr>
            </w:pPr>
            <w:r w:rsidRPr="00B834E8">
              <w:rPr>
                <w:sz w:val="20"/>
              </w:rPr>
              <w:t>1.100</w:t>
            </w:r>
          </w:p>
        </w:tc>
        <w:tc>
          <w:tcPr>
            <w:tcW w:w="719" w:type="dxa"/>
            <w:tcBorders>
              <w:top w:val="single" w:sz="4" w:space="0" w:color="auto"/>
            </w:tcBorders>
          </w:tcPr>
          <w:p w14:paraId="40928ABF" w14:textId="77777777" w:rsidR="00B834E8" w:rsidRPr="00B834E8" w:rsidRDefault="00B834E8" w:rsidP="00B834E8">
            <w:pPr>
              <w:spacing w:line="240" w:lineRule="auto"/>
              <w:jc w:val="center"/>
              <w:rPr>
                <w:sz w:val="20"/>
              </w:rPr>
            </w:pPr>
            <w:r w:rsidRPr="00B834E8">
              <w:rPr>
                <w:sz w:val="20"/>
              </w:rPr>
              <w:t>0.000</w:t>
            </w:r>
          </w:p>
        </w:tc>
        <w:tc>
          <w:tcPr>
            <w:tcW w:w="977" w:type="dxa"/>
            <w:tcBorders>
              <w:top w:val="single" w:sz="4" w:space="0" w:color="auto"/>
            </w:tcBorders>
          </w:tcPr>
          <w:p w14:paraId="50E19F0C" w14:textId="77777777" w:rsidR="00B834E8" w:rsidRPr="00B834E8" w:rsidRDefault="00B834E8" w:rsidP="00B834E8">
            <w:pPr>
              <w:spacing w:line="240" w:lineRule="auto"/>
              <w:jc w:val="center"/>
              <w:rPr>
                <w:sz w:val="20"/>
              </w:rPr>
            </w:pPr>
            <w:r w:rsidRPr="00B834E8">
              <w:rPr>
                <w:sz w:val="20"/>
              </w:rPr>
              <w:t>52.776</w:t>
            </w:r>
          </w:p>
        </w:tc>
        <w:tc>
          <w:tcPr>
            <w:tcW w:w="955" w:type="dxa"/>
            <w:tcBorders>
              <w:top w:val="single" w:sz="4" w:space="0" w:color="auto"/>
            </w:tcBorders>
          </w:tcPr>
          <w:p w14:paraId="7A9F769B" w14:textId="77777777" w:rsidR="00B834E8" w:rsidRPr="00B834E8" w:rsidRDefault="00B834E8" w:rsidP="00B834E8">
            <w:pPr>
              <w:spacing w:line="240" w:lineRule="auto"/>
              <w:jc w:val="center"/>
              <w:rPr>
                <w:sz w:val="20"/>
              </w:rPr>
            </w:pPr>
            <w:r w:rsidRPr="00B834E8">
              <w:rPr>
                <w:sz w:val="20"/>
              </w:rPr>
              <w:t>8.907</w:t>
            </w:r>
          </w:p>
        </w:tc>
      </w:tr>
      <w:tr w:rsidR="00B834E8" w:rsidRPr="00B834E8" w14:paraId="31CB8ECD" w14:textId="77777777" w:rsidTr="00B834E8">
        <w:tc>
          <w:tcPr>
            <w:tcW w:w="496" w:type="dxa"/>
          </w:tcPr>
          <w:p w14:paraId="64F1D76B" w14:textId="77777777" w:rsidR="00B834E8" w:rsidRPr="00B834E8" w:rsidRDefault="00B834E8" w:rsidP="00B834E8">
            <w:pPr>
              <w:spacing w:line="240" w:lineRule="auto"/>
              <w:rPr>
                <w:sz w:val="20"/>
              </w:rPr>
            </w:pPr>
            <w:r w:rsidRPr="00B834E8">
              <w:rPr>
                <w:sz w:val="20"/>
              </w:rPr>
              <w:t>3</w:t>
            </w:r>
          </w:p>
        </w:tc>
        <w:tc>
          <w:tcPr>
            <w:tcW w:w="1767" w:type="dxa"/>
          </w:tcPr>
          <w:p w14:paraId="2CE215C3" w14:textId="77777777" w:rsidR="00B834E8" w:rsidRPr="00B834E8" w:rsidRDefault="00B834E8" w:rsidP="00B834E8">
            <w:pPr>
              <w:spacing w:line="240" w:lineRule="auto"/>
              <w:rPr>
                <w:sz w:val="20"/>
              </w:rPr>
            </w:pPr>
            <w:r w:rsidRPr="00B834E8">
              <w:rPr>
                <w:sz w:val="20"/>
              </w:rPr>
              <w:t>(23) Highly arid / Warm</w:t>
            </w:r>
          </w:p>
        </w:tc>
        <w:tc>
          <w:tcPr>
            <w:tcW w:w="1185" w:type="dxa"/>
          </w:tcPr>
          <w:p w14:paraId="7869B746" w14:textId="77777777" w:rsidR="00B834E8" w:rsidRPr="00B834E8" w:rsidRDefault="00B834E8" w:rsidP="00B834E8">
            <w:pPr>
              <w:spacing w:line="240" w:lineRule="auto"/>
              <w:jc w:val="center"/>
              <w:rPr>
                <w:sz w:val="20"/>
              </w:rPr>
            </w:pPr>
            <w:r w:rsidRPr="00B834E8">
              <w:rPr>
                <w:sz w:val="20"/>
              </w:rPr>
              <w:t>2003–2024</w:t>
            </w:r>
          </w:p>
        </w:tc>
        <w:tc>
          <w:tcPr>
            <w:tcW w:w="1289" w:type="dxa"/>
          </w:tcPr>
          <w:p w14:paraId="0AA8E5AE" w14:textId="77777777" w:rsidR="00B834E8" w:rsidRPr="00B834E8" w:rsidRDefault="00B834E8" w:rsidP="00B834E8">
            <w:pPr>
              <w:spacing w:line="240" w:lineRule="auto"/>
              <w:jc w:val="center"/>
              <w:rPr>
                <w:sz w:val="20"/>
              </w:rPr>
            </w:pPr>
            <w:r w:rsidRPr="00B834E8">
              <w:rPr>
                <w:sz w:val="20"/>
              </w:rPr>
              <w:t>455</w:t>
            </w:r>
          </w:p>
        </w:tc>
        <w:tc>
          <w:tcPr>
            <w:tcW w:w="1124" w:type="dxa"/>
          </w:tcPr>
          <w:p w14:paraId="0C7FF165" w14:textId="77777777" w:rsidR="00B834E8" w:rsidRPr="00B834E8" w:rsidRDefault="00B834E8" w:rsidP="00B834E8">
            <w:pPr>
              <w:spacing w:line="240" w:lineRule="auto"/>
              <w:jc w:val="center"/>
              <w:rPr>
                <w:sz w:val="20"/>
              </w:rPr>
            </w:pPr>
            <w:r w:rsidRPr="00B834E8">
              <w:rPr>
                <w:sz w:val="20"/>
              </w:rPr>
              <w:t>23.1</w:t>
            </w:r>
          </w:p>
        </w:tc>
        <w:tc>
          <w:tcPr>
            <w:tcW w:w="839" w:type="dxa"/>
          </w:tcPr>
          <w:p w14:paraId="235C777A" w14:textId="77777777" w:rsidR="00B834E8" w:rsidRPr="00B834E8" w:rsidRDefault="00B834E8" w:rsidP="00B834E8">
            <w:pPr>
              <w:spacing w:line="240" w:lineRule="auto"/>
              <w:jc w:val="center"/>
              <w:rPr>
                <w:sz w:val="20"/>
              </w:rPr>
            </w:pPr>
            <w:r w:rsidRPr="00B834E8">
              <w:rPr>
                <w:sz w:val="20"/>
              </w:rPr>
              <w:t>0.540</w:t>
            </w:r>
          </w:p>
        </w:tc>
        <w:tc>
          <w:tcPr>
            <w:tcW w:w="719" w:type="dxa"/>
          </w:tcPr>
          <w:p w14:paraId="2D60373F" w14:textId="77777777" w:rsidR="00B834E8" w:rsidRPr="00B834E8" w:rsidRDefault="00B834E8" w:rsidP="00B834E8">
            <w:pPr>
              <w:spacing w:line="240" w:lineRule="auto"/>
              <w:jc w:val="center"/>
              <w:rPr>
                <w:sz w:val="20"/>
              </w:rPr>
            </w:pPr>
            <w:r w:rsidRPr="00B834E8">
              <w:rPr>
                <w:sz w:val="20"/>
              </w:rPr>
              <w:t>0.00</w:t>
            </w:r>
          </w:p>
        </w:tc>
        <w:tc>
          <w:tcPr>
            <w:tcW w:w="977" w:type="dxa"/>
          </w:tcPr>
          <w:p w14:paraId="5F344101" w14:textId="77777777" w:rsidR="00B834E8" w:rsidRPr="00B834E8" w:rsidRDefault="00B834E8" w:rsidP="00B834E8">
            <w:pPr>
              <w:spacing w:line="240" w:lineRule="auto"/>
              <w:jc w:val="center"/>
              <w:rPr>
                <w:sz w:val="20"/>
              </w:rPr>
            </w:pPr>
            <w:r w:rsidRPr="00B834E8">
              <w:rPr>
                <w:sz w:val="20"/>
              </w:rPr>
              <w:t>9955.0</w:t>
            </w:r>
          </w:p>
        </w:tc>
        <w:tc>
          <w:tcPr>
            <w:tcW w:w="955" w:type="dxa"/>
          </w:tcPr>
          <w:p w14:paraId="72AEAA63" w14:textId="77777777" w:rsidR="00B834E8" w:rsidRPr="00B834E8" w:rsidRDefault="00B834E8" w:rsidP="00B834E8">
            <w:pPr>
              <w:spacing w:line="240" w:lineRule="auto"/>
              <w:jc w:val="center"/>
              <w:rPr>
                <w:sz w:val="20"/>
              </w:rPr>
            </w:pPr>
            <w:r w:rsidRPr="00B834E8">
              <w:rPr>
                <w:sz w:val="20"/>
              </w:rPr>
              <w:t>466.6</w:t>
            </w:r>
          </w:p>
        </w:tc>
      </w:tr>
      <w:tr w:rsidR="00B834E8" w:rsidRPr="00B834E8" w14:paraId="44C2A8A8" w14:textId="77777777" w:rsidTr="00B834E8">
        <w:tc>
          <w:tcPr>
            <w:tcW w:w="496" w:type="dxa"/>
          </w:tcPr>
          <w:p w14:paraId="69322B9B" w14:textId="77777777" w:rsidR="00B834E8" w:rsidRPr="00B834E8" w:rsidRDefault="00B834E8" w:rsidP="00B834E8">
            <w:pPr>
              <w:spacing w:line="240" w:lineRule="auto"/>
              <w:rPr>
                <w:sz w:val="20"/>
              </w:rPr>
            </w:pPr>
            <w:r w:rsidRPr="00B834E8">
              <w:rPr>
                <w:sz w:val="20"/>
              </w:rPr>
              <w:t>4</w:t>
            </w:r>
          </w:p>
        </w:tc>
        <w:tc>
          <w:tcPr>
            <w:tcW w:w="1767" w:type="dxa"/>
          </w:tcPr>
          <w:p w14:paraId="44BFD10B" w14:textId="77777777" w:rsidR="00B834E8" w:rsidRPr="00B834E8" w:rsidRDefault="00B834E8" w:rsidP="00B834E8">
            <w:pPr>
              <w:spacing w:line="240" w:lineRule="auto"/>
              <w:rPr>
                <w:sz w:val="20"/>
              </w:rPr>
            </w:pPr>
            <w:r w:rsidRPr="00B834E8">
              <w:rPr>
                <w:sz w:val="20"/>
              </w:rPr>
              <w:t>(24) Highly arid / Moderately hot</w:t>
            </w:r>
          </w:p>
        </w:tc>
        <w:tc>
          <w:tcPr>
            <w:tcW w:w="1185" w:type="dxa"/>
          </w:tcPr>
          <w:p w14:paraId="0DC376E1" w14:textId="77777777" w:rsidR="00B834E8" w:rsidRPr="00B834E8" w:rsidRDefault="00B834E8" w:rsidP="00B834E8">
            <w:pPr>
              <w:spacing w:line="240" w:lineRule="auto"/>
              <w:jc w:val="center"/>
              <w:rPr>
                <w:sz w:val="20"/>
              </w:rPr>
            </w:pPr>
            <w:r w:rsidRPr="00B834E8">
              <w:rPr>
                <w:sz w:val="20"/>
              </w:rPr>
              <w:t>2003–2024</w:t>
            </w:r>
          </w:p>
        </w:tc>
        <w:tc>
          <w:tcPr>
            <w:tcW w:w="1289" w:type="dxa"/>
          </w:tcPr>
          <w:p w14:paraId="1EB44E16" w14:textId="77777777" w:rsidR="00B834E8" w:rsidRPr="00B834E8" w:rsidRDefault="00B834E8" w:rsidP="00B834E8">
            <w:pPr>
              <w:spacing w:line="240" w:lineRule="auto"/>
              <w:jc w:val="center"/>
              <w:rPr>
                <w:sz w:val="20"/>
              </w:rPr>
            </w:pPr>
            <w:r w:rsidRPr="00B834E8">
              <w:rPr>
                <w:sz w:val="20"/>
              </w:rPr>
              <w:t>939</w:t>
            </w:r>
          </w:p>
        </w:tc>
        <w:tc>
          <w:tcPr>
            <w:tcW w:w="1124" w:type="dxa"/>
          </w:tcPr>
          <w:p w14:paraId="06246C40" w14:textId="77777777" w:rsidR="00B834E8" w:rsidRPr="00B834E8" w:rsidRDefault="00B834E8" w:rsidP="00B834E8">
            <w:pPr>
              <w:spacing w:line="240" w:lineRule="auto"/>
              <w:jc w:val="center"/>
              <w:rPr>
                <w:sz w:val="20"/>
              </w:rPr>
            </w:pPr>
            <w:r w:rsidRPr="00B834E8">
              <w:rPr>
                <w:sz w:val="20"/>
              </w:rPr>
              <w:t>1.507</w:t>
            </w:r>
          </w:p>
        </w:tc>
        <w:tc>
          <w:tcPr>
            <w:tcW w:w="839" w:type="dxa"/>
          </w:tcPr>
          <w:p w14:paraId="3E5986F3" w14:textId="77777777" w:rsidR="00B834E8" w:rsidRPr="00B834E8" w:rsidRDefault="00B834E8" w:rsidP="00B834E8">
            <w:pPr>
              <w:spacing w:line="240" w:lineRule="auto"/>
              <w:jc w:val="center"/>
              <w:rPr>
                <w:sz w:val="20"/>
              </w:rPr>
            </w:pPr>
            <w:r w:rsidRPr="00B834E8">
              <w:rPr>
                <w:sz w:val="20"/>
              </w:rPr>
              <w:t>0.438</w:t>
            </w:r>
          </w:p>
        </w:tc>
        <w:tc>
          <w:tcPr>
            <w:tcW w:w="719" w:type="dxa"/>
          </w:tcPr>
          <w:p w14:paraId="0B9AFEDC" w14:textId="77777777" w:rsidR="00B834E8" w:rsidRPr="00B834E8" w:rsidRDefault="00B834E8" w:rsidP="00B834E8">
            <w:pPr>
              <w:spacing w:line="240" w:lineRule="auto"/>
              <w:jc w:val="center"/>
              <w:rPr>
                <w:sz w:val="20"/>
              </w:rPr>
            </w:pPr>
            <w:r w:rsidRPr="00B834E8">
              <w:rPr>
                <w:sz w:val="20"/>
              </w:rPr>
              <w:t>0.000</w:t>
            </w:r>
          </w:p>
        </w:tc>
        <w:tc>
          <w:tcPr>
            <w:tcW w:w="977" w:type="dxa"/>
          </w:tcPr>
          <w:p w14:paraId="542FE495" w14:textId="77777777" w:rsidR="00B834E8" w:rsidRPr="00B834E8" w:rsidRDefault="00B834E8" w:rsidP="00B834E8">
            <w:pPr>
              <w:spacing w:line="240" w:lineRule="auto"/>
              <w:jc w:val="center"/>
              <w:rPr>
                <w:sz w:val="20"/>
              </w:rPr>
            </w:pPr>
            <w:r w:rsidRPr="00B834E8">
              <w:rPr>
                <w:sz w:val="20"/>
              </w:rPr>
              <w:t>155.55</w:t>
            </w:r>
          </w:p>
        </w:tc>
        <w:tc>
          <w:tcPr>
            <w:tcW w:w="955" w:type="dxa"/>
          </w:tcPr>
          <w:p w14:paraId="4C611DD7" w14:textId="77777777" w:rsidR="00B834E8" w:rsidRPr="00B834E8" w:rsidRDefault="00B834E8" w:rsidP="00B834E8">
            <w:pPr>
              <w:spacing w:line="240" w:lineRule="auto"/>
              <w:jc w:val="center"/>
              <w:rPr>
                <w:sz w:val="20"/>
              </w:rPr>
            </w:pPr>
            <w:r w:rsidRPr="00B834E8">
              <w:rPr>
                <w:sz w:val="20"/>
              </w:rPr>
              <w:t>7.864</w:t>
            </w:r>
          </w:p>
        </w:tc>
      </w:tr>
      <w:tr w:rsidR="00B834E8" w:rsidRPr="00B834E8" w14:paraId="4CF2EE09" w14:textId="77777777" w:rsidTr="00B834E8">
        <w:tc>
          <w:tcPr>
            <w:tcW w:w="496" w:type="dxa"/>
            <w:tcBorders>
              <w:bottom w:val="single" w:sz="4" w:space="0" w:color="auto"/>
            </w:tcBorders>
          </w:tcPr>
          <w:p w14:paraId="7ACD0FEA" w14:textId="77777777" w:rsidR="00B834E8" w:rsidRPr="00B834E8" w:rsidRDefault="00B834E8" w:rsidP="00B834E8">
            <w:pPr>
              <w:spacing w:line="240" w:lineRule="auto"/>
              <w:rPr>
                <w:sz w:val="20"/>
              </w:rPr>
            </w:pPr>
            <w:r w:rsidRPr="00B834E8">
              <w:rPr>
                <w:sz w:val="20"/>
              </w:rPr>
              <w:t>5</w:t>
            </w:r>
          </w:p>
        </w:tc>
        <w:tc>
          <w:tcPr>
            <w:tcW w:w="1767" w:type="dxa"/>
            <w:tcBorders>
              <w:bottom w:val="single" w:sz="4" w:space="0" w:color="auto"/>
            </w:tcBorders>
          </w:tcPr>
          <w:p w14:paraId="27E890E0" w14:textId="77777777" w:rsidR="00B834E8" w:rsidRPr="00B834E8" w:rsidRDefault="00B834E8" w:rsidP="00B834E8">
            <w:pPr>
              <w:spacing w:line="240" w:lineRule="auto"/>
              <w:rPr>
                <w:sz w:val="20"/>
              </w:rPr>
            </w:pPr>
            <w:r w:rsidRPr="00B834E8">
              <w:rPr>
                <w:sz w:val="20"/>
              </w:rPr>
              <w:t>(25) Highly arid / Hot</w:t>
            </w:r>
          </w:p>
        </w:tc>
        <w:tc>
          <w:tcPr>
            <w:tcW w:w="1185" w:type="dxa"/>
            <w:tcBorders>
              <w:bottom w:val="single" w:sz="4" w:space="0" w:color="auto"/>
            </w:tcBorders>
          </w:tcPr>
          <w:p w14:paraId="200AA76F" w14:textId="77777777" w:rsidR="00B834E8" w:rsidRPr="00B834E8" w:rsidRDefault="00B834E8" w:rsidP="00B834E8">
            <w:pPr>
              <w:spacing w:line="240" w:lineRule="auto"/>
              <w:jc w:val="center"/>
              <w:rPr>
                <w:sz w:val="20"/>
              </w:rPr>
            </w:pPr>
            <w:r w:rsidRPr="00B834E8">
              <w:rPr>
                <w:sz w:val="20"/>
              </w:rPr>
              <w:t>2003–2024</w:t>
            </w:r>
          </w:p>
        </w:tc>
        <w:tc>
          <w:tcPr>
            <w:tcW w:w="1289" w:type="dxa"/>
            <w:tcBorders>
              <w:bottom w:val="single" w:sz="4" w:space="0" w:color="auto"/>
            </w:tcBorders>
          </w:tcPr>
          <w:p w14:paraId="53C620CB" w14:textId="77777777" w:rsidR="00B834E8" w:rsidRPr="00B834E8" w:rsidRDefault="00B834E8" w:rsidP="00B834E8">
            <w:pPr>
              <w:spacing w:line="240" w:lineRule="auto"/>
              <w:jc w:val="center"/>
              <w:rPr>
                <w:sz w:val="20"/>
              </w:rPr>
            </w:pPr>
            <w:r w:rsidRPr="00B834E8">
              <w:rPr>
                <w:sz w:val="20"/>
              </w:rPr>
              <w:t>224</w:t>
            </w:r>
          </w:p>
        </w:tc>
        <w:tc>
          <w:tcPr>
            <w:tcW w:w="1124" w:type="dxa"/>
            <w:tcBorders>
              <w:bottom w:val="single" w:sz="4" w:space="0" w:color="auto"/>
            </w:tcBorders>
          </w:tcPr>
          <w:p w14:paraId="72E4F2EB" w14:textId="77777777" w:rsidR="00B834E8" w:rsidRPr="00B834E8" w:rsidRDefault="00B834E8" w:rsidP="00B834E8">
            <w:pPr>
              <w:spacing w:line="240" w:lineRule="auto"/>
              <w:jc w:val="center"/>
              <w:rPr>
                <w:sz w:val="20"/>
              </w:rPr>
            </w:pPr>
            <w:r w:rsidRPr="00B834E8">
              <w:rPr>
                <w:sz w:val="20"/>
              </w:rPr>
              <w:t>2.72</w:t>
            </w:r>
          </w:p>
        </w:tc>
        <w:tc>
          <w:tcPr>
            <w:tcW w:w="839" w:type="dxa"/>
            <w:tcBorders>
              <w:bottom w:val="single" w:sz="4" w:space="0" w:color="auto"/>
            </w:tcBorders>
          </w:tcPr>
          <w:p w14:paraId="54482625" w14:textId="77777777" w:rsidR="00B834E8" w:rsidRPr="00B834E8" w:rsidRDefault="00B834E8" w:rsidP="00B834E8">
            <w:pPr>
              <w:spacing w:line="240" w:lineRule="auto"/>
              <w:jc w:val="center"/>
              <w:rPr>
                <w:sz w:val="20"/>
              </w:rPr>
            </w:pPr>
            <w:r w:rsidRPr="00B834E8">
              <w:rPr>
                <w:sz w:val="20"/>
              </w:rPr>
              <w:t>1.500</w:t>
            </w:r>
          </w:p>
        </w:tc>
        <w:tc>
          <w:tcPr>
            <w:tcW w:w="719" w:type="dxa"/>
            <w:tcBorders>
              <w:bottom w:val="single" w:sz="4" w:space="0" w:color="auto"/>
            </w:tcBorders>
          </w:tcPr>
          <w:p w14:paraId="6EEC2E2F" w14:textId="77777777" w:rsidR="00B834E8" w:rsidRPr="00B834E8" w:rsidRDefault="00B834E8" w:rsidP="00B834E8">
            <w:pPr>
              <w:spacing w:line="240" w:lineRule="auto"/>
              <w:jc w:val="center"/>
              <w:rPr>
                <w:sz w:val="20"/>
              </w:rPr>
            </w:pPr>
            <w:r w:rsidRPr="00B834E8">
              <w:rPr>
                <w:sz w:val="20"/>
              </w:rPr>
              <w:t>0.00</w:t>
            </w:r>
          </w:p>
        </w:tc>
        <w:tc>
          <w:tcPr>
            <w:tcW w:w="977" w:type="dxa"/>
            <w:tcBorders>
              <w:bottom w:val="single" w:sz="4" w:space="0" w:color="auto"/>
            </w:tcBorders>
          </w:tcPr>
          <w:p w14:paraId="75B4AB9F" w14:textId="77777777" w:rsidR="00B834E8" w:rsidRPr="00B834E8" w:rsidRDefault="00B834E8" w:rsidP="00B834E8">
            <w:pPr>
              <w:spacing w:line="240" w:lineRule="auto"/>
              <w:jc w:val="center"/>
              <w:rPr>
                <w:sz w:val="20"/>
              </w:rPr>
            </w:pPr>
            <w:r w:rsidRPr="00B834E8">
              <w:rPr>
                <w:sz w:val="20"/>
              </w:rPr>
              <w:t>68.78</w:t>
            </w:r>
          </w:p>
        </w:tc>
        <w:tc>
          <w:tcPr>
            <w:tcW w:w="955" w:type="dxa"/>
            <w:tcBorders>
              <w:bottom w:val="single" w:sz="4" w:space="0" w:color="auto"/>
            </w:tcBorders>
          </w:tcPr>
          <w:p w14:paraId="2F28D7FE" w14:textId="77777777" w:rsidR="00B834E8" w:rsidRPr="00B834E8" w:rsidRDefault="00B834E8" w:rsidP="00B834E8">
            <w:pPr>
              <w:spacing w:line="240" w:lineRule="auto"/>
              <w:jc w:val="center"/>
              <w:rPr>
                <w:sz w:val="20"/>
              </w:rPr>
            </w:pPr>
            <w:r w:rsidRPr="00B834E8">
              <w:rPr>
                <w:sz w:val="20"/>
              </w:rPr>
              <w:t>6.326</w:t>
            </w:r>
          </w:p>
        </w:tc>
      </w:tr>
      <w:tr w:rsidR="00B834E8" w:rsidRPr="00B834E8" w14:paraId="60559351" w14:textId="77777777" w:rsidTr="00B834E8">
        <w:tc>
          <w:tcPr>
            <w:tcW w:w="9351" w:type="dxa"/>
            <w:gridSpan w:val="9"/>
            <w:tcBorders>
              <w:top w:val="single" w:sz="4" w:space="0" w:color="auto"/>
              <w:bottom w:val="single" w:sz="4" w:space="0" w:color="auto"/>
            </w:tcBorders>
          </w:tcPr>
          <w:p w14:paraId="1EA2A30B" w14:textId="77777777" w:rsidR="00B834E8" w:rsidRPr="00B834E8" w:rsidRDefault="00B834E8" w:rsidP="00B834E8">
            <w:pPr>
              <w:spacing w:line="240" w:lineRule="auto"/>
              <w:jc w:val="center"/>
              <w:rPr>
                <w:sz w:val="20"/>
              </w:rPr>
            </w:pPr>
            <w:r w:rsidRPr="00B834E8">
              <w:rPr>
                <w:sz w:val="20"/>
              </w:rPr>
              <w:t>III. Moderately arid zones</w:t>
            </w:r>
          </w:p>
        </w:tc>
      </w:tr>
      <w:tr w:rsidR="00B834E8" w:rsidRPr="00B834E8" w14:paraId="30559DB3" w14:textId="77777777" w:rsidTr="00B834E8">
        <w:tc>
          <w:tcPr>
            <w:tcW w:w="496" w:type="dxa"/>
            <w:tcBorders>
              <w:top w:val="single" w:sz="4" w:space="0" w:color="auto"/>
            </w:tcBorders>
          </w:tcPr>
          <w:p w14:paraId="4E017EB7" w14:textId="77777777" w:rsidR="00B834E8" w:rsidRPr="00B834E8" w:rsidRDefault="00B834E8" w:rsidP="00B834E8">
            <w:pPr>
              <w:spacing w:line="240" w:lineRule="auto"/>
              <w:rPr>
                <w:sz w:val="20"/>
              </w:rPr>
            </w:pPr>
            <w:r w:rsidRPr="00B834E8">
              <w:rPr>
                <w:sz w:val="20"/>
              </w:rPr>
              <w:t>6</w:t>
            </w:r>
          </w:p>
        </w:tc>
        <w:tc>
          <w:tcPr>
            <w:tcW w:w="1767" w:type="dxa"/>
            <w:tcBorders>
              <w:top w:val="single" w:sz="4" w:space="0" w:color="auto"/>
            </w:tcBorders>
          </w:tcPr>
          <w:p w14:paraId="2A6708B9" w14:textId="77777777" w:rsidR="00B834E8" w:rsidRPr="00B834E8" w:rsidRDefault="00B834E8" w:rsidP="00B834E8">
            <w:pPr>
              <w:spacing w:line="240" w:lineRule="auto"/>
              <w:rPr>
                <w:sz w:val="20"/>
              </w:rPr>
            </w:pPr>
            <w:r w:rsidRPr="00B834E8">
              <w:rPr>
                <w:sz w:val="20"/>
              </w:rPr>
              <w:t>(32) Moderately arid / Moderately warm</w:t>
            </w:r>
          </w:p>
        </w:tc>
        <w:tc>
          <w:tcPr>
            <w:tcW w:w="1185" w:type="dxa"/>
            <w:tcBorders>
              <w:top w:val="single" w:sz="4" w:space="0" w:color="auto"/>
            </w:tcBorders>
          </w:tcPr>
          <w:p w14:paraId="4DC67DAB"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tcBorders>
          </w:tcPr>
          <w:p w14:paraId="52CFE881" w14:textId="77777777" w:rsidR="00B834E8" w:rsidRPr="00B834E8" w:rsidRDefault="00B834E8" w:rsidP="00B834E8">
            <w:pPr>
              <w:spacing w:line="240" w:lineRule="auto"/>
              <w:jc w:val="center"/>
              <w:rPr>
                <w:sz w:val="20"/>
              </w:rPr>
            </w:pPr>
            <w:r w:rsidRPr="00B834E8">
              <w:rPr>
                <w:sz w:val="20"/>
              </w:rPr>
              <w:t>512</w:t>
            </w:r>
          </w:p>
        </w:tc>
        <w:tc>
          <w:tcPr>
            <w:tcW w:w="1124" w:type="dxa"/>
            <w:tcBorders>
              <w:top w:val="single" w:sz="4" w:space="0" w:color="auto"/>
            </w:tcBorders>
          </w:tcPr>
          <w:p w14:paraId="0D177F79" w14:textId="77777777" w:rsidR="00B834E8" w:rsidRPr="00B834E8" w:rsidRDefault="00B834E8" w:rsidP="00B834E8">
            <w:pPr>
              <w:spacing w:line="240" w:lineRule="auto"/>
              <w:jc w:val="center"/>
              <w:rPr>
                <w:sz w:val="20"/>
              </w:rPr>
            </w:pPr>
            <w:r w:rsidRPr="00B834E8">
              <w:rPr>
                <w:sz w:val="20"/>
              </w:rPr>
              <w:t>1.84</w:t>
            </w:r>
          </w:p>
        </w:tc>
        <w:tc>
          <w:tcPr>
            <w:tcW w:w="839" w:type="dxa"/>
            <w:tcBorders>
              <w:top w:val="single" w:sz="4" w:space="0" w:color="auto"/>
            </w:tcBorders>
          </w:tcPr>
          <w:p w14:paraId="5981F9EE" w14:textId="77777777" w:rsidR="00B834E8" w:rsidRPr="00B834E8" w:rsidRDefault="00B834E8" w:rsidP="00B834E8">
            <w:pPr>
              <w:spacing w:line="240" w:lineRule="auto"/>
              <w:jc w:val="center"/>
              <w:rPr>
                <w:sz w:val="20"/>
              </w:rPr>
            </w:pPr>
            <w:r w:rsidRPr="00B834E8">
              <w:rPr>
                <w:sz w:val="20"/>
              </w:rPr>
              <w:t>0.81</w:t>
            </w:r>
          </w:p>
        </w:tc>
        <w:tc>
          <w:tcPr>
            <w:tcW w:w="719" w:type="dxa"/>
            <w:tcBorders>
              <w:top w:val="single" w:sz="4" w:space="0" w:color="auto"/>
            </w:tcBorders>
          </w:tcPr>
          <w:p w14:paraId="6A5E0968" w14:textId="77777777" w:rsidR="00B834E8" w:rsidRPr="00B834E8" w:rsidRDefault="00B834E8" w:rsidP="00B834E8">
            <w:pPr>
              <w:spacing w:line="240" w:lineRule="auto"/>
              <w:jc w:val="center"/>
              <w:rPr>
                <w:sz w:val="20"/>
              </w:rPr>
            </w:pPr>
            <w:r w:rsidRPr="00B834E8">
              <w:rPr>
                <w:sz w:val="20"/>
              </w:rPr>
              <w:t>0.0</w:t>
            </w:r>
          </w:p>
        </w:tc>
        <w:tc>
          <w:tcPr>
            <w:tcW w:w="977" w:type="dxa"/>
            <w:tcBorders>
              <w:top w:val="single" w:sz="4" w:space="0" w:color="auto"/>
            </w:tcBorders>
          </w:tcPr>
          <w:p w14:paraId="349BD4D7" w14:textId="77777777" w:rsidR="00B834E8" w:rsidRPr="00B834E8" w:rsidRDefault="00B834E8" w:rsidP="00B834E8">
            <w:pPr>
              <w:spacing w:line="240" w:lineRule="auto"/>
              <w:jc w:val="center"/>
              <w:rPr>
                <w:sz w:val="20"/>
              </w:rPr>
            </w:pPr>
            <w:r w:rsidRPr="00B834E8">
              <w:rPr>
                <w:sz w:val="20"/>
              </w:rPr>
              <w:t>38.45</w:t>
            </w:r>
          </w:p>
        </w:tc>
        <w:tc>
          <w:tcPr>
            <w:tcW w:w="955" w:type="dxa"/>
            <w:tcBorders>
              <w:top w:val="single" w:sz="4" w:space="0" w:color="auto"/>
            </w:tcBorders>
          </w:tcPr>
          <w:p w14:paraId="594111D2" w14:textId="77777777" w:rsidR="00B834E8" w:rsidRPr="00B834E8" w:rsidRDefault="00B834E8" w:rsidP="00B834E8">
            <w:pPr>
              <w:spacing w:line="240" w:lineRule="auto"/>
              <w:jc w:val="center"/>
              <w:rPr>
                <w:sz w:val="20"/>
              </w:rPr>
            </w:pPr>
            <w:r w:rsidRPr="00B834E8">
              <w:rPr>
                <w:sz w:val="20"/>
              </w:rPr>
              <w:t>3.21</w:t>
            </w:r>
          </w:p>
        </w:tc>
      </w:tr>
      <w:tr w:rsidR="00B834E8" w:rsidRPr="00B834E8" w14:paraId="63CE9D07" w14:textId="77777777" w:rsidTr="00B834E8">
        <w:tc>
          <w:tcPr>
            <w:tcW w:w="496" w:type="dxa"/>
          </w:tcPr>
          <w:p w14:paraId="5F8FB1E5" w14:textId="77777777" w:rsidR="00B834E8" w:rsidRPr="00B834E8" w:rsidRDefault="00B834E8" w:rsidP="00B834E8">
            <w:pPr>
              <w:spacing w:line="240" w:lineRule="auto"/>
              <w:rPr>
                <w:sz w:val="20"/>
              </w:rPr>
            </w:pPr>
            <w:r w:rsidRPr="00B834E8">
              <w:rPr>
                <w:sz w:val="20"/>
              </w:rPr>
              <w:t>7</w:t>
            </w:r>
          </w:p>
        </w:tc>
        <w:tc>
          <w:tcPr>
            <w:tcW w:w="1767" w:type="dxa"/>
          </w:tcPr>
          <w:p w14:paraId="26A87E2D" w14:textId="77777777" w:rsidR="00B834E8" w:rsidRPr="00B834E8" w:rsidRDefault="00B834E8" w:rsidP="00B834E8">
            <w:pPr>
              <w:spacing w:line="240" w:lineRule="auto"/>
              <w:rPr>
                <w:sz w:val="20"/>
              </w:rPr>
            </w:pPr>
            <w:r w:rsidRPr="00B834E8">
              <w:rPr>
                <w:sz w:val="20"/>
              </w:rPr>
              <w:t>(33) Moderately arid / Warm</w:t>
            </w:r>
          </w:p>
        </w:tc>
        <w:tc>
          <w:tcPr>
            <w:tcW w:w="1185" w:type="dxa"/>
          </w:tcPr>
          <w:p w14:paraId="28FD51FA" w14:textId="77777777" w:rsidR="00B834E8" w:rsidRPr="00B834E8" w:rsidRDefault="00B834E8" w:rsidP="00B834E8">
            <w:pPr>
              <w:spacing w:line="240" w:lineRule="auto"/>
              <w:jc w:val="center"/>
              <w:rPr>
                <w:sz w:val="20"/>
              </w:rPr>
            </w:pPr>
            <w:r w:rsidRPr="00B834E8">
              <w:rPr>
                <w:sz w:val="20"/>
              </w:rPr>
              <w:t>2003–2024</w:t>
            </w:r>
          </w:p>
        </w:tc>
        <w:tc>
          <w:tcPr>
            <w:tcW w:w="1289" w:type="dxa"/>
          </w:tcPr>
          <w:p w14:paraId="193E9E31" w14:textId="77777777" w:rsidR="00B834E8" w:rsidRPr="00B834E8" w:rsidRDefault="00B834E8" w:rsidP="00B834E8">
            <w:pPr>
              <w:spacing w:line="240" w:lineRule="auto"/>
              <w:jc w:val="center"/>
              <w:rPr>
                <w:sz w:val="20"/>
              </w:rPr>
            </w:pPr>
            <w:r w:rsidRPr="00B834E8">
              <w:rPr>
                <w:sz w:val="20"/>
              </w:rPr>
              <w:t>723</w:t>
            </w:r>
          </w:p>
        </w:tc>
        <w:tc>
          <w:tcPr>
            <w:tcW w:w="1124" w:type="dxa"/>
          </w:tcPr>
          <w:p w14:paraId="12478463" w14:textId="77777777" w:rsidR="00B834E8" w:rsidRPr="00B834E8" w:rsidRDefault="00B834E8" w:rsidP="00B834E8">
            <w:pPr>
              <w:spacing w:line="240" w:lineRule="auto"/>
              <w:jc w:val="center"/>
              <w:rPr>
                <w:sz w:val="20"/>
              </w:rPr>
            </w:pPr>
            <w:r w:rsidRPr="00B834E8">
              <w:rPr>
                <w:sz w:val="20"/>
              </w:rPr>
              <w:t>1.75</w:t>
            </w:r>
          </w:p>
        </w:tc>
        <w:tc>
          <w:tcPr>
            <w:tcW w:w="839" w:type="dxa"/>
          </w:tcPr>
          <w:p w14:paraId="5CAE817C" w14:textId="77777777" w:rsidR="00B834E8" w:rsidRPr="00B834E8" w:rsidRDefault="00B834E8" w:rsidP="00B834E8">
            <w:pPr>
              <w:spacing w:line="240" w:lineRule="auto"/>
              <w:jc w:val="center"/>
              <w:rPr>
                <w:sz w:val="20"/>
              </w:rPr>
            </w:pPr>
            <w:r w:rsidRPr="00B834E8">
              <w:rPr>
                <w:sz w:val="20"/>
              </w:rPr>
              <w:t>0.735</w:t>
            </w:r>
          </w:p>
        </w:tc>
        <w:tc>
          <w:tcPr>
            <w:tcW w:w="719" w:type="dxa"/>
          </w:tcPr>
          <w:p w14:paraId="2DAA62BE" w14:textId="77777777" w:rsidR="00B834E8" w:rsidRPr="00B834E8" w:rsidRDefault="00B834E8" w:rsidP="00B834E8">
            <w:pPr>
              <w:spacing w:line="240" w:lineRule="auto"/>
              <w:jc w:val="center"/>
              <w:rPr>
                <w:sz w:val="20"/>
              </w:rPr>
            </w:pPr>
            <w:r w:rsidRPr="00B834E8">
              <w:rPr>
                <w:sz w:val="20"/>
              </w:rPr>
              <w:t>0.00</w:t>
            </w:r>
          </w:p>
        </w:tc>
        <w:tc>
          <w:tcPr>
            <w:tcW w:w="977" w:type="dxa"/>
          </w:tcPr>
          <w:p w14:paraId="7C9ACDB0" w14:textId="77777777" w:rsidR="00B834E8" w:rsidRPr="00B834E8" w:rsidRDefault="00B834E8" w:rsidP="00B834E8">
            <w:pPr>
              <w:spacing w:line="240" w:lineRule="auto"/>
              <w:jc w:val="center"/>
              <w:rPr>
                <w:sz w:val="20"/>
              </w:rPr>
            </w:pPr>
            <w:r w:rsidRPr="00B834E8">
              <w:rPr>
                <w:sz w:val="20"/>
              </w:rPr>
              <w:t>43.69</w:t>
            </w:r>
          </w:p>
        </w:tc>
        <w:tc>
          <w:tcPr>
            <w:tcW w:w="955" w:type="dxa"/>
          </w:tcPr>
          <w:p w14:paraId="59D1E1C1" w14:textId="77777777" w:rsidR="00B834E8" w:rsidRPr="00B834E8" w:rsidRDefault="00B834E8" w:rsidP="00B834E8">
            <w:pPr>
              <w:spacing w:line="240" w:lineRule="auto"/>
              <w:jc w:val="center"/>
              <w:rPr>
                <w:sz w:val="20"/>
              </w:rPr>
            </w:pPr>
            <w:r w:rsidRPr="00B834E8">
              <w:rPr>
                <w:sz w:val="20"/>
              </w:rPr>
              <w:t>3.093</w:t>
            </w:r>
          </w:p>
        </w:tc>
      </w:tr>
      <w:tr w:rsidR="00B834E8" w:rsidRPr="00B834E8" w14:paraId="74E5891B" w14:textId="77777777" w:rsidTr="00B834E8">
        <w:tc>
          <w:tcPr>
            <w:tcW w:w="496" w:type="dxa"/>
          </w:tcPr>
          <w:p w14:paraId="086AEF50" w14:textId="77777777" w:rsidR="00B834E8" w:rsidRPr="00B834E8" w:rsidRDefault="00B834E8" w:rsidP="00B834E8">
            <w:pPr>
              <w:spacing w:line="240" w:lineRule="auto"/>
              <w:rPr>
                <w:sz w:val="20"/>
              </w:rPr>
            </w:pPr>
            <w:r w:rsidRPr="00B834E8">
              <w:rPr>
                <w:sz w:val="20"/>
              </w:rPr>
              <w:t>8</w:t>
            </w:r>
          </w:p>
        </w:tc>
        <w:tc>
          <w:tcPr>
            <w:tcW w:w="1767" w:type="dxa"/>
          </w:tcPr>
          <w:p w14:paraId="096B7468" w14:textId="77777777" w:rsidR="00B834E8" w:rsidRPr="00B834E8" w:rsidRDefault="00B834E8" w:rsidP="00B834E8">
            <w:pPr>
              <w:spacing w:line="240" w:lineRule="auto"/>
              <w:rPr>
                <w:sz w:val="20"/>
              </w:rPr>
            </w:pPr>
            <w:r w:rsidRPr="00B834E8">
              <w:rPr>
                <w:sz w:val="20"/>
              </w:rPr>
              <w:t>(34) Moderately arid / Moderately hot</w:t>
            </w:r>
          </w:p>
        </w:tc>
        <w:tc>
          <w:tcPr>
            <w:tcW w:w="1185" w:type="dxa"/>
          </w:tcPr>
          <w:p w14:paraId="7A5D70ED" w14:textId="77777777" w:rsidR="00B834E8" w:rsidRPr="00B834E8" w:rsidRDefault="00B834E8" w:rsidP="00B834E8">
            <w:pPr>
              <w:spacing w:line="240" w:lineRule="auto"/>
              <w:jc w:val="center"/>
              <w:rPr>
                <w:sz w:val="20"/>
              </w:rPr>
            </w:pPr>
            <w:r w:rsidRPr="00B834E8">
              <w:rPr>
                <w:sz w:val="20"/>
              </w:rPr>
              <w:t>2003–2024</w:t>
            </w:r>
          </w:p>
        </w:tc>
        <w:tc>
          <w:tcPr>
            <w:tcW w:w="1289" w:type="dxa"/>
          </w:tcPr>
          <w:p w14:paraId="6DC2284F" w14:textId="77777777" w:rsidR="00B834E8" w:rsidRPr="00B834E8" w:rsidRDefault="00B834E8" w:rsidP="00B834E8">
            <w:pPr>
              <w:spacing w:line="240" w:lineRule="auto"/>
              <w:jc w:val="center"/>
              <w:rPr>
                <w:sz w:val="20"/>
              </w:rPr>
            </w:pPr>
            <w:r w:rsidRPr="00B834E8">
              <w:rPr>
                <w:sz w:val="20"/>
              </w:rPr>
              <w:t>76</w:t>
            </w:r>
          </w:p>
        </w:tc>
        <w:tc>
          <w:tcPr>
            <w:tcW w:w="1124" w:type="dxa"/>
          </w:tcPr>
          <w:p w14:paraId="4C915469" w14:textId="77777777" w:rsidR="00B834E8" w:rsidRPr="00B834E8" w:rsidRDefault="00B834E8" w:rsidP="00B834E8">
            <w:pPr>
              <w:spacing w:line="240" w:lineRule="auto"/>
              <w:jc w:val="center"/>
              <w:rPr>
                <w:sz w:val="20"/>
              </w:rPr>
            </w:pPr>
            <w:r w:rsidRPr="00B834E8">
              <w:rPr>
                <w:sz w:val="20"/>
              </w:rPr>
              <w:t>1.96</w:t>
            </w:r>
          </w:p>
        </w:tc>
        <w:tc>
          <w:tcPr>
            <w:tcW w:w="839" w:type="dxa"/>
          </w:tcPr>
          <w:p w14:paraId="7E6027C4" w14:textId="77777777" w:rsidR="00B834E8" w:rsidRPr="00B834E8" w:rsidRDefault="00B834E8" w:rsidP="00B834E8">
            <w:pPr>
              <w:spacing w:line="240" w:lineRule="auto"/>
              <w:jc w:val="center"/>
              <w:rPr>
                <w:sz w:val="20"/>
              </w:rPr>
            </w:pPr>
            <w:r w:rsidRPr="00B834E8">
              <w:rPr>
                <w:sz w:val="20"/>
              </w:rPr>
              <w:t>0.922</w:t>
            </w:r>
          </w:p>
        </w:tc>
        <w:tc>
          <w:tcPr>
            <w:tcW w:w="719" w:type="dxa"/>
          </w:tcPr>
          <w:p w14:paraId="49E2926C" w14:textId="77777777" w:rsidR="00B834E8" w:rsidRPr="00B834E8" w:rsidRDefault="00B834E8" w:rsidP="00B834E8">
            <w:pPr>
              <w:spacing w:line="240" w:lineRule="auto"/>
              <w:jc w:val="center"/>
              <w:rPr>
                <w:sz w:val="20"/>
              </w:rPr>
            </w:pPr>
            <w:r w:rsidRPr="00B834E8">
              <w:rPr>
                <w:sz w:val="20"/>
              </w:rPr>
              <w:t>0.00</w:t>
            </w:r>
          </w:p>
        </w:tc>
        <w:tc>
          <w:tcPr>
            <w:tcW w:w="977" w:type="dxa"/>
          </w:tcPr>
          <w:p w14:paraId="14181BC5" w14:textId="77777777" w:rsidR="00B834E8" w:rsidRPr="00B834E8" w:rsidRDefault="00B834E8" w:rsidP="00B834E8">
            <w:pPr>
              <w:spacing w:line="240" w:lineRule="auto"/>
              <w:jc w:val="center"/>
              <w:rPr>
                <w:sz w:val="20"/>
              </w:rPr>
            </w:pPr>
            <w:r w:rsidRPr="00B834E8">
              <w:rPr>
                <w:sz w:val="20"/>
              </w:rPr>
              <w:t>15.32</w:t>
            </w:r>
          </w:p>
        </w:tc>
        <w:tc>
          <w:tcPr>
            <w:tcW w:w="955" w:type="dxa"/>
          </w:tcPr>
          <w:p w14:paraId="7BEE0292" w14:textId="77777777" w:rsidR="00B834E8" w:rsidRPr="00B834E8" w:rsidRDefault="00B834E8" w:rsidP="00B834E8">
            <w:pPr>
              <w:spacing w:line="240" w:lineRule="auto"/>
              <w:jc w:val="center"/>
              <w:rPr>
                <w:sz w:val="20"/>
              </w:rPr>
            </w:pPr>
            <w:r w:rsidRPr="00B834E8">
              <w:rPr>
                <w:sz w:val="20"/>
              </w:rPr>
              <w:t>2.636</w:t>
            </w:r>
          </w:p>
        </w:tc>
      </w:tr>
      <w:tr w:rsidR="00B834E8" w:rsidRPr="00B834E8" w14:paraId="7AEC0ECA" w14:textId="77777777" w:rsidTr="00B834E8">
        <w:tc>
          <w:tcPr>
            <w:tcW w:w="496" w:type="dxa"/>
            <w:tcBorders>
              <w:bottom w:val="single" w:sz="4" w:space="0" w:color="auto"/>
            </w:tcBorders>
          </w:tcPr>
          <w:p w14:paraId="24C9CA92" w14:textId="77777777" w:rsidR="00B834E8" w:rsidRPr="00B834E8" w:rsidRDefault="00B834E8" w:rsidP="00B834E8">
            <w:pPr>
              <w:spacing w:line="240" w:lineRule="auto"/>
              <w:rPr>
                <w:sz w:val="20"/>
              </w:rPr>
            </w:pPr>
            <w:r w:rsidRPr="00B834E8">
              <w:rPr>
                <w:sz w:val="20"/>
              </w:rPr>
              <w:t>9</w:t>
            </w:r>
          </w:p>
        </w:tc>
        <w:tc>
          <w:tcPr>
            <w:tcW w:w="1767" w:type="dxa"/>
            <w:tcBorders>
              <w:bottom w:val="single" w:sz="4" w:space="0" w:color="auto"/>
            </w:tcBorders>
          </w:tcPr>
          <w:p w14:paraId="6C6CFCF5" w14:textId="77777777" w:rsidR="00B834E8" w:rsidRPr="00B834E8" w:rsidRDefault="00B834E8" w:rsidP="00B834E8">
            <w:pPr>
              <w:spacing w:line="240" w:lineRule="auto"/>
              <w:rPr>
                <w:sz w:val="20"/>
              </w:rPr>
            </w:pPr>
            <w:r w:rsidRPr="00B834E8">
              <w:rPr>
                <w:sz w:val="20"/>
              </w:rPr>
              <w:t>(35) Moderately arid / Hot</w:t>
            </w:r>
          </w:p>
        </w:tc>
        <w:tc>
          <w:tcPr>
            <w:tcW w:w="1185" w:type="dxa"/>
            <w:tcBorders>
              <w:bottom w:val="single" w:sz="4" w:space="0" w:color="auto"/>
            </w:tcBorders>
          </w:tcPr>
          <w:p w14:paraId="2C312C81" w14:textId="77777777" w:rsidR="00B834E8" w:rsidRPr="00B834E8" w:rsidRDefault="00B834E8" w:rsidP="00B834E8">
            <w:pPr>
              <w:spacing w:line="240" w:lineRule="auto"/>
              <w:jc w:val="center"/>
              <w:rPr>
                <w:sz w:val="20"/>
              </w:rPr>
            </w:pPr>
            <w:r w:rsidRPr="00B834E8">
              <w:rPr>
                <w:sz w:val="20"/>
              </w:rPr>
              <w:t>2003–2024</w:t>
            </w:r>
          </w:p>
        </w:tc>
        <w:tc>
          <w:tcPr>
            <w:tcW w:w="1289" w:type="dxa"/>
            <w:tcBorders>
              <w:bottom w:val="single" w:sz="4" w:space="0" w:color="auto"/>
            </w:tcBorders>
          </w:tcPr>
          <w:p w14:paraId="7585211C" w14:textId="77777777" w:rsidR="00B834E8" w:rsidRPr="00B834E8" w:rsidRDefault="00B834E8" w:rsidP="00B834E8">
            <w:pPr>
              <w:spacing w:line="240" w:lineRule="auto"/>
              <w:jc w:val="center"/>
              <w:rPr>
                <w:sz w:val="20"/>
              </w:rPr>
            </w:pPr>
            <w:r w:rsidRPr="00B834E8">
              <w:rPr>
                <w:sz w:val="20"/>
              </w:rPr>
              <w:t>687</w:t>
            </w:r>
          </w:p>
        </w:tc>
        <w:tc>
          <w:tcPr>
            <w:tcW w:w="1124" w:type="dxa"/>
            <w:tcBorders>
              <w:bottom w:val="single" w:sz="4" w:space="0" w:color="auto"/>
            </w:tcBorders>
          </w:tcPr>
          <w:p w14:paraId="0F541D9F" w14:textId="77777777" w:rsidR="00B834E8" w:rsidRPr="00B834E8" w:rsidRDefault="00B834E8" w:rsidP="00B834E8">
            <w:pPr>
              <w:spacing w:line="240" w:lineRule="auto"/>
              <w:jc w:val="center"/>
              <w:rPr>
                <w:sz w:val="20"/>
              </w:rPr>
            </w:pPr>
            <w:r w:rsidRPr="00B834E8">
              <w:rPr>
                <w:sz w:val="20"/>
              </w:rPr>
              <w:t>2.39</w:t>
            </w:r>
          </w:p>
        </w:tc>
        <w:tc>
          <w:tcPr>
            <w:tcW w:w="839" w:type="dxa"/>
            <w:tcBorders>
              <w:bottom w:val="single" w:sz="4" w:space="0" w:color="auto"/>
            </w:tcBorders>
          </w:tcPr>
          <w:p w14:paraId="29010659" w14:textId="77777777" w:rsidR="00B834E8" w:rsidRPr="00B834E8" w:rsidRDefault="00B834E8" w:rsidP="00B834E8">
            <w:pPr>
              <w:spacing w:line="240" w:lineRule="auto"/>
              <w:jc w:val="center"/>
              <w:rPr>
                <w:sz w:val="20"/>
              </w:rPr>
            </w:pPr>
            <w:r w:rsidRPr="00B834E8">
              <w:rPr>
                <w:sz w:val="20"/>
              </w:rPr>
              <w:t>0.516</w:t>
            </w:r>
          </w:p>
        </w:tc>
        <w:tc>
          <w:tcPr>
            <w:tcW w:w="719" w:type="dxa"/>
            <w:tcBorders>
              <w:bottom w:val="single" w:sz="4" w:space="0" w:color="auto"/>
            </w:tcBorders>
          </w:tcPr>
          <w:p w14:paraId="275D56E8" w14:textId="77777777" w:rsidR="00B834E8" w:rsidRPr="00B834E8" w:rsidRDefault="00B834E8" w:rsidP="00B834E8">
            <w:pPr>
              <w:spacing w:line="240" w:lineRule="auto"/>
              <w:jc w:val="center"/>
              <w:rPr>
                <w:sz w:val="20"/>
              </w:rPr>
            </w:pPr>
            <w:r w:rsidRPr="00B834E8">
              <w:rPr>
                <w:sz w:val="20"/>
              </w:rPr>
              <w:t>0.00</w:t>
            </w:r>
          </w:p>
        </w:tc>
        <w:tc>
          <w:tcPr>
            <w:tcW w:w="977" w:type="dxa"/>
            <w:tcBorders>
              <w:bottom w:val="single" w:sz="4" w:space="0" w:color="auto"/>
            </w:tcBorders>
          </w:tcPr>
          <w:p w14:paraId="42DBBC33" w14:textId="77777777" w:rsidR="00B834E8" w:rsidRPr="00B834E8" w:rsidRDefault="00B834E8" w:rsidP="00B834E8">
            <w:pPr>
              <w:spacing w:line="240" w:lineRule="auto"/>
              <w:jc w:val="center"/>
              <w:rPr>
                <w:sz w:val="20"/>
              </w:rPr>
            </w:pPr>
            <w:r w:rsidRPr="00B834E8">
              <w:rPr>
                <w:sz w:val="20"/>
              </w:rPr>
              <w:t>474.7</w:t>
            </w:r>
          </w:p>
        </w:tc>
        <w:tc>
          <w:tcPr>
            <w:tcW w:w="955" w:type="dxa"/>
            <w:tcBorders>
              <w:bottom w:val="single" w:sz="4" w:space="0" w:color="auto"/>
            </w:tcBorders>
          </w:tcPr>
          <w:p w14:paraId="02CFDA08" w14:textId="77777777" w:rsidR="00B834E8" w:rsidRPr="00B834E8" w:rsidRDefault="00B834E8" w:rsidP="00B834E8">
            <w:pPr>
              <w:spacing w:line="240" w:lineRule="auto"/>
              <w:jc w:val="center"/>
              <w:rPr>
                <w:sz w:val="20"/>
              </w:rPr>
            </w:pPr>
            <w:r w:rsidRPr="00B834E8">
              <w:rPr>
                <w:sz w:val="20"/>
              </w:rPr>
              <w:t>19.14</w:t>
            </w:r>
          </w:p>
        </w:tc>
      </w:tr>
      <w:tr w:rsidR="00B834E8" w:rsidRPr="00B834E8" w14:paraId="1F1D30E5" w14:textId="77777777" w:rsidTr="00B834E8">
        <w:tc>
          <w:tcPr>
            <w:tcW w:w="9351" w:type="dxa"/>
            <w:gridSpan w:val="9"/>
            <w:tcBorders>
              <w:top w:val="single" w:sz="4" w:space="0" w:color="auto"/>
              <w:bottom w:val="single" w:sz="4" w:space="0" w:color="auto"/>
            </w:tcBorders>
          </w:tcPr>
          <w:p w14:paraId="4D0049D4" w14:textId="77777777" w:rsidR="00B834E8" w:rsidRPr="00B834E8" w:rsidRDefault="00B834E8" w:rsidP="00B834E8">
            <w:pPr>
              <w:spacing w:line="240" w:lineRule="auto"/>
              <w:jc w:val="center"/>
              <w:rPr>
                <w:sz w:val="20"/>
              </w:rPr>
            </w:pPr>
            <w:r w:rsidRPr="00B834E8">
              <w:rPr>
                <w:sz w:val="20"/>
              </w:rPr>
              <w:t>IV. Slightly humid zones</w:t>
            </w:r>
          </w:p>
        </w:tc>
      </w:tr>
      <w:tr w:rsidR="00B834E8" w:rsidRPr="00B834E8" w14:paraId="448E5FBB" w14:textId="77777777" w:rsidTr="00B834E8">
        <w:tc>
          <w:tcPr>
            <w:tcW w:w="496" w:type="dxa"/>
            <w:tcBorders>
              <w:top w:val="single" w:sz="4" w:space="0" w:color="auto"/>
            </w:tcBorders>
          </w:tcPr>
          <w:p w14:paraId="3DE983BA" w14:textId="77777777" w:rsidR="00B834E8" w:rsidRPr="00B834E8" w:rsidRDefault="00B834E8" w:rsidP="00B834E8">
            <w:pPr>
              <w:spacing w:line="240" w:lineRule="auto"/>
              <w:rPr>
                <w:sz w:val="20"/>
              </w:rPr>
            </w:pPr>
            <w:r w:rsidRPr="00B834E8">
              <w:rPr>
                <w:sz w:val="20"/>
              </w:rPr>
              <w:t>10</w:t>
            </w:r>
          </w:p>
        </w:tc>
        <w:tc>
          <w:tcPr>
            <w:tcW w:w="1767" w:type="dxa"/>
            <w:tcBorders>
              <w:top w:val="single" w:sz="4" w:space="0" w:color="auto"/>
            </w:tcBorders>
          </w:tcPr>
          <w:p w14:paraId="426F5BCC" w14:textId="77777777" w:rsidR="00B834E8" w:rsidRPr="00B834E8" w:rsidRDefault="00B834E8" w:rsidP="00B834E8">
            <w:pPr>
              <w:spacing w:line="240" w:lineRule="auto"/>
              <w:rPr>
                <w:sz w:val="20"/>
              </w:rPr>
            </w:pPr>
            <w:r w:rsidRPr="00B834E8">
              <w:rPr>
                <w:sz w:val="20"/>
              </w:rPr>
              <w:t>(41) Slightly humid / Slightly warm</w:t>
            </w:r>
          </w:p>
        </w:tc>
        <w:tc>
          <w:tcPr>
            <w:tcW w:w="1185" w:type="dxa"/>
            <w:tcBorders>
              <w:top w:val="single" w:sz="4" w:space="0" w:color="auto"/>
            </w:tcBorders>
          </w:tcPr>
          <w:p w14:paraId="45218A29"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tcBorders>
          </w:tcPr>
          <w:p w14:paraId="32BE13B2" w14:textId="77777777" w:rsidR="00B834E8" w:rsidRPr="00B834E8" w:rsidRDefault="00B834E8" w:rsidP="00B834E8">
            <w:pPr>
              <w:spacing w:line="240" w:lineRule="auto"/>
              <w:jc w:val="center"/>
              <w:rPr>
                <w:sz w:val="20"/>
              </w:rPr>
            </w:pPr>
            <w:r w:rsidRPr="00B834E8">
              <w:rPr>
                <w:sz w:val="20"/>
              </w:rPr>
              <w:t>356</w:t>
            </w:r>
          </w:p>
        </w:tc>
        <w:tc>
          <w:tcPr>
            <w:tcW w:w="1124" w:type="dxa"/>
            <w:tcBorders>
              <w:top w:val="single" w:sz="4" w:space="0" w:color="auto"/>
            </w:tcBorders>
          </w:tcPr>
          <w:p w14:paraId="41067479" w14:textId="77777777" w:rsidR="00B834E8" w:rsidRPr="00B834E8" w:rsidRDefault="00B834E8" w:rsidP="00B834E8">
            <w:pPr>
              <w:spacing w:line="240" w:lineRule="auto"/>
              <w:jc w:val="center"/>
              <w:rPr>
                <w:sz w:val="20"/>
              </w:rPr>
            </w:pPr>
            <w:r w:rsidRPr="00B834E8">
              <w:rPr>
                <w:sz w:val="20"/>
              </w:rPr>
              <w:t>2.98</w:t>
            </w:r>
          </w:p>
        </w:tc>
        <w:tc>
          <w:tcPr>
            <w:tcW w:w="839" w:type="dxa"/>
            <w:tcBorders>
              <w:top w:val="single" w:sz="4" w:space="0" w:color="auto"/>
            </w:tcBorders>
          </w:tcPr>
          <w:p w14:paraId="2FAF1382" w14:textId="77777777" w:rsidR="00B834E8" w:rsidRPr="00B834E8" w:rsidRDefault="00B834E8" w:rsidP="00B834E8">
            <w:pPr>
              <w:spacing w:line="240" w:lineRule="auto"/>
              <w:jc w:val="center"/>
              <w:rPr>
                <w:sz w:val="20"/>
              </w:rPr>
            </w:pPr>
            <w:r w:rsidRPr="00B834E8">
              <w:rPr>
                <w:sz w:val="20"/>
              </w:rPr>
              <w:t>1.02</w:t>
            </w:r>
          </w:p>
        </w:tc>
        <w:tc>
          <w:tcPr>
            <w:tcW w:w="719" w:type="dxa"/>
            <w:tcBorders>
              <w:top w:val="single" w:sz="4" w:space="0" w:color="auto"/>
            </w:tcBorders>
          </w:tcPr>
          <w:p w14:paraId="6A8C3BFD" w14:textId="77777777" w:rsidR="00B834E8" w:rsidRPr="00B834E8" w:rsidRDefault="00B834E8" w:rsidP="00B834E8">
            <w:pPr>
              <w:spacing w:line="240" w:lineRule="auto"/>
              <w:jc w:val="center"/>
              <w:rPr>
                <w:sz w:val="20"/>
              </w:rPr>
            </w:pPr>
            <w:r w:rsidRPr="00B834E8">
              <w:rPr>
                <w:sz w:val="20"/>
              </w:rPr>
              <w:t>0.0</w:t>
            </w:r>
          </w:p>
        </w:tc>
        <w:tc>
          <w:tcPr>
            <w:tcW w:w="977" w:type="dxa"/>
            <w:tcBorders>
              <w:top w:val="single" w:sz="4" w:space="0" w:color="auto"/>
            </w:tcBorders>
          </w:tcPr>
          <w:p w14:paraId="20E649FB" w14:textId="77777777" w:rsidR="00B834E8" w:rsidRPr="00B834E8" w:rsidRDefault="00B834E8" w:rsidP="00B834E8">
            <w:pPr>
              <w:spacing w:line="240" w:lineRule="auto"/>
              <w:jc w:val="center"/>
              <w:rPr>
                <w:sz w:val="20"/>
              </w:rPr>
            </w:pPr>
            <w:r w:rsidRPr="00B834E8">
              <w:rPr>
                <w:sz w:val="20"/>
              </w:rPr>
              <w:t>112.4</w:t>
            </w:r>
          </w:p>
        </w:tc>
        <w:tc>
          <w:tcPr>
            <w:tcW w:w="955" w:type="dxa"/>
            <w:tcBorders>
              <w:top w:val="single" w:sz="4" w:space="0" w:color="auto"/>
            </w:tcBorders>
          </w:tcPr>
          <w:p w14:paraId="3DB0D955" w14:textId="77777777" w:rsidR="00B834E8" w:rsidRPr="00B834E8" w:rsidRDefault="00B834E8" w:rsidP="00B834E8">
            <w:pPr>
              <w:spacing w:line="240" w:lineRule="auto"/>
              <w:jc w:val="center"/>
              <w:rPr>
                <w:sz w:val="20"/>
              </w:rPr>
            </w:pPr>
            <w:r w:rsidRPr="00B834E8">
              <w:rPr>
                <w:sz w:val="20"/>
              </w:rPr>
              <w:t>9.87</w:t>
            </w:r>
          </w:p>
        </w:tc>
      </w:tr>
      <w:tr w:rsidR="00B834E8" w:rsidRPr="00B834E8" w14:paraId="28758053" w14:textId="77777777" w:rsidTr="00B834E8">
        <w:tc>
          <w:tcPr>
            <w:tcW w:w="496" w:type="dxa"/>
          </w:tcPr>
          <w:p w14:paraId="24FB5836" w14:textId="77777777" w:rsidR="00B834E8" w:rsidRPr="00B834E8" w:rsidRDefault="00B834E8" w:rsidP="00B834E8">
            <w:pPr>
              <w:spacing w:line="240" w:lineRule="auto"/>
              <w:rPr>
                <w:sz w:val="20"/>
              </w:rPr>
            </w:pPr>
            <w:r w:rsidRPr="00B834E8">
              <w:rPr>
                <w:sz w:val="20"/>
              </w:rPr>
              <w:t>11</w:t>
            </w:r>
          </w:p>
        </w:tc>
        <w:tc>
          <w:tcPr>
            <w:tcW w:w="1767" w:type="dxa"/>
          </w:tcPr>
          <w:p w14:paraId="5973C9D6" w14:textId="77777777" w:rsidR="00B834E8" w:rsidRPr="00B834E8" w:rsidRDefault="00B834E8" w:rsidP="00B834E8">
            <w:pPr>
              <w:spacing w:line="240" w:lineRule="auto"/>
              <w:rPr>
                <w:sz w:val="20"/>
              </w:rPr>
            </w:pPr>
            <w:r w:rsidRPr="00B834E8">
              <w:rPr>
                <w:sz w:val="20"/>
              </w:rPr>
              <w:t>(42) Slightly humid / Moderately warm</w:t>
            </w:r>
          </w:p>
        </w:tc>
        <w:tc>
          <w:tcPr>
            <w:tcW w:w="1185" w:type="dxa"/>
          </w:tcPr>
          <w:p w14:paraId="4A12F5C0" w14:textId="77777777" w:rsidR="00B834E8" w:rsidRPr="00B834E8" w:rsidRDefault="00B834E8" w:rsidP="00B834E8">
            <w:pPr>
              <w:spacing w:line="240" w:lineRule="auto"/>
              <w:jc w:val="center"/>
              <w:rPr>
                <w:sz w:val="20"/>
              </w:rPr>
            </w:pPr>
            <w:r w:rsidRPr="00B834E8">
              <w:rPr>
                <w:sz w:val="20"/>
              </w:rPr>
              <w:t>2003–2024</w:t>
            </w:r>
          </w:p>
        </w:tc>
        <w:tc>
          <w:tcPr>
            <w:tcW w:w="1289" w:type="dxa"/>
          </w:tcPr>
          <w:p w14:paraId="546AACE0" w14:textId="77777777" w:rsidR="00B834E8" w:rsidRPr="00B834E8" w:rsidRDefault="00B834E8" w:rsidP="00B834E8">
            <w:pPr>
              <w:spacing w:line="240" w:lineRule="auto"/>
              <w:jc w:val="center"/>
              <w:rPr>
                <w:sz w:val="20"/>
              </w:rPr>
            </w:pPr>
            <w:r w:rsidRPr="00B834E8">
              <w:rPr>
                <w:sz w:val="20"/>
              </w:rPr>
              <w:t>923</w:t>
            </w:r>
          </w:p>
        </w:tc>
        <w:tc>
          <w:tcPr>
            <w:tcW w:w="1124" w:type="dxa"/>
          </w:tcPr>
          <w:p w14:paraId="1B76FD52" w14:textId="77777777" w:rsidR="00B834E8" w:rsidRPr="00B834E8" w:rsidRDefault="00B834E8" w:rsidP="00B834E8">
            <w:pPr>
              <w:spacing w:line="240" w:lineRule="auto"/>
              <w:jc w:val="center"/>
              <w:rPr>
                <w:sz w:val="20"/>
              </w:rPr>
            </w:pPr>
            <w:r w:rsidRPr="00B834E8">
              <w:rPr>
                <w:sz w:val="20"/>
              </w:rPr>
              <w:t>12.455</w:t>
            </w:r>
          </w:p>
        </w:tc>
        <w:tc>
          <w:tcPr>
            <w:tcW w:w="839" w:type="dxa"/>
          </w:tcPr>
          <w:p w14:paraId="3EE0F480" w14:textId="77777777" w:rsidR="00B834E8" w:rsidRPr="00B834E8" w:rsidRDefault="00B834E8" w:rsidP="00B834E8">
            <w:pPr>
              <w:spacing w:line="240" w:lineRule="auto"/>
              <w:jc w:val="center"/>
              <w:rPr>
                <w:sz w:val="20"/>
              </w:rPr>
            </w:pPr>
            <w:r w:rsidRPr="00B834E8">
              <w:rPr>
                <w:sz w:val="20"/>
              </w:rPr>
              <w:t>1.352</w:t>
            </w:r>
          </w:p>
        </w:tc>
        <w:tc>
          <w:tcPr>
            <w:tcW w:w="719" w:type="dxa"/>
          </w:tcPr>
          <w:p w14:paraId="5710B7CD" w14:textId="77777777" w:rsidR="00B834E8" w:rsidRPr="00B834E8" w:rsidRDefault="00B834E8" w:rsidP="00B834E8">
            <w:pPr>
              <w:spacing w:line="240" w:lineRule="auto"/>
              <w:jc w:val="center"/>
              <w:rPr>
                <w:sz w:val="20"/>
              </w:rPr>
            </w:pPr>
            <w:r w:rsidRPr="00B834E8">
              <w:rPr>
                <w:sz w:val="20"/>
              </w:rPr>
              <w:t>0.000</w:t>
            </w:r>
          </w:p>
        </w:tc>
        <w:tc>
          <w:tcPr>
            <w:tcW w:w="977" w:type="dxa"/>
          </w:tcPr>
          <w:p w14:paraId="3768237E" w14:textId="77777777" w:rsidR="00B834E8" w:rsidRPr="00B834E8" w:rsidRDefault="00B834E8" w:rsidP="00B834E8">
            <w:pPr>
              <w:spacing w:line="240" w:lineRule="auto"/>
              <w:jc w:val="center"/>
              <w:rPr>
                <w:sz w:val="20"/>
              </w:rPr>
            </w:pPr>
            <w:r w:rsidRPr="00B834E8">
              <w:rPr>
                <w:sz w:val="20"/>
              </w:rPr>
              <w:t>9436.275</w:t>
            </w:r>
          </w:p>
        </w:tc>
        <w:tc>
          <w:tcPr>
            <w:tcW w:w="955" w:type="dxa"/>
          </w:tcPr>
          <w:p w14:paraId="31266175" w14:textId="77777777" w:rsidR="00B834E8" w:rsidRPr="00B834E8" w:rsidRDefault="00B834E8" w:rsidP="00B834E8">
            <w:pPr>
              <w:spacing w:line="240" w:lineRule="auto"/>
              <w:jc w:val="center"/>
              <w:rPr>
                <w:sz w:val="20"/>
              </w:rPr>
            </w:pPr>
            <w:r w:rsidRPr="00B834E8">
              <w:rPr>
                <w:sz w:val="20"/>
              </w:rPr>
              <w:t>310.687</w:t>
            </w:r>
          </w:p>
        </w:tc>
      </w:tr>
      <w:tr w:rsidR="00B834E8" w:rsidRPr="00B834E8" w14:paraId="3A583D63" w14:textId="77777777" w:rsidTr="00B834E8">
        <w:tc>
          <w:tcPr>
            <w:tcW w:w="496" w:type="dxa"/>
          </w:tcPr>
          <w:p w14:paraId="3EC8BA2F" w14:textId="77777777" w:rsidR="00B834E8" w:rsidRPr="00B834E8" w:rsidRDefault="00B834E8" w:rsidP="00B834E8">
            <w:pPr>
              <w:spacing w:line="240" w:lineRule="auto"/>
              <w:rPr>
                <w:sz w:val="20"/>
              </w:rPr>
            </w:pPr>
            <w:r w:rsidRPr="00B834E8">
              <w:rPr>
                <w:sz w:val="20"/>
              </w:rPr>
              <w:t>12</w:t>
            </w:r>
          </w:p>
        </w:tc>
        <w:tc>
          <w:tcPr>
            <w:tcW w:w="1767" w:type="dxa"/>
          </w:tcPr>
          <w:p w14:paraId="359B623C" w14:textId="77777777" w:rsidR="00B834E8" w:rsidRPr="00B834E8" w:rsidRDefault="00B834E8" w:rsidP="00B834E8">
            <w:pPr>
              <w:spacing w:line="240" w:lineRule="auto"/>
              <w:rPr>
                <w:sz w:val="20"/>
              </w:rPr>
            </w:pPr>
            <w:r w:rsidRPr="00B834E8">
              <w:rPr>
                <w:sz w:val="20"/>
              </w:rPr>
              <w:t>(44) Slightly humid / Moderately hot</w:t>
            </w:r>
          </w:p>
        </w:tc>
        <w:tc>
          <w:tcPr>
            <w:tcW w:w="1185" w:type="dxa"/>
          </w:tcPr>
          <w:p w14:paraId="25146460" w14:textId="77777777" w:rsidR="00B834E8" w:rsidRPr="00B834E8" w:rsidRDefault="00B834E8" w:rsidP="00B834E8">
            <w:pPr>
              <w:spacing w:line="240" w:lineRule="auto"/>
              <w:jc w:val="center"/>
              <w:rPr>
                <w:sz w:val="20"/>
              </w:rPr>
            </w:pPr>
            <w:r w:rsidRPr="00B834E8">
              <w:rPr>
                <w:sz w:val="20"/>
              </w:rPr>
              <w:t>2003–2024</w:t>
            </w:r>
          </w:p>
        </w:tc>
        <w:tc>
          <w:tcPr>
            <w:tcW w:w="1289" w:type="dxa"/>
          </w:tcPr>
          <w:p w14:paraId="1A5B82C8" w14:textId="77777777" w:rsidR="00B834E8" w:rsidRPr="00B834E8" w:rsidRDefault="00B834E8" w:rsidP="00B834E8">
            <w:pPr>
              <w:spacing w:line="240" w:lineRule="auto"/>
              <w:jc w:val="center"/>
              <w:rPr>
                <w:sz w:val="20"/>
              </w:rPr>
            </w:pPr>
            <w:r w:rsidRPr="00B834E8">
              <w:rPr>
                <w:sz w:val="20"/>
              </w:rPr>
              <w:t>478</w:t>
            </w:r>
          </w:p>
        </w:tc>
        <w:tc>
          <w:tcPr>
            <w:tcW w:w="1124" w:type="dxa"/>
          </w:tcPr>
          <w:p w14:paraId="43B4E635" w14:textId="77777777" w:rsidR="00B834E8" w:rsidRPr="00B834E8" w:rsidRDefault="00B834E8" w:rsidP="00B834E8">
            <w:pPr>
              <w:spacing w:line="240" w:lineRule="auto"/>
              <w:jc w:val="center"/>
              <w:rPr>
                <w:sz w:val="20"/>
              </w:rPr>
            </w:pPr>
            <w:r w:rsidRPr="00B834E8">
              <w:rPr>
                <w:sz w:val="20"/>
              </w:rPr>
              <w:t>3.65</w:t>
            </w:r>
          </w:p>
        </w:tc>
        <w:tc>
          <w:tcPr>
            <w:tcW w:w="839" w:type="dxa"/>
          </w:tcPr>
          <w:p w14:paraId="0DF057E6" w14:textId="77777777" w:rsidR="00B834E8" w:rsidRPr="00B834E8" w:rsidRDefault="00B834E8" w:rsidP="00B834E8">
            <w:pPr>
              <w:spacing w:line="240" w:lineRule="auto"/>
              <w:jc w:val="center"/>
              <w:rPr>
                <w:sz w:val="20"/>
              </w:rPr>
            </w:pPr>
            <w:r w:rsidRPr="00B834E8">
              <w:rPr>
                <w:sz w:val="20"/>
              </w:rPr>
              <w:t>1.24</w:t>
            </w:r>
          </w:p>
        </w:tc>
        <w:tc>
          <w:tcPr>
            <w:tcW w:w="719" w:type="dxa"/>
          </w:tcPr>
          <w:p w14:paraId="5868C175" w14:textId="77777777" w:rsidR="00B834E8" w:rsidRPr="00B834E8" w:rsidRDefault="00B834E8" w:rsidP="00B834E8">
            <w:pPr>
              <w:spacing w:line="240" w:lineRule="auto"/>
              <w:jc w:val="center"/>
              <w:rPr>
                <w:sz w:val="20"/>
              </w:rPr>
            </w:pPr>
            <w:r w:rsidRPr="00B834E8">
              <w:rPr>
                <w:sz w:val="20"/>
              </w:rPr>
              <w:t>0.0</w:t>
            </w:r>
          </w:p>
        </w:tc>
        <w:tc>
          <w:tcPr>
            <w:tcW w:w="977" w:type="dxa"/>
          </w:tcPr>
          <w:p w14:paraId="45D29A78" w14:textId="77777777" w:rsidR="00B834E8" w:rsidRPr="00B834E8" w:rsidRDefault="00B834E8" w:rsidP="00B834E8">
            <w:pPr>
              <w:spacing w:line="240" w:lineRule="auto"/>
              <w:jc w:val="center"/>
              <w:rPr>
                <w:sz w:val="20"/>
              </w:rPr>
            </w:pPr>
            <w:r w:rsidRPr="00B834E8">
              <w:rPr>
                <w:sz w:val="20"/>
              </w:rPr>
              <w:t>186.75</w:t>
            </w:r>
          </w:p>
        </w:tc>
        <w:tc>
          <w:tcPr>
            <w:tcW w:w="955" w:type="dxa"/>
          </w:tcPr>
          <w:p w14:paraId="3B7CB5D3" w14:textId="77777777" w:rsidR="00B834E8" w:rsidRPr="00B834E8" w:rsidRDefault="00B834E8" w:rsidP="00B834E8">
            <w:pPr>
              <w:spacing w:line="240" w:lineRule="auto"/>
              <w:jc w:val="center"/>
              <w:rPr>
                <w:sz w:val="20"/>
              </w:rPr>
            </w:pPr>
            <w:r w:rsidRPr="00B834E8">
              <w:rPr>
                <w:sz w:val="20"/>
              </w:rPr>
              <w:t>12.54</w:t>
            </w:r>
          </w:p>
        </w:tc>
      </w:tr>
      <w:tr w:rsidR="00B834E8" w:rsidRPr="00B834E8" w14:paraId="37EFDE0A" w14:textId="77777777" w:rsidTr="00B834E8">
        <w:tc>
          <w:tcPr>
            <w:tcW w:w="496" w:type="dxa"/>
            <w:tcBorders>
              <w:bottom w:val="single" w:sz="4" w:space="0" w:color="auto"/>
            </w:tcBorders>
          </w:tcPr>
          <w:p w14:paraId="6637E1B8" w14:textId="77777777" w:rsidR="00B834E8" w:rsidRPr="00B834E8" w:rsidRDefault="00B834E8" w:rsidP="00B834E8">
            <w:pPr>
              <w:spacing w:line="240" w:lineRule="auto"/>
              <w:rPr>
                <w:sz w:val="20"/>
              </w:rPr>
            </w:pPr>
            <w:r w:rsidRPr="00B834E8">
              <w:rPr>
                <w:sz w:val="20"/>
              </w:rPr>
              <w:t>13</w:t>
            </w:r>
          </w:p>
        </w:tc>
        <w:tc>
          <w:tcPr>
            <w:tcW w:w="1767" w:type="dxa"/>
            <w:tcBorders>
              <w:bottom w:val="single" w:sz="4" w:space="0" w:color="auto"/>
            </w:tcBorders>
          </w:tcPr>
          <w:p w14:paraId="08DB391F" w14:textId="77777777" w:rsidR="00B834E8" w:rsidRPr="00B834E8" w:rsidRDefault="00B834E8" w:rsidP="00B834E8">
            <w:pPr>
              <w:spacing w:line="240" w:lineRule="auto"/>
              <w:rPr>
                <w:sz w:val="20"/>
              </w:rPr>
            </w:pPr>
            <w:r w:rsidRPr="00B834E8">
              <w:rPr>
                <w:sz w:val="20"/>
              </w:rPr>
              <w:t>(45) Slightly humid / Hot</w:t>
            </w:r>
          </w:p>
        </w:tc>
        <w:tc>
          <w:tcPr>
            <w:tcW w:w="1185" w:type="dxa"/>
            <w:tcBorders>
              <w:bottom w:val="single" w:sz="4" w:space="0" w:color="auto"/>
            </w:tcBorders>
          </w:tcPr>
          <w:p w14:paraId="5D2B159A" w14:textId="77777777" w:rsidR="00B834E8" w:rsidRPr="00B834E8" w:rsidRDefault="00B834E8" w:rsidP="00B834E8">
            <w:pPr>
              <w:spacing w:line="240" w:lineRule="auto"/>
              <w:jc w:val="center"/>
              <w:rPr>
                <w:sz w:val="20"/>
              </w:rPr>
            </w:pPr>
            <w:r w:rsidRPr="00B834E8">
              <w:rPr>
                <w:sz w:val="20"/>
              </w:rPr>
              <w:t>2003–2024</w:t>
            </w:r>
          </w:p>
        </w:tc>
        <w:tc>
          <w:tcPr>
            <w:tcW w:w="1289" w:type="dxa"/>
            <w:tcBorders>
              <w:bottom w:val="single" w:sz="4" w:space="0" w:color="auto"/>
            </w:tcBorders>
          </w:tcPr>
          <w:p w14:paraId="58E8AFC0" w14:textId="77777777" w:rsidR="00B834E8" w:rsidRPr="00B834E8" w:rsidRDefault="00B834E8" w:rsidP="00B834E8">
            <w:pPr>
              <w:spacing w:line="240" w:lineRule="auto"/>
              <w:jc w:val="center"/>
              <w:rPr>
                <w:sz w:val="20"/>
              </w:rPr>
            </w:pPr>
            <w:r w:rsidRPr="00B834E8">
              <w:rPr>
                <w:sz w:val="20"/>
              </w:rPr>
              <w:t>401</w:t>
            </w:r>
          </w:p>
        </w:tc>
        <w:tc>
          <w:tcPr>
            <w:tcW w:w="1124" w:type="dxa"/>
            <w:tcBorders>
              <w:bottom w:val="single" w:sz="4" w:space="0" w:color="auto"/>
            </w:tcBorders>
          </w:tcPr>
          <w:p w14:paraId="71AB4DC9" w14:textId="77777777" w:rsidR="00B834E8" w:rsidRPr="00B834E8" w:rsidRDefault="00B834E8" w:rsidP="00B834E8">
            <w:pPr>
              <w:spacing w:line="240" w:lineRule="auto"/>
              <w:jc w:val="center"/>
              <w:rPr>
                <w:sz w:val="20"/>
              </w:rPr>
            </w:pPr>
            <w:r w:rsidRPr="00B834E8">
              <w:rPr>
                <w:sz w:val="20"/>
              </w:rPr>
              <w:t>1.69</w:t>
            </w:r>
          </w:p>
        </w:tc>
        <w:tc>
          <w:tcPr>
            <w:tcW w:w="839" w:type="dxa"/>
            <w:tcBorders>
              <w:bottom w:val="single" w:sz="4" w:space="0" w:color="auto"/>
            </w:tcBorders>
          </w:tcPr>
          <w:p w14:paraId="53D40D95" w14:textId="77777777" w:rsidR="00B834E8" w:rsidRPr="00B834E8" w:rsidRDefault="00B834E8" w:rsidP="00B834E8">
            <w:pPr>
              <w:spacing w:line="240" w:lineRule="auto"/>
              <w:jc w:val="center"/>
              <w:rPr>
                <w:sz w:val="20"/>
              </w:rPr>
            </w:pPr>
            <w:r w:rsidRPr="00B834E8">
              <w:rPr>
                <w:sz w:val="20"/>
              </w:rPr>
              <w:t>0.829</w:t>
            </w:r>
          </w:p>
        </w:tc>
        <w:tc>
          <w:tcPr>
            <w:tcW w:w="719" w:type="dxa"/>
            <w:tcBorders>
              <w:bottom w:val="single" w:sz="4" w:space="0" w:color="auto"/>
            </w:tcBorders>
          </w:tcPr>
          <w:p w14:paraId="0919E6D2" w14:textId="77777777" w:rsidR="00B834E8" w:rsidRPr="00B834E8" w:rsidRDefault="00B834E8" w:rsidP="00B834E8">
            <w:pPr>
              <w:spacing w:line="240" w:lineRule="auto"/>
              <w:jc w:val="center"/>
              <w:rPr>
                <w:sz w:val="20"/>
              </w:rPr>
            </w:pPr>
            <w:r w:rsidRPr="00B834E8">
              <w:rPr>
                <w:sz w:val="20"/>
              </w:rPr>
              <w:t>0.00</w:t>
            </w:r>
          </w:p>
        </w:tc>
        <w:tc>
          <w:tcPr>
            <w:tcW w:w="977" w:type="dxa"/>
            <w:tcBorders>
              <w:bottom w:val="single" w:sz="4" w:space="0" w:color="auto"/>
            </w:tcBorders>
          </w:tcPr>
          <w:p w14:paraId="41B8CA06" w14:textId="77777777" w:rsidR="00B834E8" w:rsidRPr="00B834E8" w:rsidRDefault="00B834E8" w:rsidP="00B834E8">
            <w:pPr>
              <w:spacing w:line="240" w:lineRule="auto"/>
              <w:jc w:val="center"/>
              <w:rPr>
                <w:sz w:val="20"/>
              </w:rPr>
            </w:pPr>
            <w:r w:rsidRPr="00B834E8">
              <w:rPr>
                <w:sz w:val="20"/>
              </w:rPr>
              <w:t>86.78</w:t>
            </w:r>
          </w:p>
        </w:tc>
        <w:tc>
          <w:tcPr>
            <w:tcW w:w="955" w:type="dxa"/>
            <w:tcBorders>
              <w:bottom w:val="single" w:sz="4" w:space="0" w:color="auto"/>
            </w:tcBorders>
          </w:tcPr>
          <w:p w14:paraId="692B29CF" w14:textId="77777777" w:rsidR="00B834E8" w:rsidRPr="00B834E8" w:rsidRDefault="00B834E8" w:rsidP="00B834E8">
            <w:pPr>
              <w:spacing w:line="240" w:lineRule="auto"/>
              <w:jc w:val="center"/>
              <w:rPr>
                <w:sz w:val="20"/>
              </w:rPr>
            </w:pPr>
            <w:r w:rsidRPr="00B834E8">
              <w:rPr>
                <w:sz w:val="20"/>
              </w:rPr>
              <w:t>4.815</w:t>
            </w:r>
          </w:p>
        </w:tc>
      </w:tr>
      <w:tr w:rsidR="00B834E8" w:rsidRPr="00B834E8" w14:paraId="33B862C9" w14:textId="77777777" w:rsidTr="00B834E8">
        <w:tc>
          <w:tcPr>
            <w:tcW w:w="9351" w:type="dxa"/>
            <w:gridSpan w:val="9"/>
            <w:tcBorders>
              <w:top w:val="single" w:sz="4" w:space="0" w:color="auto"/>
              <w:bottom w:val="single" w:sz="4" w:space="0" w:color="auto"/>
            </w:tcBorders>
          </w:tcPr>
          <w:p w14:paraId="0825F86F" w14:textId="77777777" w:rsidR="00B834E8" w:rsidRPr="00B834E8" w:rsidRDefault="00B834E8" w:rsidP="00B834E8">
            <w:pPr>
              <w:spacing w:line="240" w:lineRule="auto"/>
              <w:jc w:val="center"/>
              <w:rPr>
                <w:sz w:val="20"/>
              </w:rPr>
            </w:pPr>
            <w:r w:rsidRPr="00B834E8">
              <w:rPr>
                <w:sz w:val="20"/>
              </w:rPr>
              <w:t>V. Sufficiently humid zones</w:t>
            </w:r>
          </w:p>
        </w:tc>
      </w:tr>
      <w:tr w:rsidR="00B834E8" w:rsidRPr="00B834E8" w14:paraId="5DBDCF04" w14:textId="77777777" w:rsidTr="00B834E8">
        <w:tc>
          <w:tcPr>
            <w:tcW w:w="496" w:type="dxa"/>
            <w:tcBorders>
              <w:top w:val="single" w:sz="4" w:space="0" w:color="auto"/>
            </w:tcBorders>
          </w:tcPr>
          <w:p w14:paraId="43B29628" w14:textId="77777777" w:rsidR="00B834E8" w:rsidRPr="00B834E8" w:rsidRDefault="00B834E8" w:rsidP="00B834E8">
            <w:pPr>
              <w:spacing w:line="240" w:lineRule="auto"/>
              <w:rPr>
                <w:sz w:val="20"/>
              </w:rPr>
            </w:pPr>
            <w:r w:rsidRPr="00B834E8">
              <w:rPr>
                <w:sz w:val="20"/>
              </w:rPr>
              <w:t>14</w:t>
            </w:r>
          </w:p>
        </w:tc>
        <w:tc>
          <w:tcPr>
            <w:tcW w:w="1767" w:type="dxa"/>
            <w:tcBorders>
              <w:top w:val="single" w:sz="4" w:space="0" w:color="auto"/>
            </w:tcBorders>
          </w:tcPr>
          <w:p w14:paraId="35374DE8" w14:textId="77777777" w:rsidR="00B834E8" w:rsidRPr="00B834E8" w:rsidRDefault="00B834E8" w:rsidP="00B834E8">
            <w:pPr>
              <w:spacing w:line="240" w:lineRule="auto"/>
              <w:rPr>
                <w:sz w:val="20"/>
              </w:rPr>
            </w:pPr>
            <w:r w:rsidRPr="00B834E8">
              <w:rPr>
                <w:sz w:val="20"/>
              </w:rPr>
              <w:t>(51) Sufficiently humid / Slightly warm</w:t>
            </w:r>
          </w:p>
        </w:tc>
        <w:tc>
          <w:tcPr>
            <w:tcW w:w="1185" w:type="dxa"/>
            <w:tcBorders>
              <w:top w:val="single" w:sz="4" w:space="0" w:color="auto"/>
            </w:tcBorders>
          </w:tcPr>
          <w:p w14:paraId="25B47ACD"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tcBorders>
          </w:tcPr>
          <w:p w14:paraId="17D7C2D2" w14:textId="77777777" w:rsidR="00B834E8" w:rsidRPr="00B834E8" w:rsidRDefault="00B834E8" w:rsidP="00B834E8">
            <w:pPr>
              <w:spacing w:line="240" w:lineRule="auto"/>
              <w:jc w:val="center"/>
              <w:rPr>
                <w:sz w:val="20"/>
              </w:rPr>
            </w:pPr>
            <w:r w:rsidRPr="00B834E8">
              <w:rPr>
                <w:sz w:val="20"/>
              </w:rPr>
              <w:t>66</w:t>
            </w:r>
          </w:p>
        </w:tc>
        <w:tc>
          <w:tcPr>
            <w:tcW w:w="1124" w:type="dxa"/>
            <w:tcBorders>
              <w:top w:val="single" w:sz="4" w:space="0" w:color="auto"/>
            </w:tcBorders>
          </w:tcPr>
          <w:p w14:paraId="4B59BC8B" w14:textId="77777777" w:rsidR="00B834E8" w:rsidRPr="00B834E8" w:rsidRDefault="00B834E8" w:rsidP="00B834E8">
            <w:pPr>
              <w:spacing w:line="240" w:lineRule="auto"/>
              <w:jc w:val="center"/>
              <w:rPr>
                <w:sz w:val="20"/>
              </w:rPr>
            </w:pPr>
            <w:r w:rsidRPr="00B834E8">
              <w:rPr>
                <w:sz w:val="20"/>
              </w:rPr>
              <w:t>1.951</w:t>
            </w:r>
          </w:p>
        </w:tc>
        <w:tc>
          <w:tcPr>
            <w:tcW w:w="839" w:type="dxa"/>
            <w:tcBorders>
              <w:top w:val="single" w:sz="4" w:space="0" w:color="auto"/>
            </w:tcBorders>
          </w:tcPr>
          <w:p w14:paraId="4CA2FA8F" w14:textId="77777777" w:rsidR="00B834E8" w:rsidRPr="00B834E8" w:rsidRDefault="00B834E8" w:rsidP="00B834E8">
            <w:pPr>
              <w:spacing w:line="240" w:lineRule="auto"/>
              <w:jc w:val="center"/>
              <w:rPr>
                <w:sz w:val="20"/>
              </w:rPr>
            </w:pPr>
            <w:r w:rsidRPr="00B834E8">
              <w:rPr>
                <w:sz w:val="20"/>
              </w:rPr>
              <w:t>0.994</w:t>
            </w:r>
          </w:p>
        </w:tc>
        <w:tc>
          <w:tcPr>
            <w:tcW w:w="719" w:type="dxa"/>
            <w:tcBorders>
              <w:top w:val="single" w:sz="4" w:space="0" w:color="auto"/>
            </w:tcBorders>
          </w:tcPr>
          <w:p w14:paraId="23732687" w14:textId="77777777" w:rsidR="00B834E8" w:rsidRPr="00B834E8" w:rsidRDefault="00B834E8" w:rsidP="00B834E8">
            <w:pPr>
              <w:spacing w:line="240" w:lineRule="auto"/>
              <w:jc w:val="center"/>
              <w:rPr>
                <w:sz w:val="20"/>
              </w:rPr>
            </w:pPr>
            <w:r w:rsidRPr="00B834E8">
              <w:rPr>
                <w:sz w:val="20"/>
              </w:rPr>
              <w:t>0.000</w:t>
            </w:r>
          </w:p>
        </w:tc>
        <w:tc>
          <w:tcPr>
            <w:tcW w:w="977" w:type="dxa"/>
            <w:tcBorders>
              <w:top w:val="single" w:sz="4" w:space="0" w:color="auto"/>
            </w:tcBorders>
          </w:tcPr>
          <w:p w14:paraId="1399D613" w14:textId="77777777" w:rsidR="00B834E8" w:rsidRPr="00B834E8" w:rsidRDefault="00B834E8" w:rsidP="00B834E8">
            <w:pPr>
              <w:spacing w:line="240" w:lineRule="auto"/>
              <w:jc w:val="center"/>
              <w:rPr>
                <w:sz w:val="20"/>
              </w:rPr>
            </w:pPr>
            <w:r w:rsidRPr="00B834E8">
              <w:rPr>
                <w:sz w:val="20"/>
              </w:rPr>
              <w:t>11.667</w:t>
            </w:r>
          </w:p>
        </w:tc>
        <w:tc>
          <w:tcPr>
            <w:tcW w:w="955" w:type="dxa"/>
            <w:tcBorders>
              <w:top w:val="single" w:sz="4" w:space="0" w:color="auto"/>
            </w:tcBorders>
          </w:tcPr>
          <w:p w14:paraId="0FB63FE4" w14:textId="77777777" w:rsidR="00B834E8" w:rsidRPr="00B834E8" w:rsidRDefault="00B834E8" w:rsidP="00B834E8">
            <w:pPr>
              <w:spacing w:line="240" w:lineRule="auto"/>
              <w:jc w:val="center"/>
              <w:rPr>
                <w:sz w:val="20"/>
              </w:rPr>
            </w:pPr>
            <w:r w:rsidRPr="00B834E8">
              <w:rPr>
                <w:sz w:val="20"/>
              </w:rPr>
              <w:t>2.326</w:t>
            </w:r>
          </w:p>
        </w:tc>
      </w:tr>
      <w:tr w:rsidR="00B834E8" w:rsidRPr="00B834E8" w14:paraId="7BF93DF3" w14:textId="77777777" w:rsidTr="00B834E8">
        <w:tc>
          <w:tcPr>
            <w:tcW w:w="496" w:type="dxa"/>
          </w:tcPr>
          <w:p w14:paraId="55BBA757" w14:textId="77777777" w:rsidR="00B834E8" w:rsidRPr="00B834E8" w:rsidRDefault="00B834E8" w:rsidP="00B834E8">
            <w:pPr>
              <w:spacing w:line="240" w:lineRule="auto"/>
              <w:rPr>
                <w:sz w:val="20"/>
              </w:rPr>
            </w:pPr>
            <w:r w:rsidRPr="00B834E8">
              <w:rPr>
                <w:sz w:val="20"/>
              </w:rPr>
              <w:t>15</w:t>
            </w:r>
          </w:p>
        </w:tc>
        <w:tc>
          <w:tcPr>
            <w:tcW w:w="1767" w:type="dxa"/>
          </w:tcPr>
          <w:p w14:paraId="1B0F9B1C" w14:textId="77777777" w:rsidR="00B834E8" w:rsidRPr="00B834E8" w:rsidRDefault="00B834E8" w:rsidP="00B834E8">
            <w:pPr>
              <w:spacing w:line="240" w:lineRule="auto"/>
              <w:rPr>
                <w:sz w:val="20"/>
              </w:rPr>
            </w:pPr>
            <w:r w:rsidRPr="00B834E8">
              <w:rPr>
                <w:sz w:val="20"/>
              </w:rPr>
              <w:t>(52) Sufficiently humid / Moderately warm</w:t>
            </w:r>
          </w:p>
        </w:tc>
        <w:tc>
          <w:tcPr>
            <w:tcW w:w="1185" w:type="dxa"/>
          </w:tcPr>
          <w:p w14:paraId="40BE473B" w14:textId="77777777" w:rsidR="00B834E8" w:rsidRPr="00B834E8" w:rsidRDefault="00B834E8" w:rsidP="00B834E8">
            <w:pPr>
              <w:spacing w:line="240" w:lineRule="auto"/>
              <w:jc w:val="center"/>
              <w:rPr>
                <w:sz w:val="20"/>
              </w:rPr>
            </w:pPr>
            <w:r w:rsidRPr="00B834E8">
              <w:rPr>
                <w:sz w:val="20"/>
              </w:rPr>
              <w:t>2003–2024</w:t>
            </w:r>
          </w:p>
        </w:tc>
        <w:tc>
          <w:tcPr>
            <w:tcW w:w="1289" w:type="dxa"/>
          </w:tcPr>
          <w:p w14:paraId="5EBF75E7" w14:textId="77777777" w:rsidR="00B834E8" w:rsidRPr="00B834E8" w:rsidRDefault="00B834E8" w:rsidP="00B834E8">
            <w:pPr>
              <w:spacing w:line="240" w:lineRule="auto"/>
              <w:jc w:val="center"/>
              <w:rPr>
                <w:sz w:val="20"/>
              </w:rPr>
            </w:pPr>
            <w:r w:rsidRPr="00B834E8">
              <w:rPr>
                <w:sz w:val="20"/>
              </w:rPr>
              <w:t>75</w:t>
            </w:r>
          </w:p>
        </w:tc>
        <w:tc>
          <w:tcPr>
            <w:tcW w:w="1124" w:type="dxa"/>
          </w:tcPr>
          <w:p w14:paraId="721B0617" w14:textId="77777777" w:rsidR="00B834E8" w:rsidRPr="00B834E8" w:rsidRDefault="00B834E8" w:rsidP="00B834E8">
            <w:pPr>
              <w:spacing w:line="240" w:lineRule="auto"/>
              <w:jc w:val="center"/>
              <w:rPr>
                <w:sz w:val="20"/>
              </w:rPr>
            </w:pPr>
            <w:r w:rsidRPr="00B834E8">
              <w:rPr>
                <w:sz w:val="20"/>
              </w:rPr>
              <w:t>1.997</w:t>
            </w:r>
          </w:p>
        </w:tc>
        <w:tc>
          <w:tcPr>
            <w:tcW w:w="839" w:type="dxa"/>
          </w:tcPr>
          <w:p w14:paraId="11C5A522" w14:textId="77777777" w:rsidR="00B834E8" w:rsidRPr="00B834E8" w:rsidRDefault="00B834E8" w:rsidP="00B834E8">
            <w:pPr>
              <w:spacing w:line="240" w:lineRule="auto"/>
              <w:jc w:val="center"/>
              <w:rPr>
                <w:sz w:val="20"/>
              </w:rPr>
            </w:pPr>
            <w:r w:rsidRPr="00B834E8">
              <w:rPr>
                <w:sz w:val="20"/>
              </w:rPr>
              <w:t>1.035</w:t>
            </w:r>
          </w:p>
        </w:tc>
        <w:tc>
          <w:tcPr>
            <w:tcW w:w="719" w:type="dxa"/>
          </w:tcPr>
          <w:p w14:paraId="665CB7BB" w14:textId="77777777" w:rsidR="00B834E8" w:rsidRPr="00B834E8" w:rsidRDefault="00B834E8" w:rsidP="00B834E8">
            <w:pPr>
              <w:spacing w:line="240" w:lineRule="auto"/>
              <w:jc w:val="center"/>
              <w:rPr>
                <w:sz w:val="20"/>
              </w:rPr>
            </w:pPr>
            <w:r w:rsidRPr="00B834E8">
              <w:rPr>
                <w:sz w:val="20"/>
              </w:rPr>
              <w:t>0.000</w:t>
            </w:r>
          </w:p>
        </w:tc>
        <w:tc>
          <w:tcPr>
            <w:tcW w:w="977" w:type="dxa"/>
          </w:tcPr>
          <w:p w14:paraId="0E016B7C" w14:textId="77777777" w:rsidR="00B834E8" w:rsidRPr="00B834E8" w:rsidRDefault="00B834E8" w:rsidP="00B834E8">
            <w:pPr>
              <w:spacing w:line="240" w:lineRule="auto"/>
              <w:jc w:val="center"/>
              <w:rPr>
                <w:sz w:val="20"/>
              </w:rPr>
            </w:pPr>
            <w:r w:rsidRPr="00B834E8">
              <w:rPr>
                <w:sz w:val="20"/>
              </w:rPr>
              <w:t>13.411</w:t>
            </w:r>
          </w:p>
        </w:tc>
        <w:tc>
          <w:tcPr>
            <w:tcW w:w="955" w:type="dxa"/>
          </w:tcPr>
          <w:p w14:paraId="678532C3" w14:textId="77777777" w:rsidR="00B834E8" w:rsidRPr="00B834E8" w:rsidRDefault="00B834E8" w:rsidP="00B834E8">
            <w:pPr>
              <w:spacing w:line="240" w:lineRule="auto"/>
              <w:jc w:val="center"/>
              <w:rPr>
                <w:sz w:val="20"/>
              </w:rPr>
            </w:pPr>
            <w:r w:rsidRPr="00B834E8">
              <w:rPr>
                <w:sz w:val="20"/>
              </w:rPr>
              <w:t>2.544</w:t>
            </w:r>
          </w:p>
        </w:tc>
      </w:tr>
      <w:tr w:rsidR="00B834E8" w:rsidRPr="00B834E8" w14:paraId="668C271B" w14:textId="77777777" w:rsidTr="00B834E8">
        <w:tc>
          <w:tcPr>
            <w:tcW w:w="496" w:type="dxa"/>
          </w:tcPr>
          <w:p w14:paraId="23CA8EB0" w14:textId="77777777" w:rsidR="00B834E8" w:rsidRPr="00B834E8" w:rsidRDefault="00B834E8" w:rsidP="00B834E8">
            <w:pPr>
              <w:spacing w:line="240" w:lineRule="auto"/>
              <w:rPr>
                <w:sz w:val="20"/>
              </w:rPr>
            </w:pPr>
            <w:r w:rsidRPr="00B834E8">
              <w:rPr>
                <w:sz w:val="20"/>
              </w:rPr>
              <w:t>16</w:t>
            </w:r>
          </w:p>
        </w:tc>
        <w:tc>
          <w:tcPr>
            <w:tcW w:w="1767" w:type="dxa"/>
          </w:tcPr>
          <w:p w14:paraId="2CD0AFB5" w14:textId="77777777" w:rsidR="00B834E8" w:rsidRPr="00B834E8" w:rsidRDefault="00B834E8" w:rsidP="00B834E8">
            <w:pPr>
              <w:spacing w:line="240" w:lineRule="auto"/>
              <w:rPr>
                <w:sz w:val="20"/>
              </w:rPr>
            </w:pPr>
            <w:r w:rsidRPr="00B834E8">
              <w:rPr>
                <w:sz w:val="20"/>
              </w:rPr>
              <w:t>(54) Sufficiently humid / Moderately hot</w:t>
            </w:r>
          </w:p>
        </w:tc>
        <w:tc>
          <w:tcPr>
            <w:tcW w:w="1185" w:type="dxa"/>
          </w:tcPr>
          <w:p w14:paraId="5CF18E51" w14:textId="77777777" w:rsidR="00B834E8" w:rsidRPr="00B834E8" w:rsidRDefault="00B834E8" w:rsidP="00B834E8">
            <w:pPr>
              <w:spacing w:line="240" w:lineRule="auto"/>
              <w:jc w:val="center"/>
              <w:rPr>
                <w:sz w:val="20"/>
              </w:rPr>
            </w:pPr>
            <w:r w:rsidRPr="00B834E8">
              <w:rPr>
                <w:sz w:val="20"/>
              </w:rPr>
              <w:t>2003–2024</w:t>
            </w:r>
          </w:p>
        </w:tc>
        <w:tc>
          <w:tcPr>
            <w:tcW w:w="1289" w:type="dxa"/>
          </w:tcPr>
          <w:p w14:paraId="39ED91EB" w14:textId="77777777" w:rsidR="00B834E8" w:rsidRPr="00B834E8" w:rsidRDefault="00B834E8" w:rsidP="00B834E8">
            <w:pPr>
              <w:spacing w:line="240" w:lineRule="auto"/>
              <w:jc w:val="center"/>
              <w:rPr>
                <w:sz w:val="20"/>
              </w:rPr>
            </w:pPr>
            <w:r w:rsidRPr="00B834E8">
              <w:rPr>
                <w:sz w:val="20"/>
              </w:rPr>
              <w:t>58</w:t>
            </w:r>
          </w:p>
        </w:tc>
        <w:tc>
          <w:tcPr>
            <w:tcW w:w="1124" w:type="dxa"/>
          </w:tcPr>
          <w:p w14:paraId="6A03ABB3" w14:textId="77777777" w:rsidR="00B834E8" w:rsidRPr="00B834E8" w:rsidRDefault="00B834E8" w:rsidP="00B834E8">
            <w:pPr>
              <w:spacing w:line="240" w:lineRule="auto"/>
              <w:jc w:val="center"/>
              <w:rPr>
                <w:sz w:val="20"/>
              </w:rPr>
            </w:pPr>
            <w:r w:rsidRPr="00B834E8">
              <w:rPr>
                <w:sz w:val="20"/>
              </w:rPr>
              <w:t>1.73</w:t>
            </w:r>
          </w:p>
        </w:tc>
        <w:tc>
          <w:tcPr>
            <w:tcW w:w="839" w:type="dxa"/>
          </w:tcPr>
          <w:p w14:paraId="29DEEF3C" w14:textId="77777777" w:rsidR="00B834E8" w:rsidRPr="00B834E8" w:rsidRDefault="00B834E8" w:rsidP="00B834E8">
            <w:pPr>
              <w:spacing w:line="240" w:lineRule="auto"/>
              <w:jc w:val="center"/>
              <w:rPr>
                <w:sz w:val="20"/>
              </w:rPr>
            </w:pPr>
            <w:r w:rsidRPr="00B834E8">
              <w:rPr>
                <w:sz w:val="20"/>
              </w:rPr>
              <w:t>0.88</w:t>
            </w:r>
          </w:p>
        </w:tc>
        <w:tc>
          <w:tcPr>
            <w:tcW w:w="719" w:type="dxa"/>
          </w:tcPr>
          <w:p w14:paraId="688C9847" w14:textId="77777777" w:rsidR="00B834E8" w:rsidRPr="00B834E8" w:rsidRDefault="00B834E8" w:rsidP="00B834E8">
            <w:pPr>
              <w:spacing w:line="240" w:lineRule="auto"/>
              <w:jc w:val="center"/>
              <w:rPr>
                <w:sz w:val="20"/>
              </w:rPr>
            </w:pPr>
            <w:r w:rsidRPr="00B834E8">
              <w:rPr>
                <w:sz w:val="20"/>
              </w:rPr>
              <w:t>0.0</w:t>
            </w:r>
          </w:p>
        </w:tc>
        <w:tc>
          <w:tcPr>
            <w:tcW w:w="977" w:type="dxa"/>
          </w:tcPr>
          <w:p w14:paraId="74BAC092" w14:textId="77777777" w:rsidR="00B834E8" w:rsidRPr="00B834E8" w:rsidRDefault="00B834E8" w:rsidP="00B834E8">
            <w:pPr>
              <w:spacing w:line="240" w:lineRule="auto"/>
              <w:jc w:val="center"/>
              <w:rPr>
                <w:sz w:val="20"/>
              </w:rPr>
            </w:pPr>
            <w:r w:rsidRPr="00B834E8">
              <w:rPr>
                <w:sz w:val="20"/>
              </w:rPr>
              <w:t>9.85</w:t>
            </w:r>
          </w:p>
        </w:tc>
        <w:tc>
          <w:tcPr>
            <w:tcW w:w="955" w:type="dxa"/>
          </w:tcPr>
          <w:p w14:paraId="3B7A86A4" w14:textId="77777777" w:rsidR="00B834E8" w:rsidRPr="00B834E8" w:rsidRDefault="00B834E8" w:rsidP="00B834E8">
            <w:pPr>
              <w:spacing w:line="240" w:lineRule="auto"/>
              <w:jc w:val="center"/>
              <w:rPr>
                <w:sz w:val="20"/>
              </w:rPr>
            </w:pPr>
            <w:r w:rsidRPr="00B834E8">
              <w:rPr>
                <w:sz w:val="20"/>
              </w:rPr>
              <w:t>2.11</w:t>
            </w:r>
          </w:p>
        </w:tc>
      </w:tr>
      <w:tr w:rsidR="00B834E8" w:rsidRPr="00B834E8" w14:paraId="60FA71F5" w14:textId="77777777" w:rsidTr="00B834E8">
        <w:tc>
          <w:tcPr>
            <w:tcW w:w="496" w:type="dxa"/>
            <w:tcBorders>
              <w:bottom w:val="single" w:sz="4" w:space="0" w:color="auto"/>
            </w:tcBorders>
          </w:tcPr>
          <w:p w14:paraId="29C5155F" w14:textId="77777777" w:rsidR="00B834E8" w:rsidRPr="00B834E8" w:rsidRDefault="00B834E8" w:rsidP="00B834E8">
            <w:pPr>
              <w:spacing w:line="240" w:lineRule="auto"/>
              <w:rPr>
                <w:sz w:val="20"/>
              </w:rPr>
            </w:pPr>
            <w:r w:rsidRPr="00B834E8">
              <w:rPr>
                <w:sz w:val="20"/>
              </w:rPr>
              <w:t>17</w:t>
            </w:r>
          </w:p>
        </w:tc>
        <w:tc>
          <w:tcPr>
            <w:tcW w:w="1767" w:type="dxa"/>
            <w:tcBorders>
              <w:bottom w:val="single" w:sz="4" w:space="0" w:color="auto"/>
            </w:tcBorders>
          </w:tcPr>
          <w:p w14:paraId="08D199D5" w14:textId="77777777" w:rsidR="00B834E8" w:rsidRPr="00B834E8" w:rsidRDefault="00B834E8" w:rsidP="00B834E8">
            <w:pPr>
              <w:spacing w:line="240" w:lineRule="auto"/>
              <w:rPr>
                <w:sz w:val="20"/>
              </w:rPr>
            </w:pPr>
            <w:r w:rsidRPr="00B834E8">
              <w:rPr>
                <w:sz w:val="20"/>
              </w:rPr>
              <w:t>(55) Sufficiently humid / Hot</w:t>
            </w:r>
          </w:p>
        </w:tc>
        <w:tc>
          <w:tcPr>
            <w:tcW w:w="1185" w:type="dxa"/>
            <w:tcBorders>
              <w:bottom w:val="single" w:sz="4" w:space="0" w:color="auto"/>
            </w:tcBorders>
          </w:tcPr>
          <w:p w14:paraId="6C073C52" w14:textId="77777777" w:rsidR="00B834E8" w:rsidRPr="00B834E8" w:rsidRDefault="00B834E8" w:rsidP="00B834E8">
            <w:pPr>
              <w:spacing w:line="240" w:lineRule="auto"/>
              <w:jc w:val="center"/>
              <w:rPr>
                <w:sz w:val="20"/>
              </w:rPr>
            </w:pPr>
            <w:r w:rsidRPr="00B834E8">
              <w:rPr>
                <w:sz w:val="20"/>
              </w:rPr>
              <w:t>2003–2024</w:t>
            </w:r>
          </w:p>
        </w:tc>
        <w:tc>
          <w:tcPr>
            <w:tcW w:w="1289" w:type="dxa"/>
            <w:tcBorders>
              <w:bottom w:val="single" w:sz="4" w:space="0" w:color="auto"/>
            </w:tcBorders>
          </w:tcPr>
          <w:p w14:paraId="6CA1FB9D" w14:textId="77777777" w:rsidR="00B834E8" w:rsidRPr="00B834E8" w:rsidRDefault="00B834E8" w:rsidP="00B834E8">
            <w:pPr>
              <w:spacing w:line="240" w:lineRule="auto"/>
              <w:jc w:val="center"/>
              <w:rPr>
                <w:sz w:val="20"/>
              </w:rPr>
            </w:pPr>
            <w:r w:rsidRPr="00B834E8">
              <w:rPr>
                <w:sz w:val="20"/>
              </w:rPr>
              <w:t>32</w:t>
            </w:r>
          </w:p>
        </w:tc>
        <w:tc>
          <w:tcPr>
            <w:tcW w:w="1124" w:type="dxa"/>
            <w:tcBorders>
              <w:bottom w:val="single" w:sz="4" w:space="0" w:color="auto"/>
            </w:tcBorders>
          </w:tcPr>
          <w:p w14:paraId="1D3EB08C" w14:textId="77777777" w:rsidR="00B834E8" w:rsidRPr="00B834E8" w:rsidRDefault="00B834E8" w:rsidP="00B834E8">
            <w:pPr>
              <w:spacing w:line="240" w:lineRule="auto"/>
              <w:jc w:val="center"/>
              <w:rPr>
                <w:sz w:val="20"/>
              </w:rPr>
            </w:pPr>
            <w:r w:rsidRPr="00B834E8">
              <w:rPr>
                <w:sz w:val="20"/>
              </w:rPr>
              <w:t>1.092</w:t>
            </w:r>
          </w:p>
        </w:tc>
        <w:tc>
          <w:tcPr>
            <w:tcW w:w="839" w:type="dxa"/>
            <w:tcBorders>
              <w:bottom w:val="single" w:sz="4" w:space="0" w:color="auto"/>
            </w:tcBorders>
          </w:tcPr>
          <w:p w14:paraId="09079DBD" w14:textId="77777777" w:rsidR="00B834E8" w:rsidRPr="00B834E8" w:rsidRDefault="00B834E8" w:rsidP="00B834E8">
            <w:pPr>
              <w:spacing w:line="240" w:lineRule="auto"/>
              <w:jc w:val="center"/>
              <w:rPr>
                <w:sz w:val="20"/>
              </w:rPr>
            </w:pPr>
            <w:r w:rsidRPr="00B834E8">
              <w:rPr>
                <w:sz w:val="20"/>
              </w:rPr>
              <w:t>0.503</w:t>
            </w:r>
          </w:p>
        </w:tc>
        <w:tc>
          <w:tcPr>
            <w:tcW w:w="719" w:type="dxa"/>
            <w:tcBorders>
              <w:bottom w:val="single" w:sz="4" w:space="0" w:color="auto"/>
            </w:tcBorders>
          </w:tcPr>
          <w:p w14:paraId="043B1BF4" w14:textId="77777777" w:rsidR="00B834E8" w:rsidRPr="00B834E8" w:rsidRDefault="00B834E8" w:rsidP="00B834E8">
            <w:pPr>
              <w:spacing w:line="240" w:lineRule="auto"/>
              <w:jc w:val="center"/>
              <w:rPr>
                <w:sz w:val="20"/>
              </w:rPr>
            </w:pPr>
            <w:r w:rsidRPr="00B834E8">
              <w:rPr>
                <w:sz w:val="20"/>
              </w:rPr>
              <w:t>0.000</w:t>
            </w:r>
          </w:p>
        </w:tc>
        <w:tc>
          <w:tcPr>
            <w:tcW w:w="977" w:type="dxa"/>
            <w:tcBorders>
              <w:bottom w:val="single" w:sz="4" w:space="0" w:color="auto"/>
            </w:tcBorders>
          </w:tcPr>
          <w:p w14:paraId="6AAC0D45" w14:textId="77777777" w:rsidR="00B834E8" w:rsidRPr="00B834E8" w:rsidRDefault="00B834E8" w:rsidP="00B834E8">
            <w:pPr>
              <w:spacing w:line="240" w:lineRule="auto"/>
              <w:jc w:val="center"/>
              <w:rPr>
                <w:sz w:val="20"/>
              </w:rPr>
            </w:pPr>
            <w:r w:rsidRPr="00B834E8">
              <w:rPr>
                <w:sz w:val="20"/>
              </w:rPr>
              <w:t>6.645</w:t>
            </w:r>
          </w:p>
        </w:tc>
        <w:tc>
          <w:tcPr>
            <w:tcW w:w="955" w:type="dxa"/>
            <w:tcBorders>
              <w:bottom w:val="single" w:sz="4" w:space="0" w:color="auto"/>
            </w:tcBorders>
          </w:tcPr>
          <w:p w14:paraId="658601A8" w14:textId="77777777" w:rsidR="00B834E8" w:rsidRPr="00B834E8" w:rsidRDefault="00B834E8" w:rsidP="00B834E8">
            <w:pPr>
              <w:spacing w:line="240" w:lineRule="auto"/>
              <w:jc w:val="center"/>
              <w:rPr>
                <w:sz w:val="20"/>
              </w:rPr>
            </w:pPr>
            <w:r w:rsidRPr="00B834E8">
              <w:rPr>
                <w:sz w:val="20"/>
              </w:rPr>
              <w:t>1.643</w:t>
            </w:r>
          </w:p>
        </w:tc>
      </w:tr>
      <w:tr w:rsidR="00B834E8" w:rsidRPr="00B834E8" w14:paraId="303F5D69" w14:textId="77777777" w:rsidTr="00B834E8">
        <w:tc>
          <w:tcPr>
            <w:tcW w:w="9351" w:type="dxa"/>
            <w:gridSpan w:val="9"/>
            <w:tcBorders>
              <w:top w:val="single" w:sz="4" w:space="0" w:color="auto"/>
              <w:bottom w:val="single" w:sz="4" w:space="0" w:color="auto"/>
            </w:tcBorders>
          </w:tcPr>
          <w:p w14:paraId="02F29B60" w14:textId="77777777" w:rsidR="00B834E8" w:rsidRPr="00B834E8" w:rsidRDefault="00B834E8" w:rsidP="00B834E8">
            <w:pPr>
              <w:spacing w:line="240" w:lineRule="auto"/>
              <w:jc w:val="center"/>
              <w:rPr>
                <w:sz w:val="20"/>
              </w:rPr>
            </w:pPr>
            <w:r w:rsidRPr="00B834E8">
              <w:rPr>
                <w:sz w:val="20"/>
              </w:rPr>
              <w:t>VI. Persistently humid zones</w:t>
            </w:r>
          </w:p>
        </w:tc>
      </w:tr>
      <w:tr w:rsidR="00B834E8" w:rsidRPr="00B834E8" w14:paraId="536D0408" w14:textId="77777777" w:rsidTr="00B834E8">
        <w:tc>
          <w:tcPr>
            <w:tcW w:w="496" w:type="dxa"/>
            <w:tcBorders>
              <w:top w:val="single" w:sz="4" w:space="0" w:color="auto"/>
            </w:tcBorders>
          </w:tcPr>
          <w:p w14:paraId="09EF4D15" w14:textId="77777777" w:rsidR="00B834E8" w:rsidRPr="00B834E8" w:rsidRDefault="00B834E8" w:rsidP="00B834E8">
            <w:pPr>
              <w:spacing w:line="240" w:lineRule="auto"/>
              <w:rPr>
                <w:sz w:val="20"/>
              </w:rPr>
            </w:pPr>
            <w:r w:rsidRPr="00B834E8">
              <w:rPr>
                <w:sz w:val="20"/>
              </w:rPr>
              <w:t>18</w:t>
            </w:r>
          </w:p>
        </w:tc>
        <w:tc>
          <w:tcPr>
            <w:tcW w:w="1767" w:type="dxa"/>
            <w:tcBorders>
              <w:top w:val="single" w:sz="4" w:space="0" w:color="auto"/>
            </w:tcBorders>
          </w:tcPr>
          <w:p w14:paraId="3C6CD122" w14:textId="77777777" w:rsidR="00B834E8" w:rsidRPr="00B834E8" w:rsidRDefault="00B834E8" w:rsidP="00B834E8">
            <w:pPr>
              <w:spacing w:line="240" w:lineRule="auto"/>
              <w:rPr>
                <w:sz w:val="20"/>
              </w:rPr>
            </w:pPr>
            <w:r w:rsidRPr="00B834E8">
              <w:rPr>
                <w:sz w:val="20"/>
              </w:rPr>
              <w:t>(61) Persistently humid / Slightly warm</w:t>
            </w:r>
          </w:p>
        </w:tc>
        <w:tc>
          <w:tcPr>
            <w:tcW w:w="1185" w:type="dxa"/>
            <w:tcBorders>
              <w:top w:val="single" w:sz="4" w:space="0" w:color="auto"/>
            </w:tcBorders>
          </w:tcPr>
          <w:p w14:paraId="359FC92A"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tcBorders>
          </w:tcPr>
          <w:p w14:paraId="4DF5127E" w14:textId="77777777" w:rsidR="00B834E8" w:rsidRPr="00B834E8" w:rsidRDefault="00B834E8" w:rsidP="00B834E8">
            <w:pPr>
              <w:spacing w:line="240" w:lineRule="auto"/>
              <w:jc w:val="center"/>
              <w:rPr>
                <w:sz w:val="20"/>
              </w:rPr>
            </w:pPr>
            <w:r w:rsidRPr="00B834E8">
              <w:rPr>
                <w:sz w:val="20"/>
              </w:rPr>
              <w:t>142</w:t>
            </w:r>
          </w:p>
        </w:tc>
        <w:tc>
          <w:tcPr>
            <w:tcW w:w="1124" w:type="dxa"/>
            <w:tcBorders>
              <w:top w:val="single" w:sz="4" w:space="0" w:color="auto"/>
            </w:tcBorders>
          </w:tcPr>
          <w:p w14:paraId="4DD35B7E" w14:textId="77777777" w:rsidR="00B834E8" w:rsidRPr="00B834E8" w:rsidRDefault="00B834E8" w:rsidP="00B834E8">
            <w:pPr>
              <w:spacing w:line="240" w:lineRule="auto"/>
              <w:jc w:val="center"/>
              <w:rPr>
                <w:sz w:val="20"/>
              </w:rPr>
            </w:pPr>
            <w:r w:rsidRPr="00B834E8">
              <w:rPr>
                <w:sz w:val="20"/>
              </w:rPr>
              <w:t>1.62</w:t>
            </w:r>
          </w:p>
        </w:tc>
        <w:tc>
          <w:tcPr>
            <w:tcW w:w="839" w:type="dxa"/>
            <w:tcBorders>
              <w:top w:val="single" w:sz="4" w:space="0" w:color="auto"/>
            </w:tcBorders>
          </w:tcPr>
          <w:p w14:paraId="4069C3F2" w14:textId="77777777" w:rsidR="00B834E8" w:rsidRPr="00B834E8" w:rsidRDefault="00B834E8" w:rsidP="00B834E8">
            <w:pPr>
              <w:spacing w:line="240" w:lineRule="auto"/>
              <w:jc w:val="center"/>
              <w:rPr>
                <w:sz w:val="20"/>
              </w:rPr>
            </w:pPr>
            <w:r w:rsidRPr="00B834E8">
              <w:rPr>
                <w:sz w:val="20"/>
              </w:rPr>
              <w:t>0.72</w:t>
            </w:r>
          </w:p>
        </w:tc>
        <w:tc>
          <w:tcPr>
            <w:tcW w:w="719" w:type="dxa"/>
            <w:tcBorders>
              <w:top w:val="single" w:sz="4" w:space="0" w:color="auto"/>
            </w:tcBorders>
          </w:tcPr>
          <w:p w14:paraId="348EE638" w14:textId="77777777" w:rsidR="00B834E8" w:rsidRPr="00B834E8" w:rsidRDefault="00B834E8" w:rsidP="00B834E8">
            <w:pPr>
              <w:spacing w:line="240" w:lineRule="auto"/>
              <w:jc w:val="center"/>
              <w:rPr>
                <w:sz w:val="20"/>
              </w:rPr>
            </w:pPr>
            <w:r w:rsidRPr="00B834E8">
              <w:rPr>
                <w:sz w:val="20"/>
              </w:rPr>
              <w:t>0.0</w:t>
            </w:r>
          </w:p>
        </w:tc>
        <w:tc>
          <w:tcPr>
            <w:tcW w:w="977" w:type="dxa"/>
            <w:tcBorders>
              <w:top w:val="single" w:sz="4" w:space="0" w:color="auto"/>
            </w:tcBorders>
          </w:tcPr>
          <w:p w14:paraId="6922BADF" w14:textId="77777777" w:rsidR="00B834E8" w:rsidRPr="00B834E8" w:rsidRDefault="00B834E8" w:rsidP="00B834E8">
            <w:pPr>
              <w:spacing w:line="240" w:lineRule="auto"/>
              <w:jc w:val="center"/>
              <w:rPr>
                <w:sz w:val="20"/>
              </w:rPr>
            </w:pPr>
            <w:r w:rsidRPr="00B834E8">
              <w:rPr>
                <w:sz w:val="20"/>
              </w:rPr>
              <w:t>21.4</w:t>
            </w:r>
          </w:p>
        </w:tc>
        <w:tc>
          <w:tcPr>
            <w:tcW w:w="955" w:type="dxa"/>
            <w:tcBorders>
              <w:top w:val="single" w:sz="4" w:space="0" w:color="auto"/>
            </w:tcBorders>
          </w:tcPr>
          <w:p w14:paraId="7467F69E" w14:textId="77777777" w:rsidR="00B834E8" w:rsidRPr="00B834E8" w:rsidRDefault="00B834E8" w:rsidP="00B834E8">
            <w:pPr>
              <w:spacing w:line="240" w:lineRule="auto"/>
              <w:jc w:val="center"/>
              <w:rPr>
                <w:sz w:val="20"/>
              </w:rPr>
            </w:pPr>
            <w:r w:rsidRPr="00B834E8">
              <w:rPr>
                <w:sz w:val="20"/>
              </w:rPr>
              <w:t>3.34</w:t>
            </w:r>
          </w:p>
        </w:tc>
      </w:tr>
      <w:tr w:rsidR="00B834E8" w:rsidRPr="00B834E8" w14:paraId="2CF7E45F" w14:textId="77777777" w:rsidTr="00B834E8">
        <w:tc>
          <w:tcPr>
            <w:tcW w:w="496" w:type="dxa"/>
            <w:tcBorders>
              <w:bottom w:val="single" w:sz="4" w:space="0" w:color="auto"/>
            </w:tcBorders>
          </w:tcPr>
          <w:p w14:paraId="184091D5" w14:textId="77777777" w:rsidR="00B834E8" w:rsidRPr="00B834E8" w:rsidRDefault="00B834E8" w:rsidP="00B834E8">
            <w:pPr>
              <w:spacing w:line="240" w:lineRule="auto"/>
              <w:rPr>
                <w:sz w:val="20"/>
              </w:rPr>
            </w:pPr>
            <w:r w:rsidRPr="00B834E8">
              <w:rPr>
                <w:sz w:val="20"/>
              </w:rPr>
              <w:t>19</w:t>
            </w:r>
          </w:p>
        </w:tc>
        <w:tc>
          <w:tcPr>
            <w:tcW w:w="1767" w:type="dxa"/>
            <w:tcBorders>
              <w:bottom w:val="single" w:sz="4" w:space="0" w:color="auto"/>
            </w:tcBorders>
          </w:tcPr>
          <w:p w14:paraId="00275394" w14:textId="77777777" w:rsidR="00B834E8" w:rsidRPr="00B834E8" w:rsidRDefault="00B834E8" w:rsidP="00B834E8">
            <w:pPr>
              <w:spacing w:line="240" w:lineRule="auto"/>
              <w:rPr>
                <w:sz w:val="20"/>
              </w:rPr>
            </w:pPr>
            <w:r w:rsidRPr="00B834E8">
              <w:rPr>
                <w:sz w:val="20"/>
              </w:rPr>
              <w:t>(65) Persistently humid / Hot</w:t>
            </w:r>
          </w:p>
        </w:tc>
        <w:tc>
          <w:tcPr>
            <w:tcW w:w="1185" w:type="dxa"/>
            <w:tcBorders>
              <w:bottom w:val="single" w:sz="4" w:space="0" w:color="auto"/>
            </w:tcBorders>
          </w:tcPr>
          <w:p w14:paraId="7FBDF4E8" w14:textId="77777777" w:rsidR="00B834E8" w:rsidRPr="00B834E8" w:rsidRDefault="00B834E8" w:rsidP="00B834E8">
            <w:pPr>
              <w:spacing w:line="240" w:lineRule="auto"/>
              <w:jc w:val="center"/>
              <w:rPr>
                <w:sz w:val="20"/>
              </w:rPr>
            </w:pPr>
            <w:r w:rsidRPr="00B834E8">
              <w:rPr>
                <w:sz w:val="20"/>
              </w:rPr>
              <w:t>2003–2024</w:t>
            </w:r>
          </w:p>
        </w:tc>
        <w:tc>
          <w:tcPr>
            <w:tcW w:w="1289" w:type="dxa"/>
            <w:tcBorders>
              <w:bottom w:val="single" w:sz="4" w:space="0" w:color="auto"/>
            </w:tcBorders>
          </w:tcPr>
          <w:p w14:paraId="35696590" w14:textId="77777777" w:rsidR="00B834E8" w:rsidRPr="00B834E8" w:rsidRDefault="00B834E8" w:rsidP="00B834E8">
            <w:pPr>
              <w:spacing w:line="240" w:lineRule="auto"/>
              <w:jc w:val="center"/>
              <w:rPr>
                <w:sz w:val="20"/>
              </w:rPr>
            </w:pPr>
            <w:r w:rsidRPr="00B834E8">
              <w:rPr>
                <w:sz w:val="20"/>
              </w:rPr>
              <w:t>169</w:t>
            </w:r>
          </w:p>
        </w:tc>
        <w:tc>
          <w:tcPr>
            <w:tcW w:w="1124" w:type="dxa"/>
            <w:tcBorders>
              <w:bottom w:val="single" w:sz="4" w:space="0" w:color="auto"/>
            </w:tcBorders>
          </w:tcPr>
          <w:p w14:paraId="276A2227" w14:textId="77777777" w:rsidR="00B834E8" w:rsidRPr="00B834E8" w:rsidRDefault="00B834E8" w:rsidP="00B834E8">
            <w:pPr>
              <w:spacing w:line="240" w:lineRule="auto"/>
              <w:jc w:val="center"/>
              <w:rPr>
                <w:sz w:val="20"/>
              </w:rPr>
            </w:pPr>
            <w:r w:rsidRPr="00B834E8">
              <w:rPr>
                <w:sz w:val="20"/>
              </w:rPr>
              <w:t>1.99</w:t>
            </w:r>
          </w:p>
        </w:tc>
        <w:tc>
          <w:tcPr>
            <w:tcW w:w="839" w:type="dxa"/>
            <w:tcBorders>
              <w:bottom w:val="single" w:sz="4" w:space="0" w:color="auto"/>
            </w:tcBorders>
          </w:tcPr>
          <w:p w14:paraId="2DACE7AB" w14:textId="77777777" w:rsidR="00B834E8" w:rsidRPr="00B834E8" w:rsidRDefault="00B834E8" w:rsidP="00B834E8">
            <w:pPr>
              <w:spacing w:line="240" w:lineRule="auto"/>
              <w:jc w:val="center"/>
              <w:rPr>
                <w:sz w:val="20"/>
              </w:rPr>
            </w:pPr>
            <w:r w:rsidRPr="00B834E8">
              <w:rPr>
                <w:sz w:val="20"/>
              </w:rPr>
              <w:t>0.900</w:t>
            </w:r>
          </w:p>
        </w:tc>
        <w:tc>
          <w:tcPr>
            <w:tcW w:w="719" w:type="dxa"/>
            <w:tcBorders>
              <w:bottom w:val="single" w:sz="4" w:space="0" w:color="auto"/>
            </w:tcBorders>
          </w:tcPr>
          <w:p w14:paraId="5D40591F" w14:textId="77777777" w:rsidR="00B834E8" w:rsidRPr="00B834E8" w:rsidRDefault="00B834E8" w:rsidP="00B834E8">
            <w:pPr>
              <w:spacing w:line="240" w:lineRule="auto"/>
              <w:jc w:val="center"/>
              <w:rPr>
                <w:sz w:val="20"/>
              </w:rPr>
            </w:pPr>
            <w:r w:rsidRPr="00B834E8">
              <w:rPr>
                <w:sz w:val="20"/>
              </w:rPr>
              <w:t>0.00</w:t>
            </w:r>
          </w:p>
        </w:tc>
        <w:tc>
          <w:tcPr>
            <w:tcW w:w="977" w:type="dxa"/>
            <w:tcBorders>
              <w:bottom w:val="single" w:sz="4" w:space="0" w:color="auto"/>
            </w:tcBorders>
          </w:tcPr>
          <w:p w14:paraId="08A7D77A" w14:textId="77777777" w:rsidR="00B834E8" w:rsidRPr="00B834E8" w:rsidRDefault="00B834E8" w:rsidP="00B834E8">
            <w:pPr>
              <w:spacing w:line="240" w:lineRule="auto"/>
              <w:jc w:val="center"/>
              <w:rPr>
                <w:sz w:val="20"/>
              </w:rPr>
            </w:pPr>
            <w:r w:rsidRPr="00B834E8">
              <w:rPr>
                <w:sz w:val="20"/>
              </w:rPr>
              <w:t>36.99</w:t>
            </w:r>
          </w:p>
        </w:tc>
        <w:tc>
          <w:tcPr>
            <w:tcW w:w="955" w:type="dxa"/>
            <w:tcBorders>
              <w:bottom w:val="single" w:sz="4" w:space="0" w:color="auto"/>
            </w:tcBorders>
          </w:tcPr>
          <w:p w14:paraId="2A02154D" w14:textId="77777777" w:rsidR="00B834E8" w:rsidRPr="00B834E8" w:rsidRDefault="00B834E8" w:rsidP="00B834E8">
            <w:pPr>
              <w:spacing w:line="240" w:lineRule="auto"/>
              <w:jc w:val="center"/>
              <w:rPr>
                <w:sz w:val="20"/>
              </w:rPr>
            </w:pPr>
            <w:r w:rsidRPr="00B834E8">
              <w:rPr>
                <w:sz w:val="20"/>
              </w:rPr>
              <w:t>4.051</w:t>
            </w:r>
          </w:p>
        </w:tc>
      </w:tr>
      <w:tr w:rsidR="00B834E8" w:rsidRPr="00B834E8" w14:paraId="6234C987" w14:textId="77777777" w:rsidTr="00B834E8">
        <w:tc>
          <w:tcPr>
            <w:tcW w:w="9351" w:type="dxa"/>
            <w:gridSpan w:val="9"/>
            <w:tcBorders>
              <w:top w:val="single" w:sz="4" w:space="0" w:color="auto"/>
              <w:bottom w:val="single" w:sz="4" w:space="0" w:color="auto"/>
            </w:tcBorders>
          </w:tcPr>
          <w:p w14:paraId="3D00C93C" w14:textId="77777777" w:rsidR="00B834E8" w:rsidRPr="00B834E8" w:rsidRDefault="00B834E8" w:rsidP="00B834E8">
            <w:pPr>
              <w:spacing w:line="240" w:lineRule="auto"/>
              <w:jc w:val="center"/>
              <w:rPr>
                <w:sz w:val="20"/>
              </w:rPr>
            </w:pPr>
            <w:r w:rsidRPr="00B834E8">
              <w:rPr>
                <w:sz w:val="20"/>
              </w:rPr>
              <w:t>VII. Optimally humid zones</w:t>
            </w:r>
          </w:p>
        </w:tc>
      </w:tr>
      <w:tr w:rsidR="00B834E8" w:rsidRPr="00B834E8" w14:paraId="46779A48" w14:textId="77777777" w:rsidTr="00B834E8">
        <w:tc>
          <w:tcPr>
            <w:tcW w:w="496" w:type="dxa"/>
            <w:tcBorders>
              <w:top w:val="single" w:sz="4" w:space="0" w:color="auto"/>
            </w:tcBorders>
          </w:tcPr>
          <w:p w14:paraId="1E242BDE" w14:textId="77777777" w:rsidR="00B834E8" w:rsidRPr="00B834E8" w:rsidRDefault="00B834E8" w:rsidP="00B834E8">
            <w:pPr>
              <w:spacing w:line="240" w:lineRule="auto"/>
              <w:rPr>
                <w:sz w:val="20"/>
              </w:rPr>
            </w:pPr>
            <w:r w:rsidRPr="00B834E8">
              <w:rPr>
                <w:sz w:val="20"/>
              </w:rPr>
              <w:lastRenderedPageBreak/>
              <w:t>20</w:t>
            </w:r>
          </w:p>
        </w:tc>
        <w:tc>
          <w:tcPr>
            <w:tcW w:w="1767" w:type="dxa"/>
            <w:tcBorders>
              <w:top w:val="single" w:sz="4" w:space="0" w:color="auto"/>
            </w:tcBorders>
          </w:tcPr>
          <w:p w14:paraId="6CB3A5BC" w14:textId="77777777" w:rsidR="00B834E8" w:rsidRPr="00B834E8" w:rsidRDefault="00B834E8" w:rsidP="00B834E8">
            <w:pPr>
              <w:spacing w:line="240" w:lineRule="auto"/>
              <w:rPr>
                <w:sz w:val="20"/>
              </w:rPr>
            </w:pPr>
            <w:r w:rsidRPr="00B834E8">
              <w:rPr>
                <w:sz w:val="20"/>
              </w:rPr>
              <w:t>(71) Optimally humid / Slightly warm</w:t>
            </w:r>
          </w:p>
        </w:tc>
        <w:tc>
          <w:tcPr>
            <w:tcW w:w="1185" w:type="dxa"/>
            <w:tcBorders>
              <w:top w:val="single" w:sz="4" w:space="0" w:color="auto"/>
            </w:tcBorders>
          </w:tcPr>
          <w:p w14:paraId="42E9FF14"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tcBorders>
          </w:tcPr>
          <w:p w14:paraId="25EB7DC1" w14:textId="77777777" w:rsidR="00B834E8" w:rsidRPr="00B834E8" w:rsidRDefault="00B834E8" w:rsidP="00B834E8">
            <w:pPr>
              <w:spacing w:line="240" w:lineRule="auto"/>
              <w:jc w:val="center"/>
              <w:rPr>
                <w:sz w:val="20"/>
              </w:rPr>
            </w:pPr>
            <w:r w:rsidRPr="00B834E8">
              <w:rPr>
                <w:sz w:val="20"/>
              </w:rPr>
              <w:t>240</w:t>
            </w:r>
          </w:p>
        </w:tc>
        <w:tc>
          <w:tcPr>
            <w:tcW w:w="1124" w:type="dxa"/>
            <w:tcBorders>
              <w:top w:val="single" w:sz="4" w:space="0" w:color="auto"/>
            </w:tcBorders>
          </w:tcPr>
          <w:p w14:paraId="564426A2" w14:textId="77777777" w:rsidR="00B834E8" w:rsidRPr="00B834E8" w:rsidRDefault="00B834E8" w:rsidP="00B834E8">
            <w:pPr>
              <w:spacing w:line="240" w:lineRule="auto"/>
              <w:jc w:val="center"/>
              <w:rPr>
                <w:sz w:val="20"/>
              </w:rPr>
            </w:pPr>
            <w:r w:rsidRPr="00B834E8">
              <w:rPr>
                <w:sz w:val="20"/>
              </w:rPr>
              <w:t>1.275</w:t>
            </w:r>
          </w:p>
        </w:tc>
        <w:tc>
          <w:tcPr>
            <w:tcW w:w="839" w:type="dxa"/>
            <w:tcBorders>
              <w:top w:val="single" w:sz="4" w:space="0" w:color="auto"/>
            </w:tcBorders>
          </w:tcPr>
          <w:p w14:paraId="0F8B06AC" w14:textId="77777777" w:rsidR="00B834E8" w:rsidRPr="00B834E8" w:rsidRDefault="00B834E8" w:rsidP="00B834E8">
            <w:pPr>
              <w:spacing w:line="240" w:lineRule="auto"/>
              <w:jc w:val="center"/>
              <w:rPr>
                <w:sz w:val="20"/>
              </w:rPr>
            </w:pPr>
            <w:r w:rsidRPr="00B834E8">
              <w:rPr>
                <w:sz w:val="20"/>
              </w:rPr>
              <w:t>0.550</w:t>
            </w:r>
          </w:p>
        </w:tc>
        <w:tc>
          <w:tcPr>
            <w:tcW w:w="719" w:type="dxa"/>
            <w:tcBorders>
              <w:top w:val="single" w:sz="4" w:space="0" w:color="auto"/>
            </w:tcBorders>
          </w:tcPr>
          <w:p w14:paraId="638BA496" w14:textId="77777777" w:rsidR="00B834E8" w:rsidRPr="00B834E8" w:rsidRDefault="00B834E8" w:rsidP="00B834E8">
            <w:pPr>
              <w:spacing w:line="240" w:lineRule="auto"/>
              <w:jc w:val="center"/>
              <w:rPr>
                <w:sz w:val="20"/>
              </w:rPr>
            </w:pPr>
            <w:r w:rsidRPr="00B834E8">
              <w:rPr>
                <w:sz w:val="20"/>
              </w:rPr>
              <w:t>0.000</w:t>
            </w:r>
          </w:p>
        </w:tc>
        <w:tc>
          <w:tcPr>
            <w:tcW w:w="977" w:type="dxa"/>
            <w:tcBorders>
              <w:top w:val="single" w:sz="4" w:space="0" w:color="auto"/>
            </w:tcBorders>
          </w:tcPr>
          <w:p w14:paraId="7F35FFDB" w14:textId="77777777" w:rsidR="00B834E8" w:rsidRPr="00B834E8" w:rsidRDefault="00B834E8" w:rsidP="00B834E8">
            <w:pPr>
              <w:spacing w:line="240" w:lineRule="auto"/>
              <w:jc w:val="center"/>
              <w:rPr>
                <w:sz w:val="20"/>
              </w:rPr>
            </w:pPr>
            <w:r w:rsidRPr="00B834E8">
              <w:rPr>
                <w:sz w:val="20"/>
              </w:rPr>
              <w:t>11.211</w:t>
            </w:r>
          </w:p>
        </w:tc>
        <w:tc>
          <w:tcPr>
            <w:tcW w:w="955" w:type="dxa"/>
            <w:tcBorders>
              <w:top w:val="single" w:sz="4" w:space="0" w:color="auto"/>
            </w:tcBorders>
          </w:tcPr>
          <w:p w14:paraId="55A56DF1" w14:textId="77777777" w:rsidR="00B834E8" w:rsidRPr="00B834E8" w:rsidRDefault="00B834E8" w:rsidP="00B834E8">
            <w:pPr>
              <w:spacing w:line="240" w:lineRule="auto"/>
              <w:jc w:val="center"/>
              <w:rPr>
                <w:sz w:val="20"/>
              </w:rPr>
            </w:pPr>
            <w:r w:rsidRPr="00B834E8">
              <w:rPr>
                <w:sz w:val="20"/>
              </w:rPr>
              <w:t>1.699</w:t>
            </w:r>
          </w:p>
        </w:tc>
      </w:tr>
      <w:tr w:rsidR="00B834E8" w:rsidRPr="00B834E8" w14:paraId="75BDA19C" w14:textId="77777777" w:rsidTr="00B834E8">
        <w:tc>
          <w:tcPr>
            <w:tcW w:w="496" w:type="dxa"/>
            <w:tcBorders>
              <w:bottom w:val="single" w:sz="4" w:space="0" w:color="auto"/>
            </w:tcBorders>
          </w:tcPr>
          <w:p w14:paraId="75668CED" w14:textId="77777777" w:rsidR="00B834E8" w:rsidRPr="00B834E8" w:rsidRDefault="00B834E8" w:rsidP="00B834E8">
            <w:pPr>
              <w:spacing w:line="240" w:lineRule="auto"/>
              <w:rPr>
                <w:sz w:val="20"/>
              </w:rPr>
            </w:pPr>
            <w:r w:rsidRPr="00B834E8">
              <w:rPr>
                <w:sz w:val="20"/>
              </w:rPr>
              <w:t>21</w:t>
            </w:r>
          </w:p>
        </w:tc>
        <w:tc>
          <w:tcPr>
            <w:tcW w:w="1767" w:type="dxa"/>
            <w:tcBorders>
              <w:bottom w:val="single" w:sz="4" w:space="0" w:color="auto"/>
            </w:tcBorders>
          </w:tcPr>
          <w:p w14:paraId="7A3958F4" w14:textId="77777777" w:rsidR="00B834E8" w:rsidRPr="00B834E8" w:rsidRDefault="00B834E8" w:rsidP="00B834E8">
            <w:pPr>
              <w:spacing w:line="240" w:lineRule="auto"/>
              <w:rPr>
                <w:sz w:val="20"/>
              </w:rPr>
            </w:pPr>
            <w:r w:rsidRPr="00B834E8">
              <w:rPr>
                <w:sz w:val="20"/>
              </w:rPr>
              <w:t>(75) Optimally humid / Hot</w:t>
            </w:r>
          </w:p>
        </w:tc>
        <w:tc>
          <w:tcPr>
            <w:tcW w:w="1185" w:type="dxa"/>
            <w:tcBorders>
              <w:bottom w:val="single" w:sz="4" w:space="0" w:color="auto"/>
            </w:tcBorders>
          </w:tcPr>
          <w:p w14:paraId="05168866" w14:textId="77777777" w:rsidR="00B834E8" w:rsidRPr="00B834E8" w:rsidRDefault="00B834E8" w:rsidP="00B834E8">
            <w:pPr>
              <w:spacing w:line="240" w:lineRule="auto"/>
              <w:jc w:val="center"/>
              <w:rPr>
                <w:sz w:val="20"/>
              </w:rPr>
            </w:pPr>
            <w:r w:rsidRPr="00B834E8">
              <w:rPr>
                <w:sz w:val="20"/>
              </w:rPr>
              <w:t>2003–2024</w:t>
            </w:r>
          </w:p>
        </w:tc>
        <w:tc>
          <w:tcPr>
            <w:tcW w:w="1289" w:type="dxa"/>
            <w:tcBorders>
              <w:bottom w:val="single" w:sz="4" w:space="0" w:color="auto"/>
            </w:tcBorders>
          </w:tcPr>
          <w:p w14:paraId="4C7B58FE" w14:textId="77777777" w:rsidR="00B834E8" w:rsidRPr="00B834E8" w:rsidRDefault="00B834E8" w:rsidP="00B834E8">
            <w:pPr>
              <w:spacing w:line="240" w:lineRule="auto"/>
              <w:jc w:val="center"/>
              <w:rPr>
                <w:sz w:val="20"/>
              </w:rPr>
            </w:pPr>
            <w:r w:rsidRPr="00B834E8">
              <w:rPr>
                <w:sz w:val="20"/>
              </w:rPr>
              <w:t>65</w:t>
            </w:r>
          </w:p>
        </w:tc>
        <w:tc>
          <w:tcPr>
            <w:tcW w:w="1124" w:type="dxa"/>
            <w:tcBorders>
              <w:bottom w:val="single" w:sz="4" w:space="0" w:color="auto"/>
            </w:tcBorders>
          </w:tcPr>
          <w:p w14:paraId="3311DAFF" w14:textId="77777777" w:rsidR="00B834E8" w:rsidRPr="00B834E8" w:rsidRDefault="00B834E8" w:rsidP="00B834E8">
            <w:pPr>
              <w:spacing w:line="240" w:lineRule="auto"/>
              <w:jc w:val="center"/>
              <w:rPr>
                <w:sz w:val="20"/>
              </w:rPr>
            </w:pPr>
            <w:r w:rsidRPr="00B834E8">
              <w:rPr>
                <w:sz w:val="20"/>
              </w:rPr>
              <w:t>8.057</w:t>
            </w:r>
          </w:p>
        </w:tc>
        <w:tc>
          <w:tcPr>
            <w:tcW w:w="839" w:type="dxa"/>
            <w:tcBorders>
              <w:bottom w:val="single" w:sz="4" w:space="0" w:color="auto"/>
            </w:tcBorders>
          </w:tcPr>
          <w:p w14:paraId="4F0B307E" w14:textId="77777777" w:rsidR="00B834E8" w:rsidRPr="00B834E8" w:rsidRDefault="00B834E8" w:rsidP="00B834E8">
            <w:pPr>
              <w:spacing w:line="240" w:lineRule="auto"/>
              <w:jc w:val="center"/>
              <w:rPr>
                <w:sz w:val="20"/>
              </w:rPr>
            </w:pPr>
            <w:r w:rsidRPr="00B834E8">
              <w:rPr>
                <w:sz w:val="20"/>
              </w:rPr>
              <w:t>1.871</w:t>
            </w:r>
          </w:p>
        </w:tc>
        <w:tc>
          <w:tcPr>
            <w:tcW w:w="719" w:type="dxa"/>
            <w:tcBorders>
              <w:bottom w:val="single" w:sz="4" w:space="0" w:color="auto"/>
            </w:tcBorders>
          </w:tcPr>
          <w:p w14:paraId="7B503307" w14:textId="77777777" w:rsidR="00B834E8" w:rsidRPr="00B834E8" w:rsidRDefault="00B834E8" w:rsidP="00B834E8">
            <w:pPr>
              <w:spacing w:line="240" w:lineRule="auto"/>
              <w:jc w:val="center"/>
              <w:rPr>
                <w:sz w:val="20"/>
              </w:rPr>
            </w:pPr>
            <w:r w:rsidRPr="00B834E8">
              <w:rPr>
                <w:sz w:val="20"/>
              </w:rPr>
              <w:t>0.000</w:t>
            </w:r>
          </w:p>
        </w:tc>
        <w:tc>
          <w:tcPr>
            <w:tcW w:w="977" w:type="dxa"/>
            <w:tcBorders>
              <w:bottom w:val="single" w:sz="4" w:space="0" w:color="auto"/>
            </w:tcBorders>
          </w:tcPr>
          <w:p w14:paraId="4EC28AE7" w14:textId="77777777" w:rsidR="00B834E8" w:rsidRPr="00B834E8" w:rsidRDefault="00B834E8" w:rsidP="00B834E8">
            <w:pPr>
              <w:spacing w:line="240" w:lineRule="auto"/>
              <w:jc w:val="center"/>
              <w:rPr>
                <w:sz w:val="20"/>
              </w:rPr>
            </w:pPr>
            <w:r w:rsidRPr="00B834E8">
              <w:rPr>
                <w:sz w:val="20"/>
              </w:rPr>
              <w:t>343.40</w:t>
            </w:r>
          </w:p>
        </w:tc>
        <w:tc>
          <w:tcPr>
            <w:tcW w:w="955" w:type="dxa"/>
            <w:tcBorders>
              <w:bottom w:val="single" w:sz="4" w:space="0" w:color="auto"/>
            </w:tcBorders>
          </w:tcPr>
          <w:p w14:paraId="1857A766" w14:textId="77777777" w:rsidR="00B834E8" w:rsidRPr="00B834E8" w:rsidRDefault="00B834E8" w:rsidP="00B834E8">
            <w:pPr>
              <w:spacing w:line="240" w:lineRule="auto"/>
              <w:jc w:val="center"/>
              <w:rPr>
                <w:sz w:val="20"/>
              </w:rPr>
            </w:pPr>
            <w:r w:rsidRPr="00B834E8">
              <w:rPr>
                <w:sz w:val="20"/>
              </w:rPr>
              <w:t>42.38</w:t>
            </w:r>
          </w:p>
        </w:tc>
      </w:tr>
      <w:tr w:rsidR="00B834E8" w:rsidRPr="00B834E8" w14:paraId="6B29D15E" w14:textId="77777777" w:rsidTr="00B834E8">
        <w:tc>
          <w:tcPr>
            <w:tcW w:w="9351" w:type="dxa"/>
            <w:gridSpan w:val="9"/>
            <w:tcBorders>
              <w:top w:val="single" w:sz="4" w:space="0" w:color="auto"/>
              <w:bottom w:val="single" w:sz="4" w:space="0" w:color="auto"/>
            </w:tcBorders>
          </w:tcPr>
          <w:p w14:paraId="06EDC84C" w14:textId="77777777" w:rsidR="00B834E8" w:rsidRPr="00B834E8" w:rsidRDefault="00B834E8" w:rsidP="00B834E8">
            <w:pPr>
              <w:spacing w:line="240" w:lineRule="auto"/>
              <w:jc w:val="center"/>
              <w:rPr>
                <w:sz w:val="20"/>
              </w:rPr>
            </w:pPr>
            <w:r w:rsidRPr="00B834E8">
              <w:rPr>
                <w:sz w:val="20"/>
              </w:rPr>
              <w:t>VIII. Extremely humid zones</w:t>
            </w:r>
          </w:p>
        </w:tc>
      </w:tr>
      <w:tr w:rsidR="00B834E8" w:rsidRPr="00B834E8" w14:paraId="2DDF2DF5" w14:textId="77777777" w:rsidTr="00B834E8">
        <w:tc>
          <w:tcPr>
            <w:tcW w:w="496" w:type="dxa"/>
            <w:tcBorders>
              <w:top w:val="single" w:sz="4" w:space="0" w:color="auto"/>
            </w:tcBorders>
          </w:tcPr>
          <w:p w14:paraId="3E51E11C" w14:textId="77777777" w:rsidR="00B834E8" w:rsidRPr="00B834E8" w:rsidRDefault="00B834E8" w:rsidP="00B834E8">
            <w:pPr>
              <w:spacing w:line="240" w:lineRule="auto"/>
              <w:rPr>
                <w:sz w:val="20"/>
              </w:rPr>
            </w:pPr>
            <w:r w:rsidRPr="00B834E8">
              <w:rPr>
                <w:sz w:val="20"/>
              </w:rPr>
              <w:t>22</w:t>
            </w:r>
          </w:p>
        </w:tc>
        <w:tc>
          <w:tcPr>
            <w:tcW w:w="1767" w:type="dxa"/>
            <w:tcBorders>
              <w:top w:val="single" w:sz="4" w:space="0" w:color="auto"/>
            </w:tcBorders>
          </w:tcPr>
          <w:p w14:paraId="6635C09E" w14:textId="77777777" w:rsidR="00B834E8" w:rsidRPr="00B834E8" w:rsidRDefault="00B834E8" w:rsidP="00B834E8">
            <w:pPr>
              <w:spacing w:line="240" w:lineRule="auto"/>
              <w:rPr>
                <w:sz w:val="20"/>
              </w:rPr>
            </w:pPr>
            <w:r w:rsidRPr="00B834E8">
              <w:rPr>
                <w:sz w:val="20"/>
              </w:rPr>
              <w:t>(81) Extremely humid / Slightly warm</w:t>
            </w:r>
          </w:p>
        </w:tc>
        <w:tc>
          <w:tcPr>
            <w:tcW w:w="1185" w:type="dxa"/>
            <w:tcBorders>
              <w:top w:val="single" w:sz="4" w:space="0" w:color="auto"/>
            </w:tcBorders>
          </w:tcPr>
          <w:p w14:paraId="372B583F" w14:textId="77777777" w:rsidR="00B834E8" w:rsidRPr="00B834E8" w:rsidRDefault="00B834E8" w:rsidP="00B834E8">
            <w:pPr>
              <w:spacing w:line="240" w:lineRule="auto"/>
              <w:jc w:val="center"/>
              <w:rPr>
                <w:sz w:val="20"/>
              </w:rPr>
            </w:pPr>
            <w:r w:rsidRPr="00B834E8">
              <w:rPr>
                <w:sz w:val="20"/>
              </w:rPr>
              <w:t>2003–2024</w:t>
            </w:r>
          </w:p>
        </w:tc>
        <w:tc>
          <w:tcPr>
            <w:tcW w:w="1289" w:type="dxa"/>
            <w:tcBorders>
              <w:top w:val="single" w:sz="4" w:space="0" w:color="auto"/>
            </w:tcBorders>
          </w:tcPr>
          <w:p w14:paraId="14E5437A" w14:textId="77777777" w:rsidR="00B834E8" w:rsidRPr="00B834E8" w:rsidRDefault="00B834E8" w:rsidP="00B834E8">
            <w:pPr>
              <w:spacing w:line="240" w:lineRule="auto"/>
              <w:jc w:val="center"/>
              <w:rPr>
                <w:sz w:val="20"/>
              </w:rPr>
            </w:pPr>
            <w:r w:rsidRPr="00B834E8">
              <w:rPr>
                <w:sz w:val="20"/>
              </w:rPr>
              <w:t>74</w:t>
            </w:r>
          </w:p>
        </w:tc>
        <w:tc>
          <w:tcPr>
            <w:tcW w:w="1124" w:type="dxa"/>
            <w:tcBorders>
              <w:top w:val="single" w:sz="4" w:space="0" w:color="auto"/>
            </w:tcBorders>
          </w:tcPr>
          <w:p w14:paraId="3A5A69F3" w14:textId="77777777" w:rsidR="00B834E8" w:rsidRPr="00B834E8" w:rsidRDefault="00B834E8" w:rsidP="00B834E8">
            <w:pPr>
              <w:spacing w:line="240" w:lineRule="auto"/>
              <w:jc w:val="center"/>
              <w:rPr>
                <w:sz w:val="20"/>
              </w:rPr>
            </w:pPr>
            <w:r w:rsidRPr="00B834E8">
              <w:rPr>
                <w:sz w:val="20"/>
              </w:rPr>
              <w:t>1.41</w:t>
            </w:r>
          </w:p>
        </w:tc>
        <w:tc>
          <w:tcPr>
            <w:tcW w:w="839" w:type="dxa"/>
            <w:tcBorders>
              <w:top w:val="single" w:sz="4" w:space="0" w:color="auto"/>
            </w:tcBorders>
          </w:tcPr>
          <w:p w14:paraId="399F65D2" w14:textId="77777777" w:rsidR="00B834E8" w:rsidRPr="00B834E8" w:rsidRDefault="00B834E8" w:rsidP="00B834E8">
            <w:pPr>
              <w:spacing w:line="240" w:lineRule="auto"/>
              <w:jc w:val="center"/>
              <w:rPr>
                <w:sz w:val="20"/>
              </w:rPr>
            </w:pPr>
            <w:r w:rsidRPr="00B834E8">
              <w:rPr>
                <w:sz w:val="20"/>
              </w:rPr>
              <w:t>0.63</w:t>
            </w:r>
          </w:p>
        </w:tc>
        <w:tc>
          <w:tcPr>
            <w:tcW w:w="719" w:type="dxa"/>
            <w:tcBorders>
              <w:top w:val="single" w:sz="4" w:space="0" w:color="auto"/>
            </w:tcBorders>
          </w:tcPr>
          <w:p w14:paraId="3311FB43" w14:textId="77777777" w:rsidR="00B834E8" w:rsidRPr="00B834E8" w:rsidRDefault="00B834E8" w:rsidP="00B834E8">
            <w:pPr>
              <w:spacing w:line="240" w:lineRule="auto"/>
              <w:jc w:val="center"/>
              <w:rPr>
                <w:sz w:val="20"/>
              </w:rPr>
            </w:pPr>
            <w:r w:rsidRPr="00B834E8">
              <w:rPr>
                <w:sz w:val="20"/>
              </w:rPr>
              <w:t>0.0</w:t>
            </w:r>
          </w:p>
        </w:tc>
        <w:tc>
          <w:tcPr>
            <w:tcW w:w="977" w:type="dxa"/>
            <w:tcBorders>
              <w:top w:val="single" w:sz="4" w:space="0" w:color="auto"/>
            </w:tcBorders>
          </w:tcPr>
          <w:p w14:paraId="53E1083D" w14:textId="77777777" w:rsidR="00B834E8" w:rsidRPr="00B834E8" w:rsidRDefault="00B834E8" w:rsidP="00B834E8">
            <w:pPr>
              <w:spacing w:line="240" w:lineRule="auto"/>
              <w:jc w:val="center"/>
              <w:rPr>
                <w:sz w:val="20"/>
              </w:rPr>
            </w:pPr>
            <w:r w:rsidRPr="00B834E8">
              <w:rPr>
                <w:sz w:val="20"/>
              </w:rPr>
              <w:t>12.75</w:t>
            </w:r>
          </w:p>
        </w:tc>
        <w:tc>
          <w:tcPr>
            <w:tcW w:w="955" w:type="dxa"/>
            <w:tcBorders>
              <w:top w:val="single" w:sz="4" w:space="0" w:color="auto"/>
            </w:tcBorders>
          </w:tcPr>
          <w:p w14:paraId="7B05F043" w14:textId="77777777" w:rsidR="00B834E8" w:rsidRPr="00B834E8" w:rsidRDefault="00B834E8" w:rsidP="00B834E8">
            <w:pPr>
              <w:spacing w:line="240" w:lineRule="auto"/>
              <w:jc w:val="center"/>
              <w:rPr>
                <w:sz w:val="20"/>
              </w:rPr>
            </w:pPr>
            <w:r w:rsidRPr="00B834E8">
              <w:rPr>
                <w:sz w:val="20"/>
              </w:rPr>
              <w:t>2.26</w:t>
            </w:r>
          </w:p>
        </w:tc>
      </w:tr>
      <w:tr w:rsidR="00B834E8" w:rsidRPr="00B834E8" w14:paraId="1B75A24B" w14:textId="77777777" w:rsidTr="00B834E8">
        <w:tc>
          <w:tcPr>
            <w:tcW w:w="496" w:type="dxa"/>
          </w:tcPr>
          <w:p w14:paraId="65F2CDF8" w14:textId="77777777" w:rsidR="00B834E8" w:rsidRPr="00B834E8" w:rsidRDefault="00B834E8" w:rsidP="00B834E8">
            <w:pPr>
              <w:spacing w:line="240" w:lineRule="auto"/>
              <w:rPr>
                <w:sz w:val="20"/>
              </w:rPr>
            </w:pPr>
            <w:r w:rsidRPr="00B834E8">
              <w:rPr>
                <w:sz w:val="20"/>
              </w:rPr>
              <w:t>23</w:t>
            </w:r>
          </w:p>
        </w:tc>
        <w:tc>
          <w:tcPr>
            <w:tcW w:w="1767" w:type="dxa"/>
          </w:tcPr>
          <w:p w14:paraId="2ED48540" w14:textId="77777777" w:rsidR="00B834E8" w:rsidRPr="00B834E8" w:rsidRDefault="00B834E8" w:rsidP="00B834E8">
            <w:pPr>
              <w:spacing w:line="240" w:lineRule="auto"/>
              <w:rPr>
                <w:sz w:val="20"/>
              </w:rPr>
            </w:pPr>
            <w:r w:rsidRPr="00B834E8">
              <w:rPr>
                <w:sz w:val="20"/>
              </w:rPr>
              <w:t>(82) Extremely humid / Moderately warm</w:t>
            </w:r>
          </w:p>
        </w:tc>
        <w:tc>
          <w:tcPr>
            <w:tcW w:w="1185" w:type="dxa"/>
          </w:tcPr>
          <w:p w14:paraId="2A08C024" w14:textId="77777777" w:rsidR="00B834E8" w:rsidRPr="00B834E8" w:rsidRDefault="00B834E8" w:rsidP="00B834E8">
            <w:pPr>
              <w:spacing w:line="240" w:lineRule="auto"/>
              <w:jc w:val="center"/>
              <w:rPr>
                <w:sz w:val="20"/>
              </w:rPr>
            </w:pPr>
            <w:r w:rsidRPr="00B834E8">
              <w:rPr>
                <w:sz w:val="20"/>
              </w:rPr>
              <w:t>2003–2024</w:t>
            </w:r>
          </w:p>
        </w:tc>
        <w:tc>
          <w:tcPr>
            <w:tcW w:w="1289" w:type="dxa"/>
          </w:tcPr>
          <w:p w14:paraId="2CC00164" w14:textId="77777777" w:rsidR="00B834E8" w:rsidRPr="00B834E8" w:rsidRDefault="00B834E8" w:rsidP="00B834E8">
            <w:pPr>
              <w:spacing w:line="240" w:lineRule="auto"/>
              <w:jc w:val="center"/>
              <w:rPr>
                <w:sz w:val="20"/>
              </w:rPr>
            </w:pPr>
            <w:r w:rsidRPr="00B834E8">
              <w:rPr>
                <w:sz w:val="20"/>
              </w:rPr>
              <w:t>88</w:t>
            </w:r>
          </w:p>
        </w:tc>
        <w:tc>
          <w:tcPr>
            <w:tcW w:w="1124" w:type="dxa"/>
          </w:tcPr>
          <w:p w14:paraId="5D022AC6" w14:textId="77777777" w:rsidR="00B834E8" w:rsidRPr="00B834E8" w:rsidRDefault="00B834E8" w:rsidP="00B834E8">
            <w:pPr>
              <w:spacing w:line="240" w:lineRule="auto"/>
              <w:jc w:val="center"/>
              <w:rPr>
                <w:sz w:val="20"/>
              </w:rPr>
            </w:pPr>
            <w:r w:rsidRPr="00B834E8">
              <w:rPr>
                <w:sz w:val="20"/>
              </w:rPr>
              <w:t>1.513</w:t>
            </w:r>
          </w:p>
        </w:tc>
        <w:tc>
          <w:tcPr>
            <w:tcW w:w="839" w:type="dxa"/>
          </w:tcPr>
          <w:p w14:paraId="372FD8C7" w14:textId="77777777" w:rsidR="00B834E8" w:rsidRPr="00B834E8" w:rsidRDefault="00B834E8" w:rsidP="00B834E8">
            <w:pPr>
              <w:spacing w:line="240" w:lineRule="auto"/>
              <w:jc w:val="center"/>
              <w:rPr>
                <w:sz w:val="20"/>
              </w:rPr>
            </w:pPr>
            <w:r w:rsidRPr="00B834E8">
              <w:rPr>
                <w:sz w:val="20"/>
              </w:rPr>
              <w:t>0.558</w:t>
            </w:r>
          </w:p>
        </w:tc>
        <w:tc>
          <w:tcPr>
            <w:tcW w:w="719" w:type="dxa"/>
          </w:tcPr>
          <w:p w14:paraId="419C24E2" w14:textId="77777777" w:rsidR="00B834E8" w:rsidRPr="00B834E8" w:rsidRDefault="00B834E8" w:rsidP="00B834E8">
            <w:pPr>
              <w:spacing w:line="240" w:lineRule="auto"/>
              <w:jc w:val="center"/>
              <w:rPr>
                <w:sz w:val="20"/>
              </w:rPr>
            </w:pPr>
            <w:r w:rsidRPr="00B834E8">
              <w:rPr>
                <w:sz w:val="20"/>
              </w:rPr>
              <w:t>0.000</w:t>
            </w:r>
          </w:p>
        </w:tc>
        <w:tc>
          <w:tcPr>
            <w:tcW w:w="977" w:type="dxa"/>
          </w:tcPr>
          <w:p w14:paraId="1E3FBCBC" w14:textId="77777777" w:rsidR="00B834E8" w:rsidRPr="00B834E8" w:rsidRDefault="00B834E8" w:rsidP="00B834E8">
            <w:pPr>
              <w:spacing w:line="240" w:lineRule="auto"/>
              <w:jc w:val="center"/>
              <w:rPr>
                <w:sz w:val="20"/>
              </w:rPr>
            </w:pPr>
            <w:r w:rsidRPr="00B834E8">
              <w:rPr>
                <w:sz w:val="20"/>
              </w:rPr>
              <w:t>11.530</w:t>
            </w:r>
          </w:p>
        </w:tc>
        <w:tc>
          <w:tcPr>
            <w:tcW w:w="955" w:type="dxa"/>
          </w:tcPr>
          <w:p w14:paraId="0E38287B" w14:textId="77777777" w:rsidR="00B834E8" w:rsidRPr="00B834E8" w:rsidRDefault="00B834E8" w:rsidP="00B834E8">
            <w:pPr>
              <w:spacing w:line="240" w:lineRule="auto"/>
              <w:jc w:val="center"/>
              <w:rPr>
                <w:sz w:val="20"/>
              </w:rPr>
            </w:pPr>
            <w:r w:rsidRPr="00B834E8">
              <w:rPr>
                <w:sz w:val="20"/>
              </w:rPr>
              <w:t>2.124</w:t>
            </w:r>
          </w:p>
        </w:tc>
      </w:tr>
      <w:tr w:rsidR="00B834E8" w:rsidRPr="00B834E8" w14:paraId="13B37F03" w14:textId="77777777" w:rsidTr="00B834E8">
        <w:tc>
          <w:tcPr>
            <w:tcW w:w="496" w:type="dxa"/>
          </w:tcPr>
          <w:p w14:paraId="0ADFE626" w14:textId="77777777" w:rsidR="00B834E8" w:rsidRPr="00B834E8" w:rsidRDefault="00B834E8" w:rsidP="00B834E8">
            <w:pPr>
              <w:spacing w:line="240" w:lineRule="auto"/>
              <w:rPr>
                <w:sz w:val="20"/>
              </w:rPr>
            </w:pPr>
            <w:r w:rsidRPr="00B834E8">
              <w:rPr>
                <w:sz w:val="20"/>
              </w:rPr>
              <w:t>24</w:t>
            </w:r>
          </w:p>
        </w:tc>
        <w:tc>
          <w:tcPr>
            <w:tcW w:w="1767" w:type="dxa"/>
          </w:tcPr>
          <w:p w14:paraId="4A8CFD8C" w14:textId="77777777" w:rsidR="00B834E8" w:rsidRPr="00B834E8" w:rsidRDefault="00B834E8" w:rsidP="00B834E8">
            <w:pPr>
              <w:spacing w:line="240" w:lineRule="auto"/>
              <w:rPr>
                <w:sz w:val="20"/>
              </w:rPr>
            </w:pPr>
            <w:r w:rsidRPr="00B834E8">
              <w:rPr>
                <w:sz w:val="20"/>
              </w:rPr>
              <w:t>(83) Extremely humid / Warm</w:t>
            </w:r>
          </w:p>
        </w:tc>
        <w:tc>
          <w:tcPr>
            <w:tcW w:w="1185" w:type="dxa"/>
          </w:tcPr>
          <w:p w14:paraId="1DE7B11D" w14:textId="77777777" w:rsidR="00B834E8" w:rsidRPr="00B834E8" w:rsidRDefault="00B834E8" w:rsidP="00B834E8">
            <w:pPr>
              <w:spacing w:line="240" w:lineRule="auto"/>
              <w:jc w:val="center"/>
              <w:rPr>
                <w:sz w:val="20"/>
              </w:rPr>
            </w:pPr>
            <w:r w:rsidRPr="00B834E8">
              <w:rPr>
                <w:sz w:val="20"/>
              </w:rPr>
              <w:t>2003–2024</w:t>
            </w:r>
          </w:p>
        </w:tc>
        <w:tc>
          <w:tcPr>
            <w:tcW w:w="1289" w:type="dxa"/>
          </w:tcPr>
          <w:p w14:paraId="5C82636D" w14:textId="77777777" w:rsidR="00B834E8" w:rsidRPr="00B834E8" w:rsidRDefault="00B834E8" w:rsidP="00B834E8">
            <w:pPr>
              <w:spacing w:line="240" w:lineRule="auto"/>
              <w:jc w:val="center"/>
              <w:rPr>
                <w:sz w:val="20"/>
              </w:rPr>
            </w:pPr>
            <w:r w:rsidRPr="00B834E8">
              <w:rPr>
                <w:sz w:val="20"/>
              </w:rPr>
              <w:t>88</w:t>
            </w:r>
          </w:p>
        </w:tc>
        <w:tc>
          <w:tcPr>
            <w:tcW w:w="1124" w:type="dxa"/>
          </w:tcPr>
          <w:p w14:paraId="112D27CA" w14:textId="77777777" w:rsidR="00B834E8" w:rsidRPr="00B834E8" w:rsidRDefault="00B834E8" w:rsidP="00B834E8">
            <w:pPr>
              <w:spacing w:line="240" w:lineRule="auto"/>
              <w:jc w:val="center"/>
              <w:rPr>
                <w:sz w:val="20"/>
              </w:rPr>
            </w:pPr>
            <w:r w:rsidRPr="00B834E8">
              <w:rPr>
                <w:sz w:val="20"/>
              </w:rPr>
              <w:t>1.99</w:t>
            </w:r>
          </w:p>
        </w:tc>
        <w:tc>
          <w:tcPr>
            <w:tcW w:w="839" w:type="dxa"/>
          </w:tcPr>
          <w:p w14:paraId="0C5C2609" w14:textId="77777777" w:rsidR="00B834E8" w:rsidRPr="00B834E8" w:rsidRDefault="00B834E8" w:rsidP="00B834E8">
            <w:pPr>
              <w:spacing w:line="240" w:lineRule="auto"/>
              <w:jc w:val="center"/>
              <w:rPr>
                <w:sz w:val="20"/>
              </w:rPr>
            </w:pPr>
            <w:r w:rsidRPr="00B834E8">
              <w:rPr>
                <w:sz w:val="20"/>
              </w:rPr>
              <w:t>1.010</w:t>
            </w:r>
          </w:p>
        </w:tc>
        <w:tc>
          <w:tcPr>
            <w:tcW w:w="719" w:type="dxa"/>
          </w:tcPr>
          <w:p w14:paraId="462BDCD8" w14:textId="77777777" w:rsidR="00B834E8" w:rsidRPr="00B834E8" w:rsidRDefault="00B834E8" w:rsidP="00B834E8">
            <w:pPr>
              <w:spacing w:line="240" w:lineRule="auto"/>
              <w:jc w:val="center"/>
              <w:rPr>
                <w:sz w:val="20"/>
              </w:rPr>
            </w:pPr>
            <w:r w:rsidRPr="00B834E8">
              <w:rPr>
                <w:sz w:val="20"/>
              </w:rPr>
              <w:t>0.00</w:t>
            </w:r>
          </w:p>
        </w:tc>
        <w:tc>
          <w:tcPr>
            <w:tcW w:w="977" w:type="dxa"/>
          </w:tcPr>
          <w:p w14:paraId="1BC41F71" w14:textId="77777777" w:rsidR="00B834E8" w:rsidRPr="00B834E8" w:rsidRDefault="00B834E8" w:rsidP="00B834E8">
            <w:pPr>
              <w:spacing w:line="240" w:lineRule="auto"/>
              <w:jc w:val="center"/>
              <w:rPr>
                <w:sz w:val="20"/>
              </w:rPr>
            </w:pPr>
            <w:r w:rsidRPr="00B834E8">
              <w:rPr>
                <w:sz w:val="20"/>
              </w:rPr>
              <w:t>15.32</w:t>
            </w:r>
          </w:p>
        </w:tc>
        <w:tc>
          <w:tcPr>
            <w:tcW w:w="955" w:type="dxa"/>
          </w:tcPr>
          <w:p w14:paraId="4DF6E4C7" w14:textId="77777777" w:rsidR="00B834E8" w:rsidRPr="00B834E8" w:rsidRDefault="00B834E8" w:rsidP="00B834E8">
            <w:pPr>
              <w:spacing w:line="240" w:lineRule="auto"/>
              <w:jc w:val="center"/>
              <w:rPr>
                <w:sz w:val="20"/>
              </w:rPr>
            </w:pPr>
            <w:r w:rsidRPr="00B834E8">
              <w:rPr>
                <w:sz w:val="20"/>
              </w:rPr>
              <w:t>2.548</w:t>
            </w:r>
          </w:p>
        </w:tc>
      </w:tr>
      <w:tr w:rsidR="00B834E8" w:rsidRPr="00B834E8" w14:paraId="6A10E7B1" w14:textId="77777777" w:rsidTr="00B834E8">
        <w:tc>
          <w:tcPr>
            <w:tcW w:w="496" w:type="dxa"/>
            <w:tcBorders>
              <w:bottom w:val="single" w:sz="4" w:space="0" w:color="auto"/>
            </w:tcBorders>
          </w:tcPr>
          <w:p w14:paraId="681C4BF6" w14:textId="77777777" w:rsidR="00B834E8" w:rsidRPr="00B834E8" w:rsidRDefault="00B834E8" w:rsidP="00B834E8">
            <w:pPr>
              <w:spacing w:line="240" w:lineRule="auto"/>
              <w:rPr>
                <w:sz w:val="20"/>
              </w:rPr>
            </w:pPr>
            <w:r w:rsidRPr="00B834E8">
              <w:rPr>
                <w:sz w:val="20"/>
              </w:rPr>
              <w:t>25</w:t>
            </w:r>
          </w:p>
        </w:tc>
        <w:tc>
          <w:tcPr>
            <w:tcW w:w="1767" w:type="dxa"/>
            <w:tcBorders>
              <w:bottom w:val="single" w:sz="4" w:space="0" w:color="auto"/>
            </w:tcBorders>
          </w:tcPr>
          <w:p w14:paraId="209B0D36" w14:textId="77777777" w:rsidR="00B834E8" w:rsidRPr="00B834E8" w:rsidRDefault="00B834E8" w:rsidP="00B834E8">
            <w:pPr>
              <w:spacing w:line="240" w:lineRule="auto"/>
              <w:rPr>
                <w:sz w:val="20"/>
              </w:rPr>
            </w:pPr>
            <w:r w:rsidRPr="00B834E8">
              <w:rPr>
                <w:sz w:val="20"/>
              </w:rPr>
              <w:t>(85) Extremely humid / Hot</w:t>
            </w:r>
          </w:p>
        </w:tc>
        <w:tc>
          <w:tcPr>
            <w:tcW w:w="1185" w:type="dxa"/>
            <w:tcBorders>
              <w:bottom w:val="single" w:sz="4" w:space="0" w:color="auto"/>
            </w:tcBorders>
          </w:tcPr>
          <w:p w14:paraId="77569938" w14:textId="77777777" w:rsidR="00B834E8" w:rsidRPr="00B834E8" w:rsidRDefault="00B834E8" w:rsidP="00B834E8">
            <w:pPr>
              <w:spacing w:line="240" w:lineRule="auto"/>
              <w:jc w:val="center"/>
              <w:rPr>
                <w:sz w:val="20"/>
              </w:rPr>
            </w:pPr>
            <w:r w:rsidRPr="00B834E8">
              <w:rPr>
                <w:sz w:val="20"/>
              </w:rPr>
              <w:t>2003–2024</w:t>
            </w:r>
          </w:p>
        </w:tc>
        <w:tc>
          <w:tcPr>
            <w:tcW w:w="1289" w:type="dxa"/>
            <w:tcBorders>
              <w:bottom w:val="single" w:sz="4" w:space="0" w:color="auto"/>
            </w:tcBorders>
          </w:tcPr>
          <w:p w14:paraId="5040F9EC" w14:textId="77777777" w:rsidR="00B834E8" w:rsidRPr="00B834E8" w:rsidRDefault="00B834E8" w:rsidP="00B834E8">
            <w:pPr>
              <w:spacing w:line="240" w:lineRule="auto"/>
              <w:jc w:val="center"/>
              <w:rPr>
                <w:sz w:val="20"/>
              </w:rPr>
            </w:pPr>
            <w:r w:rsidRPr="00B834E8">
              <w:rPr>
                <w:sz w:val="20"/>
              </w:rPr>
              <w:t>169</w:t>
            </w:r>
          </w:p>
        </w:tc>
        <w:tc>
          <w:tcPr>
            <w:tcW w:w="1124" w:type="dxa"/>
            <w:tcBorders>
              <w:bottom w:val="single" w:sz="4" w:space="0" w:color="auto"/>
            </w:tcBorders>
          </w:tcPr>
          <w:p w14:paraId="67C0A0E2" w14:textId="77777777" w:rsidR="00B834E8" w:rsidRPr="00B834E8" w:rsidRDefault="00B834E8" w:rsidP="00B834E8">
            <w:pPr>
              <w:spacing w:line="240" w:lineRule="auto"/>
              <w:jc w:val="center"/>
              <w:rPr>
                <w:sz w:val="20"/>
              </w:rPr>
            </w:pPr>
            <w:r w:rsidRPr="00B834E8">
              <w:rPr>
                <w:sz w:val="20"/>
              </w:rPr>
              <w:t>3.30</w:t>
            </w:r>
          </w:p>
        </w:tc>
        <w:tc>
          <w:tcPr>
            <w:tcW w:w="839" w:type="dxa"/>
            <w:tcBorders>
              <w:bottom w:val="single" w:sz="4" w:space="0" w:color="auto"/>
            </w:tcBorders>
          </w:tcPr>
          <w:p w14:paraId="63E8E93F" w14:textId="77777777" w:rsidR="00B834E8" w:rsidRPr="00B834E8" w:rsidRDefault="00B834E8" w:rsidP="00B834E8">
            <w:pPr>
              <w:spacing w:line="240" w:lineRule="auto"/>
              <w:jc w:val="center"/>
              <w:rPr>
                <w:sz w:val="20"/>
              </w:rPr>
            </w:pPr>
            <w:r w:rsidRPr="00B834E8">
              <w:rPr>
                <w:sz w:val="20"/>
              </w:rPr>
              <w:t>1.500</w:t>
            </w:r>
          </w:p>
        </w:tc>
        <w:tc>
          <w:tcPr>
            <w:tcW w:w="719" w:type="dxa"/>
            <w:tcBorders>
              <w:bottom w:val="single" w:sz="4" w:space="0" w:color="auto"/>
            </w:tcBorders>
          </w:tcPr>
          <w:p w14:paraId="79490C58" w14:textId="77777777" w:rsidR="00B834E8" w:rsidRPr="00B834E8" w:rsidRDefault="00B834E8" w:rsidP="00B834E8">
            <w:pPr>
              <w:spacing w:line="240" w:lineRule="auto"/>
              <w:jc w:val="center"/>
              <w:rPr>
                <w:sz w:val="20"/>
              </w:rPr>
            </w:pPr>
            <w:r w:rsidRPr="00B834E8">
              <w:rPr>
                <w:sz w:val="20"/>
              </w:rPr>
              <w:t>0.00</w:t>
            </w:r>
          </w:p>
        </w:tc>
        <w:tc>
          <w:tcPr>
            <w:tcW w:w="977" w:type="dxa"/>
            <w:tcBorders>
              <w:bottom w:val="single" w:sz="4" w:space="0" w:color="auto"/>
            </w:tcBorders>
          </w:tcPr>
          <w:p w14:paraId="026B92D8" w14:textId="77777777" w:rsidR="00B834E8" w:rsidRPr="00B834E8" w:rsidRDefault="00B834E8" w:rsidP="00B834E8">
            <w:pPr>
              <w:spacing w:line="240" w:lineRule="auto"/>
              <w:jc w:val="center"/>
              <w:rPr>
                <w:sz w:val="20"/>
              </w:rPr>
            </w:pPr>
            <w:r w:rsidRPr="00B834E8">
              <w:rPr>
                <w:sz w:val="20"/>
              </w:rPr>
              <w:t>183.9</w:t>
            </w:r>
          </w:p>
        </w:tc>
        <w:tc>
          <w:tcPr>
            <w:tcW w:w="955" w:type="dxa"/>
            <w:tcBorders>
              <w:bottom w:val="single" w:sz="4" w:space="0" w:color="auto"/>
            </w:tcBorders>
          </w:tcPr>
          <w:p w14:paraId="73ED1A25" w14:textId="77777777" w:rsidR="00B834E8" w:rsidRPr="00B834E8" w:rsidRDefault="00B834E8" w:rsidP="00B834E8">
            <w:pPr>
              <w:spacing w:line="240" w:lineRule="auto"/>
              <w:jc w:val="center"/>
              <w:rPr>
                <w:sz w:val="20"/>
              </w:rPr>
            </w:pPr>
            <w:r w:rsidRPr="00B834E8">
              <w:rPr>
                <w:sz w:val="20"/>
              </w:rPr>
              <w:t>14.33</w:t>
            </w:r>
          </w:p>
        </w:tc>
      </w:tr>
    </w:tbl>
    <w:p w14:paraId="50D2BD09" w14:textId="77777777" w:rsidR="00B834E8" w:rsidRDefault="00B834E8" w:rsidP="00AA6A30">
      <w:pPr>
        <w:shd w:val="clear" w:color="auto" w:fill="FFFFFF" w:themeFill="background1"/>
        <w:spacing w:line="240" w:lineRule="auto"/>
        <w:rPr>
          <w:b/>
          <w:color w:val="FF0000"/>
          <w:szCs w:val="24"/>
          <w:lang w:val="en"/>
        </w:rPr>
      </w:pPr>
    </w:p>
    <w:p w14:paraId="45A73EFE" w14:textId="77777777" w:rsidR="00D01586" w:rsidRPr="006A32EF" w:rsidRDefault="00D01586" w:rsidP="00660358">
      <w:pPr>
        <w:spacing w:line="240" w:lineRule="auto"/>
        <w:rPr>
          <w:szCs w:val="24"/>
          <w:lang w:eastAsia="ru-RU"/>
        </w:rPr>
      </w:pPr>
      <w:r w:rsidRPr="00660358">
        <w:rPr>
          <w:b/>
          <w:szCs w:val="24"/>
        </w:rPr>
        <w:t>Table 2:</w:t>
      </w:r>
      <w:r w:rsidRPr="00660358">
        <w:rPr>
          <w:b/>
          <w:bCs/>
          <w:szCs w:val="24"/>
        </w:rPr>
        <w:t xml:space="preserve"> </w:t>
      </w:r>
      <w:r w:rsidRPr="00660358">
        <w:rPr>
          <w:bCs/>
          <w:szCs w:val="24"/>
        </w:rPr>
        <w:t xml:space="preserve">Risk zones </w:t>
      </w:r>
      <w:r w:rsidRPr="00660358">
        <w:rPr>
          <w:rStyle w:val="aff"/>
          <w:rFonts w:eastAsiaTheme="majorEastAsia"/>
          <w:b w:val="0"/>
          <w:szCs w:val="24"/>
        </w:rPr>
        <w:t>of reproduction and harmfulness</w:t>
      </w:r>
      <w:r w:rsidRPr="00660358">
        <w:rPr>
          <w:bCs/>
          <w:szCs w:val="24"/>
        </w:rPr>
        <w:t xml:space="preserve"> of non-gregarious locust pests across the agroclimatic zones of Kazakhstan</w:t>
      </w:r>
    </w:p>
    <w:tbl>
      <w:tblPr>
        <w:tblW w:w="9015" w:type="dxa"/>
        <w:tblLook w:val="04A0" w:firstRow="1" w:lastRow="0" w:firstColumn="1" w:lastColumn="0" w:noHBand="0" w:noVBand="1"/>
      </w:tblPr>
      <w:tblGrid>
        <w:gridCol w:w="3402"/>
        <w:gridCol w:w="1276"/>
        <w:gridCol w:w="4337"/>
      </w:tblGrid>
      <w:tr w:rsidR="00660358" w:rsidRPr="00660358" w14:paraId="07747F28" w14:textId="77777777" w:rsidTr="00660358">
        <w:tc>
          <w:tcPr>
            <w:tcW w:w="3402" w:type="dxa"/>
            <w:tcBorders>
              <w:top w:val="single" w:sz="4" w:space="0" w:color="auto"/>
              <w:bottom w:val="single" w:sz="4" w:space="0" w:color="auto"/>
            </w:tcBorders>
          </w:tcPr>
          <w:p w14:paraId="3C286852" w14:textId="77777777" w:rsidR="00D01586" w:rsidRPr="00660358" w:rsidRDefault="00D01586" w:rsidP="00660358">
            <w:pPr>
              <w:spacing w:line="240" w:lineRule="auto"/>
            </w:pPr>
            <w:r w:rsidRPr="00660358">
              <w:t>Risk Level</w:t>
            </w:r>
          </w:p>
        </w:tc>
        <w:tc>
          <w:tcPr>
            <w:tcW w:w="1276" w:type="dxa"/>
            <w:tcBorders>
              <w:top w:val="single" w:sz="4" w:space="0" w:color="auto"/>
              <w:bottom w:val="single" w:sz="4" w:space="0" w:color="auto"/>
            </w:tcBorders>
          </w:tcPr>
          <w:p w14:paraId="7536E7A7" w14:textId="77777777" w:rsidR="00D01586" w:rsidRPr="00660358" w:rsidRDefault="00D01586" w:rsidP="00660358">
            <w:pPr>
              <w:spacing w:line="240" w:lineRule="auto"/>
            </w:pPr>
            <w:r w:rsidRPr="00660358">
              <w:t>Mean Pabs (pcs./m²)</w:t>
            </w:r>
          </w:p>
        </w:tc>
        <w:tc>
          <w:tcPr>
            <w:tcW w:w="4337" w:type="dxa"/>
            <w:tcBorders>
              <w:top w:val="single" w:sz="4" w:space="0" w:color="auto"/>
              <w:bottom w:val="single" w:sz="4" w:space="0" w:color="auto"/>
            </w:tcBorders>
          </w:tcPr>
          <w:p w14:paraId="5661F803" w14:textId="77777777" w:rsidR="00D01586" w:rsidRPr="00660358" w:rsidRDefault="00D01586" w:rsidP="00660358">
            <w:pPr>
              <w:spacing w:line="240" w:lineRule="auto"/>
            </w:pPr>
            <w:r w:rsidRPr="00660358">
              <w:t>Included Agroclimatic Zones</w:t>
            </w:r>
          </w:p>
        </w:tc>
      </w:tr>
      <w:tr w:rsidR="00660358" w:rsidRPr="00660358" w14:paraId="7F9CEA26" w14:textId="77777777" w:rsidTr="00660358">
        <w:tc>
          <w:tcPr>
            <w:tcW w:w="3402" w:type="dxa"/>
            <w:tcBorders>
              <w:top w:val="single" w:sz="4" w:space="0" w:color="auto"/>
            </w:tcBorders>
          </w:tcPr>
          <w:p w14:paraId="1B3EE2DF" w14:textId="77777777" w:rsidR="00D01586" w:rsidRPr="00660358" w:rsidRDefault="00D01586" w:rsidP="00660358">
            <w:pPr>
              <w:spacing w:line="240" w:lineRule="auto"/>
            </w:pPr>
            <w:r w:rsidRPr="00660358">
              <w:t xml:space="preserve">High risk </w:t>
            </w:r>
            <w:r w:rsidRPr="00660358">
              <w:rPr>
                <w:rStyle w:val="aff"/>
                <w:rFonts w:eastAsiaTheme="majorEastAsia"/>
                <w:b w:val="0"/>
                <w:bCs w:val="0"/>
              </w:rPr>
              <w:t>of reproduction and harmfulness</w:t>
            </w:r>
          </w:p>
        </w:tc>
        <w:tc>
          <w:tcPr>
            <w:tcW w:w="1276" w:type="dxa"/>
            <w:tcBorders>
              <w:top w:val="single" w:sz="4" w:space="0" w:color="auto"/>
            </w:tcBorders>
          </w:tcPr>
          <w:p w14:paraId="56924779" w14:textId="77777777" w:rsidR="00D01586" w:rsidRPr="00660358" w:rsidRDefault="00D01586" w:rsidP="00660358">
            <w:pPr>
              <w:spacing w:line="240" w:lineRule="auto"/>
              <w:jc w:val="center"/>
            </w:pPr>
            <w:r w:rsidRPr="00660358">
              <w:t>&gt; 8.0</w:t>
            </w:r>
          </w:p>
        </w:tc>
        <w:tc>
          <w:tcPr>
            <w:tcW w:w="4337" w:type="dxa"/>
            <w:tcBorders>
              <w:top w:val="single" w:sz="4" w:space="0" w:color="auto"/>
            </w:tcBorders>
          </w:tcPr>
          <w:p w14:paraId="44CCCB38" w14:textId="77777777" w:rsidR="00D01586" w:rsidRPr="00660358" w:rsidRDefault="00D01586" w:rsidP="00660358">
            <w:pPr>
              <w:spacing w:line="240" w:lineRule="auto"/>
            </w:pPr>
            <w:r w:rsidRPr="00660358">
              <w:t xml:space="preserve">(23); (42); (75) </w:t>
            </w:r>
          </w:p>
        </w:tc>
      </w:tr>
      <w:tr w:rsidR="00660358" w:rsidRPr="00660358" w14:paraId="0B273B59" w14:textId="77777777" w:rsidTr="00660358">
        <w:tc>
          <w:tcPr>
            <w:tcW w:w="3402" w:type="dxa"/>
          </w:tcPr>
          <w:p w14:paraId="41CFA698" w14:textId="77777777" w:rsidR="00D01586" w:rsidRPr="00660358" w:rsidRDefault="00D01586" w:rsidP="00660358">
            <w:pPr>
              <w:spacing w:line="240" w:lineRule="auto"/>
            </w:pPr>
            <w:r w:rsidRPr="00660358">
              <w:t xml:space="preserve">Moderate risk </w:t>
            </w:r>
            <w:r w:rsidRPr="00660358">
              <w:rPr>
                <w:rStyle w:val="aff"/>
                <w:rFonts w:eastAsiaTheme="majorEastAsia"/>
                <w:b w:val="0"/>
                <w:bCs w:val="0"/>
              </w:rPr>
              <w:t>of reproduction and harmfulness</w:t>
            </w:r>
          </w:p>
        </w:tc>
        <w:tc>
          <w:tcPr>
            <w:tcW w:w="1276" w:type="dxa"/>
          </w:tcPr>
          <w:p w14:paraId="5636F98C" w14:textId="77777777" w:rsidR="00D01586" w:rsidRPr="00660358" w:rsidRDefault="00D01586" w:rsidP="00660358">
            <w:pPr>
              <w:spacing w:line="240" w:lineRule="auto"/>
              <w:jc w:val="center"/>
            </w:pPr>
            <w:r w:rsidRPr="00660358">
              <w:t>2.0 – 8.0</w:t>
            </w:r>
          </w:p>
        </w:tc>
        <w:tc>
          <w:tcPr>
            <w:tcW w:w="4337" w:type="dxa"/>
          </w:tcPr>
          <w:p w14:paraId="16105205" w14:textId="77777777" w:rsidR="00D01586" w:rsidRPr="00660358" w:rsidRDefault="00D01586" w:rsidP="00660358">
            <w:pPr>
              <w:spacing w:line="240" w:lineRule="auto"/>
            </w:pPr>
            <w:r w:rsidRPr="00660358">
              <w:t xml:space="preserve">(15); (22); (25); (41); (44); (85) </w:t>
            </w:r>
          </w:p>
        </w:tc>
      </w:tr>
      <w:tr w:rsidR="00660358" w:rsidRPr="00660358" w14:paraId="2F938635" w14:textId="77777777" w:rsidTr="00660358">
        <w:tc>
          <w:tcPr>
            <w:tcW w:w="3402" w:type="dxa"/>
            <w:tcBorders>
              <w:bottom w:val="single" w:sz="4" w:space="0" w:color="auto"/>
            </w:tcBorders>
          </w:tcPr>
          <w:p w14:paraId="7B1C7B47" w14:textId="77777777" w:rsidR="00D01586" w:rsidRPr="00660358" w:rsidRDefault="00D01586" w:rsidP="00660358">
            <w:pPr>
              <w:spacing w:line="240" w:lineRule="auto"/>
            </w:pPr>
            <w:r w:rsidRPr="00660358">
              <w:t>Low risk</w:t>
            </w:r>
            <w:r w:rsidRPr="00660358">
              <w:rPr>
                <w:rStyle w:val="aff"/>
                <w:rFonts w:eastAsiaTheme="majorEastAsia"/>
                <w:b w:val="0"/>
                <w:bCs w:val="0"/>
              </w:rPr>
              <w:t xml:space="preserve"> of reproduction and harmfulness</w:t>
            </w:r>
          </w:p>
        </w:tc>
        <w:tc>
          <w:tcPr>
            <w:tcW w:w="1276" w:type="dxa"/>
            <w:tcBorders>
              <w:bottom w:val="single" w:sz="4" w:space="0" w:color="auto"/>
            </w:tcBorders>
          </w:tcPr>
          <w:p w14:paraId="0EB24A9B" w14:textId="77777777" w:rsidR="00D01586" w:rsidRPr="00660358" w:rsidRDefault="00D01586" w:rsidP="00660358">
            <w:pPr>
              <w:spacing w:line="240" w:lineRule="auto"/>
              <w:jc w:val="center"/>
            </w:pPr>
            <w:r w:rsidRPr="00660358">
              <w:t>&lt; 2.0</w:t>
            </w:r>
          </w:p>
        </w:tc>
        <w:tc>
          <w:tcPr>
            <w:tcW w:w="4337" w:type="dxa"/>
            <w:tcBorders>
              <w:bottom w:val="single" w:sz="4" w:space="0" w:color="auto"/>
            </w:tcBorders>
          </w:tcPr>
          <w:p w14:paraId="68E4E0DE" w14:textId="77777777" w:rsidR="00D01586" w:rsidRPr="00660358" w:rsidRDefault="00D01586" w:rsidP="00660358">
            <w:pPr>
              <w:spacing w:line="240" w:lineRule="auto"/>
            </w:pPr>
            <w:r w:rsidRPr="00660358">
              <w:t xml:space="preserve">(24); (32); (33); (34); (45); (51); (52); (54); (55); (61); (65); (71); (81); (82); (83) </w:t>
            </w:r>
          </w:p>
        </w:tc>
      </w:tr>
    </w:tbl>
    <w:p w14:paraId="17DFDA83" w14:textId="77777777" w:rsidR="00B834E8" w:rsidRDefault="00B834E8" w:rsidP="00AA6A30">
      <w:pPr>
        <w:shd w:val="clear" w:color="auto" w:fill="FFFFFF" w:themeFill="background1"/>
        <w:spacing w:line="240" w:lineRule="auto"/>
        <w:rPr>
          <w:b/>
          <w:color w:val="FF0000"/>
          <w:szCs w:val="24"/>
          <w:lang w:val="en"/>
        </w:rPr>
      </w:pPr>
    </w:p>
    <w:p w14:paraId="0A7BE72A" w14:textId="4BF1EDAA" w:rsidR="00754A3B" w:rsidRPr="006A32EF" w:rsidRDefault="00754A3B" w:rsidP="00754A3B">
      <w:pPr>
        <w:spacing w:line="240" w:lineRule="auto"/>
        <w:rPr>
          <w:szCs w:val="24"/>
        </w:rPr>
      </w:pPr>
      <w:r w:rsidRPr="00754A3B">
        <w:rPr>
          <w:b/>
          <w:bCs/>
        </w:rPr>
        <w:t>Table 3:</w:t>
      </w:r>
      <w:r w:rsidRPr="00754A3B">
        <w:t xml:space="preserve"> </w:t>
      </w:r>
      <w:r w:rsidRPr="00754A3B">
        <w:rPr>
          <w:szCs w:val="24"/>
        </w:rPr>
        <w:t xml:space="preserve">Principal </w:t>
      </w:r>
      <w:r>
        <w:rPr>
          <w:szCs w:val="24"/>
        </w:rPr>
        <w:t>p</w:t>
      </w:r>
      <w:r w:rsidRPr="00754A3B">
        <w:rPr>
          <w:szCs w:val="24"/>
        </w:rPr>
        <w:t xml:space="preserve">redictors </w:t>
      </w:r>
      <w:r>
        <w:rPr>
          <w:szCs w:val="24"/>
        </w:rPr>
        <w:t>u</w:t>
      </w:r>
      <w:r w:rsidRPr="00754A3B">
        <w:rPr>
          <w:szCs w:val="24"/>
        </w:rPr>
        <w:t xml:space="preserve">sed for </w:t>
      </w:r>
      <w:r>
        <w:rPr>
          <w:szCs w:val="24"/>
        </w:rPr>
        <w:t>m</w:t>
      </w:r>
      <w:r w:rsidRPr="00754A3B">
        <w:rPr>
          <w:szCs w:val="24"/>
        </w:rPr>
        <w:t xml:space="preserve">odelling the </w:t>
      </w:r>
      <w:r>
        <w:rPr>
          <w:szCs w:val="24"/>
        </w:rPr>
        <w:t>f</w:t>
      </w:r>
      <w:r w:rsidRPr="00754A3B">
        <w:rPr>
          <w:szCs w:val="24"/>
        </w:rPr>
        <w:t xml:space="preserve">orecast of </w:t>
      </w:r>
      <w:r>
        <w:rPr>
          <w:szCs w:val="24"/>
        </w:rPr>
        <w:t>p</w:t>
      </w:r>
      <w:r w:rsidRPr="00754A3B">
        <w:rPr>
          <w:szCs w:val="24"/>
        </w:rPr>
        <w:t xml:space="preserve">opulation </w:t>
      </w:r>
      <w:r>
        <w:rPr>
          <w:szCs w:val="24"/>
        </w:rPr>
        <w:t>d</w:t>
      </w:r>
      <w:r w:rsidRPr="00754A3B">
        <w:rPr>
          <w:szCs w:val="24"/>
        </w:rPr>
        <w:t xml:space="preserve">ynamics of </w:t>
      </w:r>
      <w:r>
        <w:rPr>
          <w:szCs w:val="24"/>
        </w:rPr>
        <w:t>h</w:t>
      </w:r>
      <w:r w:rsidRPr="00754A3B">
        <w:rPr>
          <w:szCs w:val="24"/>
        </w:rPr>
        <w:t xml:space="preserve">armful </w:t>
      </w:r>
      <w:r>
        <w:rPr>
          <w:szCs w:val="24"/>
        </w:rPr>
        <w:t>n</w:t>
      </w:r>
      <w:r w:rsidRPr="00754A3B">
        <w:rPr>
          <w:szCs w:val="24"/>
        </w:rPr>
        <w:t>on-</w:t>
      </w:r>
      <w:r>
        <w:rPr>
          <w:szCs w:val="24"/>
        </w:rPr>
        <w:t>g</w:t>
      </w:r>
      <w:r w:rsidRPr="00754A3B">
        <w:rPr>
          <w:szCs w:val="24"/>
        </w:rPr>
        <w:t xml:space="preserve">regarious </w:t>
      </w:r>
      <w:r>
        <w:rPr>
          <w:szCs w:val="24"/>
        </w:rPr>
        <w:t>l</w:t>
      </w:r>
      <w:r w:rsidRPr="00754A3B">
        <w:rPr>
          <w:szCs w:val="24"/>
        </w:rPr>
        <w:t>ocusts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6226"/>
      </w:tblGrid>
      <w:tr w:rsidR="00754A3B" w:rsidRPr="002D09A4" w14:paraId="1414566F" w14:textId="77777777" w:rsidTr="002D09A4">
        <w:tc>
          <w:tcPr>
            <w:tcW w:w="2405" w:type="dxa"/>
            <w:tcBorders>
              <w:top w:val="single" w:sz="4" w:space="0" w:color="auto"/>
              <w:bottom w:val="single" w:sz="4" w:space="0" w:color="auto"/>
            </w:tcBorders>
            <w:vAlign w:val="center"/>
          </w:tcPr>
          <w:p w14:paraId="4E5FFF03" w14:textId="77777777" w:rsidR="00754A3B" w:rsidRPr="002D09A4" w:rsidRDefault="00754A3B" w:rsidP="00754A3B">
            <w:pPr>
              <w:spacing w:line="240" w:lineRule="auto"/>
              <w:jc w:val="center"/>
              <w:rPr>
                <w:color w:val="auto"/>
                <w:lang w:val="kk-KZ"/>
              </w:rPr>
            </w:pPr>
            <w:r w:rsidRPr="002D09A4">
              <w:rPr>
                <w:color w:val="auto"/>
              </w:rPr>
              <w:t>Predictor</w:t>
            </w:r>
          </w:p>
        </w:tc>
        <w:tc>
          <w:tcPr>
            <w:tcW w:w="6610" w:type="dxa"/>
            <w:tcBorders>
              <w:top w:val="single" w:sz="4" w:space="0" w:color="auto"/>
              <w:bottom w:val="single" w:sz="4" w:space="0" w:color="auto"/>
            </w:tcBorders>
            <w:vAlign w:val="center"/>
          </w:tcPr>
          <w:p w14:paraId="53C6FE3D" w14:textId="77777777" w:rsidR="00754A3B" w:rsidRPr="002D09A4" w:rsidRDefault="00754A3B" w:rsidP="00754A3B">
            <w:pPr>
              <w:spacing w:line="240" w:lineRule="auto"/>
              <w:jc w:val="center"/>
              <w:rPr>
                <w:color w:val="auto"/>
                <w:lang w:val="kk-KZ"/>
              </w:rPr>
            </w:pPr>
            <w:r w:rsidRPr="002D09A4">
              <w:rPr>
                <w:color w:val="auto"/>
              </w:rPr>
              <w:t>Description</w:t>
            </w:r>
          </w:p>
        </w:tc>
      </w:tr>
      <w:tr w:rsidR="00754A3B" w:rsidRPr="002D09A4" w14:paraId="439BB1FA" w14:textId="77777777" w:rsidTr="002D09A4">
        <w:tc>
          <w:tcPr>
            <w:tcW w:w="9015" w:type="dxa"/>
            <w:gridSpan w:val="2"/>
            <w:tcBorders>
              <w:top w:val="single" w:sz="4" w:space="0" w:color="auto"/>
              <w:bottom w:val="single" w:sz="4" w:space="0" w:color="auto"/>
            </w:tcBorders>
            <w:vAlign w:val="center"/>
          </w:tcPr>
          <w:p w14:paraId="6B44A5DB" w14:textId="77777777" w:rsidR="00754A3B" w:rsidRPr="002D09A4" w:rsidRDefault="00754A3B" w:rsidP="00754A3B">
            <w:pPr>
              <w:spacing w:line="240" w:lineRule="auto"/>
              <w:jc w:val="center"/>
              <w:rPr>
                <w:i/>
                <w:iCs/>
                <w:color w:val="auto"/>
                <w:lang w:eastAsia="ru-RU"/>
              </w:rPr>
            </w:pPr>
            <w:r w:rsidRPr="002D09A4">
              <w:rPr>
                <w:i/>
                <w:iCs/>
                <w:color w:val="auto"/>
                <w:lang w:eastAsia="ru-RU"/>
              </w:rPr>
              <w:t>Interactions between predictors</w:t>
            </w:r>
          </w:p>
        </w:tc>
      </w:tr>
      <w:tr w:rsidR="00754A3B" w:rsidRPr="002D09A4" w14:paraId="0E999DE2" w14:textId="77777777" w:rsidTr="002D09A4">
        <w:tc>
          <w:tcPr>
            <w:tcW w:w="2405" w:type="dxa"/>
            <w:tcBorders>
              <w:top w:val="single" w:sz="4" w:space="0" w:color="auto"/>
            </w:tcBorders>
            <w:vAlign w:val="center"/>
          </w:tcPr>
          <w:p w14:paraId="4707A18E" w14:textId="77777777" w:rsidR="00754A3B" w:rsidRPr="002D09A4" w:rsidRDefault="00754A3B" w:rsidP="00754A3B">
            <w:pPr>
              <w:pStyle w:val="a"/>
              <w:numPr>
                <w:ilvl w:val="0"/>
                <w:numId w:val="0"/>
              </w:numPr>
              <w:spacing w:after="0" w:line="240" w:lineRule="auto"/>
              <w:contextualSpacing w:val="0"/>
              <w:rPr>
                <w:szCs w:val="20"/>
              </w:rPr>
            </w:pPr>
            <w:proofErr w:type="spellStart"/>
            <w:r w:rsidRPr="002D09A4">
              <w:rPr>
                <w:szCs w:val="20"/>
              </w:rPr>
              <w:t>TempMoisture</w:t>
            </w:r>
            <w:proofErr w:type="spellEnd"/>
            <w:r w:rsidRPr="002D09A4">
              <w:rPr>
                <w:szCs w:val="20"/>
                <w:lang w:val="ru-RU"/>
              </w:rPr>
              <w:t>_</w:t>
            </w:r>
            <w:r w:rsidRPr="002D09A4">
              <w:rPr>
                <w:szCs w:val="20"/>
              </w:rPr>
              <w:t>interaction</w:t>
            </w:r>
          </w:p>
        </w:tc>
        <w:tc>
          <w:tcPr>
            <w:tcW w:w="6610" w:type="dxa"/>
            <w:tcBorders>
              <w:top w:val="single" w:sz="4" w:space="0" w:color="auto"/>
            </w:tcBorders>
            <w:vAlign w:val="center"/>
          </w:tcPr>
          <w:p w14:paraId="0ACDA758" w14:textId="77777777" w:rsidR="00754A3B" w:rsidRPr="002D09A4" w:rsidRDefault="00754A3B" w:rsidP="00754A3B">
            <w:pPr>
              <w:pStyle w:val="a"/>
              <w:numPr>
                <w:ilvl w:val="0"/>
                <w:numId w:val="0"/>
              </w:numPr>
              <w:spacing w:after="0" w:line="240" w:lineRule="auto"/>
              <w:contextualSpacing w:val="0"/>
              <w:rPr>
                <w:szCs w:val="20"/>
              </w:rPr>
            </w:pPr>
            <w:r w:rsidRPr="002D09A4">
              <w:rPr>
                <w:szCs w:val="20"/>
              </w:rPr>
              <w:t>Product of air temperature and soil moisture — reflects the combined influence of thermal and moisture conditions</w:t>
            </w:r>
          </w:p>
        </w:tc>
      </w:tr>
      <w:tr w:rsidR="00754A3B" w:rsidRPr="002D09A4" w14:paraId="7DD49D98" w14:textId="77777777" w:rsidTr="002D09A4">
        <w:tc>
          <w:tcPr>
            <w:tcW w:w="2405" w:type="dxa"/>
            <w:vAlign w:val="center"/>
          </w:tcPr>
          <w:p w14:paraId="364AA272" w14:textId="77777777" w:rsidR="00754A3B" w:rsidRPr="002D09A4" w:rsidRDefault="00754A3B" w:rsidP="00754A3B">
            <w:pPr>
              <w:spacing w:line="240" w:lineRule="auto"/>
              <w:rPr>
                <w:color w:val="auto"/>
              </w:rPr>
            </w:pPr>
            <w:r w:rsidRPr="002D09A4">
              <w:rPr>
                <w:color w:val="auto"/>
              </w:rPr>
              <w:t>PrecipSPI_interaction</w:t>
            </w:r>
          </w:p>
        </w:tc>
        <w:tc>
          <w:tcPr>
            <w:tcW w:w="6610" w:type="dxa"/>
            <w:vAlign w:val="center"/>
          </w:tcPr>
          <w:p w14:paraId="6846C3DB" w14:textId="77777777" w:rsidR="00754A3B" w:rsidRPr="002D09A4" w:rsidRDefault="00754A3B" w:rsidP="00754A3B">
            <w:pPr>
              <w:spacing w:line="240" w:lineRule="auto"/>
              <w:rPr>
                <w:color w:val="auto"/>
                <w:lang w:eastAsia="ru-RU"/>
              </w:rPr>
            </w:pPr>
            <w:r w:rsidRPr="002D09A4">
              <w:rPr>
                <w:color w:val="auto"/>
                <w:lang w:eastAsia="ru-RU"/>
              </w:rPr>
              <w:t>Product of precipitation and the Standardised Precipitation Index — amplifies the signal of precipitation influence</w:t>
            </w:r>
          </w:p>
        </w:tc>
      </w:tr>
      <w:tr w:rsidR="00754A3B" w:rsidRPr="002D09A4" w14:paraId="407E1111" w14:textId="77777777" w:rsidTr="002D09A4">
        <w:tc>
          <w:tcPr>
            <w:tcW w:w="2405" w:type="dxa"/>
            <w:tcBorders>
              <w:bottom w:val="single" w:sz="4" w:space="0" w:color="auto"/>
            </w:tcBorders>
            <w:vAlign w:val="center"/>
          </w:tcPr>
          <w:p w14:paraId="60AEC5C8" w14:textId="77777777" w:rsidR="00754A3B" w:rsidRPr="002D09A4" w:rsidRDefault="00754A3B" w:rsidP="00754A3B">
            <w:pPr>
              <w:spacing w:line="240" w:lineRule="auto"/>
              <w:rPr>
                <w:color w:val="auto"/>
              </w:rPr>
            </w:pPr>
            <w:r w:rsidRPr="002D09A4">
              <w:rPr>
                <w:color w:val="auto"/>
              </w:rPr>
              <w:t>LSTEvap_interaction</w:t>
            </w:r>
          </w:p>
        </w:tc>
        <w:tc>
          <w:tcPr>
            <w:tcW w:w="6610" w:type="dxa"/>
            <w:tcBorders>
              <w:bottom w:val="single" w:sz="4" w:space="0" w:color="auto"/>
            </w:tcBorders>
            <w:vAlign w:val="center"/>
          </w:tcPr>
          <w:p w14:paraId="2BE66359" w14:textId="77777777" w:rsidR="00754A3B" w:rsidRPr="002D09A4" w:rsidRDefault="00754A3B" w:rsidP="00754A3B">
            <w:pPr>
              <w:spacing w:line="240" w:lineRule="auto"/>
              <w:rPr>
                <w:color w:val="auto"/>
              </w:rPr>
            </w:pPr>
            <w:r w:rsidRPr="002D09A4">
              <w:rPr>
                <w:color w:val="auto"/>
              </w:rPr>
              <w:t>Interaction between land surface temperature and evaporation — characterises the surface energy balance</w:t>
            </w:r>
          </w:p>
        </w:tc>
      </w:tr>
      <w:tr w:rsidR="00754A3B" w:rsidRPr="002D09A4" w14:paraId="1E7CC4AD" w14:textId="77777777" w:rsidTr="002D09A4">
        <w:tc>
          <w:tcPr>
            <w:tcW w:w="9015" w:type="dxa"/>
            <w:gridSpan w:val="2"/>
            <w:tcBorders>
              <w:top w:val="single" w:sz="4" w:space="0" w:color="auto"/>
              <w:bottom w:val="single" w:sz="4" w:space="0" w:color="auto"/>
            </w:tcBorders>
            <w:vAlign w:val="center"/>
          </w:tcPr>
          <w:p w14:paraId="3F619ACF" w14:textId="77777777" w:rsidR="00754A3B" w:rsidRPr="002D09A4" w:rsidRDefault="00754A3B" w:rsidP="00754A3B">
            <w:pPr>
              <w:pStyle w:val="2"/>
              <w:spacing w:before="0" w:line="240" w:lineRule="auto"/>
              <w:jc w:val="center"/>
              <w:rPr>
                <w:rFonts w:ascii="Times New Roman" w:hAnsi="Times New Roman" w:cs="Times New Roman"/>
                <w:bCs/>
                <w:i/>
                <w:iCs/>
                <w:color w:val="auto"/>
                <w:sz w:val="24"/>
                <w:szCs w:val="20"/>
              </w:rPr>
            </w:pPr>
            <w:r w:rsidRPr="002D09A4">
              <w:rPr>
                <w:rFonts w:ascii="Times New Roman" w:hAnsi="Times New Roman" w:cs="Times New Roman"/>
                <w:bCs/>
                <w:i/>
                <w:iCs/>
                <w:color w:val="auto"/>
                <w:sz w:val="24"/>
                <w:szCs w:val="20"/>
              </w:rPr>
              <w:t>Polynomial features</w:t>
            </w:r>
          </w:p>
        </w:tc>
      </w:tr>
      <w:tr w:rsidR="00754A3B" w:rsidRPr="002D09A4" w14:paraId="14FB6F58" w14:textId="77777777" w:rsidTr="002D09A4">
        <w:tc>
          <w:tcPr>
            <w:tcW w:w="2405" w:type="dxa"/>
            <w:tcBorders>
              <w:top w:val="single" w:sz="4" w:space="0" w:color="auto"/>
            </w:tcBorders>
            <w:vAlign w:val="center"/>
          </w:tcPr>
          <w:p w14:paraId="3391F3A5" w14:textId="77777777" w:rsidR="00754A3B" w:rsidRPr="002D09A4" w:rsidRDefault="00754A3B" w:rsidP="00754A3B">
            <w:pPr>
              <w:spacing w:line="240" w:lineRule="auto"/>
              <w:rPr>
                <w:color w:val="auto"/>
              </w:rPr>
            </w:pPr>
            <w:r w:rsidRPr="002D09A4">
              <w:rPr>
                <w:color w:val="auto"/>
              </w:rPr>
              <w:t>AirTemp_squared, Precipitation_squared, SoilMoisture_squared</w:t>
            </w:r>
          </w:p>
        </w:tc>
        <w:tc>
          <w:tcPr>
            <w:tcW w:w="6610" w:type="dxa"/>
            <w:tcBorders>
              <w:top w:val="single" w:sz="4" w:space="0" w:color="auto"/>
            </w:tcBorders>
            <w:vAlign w:val="center"/>
          </w:tcPr>
          <w:p w14:paraId="013CCFC5" w14:textId="77777777" w:rsidR="00754A3B" w:rsidRPr="002D09A4" w:rsidRDefault="00754A3B" w:rsidP="00754A3B">
            <w:pPr>
              <w:spacing w:line="240" w:lineRule="auto"/>
              <w:rPr>
                <w:color w:val="auto"/>
              </w:rPr>
            </w:pPr>
            <w:r w:rsidRPr="002D09A4">
              <w:rPr>
                <w:color w:val="auto"/>
              </w:rPr>
              <w:t>Squares of key variables to account for non-linear effects</w:t>
            </w:r>
          </w:p>
        </w:tc>
      </w:tr>
      <w:tr w:rsidR="00754A3B" w:rsidRPr="002D09A4" w14:paraId="354FBF34" w14:textId="77777777" w:rsidTr="002D09A4">
        <w:tc>
          <w:tcPr>
            <w:tcW w:w="9015" w:type="dxa"/>
            <w:gridSpan w:val="2"/>
            <w:vAlign w:val="center"/>
          </w:tcPr>
          <w:p w14:paraId="0CEB2DFB" w14:textId="77777777" w:rsidR="00754A3B" w:rsidRPr="002D09A4" w:rsidRDefault="00754A3B" w:rsidP="00754A3B">
            <w:pPr>
              <w:spacing w:line="240" w:lineRule="auto"/>
              <w:jc w:val="center"/>
              <w:rPr>
                <w:i/>
                <w:iCs/>
                <w:color w:val="auto"/>
                <w:lang w:eastAsia="ru-RU"/>
              </w:rPr>
            </w:pPr>
            <w:r w:rsidRPr="002D09A4">
              <w:rPr>
                <w:i/>
                <w:iCs/>
                <w:color w:val="auto"/>
                <w:lang w:eastAsia="ru-RU"/>
              </w:rPr>
              <w:t>Aridity and humidity indices</w:t>
            </w:r>
          </w:p>
        </w:tc>
      </w:tr>
      <w:tr w:rsidR="00754A3B" w:rsidRPr="002D09A4" w14:paraId="53C6A63C" w14:textId="77777777" w:rsidTr="002D09A4">
        <w:tc>
          <w:tcPr>
            <w:tcW w:w="2405" w:type="dxa"/>
            <w:vAlign w:val="center"/>
          </w:tcPr>
          <w:p w14:paraId="4F66F4E2" w14:textId="77777777" w:rsidR="00754A3B" w:rsidRPr="002D09A4" w:rsidRDefault="00754A3B" w:rsidP="00754A3B">
            <w:pPr>
              <w:spacing w:line="240" w:lineRule="auto"/>
              <w:rPr>
                <w:color w:val="auto"/>
              </w:rPr>
            </w:pPr>
            <w:r w:rsidRPr="002D09A4">
              <w:rPr>
                <w:color w:val="auto"/>
              </w:rPr>
              <w:t>Aridity_Index</w:t>
            </w:r>
          </w:p>
        </w:tc>
        <w:tc>
          <w:tcPr>
            <w:tcW w:w="6610" w:type="dxa"/>
            <w:vAlign w:val="center"/>
          </w:tcPr>
          <w:p w14:paraId="3BCD7322" w14:textId="77777777" w:rsidR="00754A3B" w:rsidRPr="002D09A4" w:rsidRDefault="00754A3B" w:rsidP="00754A3B">
            <w:pPr>
              <w:pStyle w:val="a"/>
              <w:numPr>
                <w:ilvl w:val="0"/>
                <w:numId w:val="0"/>
              </w:numPr>
              <w:spacing w:after="0" w:line="240" w:lineRule="auto"/>
              <w:contextualSpacing w:val="0"/>
              <w:rPr>
                <w:szCs w:val="20"/>
              </w:rPr>
            </w:pPr>
            <w:r w:rsidRPr="002D09A4">
              <w:rPr>
                <w:szCs w:val="20"/>
              </w:rPr>
              <w:t>Ratio of evaporation to precipitation — an indicator of territorial aridity</w:t>
            </w:r>
          </w:p>
        </w:tc>
      </w:tr>
      <w:tr w:rsidR="00754A3B" w:rsidRPr="002D09A4" w14:paraId="66B4DE41" w14:textId="77777777" w:rsidTr="002D09A4">
        <w:tc>
          <w:tcPr>
            <w:tcW w:w="2405" w:type="dxa"/>
            <w:tcBorders>
              <w:bottom w:val="single" w:sz="4" w:space="0" w:color="auto"/>
            </w:tcBorders>
            <w:vAlign w:val="center"/>
          </w:tcPr>
          <w:p w14:paraId="06E41F32" w14:textId="77777777" w:rsidR="00754A3B" w:rsidRPr="002D09A4" w:rsidRDefault="00754A3B" w:rsidP="00754A3B">
            <w:pPr>
              <w:spacing w:line="240" w:lineRule="auto"/>
              <w:rPr>
                <w:color w:val="auto"/>
              </w:rPr>
            </w:pPr>
            <w:r w:rsidRPr="002D09A4">
              <w:rPr>
                <w:color w:val="auto"/>
              </w:rPr>
              <w:t>Moisture_Index</w:t>
            </w:r>
          </w:p>
        </w:tc>
        <w:tc>
          <w:tcPr>
            <w:tcW w:w="6610" w:type="dxa"/>
            <w:tcBorders>
              <w:bottom w:val="single" w:sz="4" w:space="0" w:color="auto"/>
            </w:tcBorders>
            <w:vAlign w:val="center"/>
          </w:tcPr>
          <w:p w14:paraId="788D7B01" w14:textId="77777777" w:rsidR="00754A3B" w:rsidRPr="002D09A4" w:rsidRDefault="00754A3B" w:rsidP="00754A3B">
            <w:pPr>
              <w:spacing w:line="240" w:lineRule="auto"/>
              <w:rPr>
                <w:color w:val="auto"/>
                <w:lang w:eastAsia="ru-RU"/>
              </w:rPr>
            </w:pPr>
            <w:r w:rsidRPr="002D09A4">
              <w:rPr>
                <w:color w:val="auto"/>
                <w:lang w:eastAsia="ru-RU"/>
              </w:rPr>
              <w:t>Inverse index — an indicator of moisture availability</w:t>
            </w:r>
          </w:p>
        </w:tc>
      </w:tr>
      <w:tr w:rsidR="00754A3B" w:rsidRPr="002D09A4" w14:paraId="1F9623E9" w14:textId="77777777" w:rsidTr="002D09A4">
        <w:tc>
          <w:tcPr>
            <w:tcW w:w="9015" w:type="dxa"/>
            <w:gridSpan w:val="2"/>
            <w:tcBorders>
              <w:top w:val="single" w:sz="4" w:space="0" w:color="auto"/>
              <w:bottom w:val="single" w:sz="4" w:space="0" w:color="auto"/>
            </w:tcBorders>
            <w:vAlign w:val="center"/>
          </w:tcPr>
          <w:p w14:paraId="43BF5E6C" w14:textId="77777777" w:rsidR="00754A3B" w:rsidRPr="002D09A4" w:rsidRDefault="00754A3B" w:rsidP="00754A3B">
            <w:pPr>
              <w:pStyle w:val="2"/>
              <w:spacing w:before="0" w:line="240" w:lineRule="auto"/>
              <w:jc w:val="center"/>
              <w:rPr>
                <w:rFonts w:ascii="Times New Roman" w:hAnsi="Times New Roman" w:cs="Times New Roman"/>
                <w:bCs/>
                <w:i/>
                <w:iCs/>
                <w:color w:val="auto"/>
                <w:sz w:val="24"/>
                <w:szCs w:val="20"/>
              </w:rPr>
            </w:pPr>
            <w:r w:rsidRPr="002D09A4">
              <w:rPr>
                <w:rFonts w:ascii="Times New Roman" w:hAnsi="Times New Roman" w:cs="Times New Roman"/>
                <w:bCs/>
                <w:i/>
                <w:iCs/>
                <w:color w:val="auto"/>
                <w:sz w:val="24"/>
                <w:szCs w:val="20"/>
              </w:rPr>
              <w:t>Temperature indices</w:t>
            </w:r>
          </w:p>
        </w:tc>
      </w:tr>
      <w:tr w:rsidR="00754A3B" w:rsidRPr="002D09A4" w14:paraId="0E2150C3" w14:textId="77777777" w:rsidTr="002D09A4">
        <w:tc>
          <w:tcPr>
            <w:tcW w:w="2405" w:type="dxa"/>
            <w:tcBorders>
              <w:top w:val="single" w:sz="4" w:space="0" w:color="auto"/>
            </w:tcBorders>
            <w:vAlign w:val="center"/>
          </w:tcPr>
          <w:p w14:paraId="5DEC70D8" w14:textId="77777777" w:rsidR="00754A3B" w:rsidRPr="002D09A4" w:rsidRDefault="00754A3B" w:rsidP="00754A3B">
            <w:pPr>
              <w:spacing w:line="240" w:lineRule="auto"/>
              <w:rPr>
                <w:color w:val="auto"/>
              </w:rPr>
            </w:pPr>
            <w:r w:rsidRPr="002D09A4">
              <w:rPr>
                <w:color w:val="auto"/>
              </w:rPr>
              <w:t>Heat_Stress_Index</w:t>
            </w:r>
          </w:p>
        </w:tc>
        <w:tc>
          <w:tcPr>
            <w:tcW w:w="6610" w:type="dxa"/>
            <w:tcBorders>
              <w:top w:val="single" w:sz="4" w:space="0" w:color="auto"/>
            </w:tcBorders>
            <w:vAlign w:val="center"/>
          </w:tcPr>
          <w:p w14:paraId="52B1E815" w14:textId="77777777" w:rsidR="00754A3B" w:rsidRPr="002D09A4" w:rsidRDefault="00754A3B" w:rsidP="00754A3B">
            <w:pPr>
              <w:pStyle w:val="a"/>
              <w:numPr>
                <w:ilvl w:val="0"/>
                <w:numId w:val="0"/>
              </w:numPr>
              <w:spacing w:after="0" w:line="240" w:lineRule="auto"/>
              <w:contextualSpacing w:val="0"/>
              <w:rPr>
                <w:szCs w:val="20"/>
              </w:rPr>
            </w:pPr>
            <w:r w:rsidRPr="002D09A4">
              <w:rPr>
                <w:szCs w:val="20"/>
              </w:rPr>
              <w:t>Mean value between land surface temperature (LST) and air temperature — an integrated indicator of thermal stress</w:t>
            </w:r>
          </w:p>
        </w:tc>
      </w:tr>
      <w:tr w:rsidR="00754A3B" w:rsidRPr="002D09A4" w14:paraId="3D883A16" w14:textId="77777777" w:rsidTr="002D09A4">
        <w:tc>
          <w:tcPr>
            <w:tcW w:w="2405" w:type="dxa"/>
            <w:tcBorders>
              <w:bottom w:val="single" w:sz="4" w:space="0" w:color="auto"/>
            </w:tcBorders>
            <w:vAlign w:val="center"/>
          </w:tcPr>
          <w:p w14:paraId="2F24083B" w14:textId="77777777" w:rsidR="00754A3B" w:rsidRPr="002D09A4" w:rsidRDefault="00754A3B" w:rsidP="00754A3B">
            <w:pPr>
              <w:spacing w:line="240" w:lineRule="auto"/>
              <w:rPr>
                <w:color w:val="auto"/>
              </w:rPr>
            </w:pPr>
            <w:r w:rsidRPr="002D09A4">
              <w:rPr>
                <w:color w:val="auto"/>
              </w:rPr>
              <w:t>Temp_Amplitude</w:t>
            </w:r>
          </w:p>
        </w:tc>
        <w:tc>
          <w:tcPr>
            <w:tcW w:w="6610" w:type="dxa"/>
            <w:tcBorders>
              <w:bottom w:val="single" w:sz="4" w:space="0" w:color="auto"/>
            </w:tcBorders>
            <w:vAlign w:val="center"/>
          </w:tcPr>
          <w:p w14:paraId="145C8C8A" w14:textId="77777777" w:rsidR="00754A3B" w:rsidRPr="002D09A4" w:rsidRDefault="00754A3B" w:rsidP="00754A3B">
            <w:pPr>
              <w:pStyle w:val="a"/>
              <w:numPr>
                <w:ilvl w:val="0"/>
                <w:numId w:val="0"/>
              </w:numPr>
              <w:spacing w:after="0" w:line="240" w:lineRule="auto"/>
              <w:contextualSpacing w:val="0"/>
              <w:rPr>
                <w:szCs w:val="20"/>
              </w:rPr>
            </w:pPr>
            <w:r w:rsidRPr="002D09A4">
              <w:rPr>
                <w:szCs w:val="20"/>
              </w:rPr>
              <w:t xml:space="preserve">Difference between land surface temperature (LST) and air temperature — </w:t>
            </w:r>
            <w:proofErr w:type="spellStart"/>
            <w:r w:rsidRPr="002D09A4">
              <w:rPr>
                <w:szCs w:val="20"/>
              </w:rPr>
              <w:t>characterises</w:t>
            </w:r>
            <w:proofErr w:type="spellEnd"/>
            <w:r w:rsidRPr="002D09A4">
              <w:rPr>
                <w:szCs w:val="20"/>
              </w:rPr>
              <w:t xml:space="preserve"> thermal contrasts</w:t>
            </w:r>
          </w:p>
        </w:tc>
      </w:tr>
      <w:tr w:rsidR="00754A3B" w:rsidRPr="002D09A4" w14:paraId="7FBFA77E" w14:textId="77777777" w:rsidTr="002D09A4">
        <w:tc>
          <w:tcPr>
            <w:tcW w:w="9015" w:type="dxa"/>
            <w:gridSpan w:val="2"/>
            <w:tcBorders>
              <w:top w:val="single" w:sz="4" w:space="0" w:color="auto"/>
              <w:bottom w:val="single" w:sz="4" w:space="0" w:color="auto"/>
            </w:tcBorders>
            <w:vAlign w:val="center"/>
          </w:tcPr>
          <w:p w14:paraId="2E29416C" w14:textId="77777777" w:rsidR="00754A3B" w:rsidRPr="002D09A4" w:rsidRDefault="00754A3B" w:rsidP="00754A3B">
            <w:pPr>
              <w:pStyle w:val="2"/>
              <w:spacing w:before="0" w:line="240" w:lineRule="auto"/>
              <w:jc w:val="center"/>
              <w:rPr>
                <w:rFonts w:ascii="Times New Roman" w:hAnsi="Times New Roman" w:cs="Times New Roman"/>
                <w:bCs/>
                <w:i/>
                <w:iCs/>
                <w:color w:val="auto"/>
                <w:sz w:val="24"/>
                <w:szCs w:val="20"/>
              </w:rPr>
            </w:pPr>
            <w:r w:rsidRPr="002D09A4">
              <w:rPr>
                <w:rFonts w:ascii="Times New Roman" w:hAnsi="Times New Roman" w:cs="Times New Roman"/>
                <w:bCs/>
                <w:i/>
                <w:iCs/>
                <w:color w:val="auto"/>
                <w:sz w:val="24"/>
                <w:szCs w:val="20"/>
              </w:rPr>
              <w:lastRenderedPageBreak/>
              <w:t>Energy balance</w:t>
            </w:r>
          </w:p>
        </w:tc>
      </w:tr>
      <w:tr w:rsidR="00754A3B" w:rsidRPr="002D09A4" w14:paraId="130025C6" w14:textId="77777777" w:rsidTr="002D09A4">
        <w:tc>
          <w:tcPr>
            <w:tcW w:w="2405" w:type="dxa"/>
            <w:tcBorders>
              <w:top w:val="single" w:sz="4" w:space="0" w:color="auto"/>
              <w:bottom w:val="single" w:sz="4" w:space="0" w:color="auto"/>
            </w:tcBorders>
            <w:vAlign w:val="center"/>
          </w:tcPr>
          <w:p w14:paraId="7689961D" w14:textId="77777777" w:rsidR="00754A3B" w:rsidRPr="002D09A4" w:rsidRDefault="00754A3B" w:rsidP="00754A3B">
            <w:pPr>
              <w:spacing w:line="240" w:lineRule="auto"/>
              <w:rPr>
                <w:color w:val="auto"/>
              </w:rPr>
            </w:pPr>
            <w:r w:rsidRPr="002D09A4">
              <w:rPr>
                <w:color w:val="auto"/>
              </w:rPr>
              <w:t>Energy_Balance</w:t>
            </w:r>
          </w:p>
        </w:tc>
        <w:tc>
          <w:tcPr>
            <w:tcW w:w="6610" w:type="dxa"/>
            <w:tcBorders>
              <w:top w:val="single" w:sz="4" w:space="0" w:color="auto"/>
              <w:bottom w:val="single" w:sz="4" w:space="0" w:color="auto"/>
            </w:tcBorders>
            <w:vAlign w:val="center"/>
          </w:tcPr>
          <w:p w14:paraId="1750D4CB" w14:textId="77777777" w:rsidR="00754A3B" w:rsidRPr="002D09A4" w:rsidRDefault="00754A3B" w:rsidP="00754A3B">
            <w:pPr>
              <w:spacing w:line="240" w:lineRule="auto"/>
              <w:rPr>
                <w:color w:val="auto"/>
              </w:rPr>
            </w:pPr>
            <w:r w:rsidRPr="002D09A4">
              <w:rPr>
                <w:color w:val="auto"/>
              </w:rPr>
              <w:t>Difference between solar radiation and evaporation — reflects the availability of energy for the ecosystem</w:t>
            </w:r>
          </w:p>
        </w:tc>
      </w:tr>
      <w:tr w:rsidR="00754A3B" w:rsidRPr="002D09A4" w14:paraId="64D259E9" w14:textId="77777777" w:rsidTr="002D09A4">
        <w:tc>
          <w:tcPr>
            <w:tcW w:w="9015" w:type="dxa"/>
            <w:gridSpan w:val="2"/>
            <w:tcBorders>
              <w:top w:val="single" w:sz="4" w:space="0" w:color="auto"/>
              <w:bottom w:val="single" w:sz="4" w:space="0" w:color="auto"/>
            </w:tcBorders>
            <w:vAlign w:val="center"/>
          </w:tcPr>
          <w:p w14:paraId="07B5CEFC" w14:textId="77777777" w:rsidR="00754A3B" w:rsidRPr="002D09A4" w:rsidRDefault="00754A3B" w:rsidP="00754A3B">
            <w:pPr>
              <w:pStyle w:val="2"/>
              <w:spacing w:before="0" w:line="240" w:lineRule="auto"/>
              <w:jc w:val="center"/>
              <w:rPr>
                <w:rFonts w:ascii="Times New Roman" w:hAnsi="Times New Roman" w:cs="Times New Roman"/>
                <w:bCs/>
                <w:i/>
                <w:iCs/>
                <w:color w:val="auto"/>
                <w:sz w:val="24"/>
                <w:szCs w:val="20"/>
                <w:lang w:val="kk-KZ"/>
              </w:rPr>
            </w:pPr>
            <w:r w:rsidRPr="002D09A4">
              <w:rPr>
                <w:rFonts w:ascii="Times New Roman" w:hAnsi="Times New Roman" w:cs="Times New Roman"/>
                <w:bCs/>
                <w:i/>
                <w:iCs/>
                <w:color w:val="auto"/>
                <w:sz w:val="24"/>
                <w:szCs w:val="20"/>
              </w:rPr>
              <w:t>Temporal characteristics</w:t>
            </w:r>
          </w:p>
        </w:tc>
      </w:tr>
      <w:tr w:rsidR="00754A3B" w:rsidRPr="002D09A4" w14:paraId="15AD4FAC" w14:textId="77777777" w:rsidTr="002D09A4">
        <w:tc>
          <w:tcPr>
            <w:tcW w:w="2405" w:type="dxa"/>
            <w:tcBorders>
              <w:top w:val="single" w:sz="4" w:space="0" w:color="auto"/>
            </w:tcBorders>
            <w:vAlign w:val="center"/>
          </w:tcPr>
          <w:p w14:paraId="74D01A9B" w14:textId="77777777" w:rsidR="00754A3B" w:rsidRPr="002D09A4" w:rsidRDefault="00754A3B" w:rsidP="00754A3B">
            <w:pPr>
              <w:spacing w:line="240" w:lineRule="auto"/>
              <w:rPr>
                <w:color w:val="auto"/>
              </w:rPr>
            </w:pPr>
            <w:r w:rsidRPr="002D09A4">
              <w:rPr>
                <w:color w:val="auto"/>
              </w:rPr>
              <w:t>Season_numeric</w:t>
            </w:r>
          </w:p>
        </w:tc>
        <w:tc>
          <w:tcPr>
            <w:tcW w:w="6610" w:type="dxa"/>
            <w:tcBorders>
              <w:top w:val="single" w:sz="4" w:space="0" w:color="auto"/>
            </w:tcBorders>
            <w:vAlign w:val="center"/>
          </w:tcPr>
          <w:p w14:paraId="6E9999C7" w14:textId="77777777" w:rsidR="00754A3B" w:rsidRPr="002D09A4" w:rsidRDefault="00754A3B" w:rsidP="00754A3B">
            <w:pPr>
              <w:pStyle w:val="a"/>
              <w:numPr>
                <w:ilvl w:val="0"/>
                <w:numId w:val="0"/>
              </w:numPr>
              <w:spacing w:after="0" w:line="240" w:lineRule="auto"/>
              <w:contextualSpacing w:val="0"/>
              <w:rPr>
                <w:szCs w:val="20"/>
              </w:rPr>
            </w:pPr>
            <w:r w:rsidRPr="002D09A4">
              <w:rPr>
                <w:szCs w:val="20"/>
              </w:rPr>
              <w:t>Numerical representation of the season (spring = 1, summer = 2, spring–summer = 1.5).</w:t>
            </w:r>
          </w:p>
        </w:tc>
      </w:tr>
      <w:tr w:rsidR="00754A3B" w:rsidRPr="002D09A4" w14:paraId="5293427E" w14:textId="77777777" w:rsidTr="002D09A4">
        <w:tc>
          <w:tcPr>
            <w:tcW w:w="2405" w:type="dxa"/>
            <w:vAlign w:val="center"/>
          </w:tcPr>
          <w:p w14:paraId="34D62E03" w14:textId="77777777" w:rsidR="00754A3B" w:rsidRPr="002D09A4" w:rsidRDefault="00754A3B" w:rsidP="00754A3B">
            <w:pPr>
              <w:spacing w:line="240" w:lineRule="auto"/>
              <w:rPr>
                <w:color w:val="auto"/>
              </w:rPr>
            </w:pPr>
            <w:r w:rsidRPr="002D09A4">
              <w:rPr>
                <w:color w:val="auto"/>
              </w:rPr>
              <w:t>Prev_quantity, Prev_precipitation, Prev_temperature</w:t>
            </w:r>
          </w:p>
        </w:tc>
        <w:tc>
          <w:tcPr>
            <w:tcW w:w="6610" w:type="dxa"/>
            <w:vAlign w:val="center"/>
          </w:tcPr>
          <w:p w14:paraId="17AFE93B" w14:textId="77777777" w:rsidR="00754A3B" w:rsidRPr="002D09A4" w:rsidRDefault="00754A3B" w:rsidP="00754A3B">
            <w:pPr>
              <w:spacing w:line="240" w:lineRule="auto"/>
              <w:rPr>
                <w:color w:val="auto"/>
              </w:rPr>
            </w:pPr>
            <w:r w:rsidRPr="002D09A4">
              <w:rPr>
                <w:color w:val="auto"/>
              </w:rPr>
              <w:t>Variables of the preceding period</w:t>
            </w:r>
          </w:p>
        </w:tc>
      </w:tr>
      <w:tr w:rsidR="00754A3B" w:rsidRPr="002D09A4" w14:paraId="0B73E584" w14:textId="77777777" w:rsidTr="002D09A4">
        <w:tc>
          <w:tcPr>
            <w:tcW w:w="2405" w:type="dxa"/>
            <w:vAlign w:val="center"/>
          </w:tcPr>
          <w:p w14:paraId="766AAF3E" w14:textId="77777777" w:rsidR="00754A3B" w:rsidRPr="002D09A4" w:rsidRDefault="00754A3B" w:rsidP="00754A3B">
            <w:pPr>
              <w:spacing w:line="240" w:lineRule="auto"/>
              <w:rPr>
                <w:color w:val="auto"/>
              </w:rPr>
            </w:pPr>
            <w:r w:rsidRPr="002D09A4">
              <w:rPr>
                <w:color w:val="auto"/>
              </w:rPr>
              <w:t>Quantity_ma3, Temp_ma3</w:t>
            </w:r>
          </w:p>
        </w:tc>
        <w:tc>
          <w:tcPr>
            <w:tcW w:w="6610" w:type="dxa"/>
            <w:vAlign w:val="center"/>
          </w:tcPr>
          <w:p w14:paraId="75D1C4B2" w14:textId="77777777" w:rsidR="00754A3B" w:rsidRPr="002D09A4" w:rsidRDefault="00754A3B" w:rsidP="00754A3B">
            <w:pPr>
              <w:pStyle w:val="a"/>
              <w:numPr>
                <w:ilvl w:val="0"/>
                <w:numId w:val="0"/>
              </w:numPr>
              <w:spacing w:after="0" w:line="240" w:lineRule="auto"/>
              <w:contextualSpacing w:val="0"/>
              <w:rPr>
                <w:szCs w:val="20"/>
              </w:rPr>
            </w:pPr>
            <w:r w:rsidRPr="002D09A4">
              <w:rPr>
                <w:szCs w:val="20"/>
              </w:rPr>
              <w:t>Three-period moving averages for smoothing random fluctuations</w:t>
            </w:r>
          </w:p>
        </w:tc>
      </w:tr>
      <w:tr w:rsidR="00754A3B" w:rsidRPr="002D09A4" w14:paraId="10D9E667" w14:textId="77777777" w:rsidTr="002D09A4">
        <w:tc>
          <w:tcPr>
            <w:tcW w:w="2405" w:type="dxa"/>
            <w:tcBorders>
              <w:bottom w:val="single" w:sz="4" w:space="0" w:color="auto"/>
            </w:tcBorders>
            <w:vAlign w:val="center"/>
          </w:tcPr>
          <w:p w14:paraId="7838AE60" w14:textId="77777777" w:rsidR="00754A3B" w:rsidRPr="002D09A4" w:rsidRDefault="00754A3B" w:rsidP="00754A3B">
            <w:pPr>
              <w:spacing w:line="240" w:lineRule="auto"/>
              <w:rPr>
                <w:color w:val="auto"/>
              </w:rPr>
            </w:pPr>
            <w:r w:rsidRPr="002D09A4">
              <w:rPr>
                <w:color w:val="auto"/>
              </w:rPr>
              <w:t>Year_trend</w:t>
            </w:r>
          </w:p>
        </w:tc>
        <w:tc>
          <w:tcPr>
            <w:tcW w:w="6610" w:type="dxa"/>
            <w:tcBorders>
              <w:bottom w:val="single" w:sz="4" w:space="0" w:color="auto"/>
            </w:tcBorders>
            <w:vAlign w:val="center"/>
          </w:tcPr>
          <w:p w14:paraId="31868646" w14:textId="77777777" w:rsidR="00754A3B" w:rsidRPr="002D09A4" w:rsidRDefault="00754A3B" w:rsidP="00754A3B">
            <w:pPr>
              <w:spacing w:line="240" w:lineRule="auto"/>
              <w:rPr>
                <w:color w:val="auto"/>
              </w:rPr>
            </w:pPr>
            <w:r w:rsidRPr="002D09A4">
              <w:rPr>
                <w:color w:val="auto"/>
              </w:rPr>
              <w:t>Temporal trend variable to account for long-term changes</w:t>
            </w:r>
          </w:p>
        </w:tc>
      </w:tr>
    </w:tbl>
    <w:p w14:paraId="638DBC35" w14:textId="77777777" w:rsidR="00660358" w:rsidRDefault="00660358" w:rsidP="00AA6A30">
      <w:pPr>
        <w:shd w:val="clear" w:color="auto" w:fill="FFFFFF" w:themeFill="background1"/>
        <w:spacing w:line="240" w:lineRule="auto"/>
        <w:rPr>
          <w:b/>
          <w:color w:val="FF0000"/>
          <w:szCs w:val="24"/>
        </w:rPr>
      </w:pPr>
    </w:p>
    <w:p w14:paraId="49B1332E" w14:textId="31A2D22B" w:rsidR="00C70AA0" w:rsidRPr="009F3C70" w:rsidRDefault="00C70AA0" w:rsidP="00C70AA0">
      <w:pPr>
        <w:spacing w:line="240" w:lineRule="auto"/>
        <w:rPr>
          <w:szCs w:val="24"/>
        </w:rPr>
      </w:pPr>
      <w:r w:rsidRPr="00C70AA0">
        <w:rPr>
          <w:b/>
          <w:bCs/>
        </w:rPr>
        <w:t>Table 4:</w:t>
      </w:r>
      <w:r w:rsidRPr="00C70AA0">
        <w:t xml:space="preserve"> </w:t>
      </w:r>
      <w:r w:rsidRPr="00C70AA0">
        <w:rPr>
          <w:szCs w:val="24"/>
        </w:rPr>
        <w:t xml:space="preserve">Quality of pest population predicting models (error in the 2019-2024 test period) for zone of high risk </w:t>
      </w:r>
      <w:r w:rsidRPr="00C70AA0">
        <w:rPr>
          <w:rStyle w:val="aff"/>
          <w:rFonts w:eastAsiaTheme="majorEastAsia"/>
          <w:b w:val="0"/>
          <w:bCs w:val="0"/>
          <w:szCs w:val="24"/>
        </w:rPr>
        <w:t>of reproduction and harmfulness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2504"/>
        <w:gridCol w:w="2261"/>
        <w:gridCol w:w="2156"/>
      </w:tblGrid>
      <w:tr w:rsidR="00C70AA0" w:rsidRPr="00C70AA0" w14:paraId="5FB80629" w14:textId="77777777" w:rsidTr="00C70AA0">
        <w:trPr>
          <w:trHeight w:val="20"/>
        </w:trPr>
        <w:tc>
          <w:tcPr>
            <w:tcW w:w="2122" w:type="dxa"/>
            <w:tcBorders>
              <w:top w:val="single" w:sz="4" w:space="0" w:color="auto"/>
              <w:bottom w:val="single" w:sz="4" w:space="0" w:color="auto"/>
            </w:tcBorders>
          </w:tcPr>
          <w:p w14:paraId="2E053C7C" w14:textId="77777777" w:rsidR="00C70AA0" w:rsidRPr="00C70AA0" w:rsidRDefault="00C70AA0" w:rsidP="00C70AA0">
            <w:pPr>
              <w:spacing w:line="240" w:lineRule="auto"/>
              <w:jc w:val="center"/>
              <w:rPr>
                <w:b/>
                <w:bCs/>
              </w:rPr>
            </w:pPr>
            <w:r w:rsidRPr="00C70AA0">
              <w:rPr>
                <w:b/>
                <w:bCs/>
              </w:rPr>
              <w:t>Tested Models</w:t>
            </w:r>
          </w:p>
        </w:tc>
        <w:tc>
          <w:tcPr>
            <w:tcW w:w="2693" w:type="dxa"/>
            <w:tcBorders>
              <w:top w:val="single" w:sz="4" w:space="0" w:color="auto"/>
              <w:bottom w:val="single" w:sz="4" w:space="0" w:color="auto"/>
            </w:tcBorders>
          </w:tcPr>
          <w:p w14:paraId="19EE338C" w14:textId="77777777" w:rsidR="00C70AA0" w:rsidRPr="00C70AA0" w:rsidRDefault="00C70AA0" w:rsidP="00C70AA0">
            <w:pPr>
              <w:spacing w:line="240" w:lineRule="auto"/>
              <w:jc w:val="center"/>
            </w:pPr>
            <w:r w:rsidRPr="00C70AA0">
              <w:rPr>
                <w:b/>
                <w:bCs/>
              </w:rPr>
              <w:t>MAE</w:t>
            </w:r>
          </w:p>
        </w:tc>
        <w:tc>
          <w:tcPr>
            <w:tcW w:w="2410" w:type="dxa"/>
            <w:tcBorders>
              <w:top w:val="single" w:sz="4" w:space="0" w:color="auto"/>
              <w:bottom w:val="single" w:sz="4" w:space="0" w:color="auto"/>
            </w:tcBorders>
          </w:tcPr>
          <w:p w14:paraId="623C34CF" w14:textId="77777777" w:rsidR="00C70AA0" w:rsidRPr="00C70AA0" w:rsidRDefault="00C70AA0" w:rsidP="00C70AA0">
            <w:pPr>
              <w:spacing w:line="240" w:lineRule="auto"/>
              <w:jc w:val="center"/>
            </w:pPr>
            <w:r w:rsidRPr="00C70AA0">
              <w:rPr>
                <w:b/>
                <w:bCs/>
              </w:rPr>
              <w:t>RMSE</w:t>
            </w:r>
          </w:p>
        </w:tc>
        <w:tc>
          <w:tcPr>
            <w:tcW w:w="2268" w:type="dxa"/>
            <w:tcBorders>
              <w:top w:val="single" w:sz="4" w:space="0" w:color="auto"/>
              <w:bottom w:val="single" w:sz="4" w:space="0" w:color="auto"/>
            </w:tcBorders>
          </w:tcPr>
          <w:p w14:paraId="3AC2D6D2" w14:textId="77777777" w:rsidR="00C70AA0" w:rsidRPr="00C70AA0" w:rsidRDefault="00C70AA0" w:rsidP="00C70AA0">
            <w:pPr>
              <w:spacing w:line="240" w:lineRule="auto"/>
              <w:jc w:val="center"/>
            </w:pPr>
            <w:r w:rsidRPr="00C70AA0">
              <w:rPr>
                <w:b/>
                <w:bCs/>
              </w:rPr>
              <w:t>R</w:t>
            </w:r>
            <w:r w:rsidRPr="00C70AA0">
              <w:rPr>
                <w:b/>
                <w:bCs/>
                <w:vertAlign w:val="superscript"/>
              </w:rPr>
              <w:t>2</w:t>
            </w:r>
          </w:p>
        </w:tc>
      </w:tr>
      <w:tr w:rsidR="00C70AA0" w:rsidRPr="00C70AA0" w14:paraId="60E85CFF" w14:textId="77777777" w:rsidTr="00C70AA0">
        <w:trPr>
          <w:trHeight w:val="20"/>
        </w:trPr>
        <w:tc>
          <w:tcPr>
            <w:tcW w:w="2122" w:type="dxa"/>
            <w:tcBorders>
              <w:top w:val="single" w:sz="4" w:space="0" w:color="auto"/>
            </w:tcBorders>
            <w:hideMark/>
          </w:tcPr>
          <w:p w14:paraId="31D144DD" w14:textId="77777777" w:rsidR="00C70AA0" w:rsidRPr="00C70AA0" w:rsidRDefault="00C70AA0" w:rsidP="00C70AA0">
            <w:pPr>
              <w:spacing w:line="240" w:lineRule="auto"/>
            </w:pPr>
            <w:r w:rsidRPr="00C70AA0">
              <w:t>GradientBoosting</w:t>
            </w:r>
          </w:p>
        </w:tc>
        <w:tc>
          <w:tcPr>
            <w:tcW w:w="2693" w:type="dxa"/>
            <w:tcBorders>
              <w:top w:val="single" w:sz="4" w:space="0" w:color="auto"/>
            </w:tcBorders>
            <w:hideMark/>
          </w:tcPr>
          <w:p w14:paraId="444B9053" w14:textId="77777777" w:rsidR="00C70AA0" w:rsidRPr="00C70AA0" w:rsidRDefault="00C70AA0" w:rsidP="00C70AA0">
            <w:pPr>
              <w:spacing w:line="240" w:lineRule="auto"/>
              <w:jc w:val="center"/>
            </w:pPr>
            <w:r w:rsidRPr="00C70AA0">
              <w:t>1.660722</w:t>
            </w:r>
          </w:p>
        </w:tc>
        <w:tc>
          <w:tcPr>
            <w:tcW w:w="2410" w:type="dxa"/>
            <w:tcBorders>
              <w:top w:val="single" w:sz="4" w:space="0" w:color="auto"/>
            </w:tcBorders>
            <w:hideMark/>
          </w:tcPr>
          <w:p w14:paraId="21ECA947" w14:textId="77777777" w:rsidR="00C70AA0" w:rsidRPr="00C70AA0" w:rsidRDefault="00C70AA0" w:rsidP="00C70AA0">
            <w:pPr>
              <w:spacing w:line="240" w:lineRule="auto"/>
              <w:jc w:val="center"/>
            </w:pPr>
            <w:r w:rsidRPr="00C70AA0">
              <w:t>2.636057</w:t>
            </w:r>
          </w:p>
        </w:tc>
        <w:tc>
          <w:tcPr>
            <w:tcW w:w="2268" w:type="dxa"/>
            <w:tcBorders>
              <w:top w:val="single" w:sz="4" w:space="0" w:color="auto"/>
            </w:tcBorders>
            <w:hideMark/>
          </w:tcPr>
          <w:p w14:paraId="0F26DC91" w14:textId="77777777" w:rsidR="00C70AA0" w:rsidRPr="00C70AA0" w:rsidRDefault="00C70AA0" w:rsidP="00C70AA0">
            <w:pPr>
              <w:spacing w:line="240" w:lineRule="auto"/>
              <w:jc w:val="center"/>
            </w:pPr>
            <w:r w:rsidRPr="00C70AA0">
              <w:t>0.004572</w:t>
            </w:r>
          </w:p>
        </w:tc>
      </w:tr>
      <w:tr w:rsidR="00C70AA0" w:rsidRPr="00C70AA0" w14:paraId="235BFD8F" w14:textId="77777777" w:rsidTr="00C70AA0">
        <w:trPr>
          <w:trHeight w:val="20"/>
        </w:trPr>
        <w:tc>
          <w:tcPr>
            <w:tcW w:w="2122" w:type="dxa"/>
            <w:hideMark/>
          </w:tcPr>
          <w:p w14:paraId="4D4496ED" w14:textId="77777777" w:rsidR="00C70AA0" w:rsidRPr="00C70AA0" w:rsidRDefault="00C70AA0" w:rsidP="00C70AA0">
            <w:pPr>
              <w:spacing w:line="240" w:lineRule="auto"/>
            </w:pPr>
            <w:r w:rsidRPr="00C70AA0">
              <w:t>SVR</w:t>
            </w:r>
          </w:p>
        </w:tc>
        <w:tc>
          <w:tcPr>
            <w:tcW w:w="2693" w:type="dxa"/>
            <w:hideMark/>
          </w:tcPr>
          <w:p w14:paraId="5B5ED857" w14:textId="77777777" w:rsidR="00C70AA0" w:rsidRPr="00C70AA0" w:rsidRDefault="00C70AA0" w:rsidP="00C70AA0">
            <w:pPr>
              <w:spacing w:line="240" w:lineRule="auto"/>
              <w:jc w:val="center"/>
            </w:pPr>
            <w:r w:rsidRPr="00C70AA0">
              <w:t>1.306799</w:t>
            </w:r>
          </w:p>
        </w:tc>
        <w:tc>
          <w:tcPr>
            <w:tcW w:w="2410" w:type="dxa"/>
            <w:hideMark/>
          </w:tcPr>
          <w:p w14:paraId="609E5E11" w14:textId="77777777" w:rsidR="00C70AA0" w:rsidRPr="00C70AA0" w:rsidRDefault="00C70AA0" w:rsidP="00C70AA0">
            <w:pPr>
              <w:spacing w:line="240" w:lineRule="auto"/>
              <w:jc w:val="center"/>
            </w:pPr>
            <w:r w:rsidRPr="00C70AA0">
              <w:t>2.644319</w:t>
            </w:r>
          </w:p>
        </w:tc>
        <w:tc>
          <w:tcPr>
            <w:tcW w:w="2268" w:type="dxa"/>
            <w:hideMark/>
          </w:tcPr>
          <w:p w14:paraId="368B918F" w14:textId="77777777" w:rsidR="00C70AA0" w:rsidRPr="00C70AA0" w:rsidRDefault="00C70AA0" w:rsidP="00C70AA0">
            <w:pPr>
              <w:spacing w:line="240" w:lineRule="auto"/>
              <w:jc w:val="center"/>
            </w:pPr>
            <w:r w:rsidRPr="00C70AA0">
              <w:t>-0.001678</w:t>
            </w:r>
          </w:p>
        </w:tc>
      </w:tr>
      <w:tr w:rsidR="00C70AA0" w:rsidRPr="00C70AA0" w14:paraId="634D5FEF" w14:textId="77777777" w:rsidTr="00C70AA0">
        <w:trPr>
          <w:trHeight w:val="20"/>
        </w:trPr>
        <w:tc>
          <w:tcPr>
            <w:tcW w:w="2122" w:type="dxa"/>
            <w:hideMark/>
          </w:tcPr>
          <w:p w14:paraId="1B1B0BED" w14:textId="77777777" w:rsidR="00C70AA0" w:rsidRPr="00C70AA0" w:rsidRDefault="00C70AA0" w:rsidP="00C70AA0">
            <w:pPr>
              <w:spacing w:line="240" w:lineRule="auto"/>
            </w:pPr>
            <w:r w:rsidRPr="00C70AA0">
              <w:t>SARIMA</w:t>
            </w:r>
          </w:p>
        </w:tc>
        <w:tc>
          <w:tcPr>
            <w:tcW w:w="2693" w:type="dxa"/>
            <w:hideMark/>
          </w:tcPr>
          <w:p w14:paraId="77A546AE" w14:textId="77777777" w:rsidR="00C70AA0" w:rsidRPr="00C70AA0" w:rsidRDefault="00C70AA0" w:rsidP="00C70AA0">
            <w:pPr>
              <w:spacing w:line="240" w:lineRule="auto"/>
              <w:jc w:val="center"/>
            </w:pPr>
            <w:r w:rsidRPr="00C70AA0">
              <w:t>143.747525</w:t>
            </w:r>
          </w:p>
        </w:tc>
        <w:tc>
          <w:tcPr>
            <w:tcW w:w="2410" w:type="dxa"/>
            <w:hideMark/>
          </w:tcPr>
          <w:p w14:paraId="1A957B46" w14:textId="77777777" w:rsidR="00C70AA0" w:rsidRPr="00C70AA0" w:rsidRDefault="00C70AA0" w:rsidP="00C70AA0">
            <w:pPr>
              <w:spacing w:line="240" w:lineRule="auto"/>
              <w:jc w:val="center"/>
            </w:pPr>
            <w:r w:rsidRPr="00C70AA0">
              <w:t>153.630271</w:t>
            </w:r>
          </w:p>
        </w:tc>
        <w:tc>
          <w:tcPr>
            <w:tcW w:w="2268" w:type="dxa"/>
            <w:hideMark/>
          </w:tcPr>
          <w:p w14:paraId="73A6DBDB" w14:textId="77777777" w:rsidR="00C70AA0" w:rsidRPr="00C70AA0" w:rsidRDefault="00C70AA0" w:rsidP="00C70AA0">
            <w:pPr>
              <w:spacing w:line="240" w:lineRule="auto"/>
              <w:jc w:val="center"/>
            </w:pPr>
            <w:r w:rsidRPr="00C70AA0">
              <w:t>-3380.069133</w:t>
            </w:r>
          </w:p>
        </w:tc>
      </w:tr>
      <w:tr w:rsidR="00C70AA0" w:rsidRPr="00C70AA0" w14:paraId="4A32DD90" w14:textId="77777777" w:rsidTr="00C70AA0">
        <w:trPr>
          <w:trHeight w:val="20"/>
        </w:trPr>
        <w:tc>
          <w:tcPr>
            <w:tcW w:w="2122" w:type="dxa"/>
            <w:hideMark/>
          </w:tcPr>
          <w:p w14:paraId="2A664BF0" w14:textId="77777777" w:rsidR="00C70AA0" w:rsidRPr="00C70AA0" w:rsidRDefault="00C70AA0" w:rsidP="00C70AA0">
            <w:pPr>
              <w:spacing w:line="240" w:lineRule="auto"/>
            </w:pPr>
            <w:r w:rsidRPr="00C70AA0">
              <w:t>LinearRegression</w:t>
            </w:r>
          </w:p>
        </w:tc>
        <w:tc>
          <w:tcPr>
            <w:tcW w:w="2693" w:type="dxa"/>
            <w:hideMark/>
          </w:tcPr>
          <w:p w14:paraId="317BF02F" w14:textId="77777777" w:rsidR="00C70AA0" w:rsidRPr="00C70AA0" w:rsidRDefault="00C70AA0" w:rsidP="00C70AA0">
            <w:pPr>
              <w:spacing w:line="240" w:lineRule="auto"/>
              <w:jc w:val="center"/>
            </w:pPr>
            <w:r w:rsidRPr="00C70AA0">
              <w:t>155.025247</w:t>
            </w:r>
          </w:p>
        </w:tc>
        <w:tc>
          <w:tcPr>
            <w:tcW w:w="2410" w:type="dxa"/>
            <w:hideMark/>
          </w:tcPr>
          <w:p w14:paraId="7ABA052D" w14:textId="77777777" w:rsidR="00C70AA0" w:rsidRPr="00C70AA0" w:rsidRDefault="00C70AA0" w:rsidP="00C70AA0">
            <w:pPr>
              <w:spacing w:line="240" w:lineRule="auto"/>
              <w:jc w:val="center"/>
            </w:pPr>
            <w:r w:rsidRPr="00C70AA0">
              <w:t>184.883099</w:t>
            </w:r>
          </w:p>
        </w:tc>
        <w:tc>
          <w:tcPr>
            <w:tcW w:w="2268" w:type="dxa"/>
            <w:hideMark/>
          </w:tcPr>
          <w:p w14:paraId="4D6581D6" w14:textId="77777777" w:rsidR="00C70AA0" w:rsidRPr="00C70AA0" w:rsidRDefault="00C70AA0" w:rsidP="00C70AA0">
            <w:pPr>
              <w:spacing w:line="240" w:lineRule="auto"/>
              <w:jc w:val="center"/>
            </w:pPr>
            <w:r w:rsidRPr="00C70AA0">
              <w:t>-4895.602819</w:t>
            </w:r>
          </w:p>
        </w:tc>
      </w:tr>
      <w:tr w:rsidR="00C70AA0" w:rsidRPr="00C70AA0" w14:paraId="33CC40C0" w14:textId="77777777" w:rsidTr="00C70AA0">
        <w:trPr>
          <w:trHeight w:val="20"/>
        </w:trPr>
        <w:tc>
          <w:tcPr>
            <w:tcW w:w="2122" w:type="dxa"/>
            <w:tcBorders>
              <w:bottom w:val="single" w:sz="4" w:space="0" w:color="auto"/>
            </w:tcBorders>
            <w:hideMark/>
          </w:tcPr>
          <w:p w14:paraId="1C6AA998" w14:textId="77777777" w:rsidR="00C70AA0" w:rsidRPr="00C70AA0" w:rsidRDefault="00C70AA0" w:rsidP="00C70AA0">
            <w:pPr>
              <w:spacing w:line="240" w:lineRule="auto"/>
            </w:pPr>
            <w:r w:rsidRPr="00C70AA0">
              <w:t>RandomForest</w:t>
            </w:r>
          </w:p>
        </w:tc>
        <w:tc>
          <w:tcPr>
            <w:tcW w:w="2693" w:type="dxa"/>
            <w:tcBorders>
              <w:bottom w:val="single" w:sz="4" w:space="0" w:color="auto"/>
            </w:tcBorders>
            <w:hideMark/>
          </w:tcPr>
          <w:p w14:paraId="42F8DC3F" w14:textId="77777777" w:rsidR="00C70AA0" w:rsidRPr="00C70AA0" w:rsidRDefault="00C70AA0" w:rsidP="00C70AA0">
            <w:pPr>
              <w:spacing w:line="240" w:lineRule="auto"/>
              <w:jc w:val="center"/>
            </w:pPr>
            <w:r w:rsidRPr="00C70AA0">
              <w:t>64.074679</w:t>
            </w:r>
          </w:p>
        </w:tc>
        <w:tc>
          <w:tcPr>
            <w:tcW w:w="2410" w:type="dxa"/>
            <w:tcBorders>
              <w:bottom w:val="single" w:sz="4" w:space="0" w:color="auto"/>
            </w:tcBorders>
            <w:hideMark/>
          </w:tcPr>
          <w:p w14:paraId="60264749" w14:textId="77777777" w:rsidR="00C70AA0" w:rsidRPr="00C70AA0" w:rsidRDefault="00C70AA0" w:rsidP="00C70AA0">
            <w:pPr>
              <w:spacing w:line="240" w:lineRule="auto"/>
              <w:jc w:val="center"/>
            </w:pPr>
            <w:r w:rsidRPr="00C70AA0">
              <w:t>199.979978</w:t>
            </w:r>
          </w:p>
        </w:tc>
        <w:tc>
          <w:tcPr>
            <w:tcW w:w="2268" w:type="dxa"/>
            <w:tcBorders>
              <w:bottom w:val="single" w:sz="4" w:space="0" w:color="auto"/>
            </w:tcBorders>
            <w:hideMark/>
          </w:tcPr>
          <w:p w14:paraId="378992A9" w14:textId="77777777" w:rsidR="00C70AA0" w:rsidRPr="00C70AA0" w:rsidRDefault="00C70AA0" w:rsidP="00C70AA0">
            <w:pPr>
              <w:spacing w:line="240" w:lineRule="auto"/>
              <w:jc w:val="center"/>
            </w:pPr>
            <w:r w:rsidRPr="00C70AA0">
              <w:t>-5727.929638</w:t>
            </w:r>
          </w:p>
        </w:tc>
      </w:tr>
    </w:tbl>
    <w:p w14:paraId="13DDC692" w14:textId="77777777" w:rsidR="00C70AA0" w:rsidRDefault="00C70AA0" w:rsidP="00AA6A30">
      <w:pPr>
        <w:shd w:val="clear" w:color="auto" w:fill="FFFFFF" w:themeFill="background1"/>
        <w:spacing w:line="240" w:lineRule="auto"/>
        <w:rPr>
          <w:b/>
          <w:color w:val="FF0000"/>
          <w:szCs w:val="24"/>
        </w:rPr>
      </w:pPr>
    </w:p>
    <w:p w14:paraId="13A6AC56" w14:textId="015011D9" w:rsidR="004E1E67" w:rsidRPr="009F3C70" w:rsidRDefault="004E1E67" w:rsidP="004E1E67">
      <w:pPr>
        <w:spacing w:line="240" w:lineRule="auto"/>
        <w:rPr>
          <w:b/>
          <w:bCs/>
          <w:szCs w:val="24"/>
        </w:rPr>
      </w:pPr>
      <w:r w:rsidRPr="004E1E67">
        <w:rPr>
          <w:b/>
          <w:bCs/>
        </w:rPr>
        <w:t>Table 5:</w:t>
      </w:r>
      <w:r w:rsidRPr="004E1E67">
        <w:t xml:space="preserve"> </w:t>
      </w:r>
      <w:r w:rsidRPr="004E1E67">
        <w:rPr>
          <w:szCs w:val="24"/>
        </w:rPr>
        <w:t xml:space="preserve">Quality of pest population predicting models (error in the 2019-2024 test period) for zone of moderate risk </w:t>
      </w:r>
      <w:r w:rsidRPr="004E1E67">
        <w:rPr>
          <w:rStyle w:val="aff"/>
          <w:rFonts w:eastAsiaTheme="majorEastAsia"/>
          <w:b w:val="0"/>
          <w:bCs w:val="0"/>
          <w:szCs w:val="24"/>
        </w:rPr>
        <w:t>of reproduction and harmfulness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9"/>
        <w:gridCol w:w="2538"/>
        <w:gridCol w:w="2283"/>
        <w:gridCol w:w="2155"/>
      </w:tblGrid>
      <w:tr w:rsidR="004E1E67" w:rsidRPr="004E1E67" w14:paraId="1858469F" w14:textId="77777777" w:rsidTr="004E1E67">
        <w:trPr>
          <w:trHeight w:val="20"/>
        </w:trPr>
        <w:tc>
          <w:tcPr>
            <w:tcW w:w="2122" w:type="dxa"/>
            <w:tcBorders>
              <w:top w:val="single" w:sz="4" w:space="0" w:color="auto"/>
              <w:bottom w:val="single" w:sz="4" w:space="0" w:color="auto"/>
            </w:tcBorders>
          </w:tcPr>
          <w:p w14:paraId="7C2E2320" w14:textId="77777777" w:rsidR="004E1E67" w:rsidRPr="004E1E67" w:rsidRDefault="004E1E67" w:rsidP="004E1E67">
            <w:pPr>
              <w:spacing w:line="240" w:lineRule="auto"/>
              <w:jc w:val="center"/>
              <w:rPr>
                <w:b/>
                <w:bCs/>
              </w:rPr>
            </w:pPr>
            <w:r w:rsidRPr="004E1E67">
              <w:rPr>
                <w:b/>
                <w:bCs/>
              </w:rPr>
              <w:t>Tested Models</w:t>
            </w:r>
          </w:p>
        </w:tc>
        <w:tc>
          <w:tcPr>
            <w:tcW w:w="2693" w:type="dxa"/>
            <w:tcBorders>
              <w:top w:val="single" w:sz="4" w:space="0" w:color="auto"/>
              <w:bottom w:val="single" w:sz="4" w:space="0" w:color="auto"/>
            </w:tcBorders>
          </w:tcPr>
          <w:p w14:paraId="11067232" w14:textId="77777777" w:rsidR="004E1E67" w:rsidRPr="004E1E67" w:rsidRDefault="004E1E67" w:rsidP="004E1E67">
            <w:pPr>
              <w:spacing w:line="240" w:lineRule="auto"/>
              <w:jc w:val="center"/>
            </w:pPr>
            <w:r w:rsidRPr="004E1E67">
              <w:rPr>
                <w:b/>
                <w:bCs/>
              </w:rPr>
              <w:t>MAE</w:t>
            </w:r>
          </w:p>
        </w:tc>
        <w:tc>
          <w:tcPr>
            <w:tcW w:w="2410" w:type="dxa"/>
            <w:tcBorders>
              <w:top w:val="single" w:sz="4" w:space="0" w:color="auto"/>
              <w:bottom w:val="single" w:sz="4" w:space="0" w:color="auto"/>
            </w:tcBorders>
          </w:tcPr>
          <w:p w14:paraId="3F57AD79" w14:textId="77777777" w:rsidR="004E1E67" w:rsidRPr="004E1E67" w:rsidRDefault="004E1E67" w:rsidP="004E1E67">
            <w:pPr>
              <w:spacing w:line="240" w:lineRule="auto"/>
              <w:jc w:val="center"/>
            </w:pPr>
            <w:r w:rsidRPr="004E1E67">
              <w:rPr>
                <w:b/>
                <w:bCs/>
              </w:rPr>
              <w:t>RMSE</w:t>
            </w:r>
          </w:p>
        </w:tc>
        <w:tc>
          <w:tcPr>
            <w:tcW w:w="2268" w:type="dxa"/>
            <w:tcBorders>
              <w:top w:val="single" w:sz="4" w:space="0" w:color="auto"/>
              <w:bottom w:val="single" w:sz="4" w:space="0" w:color="auto"/>
            </w:tcBorders>
          </w:tcPr>
          <w:p w14:paraId="21A6D579" w14:textId="77777777" w:rsidR="004E1E67" w:rsidRPr="004E1E67" w:rsidRDefault="004E1E67" w:rsidP="004E1E67">
            <w:pPr>
              <w:spacing w:line="240" w:lineRule="auto"/>
              <w:jc w:val="center"/>
            </w:pPr>
            <w:r w:rsidRPr="004E1E67">
              <w:rPr>
                <w:b/>
                <w:bCs/>
              </w:rPr>
              <w:t>R</w:t>
            </w:r>
            <w:r w:rsidRPr="004E1E67">
              <w:rPr>
                <w:b/>
                <w:bCs/>
                <w:vertAlign w:val="superscript"/>
              </w:rPr>
              <w:t>2</w:t>
            </w:r>
          </w:p>
        </w:tc>
      </w:tr>
      <w:tr w:rsidR="004E1E67" w:rsidRPr="004E1E67" w14:paraId="73BA518E" w14:textId="77777777" w:rsidTr="004E1E67">
        <w:trPr>
          <w:trHeight w:val="20"/>
        </w:trPr>
        <w:tc>
          <w:tcPr>
            <w:tcW w:w="2122" w:type="dxa"/>
            <w:tcBorders>
              <w:top w:val="single" w:sz="4" w:space="0" w:color="auto"/>
            </w:tcBorders>
            <w:hideMark/>
          </w:tcPr>
          <w:p w14:paraId="0D99F611" w14:textId="77777777" w:rsidR="004E1E67" w:rsidRPr="004E1E67" w:rsidRDefault="004E1E67" w:rsidP="004E1E67">
            <w:pPr>
              <w:spacing w:line="240" w:lineRule="auto"/>
            </w:pPr>
            <w:r w:rsidRPr="004E1E67">
              <w:t>SVR</w:t>
            </w:r>
          </w:p>
        </w:tc>
        <w:tc>
          <w:tcPr>
            <w:tcW w:w="2693" w:type="dxa"/>
            <w:tcBorders>
              <w:top w:val="single" w:sz="4" w:space="0" w:color="auto"/>
            </w:tcBorders>
            <w:hideMark/>
          </w:tcPr>
          <w:p w14:paraId="66819568" w14:textId="77777777" w:rsidR="004E1E67" w:rsidRPr="004E1E67" w:rsidRDefault="004E1E67" w:rsidP="004E1E67">
            <w:pPr>
              <w:spacing w:line="240" w:lineRule="auto"/>
              <w:jc w:val="center"/>
            </w:pPr>
            <w:r w:rsidRPr="004E1E67">
              <w:t>1.135353</w:t>
            </w:r>
          </w:p>
        </w:tc>
        <w:tc>
          <w:tcPr>
            <w:tcW w:w="2410" w:type="dxa"/>
            <w:tcBorders>
              <w:top w:val="single" w:sz="4" w:space="0" w:color="auto"/>
            </w:tcBorders>
            <w:hideMark/>
          </w:tcPr>
          <w:p w14:paraId="144DAF92" w14:textId="77777777" w:rsidR="004E1E67" w:rsidRPr="004E1E67" w:rsidRDefault="004E1E67" w:rsidP="004E1E67">
            <w:pPr>
              <w:spacing w:line="240" w:lineRule="auto"/>
              <w:jc w:val="center"/>
            </w:pPr>
            <w:r w:rsidRPr="004E1E67">
              <w:t>3.039394</w:t>
            </w:r>
          </w:p>
        </w:tc>
        <w:tc>
          <w:tcPr>
            <w:tcW w:w="2268" w:type="dxa"/>
            <w:tcBorders>
              <w:top w:val="single" w:sz="4" w:space="0" w:color="auto"/>
            </w:tcBorders>
            <w:hideMark/>
          </w:tcPr>
          <w:p w14:paraId="03552007" w14:textId="77777777" w:rsidR="004E1E67" w:rsidRPr="004E1E67" w:rsidRDefault="004E1E67" w:rsidP="004E1E67">
            <w:pPr>
              <w:spacing w:line="240" w:lineRule="auto"/>
              <w:jc w:val="center"/>
            </w:pPr>
            <w:r w:rsidRPr="004E1E67">
              <w:t>-0.022965</w:t>
            </w:r>
          </w:p>
        </w:tc>
      </w:tr>
      <w:tr w:rsidR="004E1E67" w:rsidRPr="004E1E67" w14:paraId="473C42F1" w14:textId="77777777" w:rsidTr="004E1E67">
        <w:trPr>
          <w:trHeight w:val="20"/>
        </w:trPr>
        <w:tc>
          <w:tcPr>
            <w:tcW w:w="2122" w:type="dxa"/>
            <w:hideMark/>
          </w:tcPr>
          <w:p w14:paraId="4DD7AA73" w14:textId="77777777" w:rsidR="004E1E67" w:rsidRPr="004E1E67" w:rsidRDefault="004E1E67" w:rsidP="004E1E67">
            <w:pPr>
              <w:spacing w:line="240" w:lineRule="auto"/>
            </w:pPr>
            <w:r w:rsidRPr="004E1E67">
              <w:t>SARIMA</w:t>
            </w:r>
          </w:p>
        </w:tc>
        <w:tc>
          <w:tcPr>
            <w:tcW w:w="2693" w:type="dxa"/>
            <w:hideMark/>
          </w:tcPr>
          <w:p w14:paraId="65B2E3E7" w14:textId="77777777" w:rsidR="004E1E67" w:rsidRPr="004E1E67" w:rsidRDefault="004E1E67" w:rsidP="004E1E67">
            <w:pPr>
              <w:spacing w:line="240" w:lineRule="auto"/>
              <w:jc w:val="center"/>
            </w:pPr>
            <w:r w:rsidRPr="004E1E67">
              <w:t>1.892770</w:t>
            </w:r>
          </w:p>
        </w:tc>
        <w:tc>
          <w:tcPr>
            <w:tcW w:w="2410" w:type="dxa"/>
            <w:hideMark/>
          </w:tcPr>
          <w:p w14:paraId="1ADE04DD" w14:textId="77777777" w:rsidR="004E1E67" w:rsidRPr="004E1E67" w:rsidRDefault="004E1E67" w:rsidP="004E1E67">
            <w:pPr>
              <w:spacing w:line="240" w:lineRule="auto"/>
              <w:jc w:val="center"/>
            </w:pPr>
            <w:r w:rsidRPr="004E1E67">
              <w:t>3.323565</w:t>
            </w:r>
          </w:p>
        </w:tc>
        <w:tc>
          <w:tcPr>
            <w:tcW w:w="2268" w:type="dxa"/>
            <w:hideMark/>
          </w:tcPr>
          <w:p w14:paraId="526D53FF" w14:textId="77777777" w:rsidR="004E1E67" w:rsidRPr="004E1E67" w:rsidRDefault="004E1E67" w:rsidP="004E1E67">
            <w:pPr>
              <w:spacing w:line="240" w:lineRule="auto"/>
              <w:jc w:val="center"/>
            </w:pPr>
            <w:r w:rsidRPr="004E1E67">
              <w:t>-0.223193</w:t>
            </w:r>
          </w:p>
        </w:tc>
      </w:tr>
      <w:tr w:rsidR="004E1E67" w:rsidRPr="004E1E67" w14:paraId="596FB96A" w14:textId="77777777" w:rsidTr="004E1E67">
        <w:trPr>
          <w:trHeight w:val="20"/>
        </w:trPr>
        <w:tc>
          <w:tcPr>
            <w:tcW w:w="2122" w:type="dxa"/>
            <w:hideMark/>
          </w:tcPr>
          <w:p w14:paraId="6DE0E134" w14:textId="77777777" w:rsidR="004E1E67" w:rsidRPr="004E1E67" w:rsidRDefault="004E1E67" w:rsidP="004E1E67">
            <w:pPr>
              <w:spacing w:line="240" w:lineRule="auto"/>
            </w:pPr>
            <w:r w:rsidRPr="004E1E67">
              <w:t>Linear Regression</w:t>
            </w:r>
          </w:p>
        </w:tc>
        <w:tc>
          <w:tcPr>
            <w:tcW w:w="2693" w:type="dxa"/>
            <w:hideMark/>
          </w:tcPr>
          <w:p w14:paraId="672C76EF" w14:textId="77777777" w:rsidR="004E1E67" w:rsidRPr="004E1E67" w:rsidRDefault="004E1E67" w:rsidP="004E1E67">
            <w:pPr>
              <w:spacing w:line="240" w:lineRule="auto"/>
              <w:jc w:val="center"/>
            </w:pPr>
            <w:r w:rsidRPr="004E1E67">
              <w:t>2.835916</w:t>
            </w:r>
          </w:p>
        </w:tc>
        <w:tc>
          <w:tcPr>
            <w:tcW w:w="2410" w:type="dxa"/>
            <w:hideMark/>
          </w:tcPr>
          <w:p w14:paraId="2FDB9028" w14:textId="77777777" w:rsidR="004E1E67" w:rsidRPr="004E1E67" w:rsidRDefault="004E1E67" w:rsidP="004E1E67">
            <w:pPr>
              <w:spacing w:line="240" w:lineRule="auto"/>
              <w:jc w:val="center"/>
            </w:pPr>
            <w:r w:rsidRPr="004E1E67">
              <w:t>3.833372</w:t>
            </w:r>
          </w:p>
        </w:tc>
        <w:tc>
          <w:tcPr>
            <w:tcW w:w="2268" w:type="dxa"/>
            <w:hideMark/>
          </w:tcPr>
          <w:p w14:paraId="15362680" w14:textId="77777777" w:rsidR="004E1E67" w:rsidRPr="004E1E67" w:rsidRDefault="004E1E67" w:rsidP="004E1E67">
            <w:pPr>
              <w:spacing w:line="240" w:lineRule="auto"/>
              <w:jc w:val="center"/>
            </w:pPr>
            <w:r w:rsidRPr="004E1E67">
              <w:t>-0.627229</w:t>
            </w:r>
          </w:p>
        </w:tc>
      </w:tr>
      <w:tr w:rsidR="004E1E67" w:rsidRPr="004E1E67" w14:paraId="67442567" w14:textId="77777777" w:rsidTr="004E1E67">
        <w:trPr>
          <w:trHeight w:val="20"/>
        </w:trPr>
        <w:tc>
          <w:tcPr>
            <w:tcW w:w="2122" w:type="dxa"/>
            <w:hideMark/>
          </w:tcPr>
          <w:p w14:paraId="2E290B33" w14:textId="77777777" w:rsidR="004E1E67" w:rsidRPr="004E1E67" w:rsidRDefault="004E1E67" w:rsidP="004E1E67">
            <w:pPr>
              <w:spacing w:line="240" w:lineRule="auto"/>
            </w:pPr>
            <w:r w:rsidRPr="004E1E67">
              <w:t>Gradient Boosting</w:t>
            </w:r>
          </w:p>
        </w:tc>
        <w:tc>
          <w:tcPr>
            <w:tcW w:w="2693" w:type="dxa"/>
            <w:hideMark/>
          </w:tcPr>
          <w:p w14:paraId="779F6862" w14:textId="77777777" w:rsidR="004E1E67" w:rsidRPr="004E1E67" w:rsidRDefault="004E1E67" w:rsidP="004E1E67">
            <w:pPr>
              <w:spacing w:line="240" w:lineRule="auto"/>
              <w:jc w:val="center"/>
            </w:pPr>
            <w:r w:rsidRPr="004E1E67">
              <w:t>2.150645</w:t>
            </w:r>
          </w:p>
        </w:tc>
        <w:tc>
          <w:tcPr>
            <w:tcW w:w="2410" w:type="dxa"/>
            <w:hideMark/>
          </w:tcPr>
          <w:p w14:paraId="39747508" w14:textId="77777777" w:rsidR="004E1E67" w:rsidRPr="004E1E67" w:rsidRDefault="004E1E67" w:rsidP="004E1E67">
            <w:pPr>
              <w:spacing w:line="240" w:lineRule="auto"/>
              <w:jc w:val="center"/>
            </w:pPr>
            <w:r w:rsidRPr="004E1E67">
              <w:t>7.444469</w:t>
            </w:r>
          </w:p>
        </w:tc>
        <w:tc>
          <w:tcPr>
            <w:tcW w:w="2268" w:type="dxa"/>
            <w:hideMark/>
          </w:tcPr>
          <w:p w14:paraId="43BA9071" w14:textId="77777777" w:rsidR="004E1E67" w:rsidRPr="004E1E67" w:rsidRDefault="004E1E67" w:rsidP="004E1E67">
            <w:pPr>
              <w:spacing w:line="240" w:lineRule="auto"/>
              <w:jc w:val="center"/>
            </w:pPr>
            <w:r w:rsidRPr="004E1E67">
              <w:t>-5.136973</w:t>
            </w:r>
          </w:p>
        </w:tc>
      </w:tr>
      <w:tr w:rsidR="004E1E67" w:rsidRPr="004E1E67" w14:paraId="035C1576" w14:textId="77777777" w:rsidTr="004E1E67">
        <w:trPr>
          <w:trHeight w:val="20"/>
        </w:trPr>
        <w:tc>
          <w:tcPr>
            <w:tcW w:w="2122" w:type="dxa"/>
            <w:tcBorders>
              <w:bottom w:val="single" w:sz="4" w:space="0" w:color="auto"/>
            </w:tcBorders>
            <w:hideMark/>
          </w:tcPr>
          <w:p w14:paraId="3C5BBEE7" w14:textId="77777777" w:rsidR="004E1E67" w:rsidRPr="004E1E67" w:rsidRDefault="004E1E67" w:rsidP="004E1E67">
            <w:pPr>
              <w:spacing w:line="240" w:lineRule="auto"/>
            </w:pPr>
            <w:r w:rsidRPr="004E1E67">
              <w:t>Random Forest</w:t>
            </w:r>
          </w:p>
        </w:tc>
        <w:tc>
          <w:tcPr>
            <w:tcW w:w="2693" w:type="dxa"/>
            <w:tcBorders>
              <w:bottom w:val="single" w:sz="4" w:space="0" w:color="auto"/>
            </w:tcBorders>
            <w:hideMark/>
          </w:tcPr>
          <w:p w14:paraId="26B77FA2" w14:textId="77777777" w:rsidR="004E1E67" w:rsidRPr="004E1E67" w:rsidRDefault="004E1E67" w:rsidP="004E1E67">
            <w:pPr>
              <w:spacing w:line="240" w:lineRule="auto"/>
              <w:jc w:val="center"/>
            </w:pPr>
            <w:r w:rsidRPr="004E1E67">
              <w:t>2.308242</w:t>
            </w:r>
          </w:p>
        </w:tc>
        <w:tc>
          <w:tcPr>
            <w:tcW w:w="2410" w:type="dxa"/>
            <w:tcBorders>
              <w:bottom w:val="single" w:sz="4" w:space="0" w:color="auto"/>
            </w:tcBorders>
            <w:hideMark/>
          </w:tcPr>
          <w:p w14:paraId="68A829EA" w14:textId="77777777" w:rsidR="004E1E67" w:rsidRPr="004E1E67" w:rsidRDefault="004E1E67" w:rsidP="004E1E67">
            <w:pPr>
              <w:spacing w:line="240" w:lineRule="auto"/>
              <w:jc w:val="center"/>
            </w:pPr>
            <w:r w:rsidRPr="004E1E67">
              <w:t>8.660798</w:t>
            </w:r>
          </w:p>
        </w:tc>
        <w:tc>
          <w:tcPr>
            <w:tcW w:w="2268" w:type="dxa"/>
            <w:tcBorders>
              <w:bottom w:val="single" w:sz="4" w:space="0" w:color="auto"/>
            </w:tcBorders>
            <w:hideMark/>
          </w:tcPr>
          <w:p w14:paraId="165CDB77" w14:textId="77777777" w:rsidR="004E1E67" w:rsidRPr="004E1E67" w:rsidRDefault="004E1E67" w:rsidP="004E1E67">
            <w:pPr>
              <w:spacing w:line="240" w:lineRule="auto"/>
              <w:jc w:val="center"/>
            </w:pPr>
            <w:r w:rsidRPr="004E1E67">
              <w:t>-7.306204</w:t>
            </w:r>
          </w:p>
        </w:tc>
      </w:tr>
    </w:tbl>
    <w:p w14:paraId="193E087E" w14:textId="77777777" w:rsidR="00C70AA0" w:rsidRDefault="00C70AA0" w:rsidP="00AA6A30">
      <w:pPr>
        <w:shd w:val="clear" w:color="auto" w:fill="FFFFFF" w:themeFill="background1"/>
        <w:spacing w:line="240" w:lineRule="auto"/>
        <w:rPr>
          <w:b/>
          <w:color w:val="FF0000"/>
          <w:szCs w:val="24"/>
        </w:rPr>
      </w:pPr>
    </w:p>
    <w:p w14:paraId="59C01FF6" w14:textId="7DF365E0" w:rsidR="004E1E67" w:rsidRPr="009F3C70" w:rsidRDefault="004E1E67" w:rsidP="004E1E67">
      <w:pPr>
        <w:spacing w:line="240" w:lineRule="auto"/>
        <w:rPr>
          <w:b/>
          <w:bCs/>
          <w:szCs w:val="24"/>
        </w:rPr>
      </w:pPr>
      <w:r w:rsidRPr="004E1E67">
        <w:rPr>
          <w:b/>
          <w:bCs/>
        </w:rPr>
        <w:t>Table 6:</w:t>
      </w:r>
      <w:r w:rsidRPr="004E1E67">
        <w:t xml:space="preserve"> </w:t>
      </w:r>
      <w:r w:rsidRPr="004E1E67">
        <w:rPr>
          <w:szCs w:val="24"/>
        </w:rPr>
        <w:t xml:space="preserve">Quality of pest population predicting models (error in the 2019-2024 test period) for zone of low risk </w:t>
      </w:r>
      <w:r w:rsidRPr="004E1E67">
        <w:rPr>
          <w:rStyle w:val="aff"/>
          <w:rFonts w:eastAsiaTheme="majorEastAsia"/>
          <w:b w:val="0"/>
          <w:bCs w:val="0"/>
          <w:szCs w:val="24"/>
        </w:rPr>
        <w:t>of reproduction and harmfulness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2514"/>
        <w:gridCol w:w="2263"/>
        <w:gridCol w:w="2138"/>
      </w:tblGrid>
      <w:tr w:rsidR="004E1E67" w:rsidRPr="004E1E67" w14:paraId="4A5BDB7E" w14:textId="77777777" w:rsidTr="004E1E67">
        <w:trPr>
          <w:trHeight w:val="20"/>
        </w:trPr>
        <w:tc>
          <w:tcPr>
            <w:tcW w:w="2122" w:type="dxa"/>
            <w:tcBorders>
              <w:top w:val="single" w:sz="4" w:space="0" w:color="auto"/>
              <w:bottom w:val="single" w:sz="4" w:space="0" w:color="auto"/>
            </w:tcBorders>
          </w:tcPr>
          <w:p w14:paraId="3A9707EB" w14:textId="77777777" w:rsidR="004E1E67" w:rsidRPr="004E1E67" w:rsidRDefault="004E1E67" w:rsidP="004E1E67">
            <w:pPr>
              <w:spacing w:line="240" w:lineRule="auto"/>
              <w:jc w:val="center"/>
              <w:rPr>
                <w:b/>
                <w:bCs/>
              </w:rPr>
            </w:pPr>
            <w:r w:rsidRPr="004E1E67">
              <w:rPr>
                <w:b/>
                <w:bCs/>
              </w:rPr>
              <w:t>Tested Models</w:t>
            </w:r>
          </w:p>
        </w:tc>
        <w:tc>
          <w:tcPr>
            <w:tcW w:w="2693" w:type="dxa"/>
            <w:tcBorders>
              <w:top w:val="single" w:sz="4" w:space="0" w:color="auto"/>
              <w:bottom w:val="single" w:sz="4" w:space="0" w:color="auto"/>
            </w:tcBorders>
          </w:tcPr>
          <w:p w14:paraId="4F179D42" w14:textId="77777777" w:rsidR="004E1E67" w:rsidRPr="004E1E67" w:rsidRDefault="004E1E67" w:rsidP="004E1E67">
            <w:pPr>
              <w:spacing w:line="240" w:lineRule="auto"/>
              <w:jc w:val="center"/>
            </w:pPr>
            <w:r w:rsidRPr="004E1E67">
              <w:rPr>
                <w:b/>
                <w:bCs/>
              </w:rPr>
              <w:t>MAE</w:t>
            </w:r>
          </w:p>
        </w:tc>
        <w:tc>
          <w:tcPr>
            <w:tcW w:w="2410" w:type="dxa"/>
            <w:tcBorders>
              <w:top w:val="single" w:sz="4" w:space="0" w:color="auto"/>
              <w:bottom w:val="single" w:sz="4" w:space="0" w:color="auto"/>
            </w:tcBorders>
          </w:tcPr>
          <w:p w14:paraId="57F8D37A" w14:textId="77777777" w:rsidR="004E1E67" w:rsidRPr="004E1E67" w:rsidRDefault="004E1E67" w:rsidP="004E1E67">
            <w:pPr>
              <w:spacing w:line="240" w:lineRule="auto"/>
              <w:jc w:val="center"/>
            </w:pPr>
            <w:r w:rsidRPr="004E1E67">
              <w:rPr>
                <w:b/>
                <w:bCs/>
              </w:rPr>
              <w:t>RMSE</w:t>
            </w:r>
          </w:p>
        </w:tc>
        <w:tc>
          <w:tcPr>
            <w:tcW w:w="2268" w:type="dxa"/>
            <w:tcBorders>
              <w:top w:val="single" w:sz="4" w:space="0" w:color="auto"/>
              <w:bottom w:val="single" w:sz="4" w:space="0" w:color="auto"/>
            </w:tcBorders>
          </w:tcPr>
          <w:p w14:paraId="7FD5DBBD" w14:textId="77777777" w:rsidR="004E1E67" w:rsidRPr="004E1E67" w:rsidRDefault="004E1E67" w:rsidP="004E1E67">
            <w:pPr>
              <w:spacing w:line="240" w:lineRule="auto"/>
              <w:jc w:val="center"/>
            </w:pPr>
            <w:r w:rsidRPr="004E1E67">
              <w:rPr>
                <w:b/>
                <w:bCs/>
              </w:rPr>
              <w:t>R</w:t>
            </w:r>
            <w:r w:rsidRPr="004E1E67">
              <w:rPr>
                <w:b/>
                <w:bCs/>
                <w:vertAlign w:val="superscript"/>
              </w:rPr>
              <w:t>2</w:t>
            </w:r>
          </w:p>
        </w:tc>
      </w:tr>
      <w:tr w:rsidR="004E1E67" w:rsidRPr="004E1E67" w14:paraId="52CDD24B" w14:textId="77777777" w:rsidTr="004E1E67">
        <w:trPr>
          <w:trHeight w:val="20"/>
        </w:trPr>
        <w:tc>
          <w:tcPr>
            <w:tcW w:w="2122" w:type="dxa"/>
            <w:tcBorders>
              <w:top w:val="single" w:sz="4" w:space="0" w:color="auto"/>
            </w:tcBorders>
            <w:hideMark/>
          </w:tcPr>
          <w:p w14:paraId="4100581A" w14:textId="77777777" w:rsidR="004E1E67" w:rsidRPr="004E1E67" w:rsidRDefault="004E1E67" w:rsidP="004E1E67">
            <w:pPr>
              <w:spacing w:line="240" w:lineRule="auto"/>
            </w:pPr>
            <w:r w:rsidRPr="004E1E67">
              <w:t>SVR</w:t>
            </w:r>
          </w:p>
        </w:tc>
        <w:tc>
          <w:tcPr>
            <w:tcW w:w="2693" w:type="dxa"/>
            <w:tcBorders>
              <w:top w:val="single" w:sz="4" w:space="0" w:color="auto"/>
            </w:tcBorders>
            <w:hideMark/>
          </w:tcPr>
          <w:p w14:paraId="4540A36E" w14:textId="77777777" w:rsidR="004E1E67" w:rsidRPr="004E1E67" w:rsidRDefault="004E1E67" w:rsidP="004E1E67">
            <w:pPr>
              <w:spacing w:line="240" w:lineRule="auto"/>
              <w:jc w:val="center"/>
            </w:pPr>
            <w:r w:rsidRPr="004E1E67">
              <w:t>1.211944</w:t>
            </w:r>
          </w:p>
        </w:tc>
        <w:tc>
          <w:tcPr>
            <w:tcW w:w="2410" w:type="dxa"/>
            <w:tcBorders>
              <w:top w:val="single" w:sz="4" w:space="0" w:color="auto"/>
            </w:tcBorders>
            <w:hideMark/>
          </w:tcPr>
          <w:p w14:paraId="5BCA7F76" w14:textId="77777777" w:rsidR="004E1E67" w:rsidRPr="004E1E67" w:rsidRDefault="004E1E67" w:rsidP="004E1E67">
            <w:pPr>
              <w:spacing w:line="240" w:lineRule="auto"/>
              <w:jc w:val="center"/>
            </w:pPr>
            <w:r w:rsidRPr="004E1E67">
              <w:t>1.940160</w:t>
            </w:r>
          </w:p>
        </w:tc>
        <w:tc>
          <w:tcPr>
            <w:tcW w:w="2268" w:type="dxa"/>
            <w:tcBorders>
              <w:top w:val="single" w:sz="4" w:space="0" w:color="auto"/>
            </w:tcBorders>
            <w:hideMark/>
          </w:tcPr>
          <w:p w14:paraId="0288BD2B" w14:textId="77777777" w:rsidR="004E1E67" w:rsidRPr="004E1E67" w:rsidRDefault="004E1E67" w:rsidP="004E1E67">
            <w:pPr>
              <w:spacing w:line="240" w:lineRule="auto"/>
              <w:jc w:val="center"/>
            </w:pPr>
            <w:r w:rsidRPr="004E1E67">
              <w:t>-0.009623</w:t>
            </w:r>
          </w:p>
        </w:tc>
      </w:tr>
      <w:tr w:rsidR="004E1E67" w:rsidRPr="004E1E67" w14:paraId="621EEF28" w14:textId="77777777" w:rsidTr="004E1E67">
        <w:trPr>
          <w:trHeight w:val="20"/>
        </w:trPr>
        <w:tc>
          <w:tcPr>
            <w:tcW w:w="2122" w:type="dxa"/>
            <w:hideMark/>
          </w:tcPr>
          <w:p w14:paraId="3D095F84" w14:textId="77777777" w:rsidR="004E1E67" w:rsidRPr="004E1E67" w:rsidRDefault="004E1E67" w:rsidP="004E1E67">
            <w:pPr>
              <w:spacing w:line="240" w:lineRule="auto"/>
            </w:pPr>
            <w:r w:rsidRPr="004E1E67">
              <w:t>SARIMA</w:t>
            </w:r>
          </w:p>
        </w:tc>
        <w:tc>
          <w:tcPr>
            <w:tcW w:w="2693" w:type="dxa"/>
            <w:hideMark/>
          </w:tcPr>
          <w:p w14:paraId="2BA21462" w14:textId="77777777" w:rsidR="004E1E67" w:rsidRPr="004E1E67" w:rsidRDefault="004E1E67" w:rsidP="004E1E67">
            <w:pPr>
              <w:spacing w:line="240" w:lineRule="auto"/>
              <w:jc w:val="center"/>
            </w:pPr>
            <w:r w:rsidRPr="004E1E67">
              <w:t>1.761853</w:t>
            </w:r>
          </w:p>
        </w:tc>
        <w:tc>
          <w:tcPr>
            <w:tcW w:w="2410" w:type="dxa"/>
            <w:hideMark/>
          </w:tcPr>
          <w:p w14:paraId="03F4CDBF" w14:textId="77777777" w:rsidR="004E1E67" w:rsidRPr="004E1E67" w:rsidRDefault="004E1E67" w:rsidP="004E1E67">
            <w:pPr>
              <w:spacing w:line="240" w:lineRule="auto"/>
              <w:jc w:val="center"/>
            </w:pPr>
            <w:r w:rsidRPr="004E1E67">
              <w:t>2.095881</w:t>
            </w:r>
          </w:p>
        </w:tc>
        <w:tc>
          <w:tcPr>
            <w:tcW w:w="2268" w:type="dxa"/>
            <w:hideMark/>
          </w:tcPr>
          <w:p w14:paraId="6185B934" w14:textId="77777777" w:rsidR="004E1E67" w:rsidRPr="004E1E67" w:rsidRDefault="004E1E67" w:rsidP="004E1E67">
            <w:pPr>
              <w:spacing w:line="240" w:lineRule="auto"/>
              <w:jc w:val="center"/>
            </w:pPr>
            <w:r w:rsidRPr="004E1E67">
              <w:t>-0.178196</w:t>
            </w:r>
          </w:p>
        </w:tc>
      </w:tr>
      <w:tr w:rsidR="004E1E67" w:rsidRPr="004E1E67" w14:paraId="362F5A1C" w14:textId="77777777" w:rsidTr="004E1E67">
        <w:trPr>
          <w:trHeight w:val="20"/>
        </w:trPr>
        <w:tc>
          <w:tcPr>
            <w:tcW w:w="2122" w:type="dxa"/>
            <w:hideMark/>
          </w:tcPr>
          <w:p w14:paraId="57C9C79E" w14:textId="77777777" w:rsidR="004E1E67" w:rsidRPr="004E1E67" w:rsidRDefault="004E1E67" w:rsidP="004E1E67">
            <w:pPr>
              <w:spacing w:line="240" w:lineRule="auto"/>
            </w:pPr>
            <w:r w:rsidRPr="004E1E67">
              <w:t>RandomForest</w:t>
            </w:r>
          </w:p>
        </w:tc>
        <w:tc>
          <w:tcPr>
            <w:tcW w:w="2693" w:type="dxa"/>
            <w:hideMark/>
          </w:tcPr>
          <w:p w14:paraId="72FBDC6D" w14:textId="77777777" w:rsidR="004E1E67" w:rsidRPr="004E1E67" w:rsidRDefault="004E1E67" w:rsidP="004E1E67">
            <w:pPr>
              <w:spacing w:line="240" w:lineRule="auto"/>
              <w:jc w:val="center"/>
            </w:pPr>
            <w:r w:rsidRPr="004E1E67">
              <w:t>1.669998</w:t>
            </w:r>
          </w:p>
        </w:tc>
        <w:tc>
          <w:tcPr>
            <w:tcW w:w="2410" w:type="dxa"/>
            <w:hideMark/>
          </w:tcPr>
          <w:p w14:paraId="43442E3E" w14:textId="77777777" w:rsidR="004E1E67" w:rsidRPr="004E1E67" w:rsidRDefault="004E1E67" w:rsidP="004E1E67">
            <w:pPr>
              <w:spacing w:line="240" w:lineRule="auto"/>
              <w:jc w:val="center"/>
            </w:pPr>
            <w:r w:rsidRPr="004E1E67">
              <w:t>2.146758</w:t>
            </w:r>
          </w:p>
        </w:tc>
        <w:tc>
          <w:tcPr>
            <w:tcW w:w="2268" w:type="dxa"/>
            <w:hideMark/>
          </w:tcPr>
          <w:p w14:paraId="29AEE90D" w14:textId="77777777" w:rsidR="004E1E67" w:rsidRPr="004E1E67" w:rsidRDefault="004E1E67" w:rsidP="004E1E67">
            <w:pPr>
              <w:spacing w:line="240" w:lineRule="auto"/>
              <w:jc w:val="center"/>
            </w:pPr>
            <w:r w:rsidRPr="004E1E67">
              <w:t>-0.236090</w:t>
            </w:r>
          </w:p>
        </w:tc>
      </w:tr>
      <w:tr w:rsidR="004E1E67" w:rsidRPr="004E1E67" w14:paraId="1986099B" w14:textId="77777777" w:rsidTr="004E1E67">
        <w:trPr>
          <w:trHeight w:val="20"/>
        </w:trPr>
        <w:tc>
          <w:tcPr>
            <w:tcW w:w="2122" w:type="dxa"/>
            <w:hideMark/>
          </w:tcPr>
          <w:p w14:paraId="51A0BB76" w14:textId="77777777" w:rsidR="004E1E67" w:rsidRPr="004E1E67" w:rsidRDefault="004E1E67" w:rsidP="004E1E67">
            <w:pPr>
              <w:spacing w:line="240" w:lineRule="auto"/>
            </w:pPr>
            <w:r w:rsidRPr="004E1E67">
              <w:t>GradientBoosting</w:t>
            </w:r>
          </w:p>
        </w:tc>
        <w:tc>
          <w:tcPr>
            <w:tcW w:w="2693" w:type="dxa"/>
            <w:hideMark/>
          </w:tcPr>
          <w:p w14:paraId="1E448F29" w14:textId="77777777" w:rsidR="004E1E67" w:rsidRPr="004E1E67" w:rsidRDefault="004E1E67" w:rsidP="004E1E67">
            <w:pPr>
              <w:spacing w:line="240" w:lineRule="auto"/>
              <w:jc w:val="center"/>
            </w:pPr>
            <w:r w:rsidRPr="004E1E67">
              <w:t>1.607066</w:t>
            </w:r>
          </w:p>
        </w:tc>
        <w:tc>
          <w:tcPr>
            <w:tcW w:w="2410" w:type="dxa"/>
            <w:hideMark/>
          </w:tcPr>
          <w:p w14:paraId="4734E3F2" w14:textId="77777777" w:rsidR="004E1E67" w:rsidRPr="004E1E67" w:rsidRDefault="004E1E67" w:rsidP="004E1E67">
            <w:pPr>
              <w:spacing w:line="240" w:lineRule="auto"/>
              <w:jc w:val="center"/>
            </w:pPr>
            <w:r w:rsidRPr="004E1E67">
              <w:t>2.198644</w:t>
            </w:r>
          </w:p>
        </w:tc>
        <w:tc>
          <w:tcPr>
            <w:tcW w:w="2268" w:type="dxa"/>
            <w:hideMark/>
          </w:tcPr>
          <w:p w14:paraId="5319A2C4" w14:textId="77777777" w:rsidR="004E1E67" w:rsidRPr="004E1E67" w:rsidRDefault="004E1E67" w:rsidP="004E1E67">
            <w:pPr>
              <w:spacing w:line="240" w:lineRule="auto"/>
              <w:jc w:val="center"/>
            </w:pPr>
            <w:r w:rsidRPr="004E1E67">
              <w:t>-0.296564</w:t>
            </w:r>
          </w:p>
        </w:tc>
      </w:tr>
      <w:tr w:rsidR="004E1E67" w:rsidRPr="004E1E67" w14:paraId="0E9CD2FC" w14:textId="77777777" w:rsidTr="004E1E67">
        <w:trPr>
          <w:trHeight w:val="20"/>
        </w:trPr>
        <w:tc>
          <w:tcPr>
            <w:tcW w:w="2122" w:type="dxa"/>
            <w:tcBorders>
              <w:bottom w:val="single" w:sz="4" w:space="0" w:color="auto"/>
            </w:tcBorders>
            <w:hideMark/>
          </w:tcPr>
          <w:p w14:paraId="462B2EF7" w14:textId="77777777" w:rsidR="004E1E67" w:rsidRPr="004E1E67" w:rsidRDefault="004E1E67" w:rsidP="004E1E67">
            <w:pPr>
              <w:spacing w:line="240" w:lineRule="auto"/>
            </w:pPr>
            <w:r w:rsidRPr="004E1E67">
              <w:t>LinearRegression</w:t>
            </w:r>
          </w:p>
        </w:tc>
        <w:tc>
          <w:tcPr>
            <w:tcW w:w="2693" w:type="dxa"/>
            <w:tcBorders>
              <w:bottom w:val="single" w:sz="4" w:space="0" w:color="auto"/>
            </w:tcBorders>
            <w:hideMark/>
          </w:tcPr>
          <w:p w14:paraId="01B5814B" w14:textId="77777777" w:rsidR="004E1E67" w:rsidRPr="004E1E67" w:rsidRDefault="004E1E67" w:rsidP="004E1E67">
            <w:pPr>
              <w:spacing w:line="240" w:lineRule="auto"/>
              <w:jc w:val="center"/>
            </w:pPr>
            <w:r w:rsidRPr="004E1E67">
              <w:t>1.868226</w:t>
            </w:r>
          </w:p>
        </w:tc>
        <w:tc>
          <w:tcPr>
            <w:tcW w:w="2410" w:type="dxa"/>
            <w:tcBorders>
              <w:bottom w:val="single" w:sz="4" w:space="0" w:color="auto"/>
            </w:tcBorders>
            <w:hideMark/>
          </w:tcPr>
          <w:p w14:paraId="2B2DB945" w14:textId="77777777" w:rsidR="004E1E67" w:rsidRPr="004E1E67" w:rsidRDefault="004E1E67" w:rsidP="004E1E67">
            <w:pPr>
              <w:spacing w:line="240" w:lineRule="auto"/>
              <w:jc w:val="center"/>
            </w:pPr>
            <w:r w:rsidRPr="004E1E67">
              <w:t>2.214488</w:t>
            </w:r>
          </w:p>
        </w:tc>
        <w:tc>
          <w:tcPr>
            <w:tcW w:w="2268" w:type="dxa"/>
            <w:tcBorders>
              <w:bottom w:val="single" w:sz="4" w:space="0" w:color="auto"/>
            </w:tcBorders>
            <w:hideMark/>
          </w:tcPr>
          <w:p w14:paraId="14294731" w14:textId="77777777" w:rsidR="004E1E67" w:rsidRPr="004E1E67" w:rsidRDefault="004E1E67" w:rsidP="004E1E67">
            <w:pPr>
              <w:spacing w:line="240" w:lineRule="auto"/>
              <w:jc w:val="center"/>
            </w:pPr>
            <w:r w:rsidRPr="004E1E67">
              <w:t>-0.315319</w:t>
            </w:r>
          </w:p>
        </w:tc>
      </w:tr>
    </w:tbl>
    <w:p w14:paraId="00DC9EC4" w14:textId="77777777" w:rsidR="004E1E67" w:rsidRPr="00754A3B" w:rsidRDefault="004E1E67" w:rsidP="00AA6A30">
      <w:pPr>
        <w:shd w:val="clear" w:color="auto" w:fill="FFFFFF" w:themeFill="background1"/>
        <w:spacing w:line="240" w:lineRule="auto"/>
        <w:rPr>
          <w:b/>
          <w:color w:val="FF0000"/>
          <w:szCs w:val="24"/>
        </w:rPr>
      </w:pPr>
    </w:p>
    <w:p w14:paraId="06F6B5D8" w14:textId="77777777" w:rsidR="004E0A28" w:rsidRPr="004E0A28" w:rsidRDefault="004E0A28" w:rsidP="004E0A28">
      <w:pPr>
        <w:pStyle w:val="afa"/>
        <w:spacing w:line="240" w:lineRule="auto"/>
      </w:pPr>
      <w:r w:rsidRPr="004E0A28">
        <w:rPr>
          <w:lang w:val="ru-RU" w:eastAsia="ru-RU"/>
        </w:rPr>
        <w:lastRenderedPageBreak/>
        <w:drawing>
          <wp:inline distT="0" distB="0" distL="0" distR="0" wp14:anchorId="50E72589" wp14:editId="2591B16F">
            <wp:extent cx="5274896" cy="3729201"/>
            <wp:effectExtent l="0" t="0" r="254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79083" cy="3732161"/>
                    </a:xfrm>
                    <a:prstGeom prst="rect">
                      <a:avLst/>
                    </a:prstGeom>
                    <a:noFill/>
                    <a:ln>
                      <a:noFill/>
                    </a:ln>
                  </pic:spPr>
                </pic:pic>
              </a:graphicData>
            </a:graphic>
          </wp:inline>
        </w:drawing>
      </w:r>
    </w:p>
    <w:p w14:paraId="41AACF7F" w14:textId="77777777" w:rsidR="004E0A28" w:rsidRDefault="004E0A28" w:rsidP="004E0A28">
      <w:pPr>
        <w:pStyle w:val="afa"/>
        <w:shd w:val="clear" w:color="auto" w:fill="FFFFFF"/>
        <w:tabs>
          <w:tab w:val="left" w:pos="709"/>
          <w:tab w:val="left" w:pos="851"/>
        </w:tabs>
        <w:spacing w:line="240" w:lineRule="auto"/>
        <w:textAlignment w:val="baseline"/>
      </w:pPr>
      <w:r w:rsidRPr="004E0A28">
        <w:rPr>
          <w:b/>
        </w:rPr>
        <w:t>Fig. 1:</w:t>
      </w:r>
      <w:r w:rsidRPr="004E0A28">
        <w:t xml:space="preserve"> Agroclimatic zones of Kazakhstan</w:t>
      </w:r>
    </w:p>
    <w:p w14:paraId="5B348C1E" w14:textId="77777777" w:rsidR="004E0A28" w:rsidRDefault="004E0A28" w:rsidP="004E0A28">
      <w:pPr>
        <w:pStyle w:val="afa"/>
        <w:shd w:val="clear" w:color="auto" w:fill="FFFFFF"/>
        <w:tabs>
          <w:tab w:val="left" w:pos="709"/>
          <w:tab w:val="left" w:pos="851"/>
        </w:tabs>
        <w:spacing w:line="240" w:lineRule="auto"/>
        <w:textAlignment w:val="baseline"/>
      </w:pPr>
    </w:p>
    <w:p w14:paraId="5E232606" w14:textId="77777777" w:rsidR="004E0A28" w:rsidRPr="004E0A28" w:rsidRDefault="004E0A28" w:rsidP="004E0A28">
      <w:pPr>
        <w:spacing w:line="240" w:lineRule="auto"/>
        <w:rPr>
          <w:szCs w:val="24"/>
          <w:lang w:eastAsia="ru-RU"/>
        </w:rPr>
      </w:pPr>
      <w:r w:rsidRPr="004E0A28">
        <w:rPr>
          <w:szCs w:val="24"/>
          <w:lang w:val="ru-RU" w:eastAsia="ru-RU"/>
        </w:rPr>
        <w:drawing>
          <wp:inline distT="0" distB="0" distL="0" distR="0" wp14:anchorId="309AA2D5" wp14:editId="0A6740E3">
            <wp:extent cx="4315460" cy="3236595"/>
            <wp:effectExtent l="19050" t="19050" r="27940" b="209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15460" cy="3236595"/>
                    </a:xfrm>
                    <a:prstGeom prst="rect">
                      <a:avLst/>
                    </a:prstGeom>
                    <a:noFill/>
                    <a:ln w="3175">
                      <a:solidFill>
                        <a:schemeClr val="tx1"/>
                      </a:solidFill>
                    </a:ln>
                  </pic:spPr>
                </pic:pic>
              </a:graphicData>
            </a:graphic>
          </wp:inline>
        </w:drawing>
      </w:r>
    </w:p>
    <w:p w14:paraId="057690B8" w14:textId="0361A963" w:rsidR="004E0A28" w:rsidRPr="009F3C70" w:rsidRDefault="004E0A28" w:rsidP="004E0A28">
      <w:pPr>
        <w:spacing w:line="240" w:lineRule="auto"/>
        <w:rPr>
          <w:b/>
          <w:bCs/>
          <w:szCs w:val="24"/>
        </w:rPr>
      </w:pPr>
      <w:r w:rsidRPr="004E0A28">
        <w:rPr>
          <w:rStyle w:val="aff"/>
          <w:rFonts w:eastAsiaTheme="majorEastAsia"/>
          <w:szCs w:val="24"/>
        </w:rPr>
        <w:t>Fig. 2:</w:t>
      </w:r>
      <w:r w:rsidRPr="004E0A28">
        <w:rPr>
          <w:szCs w:val="24"/>
        </w:rPr>
        <w:t xml:space="preserve"> Top 15 most important predictors of population forecasting for the high reproduction and harmfulness risk zone according</w:t>
      </w:r>
      <w:r>
        <w:rPr>
          <w:szCs w:val="24"/>
        </w:rPr>
        <w:t xml:space="preserve"> to the Random Forest algorithm</w:t>
      </w:r>
    </w:p>
    <w:p w14:paraId="1C0CA582" w14:textId="77777777" w:rsidR="004E0A28" w:rsidRDefault="004E0A28" w:rsidP="004E0A28">
      <w:pPr>
        <w:pStyle w:val="afa"/>
        <w:shd w:val="clear" w:color="auto" w:fill="FFFFFF"/>
        <w:tabs>
          <w:tab w:val="left" w:pos="709"/>
          <w:tab w:val="left" w:pos="851"/>
        </w:tabs>
        <w:spacing w:line="240" w:lineRule="auto"/>
        <w:textAlignment w:val="baseline"/>
      </w:pPr>
    </w:p>
    <w:p w14:paraId="2842EF49" w14:textId="77777777" w:rsidR="004E0A28" w:rsidRPr="004E0A28" w:rsidRDefault="004E0A28" w:rsidP="004E0A28">
      <w:pPr>
        <w:spacing w:line="240" w:lineRule="auto"/>
        <w:rPr>
          <w:b/>
          <w:bCs/>
          <w:szCs w:val="24"/>
        </w:rPr>
      </w:pPr>
      <w:r w:rsidRPr="004E0A28">
        <w:rPr>
          <w:szCs w:val="24"/>
          <w:lang w:val="ru-RU" w:eastAsia="ru-RU"/>
        </w:rPr>
        <w:lastRenderedPageBreak/>
        <w:drawing>
          <wp:inline distT="0" distB="0" distL="0" distR="0" wp14:anchorId="4D80205C" wp14:editId="7E7FDDA7">
            <wp:extent cx="4404995" cy="3303905"/>
            <wp:effectExtent l="19050" t="19050" r="14605" b="1079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404995" cy="3303905"/>
                    </a:xfrm>
                    <a:prstGeom prst="rect">
                      <a:avLst/>
                    </a:prstGeom>
                    <a:noFill/>
                    <a:ln w="3175">
                      <a:solidFill>
                        <a:schemeClr val="tx1"/>
                      </a:solidFill>
                    </a:ln>
                  </pic:spPr>
                </pic:pic>
              </a:graphicData>
            </a:graphic>
          </wp:inline>
        </w:drawing>
      </w:r>
    </w:p>
    <w:p w14:paraId="2AE27A72" w14:textId="40349B83" w:rsidR="004E0A28" w:rsidRDefault="004E0A28" w:rsidP="004E0A28">
      <w:pPr>
        <w:spacing w:line="240" w:lineRule="auto"/>
        <w:rPr>
          <w:szCs w:val="24"/>
        </w:rPr>
      </w:pPr>
      <w:r w:rsidRPr="004E0A28">
        <w:rPr>
          <w:rStyle w:val="aff"/>
          <w:rFonts w:eastAsiaTheme="majorEastAsia"/>
          <w:szCs w:val="24"/>
        </w:rPr>
        <w:t>Fig</w:t>
      </w:r>
      <w:r>
        <w:rPr>
          <w:rStyle w:val="aff"/>
          <w:rFonts w:eastAsiaTheme="majorEastAsia"/>
          <w:szCs w:val="24"/>
        </w:rPr>
        <w:t>.</w:t>
      </w:r>
      <w:r w:rsidRPr="004E0A28">
        <w:rPr>
          <w:rStyle w:val="aff"/>
          <w:rFonts w:eastAsiaTheme="majorEastAsia"/>
          <w:szCs w:val="24"/>
        </w:rPr>
        <w:t xml:space="preserve"> 3:</w:t>
      </w:r>
      <w:r w:rsidRPr="004E0A28">
        <w:rPr>
          <w:szCs w:val="24"/>
        </w:rPr>
        <w:t xml:space="preserve"> Top 15 most important predictors of population forecasting for the moderate reproduction and harmfulness risk zone according</w:t>
      </w:r>
      <w:r>
        <w:rPr>
          <w:szCs w:val="24"/>
        </w:rPr>
        <w:t xml:space="preserve"> to the Random Forest algorithm</w:t>
      </w:r>
    </w:p>
    <w:p w14:paraId="5E961F1E" w14:textId="77777777" w:rsidR="004E0A28" w:rsidRDefault="004E0A28" w:rsidP="004E0A28">
      <w:pPr>
        <w:spacing w:line="240" w:lineRule="auto"/>
        <w:rPr>
          <w:szCs w:val="24"/>
        </w:rPr>
      </w:pPr>
    </w:p>
    <w:p w14:paraId="58F54802" w14:textId="77777777" w:rsidR="004E0A28" w:rsidRPr="00B01DD3" w:rsidRDefault="004E0A28" w:rsidP="00B01DD3">
      <w:pPr>
        <w:spacing w:line="240" w:lineRule="auto"/>
        <w:rPr>
          <w:szCs w:val="24"/>
          <w:lang w:eastAsia="ru-RU"/>
        </w:rPr>
      </w:pPr>
      <w:r w:rsidRPr="00B01DD3">
        <w:rPr>
          <w:szCs w:val="24"/>
          <w:lang w:val="ru-RU" w:eastAsia="ru-RU"/>
        </w:rPr>
        <w:drawing>
          <wp:inline distT="0" distB="0" distL="0" distR="0" wp14:anchorId="0D55B3CB" wp14:editId="15266F13">
            <wp:extent cx="4419600" cy="3239135"/>
            <wp:effectExtent l="19050" t="19050" r="19050" b="184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419600" cy="3239135"/>
                    </a:xfrm>
                    <a:prstGeom prst="rect">
                      <a:avLst/>
                    </a:prstGeom>
                    <a:noFill/>
                    <a:ln w="3175">
                      <a:solidFill>
                        <a:schemeClr val="tx1"/>
                      </a:solidFill>
                    </a:ln>
                  </pic:spPr>
                </pic:pic>
              </a:graphicData>
            </a:graphic>
          </wp:inline>
        </w:drawing>
      </w:r>
    </w:p>
    <w:p w14:paraId="712C3CA2" w14:textId="781EDE56" w:rsidR="004E0A28" w:rsidRPr="009F3C70" w:rsidRDefault="004E0A28" w:rsidP="00B01DD3">
      <w:pPr>
        <w:spacing w:line="240" w:lineRule="auto"/>
        <w:rPr>
          <w:szCs w:val="24"/>
        </w:rPr>
      </w:pPr>
      <w:r w:rsidRPr="00B01DD3">
        <w:rPr>
          <w:rStyle w:val="aff"/>
          <w:rFonts w:eastAsiaTheme="majorEastAsia"/>
          <w:szCs w:val="24"/>
        </w:rPr>
        <w:t>Fig</w:t>
      </w:r>
      <w:r w:rsidR="00B01DD3">
        <w:rPr>
          <w:rStyle w:val="aff"/>
          <w:rFonts w:eastAsiaTheme="majorEastAsia"/>
          <w:szCs w:val="24"/>
        </w:rPr>
        <w:t>.</w:t>
      </w:r>
      <w:r w:rsidRPr="00B01DD3">
        <w:rPr>
          <w:rStyle w:val="aff"/>
          <w:rFonts w:eastAsiaTheme="majorEastAsia"/>
          <w:szCs w:val="24"/>
        </w:rPr>
        <w:t xml:space="preserve"> 4:</w:t>
      </w:r>
      <w:r w:rsidRPr="00B01DD3">
        <w:rPr>
          <w:szCs w:val="24"/>
        </w:rPr>
        <w:t xml:space="preserve"> Top 15 most important predictors of population forecasting for the low reproduction and harmfulness risk zone according</w:t>
      </w:r>
      <w:r w:rsidR="00B01DD3" w:rsidRPr="00B01DD3">
        <w:rPr>
          <w:szCs w:val="24"/>
        </w:rPr>
        <w:t xml:space="preserve"> to the Random Forest algorithm</w:t>
      </w:r>
    </w:p>
    <w:p w14:paraId="0DC12D80" w14:textId="77777777" w:rsidR="004E0A28" w:rsidRDefault="004E0A28" w:rsidP="004E0A28">
      <w:pPr>
        <w:pStyle w:val="afa"/>
        <w:shd w:val="clear" w:color="auto" w:fill="FFFFFF"/>
        <w:tabs>
          <w:tab w:val="left" w:pos="709"/>
          <w:tab w:val="left" w:pos="851"/>
        </w:tabs>
        <w:spacing w:line="240" w:lineRule="auto"/>
        <w:textAlignment w:val="baseline"/>
      </w:pPr>
    </w:p>
    <w:p w14:paraId="4DC9FC11" w14:textId="77777777" w:rsidR="000B066F" w:rsidRPr="000B066F" w:rsidRDefault="000B066F" w:rsidP="000B066F">
      <w:pPr>
        <w:spacing w:line="240" w:lineRule="auto"/>
      </w:pPr>
      <w:r w:rsidRPr="000B066F">
        <w:rPr>
          <w:lang w:val="ru-RU" w:eastAsia="ru-RU"/>
        </w:rPr>
        <w:lastRenderedPageBreak/>
        <w:drawing>
          <wp:inline distT="0" distB="0" distL="0" distR="0" wp14:anchorId="71801D32" wp14:editId="3943F895">
            <wp:extent cx="5666154" cy="2583233"/>
            <wp:effectExtent l="19050" t="19050" r="10795" b="266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88931" cy="2593617"/>
                    </a:xfrm>
                    <a:prstGeom prst="rect">
                      <a:avLst/>
                    </a:prstGeom>
                    <a:noFill/>
                    <a:ln w="3175">
                      <a:solidFill>
                        <a:schemeClr val="tx1"/>
                      </a:solidFill>
                    </a:ln>
                  </pic:spPr>
                </pic:pic>
              </a:graphicData>
            </a:graphic>
          </wp:inline>
        </w:drawing>
      </w:r>
    </w:p>
    <w:p w14:paraId="58D7FFE0" w14:textId="1A6635C3" w:rsidR="000B066F" w:rsidRPr="009F3C70" w:rsidRDefault="000B066F" w:rsidP="000B066F">
      <w:pPr>
        <w:spacing w:line="240" w:lineRule="auto"/>
        <w:rPr>
          <w:rStyle w:val="aff"/>
          <w:rFonts w:eastAsiaTheme="majorEastAsia"/>
          <w:b w:val="0"/>
          <w:bCs w:val="0"/>
          <w:szCs w:val="24"/>
        </w:rPr>
      </w:pPr>
      <w:r w:rsidRPr="000B066F">
        <w:rPr>
          <w:b/>
          <w:bCs/>
          <w:szCs w:val="24"/>
        </w:rPr>
        <w:t>Fig</w:t>
      </w:r>
      <w:r>
        <w:rPr>
          <w:b/>
          <w:bCs/>
          <w:szCs w:val="24"/>
        </w:rPr>
        <w:t>.</w:t>
      </w:r>
      <w:r w:rsidRPr="000B066F">
        <w:rPr>
          <w:b/>
          <w:bCs/>
          <w:szCs w:val="24"/>
        </w:rPr>
        <w:t xml:space="preserve"> 5: </w:t>
      </w:r>
      <w:r w:rsidRPr="000B066F">
        <w:rPr>
          <w:szCs w:val="24"/>
        </w:rPr>
        <w:t xml:space="preserve">Predictive modeling of harmful non-gregarious locust population dynamics for zone of high risk </w:t>
      </w:r>
      <w:r w:rsidRPr="000B066F">
        <w:rPr>
          <w:rStyle w:val="aff"/>
          <w:rFonts w:eastAsiaTheme="majorEastAsia"/>
          <w:b w:val="0"/>
          <w:bCs w:val="0"/>
          <w:szCs w:val="24"/>
        </w:rPr>
        <w:t>of reproduction and harmfulness</w:t>
      </w:r>
    </w:p>
    <w:p w14:paraId="70728509" w14:textId="77777777" w:rsidR="004E0A28" w:rsidRPr="009F3C70" w:rsidRDefault="004E0A28" w:rsidP="004E0A28">
      <w:pPr>
        <w:pStyle w:val="afa"/>
        <w:shd w:val="clear" w:color="auto" w:fill="FFFFFF"/>
        <w:tabs>
          <w:tab w:val="left" w:pos="709"/>
          <w:tab w:val="left" w:pos="851"/>
        </w:tabs>
        <w:spacing w:line="240" w:lineRule="auto"/>
        <w:textAlignment w:val="baseline"/>
      </w:pPr>
    </w:p>
    <w:p w14:paraId="740463EA" w14:textId="77777777" w:rsidR="00625D42" w:rsidRPr="00625D42" w:rsidRDefault="00625D42" w:rsidP="00625D42">
      <w:pPr>
        <w:spacing w:line="240" w:lineRule="auto"/>
        <w:rPr>
          <w:b/>
          <w:bCs/>
          <w:szCs w:val="24"/>
        </w:rPr>
      </w:pPr>
      <w:r w:rsidRPr="00625D42">
        <w:rPr>
          <w:lang w:val="ru-RU" w:eastAsia="ru-RU"/>
        </w:rPr>
        <w:drawing>
          <wp:inline distT="0" distB="0" distL="0" distR="0" wp14:anchorId="4F29B655" wp14:editId="44EA2A07">
            <wp:extent cx="5674702" cy="2585311"/>
            <wp:effectExtent l="19050" t="19050" r="21590" b="2476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90101" cy="2592327"/>
                    </a:xfrm>
                    <a:prstGeom prst="rect">
                      <a:avLst/>
                    </a:prstGeom>
                    <a:noFill/>
                    <a:ln w="3175">
                      <a:solidFill>
                        <a:schemeClr val="tx1"/>
                      </a:solidFill>
                    </a:ln>
                  </pic:spPr>
                </pic:pic>
              </a:graphicData>
            </a:graphic>
          </wp:inline>
        </w:drawing>
      </w:r>
    </w:p>
    <w:p w14:paraId="677A0549" w14:textId="0DDA08F5" w:rsidR="00625D42" w:rsidRDefault="00625D42" w:rsidP="00625D42">
      <w:pPr>
        <w:spacing w:line="240" w:lineRule="auto"/>
        <w:rPr>
          <w:rStyle w:val="aff"/>
          <w:rFonts w:eastAsiaTheme="majorEastAsia"/>
          <w:b w:val="0"/>
          <w:bCs w:val="0"/>
          <w:szCs w:val="24"/>
        </w:rPr>
      </w:pPr>
      <w:r w:rsidRPr="00625D42">
        <w:rPr>
          <w:b/>
          <w:bCs/>
          <w:szCs w:val="24"/>
        </w:rPr>
        <w:t>Fig</w:t>
      </w:r>
      <w:r>
        <w:rPr>
          <w:b/>
          <w:bCs/>
          <w:szCs w:val="24"/>
        </w:rPr>
        <w:t>.</w:t>
      </w:r>
      <w:r w:rsidRPr="00625D42">
        <w:rPr>
          <w:b/>
          <w:bCs/>
          <w:szCs w:val="24"/>
        </w:rPr>
        <w:t xml:space="preserve"> 6</w:t>
      </w:r>
      <w:r>
        <w:rPr>
          <w:b/>
          <w:bCs/>
          <w:szCs w:val="24"/>
        </w:rPr>
        <w:t>:</w:t>
      </w:r>
      <w:r w:rsidRPr="00625D42">
        <w:rPr>
          <w:b/>
          <w:bCs/>
          <w:szCs w:val="24"/>
        </w:rPr>
        <w:t xml:space="preserve"> </w:t>
      </w:r>
      <w:r w:rsidRPr="00625D42">
        <w:rPr>
          <w:szCs w:val="24"/>
        </w:rPr>
        <w:t xml:space="preserve">Predictive modeling of harmful non-gregarious locust population dynamics for zone of moderate risk </w:t>
      </w:r>
      <w:r w:rsidRPr="00625D42">
        <w:rPr>
          <w:rStyle w:val="aff"/>
          <w:rFonts w:eastAsiaTheme="majorEastAsia"/>
          <w:b w:val="0"/>
          <w:bCs w:val="0"/>
          <w:szCs w:val="24"/>
        </w:rPr>
        <w:t>of reproduction and harmfulness</w:t>
      </w:r>
    </w:p>
    <w:p w14:paraId="101BA213" w14:textId="77777777" w:rsidR="00625D42" w:rsidRDefault="00625D42" w:rsidP="00625D42">
      <w:pPr>
        <w:spacing w:line="240" w:lineRule="auto"/>
        <w:rPr>
          <w:rStyle w:val="aff"/>
          <w:rFonts w:eastAsiaTheme="majorEastAsia"/>
          <w:b w:val="0"/>
          <w:bCs w:val="0"/>
          <w:szCs w:val="24"/>
        </w:rPr>
      </w:pPr>
    </w:p>
    <w:p w14:paraId="28D85B13" w14:textId="77777777" w:rsidR="00491BC9" w:rsidRPr="00491BC9" w:rsidRDefault="00491BC9" w:rsidP="00491BC9">
      <w:pPr>
        <w:spacing w:line="240" w:lineRule="auto"/>
        <w:rPr>
          <w:b/>
          <w:bCs/>
          <w:szCs w:val="24"/>
        </w:rPr>
      </w:pPr>
      <w:r w:rsidRPr="00491BC9">
        <w:rPr>
          <w:lang w:val="ru-RU" w:eastAsia="ru-RU"/>
        </w:rPr>
        <w:lastRenderedPageBreak/>
        <w:drawing>
          <wp:inline distT="0" distB="0" distL="0" distR="0" wp14:anchorId="76320960" wp14:editId="625840AC">
            <wp:extent cx="5627517" cy="2565618"/>
            <wp:effectExtent l="19050" t="19050" r="11430" b="2540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42074" cy="2572255"/>
                    </a:xfrm>
                    <a:prstGeom prst="rect">
                      <a:avLst/>
                    </a:prstGeom>
                    <a:noFill/>
                    <a:ln w="3175">
                      <a:solidFill>
                        <a:schemeClr val="tx1"/>
                      </a:solidFill>
                    </a:ln>
                  </pic:spPr>
                </pic:pic>
              </a:graphicData>
            </a:graphic>
          </wp:inline>
        </w:drawing>
      </w:r>
    </w:p>
    <w:p w14:paraId="0F2AC0C5" w14:textId="21D101BE" w:rsidR="00491BC9" w:rsidRDefault="00491BC9" w:rsidP="00491BC9">
      <w:pPr>
        <w:spacing w:line="240" w:lineRule="auto"/>
        <w:rPr>
          <w:rStyle w:val="aff"/>
          <w:rFonts w:eastAsiaTheme="majorEastAsia"/>
          <w:b w:val="0"/>
          <w:bCs w:val="0"/>
          <w:szCs w:val="24"/>
        </w:rPr>
      </w:pPr>
      <w:r w:rsidRPr="00491BC9">
        <w:rPr>
          <w:b/>
          <w:bCs/>
          <w:szCs w:val="24"/>
        </w:rPr>
        <w:t>Fig</w:t>
      </w:r>
      <w:r>
        <w:rPr>
          <w:b/>
          <w:bCs/>
          <w:szCs w:val="24"/>
        </w:rPr>
        <w:t>.</w:t>
      </w:r>
      <w:r w:rsidRPr="00491BC9">
        <w:rPr>
          <w:b/>
          <w:bCs/>
          <w:szCs w:val="24"/>
        </w:rPr>
        <w:t xml:space="preserve"> 7</w:t>
      </w:r>
      <w:r>
        <w:rPr>
          <w:b/>
          <w:bCs/>
          <w:szCs w:val="24"/>
        </w:rPr>
        <w:t>:</w:t>
      </w:r>
      <w:r w:rsidRPr="00491BC9">
        <w:rPr>
          <w:b/>
          <w:bCs/>
          <w:szCs w:val="24"/>
        </w:rPr>
        <w:t xml:space="preserve"> </w:t>
      </w:r>
      <w:r w:rsidRPr="00491BC9">
        <w:rPr>
          <w:szCs w:val="24"/>
        </w:rPr>
        <w:t xml:space="preserve">Predictive modeling of harmful non-gregarious locust population dynamics for zone of low risk </w:t>
      </w:r>
      <w:r w:rsidRPr="00491BC9">
        <w:rPr>
          <w:rStyle w:val="aff"/>
          <w:rFonts w:eastAsiaTheme="majorEastAsia"/>
          <w:b w:val="0"/>
          <w:bCs w:val="0"/>
          <w:szCs w:val="24"/>
        </w:rPr>
        <w:t>of reproduction and harmfulness</w:t>
      </w:r>
    </w:p>
    <w:p w14:paraId="0B830392" w14:textId="77777777" w:rsidR="00491BC9" w:rsidRDefault="00491BC9" w:rsidP="00491BC9">
      <w:pPr>
        <w:spacing w:line="240" w:lineRule="auto"/>
        <w:rPr>
          <w:rStyle w:val="aff"/>
          <w:rFonts w:eastAsiaTheme="majorEastAsia"/>
          <w:b w:val="0"/>
          <w:bCs w:val="0"/>
          <w:szCs w:val="24"/>
        </w:rPr>
      </w:pPr>
    </w:p>
    <w:p w14:paraId="0338108F" w14:textId="77777777" w:rsidR="00383FDB" w:rsidRPr="00383FDB" w:rsidRDefault="00383FDB" w:rsidP="00383FDB">
      <w:pPr>
        <w:pStyle w:val="afa"/>
        <w:spacing w:line="240" w:lineRule="auto"/>
      </w:pPr>
      <w:r w:rsidRPr="00383FDB">
        <w:rPr>
          <w:lang w:val="ru-RU" w:eastAsia="ru-RU"/>
        </w:rPr>
        <w:drawing>
          <wp:inline distT="0" distB="0" distL="0" distR="0" wp14:anchorId="63F2A09D" wp14:editId="6E088AD6">
            <wp:extent cx="3702685" cy="3609975"/>
            <wp:effectExtent l="19050" t="19050" r="12065" b="285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02685" cy="3609975"/>
                    </a:xfrm>
                    <a:prstGeom prst="rect">
                      <a:avLst/>
                    </a:prstGeom>
                    <a:noFill/>
                    <a:ln>
                      <a:solidFill>
                        <a:schemeClr val="tx1"/>
                      </a:solidFill>
                      <a:prstDash val="solid"/>
                    </a:ln>
                  </pic:spPr>
                </pic:pic>
              </a:graphicData>
            </a:graphic>
          </wp:inline>
        </w:drawing>
      </w:r>
    </w:p>
    <w:p w14:paraId="00406FC2" w14:textId="2179E212" w:rsidR="004E0A28" w:rsidRPr="00383FDB" w:rsidRDefault="00383FDB" w:rsidP="00383FDB">
      <w:pPr>
        <w:pStyle w:val="afa"/>
        <w:spacing w:line="240" w:lineRule="auto"/>
      </w:pPr>
      <w:r w:rsidRPr="00383FDB">
        <w:rPr>
          <w:b/>
        </w:rPr>
        <w:t>Fig. 8:</w:t>
      </w:r>
      <w:r w:rsidRPr="00383FDB">
        <w:t xml:space="preserve"> Two-layer circular architecture of the ML–GIS phytosanitary forecasting system integrating zonal machine learning modeling and spatial decision support</w:t>
      </w:r>
    </w:p>
    <w:sectPr w:rsidR="004E0A28" w:rsidRPr="00383FDB" w:rsidSect="00BB2249">
      <w:footerReference w:type="default" r:id="rId62"/>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B69DE" w14:textId="77777777" w:rsidR="002D35A5" w:rsidRDefault="002D35A5" w:rsidP="00374E79">
      <w:pPr>
        <w:spacing w:line="240" w:lineRule="auto"/>
      </w:pPr>
      <w:r>
        <w:separator/>
      </w:r>
    </w:p>
  </w:endnote>
  <w:endnote w:type="continuationSeparator" w:id="0">
    <w:p w14:paraId="534BFFF6" w14:textId="77777777" w:rsidR="002D35A5" w:rsidRDefault="002D35A5"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D54353" w:rsidRDefault="00D54353">
        <w:pPr>
          <w:pStyle w:val="ad"/>
          <w:jc w:val="right"/>
        </w:pPr>
        <w:r>
          <w:fldChar w:fldCharType="begin"/>
        </w:r>
        <w:r>
          <w:instrText>PAGE   \* MERGEFORMAT</w:instrText>
        </w:r>
        <w:r>
          <w:fldChar w:fldCharType="separate"/>
        </w:r>
        <w:r w:rsidR="00031A62" w:rsidRPr="00031A62">
          <w:rPr>
            <w:lang w:val="ru-RU"/>
          </w:rPr>
          <w:t>32</w:t>
        </w:r>
        <w:r>
          <w:fldChar w:fldCharType="end"/>
        </w:r>
      </w:p>
    </w:sdtContent>
  </w:sdt>
  <w:p w14:paraId="04E3E057" w14:textId="77777777" w:rsidR="00D54353" w:rsidRDefault="00D5435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90125" w14:textId="77777777" w:rsidR="002D35A5" w:rsidRDefault="002D35A5" w:rsidP="00374E79">
      <w:pPr>
        <w:spacing w:line="240" w:lineRule="auto"/>
      </w:pPr>
      <w:r>
        <w:separator/>
      </w:r>
    </w:p>
  </w:footnote>
  <w:footnote w:type="continuationSeparator" w:id="0">
    <w:p w14:paraId="1D5E69CE" w14:textId="77777777" w:rsidR="002D35A5" w:rsidRDefault="002D35A5"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0"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5"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8"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1"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4"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8"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1"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508712">
    <w:abstractNumId w:val="11"/>
  </w:num>
  <w:num w:numId="2" w16cid:durableId="950867647">
    <w:abstractNumId w:val="13"/>
  </w:num>
  <w:num w:numId="3" w16cid:durableId="544101433">
    <w:abstractNumId w:val="8"/>
  </w:num>
  <w:num w:numId="4" w16cid:durableId="1901861910">
    <w:abstractNumId w:val="12"/>
  </w:num>
  <w:num w:numId="5" w16cid:durableId="2011758818">
    <w:abstractNumId w:val="20"/>
  </w:num>
  <w:num w:numId="6" w16cid:durableId="533544078">
    <w:abstractNumId w:val="5"/>
  </w:num>
  <w:num w:numId="7" w16cid:durableId="16610755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5369840">
    <w:abstractNumId w:val="22"/>
  </w:num>
  <w:num w:numId="9" w16cid:durableId="1871604156">
    <w:abstractNumId w:val="28"/>
  </w:num>
  <w:num w:numId="10" w16cid:durableId="489488795">
    <w:abstractNumId w:val="4"/>
  </w:num>
  <w:num w:numId="11" w16cid:durableId="410855693">
    <w:abstractNumId w:val="19"/>
  </w:num>
  <w:num w:numId="12" w16cid:durableId="1948806247">
    <w:abstractNumId w:val="3"/>
  </w:num>
  <w:num w:numId="13" w16cid:durableId="152988949">
    <w:abstractNumId w:val="27"/>
  </w:num>
  <w:num w:numId="14" w16cid:durableId="1566598966">
    <w:abstractNumId w:val="6"/>
  </w:num>
  <w:num w:numId="15" w16cid:durableId="1794329510">
    <w:abstractNumId w:val="26"/>
  </w:num>
  <w:num w:numId="16" w16cid:durableId="1874417232">
    <w:abstractNumId w:val="29"/>
  </w:num>
  <w:num w:numId="17" w16cid:durableId="1186478569">
    <w:abstractNumId w:val="15"/>
  </w:num>
  <w:num w:numId="18" w16cid:durableId="879975742">
    <w:abstractNumId w:val="25"/>
  </w:num>
  <w:num w:numId="19" w16cid:durableId="1943223721">
    <w:abstractNumId w:val="17"/>
  </w:num>
  <w:num w:numId="20" w16cid:durableId="2044288274">
    <w:abstractNumId w:val="10"/>
  </w:num>
  <w:num w:numId="21" w16cid:durableId="1653947617">
    <w:abstractNumId w:val="23"/>
  </w:num>
  <w:num w:numId="22" w16cid:durableId="663827148">
    <w:abstractNumId w:val="24"/>
  </w:num>
  <w:num w:numId="23" w16cid:durableId="1805924059">
    <w:abstractNumId w:val="9"/>
  </w:num>
  <w:num w:numId="24" w16cid:durableId="909928953">
    <w:abstractNumId w:val="30"/>
  </w:num>
  <w:num w:numId="25" w16cid:durableId="859588751">
    <w:abstractNumId w:val="18"/>
  </w:num>
  <w:num w:numId="26" w16cid:durableId="1485314900">
    <w:abstractNumId w:val="7"/>
  </w:num>
  <w:num w:numId="27" w16cid:durableId="1079475371">
    <w:abstractNumId w:val="32"/>
  </w:num>
  <w:num w:numId="28" w16cid:durableId="1432970993">
    <w:abstractNumId w:val="14"/>
  </w:num>
  <w:num w:numId="29" w16cid:durableId="714501624">
    <w:abstractNumId w:val="21"/>
  </w:num>
  <w:num w:numId="30" w16cid:durableId="1132211316">
    <w:abstractNumId w:val="16"/>
  </w:num>
  <w:num w:numId="31" w16cid:durableId="1921480181">
    <w:abstractNumId w:val="31"/>
  </w:num>
  <w:num w:numId="32" w16cid:durableId="437679592">
    <w:abstractNumId w:val="1"/>
  </w:num>
  <w:num w:numId="33" w16cid:durableId="279260708">
    <w:abstractNumId w:val="0"/>
  </w:num>
  <w:num w:numId="34" w16cid:durableId="981664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31A62"/>
    <w:rsid w:val="00046977"/>
    <w:rsid w:val="000778CE"/>
    <w:rsid w:val="000A01F8"/>
    <w:rsid w:val="000B066F"/>
    <w:rsid w:val="000B6631"/>
    <w:rsid w:val="000C1E34"/>
    <w:rsid w:val="000C7CBD"/>
    <w:rsid w:val="000D5702"/>
    <w:rsid w:val="000E40E5"/>
    <w:rsid w:val="00105096"/>
    <w:rsid w:val="001361E4"/>
    <w:rsid w:val="0014336E"/>
    <w:rsid w:val="00164AFA"/>
    <w:rsid w:val="00171316"/>
    <w:rsid w:val="00175AD0"/>
    <w:rsid w:val="001B4D79"/>
    <w:rsid w:val="001C02B0"/>
    <w:rsid w:val="001D3F3D"/>
    <w:rsid w:val="00206E10"/>
    <w:rsid w:val="0022223C"/>
    <w:rsid w:val="0022665E"/>
    <w:rsid w:val="002273A1"/>
    <w:rsid w:val="00245281"/>
    <w:rsid w:val="002503C3"/>
    <w:rsid w:val="00253294"/>
    <w:rsid w:val="00287377"/>
    <w:rsid w:val="002A1475"/>
    <w:rsid w:val="002A504E"/>
    <w:rsid w:val="002C7DDA"/>
    <w:rsid w:val="002D09A4"/>
    <w:rsid w:val="002D35A5"/>
    <w:rsid w:val="002E6641"/>
    <w:rsid w:val="003023E5"/>
    <w:rsid w:val="003136ED"/>
    <w:rsid w:val="00314E3F"/>
    <w:rsid w:val="00320A9D"/>
    <w:rsid w:val="00374E79"/>
    <w:rsid w:val="003823C8"/>
    <w:rsid w:val="00383FDB"/>
    <w:rsid w:val="00397A3C"/>
    <w:rsid w:val="003A682F"/>
    <w:rsid w:val="003D614B"/>
    <w:rsid w:val="0040161F"/>
    <w:rsid w:val="00425FA4"/>
    <w:rsid w:val="0044392C"/>
    <w:rsid w:val="00444B97"/>
    <w:rsid w:val="004617CA"/>
    <w:rsid w:val="00472D0C"/>
    <w:rsid w:val="00480B1B"/>
    <w:rsid w:val="0048717D"/>
    <w:rsid w:val="00491BC9"/>
    <w:rsid w:val="00496FDC"/>
    <w:rsid w:val="004B461B"/>
    <w:rsid w:val="004E0A28"/>
    <w:rsid w:val="004E1BA8"/>
    <w:rsid w:val="004E1E67"/>
    <w:rsid w:val="004E4034"/>
    <w:rsid w:val="004F01B8"/>
    <w:rsid w:val="004F0F8B"/>
    <w:rsid w:val="004F4700"/>
    <w:rsid w:val="00503878"/>
    <w:rsid w:val="00507037"/>
    <w:rsid w:val="005122E2"/>
    <w:rsid w:val="005153D0"/>
    <w:rsid w:val="00517D46"/>
    <w:rsid w:val="00524ABC"/>
    <w:rsid w:val="00543FBB"/>
    <w:rsid w:val="00562BC7"/>
    <w:rsid w:val="00563486"/>
    <w:rsid w:val="00564E77"/>
    <w:rsid w:val="0057611D"/>
    <w:rsid w:val="00581750"/>
    <w:rsid w:val="005A3CF0"/>
    <w:rsid w:val="005B7712"/>
    <w:rsid w:val="005C3074"/>
    <w:rsid w:val="005C5989"/>
    <w:rsid w:val="00620724"/>
    <w:rsid w:val="006218E9"/>
    <w:rsid w:val="00625D42"/>
    <w:rsid w:val="00660358"/>
    <w:rsid w:val="0067206E"/>
    <w:rsid w:val="0067360D"/>
    <w:rsid w:val="006A6660"/>
    <w:rsid w:val="006C70D3"/>
    <w:rsid w:val="007122A7"/>
    <w:rsid w:val="00754A3B"/>
    <w:rsid w:val="0076591E"/>
    <w:rsid w:val="0077303D"/>
    <w:rsid w:val="007932F1"/>
    <w:rsid w:val="007A1B7F"/>
    <w:rsid w:val="007A3515"/>
    <w:rsid w:val="007A6DCD"/>
    <w:rsid w:val="007D0E99"/>
    <w:rsid w:val="007D4CFA"/>
    <w:rsid w:val="007F122E"/>
    <w:rsid w:val="00825B71"/>
    <w:rsid w:val="008619DB"/>
    <w:rsid w:val="008627A2"/>
    <w:rsid w:val="00863F3F"/>
    <w:rsid w:val="00886D04"/>
    <w:rsid w:val="008D1C74"/>
    <w:rsid w:val="008E3C41"/>
    <w:rsid w:val="008F0352"/>
    <w:rsid w:val="008F228C"/>
    <w:rsid w:val="00931975"/>
    <w:rsid w:val="00981AFB"/>
    <w:rsid w:val="00997A2A"/>
    <w:rsid w:val="009D30D3"/>
    <w:rsid w:val="009E64E5"/>
    <w:rsid w:val="009E7B2C"/>
    <w:rsid w:val="00A22721"/>
    <w:rsid w:val="00A6011B"/>
    <w:rsid w:val="00A65FF3"/>
    <w:rsid w:val="00A84ABE"/>
    <w:rsid w:val="00AA0278"/>
    <w:rsid w:val="00AA6A30"/>
    <w:rsid w:val="00AB2E6B"/>
    <w:rsid w:val="00AB769A"/>
    <w:rsid w:val="00AD22B3"/>
    <w:rsid w:val="00AE5B70"/>
    <w:rsid w:val="00AF3847"/>
    <w:rsid w:val="00B01DD3"/>
    <w:rsid w:val="00B06541"/>
    <w:rsid w:val="00B14726"/>
    <w:rsid w:val="00B330A7"/>
    <w:rsid w:val="00B5071B"/>
    <w:rsid w:val="00B63A47"/>
    <w:rsid w:val="00B63F4D"/>
    <w:rsid w:val="00B6672E"/>
    <w:rsid w:val="00B705C2"/>
    <w:rsid w:val="00B74863"/>
    <w:rsid w:val="00B834E8"/>
    <w:rsid w:val="00B845F9"/>
    <w:rsid w:val="00BA41E6"/>
    <w:rsid w:val="00BA4FB9"/>
    <w:rsid w:val="00BB2249"/>
    <w:rsid w:val="00BC3539"/>
    <w:rsid w:val="00BD2FC7"/>
    <w:rsid w:val="00BD47DE"/>
    <w:rsid w:val="00C32293"/>
    <w:rsid w:val="00C3527B"/>
    <w:rsid w:val="00C50B1B"/>
    <w:rsid w:val="00C70AA0"/>
    <w:rsid w:val="00C85712"/>
    <w:rsid w:val="00C93009"/>
    <w:rsid w:val="00CB6038"/>
    <w:rsid w:val="00CD314C"/>
    <w:rsid w:val="00CD77E0"/>
    <w:rsid w:val="00CE12D3"/>
    <w:rsid w:val="00CF3B8A"/>
    <w:rsid w:val="00D01586"/>
    <w:rsid w:val="00D21453"/>
    <w:rsid w:val="00D40CBE"/>
    <w:rsid w:val="00D54353"/>
    <w:rsid w:val="00DD0660"/>
    <w:rsid w:val="00DF1861"/>
    <w:rsid w:val="00E21E7C"/>
    <w:rsid w:val="00E46630"/>
    <w:rsid w:val="00E665C6"/>
    <w:rsid w:val="00E80C55"/>
    <w:rsid w:val="00E83AF7"/>
    <w:rsid w:val="00E86408"/>
    <w:rsid w:val="00EB674C"/>
    <w:rsid w:val="00ED5168"/>
    <w:rsid w:val="00EE44B6"/>
    <w:rsid w:val="00EE7A19"/>
    <w:rsid w:val="00F00CA5"/>
    <w:rsid w:val="00F34F54"/>
    <w:rsid w:val="00F4551E"/>
    <w:rsid w:val="00F4777F"/>
    <w:rsid w:val="00F5126D"/>
    <w:rsid w:val="00F56D3F"/>
    <w:rsid w:val="00F64F16"/>
    <w:rsid w:val="00F71F54"/>
    <w:rsid w:val="00FA4052"/>
    <w:rsid w:val="00FB0687"/>
    <w:rsid w:val="00FC603D"/>
    <w:rsid w:val="00FC73F3"/>
    <w:rsid w:val="00FD0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rsid w:val="00BB2249"/>
    <w:pPr>
      <w:spacing w:line="240" w:lineRule="auto"/>
    </w:pPr>
    <w:rPr>
      <w:sz w:val="20"/>
    </w:rPr>
  </w:style>
  <w:style w:type="character" w:customStyle="1" w:styleId="a7">
    <w:name w:val="Текст примечания Знак"/>
    <w:basedOn w:val="a1"/>
    <w:link w:val="a6"/>
    <w:uiPriority w:val="99"/>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styleId="aff9">
    <w:name w:val="Unresolved Mention"/>
    <w:basedOn w:val="a1"/>
    <w:uiPriority w:val="99"/>
    <w:semiHidden/>
    <w:unhideWhenUsed/>
    <w:rsid w:val="00931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rman.rustembayev@mymail.academy" TargetMode="External"/><Relationship Id="rId18" Type="http://schemas.openxmlformats.org/officeDocument/2006/relationships/hyperlink" Target="https://doi.org/10.9734/bpi/ibs/v6/715" TargetMode="External"/><Relationship Id="rId26" Type="http://schemas.openxmlformats.org/officeDocument/2006/relationships/hyperlink" Target="https://doi.org/10.1109/JPROC.2010.2043918" TargetMode="External"/><Relationship Id="rId39" Type="http://schemas.openxmlformats.org/officeDocument/2006/relationships/hyperlink" Target="http://dx.doi.org/10.1016/j.rama.2014.12.011" TargetMode="External"/><Relationship Id="rId21" Type="http://schemas.openxmlformats.org/officeDocument/2006/relationships/hyperlink" Target="https://doi.org/10.1007/s00484-019-01856-1" TargetMode="External"/><Relationship Id="rId34" Type="http://schemas.openxmlformats.org/officeDocument/2006/relationships/hyperlink" Target="https://doi.org/10.1007/b94608" TargetMode="External"/><Relationship Id="rId42" Type="http://schemas.openxmlformats.org/officeDocument/2006/relationships/hyperlink" Target="https://doi.org/10.1111/ecog.05763" TargetMode="External"/><Relationship Id="rId47" Type="http://schemas.openxmlformats.org/officeDocument/2006/relationships/hyperlink" Target="https://doi.org/10.1371/journal.pcbi.1012562" TargetMode="External"/><Relationship Id="rId50" Type="http://schemas.openxmlformats.org/officeDocument/2006/relationships/hyperlink" Target="https://doi.org/10.1111/j.1600-0587.2008.05742.x" TargetMode="External"/><Relationship Id="rId55" Type="http://schemas.openxmlformats.org/officeDocument/2006/relationships/image" Target="media/image3.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x.doi.org/10.15242/IICBE.C0215122" TargetMode="External"/><Relationship Id="rId29" Type="http://schemas.openxmlformats.org/officeDocument/2006/relationships/hyperlink" Target="https://doi.org/10.1038/nature10452" TargetMode="External"/><Relationship Id="rId11" Type="http://schemas.openxmlformats.org/officeDocument/2006/relationships/hyperlink" Target="https://orcid.org/0000-0002-3477-1888" TargetMode="External"/><Relationship Id="rId24" Type="http://schemas.openxmlformats.org/officeDocument/2006/relationships/hyperlink" Target="https://doi.org/10.1111/j.1600-0587.2012.07348.x" TargetMode="External"/><Relationship Id="rId32" Type="http://schemas.openxmlformats.org/officeDocument/2006/relationships/hyperlink" Target="https://doi.org/10.1117/1.JRS.12.036011" TargetMode="External"/><Relationship Id="rId37" Type="http://schemas.openxmlformats.org/officeDocument/2006/relationships/hyperlink" Target="https://doi.org/10.3390/geographies2010003" TargetMode="External"/><Relationship Id="rId40" Type="http://schemas.openxmlformats.org/officeDocument/2006/relationships/hyperlink" Target="https://doi.org/10.3390/insects12030233" TargetMode="External"/><Relationship Id="rId45" Type="http://schemas.openxmlformats.org/officeDocument/2006/relationships/hyperlink" Target="https://doi.org/10.1016/j.ecolmodel.2005.03.026" TargetMode="External"/><Relationship Id="rId53" Type="http://schemas.openxmlformats.org/officeDocument/2006/relationships/hyperlink" Target="https://doi.org/10.1093/jpe/rtm005" TargetMode="External"/><Relationship Id="rId58" Type="http://schemas.openxmlformats.org/officeDocument/2006/relationships/image" Target="media/image6.png"/><Relationship Id="rId5" Type="http://schemas.openxmlformats.org/officeDocument/2006/relationships/webSettings" Target="webSettings.xml"/><Relationship Id="rId61" Type="http://schemas.openxmlformats.org/officeDocument/2006/relationships/image" Target="media/image9.png"/><Relationship Id="rId19" Type="http://schemas.openxmlformats.org/officeDocument/2006/relationships/hyperlink" Target="https://doi.org/10.1641/0006-3568(2006)56%5b743:SMOIHI%5d2.0.CO;2" TargetMode="External"/><Relationship Id="rId14" Type="http://schemas.openxmlformats.org/officeDocument/2006/relationships/hyperlink" Target="https://www.worldclim.org" TargetMode="External"/><Relationship Id="rId22" Type="http://schemas.openxmlformats.org/officeDocument/2006/relationships/hyperlink" Target="https://doi.org/10.1073/pnas.0709472105" TargetMode="External"/><Relationship Id="rId27" Type="http://schemas.openxmlformats.org/officeDocument/2006/relationships/hyperlink" Target="https://doi.org/10.1029/2005RG000183" TargetMode="External"/><Relationship Id="rId30" Type="http://schemas.openxmlformats.org/officeDocument/2006/relationships/hyperlink" Target="https://doi.org/10.1214/aos/1013203451" TargetMode="External"/><Relationship Id="rId35" Type="http://schemas.openxmlformats.org/officeDocument/2006/relationships/hyperlink" Target="https://doi.org/10.1162/neco.1997.9.8.1735" TargetMode="External"/><Relationship Id="rId43" Type="http://schemas.openxmlformats.org/officeDocument/2006/relationships/hyperlink" Target="https://doi.org/10.1038/nature14539" TargetMode="External"/><Relationship Id="rId48" Type="http://schemas.openxmlformats.org/officeDocument/2006/relationships/hyperlink" Target="https://doi.org/10.3389/fams.2024.1435517" TargetMode="External"/><Relationship Id="rId56" Type="http://schemas.openxmlformats.org/officeDocument/2006/relationships/image" Target="media/image4.png"/><Relationship Id="rId64" Type="http://schemas.openxmlformats.org/officeDocument/2006/relationships/theme" Target="theme/theme1.xml"/><Relationship Id="rId8" Type="http://schemas.openxmlformats.org/officeDocument/2006/relationships/hyperlink" Target="https://orcid.org/0000-0002-9957-3073" TargetMode="External"/><Relationship Id="rId51" Type="http://schemas.openxmlformats.org/officeDocument/2006/relationships/hyperlink" Target="https://doi.org/10.1038/nature01014" TargetMode="External"/><Relationship Id="rId3" Type="http://schemas.openxmlformats.org/officeDocument/2006/relationships/styles" Target="styles.xml"/><Relationship Id="rId12" Type="http://schemas.openxmlformats.org/officeDocument/2006/relationships/hyperlink" Target="https://orcid.org/0000-0001-5088-1385" TargetMode="External"/><Relationship Id="rId17" Type="http://schemas.openxmlformats.org/officeDocument/2006/relationships/hyperlink" Target="https://doi.org/10.17758/EARES11.EAP0422106" TargetMode="External"/><Relationship Id="rId25" Type="http://schemas.openxmlformats.org/officeDocument/2006/relationships/hyperlink" Target="https://doi.org/10.1146/annurev.ecolsys.110308.120159" TargetMode="External"/><Relationship Id="rId33" Type="http://schemas.openxmlformats.org/officeDocument/2006/relationships/hyperlink" Target="https://doi.org/10.1080/19475680903250715" TargetMode="External"/><Relationship Id="rId38" Type="http://schemas.openxmlformats.org/officeDocument/2006/relationships/hyperlink" Target="https://doi.org/10.1016/j.compag.2022.107124" TargetMode="External"/><Relationship Id="rId46" Type="http://schemas.openxmlformats.org/officeDocument/2006/relationships/hyperlink" Target="https://doi.org/10.1038/s41586-019-0912-1" TargetMode="External"/><Relationship Id="rId59" Type="http://schemas.openxmlformats.org/officeDocument/2006/relationships/image" Target="media/image7.png"/><Relationship Id="rId20" Type="http://schemas.openxmlformats.org/officeDocument/2006/relationships/hyperlink" Target="https://doi.org/10.1890/07-0539.1" TargetMode="External"/><Relationship Id="rId41" Type="http://schemas.openxmlformats.org/officeDocument/2006/relationships/hyperlink" Target="https://doi.org/10.1016/j.jag.2023.103212" TargetMode="External"/><Relationship Id="rId54" Type="http://schemas.openxmlformats.org/officeDocument/2006/relationships/image" Target="media/image2.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tree.2006.09.010" TargetMode="External"/><Relationship Id="rId23" Type="http://schemas.openxmlformats.org/officeDocument/2006/relationships/hyperlink" Target="https://vip.arizona.edu/MODIS_ATBD.php" TargetMode="External"/><Relationship Id="rId28" Type="http://schemas.openxmlformats.org/officeDocument/2006/relationships/hyperlink" Target="https://doi.org/10.1002/joc.5086" TargetMode="External"/><Relationship Id="rId36" Type="http://schemas.openxmlformats.org/officeDocument/2006/relationships/hyperlink" Target="https://doi.org/10.1016/S0034-4257(02)00096-2" TargetMode="External"/><Relationship Id="rId49" Type="http://schemas.openxmlformats.org/officeDocument/2006/relationships/hyperlink" Target="https://doi.org/10.3390/rs14030747" TargetMode="External"/><Relationship Id="rId57" Type="http://schemas.openxmlformats.org/officeDocument/2006/relationships/image" Target="media/image5.png"/><Relationship Id="rId10" Type="http://schemas.openxmlformats.org/officeDocument/2006/relationships/hyperlink" Target="https://orcid.org/0000-0002-1250-8034" TargetMode="External"/><Relationship Id="rId31" Type="http://schemas.openxmlformats.org/officeDocument/2006/relationships/hyperlink" Target="https://doi.org/10.1051/bioconf/2024100" TargetMode="External"/><Relationship Id="rId44" Type="http://schemas.openxmlformats.org/officeDocument/2006/relationships/hyperlink" Target="https://doi.org/10.15372/GIPR20210203" TargetMode="External"/><Relationship Id="rId52" Type="http://schemas.openxmlformats.org/officeDocument/2006/relationships/hyperlink" Target="https://doi.org/10.1186/s12859-019-3262-y" TargetMode="External"/><Relationship Id="rId60"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1B1E567-7842-4D00-8A2D-000A6D8D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1</Pages>
  <Words>13362</Words>
  <Characters>76169</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91</cp:revision>
  <dcterms:created xsi:type="dcterms:W3CDTF">2026-05-19T18:16:00Z</dcterms:created>
  <dcterms:modified xsi:type="dcterms:W3CDTF">2026-05-29T15:28:00Z</dcterms:modified>
</cp:coreProperties>
</file>