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ECD5F" w14:textId="184DC73C" w:rsidR="004B461B" w:rsidRPr="00FC4BB3" w:rsidRDefault="006C3C26" w:rsidP="00BB2249">
      <w:pPr>
        <w:pStyle w:val="MDPI13authornames"/>
        <w:spacing w:after="0" w:line="360" w:lineRule="auto"/>
        <w:jc w:val="center"/>
        <w:rPr>
          <w:rFonts w:ascii="Times New Roman" w:hAnsi="Times New Roman"/>
          <w:snapToGrid w:val="0"/>
          <w:color w:val="auto"/>
          <w:sz w:val="24"/>
          <w:szCs w:val="24"/>
        </w:rPr>
      </w:pPr>
      <w:r w:rsidRPr="00FC4BB3">
        <w:rPr>
          <w:rFonts w:ascii="Times New Roman" w:hAnsi="Times New Roman"/>
          <w:color w:val="auto"/>
          <w:sz w:val="24"/>
          <w:szCs w:val="24"/>
        </w:rPr>
        <w:t>VERTICAL FARMING: AN INNOVATIVE APPROACH TO PRODUCING HIGH-SURVIVAL CONIFER SEEDLINGS FOR INTEGRATED REFORESTATION</w:t>
      </w:r>
    </w:p>
    <w:p w14:paraId="2639A4EA" w14:textId="77777777" w:rsidR="00BB2249" w:rsidRPr="00FC4BB3" w:rsidRDefault="00BB2249" w:rsidP="00BB2249">
      <w:pPr>
        <w:pStyle w:val="MDPI13authornames"/>
        <w:spacing w:after="0" w:line="360" w:lineRule="auto"/>
        <w:jc w:val="both"/>
        <w:rPr>
          <w:rFonts w:ascii="Times New Roman" w:hAnsi="Times New Roman"/>
          <w:bCs/>
          <w:sz w:val="24"/>
          <w:szCs w:val="24"/>
        </w:rPr>
      </w:pPr>
    </w:p>
    <w:p w14:paraId="0C786706" w14:textId="14F1D67F" w:rsidR="00BB2249" w:rsidRPr="00FC4BB3" w:rsidRDefault="009C4408" w:rsidP="00B5071B">
      <w:pPr>
        <w:pStyle w:val="MDPI13authornames"/>
        <w:spacing w:after="0" w:line="360" w:lineRule="auto"/>
        <w:jc w:val="center"/>
        <w:rPr>
          <w:rFonts w:ascii="Times New Roman" w:hAnsi="Times New Roman"/>
          <w:sz w:val="24"/>
          <w:szCs w:val="24"/>
          <w:vertAlign w:val="superscript"/>
        </w:rPr>
      </w:pPr>
      <w:r w:rsidRPr="00FC4BB3">
        <w:rPr>
          <w:rFonts w:ascii="Times New Roman" w:hAnsi="Times New Roman"/>
          <w:bCs/>
          <w:sz w:val="24"/>
          <w:szCs w:val="24"/>
        </w:rPr>
        <w:t>Ekaterina Mikhaylova</w:t>
      </w:r>
      <w:r w:rsidR="008E3C41" w:rsidRPr="00FC4BB3">
        <w:rPr>
          <w:rFonts w:ascii="Times New Roman" w:hAnsi="Times New Roman"/>
          <w:bCs/>
          <w:sz w:val="24"/>
          <w:szCs w:val="24"/>
        </w:rPr>
        <w:t>*</w:t>
      </w:r>
      <w:r w:rsidR="00BB2249" w:rsidRPr="00FC4BB3">
        <w:rPr>
          <w:rFonts w:ascii="Times New Roman" w:hAnsi="Times New Roman"/>
          <w:sz w:val="24"/>
          <w:szCs w:val="24"/>
        </w:rPr>
        <w:t xml:space="preserve">, </w:t>
      </w:r>
      <w:r w:rsidRPr="00FC4BB3">
        <w:rPr>
          <w:rFonts w:ascii="Times New Roman" w:hAnsi="Times New Roman"/>
          <w:bCs/>
          <w:sz w:val="24"/>
          <w:szCs w:val="24"/>
        </w:rPr>
        <w:t xml:space="preserve">Aleksandr </w:t>
      </w:r>
      <w:proofErr w:type="spellStart"/>
      <w:r w:rsidRPr="00FC4BB3">
        <w:rPr>
          <w:rFonts w:ascii="Times New Roman" w:hAnsi="Times New Roman"/>
          <w:bCs/>
          <w:sz w:val="24"/>
          <w:szCs w:val="24"/>
        </w:rPr>
        <w:t>Prosekov</w:t>
      </w:r>
      <w:proofErr w:type="spellEnd"/>
      <w:r w:rsidR="00BB2249" w:rsidRPr="00FC4BB3">
        <w:rPr>
          <w:rFonts w:ascii="Times New Roman" w:hAnsi="Times New Roman"/>
          <w:sz w:val="24"/>
          <w:szCs w:val="24"/>
        </w:rPr>
        <w:t xml:space="preserve"> and </w:t>
      </w:r>
      <w:r w:rsidRPr="00FC4BB3">
        <w:rPr>
          <w:rFonts w:ascii="Times New Roman" w:hAnsi="Times New Roman"/>
          <w:bCs/>
          <w:sz w:val="24"/>
          <w:szCs w:val="24"/>
        </w:rPr>
        <w:t xml:space="preserve">Viktoria </w:t>
      </w:r>
      <w:proofErr w:type="spellStart"/>
      <w:r w:rsidRPr="00FC4BB3">
        <w:rPr>
          <w:rFonts w:ascii="Times New Roman" w:hAnsi="Times New Roman"/>
          <w:bCs/>
          <w:sz w:val="24"/>
          <w:szCs w:val="24"/>
        </w:rPr>
        <w:t>Kryuk</w:t>
      </w:r>
      <w:proofErr w:type="spellEnd"/>
    </w:p>
    <w:p w14:paraId="021505A2" w14:textId="77777777" w:rsidR="00BB2249" w:rsidRPr="00FC4BB3" w:rsidRDefault="00BB2249" w:rsidP="00BB2249">
      <w:pPr>
        <w:spacing w:line="360" w:lineRule="auto"/>
        <w:rPr>
          <w:szCs w:val="24"/>
          <w:lang w:eastAsia="de-DE" w:bidi="en-US"/>
        </w:rPr>
      </w:pPr>
    </w:p>
    <w:p w14:paraId="7B85D105" w14:textId="72243DED" w:rsidR="00BB2249" w:rsidRPr="00FC4BB3" w:rsidRDefault="009C4408" w:rsidP="00BB2249">
      <w:pPr>
        <w:pStyle w:val="MDPI16affiliation"/>
        <w:spacing w:line="360" w:lineRule="auto"/>
        <w:ind w:left="0" w:firstLine="0"/>
        <w:jc w:val="center"/>
        <w:rPr>
          <w:rFonts w:ascii="Times New Roman" w:hAnsi="Times New Roman"/>
          <w:sz w:val="24"/>
          <w:szCs w:val="24"/>
        </w:rPr>
      </w:pPr>
      <w:r w:rsidRPr="00FC4BB3">
        <w:rPr>
          <w:rFonts w:ascii="Times New Roman" w:hAnsi="Times New Roman"/>
          <w:bCs/>
          <w:iCs/>
          <w:sz w:val="24"/>
          <w:szCs w:val="24"/>
          <w:lang w:val="kk-KZ" w:eastAsia="ru-RU"/>
        </w:rPr>
        <w:t>Kemerovo State University, Kemerovo, Russia</w:t>
      </w:r>
    </w:p>
    <w:p w14:paraId="57B09D5C" w14:textId="6FC98D73" w:rsidR="00BB2249" w:rsidRPr="00FC4BB3" w:rsidRDefault="00BB2249" w:rsidP="00BB2249">
      <w:pPr>
        <w:pStyle w:val="MDPI16affiliation"/>
        <w:spacing w:line="360" w:lineRule="auto"/>
        <w:ind w:left="0" w:firstLine="0"/>
        <w:jc w:val="center"/>
        <w:rPr>
          <w:rFonts w:ascii="Times New Roman" w:hAnsi="Times New Roman"/>
          <w:color w:val="auto"/>
          <w:sz w:val="24"/>
          <w:szCs w:val="24"/>
        </w:rPr>
      </w:pPr>
      <w:r w:rsidRPr="00FC4BB3">
        <w:rPr>
          <w:rFonts w:ascii="Times New Roman" w:hAnsi="Times New Roman"/>
          <w:i/>
          <w:color w:val="auto"/>
          <w:sz w:val="24"/>
          <w:szCs w:val="24"/>
        </w:rPr>
        <w:t>*Corresponding author:</w:t>
      </w:r>
      <w:r w:rsidR="009C4408" w:rsidRPr="00FC4BB3">
        <w:rPr>
          <w:rFonts w:ascii="Times New Roman" w:hAnsi="Times New Roman"/>
          <w:i/>
          <w:color w:val="auto"/>
          <w:sz w:val="24"/>
          <w:szCs w:val="24"/>
        </w:rPr>
        <w:t xml:space="preserve"> </w:t>
      </w:r>
      <w:proofErr w:type="spellStart"/>
      <w:r w:rsidR="009C4408" w:rsidRPr="00FC4BB3">
        <w:rPr>
          <w:rFonts w:ascii="Times New Roman" w:hAnsi="Times New Roman"/>
          <w:color w:val="auto"/>
          <w:sz w:val="24"/>
          <w:szCs w:val="24"/>
        </w:rPr>
        <w:t>ekaterina.mikhaylova@mymail.academy</w:t>
      </w:r>
      <w:proofErr w:type="spellEnd"/>
    </w:p>
    <w:p w14:paraId="2D91BC99" w14:textId="77777777" w:rsidR="00BB2249" w:rsidRPr="00FC4BB3" w:rsidRDefault="00BB2249" w:rsidP="00BB2249">
      <w:pPr>
        <w:pStyle w:val="MDPI16affiliation"/>
        <w:spacing w:line="360" w:lineRule="auto"/>
        <w:ind w:left="0" w:firstLine="0"/>
        <w:jc w:val="both"/>
        <w:rPr>
          <w:rFonts w:ascii="Times New Roman" w:hAnsi="Times New Roman"/>
          <w:color w:val="FF0000"/>
          <w:sz w:val="24"/>
          <w:szCs w:val="24"/>
        </w:rPr>
      </w:pPr>
    </w:p>
    <w:p w14:paraId="4AFCFBD1" w14:textId="77777777" w:rsidR="00BB2249" w:rsidRPr="00FC4BB3" w:rsidRDefault="00BB2249" w:rsidP="00BB2249">
      <w:pPr>
        <w:pStyle w:val="MDPI17abstract"/>
        <w:spacing w:before="0" w:line="360" w:lineRule="auto"/>
        <w:ind w:left="0"/>
        <w:jc w:val="center"/>
        <w:rPr>
          <w:rFonts w:ascii="Times New Roman" w:hAnsi="Times New Roman"/>
          <w:b/>
          <w:sz w:val="24"/>
          <w:szCs w:val="24"/>
        </w:rPr>
      </w:pPr>
      <w:r w:rsidRPr="00FC4BB3">
        <w:rPr>
          <w:rFonts w:ascii="Times New Roman" w:hAnsi="Times New Roman"/>
          <w:b/>
          <w:sz w:val="24"/>
          <w:szCs w:val="24"/>
        </w:rPr>
        <w:t>ABSTRACT</w:t>
      </w:r>
    </w:p>
    <w:p w14:paraId="1738B24F" w14:textId="77777777" w:rsidR="009C4408" w:rsidRPr="00FC4BB3" w:rsidRDefault="009C4408" w:rsidP="009C4408">
      <w:pPr>
        <w:pBdr>
          <w:bottom w:val="single" w:sz="4" w:space="0" w:color="FFFFFF"/>
        </w:pBdr>
        <w:autoSpaceDE w:val="0"/>
        <w:autoSpaceDN w:val="0"/>
        <w:adjustRightInd w:val="0"/>
        <w:spacing w:line="360" w:lineRule="auto"/>
        <w:rPr>
          <w:szCs w:val="24"/>
        </w:rPr>
      </w:pPr>
      <w:r w:rsidRPr="00FC4BB3">
        <w:rPr>
          <w:b/>
          <w:bCs/>
          <w:szCs w:val="24"/>
        </w:rPr>
        <w:t>Objective:</w:t>
      </w:r>
      <w:r w:rsidRPr="00FC4BB3">
        <w:rPr>
          <w:szCs w:val="24"/>
        </w:rPr>
        <w:t xml:space="preserve"> This paper explores the key conditions for cultivating conifer seedlings in vertical farms with fully controlled microclimates, aiming to improve the quality of planting stock for comprehensive reforestation programs. The primary goal of the study is to analyze how light parameters, mineral nutrition, and the physical properties of the substrate influence the growth and development of conifer seedlings in an advanced vertical farming system.</w:t>
      </w:r>
    </w:p>
    <w:p w14:paraId="751D40C3" w14:textId="77777777" w:rsidR="009C4408" w:rsidRPr="00FC4BB3" w:rsidRDefault="009C4408" w:rsidP="009C4408">
      <w:pPr>
        <w:pBdr>
          <w:bottom w:val="single" w:sz="4" w:space="0" w:color="FFFFFF"/>
        </w:pBdr>
        <w:autoSpaceDE w:val="0"/>
        <w:autoSpaceDN w:val="0"/>
        <w:adjustRightInd w:val="0"/>
        <w:spacing w:line="360" w:lineRule="auto"/>
        <w:rPr>
          <w:szCs w:val="24"/>
        </w:rPr>
      </w:pPr>
      <w:r w:rsidRPr="00FC4BB3">
        <w:rPr>
          <w:b/>
          <w:bCs/>
          <w:szCs w:val="24"/>
        </w:rPr>
        <w:t>Methods:</w:t>
      </w:r>
      <w:r w:rsidRPr="00FC4BB3">
        <w:rPr>
          <w:szCs w:val="24"/>
        </w:rPr>
        <w:t xml:space="preserve"> A review of current scientific findings was conducted regarding the impact of spectral light composition provided by LED lamps, which allow for precise control of wavelength and intensity. The role of plant photoreceptors—particularly phytochromes and cryptochromes—in regulating photomorphogenesis and dormancy induction was examined. The stages of conifer seedling ontogenesis and the effects of macro- (nitrogen, phosphorus, potassium) and microelements (boron, copper, zinc, and others) on the plant life cycle were studied in depth. Special attention was given to the influence of photoperiod and daily light duration on seedling growth and adaptation.</w:t>
      </w:r>
    </w:p>
    <w:p w14:paraId="7E4A5E4A" w14:textId="77777777" w:rsidR="009C4408" w:rsidRPr="00FC4BB3" w:rsidRDefault="009C4408" w:rsidP="009C4408">
      <w:pPr>
        <w:pBdr>
          <w:bottom w:val="single" w:sz="4" w:space="0" w:color="FFFFFF"/>
        </w:pBdr>
        <w:autoSpaceDE w:val="0"/>
        <w:autoSpaceDN w:val="0"/>
        <w:adjustRightInd w:val="0"/>
        <w:spacing w:line="360" w:lineRule="auto"/>
        <w:rPr>
          <w:szCs w:val="24"/>
        </w:rPr>
      </w:pPr>
      <w:r w:rsidRPr="00FC4BB3">
        <w:rPr>
          <w:b/>
          <w:bCs/>
          <w:szCs w:val="24"/>
        </w:rPr>
        <w:t>Results:</w:t>
      </w:r>
      <w:r w:rsidRPr="00FC4BB3">
        <w:rPr>
          <w:szCs w:val="24"/>
        </w:rPr>
        <w:t xml:space="preserve"> The findings indicate that an optimized combination of red, blue, and green light spectra, along with a 16-hour photoperiod alternating with darkness, promotes maximum root development, biomass accumulation, and increased seedling resilience. A well-balanced supply of macro- and micronutrients ensures robust plant nutrition, enhances stress resistance, and supports successful rooting after transplantation. Vertical farming systems enable year-round production of container-grown seedlings while minimizing the impact of adverse climate conditions and pest pressure.</w:t>
      </w:r>
    </w:p>
    <w:p w14:paraId="665570A4" w14:textId="06103AFE" w:rsidR="00BB2249" w:rsidRPr="00FC4BB3" w:rsidRDefault="009C4408" w:rsidP="009C4408">
      <w:pPr>
        <w:pStyle w:val="MDPI31text"/>
        <w:spacing w:line="360" w:lineRule="auto"/>
        <w:ind w:left="0" w:firstLine="0"/>
        <w:rPr>
          <w:rFonts w:ascii="Times New Roman" w:hAnsi="Times New Roman"/>
          <w:color w:val="auto"/>
          <w:sz w:val="24"/>
        </w:rPr>
      </w:pPr>
      <w:r w:rsidRPr="00FC4BB3">
        <w:rPr>
          <w:rFonts w:ascii="Times New Roman" w:hAnsi="Times New Roman"/>
          <w:b/>
          <w:bCs/>
          <w:sz w:val="24"/>
          <w:szCs w:val="24"/>
        </w:rPr>
        <w:t>Conclusion:</w:t>
      </w:r>
      <w:r w:rsidRPr="00FC4BB3">
        <w:rPr>
          <w:rFonts w:ascii="Times New Roman" w:hAnsi="Times New Roman"/>
          <w:sz w:val="24"/>
          <w:szCs w:val="24"/>
        </w:rPr>
        <w:t xml:space="preserve"> Controlled-environment vertical farming offers an effective alternative to conventional seedling production methods, improving the quality of planting material and supporting sustainable reforestation efforts. This is especially relevant for harsh-climate regions such as Kemerovo Oblast and may serve as a model for the advancement of forest management both in Russia and globally</w:t>
      </w:r>
      <w:r w:rsidR="00BB2249" w:rsidRPr="00FC4BB3">
        <w:rPr>
          <w:rFonts w:ascii="Times New Roman" w:hAnsi="Times New Roman"/>
          <w:color w:val="auto"/>
          <w:sz w:val="24"/>
        </w:rPr>
        <w:t>.</w:t>
      </w:r>
    </w:p>
    <w:p w14:paraId="76CF3D1C" w14:textId="77777777" w:rsidR="00BB2249" w:rsidRPr="00FC4BB3" w:rsidRDefault="00BB2249" w:rsidP="009C4408">
      <w:pPr>
        <w:pStyle w:val="MDPI31text"/>
        <w:spacing w:line="360" w:lineRule="auto"/>
        <w:ind w:left="0" w:firstLine="0"/>
        <w:rPr>
          <w:rFonts w:ascii="Times New Roman" w:hAnsi="Times New Roman"/>
          <w:sz w:val="24"/>
        </w:rPr>
      </w:pPr>
    </w:p>
    <w:p w14:paraId="07684CD8" w14:textId="3A5CF937" w:rsidR="00BB2249" w:rsidRPr="00FC4BB3" w:rsidRDefault="00BB2249" w:rsidP="00AE5B70">
      <w:pPr>
        <w:pStyle w:val="MDPI31text"/>
        <w:spacing w:line="360" w:lineRule="auto"/>
        <w:ind w:left="0" w:firstLine="0"/>
        <w:rPr>
          <w:rFonts w:ascii="Times New Roman" w:hAnsi="Times New Roman"/>
          <w:sz w:val="24"/>
          <w:szCs w:val="24"/>
          <w:lang w:eastAsia="ar-SA"/>
        </w:rPr>
      </w:pPr>
      <w:r w:rsidRPr="00FC4BB3">
        <w:rPr>
          <w:rFonts w:ascii="Times New Roman" w:hAnsi="Times New Roman"/>
          <w:b/>
          <w:sz w:val="24"/>
          <w:szCs w:val="24"/>
        </w:rPr>
        <w:t xml:space="preserve">Keywords: </w:t>
      </w:r>
      <w:r w:rsidR="009C4408" w:rsidRPr="00FC4BB3">
        <w:rPr>
          <w:rFonts w:ascii="Times New Roman" w:hAnsi="Times New Roman"/>
          <w:sz w:val="24"/>
          <w:szCs w:val="24"/>
          <w:lang w:eastAsia="ar-SA"/>
        </w:rPr>
        <w:t>Vertical farming, Conifer seedlings, Reforestation</w:t>
      </w:r>
      <w:r w:rsidR="00397A3C" w:rsidRPr="00FC4BB3">
        <w:rPr>
          <w:rFonts w:ascii="Times New Roman" w:hAnsi="Times New Roman"/>
          <w:sz w:val="24"/>
          <w:szCs w:val="24"/>
          <w:lang w:eastAsia="ar-SA"/>
        </w:rPr>
        <w:t>.</w:t>
      </w:r>
    </w:p>
    <w:p w14:paraId="29C3ED42" w14:textId="77777777" w:rsidR="00397A3C" w:rsidRPr="00FC4BB3" w:rsidRDefault="00397A3C" w:rsidP="00AE5B70">
      <w:pPr>
        <w:pStyle w:val="MDPI31text"/>
        <w:spacing w:line="360" w:lineRule="auto"/>
        <w:ind w:left="0" w:firstLine="0"/>
        <w:rPr>
          <w:rFonts w:ascii="Times New Roman" w:hAnsi="Times New Roman"/>
          <w:sz w:val="24"/>
          <w:szCs w:val="24"/>
        </w:rPr>
      </w:pPr>
    </w:p>
    <w:p w14:paraId="107930D9" w14:textId="3F586E28" w:rsidR="00397A3C" w:rsidRPr="00FC4BB3" w:rsidRDefault="00397A3C" w:rsidP="00AE5B70">
      <w:pPr>
        <w:pStyle w:val="MDPI21heading1"/>
        <w:numPr>
          <w:ilvl w:val="0"/>
          <w:numId w:val="30"/>
        </w:numPr>
        <w:tabs>
          <w:tab w:val="left" w:pos="567"/>
        </w:tabs>
        <w:spacing w:before="0" w:after="0" w:line="360" w:lineRule="auto"/>
        <w:ind w:left="0" w:firstLine="0"/>
        <w:rPr>
          <w:rFonts w:ascii="Times New Roman" w:hAnsi="Times New Roman"/>
          <w:sz w:val="24"/>
          <w:szCs w:val="24"/>
          <w:lang w:eastAsia="zh-CN"/>
        </w:rPr>
      </w:pPr>
      <w:r w:rsidRPr="00FC4BB3">
        <w:rPr>
          <w:rFonts w:ascii="Times New Roman" w:hAnsi="Times New Roman"/>
          <w:sz w:val="24"/>
          <w:szCs w:val="24"/>
          <w:lang w:eastAsia="zh-CN"/>
        </w:rPr>
        <w:t>INTRODUCTION</w:t>
      </w:r>
    </w:p>
    <w:p w14:paraId="3DB55BAF" w14:textId="24E60791" w:rsidR="00DD0660" w:rsidRPr="00FC4BB3" w:rsidRDefault="008D6F70" w:rsidP="008D6F70">
      <w:pPr>
        <w:pStyle w:val="afd"/>
        <w:numPr>
          <w:ilvl w:val="1"/>
          <w:numId w:val="30"/>
        </w:numPr>
        <w:tabs>
          <w:tab w:val="left" w:pos="567"/>
        </w:tabs>
        <w:spacing w:line="360" w:lineRule="auto"/>
        <w:ind w:left="0" w:firstLine="0"/>
        <w:contextualSpacing w:val="0"/>
        <w:rPr>
          <w:b/>
          <w:bCs/>
          <w:lang w:eastAsia="ru-RU"/>
        </w:rPr>
      </w:pPr>
      <w:r w:rsidRPr="00FC4BB3">
        <w:rPr>
          <w:b/>
          <w:bCs/>
          <w:lang w:eastAsia="ru-RU"/>
        </w:rPr>
        <w:t>Research Problem</w:t>
      </w:r>
    </w:p>
    <w:p w14:paraId="10707500" w14:textId="3AFBDF98" w:rsidR="008D6F70" w:rsidRPr="00FC4BB3" w:rsidRDefault="008D6F70" w:rsidP="008D6F70">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The cultivation of high-quality forest planting stock is of critical importance for successful reforestation initiatives. Today, the need to adopt innovative methods for producing robust seedlings is particularly relevant (</w:t>
      </w:r>
      <w:proofErr w:type="spellStart"/>
      <w:r w:rsidR="00D74AD6" w:rsidRPr="00FC4BB3">
        <w:rPr>
          <w:rFonts w:ascii="Times New Roman" w:hAnsi="Times New Roman"/>
          <w:color w:val="auto"/>
          <w:sz w:val="24"/>
          <w:szCs w:val="24"/>
        </w:rPr>
        <w:t>Sagynbayeva</w:t>
      </w:r>
      <w:proofErr w:type="spellEnd"/>
      <w:r w:rsidR="00D74AD6" w:rsidRPr="00FC4BB3">
        <w:rPr>
          <w:rFonts w:ascii="Times New Roman" w:hAnsi="Times New Roman"/>
          <w:color w:val="auto"/>
          <w:sz w:val="24"/>
          <w:szCs w:val="24"/>
        </w:rPr>
        <w:t xml:space="preserve"> et al.</w:t>
      </w:r>
      <w:r w:rsidRPr="00FC4BB3">
        <w:rPr>
          <w:rFonts w:ascii="Times New Roman" w:hAnsi="Times New Roman"/>
          <w:color w:val="auto"/>
          <w:sz w:val="24"/>
          <w:szCs w:val="24"/>
        </w:rPr>
        <w:t xml:space="preserve"> 2023</w:t>
      </w:r>
      <w:r w:rsidRPr="00FC4BB3">
        <w:rPr>
          <w:rFonts w:ascii="Times New Roman" w:hAnsi="Times New Roman"/>
          <w:sz w:val="24"/>
          <w:szCs w:val="24"/>
        </w:rPr>
        <w:t>). Vertical farming presents a viable alternative to traditional greenhouse cultivation, offering the ability to rapidly grow high-quality containerized seedlings within a short time frame. The growing diversity of vertical farming systems each year suggests their increasing significance within the broader framework of sustainable agricultural technologies.</w:t>
      </w:r>
    </w:p>
    <w:p w14:paraId="45452DA8" w14:textId="66DDF530" w:rsidR="008D6F70" w:rsidRPr="00FC4BB3" w:rsidRDefault="008D6F70" w:rsidP="008D6F70">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One of the most effective strategies for environmental conservation is the rational and responsible use of natural resources (</w:t>
      </w:r>
      <w:proofErr w:type="spellStart"/>
      <w:r w:rsidR="00A12642" w:rsidRPr="00FC4BB3">
        <w:rPr>
          <w:rFonts w:ascii="Times New Roman" w:hAnsi="Times New Roman"/>
          <w:color w:val="auto"/>
          <w:sz w:val="24"/>
          <w:szCs w:val="24"/>
        </w:rPr>
        <w:t>Miroshnik</w:t>
      </w:r>
      <w:proofErr w:type="spellEnd"/>
      <w:r w:rsidR="00A12642" w:rsidRPr="00FC4BB3">
        <w:rPr>
          <w:rFonts w:ascii="Times New Roman" w:hAnsi="Times New Roman"/>
          <w:color w:val="auto"/>
          <w:sz w:val="24"/>
          <w:szCs w:val="24"/>
        </w:rPr>
        <w:t xml:space="preserve"> et al.</w:t>
      </w:r>
      <w:r w:rsidRPr="00FC4BB3">
        <w:rPr>
          <w:rFonts w:ascii="Times New Roman" w:hAnsi="Times New Roman"/>
          <w:color w:val="auto"/>
          <w:sz w:val="24"/>
          <w:szCs w:val="24"/>
        </w:rPr>
        <w:t xml:space="preserve"> 2025</w:t>
      </w:r>
      <w:r w:rsidRPr="00FC4BB3">
        <w:rPr>
          <w:rFonts w:ascii="Times New Roman" w:hAnsi="Times New Roman"/>
          <w:sz w:val="24"/>
          <w:szCs w:val="24"/>
        </w:rPr>
        <w:t>). This approach acknowledges the inherent limitations of ecosystems and promotes a balanced interaction with the environment. While Russia possesses vast forest resources, their potential remains underutilized. In this regard, it is important to draw lessons from countries with advanced forest management systems. Finland serves as a leading example, having developed and successfully implemented forest policies for several decades. Among the technologies adopted in Finnish forestry is vertical farming, which is actively used for growing planting material (</w:t>
      </w:r>
      <w:proofErr w:type="spellStart"/>
      <w:r w:rsidRPr="00FC4BB3">
        <w:rPr>
          <w:rFonts w:ascii="Times New Roman" w:hAnsi="Times New Roman"/>
          <w:noProof/>
          <w:color w:val="auto"/>
          <w:sz w:val="24"/>
          <w:szCs w:val="24"/>
          <w:lang w:eastAsia="zh-CN"/>
        </w:rPr>
        <w:t>Islakayeva</w:t>
      </w:r>
      <w:proofErr w:type="spellEnd"/>
      <w:r w:rsidRPr="00FC4BB3">
        <w:rPr>
          <w:rFonts w:ascii="Times New Roman" w:hAnsi="Times New Roman"/>
          <w:color w:val="auto"/>
          <w:sz w:val="24"/>
          <w:szCs w:val="24"/>
        </w:rPr>
        <w:t xml:space="preserve"> 2019</w:t>
      </w:r>
      <w:r w:rsidRPr="00FC4BB3">
        <w:rPr>
          <w:rFonts w:ascii="Times New Roman" w:hAnsi="Times New Roman"/>
          <w:sz w:val="24"/>
          <w:szCs w:val="24"/>
        </w:rPr>
        <w:t>).</w:t>
      </w:r>
    </w:p>
    <w:p w14:paraId="09F569C4" w14:textId="63839D8E" w:rsidR="008D6F70" w:rsidRPr="00FC4BB3" w:rsidRDefault="008D6F70" w:rsidP="008D6F70">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According to FAO data from 2016, Russia accounts for approximately 20% of the world's forests, whereas Finland contains less than 1%. Nevertheless, the forest cover in Finland is substantially higher—75% compared to Russia’s 46.5% in 2018. Forest cover is a key national indicator of forest health and is closely tied to various ecological factors (</w:t>
      </w:r>
      <w:r w:rsidR="00083C2A" w:rsidRPr="00FC4BB3">
        <w:rPr>
          <w:rFonts w:ascii="Times New Roman" w:hAnsi="Times New Roman"/>
          <w:color w:val="auto"/>
          <w:sz w:val="24"/>
          <w:szCs w:val="24"/>
        </w:rPr>
        <w:t>Soboleva et al.</w:t>
      </w:r>
      <w:r w:rsidRPr="00FC4BB3">
        <w:rPr>
          <w:rFonts w:ascii="Times New Roman" w:hAnsi="Times New Roman"/>
          <w:color w:val="auto"/>
          <w:sz w:val="24"/>
          <w:szCs w:val="24"/>
        </w:rPr>
        <w:t xml:space="preserve"> 2020</w:t>
      </w:r>
      <w:r w:rsidRPr="00FC4BB3">
        <w:rPr>
          <w:rFonts w:ascii="Times New Roman" w:hAnsi="Times New Roman"/>
          <w:sz w:val="24"/>
          <w:szCs w:val="24"/>
        </w:rPr>
        <w:t>).</w:t>
      </w:r>
    </w:p>
    <w:p w14:paraId="26E72E9D" w14:textId="77777777" w:rsidR="008D6F70" w:rsidRPr="00FC4BB3" w:rsidRDefault="008D6F70" w:rsidP="008D6F70">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It is important to note that comparing the total volume of timber resources in Russia and Finland in absolute terms is not meaningful due to the stark difference in land area. A more accurate measure of forest productivity is the growing stock per unit area. In 2018, this indicator was 103.4 m³/ha in Russia, while Finland’s figure was slightly higher at 108.4 m³/ha. Although these numbers are relatively close, Finland continues to show annual growth in total forest stock, whereas Russia has experienced a decline.</w:t>
      </w:r>
    </w:p>
    <w:p w14:paraId="0DF40F89" w14:textId="36ECA3EC" w:rsidR="008D6F70" w:rsidRPr="00FC4BB3" w:rsidRDefault="008D6F70" w:rsidP="008D6F70">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The forest industry in Russia is one of the key sectors of the national economy and plays a vital role in regional socio-economic development (</w:t>
      </w:r>
      <w:r w:rsidRPr="00FC4BB3">
        <w:rPr>
          <w:rFonts w:ascii="Times New Roman" w:hAnsi="Times New Roman"/>
          <w:color w:val="auto"/>
          <w:sz w:val="24"/>
          <w:szCs w:val="24"/>
        </w:rPr>
        <w:t xml:space="preserve">Matveev </w:t>
      </w:r>
      <w:r w:rsidR="009543EC" w:rsidRPr="00FC4BB3">
        <w:rPr>
          <w:rFonts w:ascii="Times New Roman" w:hAnsi="Times New Roman"/>
          <w:noProof/>
          <w:color w:val="auto"/>
          <w:sz w:val="24"/>
          <w:szCs w:val="24"/>
          <w:lang w:eastAsia="zh-CN"/>
        </w:rPr>
        <w:t>and</w:t>
      </w:r>
      <w:r w:rsidRPr="00FC4BB3">
        <w:rPr>
          <w:rFonts w:ascii="Times New Roman" w:hAnsi="Times New Roman"/>
          <w:noProof/>
          <w:color w:val="auto"/>
          <w:sz w:val="24"/>
          <w:szCs w:val="24"/>
          <w:lang w:eastAsia="zh-CN"/>
        </w:rPr>
        <w:t xml:space="preserve"> Timashchuk</w:t>
      </w:r>
      <w:r w:rsidRPr="00FC4BB3">
        <w:rPr>
          <w:rFonts w:ascii="Times New Roman" w:hAnsi="Times New Roman"/>
          <w:color w:val="auto"/>
          <w:sz w:val="24"/>
          <w:szCs w:val="24"/>
        </w:rPr>
        <w:t xml:space="preserve"> 2019</w:t>
      </w:r>
      <w:r w:rsidRPr="00FC4BB3">
        <w:rPr>
          <w:rFonts w:ascii="Times New Roman" w:hAnsi="Times New Roman"/>
          <w:sz w:val="24"/>
          <w:szCs w:val="24"/>
        </w:rPr>
        <w:t>). This industry includes logging, sawmilling, wood processing, pulp and paper production, and the manufacture of wood-based products (</w:t>
      </w:r>
      <w:r w:rsidRPr="00FC4BB3">
        <w:rPr>
          <w:rFonts w:ascii="Times New Roman" w:hAnsi="Times New Roman"/>
          <w:color w:val="auto"/>
          <w:sz w:val="24"/>
          <w:szCs w:val="24"/>
        </w:rPr>
        <w:t>Soboleva et al. 2020</w:t>
      </w:r>
      <w:r w:rsidRPr="00FC4BB3">
        <w:rPr>
          <w:rFonts w:ascii="Times New Roman" w:hAnsi="Times New Roman"/>
          <w:sz w:val="24"/>
          <w:szCs w:val="24"/>
        </w:rPr>
        <w:t>).</w:t>
      </w:r>
    </w:p>
    <w:p w14:paraId="6704ADB8" w14:textId="77777777" w:rsidR="008D6F70" w:rsidRPr="00FC4BB3" w:rsidRDefault="008D6F70" w:rsidP="008D6F70">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lastRenderedPageBreak/>
        <w:t>Despite Russia’s vast forested territory, the forest industry faces numerous challenges. These include low efficiency in forest resource utilization, uneven distribution of forests across regions, illegal logging, and limited adoption of modern technologies.</w:t>
      </w:r>
    </w:p>
    <w:p w14:paraId="39895977" w14:textId="77777777" w:rsidR="008D6F70" w:rsidRPr="00FC4BB3" w:rsidRDefault="008D6F70" w:rsidP="008D6F70">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Forests cover more than half of Kemerovo Oblast. Herbaceous vegetation in the region consists mainly of steppe grasslands, meadows, and peat bogs. Forests in Kuzbass belong to forest-steppe, taiga, and Southern Siberian mountain-forest zones. Within the forest-steppe zone, they are located in the Western Siberian sub-taiga and forest-steppe region; within the taiga zone, in the Western Siberian southern taiga lowland region; and within the mountain-forest zone, in the Altai-</w:t>
      </w:r>
      <w:proofErr w:type="spellStart"/>
      <w:r w:rsidRPr="00FC4BB3">
        <w:rPr>
          <w:rFonts w:ascii="Times New Roman" w:hAnsi="Times New Roman"/>
          <w:sz w:val="24"/>
          <w:szCs w:val="24"/>
        </w:rPr>
        <w:t>Sayan</w:t>
      </w:r>
      <w:proofErr w:type="spellEnd"/>
      <w:r w:rsidRPr="00FC4BB3">
        <w:rPr>
          <w:rFonts w:ascii="Times New Roman" w:hAnsi="Times New Roman"/>
          <w:sz w:val="24"/>
          <w:szCs w:val="24"/>
        </w:rPr>
        <w:t xml:space="preserve"> mountain-taiga region. Moss and lichen vegetation in the region includes high-mountain tundra and moss-dominated wetlands.</w:t>
      </w:r>
    </w:p>
    <w:p w14:paraId="6539FA1A" w14:textId="148C9EC5" w:rsidR="008D6F70" w:rsidRPr="00FC4BB3" w:rsidRDefault="008D6F70" w:rsidP="008D6F70">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 xml:space="preserve">To ensure the sustainable use of forest resources and to improve the ecological situation in Kemerovo Oblast, extensive reforestation activities are being carried out </w:t>
      </w:r>
      <w:r w:rsidRPr="00FC4BB3">
        <w:rPr>
          <w:rFonts w:ascii="Times New Roman" w:hAnsi="Times New Roman"/>
          <w:color w:val="auto"/>
          <w:sz w:val="24"/>
          <w:szCs w:val="24"/>
        </w:rPr>
        <w:t>(</w:t>
      </w:r>
      <w:r w:rsidR="00A12642" w:rsidRPr="00FC4BB3">
        <w:rPr>
          <w:rFonts w:ascii="Times New Roman" w:hAnsi="Times New Roman"/>
          <w:color w:val="auto"/>
          <w:sz w:val="24"/>
          <w:szCs w:val="24"/>
        </w:rPr>
        <w:t>Otto et al.</w:t>
      </w:r>
      <w:r w:rsidRPr="00FC4BB3">
        <w:rPr>
          <w:rFonts w:ascii="Times New Roman" w:hAnsi="Times New Roman"/>
          <w:color w:val="auto"/>
          <w:sz w:val="24"/>
          <w:szCs w:val="24"/>
        </w:rPr>
        <w:t xml:space="preserve"> 2020</w:t>
      </w:r>
      <w:r w:rsidRPr="00FC4BB3">
        <w:rPr>
          <w:rFonts w:ascii="Times New Roman" w:hAnsi="Times New Roman"/>
          <w:sz w:val="24"/>
          <w:szCs w:val="24"/>
        </w:rPr>
        <w:t>). In 2022, reforestation efforts in the region covered a total of 11,921.65 hectares, including 2,185.84 hectares of artificial reforestation (seedling planting), of which 1,815.84 hectares were carried out by forest leaseholders. Natural regeneration accounted for 9,512.01 hectares (7,940.62 hectares by leaseholders), while combined reforestation methods were applied to 223.8 hectares—all conducted by leaseholders. In 2021, compensatory reforestation and afforestation were carried out on 1,792.36 hectares. In the same year, silvicultural maintenance was performed over an area of 16,369.88 hectares, including 5,353.5 hectares by leaseholders.</w:t>
      </w:r>
    </w:p>
    <w:p w14:paraId="7C3CA968" w14:textId="5215AF27" w:rsidR="008D6F70" w:rsidRPr="00FC4BB3" w:rsidRDefault="008D6F70" w:rsidP="008D6F70">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In 2022, a total of 566.1 hectares of afforestation was carried out on forest fund lands in Kemerovo Oblast, including 71.8 hectares of reforested land on reclaimed territories. The total cost of afforestation activities amounted to 98.76 million rubles. Additionally, forest leaseholders funded forest inventory work on 90.333 hectares of leased forest land (</w:t>
      </w:r>
      <w:r w:rsidR="009543EC" w:rsidRPr="00FC4BB3">
        <w:rPr>
          <w:rStyle w:val="rynqvb"/>
          <w:rFonts w:ascii="Times New Roman" w:hAnsi="Times New Roman"/>
          <w:color w:val="auto"/>
          <w:sz w:val="24"/>
          <w:szCs w:val="24"/>
          <w:lang w:val="en"/>
        </w:rPr>
        <w:t xml:space="preserve">Industry of </w:t>
      </w:r>
      <w:proofErr w:type="spellStart"/>
      <w:r w:rsidR="009543EC" w:rsidRPr="00FC4BB3">
        <w:rPr>
          <w:rStyle w:val="rynqvb"/>
          <w:rFonts w:ascii="Times New Roman" w:hAnsi="Times New Roman"/>
          <w:color w:val="auto"/>
          <w:sz w:val="24"/>
          <w:szCs w:val="24"/>
          <w:lang w:val="en"/>
        </w:rPr>
        <w:t>Kuzbass</w:t>
      </w:r>
      <w:proofErr w:type="spellEnd"/>
      <w:r w:rsidR="009543EC" w:rsidRPr="00FC4BB3">
        <w:rPr>
          <w:rStyle w:val="rynqvb"/>
          <w:rFonts w:ascii="Times New Roman" w:hAnsi="Times New Roman"/>
          <w:color w:val="auto"/>
          <w:sz w:val="24"/>
          <w:szCs w:val="24"/>
          <w:lang w:val="en"/>
        </w:rPr>
        <w:t xml:space="preserve"> n.d.</w:t>
      </w:r>
      <w:r w:rsidRPr="00FC4BB3">
        <w:rPr>
          <w:rFonts w:ascii="Times New Roman" w:hAnsi="Times New Roman"/>
          <w:sz w:val="24"/>
          <w:szCs w:val="24"/>
        </w:rPr>
        <w:t>).</w:t>
      </w:r>
    </w:p>
    <w:p w14:paraId="3E3C058D" w14:textId="5C210111" w:rsidR="008D6F70" w:rsidRPr="00FC4BB3" w:rsidRDefault="008D6F70" w:rsidP="008D6F70">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In recent years, forest ecosystems have faced increasing pressure from various stressors, including diseases, insect infestations, extreme weather conditions, climate-related factors, and mining operations (</w:t>
      </w:r>
      <w:proofErr w:type="spellStart"/>
      <w:r w:rsidRPr="00FC4BB3">
        <w:rPr>
          <w:rFonts w:ascii="Times New Roman" w:hAnsi="Times New Roman"/>
          <w:color w:val="auto"/>
          <w:sz w:val="24"/>
          <w:szCs w:val="24"/>
        </w:rPr>
        <w:t>Firozjaei</w:t>
      </w:r>
      <w:proofErr w:type="spellEnd"/>
      <w:r w:rsidRPr="00FC4BB3">
        <w:rPr>
          <w:rFonts w:ascii="Times New Roman" w:hAnsi="Times New Roman"/>
          <w:color w:val="auto"/>
          <w:sz w:val="24"/>
          <w:szCs w:val="24"/>
        </w:rPr>
        <w:t xml:space="preserve"> et al. 2021</w:t>
      </w:r>
      <w:r w:rsidRPr="00FC4BB3">
        <w:rPr>
          <w:rFonts w:ascii="Times New Roman" w:hAnsi="Times New Roman"/>
          <w:sz w:val="24"/>
          <w:szCs w:val="24"/>
        </w:rPr>
        <w:t>). In 2022, the total area affected by forest fires in Kemerovo Oblast increased by 66,208 hectares. Forest pest outbreaks were recorded over 21,440 hectares, and forest diseases affected 44,668 hectares, representing a 4% decrease compared to the previous year. The total area of damaged or dying forest stands due to pests and diseases on forest fund lands reached 28,250 hectares, including 625 hectares of completely dead stands (</w:t>
      </w:r>
      <w:r w:rsidR="009A2D5A" w:rsidRPr="00FC4BB3">
        <w:rPr>
          <w:rFonts w:ascii="Times New Roman" w:hAnsi="Times New Roman"/>
          <w:color w:val="auto"/>
          <w:sz w:val="24"/>
          <w:szCs w:val="24"/>
        </w:rPr>
        <w:t xml:space="preserve">Territorial Office of Federal State Statistics Service for Kemerovo Region – </w:t>
      </w:r>
      <w:proofErr w:type="spellStart"/>
      <w:r w:rsidR="009A2D5A" w:rsidRPr="00FC4BB3">
        <w:rPr>
          <w:rFonts w:ascii="Times New Roman" w:hAnsi="Times New Roman"/>
          <w:color w:val="auto"/>
          <w:sz w:val="24"/>
          <w:szCs w:val="24"/>
        </w:rPr>
        <w:t>Kuzbass</w:t>
      </w:r>
      <w:proofErr w:type="spellEnd"/>
      <w:r w:rsidR="009A2D5A" w:rsidRPr="00FC4BB3">
        <w:rPr>
          <w:rFonts w:ascii="Times New Roman" w:hAnsi="Times New Roman"/>
          <w:color w:val="auto"/>
          <w:sz w:val="24"/>
          <w:szCs w:val="24"/>
        </w:rPr>
        <w:t xml:space="preserve"> n.d.</w:t>
      </w:r>
      <w:r w:rsidRPr="00FC4BB3">
        <w:rPr>
          <w:rFonts w:ascii="Times New Roman" w:hAnsi="Times New Roman"/>
          <w:sz w:val="24"/>
          <w:szCs w:val="24"/>
        </w:rPr>
        <w:t>).</w:t>
      </w:r>
    </w:p>
    <w:p w14:paraId="1FADB4FC" w14:textId="5D6B06C6" w:rsidR="008D6F70" w:rsidRPr="00FC4BB3" w:rsidRDefault="008D6F70" w:rsidP="008D6F70">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lastRenderedPageBreak/>
        <w:t>Currently, seven permanent forest nurseries operate in Kemerovo Oblast, covering a total area of 90.38 hectares. In 2022, the total sown area amounted to 7.39 hectares, with 1,073.6 kilograms of seeds sown. By species, the distribution included: Scots pine (3.08 ha, 185.4 kg), spruce (3.24 ha, 258.2 kg), larch (0.62 ha, 50.0 kg), and Siberian cedar (0.45 ha, 580 kg). That year, nurseries produced approximately 16.98 million seedlings and saplings. The annual volume of forest reproductive material must continue to grow to meet future reforestation demands (</w:t>
      </w:r>
      <w:r w:rsidR="00D73491" w:rsidRPr="00FC4BB3">
        <w:rPr>
          <w:rStyle w:val="rynqvb"/>
          <w:rFonts w:ascii="Times New Roman" w:hAnsi="Times New Roman"/>
          <w:color w:val="auto"/>
          <w:sz w:val="24"/>
          <w:szCs w:val="24"/>
          <w:lang w:val="en"/>
        </w:rPr>
        <w:t>Government of the Kemerovo Region – Kuzbass, 2011</w:t>
      </w:r>
      <w:r w:rsidRPr="00FC4BB3">
        <w:rPr>
          <w:rFonts w:ascii="Times New Roman" w:hAnsi="Times New Roman"/>
          <w:sz w:val="24"/>
          <w:szCs w:val="24"/>
        </w:rPr>
        <w:t>). However, traditional nurseries are limited by seasonal constraints and growing cycle durations (</w:t>
      </w:r>
      <w:proofErr w:type="spellStart"/>
      <w:r w:rsidRPr="00FC4BB3">
        <w:rPr>
          <w:rFonts w:ascii="Times New Roman" w:hAnsi="Times New Roman"/>
          <w:color w:val="auto"/>
          <w:sz w:val="24"/>
          <w:szCs w:val="24"/>
        </w:rPr>
        <w:t>Zhigunov</w:t>
      </w:r>
      <w:proofErr w:type="spellEnd"/>
      <w:r w:rsidRPr="00FC4BB3">
        <w:rPr>
          <w:rFonts w:ascii="Times New Roman" w:hAnsi="Times New Roman"/>
          <w:color w:val="auto"/>
          <w:sz w:val="24"/>
          <w:szCs w:val="24"/>
        </w:rPr>
        <w:t xml:space="preserve"> et al. 2019</w:t>
      </w:r>
      <w:r w:rsidRPr="00FC4BB3">
        <w:rPr>
          <w:rFonts w:ascii="Times New Roman" w:hAnsi="Times New Roman"/>
          <w:sz w:val="24"/>
          <w:szCs w:val="24"/>
        </w:rPr>
        <w:t>).</w:t>
      </w:r>
    </w:p>
    <w:p w14:paraId="6604FB51" w14:textId="779D95BD" w:rsidR="008D6F70" w:rsidRPr="00FC4BB3" w:rsidRDefault="008D6F70" w:rsidP="008D6F70">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 xml:space="preserve">Reforestation is a vital tool for restoring degraded forest ecosystems and can lead to the formation of productive, healthy stands. This process supports the accumulation of biomass, particularly among dominant tree species, which play a crucial structural role in forest ecosystems </w:t>
      </w:r>
      <w:r w:rsidRPr="00FC4BB3">
        <w:rPr>
          <w:rFonts w:ascii="Times New Roman" w:hAnsi="Times New Roman"/>
          <w:color w:val="auto"/>
          <w:sz w:val="24"/>
          <w:szCs w:val="24"/>
        </w:rPr>
        <w:t>(</w:t>
      </w:r>
      <w:proofErr w:type="spellStart"/>
      <w:r w:rsidR="00A71F94" w:rsidRPr="00FC4BB3">
        <w:rPr>
          <w:rFonts w:ascii="Times New Roman" w:hAnsi="Times New Roman"/>
          <w:color w:val="auto"/>
          <w:sz w:val="24"/>
          <w:szCs w:val="24"/>
        </w:rPr>
        <w:t>Gulin</w:t>
      </w:r>
      <w:proofErr w:type="spellEnd"/>
      <w:r w:rsidR="00A71F94" w:rsidRPr="00FC4BB3">
        <w:rPr>
          <w:rFonts w:ascii="Times New Roman" w:hAnsi="Times New Roman"/>
          <w:color w:val="auto"/>
          <w:sz w:val="24"/>
          <w:szCs w:val="24"/>
        </w:rPr>
        <w:t xml:space="preserve"> et al.</w:t>
      </w:r>
      <w:r w:rsidRPr="00FC4BB3">
        <w:rPr>
          <w:rFonts w:ascii="Times New Roman" w:hAnsi="Times New Roman"/>
          <w:color w:val="auto"/>
          <w:sz w:val="24"/>
          <w:szCs w:val="24"/>
        </w:rPr>
        <w:t xml:space="preserve"> 2019</w:t>
      </w:r>
      <w:r w:rsidR="00A71F94" w:rsidRPr="00FC4BB3">
        <w:rPr>
          <w:rFonts w:ascii="Times New Roman" w:hAnsi="Times New Roman"/>
          <w:color w:val="auto"/>
          <w:sz w:val="24"/>
          <w:szCs w:val="24"/>
        </w:rPr>
        <w:t xml:space="preserve">; </w:t>
      </w:r>
      <w:r w:rsidR="00A71F94" w:rsidRPr="00FC4BB3">
        <w:rPr>
          <w:rFonts w:ascii="Times New Roman" w:hAnsi="Times New Roman"/>
          <w:noProof/>
          <w:color w:val="auto"/>
          <w:sz w:val="24"/>
          <w:szCs w:val="24"/>
          <w:lang w:eastAsia="zh-CN"/>
        </w:rPr>
        <w:t>Treschevskaya et al.</w:t>
      </w:r>
      <w:r w:rsidR="00A71F94" w:rsidRPr="00FC4BB3">
        <w:rPr>
          <w:rFonts w:ascii="Times New Roman" w:hAnsi="Times New Roman"/>
          <w:color w:val="auto"/>
          <w:sz w:val="24"/>
          <w:szCs w:val="24"/>
        </w:rPr>
        <w:t xml:space="preserve"> 2017</w:t>
      </w:r>
      <w:r w:rsidRPr="00FC4BB3">
        <w:rPr>
          <w:rFonts w:ascii="Times New Roman" w:hAnsi="Times New Roman"/>
          <w:sz w:val="24"/>
          <w:szCs w:val="24"/>
        </w:rPr>
        <w:t>). Assessing the volume of these dominant trees is essential for analyzing the composition of uneven-aged stands and forecasting future forest dynamics, as stand structure development patterns are closely linked to the growth of dominant individuals (</w:t>
      </w:r>
      <w:r w:rsidR="0087087F" w:rsidRPr="00FC4BB3">
        <w:rPr>
          <w:rFonts w:ascii="Times New Roman" w:hAnsi="Times New Roman"/>
          <w:color w:val="auto"/>
          <w:sz w:val="24"/>
          <w:szCs w:val="24"/>
        </w:rPr>
        <w:t>Sun</w:t>
      </w:r>
      <w:r w:rsidRPr="00FC4BB3">
        <w:rPr>
          <w:rFonts w:ascii="Times New Roman" w:hAnsi="Times New Roman"/>
          <w:color w:val="auto"/>
          <w:sz w:val="24"/>
          <w:szCs w:val="24"/>
        </w:rPr>
        <w:t xml:space="preserve"> et al. 2019</w:t>
      </w:r>
      <w:r w:rsidRPr="00FC4BB3">
        <w:rPr>
          <w:rFonts w:ascii="Times New Roman" w:hAnsi="Times New Roman"/>
          <w:sz w:val="24"/>
          <w:szCs w:val="24"/>
        </w:rPr>
        <w:t>).</w:t>
      </w:r>
    </w:p>
    <w:p w14:paraId="682A2F1C" w14:textId="21CB3FAE" w:rsidR="008D6F70" w:rsidRPr="00FC4BB3" w:rsidRDefault="008D6F70" w:rsidP="008D6F70">
      <w:pPr>
        <w:pStyle w:val="MDPI31text"/>
        <w:spacing w:line="360" w:lineRule="auto"/>
        <w:ind w:left="0" w:firstLine="567"/>
        <w:rPr>
          <w:rFonts w:ascii="Times New Roman" w:hAnsi="Times New Roman"/>
          <w:color w:val="auto"/>
          <w:sz w:val="24"/>
          <w:szCs w:val="24"/>
        </w:rPr>
      </w:pPr>
      <w:r w:rsidRPr="00FC4BB3">
        <w:rPr>
          <w:rFonts w:ascii="Times New Roman" w:hAnsi="Times New Roman"/>
          <w:sz w:val="24"/>
          <w:szCs w:val="24"/>
        </w:rPr>
        <w:t xml:space="preserve">Ensuring the ecological integrity and sustainable use of forest resources, improving the efficiency of the forest sector, and transitioning toward sustainable forest management are all necessary steps to guarantee ecological security not only in Russia but globally. As shown in Figure 1, growing coniferous seedlings for reforestation in vertical farms can significantly enhance reforestation performance in Russia and elsewhere </w:t>
      </w:r>
      <w:r w:rsidRPr="00FC4BB3">
        <w:rPr>
          <w:rFonts w:ascii="Times New Roman" w:hAnsi="Times New Roman"/>
          <w:color w:val="auto"/>
          <w:sz w:val="24"/>
          <w:szCs w:val="24"/>
        </w:rPr>
        <w:t>(</w:t>
      </w:r>
      <w:proofErr w:type="spellStart"/>
      <w:r w:rsidR="00E14822" w:rsidRPr="00FC4BB3">
        <w:rPr>
          <w:rStyle w:val="rynqvb"/>
          <w:rFonts w:ascii="Times New Roman" w:hAnsi="Times New Roman"/>
          <w:color w:val="auto"/>
          <w:sz w:val="24"/>
          <w:szCs w:val="24"/>
          <w:lang w:val="en"/>
        </w:rPr>
        <w:t>Kamitdinov</w:t>
      </w:r>
      <w:proofErr w:type="spellEnd"/>
      <w:r w:rsidR="00E14822" w:rsidRPr="00FC4BB3">
        <w:rPr>
          <w:rStyle w:val="rynqvb"/>
          <w:rFonts w:ascii="Times New Roman" w:hAnsi="Times New Roman"/>
          <w:color w:val="auto"/>
          <w:sz w:val="24"/>
          <w:szCs w:val="24"/>
          <w:lang w:val="en"/>
        </w:rPr>
        <w:t xml:space="preserve"> </w:t>
      </w:r>
      <w:r w:rsidR="00E14822" w:rsidRPr="00FC4BB3">
        <w:rPr>
          <w:rFonts w:ascii="Times New Roman" w:hAnsi="Times New Roman"/>
          <w:color w:val="auto"/>
          <w:sz w:val="24"/>
          <w:szCs w:val="24"/>
        </w:rPr>
        <w:t>2019</w:t>
      </w:r>
      <w:r w:rsidRPr="00FC4BB3">
        <w:rPr>
          <w:rFonts w:ascii="Times New Roman" w:hAnsi="Times New Roman"/>
          <w:color w:val="auto"/>
          <w:sz w:val="24"/>
          <w:szCs w:val="24"/>
        </w:rPr>
        <w:t>).</w:t>
      </w:r>
    </w:p>
    <w:p w14:paraId="355E3976" w14:textId="1F0333A8" w:rsidR="008D6F70" w:rsidRPr="00FC4BB3" w:rsidRDefault="008D6F70" w:rsidP="008D6F70">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As of February 1, 2024, the total area of disturbed land in Kemerovo Oblast, including coal mining territories, was estimated at 130,000–150,000 hectares, of which only 24,000 hectares have been reclaimed</w:t>
      </w:r>
      <w:r w:rsidR="00FC4BB3" w:rsidRPr="00FC4BB3">
        <w:rPr>
          <w:rStyle w:val="a5"/>
          <w:rFonts w:ascii="Times New Roman" w:hAnsi="Times New Roman"/>
          <w:noProof/>
          <w:snapToGrid/>
          <w:lang w:eastAsia="zh-CN" w:bidi="ar-SA"/>
        </w:rPr>
        <w:t>.</w:t>
      </w:r>
      <w:r w:rsidRPr="00FC4BB3">
        <w:rPr>
          <w:rFonts w:ascii="Times New Roman" w:hAnsi="Times New Roman"/>
          <w:sz w:val="24"/>
          <w:szCs w:val="24"/>
        </w:rPr>
        <w:t xml:space="preserve"> There is currently a shortage of high-quality container-grown planting stock for reforestation efforts in the region. Vertical farming, a relatively young and innovative direction in agriculture, presents a potential solution to this problem. The cultivation of Scots pine seedlings under fully controlled environmental conditions within vertical farms can help address the regional deficit of planting material.</w:t>
      </w:r>
    </w:p>
    <w:p w14:paraId="7ACF3A1B" w14:textId="15BE8C6C" w:rsidR="008D6F70" w:rsidRPr="00FC4BB3" w:rsidRDefault="008D6F70" w:rsidP="008D6F70">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The implementation of automated systems for irrigation, lighting, and nutrient delivery enables year-round production of conifer seedlings. This technology offers an efficient and scalable alternative to traditional greenhouse cultivation, significantly reducing the time required to produce high-quality planting stock (</w:t>
      </w:r>
      <w:r w:rsidRPr="00FC4BB3">
        <w:rPr>
          <w:rFonts w:ascii="Times New Roman" w:hAnsi="Times New Roman"/>
          <w:color w:val="auto"/>
          <w:sz w:val="24"/>
          <w:szCs w:val="24"/>
        </w:rPr>
        <w:t>Bag et al. 2019</w:t>
      </w:r>
      <w:r w:rsidRPr="00FC4BB3">
        <w:rPr>
          <w:rFonts w:ascii="Times New Roman" w:hAnsi="Times New Roman"/>
          <w:sz w:val="24"/>
          <w:szCs w:val="24"/>
        </w:rPr>
        <w:t>).</w:t>
      </w:r>
    </w:p>
    <w:p w14:paraId="7AF520A1" w14:textId="18588836" w:rsidR="008D6F70" w:rsidRPr="00FC4BB3" w:rsidRDefault="008D6F70" w:rsidP="008D6F70">
      <w:pPr>
        <w:pStyle w:val="MDPI31text"/>
        <w:spacing w:line="360" w:lineRule="auto"/>
        <w:ind w:left="0" w:firstLine="567"/>
        <w:rPr>
          <w:rFonts w:ascii="Times New Roman" w:hAnsi="Times New Roman"/>
          <w:color w:val="auto"/>
          <w:sz w:val="24"/>
          <w:szCs w:val="24"/>
        </w:rPr>
      </w:pPr>
      <w:r w:rsidRPr="00FC4BB3">
        <w:rPr>
          <w:rFonts w:ascii="Times New Roman" w:hAnsi="Times New Roman"/>
          <w:sz w:val="24"/>
          <w:szCs w:val="24"/>
        </w:rPr>
        <w:t xml:space="preserve">Concurrently, </w:t>
      </w:r>
      <w:proofErr w:type="spellStart"/>
      <w:r w:rsidRPr="00FC4BB3">
        <w:rPr>
          <w:rFonts w:ascii="Times New Roman" w:hAnsi="Times New Roman"/>
          <w:sz w:val="24"/>
          <w:szCs w:val="24"/>
        </w:rPr>
        <w:t>Lanoue</w:t>
      </w:r>
      <w:proofErr w:type="spellEnd"/>
      <w:r w:rsidRPr="00FC4BB3">
        <w:rPr>
          <w:rFonts w:ascii="Times New Roman" w:hAnsi="Times New Roman"/>
          <w:sz w:val="24"/>
          <w:szCs w:val="24"/>
        </w:rPr>
        <w:t xml:space="preserve"> et al. highlighted that the connection between transpiration and carbon export can be more complicated than what has been presumed. They maintained that </w:t>
      </w:r>
      <w:r w:rsidRPr="00FC4BB3">
        <w:rPr>
          <w:rFonts w:ascii="Times New Roman" w:hAnsi="Times New Roman"/>
          <w:sz w:val="24"/>
          <w:szCs w:val="24"/>
        </w:rPr>
        <w:lastRenderedPageBreak/>
        <w:t xml:space="preserve">orange and green LEDs, not only the conventionally used red and blue LEDs, ought to be taken into account and experimented on in the design of lighting systems for the optimization of leaf performance in the cultivation of tomatoes in </w:t>
      </w:r>
      <w:r w:rsidRPr="00FC4BB3">
        <w:rPr>
          <w:rFonts w:ascii="Times New Roman" w:hAnsi="Times New Roman"/>
          <w:color w:val="auto"/>
          <w:sz w:val="24"/>
          <w:szCs w:val="24"/>
        </w:rPr>
        <w:t>controlled environment systems.</w:t>
      </w:r>
    </w:p>
    <w:p w14:paraId="31DF1F80" w14:textId="397EEA6E" w:rsidR="00F4551E" w:rsidRPr="00FC4BB3" w:rsidRDefault="008D6F70" w:rsidP="008D6F70">
      <w:pPr>
        <w:spacing w:line="360" w:lineRule="auto"/>
        <w:ind w:firstLine="567"/>
        <w:rPr>
          <w:color w:val="FF0000"/>
          <w:szCs w:val="24"/>
          <w:lang w:eastAsia="ru-RU"/>
        </w:rPr>
      </w:pPr>
      <w:r w:rsidRPr="00FC4BB3">
        <w:rPr>
          <w:szCs w:val="24"/>
        </w:rPr>
        <w:t>For this research, experimental greenhouse LED units—KSDO1 and KSDO2—were used, which were domestically produced and designed for hydroponic systems. The LED fixtures tested had advanced semiconductor-based spectral LEDs as the basic source of light, with proprietary spectral tuning technology developed by the Kazakh company "LedSystemMedia." The company has the equipment needed to manufacture LED light devices for industrial use and has several patents in the area of LED lighting technology, including for the tested fixtures.</w:t>
      </w:r>
    </w:p>
    <w:p w14:paraId="5EA42741" w14:textId="77777777" w:rsidR="00F4551E" w:rsidRPr="00FC4BB3" w:rsidRDefault="00F4551E" w:rsidP="008D6F70">
      <w:pPr>
        <w:spacing w:line="360" w:lineRule="auto"/>
        <w:ind w:firstLine="567"/>
        <w:rPr>
          <w:color w:val="FF0000"/>
          <w:szCs w:val="24"/>
          <w:lang w:eastAsia="ru-RU"/>
        </w:rPr>
      </w:pPr>
    </w:p>
    <w:p w14:paraId="4426FAAE" w14:textId="6A68100D" w:rsidR="00DD0660" w:rsidRPr="00FC4BB3" w:rsidRDefault="009015ED" w:rsidP="009015ED">
      <w:pPr>
        <w:pStyle w:val="afd"/>
        <w:numPr>
          <w:ilvl w:val="1"/>
          <w:numId w:val="30"/>
        </w:numPr>
        <w:tabs>
          <w:tab w:val="left" w:pos="567"/>
        </w:tabs>
        <w:spacing w:line="360" w:lineRule="auto"/>
        <w:ind w:left="567" w:hanging="567"/>
        <w:contextualSpacing w:val="0"/>
        <w:rPr>
          <w:lang w:eastAsia="ru-RU"/>
        </w:rPr>
      </w:pPr>
      <w:r w:rsidRPr="00FC4BB3">
        <w:rPr>
          <w:b/>
        </w:rPr>
        <w:t>The Origins of Vertical Farming</w:t>
      </w:r>
    </w:p>
    <w:p w14:paraId="7C25F345" w14:textId="0F69AD8E" w:rsidR="009015ED" w:rsidRPr="00FC4BB3" w:rsidRDefault="009015ED" w:rsidP="009015ED">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The invention of agriculture dates back approximately 10,000 years and emerged independently in various parts of the world, including present-day Mexico, China, the Middle East, and Borneo. It spread rapidly across early civilizations, offering a more stable and productive way of life to those who adopted it. At that time, the global population is estimated to have been around one million. Over the millennia, agriculture evolved at an extraordinary pace, fundamentally reshaping the Earth's landscape and ecosystems (</w:t>
      </w:r>
      <w:r w:rsidRPr="00FC4BB3">
        <w:rPr>
          <w:rFonts w:ascii="Times New Roman" w:hAnsi="Times New Roman"/>
          <w:color w:val="auto"/>
          <w:sz w:val="24"/>
          <w:szCs w:val="24"/>
        </w:rPr>
        <w:t>Panov et al. 2022</w:t>
      </w:r>
      <w:r w:rsidRPr="00FC4BB3">
        <w:rPr>
          <w:rFonts w:ascii="Times New Roman" w:hAnsi="Times New Roman"/>
          <w:sz w:val="24"/>
          <w:szCs w:val="24"/>
        </w:rPr>
        <w:t>).</w:t>
      </w:r>
    </w:p>
    <w:p w14:paraId="56F28CA9" w14:textId="19191FB3" w:rsidR="009015ED" w:rsidRPr="00FC4BB3" w:rsidRDefault="009015ED" w:rsidP="009015ED">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The development of advanced irrigation systems, synthetic fertilizers, pesticides, herbicides, and a wide array of domesticated crops dramatically improved agricultural productivity and helped eliminate food scarcity as a major limiting factor for human population growth. As a direct result of this progress, the global population now exceeds seven billion, the majority of whom reside in densely populated urban and suburban areas (</w:t>
      </w:r>
      <w:proofErr w:type="spellStart"/>
      <w:r w:rsidRPr="00FC4BB3">
        <w:rPr>
          <w:rFonts w:ascii="Times New Roman" w:hAnsi="Times New Roman"/>
          <w:color w:val="auto"/>
          <w:sz w:val="24"/>
          <w:szCs w:val="24"/>
        </w:rPr>
        <w:t>Koval</w:t>
      </w:r>
      <w:proofErr w:type="spellEnd"/>
      <w:r w:rsidRPr="00FC4BB3">
        <w:rPr>
          <w:rFonts w:ascii="Times New Roman" w:hAnsi="Times New Roman"/>
          <w:color w:val="auto"/>
          <w:sz w:val="24"/>
          <w:szCs w:val="24"/>
        </w:rPr>
        <w:t xml:space="preserve"> </w:t>
      </w:r>
      <w:r w:rsidR="002D44FC" w:rsidRPr="00FC4BB3">
        <w:rPr>
          <w:rFonts w:ascii="Times New Roman" w:hAnsi="Times New Roman"/>
          <w:noProof/>
          <w:color w:val="auto"/>
          <w:sz w:val="24"/>
          <w:szCs w:val="24"/>
          <w:lang w:eastAsia="zh-CN"/>
        </w:rPr>
        <w:t>and</w:t>
      </w:r>
      <w:r w:rsidRPr="00FC4BB3">
        <w:rPr>
          <w:rFonts w:ascii="Times New Roman" w:hAnsi="Times New Roman"/>
          <w:noProof/>
          <w:color w:val="auto"/>
          <w:sz w:val="24"/>
          <w:szCs w:val="24"/>
          <w:lang w:eastAsia="zh-CN"/>
        </w:rPr>
        <w:t xml:space="preserve"> Protopopova</w:t>
      </w:r>
      <w:r w:rsidRPr="00FC4BB3">
        <w:rPr>
          <w:rFonts w:ascii="Times New Roman" w:hAnsi="Times New Roman"/>
          <w:color w:val="auto"/>
          <w:sz w:val="24"/>
          <w:szCs w:val="24"/>
        </w:rPr>
        <w:t xml:space="preserve"> 2021</w:t>
      </w:r>
      <w:r w:rsidRPr="00FC4BB3">
        <w:rPr>
          <w:rFonts w:ascii="Times New Roman" w:hAnsi="Times New Roman"/>
          <w:sz w:val="24"/>
          <w:szCs w:val="24"/>
        </w:rPr>
        <w:t>).</w:t>
      </w:r>
    </w:p>
    <w:p w14:paraId="320B0D22" w14:textId="75B872ED" w:rsidR="009015ED" w:rsidRPr="00FC4BB3" w:rsidRDefault="009015ED" w:rsidP="009015ED">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In the 1930s, Dr. William Gericke and his colleagues at the University of California, Davis, advanced the concept of hydroponics—an alternative agricultural method in which plants are cultivated without soil. Instead, plant roots are immersed in a nutrient-rich water solution, delivering all essential elements required for growth (</w:t>
      </w:r>
      <w:r w:rsidR="00B20ED0" w:rsidRPr="00FC4BB3">
        <w:rPr>
          <w:rFonts w:ascii="Times New Roman" w:hAnsi="Times New Roman"/>
          <w:color w:val="auto"/>
          <w:sz w:val="24"/>
          <w:szCs w:val="24"/>
        </w:rPr>
        <w:t>Waldron</w:t>
      </w:r>
      <w:r w:rsidRPr="00FC4BB3">
        <w:rPr>
          <w:rFonts w:ascii="Times New Roman" w:hAnsi="Times New Roman"/>
          <w:color w:val="auto"/>
          <w:sz w:val="24"/>
          <w:szCs w:val="24"/>
        </w:rPr>
        <w:t xml:space="preserve"> 2018</w:t>
      </w:r>
      <w:r w:rsidRPr="00FC4BB3">
        <w:rPr>
          <w:rFonts w:ascii="Times New Roman" w:hAnsi="Times New Roman"/>
          <w:sz w:val="24"/>
          <w:szCs w:val="24"/>
        </w:rPr>
        <w:t>). This foundational work is considered a catalyst for the modern surge in hydroponic and aeroponic growing systems now widely used in technologically advanced greenhouse operations around the world (</w:t>
      </w:r>
      <w:r w:rsidRPr="00FC4BB3">
        <w:rPr>
          <w:rFonts w:ascii="Times New Roman" w:hAnsi="Times New Roman"/>
          <w:color w:val="auto"/>
          <w:sz w:val="24"/>
          <w:szCs w:val="24"/>
        </w:rPr>
        <w:t>Escobar et al. 2020</w:t>
      </w:r>
      <w:r w:rsidRPr="00FC4BB3">
        <w:rPr>
          <w:rFonts w:ascii="Times New Roman" w:hAnsi="Times New Roman"/>
          <w:sz w:val="24"/>
          <w:szCs w:val="24"/>
        </w:rPr>
        <w:t>).</w:t>
      </w:r>
    </w:p>
    <w:p w14:paraId="6D038DBE" w14:textId="700E2AF1" w:rsidR="009015ED" w:rsidRPr="00FC4BB3" w:rsidRDefault="009015ED" w:rsidP="009015ED">
      <w:pPr>
        <w:pStyle w:val="MDPI31text"/>
        <w:spacing w:line="360" w:lineRule="auto"/>
        <w:ind w:left="0" w:firstLine="567"/>
        <w:rPr>
          <w:rFonts w:ascii="Times New Roman" w:hAnsi="Times New Roman"/>
          <w:color w:val="auto"/>
          <w:sz w:val="24"/>
          <w:szCs w:val="24"/>
        </w:rPr>
      </w:pPr>
      <w:r w:rsidRPr="00FC4BB3">
        <w:rPr>
          <w:rFonts w:ascii="Times New Roman" w:hAnsi="Times New Roman"/>
          <w:sz w:val="24"/>
          <w:szCs w:val="24"/>
        </w:rPr>
        <w:t xml:space="preserve">Over the past two decades, technological innovations such as high-efficiency LED grow lights, computerized control systems for nutrient dosing, pH regulation, temperature </w:t>
      </w:r>
      <w:r w:rsidRPr="00FC4BB3">
        <w:rPr>
          <w:rFonts w:ascii="Times New Roman" w:hAnsi="Times New Roman"/>
          <w:sz w:val="24"/>
          <w:szCs w:val="24"/>
        </w:rPr>
        <w:lastRenderedPageBreak/>
        <w:t xml:space="preserve">management, and oxygenation have </w:t>
      </w:r>
      <w:r w:rsidRPr="00FC4BB3">
        <w:rPr>
          <w:rFonts w:ascii="Times New Roman" w:hAnsi="Times New Roman"/>
          <w:color w:val="auto"/>
          <w:sz w:val="24"/>
          <w:szCs w:val="24"/>
        </w:rPr>
        <w:t>propelled agriculture to an entirely new level (</w:t>
      </w:r>
      <w:proofErr w:type="spellStart"/>
      <w:r w:rsidR="000B0DAA" w:rsidRPr="00FC4BB3">
        <w:rPr>
          <w:rFonts w:ascii="Times New Roman" w:hAnsi="Times New Roman"/>
          <w:color w:val="auto"/>
          <w:sz w:val="24"/>
          <w:szCs w:val="24"/>
        </w:rPr>
        <w:t>Kalkhajeh</w:t>
      </w:r>
      <w:proofErr w:type="spellEnd"/>
      <w:r w:rsidR="000B0DAA" w:rsidRPr="00FC4BB3">
        <w:rPr>
          <w:rFonts w:ascii="Times New Roman" w:hAnsi="Times New Roman"/>
          <w:color w:val="auto"/>
          <w:sz w:val="24"/>
          <w:szCs w:val="24"/>
        </w:rPr>
        <w:t xml:space="preserve"> et al.</w:t>
      </w:r>
      <w:r w:rsidRPr="00FC4BB3">
        <w:rPr>
          <w:rFonts w:ascii="Times New Roman" w:hAnsi="Times New Roman"/>
          <w:color w:val="auto"/>
          <w:sz w:val="24"/>
          <w:szCs w:val="24"/>
        </w:rPr>
        <w:t xml:space="preserve"> 2021).</w:t>
      </w:r>
    </w:p>
    <w:p w14:paraId="3C619B4C" w14:textId="77777777" w:rsidR="009015ED" w:rsidRPr="00FC4BB3" w:rsidRDefault="009015ED" w:rsidP="009015ED">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Vertical farming offers numerous advantages over traditional soil-based agriculture. Chief among these is the ability to maintain full control over environmental variables, enabling optimal survival, growth, and development of crops while maximizing yield per square meter. Unlike conventional farming, vertical farms are largely unaffected by unpredictable climate conditions such as floods or droughts (with the exception of extreme events like tornadoes or hurricanes). Most importantly, vertical farms can be established almost anywhere in the world, as they do not depend on arable soil.</w:t>
      </w:r>
    </w:p>
    <w:p w14:paraId="078F9465" w14:textId="78628A8A" w:rsidR="009015ED" w:rsidRPr="00FC4BB3" w:rsidRDefault="009015ED" w:rsidP="009015ED">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Outdoor agriculture is inherently vulnerable to a wide range of biological threats, including viruses, bacteria, and insect pests such as locusts. These challenges often lead to substantial crop losses each year. Well-designed indoor cultivation systems can dramatically reduce—or even eliminate—such losses, all without the need for toxic chemical pesticides.</w:t>
      </w:r>
    </w:p>
    <w:p w14:paraId="2A3C9BBE" w14:textId="77777777" w:rsidR="009015ED" w:rsidRPr="00FC4BB3" w:rsidRDefault="009015ED" w:rsidP="009015ED">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This is made possible through the use of physical containment structures, similar in principle to the positive-pressure environments used in hospitals to protect vulnerable patients. In the rare event of a contamination breach, vertical farm operators can sanitize and replant their systems within a matter of days or weeks. In contrast, open-field farmers must often wait until the following growing season to resume operations.</w:t>
      </w:r>
    </w:p>
    <w:p w14:paraId="722F9293" w14:textId="25DE75AC" w:rsidR="009015ED" w:rsidRPr="00FC4BB3" w:rsidRDefault="009015ED" w:rsidP="009015ED">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These characteristics position vertical farming as a promising and innovative foundation for the agricultural systems of the future (</w:t>
      </w:r>
      <w:proofErr w:type="spellStart"/>
      <w:r w:rsidR="00893768" w:rsidRPr="00FC4BB3">
        <w:rPr>
          <w:rFonts w:ascii="Times New Roman" w:hAnsi="Times New Roman"/>
          <w:color w:val="auto"/>
          <w:sz w:val="24"/>
          <w:szCs w:val="24"/>
        </w:rPr>
        <w:t>Turtulova</w:t>
      </w:r>
      <w:proofErr w:type="spellEnd"/>
      <w:r w:rsidRPr="00FC4BB3">
        <w:rPr>
          <w:rFonts w:ascii="Times New Roman" w:hAnsi="Times New Roman"/>
          <w:color w:val="auto"/>
          <w:sz w:val="24"/>
          <w:szCs w:val="24"/>
        </w:rPr>
        <w:t xml:space="preserve"> 2022).</w:t>
      </w:r>
    </w:p>
    <w:p w14:paraId="26170757" w14:textId="77777777" w:rsidR="009015ED" w:rsidRPr="00FC4BB3" w:rsidRDefault="009015ED" w:rsidP="009015ED">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This research aims to identify and analyze the critical parameters, such as pH regulation, light spectrum optimization, and mineral nutrition, that are required for the successful year-round cultivation of conifer seedlings in vertical farming systems under fully controlled environmental conditions.</w:t>
      </w:r>
    </w:p>
    <w:p w14:paraId="74F39E19" w14:textId="5C816AD9" w:rsidR="00397A3C" w:rsidRPr="00FC4BB3" w:rsidRDefault="009015ED" w:rsidP="009015ED">
      <w:pPr>
        <w:spacing w:line="360" w:lineRule="auto"/>
        <w:ind w:firstLine="567"/>
        <w:rPr>
          <w:color w:val="auto"/>
          <w:szCs w:val="24"/>
        </w:rPr>
      </w:pPr>
      <w:r w:rsidRPr="00FC4BB3">
        <w:rPr>
          <w:szCs w:val="24"/>
        </w:rPr>
        <w:t>Vertical farms provide the opportunity to maintain an optimized microclimate year-round, facilitating continuous seedling production. As such, this technology represents an effective alternative to conventional greenhouse methods and holds strong potential for contributing to integrated reforestation efforts</w:t>
      </w:r>
      <w:r w:rsidR="00397A3C" w:rsidRPr="00FC4BB3">
        <w:rPr>
          <w:color w:val="auto"/>
          <w:szCs w:val="24"/>
        </w:rPr>
        <w:t>.</w:t>
      </w:r>
    </w:p>
    <w:p w14:paraId="41052CB4" w14:textId="77777777" w:rsidR="00397A3C" w:rsidRPr="00FC4BB3" w:rsidRDefault="00397A3C" w:rsidP="009015ED">
      <w:pPr>
        <w:pStyle w:val="MDPI31text"/>
        <w:spacing w:line="360" w:lineRule="auto"/>
        <w:ind w:left="0" w:firstLine="567"/>
        <w:rPr>
          <w:rFonts w:ascii="Times New Roman" w:hAnsi="Times New Roman"/>
          <w:b/>
          <w:color w:val="FF0000"/>
          <w:sz w:val="24"/>
          <w:szCs w:val="24"/>
          <w:lang w:eastAsia="zh-CN"/>
        </w:rPr>
      </w:pPr>
    </w:p>
    <w:p w14:paraId="7E90C689" w14:textId="79051C10" w:rsidR="00397A3C" w:rsidRPr="00FC4BB3" w:rsidRDefault="009015ED"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FC4BB3">
        <w:rPr>
          <w:rFonts w:ascii="Times New Roman" w:hAnsi="Times New Roman"/>
          <w:color w:val="auto"/>
          <w:sz w:val="24"/>
          <w:szCs w:val="24"/>
          <w:lang w:val="ru-RU"/>
        </w:rPr>
        <w:t>LITERATURE REVIEW</w:t>
      </w:r>
    </w:p>
    <w:p w14:paraId="32AF693C" w14:textId="09DDD184" w:rsidR="00E86408" w:rsidRPr="00FC4BB3" w:rsidRDefault="009015ED" w:rsidP="00F35C0B">
      <w:pPr>
        <w:pStyle w:val="afd"/>
        <w:numPr>
          <w:ilvl w:val="1"/>
          <w:numId w:val="30"/>
        </w:numPr>
        <w:tabs>
          <w:tab w:val="left" w:pos="567"/>
        </w:tabs>
        <w:suppressAutoHyphens/>
        <w:spacing w:line="360" w:lineRule="auto"/>
        <w:ind w:left="0" w:firstLine="0"/>
        <w:contextualSpacing w:val="0"/>
        <w:rPr>
          <w:b/>
          <w:bCs/>
          <w:iCs/>
          <w:szCs w:val="28"/>
        </w:rPr>
      </w:pPr>
      <w:r w:rsidRPr="00FC4BB3">
        <w:rPr>
          <w:b/>
          <w:bCs/>
          <w:iCs/>
          <w:szCs w:val="28"/>
        </w:rPr>
        <w:t>Conditions for Cultivating Conifer Seedlings in Vertical Farms</w:t>
      </w:r>
    </w:p>
    <w:p w14:paraId="1D920A36" w14:textId="35ED7078" w:rsidR="00F35C0B" w:rsidRPr="00FC4BB3" w:rsidRDefault="00F35C0B" w:rsidP="00F35C0B">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 xml:space="preserve">The growing of seedlings in greenhouse conditions offers a significant advantage by shielding young plants from harmful climatic and meteorological conditions that typically affect open-field nurseries. However, even in controlled environments like plastic-covered </w:t>
      </w:r>
      <w:r w:rsidRPr="00FC4BB3">
        <w:rPr>
          <w:rFonts w:ascii="Times New Roman" w:hAnsi="Times New Roman"/>
          <w:sz w:val="24"/>
          <w:szCs w:val="24"/>
        </w:rPr>
        <w:lastRenderedPageBreak/>
        <w:t>greenhouses or modern greenhouse complexes, growers often face the challenge of maintaining a uniform microclimate and achieving optimal light conditions. In addition, a common issue in seedling production is the wide variation in seedling height—found both within individual trays and across the overall greenhouse operation (</w:t>
      </w:r>
      <w:proofErr w:type="spellStart"/>
      <w:r w:rsidRPr="00FC4BB3">
        <w:rPr>
          <w:rFonts w:ascii="Times New Roman" w:hAnsi="Times New Roman"/>
          <w:color w:val="auto"/>
          <w:sz w:val="24"/>
          <w:szCs w:val="24"/>
        </w:rPr>
        <w:t>Wildeman</w:t>
      </w:r>
      <w:proofErr w:type="spellEnd"/>
      <w:r w:rsidRPr="00FC4BB3">
        <w:rPr>
          <w:rFonts w:ascii="Times New Roman" w:hAnsi="Times New Roman"/>
          <w:color w:val="auto"/>
          <w:sz w:val="24"/>
          <w:szCs w:val="24"/>
        </w:rPr>
        <w:t xml:space="preserve"> 2020</w:t>
      </w:r>
      <w:r w:rsidRPr="00FC4BB3">
        <w:rPr>
          <w:rFonts w:ascii="Times New Roman" w:hAnsi="Times New Roman"/>
          <w:sz w:val="24"/>
          <w:szCs w:val="24"/>
        </w:rPr>
        <w:t>).</w:t>
      </w:r>
    </w:p>
    <w:p w14:paraId="069E7E8E" w14:textId="77777777" w:rsidR="00F35C0B" w:rsidRPr="00FC4BB3" w:rsidRDefault="00F35C0B" w:rsidP="00F35C0B">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While there is a series of agronomic practices that can improve the physical and chemical properties of the substrate and, at the same time, improve the supply of nutrients and water, it is extremely difficult to significantly raise soil and air temperatures in outdoor conditions. In standard greenhouse conditions, the height variation of conifer seedlings can reach 20–25%, which negatively affects uniformity and quality.</w:t>
      </w:r>
    </w:p>
    <w:p w14:paraId="0E64E75C" w14:textId="67E50BCD" w:rsidR="00E86408" w:rsidRPr="00FC4BB3" w:rsidRDefault="00F35C0B" w:rsidP="00F35C0B">
      <w:pPr>
        <w:pStyle w:val="afa"/>
        <w:spacing w:line="360" w:lineRule="auto"/>
        <w:ind w:firstLine="567"/>
        <w:rPr>
          <w:color w:val="auto"/>
        </w:rPr>
      </w:pPr>
      <w:r w:rsidRPr="00FC4BB3">
        <w:t>Conversely, vertical farming systems provide complete control of all the environmental parameters required for the optimal growth and development of conifer seedlings. The systems allow for precise control of temperature, humidity, light spectra, and nutrient delivery, thereby minimizing variability and improving seedling uniformity (</w:t>
      </w:r>
      <w:r w:rsidRPr="00FC4BB3">
        <w:rPr>
          <w:color w:val="auto"/>
        </w:rPr>
        <w:t>Calvo et al. 2018)</w:t>
      </w:r>
      <w:r w:rsidR="00E86408" w:rsidRPr="00FC4BB3">
        <w:rPr>
          <w:color w:val="auto"/>
        </w:rPr>
        <w:t>.</w:t>
      </w:r>
    </w:p>
    <w:p w14:paraId="2373EBE1" w14:textId="77777777" w:rsidR="00E86408" w:rsidRPr="00FC4BB3" w:rsidRDefault="00E86408" w:rsidP="00F35C0B">
      <w:pPr>
        <w:suppressAutoHyphens/>
        <w:spacing w:line="360" w:lineRule="auto"/>
        <w:ind w:firstLine="567"/>
        <w:rPr>
          <w:bCs/>
          <w:iCs/>
          <w:color w:val="FF0000"/>
          <w:szCs w:val="24"/>
        </w:rPr>
      </w:pPr>
    </w:p>
    <w:p w14:paraId="55F5E47C" w14:textId="53A1D9F3" w:rsidR="003D614B" w:rsidRPr="00FC4BB3" w:rsidRDefault="00496FDC" w:rsidP="00F35C0B">
      <w:pPr>
        <w:pStyle w:val="afd"/>
        <w:numPr>
          <w:ilvl w:val="1"/>
          <w:numId w:val="30"/>
        </w:numPr>
        <w:tabs>
          <w:tab w:val="left" w:pos="567"/>
        </w:tabs>
        <w:suppressAutoHyphens/>
        <w:spacing w:line="360" w:lineRule="auto"/>
        <w:ind w:left="0" w:firstLine="0"/>
        <w:contextualSpacing w:val="0"/>
        <w:rPr>
          <w:b/>
          <w:bCs/>
          <w:iCs/>
          <w:szCs w:val="28"/>
        </w:rPr>
      </w:pPr>
      <w:r w:rsidRPr="00FC4BB3">
        <w:rPr>
          <w:b/>
          <w:bCs/>
          <w:iCs/>
          <w:color w:val="FF0000"/>
          <w:szCs w:val="28"/>
        </w:rPr>
        <w:t xml:space="preserve"> </w:t>
      </w:r>
      <w:r w:rsidR="00F35C0B" w:rsidRPr="00FC4BB3">
        <w:rPr>
          <w:b/>
          <w:bCs/>
          <w:iCs/>
          <w:szCs w:val="28"/>
        </w:rPr>
        <w:t>Substrate as a Key Component in the Growth and Development of Coniferous Species</w:t>
      </w:r>
    </w:p>
    <w:p w14:paraId="31EB8115" w14:textId="34C63E84" w:rsidR="006A33F8" w:rsidRPr="00FC4BB3" w:rsidRDefault="006A33F8" w:rsidP="006A33F8">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In response to the formation or loosening of compressed peat, it is crucial to maintain its natural structure and mechanical composition. This facilitates a more accurate prediction of plant growth and, therefore, the development of efficient nutrient and irrigation systems (</w:t>
      </w:r>
      <w:r w:rsidR="00A71F94" w:rsidRPr="00FC4BB3">
        <w:rPr>
          <w:rFonts w:ascii="Times New Roman" w:hAnsi="Times New Roman"/>
          <w:color w:val="auto"/>
          <w:sz w:val="24"/>
          <w:szCs w:val="24"/>
        </w:rPr>
        <w:t>Halbert-Howard et al.</w:t>
      </w:r>
      <w:r w:rsidRPr="00FC4BB3">
        <w:rPr>
          <w:rFonts w:ascii="Times New Roman" w:hAnsi="Times New Roman"/>
          <w:color w:val="auto"/>
          <w:sz w:val="24"/>
          <w:szCs w:val="24"/>
        </w:rPr>
        <w:t xml:space="preserve"> 2020</w:t>
      </w:r>
      <w:r w:rsidRPr="00FC4BB3">
        <w:rPr>
          <w:rFonts w:ascii="Times New Roman" w:hAnsi="Times New Roman"/>
          <w:sz w:val="24"/>
          <w:szCs w:val="24"/>
        </w:rPr>
        <w:t>).</w:t>
      </w:r>
    </w:p>
    <w:p w14:paraId="32C3BFD9" w14:textId="77777777" w:rsidR="006A33F8" w:rsidRPr="00FC4BB3" w:rsidRDefault="006A33F8" w:rsidP="006A33F8">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Differences in growth environments, such as the difference between open-field and greenhouse conditions, require different plant species to attain specific proportions of air-filled to water-filled pore spaces in the growing medium. General guidelines suggest that for successful production of container-grown coniferous seedlings in outdoor environments, air porosity should be about 25–35% of the total porosity, while in greenhouse conditions, it should range from 45–50%.</w:t>
      </w:r>
    </w:p>
    <w:p w14:paraId="1AA3AAAC" w14:textId="77777777" w:rsidR="006A33F8" w:rsidRPr="00FC4BB3" w:rsidRDefault="006A33F8" w:rsidP="006A33F8">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 xml:space="preserve">Experience from national and foreign producers of peat-based growing media shows that substrates are not formulated for every individual species but for functional groups of crops. Usually, 4–5 such groups are distinguished, with differences in formulation according to intended use—e.g., for sowing, cuttings, or container production. Substrates are also amended with additives stabilizing their properties. Perlite, vermiculite, pumice, sand, and clay are common components. Finishing ingredients can include wetting agents, transitional and lowland fractions of peat, mineral fertilizers, wood fiber, and mixes of milled and block peat. </w:t>
      </w:r>
      <w:r w:rsidRPr="00FC4BB3">
        <w:rPr>
          <w:rFonts w:ascii="Times New Roman" w:hAnsi="Times New Roman"/>
          <w:sz w:val="24"/>
          <w:szCs w:val="24"/>
        </w:rPr>
        <w:lastRenderedPageBreak/>
        <w:t>Group-wise formulation strategies provide an effective means of satisfying plant requirements according to common physiological characteristics.</w:t>
      </w:r>
    </w:p>
    <w:p w14:paraId="13D73CDD" w14:textId="77777777" w:rsidR="006A33F8" w:rsidRPr="00FC4BB3" w:rsidRDefault="006A33F8" w:rsidP="006A33F8">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Peat is usually divided into two categories based on its harvesting method: milled and block (or sod). Block peat with 55–65% air-dried moisture content has a bulk density of around 20% less than that of milled peat. Milled peat usually has a smaller texture than block peat from the same bog, so bulk density—closely related to the mechanical structure of peat—is an important indicator of the distribution of pore volume in peat-based substrates. Bulk density, expressed in kilograms per cubic meter (kg/m³), has a direct influence on the substrate's total pore volume.</w:t>
      </w:r>
    </w:p>
    <w:p w14:paraId="43469C7D" w14:textId="77777777" w:rsidR="006A33F8" w:rsidRPr="00FC4BB3" w:rsidRDefault="006A33F8" w:rsidP="006A33F8">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Moisture content is another determining parameter. Russian standard GOST R 52067–2003 for peat substrates stipulates that the moisture of peat should be within 50–60% by weight. Peat self-heating and a considerable rise in ammonia concentration—up to toxic concentrations of 60–90 kg or more per 100 tons natural-moisture peat—may be caused by storage at less than 50% moisture. In contrast, a content of more than 60% moisture decreases self-heating and retards ammonia formation. Excessively moist peat is also inappropriate for substrate manufacture, as it is hard to mix evenly with lime, stabilizing agents, and fertilizers.</w:t>
      </w:r>
    </w:p>
    <w:p w14:paraId="06EE35B7" w14:textId="77777777" w:rsidR="006A33F8" w:rsidRPr="00FC4BB3" w:rsidRDefault="006A33F8" w:rsidP="006A33F8">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Nutrient cycling is inextricably connected with soil conditions, which play a central role in enabling plant nutrition and growth. The yearly acquisition of nutrients by one-year-old tree seedlings in nurseries depends on the particular species. Scots pine (Pinus sylvestris L.), an oligotrophic species, has relatively low nutrient requirements that vary in relation to both developmental stage and phenological phase. Compacted peat significantly influences the availability of macronutrients to conifer seedlings.</w:t>
      </w:r>
    </w:p>
    <w:p w14:paraId="7B8F59D6" w14:textId="3382CD32" w:rsidR="006A33F8" w:rsidRPr="00FC4BB3" w:rsidRDefault="006A33F8" w:rsidP="006A33F8">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Porosity of the substrate depends on several variables: particle size distribution, composition of materials, the level of compaction in containers, and aging processes. Coarser substrates are usually characterized by greater air porosity but by less water retention. As particle size increases, it enlarges the air-filled pore space and decreases moisture-holding capacity (</w:t>
      </w:r>
      <w:proofErr w:type="spellStart"/>
      <w:r w:rsidR="003E7986" w:rsidRPr="00FC4BB3">
        <w:rPr>
          <w:rFonts w:ascii="Times New Roman" w:hAnsi="Times New Roman"/>
          <w:color w:val="auto"/>
          <w:sz w:val="24"/>
          <w:szCs w:val="24"/>
        </w:rPr>
        <w:t>Degtyareva</w:t>
      </w:r>
      <w:proofErr w:type="spellEnd"/>
      <w:r w:rsidRPr="00FC4BB3">
        <w:rPr>
          <w:rFonts w:ascii="Times New Roman" w:hAnsi="Times New Roman"/>
          <w:color w:val="auto"/>
          <w:sz w:val="24"/>
          <w:szCs w:val="24"/>
        </w:rPr>
        <w:t xml:space="preserve"> 2021</w:t>
      </w:r>
      <w:r w:rsidRPr="00FC4BB3">
        <w:rPr>
          <w:rFonts w:ascii="Times New Roman" w:hAnsi="Times New Roman"/>
          <w:sz w:val="24"/>
          <w:szCs w:val="24"/>
        </w:rPr>
        <w:t>).</w:t>
      </w:r>
    </w:p>
    <w:p w14:paraId="457654F6" w14:textId="77777777" w:rsidR="006A33F8" w:rsidRPr="00FC4BB3" w:rsidRDefault="006A33F8" w:rsidP="006A33F8">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 xml:space="preserve">For example, substrates composed of sphagnum peat and having particles of 0.8-6.0 mm are appropriate for annual crops. Below 0.8 mm particle size, micro-pores prevail, and water retention becomes excessive. With larger particles, there are more macro-pores, but particles over 6.0 mm decrease the water retention capacity of the substrate. Physical-mechanical characteristics of substrate ingredients also affect porosity. Certain materials, such as sphagnum peat and vermiculite, compress when subjected to pressure, whereas others—perlite </w:t>
      </w:r>
      <w:r w:rsidRPr="00FC4BB3">
        <w:rPr>
          <w:rFonts w:ascii="Times New Roman" w:hAnsi="Times New Roman"/>
          <w:sz w:val="24"/>
          <w:szCs w:val="24"/>
        </w:rPr>
        <w:lastRenderedPageBreak/>
        <w:t>and bark, for example—maintain their volume. Perlite, specifically, holds much less water than other ingredients and thus is well-suited to enhance air porosity of substrate mixes.</w:t>
      </w:r>
    </w:p>
    <w:p w14:paraId="67A642B2" w14:textId="77777777" w:rsidR="006A33F8" w:rsidRPr="00FC4BB3" w:rsidRDefault="006A33F8" w:rsidP="006A33F8">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These distinctions are vital for the choice of components to provide an optimal substrate structure. An equal blending of materials with complementary characteristics promotes both air exchange and moisture retention—primary conditions for healthy root growth. Therefore, physical-mechanical properties are paramount for creating high-quality growing media that satisfy plant physiological requirements.</w:t>
      </w:r>
    </w:p>
    <w:p w14:paraId="7059A4FE" w14:textId="77777777" w:rsidR="006A33F8" w:rsidRPr="00FC4BB3" w:rsidRDefault="006A33F8" w:rsidP="006A33F8">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Substrate porosity can be altered over time by peat decomposition, irrigation frequency, gravity, and root penetration into air spaces. Most nursery operators neglect the significance of air-filled pores, which is the essential space for root growth. As roots grow into these larger pores, the overall air porosity declines, likely at the expense of plant health from decreased oxygen levels. Sufficient porosity supports healthy plant growth, survival, and productivity.</w:t>
      </w:r>
    </w:p>
    <w:p w14:paraId="594B5D9D" w14:textId="3A1B878E" w:rsidR="00E86408" w:rsidRPr="00FC4BB3" w:rsidRDefault="006A33F8" w:rsidP="006A33F8">
      <w:pPr>
        <w:pStyle w:val="afa"/>
        <w:spacing w:line="360" w:lineRule="auto"/>
        <w:ind w:firstLine="567"/>
        <w:rPr>
          <w:color w:val="auto"/>
          <w:szCs w:val="28"/>
        </w:rPr>
      </w:pPr>
      <w:r w:rsidRPr="00FC4BB3">
        <w:t xml:space="preserve">Continued monitoring of substrate composition, in combination with methods that facilitate the maintenance of porosity, is essential for successful seedling production. An improved understanding of these mechanisms can help producers avoid common issues associated with oxygen deficiency and root </w:t>
      </w:r>
      <w:r w:rsidRPr="00FC4BB3">
        <w:rPr>
          <w:color w:val="auto"/>
        </w:rPr>
        <w:t>congestion</w:t>
      </w:r>
      <w:r w:rsidR="00E86408" w:rsidRPr="00FC4BB3">
        <w:rPr>
          <w:color w:val="auto"/>
          <w:lang w:val="en"/>
        </w:rPr>
        <w:t>.</w:t>
      </w:r>
    </w:p>
    <w:p w14:paraId="79F36462" w14:textId="77777777" w:rsidR="00E86408" w:rsidRPr="00FC4BB3" w:rsidRDefault="00E86408" w:rsidP="006A33F8">
      <w:pPr>
        <w:spacing w:line="360" w:lineRule="auto"/>
        <w:ind w:firstLine="567"/>
        <w:rPr>
          <w:b/>
          <w:bCs/>
          <w:iCs/>
          <w:color w:val="FF0000"/>
          <w:szCs w:val="28"/>
        </w:rPr>
      </w:pPr>
    </w:p>
    <w:p w14:paraId="595D278D" w14:textId="77777777" w:rsidR="008E42EA" w:rsidRPr="00FC4BB3" w:rsidRDefault="008E42EA" w:rsidP="008E42EA">
      <w:pPr>
        <w:pStyle w:val="afd"/>
        <w:numPr>
          <w:ilvl w:val="1"/>
          <w:numId w:val="30"/>
        </w:numPr>
        <w:tabs>
          <w:tab w:val="left" w:pos="567"/>
        </w:tabs>
        <w:spacing w:line="360" w:lineRule="auto"/>
        <w:ind w:left="0" w:firstLine="0"/>
        <w:contextualSpacing w:val="0"/>
        <w:jc w:val="both"/>
      </w:pPr>
      <w:r w:rsidRPr="00FC4BB3">
        <w:rPr>
          <w:b/>
          <w:bCs/>
          <w:iCs/>
          <w:szCs w:val="28"/>
        </w:rPr>
        <w:t>The Effect of pH on the Cultivation of Conifer Seedlings</w:t>
      </w:r>
    </w:p>
    <w:p w14:paraId="464165E8" w14:textId="26A11B47" w:rsidR="008E42EA" w:rsidRPr="00FC4BB3" w:rsidRDefault="008E42EA" w:rsidP="008E42E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As of yet, there is no globally agreed-upon ideal pH range for the cultivation of pine seedlings. In some instances, the "ideal" ranges provided by various sources do not even overlap. For example, U.S.-based recommendations commonly cite a minimum of pH 5.0–5.5, while guidelines from other parts of the world cap the upper limit at a pH of 5.0. Once the pH moves outside the ideal range for conifers, growth rates reduce and seedling vigor diminishes (</w:t>
      </w:r>
      <w:proofErr w:type="spellStart"/>
      <w:r w:rsidRPr="00FC4BB3">
        <w:rPr>
          <w:rFonts w:ascii="Times New Roman" w:hAnsi="Times New Roman"/>
          <w:color w:val="auto"/>
          <w:sz w:val="24"/>
          <w:szCs w:val="24"/>
        </w:rPr>
        <w:t>Ahtikoski</w:t>
      </w:r>
      <w:proofErr w:type="spellEnd"/>
      <w:r w:rsidRPr="00FC4BB3">
        <w:rPr>
          <w:rFonts w:ascii="Times New Roman" w:hAnsi="Times New Roman"/>
          <w:color w:val="auto"/>
          <w:sz w:val="24"/>
          <w:szCs w:val="24"/>
        </w:rPr>
        <w:t xml:space="preserve"> et al. 2018</w:t>
      </w:r>
      <w:r w:rsidRPr="00FC4BB3">
        <w:rPr>
          <w:rFonts w:ascii="Times New Roman" w:hAnsi="Times New Roman"/>
          <w:sz w:val="24"/>
          <w:szCs w:val="24"/>
        </w:rPr>
        <w:t>).</w:t>
      </w:r>
    </w:p>
    <w:p w14:paraId="55EF5470" w14:textId="431C2A59" w:rsidR="008E42EA" w:rsidRPr="00FC4BB3" w:rsidRDefault="008E42EA" w:rsidP="008E42E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As shown in Fig</w:t>
      </w:r>
      <w:r w:rsidR="0054595D" w:rsidRPr="00FC4BB3">
        <w:rPr>
          <w:rFonts w:ascii="Times New Roman" w:hAnsi="Times New Roman"/>
          <w:sz w:val="24"/>
          <w:szCs w:val="24"/>
        </w:rPr>
        <w:t>.</w:t>
      </w:r>
      <w:r w:rsidRPr="00FC4BB3">
        <w:rPr>
          <w:rFonts w:ascii="Times New Roman" w:hAnsi="Times New Roman"/>
          <w:sz w:val="24"/>
          <w:szCs w:val="24"/>
        </w:rPr>
        <w:t xml:space="preserve"> 2, germination of conifer seeds can take place over a pH range of 3.5 to 8.0; however, best seedling growth usually occurs near pH 5.0. Still other research indicates a preference for even more acidic conditions, with better germination and initial growth of pine seeds at pH 3.5–5.0. Healthy forest stands have been described on soils with very acidic pH levels of 3.0–3.5, although pine also grows on alkaline soils. These observations are supportive of the hypothesis that soil acidity can lead to the formation of localized ecotypes along latitudinal gradients.</w:t>
      </w:r>
    </w:p>
    <w:p w14:paraId="598740C0" w14:textId="77777777" w:rsidR="008E42EA" w:rsidRPr="00FC4BB3" w:rsidRDefault="008E42EA" w:rsidP="008E42E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 xml:space="preserve">There is a proven relationship between nursery soil pH and seedling performance. In trials in Poland with Scots pine (Pinus sylvestris L.), the most </w:t>
      </w:r>
      <w:proofErr w:type="spellStart"/>
      <w:r w:rsidRPr="00FC4BB3">
        <w:rPr>
          <w:rFonts w:ascii="Times New Roman" w:hAnsi="Times New Roman"/>
          <w:sz w:val="24"/>
          <w:szCs w:val="24"/>
        </w:rPr>
        <w:t>favourable</w:t>
      </w:r>
      <w:proofErr w:type="spellEnd"/>
      <w:r w:rsidRPr="00FC4BB3">
        <w:rPr>
          <w:rFonts w:ascii="Times New Roman" w:hAnsi="Times New Roman"/>
          <w:sz w:val="24"/>
          <w:szCs w:val="24"/>
        </w:rPr>
        <w:t xml:space="preserve"> growth was recorded at pH 4.4-4.6. Growth clearly decreased when pH rose from 5.5 to 6.5.</w:t>
      </w:r>
    </w:p>
    <w:p w14:paraId="34CBED74" w14:textId="7FE31BF9" w:rsidR="008E42EA" w:rsidRPr="00FC4BB3" w:rsidRDefault="008E42EA" w:rsidP="008E42E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lastRenderedPageBreak/>
        <w:t>In certain instances, overall biomass accumulation—and by extension nutrient uptake—rose by as much as 20%. Several studies have indicated that seedling weight can rise with increasing soil acidity (i.e., lowering pH), contrary to the postulation that pine grows optimally at pH ranges of 5.2 to 6.6. In these studies, nitrogen (N), potassium (K), and phosphorus (P) additions were kept constant across all pH treatments, which implies that rising acidity (pH &lt; 5.0) can enhance efficiency of nutrient uptake, especially nitrogen uptake by foliage weight (see Fig</w:t>
      </w:r>
      <w:r w:rsidR="0054595D" w:rsidRPr="00FC4BB3">
        <w:rPr>
          <w:rFonts w:ascii="Times New Roman" w:hAnsi="Times New Roman"/>
          <w:sz w:val="24"/>
          <w:szCs w:val="24"/>
        </w:rPr>
        <w:t>.</w:t>
      </w:r>
      <w:r w:rsidRPr="00FC4BB3">
        <w:rPr>
          <w:rFonts w:ascii="Times New Roman" w:hAnsi="Times New Roman"/>
          <w:sz w:val="24"/>
          <w:szCs w:val="24"/>
        </w:rPr>
        <w:t xml:space="preserve"> 3).</w:t>
      </w:r>
    </w:p>
    <w:p w14:paraId="6E92C2B6" w14:textId="0E613D9B" w:rsidR="003D614B" w:rsidRPr="00FC4BB3" w:rsidRDefault="008E42EA" w:rsidP="008E42EA">
      <w:pPr>
        <w:tabs>
          <w:tab w:val="left" w:pos="567"/>
        </w:tabs>
        <w:spacing w:line="360" w:lineRule="auto"/>
        <w:ind w:firstLine="567"/>
        <w:rPr>
          <w:color w:val="FF0000"/>
        </w:rPr>
      </w:pPr>
      <w:r w:rsidRPr="00FC4BB3">
        <w:rPr>
          <w:szCs w:val="24"/>
        </w:rPr>
        <w:t>Seed performance is usually improved in substrates with a pH of less than 5.0. In some tests, over 40% of the longleaf pine seedlings died when the pH of the container medium exceeded 6.0. Damping-off of loblolly pine was largely observed at pH levels greater than 6.0. In Pinus contorta Douglas ex Loudon, no mortality of seedlings was observed at pH 3.5; however, mortality rose to 20% at pH 6.1 due to damping-off. Simulated acid rain treatments on white pine showed a 17% higher emergence rate at pH 4.0 compared to pH 5.7. Overall, the risk of damping-off in container-grown pine is reduced when pH is maintained consistently below 5.0. A number of studies have also determined that the nitrogen concentration in conifer needles increases with declining soil pH. Both seedling biomass and nitrogen concentration are increased by enhanced nutrient-use efficiency. Explanations for the increased nitrogen uptake with more acidic soils include reduced competition from microbial populations in the soil, less leaching of nitrate, and reduced nematode activity. Collectively, these observations indicate that conifers tend to prefer slightly acidic substrates. The usual recommended pH range for most species is between 4.0 and 5.5, but the specific optimum may differ with species and stage of development</w:t>
      </w:r>
      <w:r w:rsidR="003D614B" w:rsidRPr="00FC4BB3">
        <w:rPr>
          <w:color w:val="FF0000"/>
        </w:rPr>
        <w:t>.</w:t>
      </w:r>
    </w:p>
    <w:p w14:paraId="0F44A80C" w14:textId="77777777" w:rsidR="003D614B" w:rsidRPr="00FC4BB3" w:rsidRDefault="003D614B" w:rsidP="008E42EA">
      <w:pPr>
        <w:pStyle w:val="MDPI31text"/>
        <w:spacing w:line="360" w:lineRule="auto"/>
        <w:ind w:left="0" w:firstLine="567"/>
        <w:rPr>
          <w:rFonts w:ascii="Times New Roman" w:eastAsia="Batang" w:hAnsi="Times New Roman"/>
          <w:color w:val="FF0000"/>
          <w:sz w:val="24"/>
          <w:szCs w:val="24"/>
        </w:rPr>
      </w:pPr>
    </w:p>
    <w:p w14:paraId="7FC93D8F" w14:textId="1246C595" w:rsidR="008E42EA" w:rsidRPr="00FC4BB3" w:rsidRDefault="008E42EA" w:rsidP="008E42EA">
      <w:pPr>
        <w:pStyle w:val="afd"/>
        <w:numPr>
          <w:ilvl w:val="1"/>
          <w:numId w:val="30"/>
        </w:numPr>
        <w:tabs>
          <w:tab w:val="left" w:pos="567"/>
        </w:tabs>
        <w:spacing w:line="360" w:lineRule="auto"/>
        <w:ind w:left="0" w:firstLine="0"/>
        <w:contextualSpacing w:val="0"/>
        <w:jc w:val="both"/>
      </w:pPr>
      <w:r w:rsidRPr="00FC4BB3">
        <w:rPr>
          <w:b/>
          <w:bCs/>
          <w:iCs/>
          <w:szCs w:val="28"/>
        </w:rPr>
        <w:t>The Effect of Light Spectrum Variation on the Growth of Conifer Species</w:t>
      </w:r>
    </w:p>
    <w:p w14:paraId="2BB4C6C8" w14:textId="12F05609" w:rsidR="008E42EA" w:rsidRPr="00FC4BB3" w:rsidRDefault="008E42EA" w:rsidP="008E42E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Conifer tree species are known to have a strong sensitivity to changes in the light spectrum. Plant growth is affected by light through three main characteristics: quality, duration, and intensity. While various studies have suggested that certain species experience optimal germination at moderate light intensity, most conifers show the capacity to tolerate full sunlight for the early rooting stage. Perhaps this idea originates from the conventional horticultural practice of using shade frames over seedbeds in bareroot systems, which is mainly intended to control soil temperature as opposed to light intensity modulation.</w:t>
      </w:r>
    </w:p>
    <w:p w14:paraId="513AA06D" w14:textId="74597DAE" w:rsidR="008E42EA" w:rsidRPr="00FC4BB3" w:rsidRDefault="008E42EA" w:rsidP="008E42E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The form of first- and second-year conifer seedlings is quite different. In nature, first-year growth is indeterminate: following seed germination and hypocotyl elongation, the apical meristem generates stem units that propel shoot elongation (</w:t>
      </w:r>
      <w:r w:rsidRPr="00FC4BB3">
        <w:rPr>
          <w:rFonts w:ascii="Times New Roman" w:hAnsi="Times New Roman"/>
          <w:color w:val="auto"/>
          <w:sz w:val="24"/>
          <w:szCs w:val="24"/>
        </w:rPr>
        <w:t>Kusuma et al. 2020</w:t>
      </w:r>
      <w:r w:rsidRPr="00FC4BB3">
        <w:rPr>
          <w:rFonts w:ascii="Times New Roman" w:hAnsi="Times New Roman"/>
          <w:sz w:val="24"/>
          <w:szCs w:val="24"/>
        </w:rPr>
        <w:t xml:space="preserve">). Elongation </w:t>
      </w:r>
      <w:r w:rsidRPr="00FC4BB3">
        <w:rPr>
          <w:rFonts w:ascii="Times New Roman" w:hAnsi="Times New Roman"/>
          <w:sz w:val="24"/>
          <w:szCs w:val="24"/>
        </w:rPr>
        <w:lastRenderedPageBreak/>
        <w:t>halts when all stem units reach maturity and none are newly initiated. The apical bud is surrounded by a rosette of primary needles, typically without axillary secondary needles—or with very few—producing what is called a primary-needle seedling.</w:t>
      </w:r>
    </w:p>
    <w:p w14:paraId="51295129" w14:textId="1B784306" w:rsidR="008E42EA" w:rsidRPr="00FC4BB3" w:rsidRDefault="008E42EA" w:rsidP="008E42E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In the second growing season, stem units in the rosette of primary needles undergo elongation again (free growth) until bud break, which determines the beginning of fixed growth made up of structures preformed in the bud in the preceding season. In this time, the primary needles are substituted by secondary needles, and at the end of the season, a terminal bud with a whorl of lateral buds develops (</w:t>
      </w:r>
      <w:proofErr w:type="spellStart"/>
      <w:r w:rsidRPr="00FC4BB3">
        <w:rPr>
          <w:rFonts w:ascii="Times New Roman" w:hAnsi="Times New Roman"/>
          <w:color w:val="auto"/>
          <w:sz w:val="24"/>
          <w:szCs w:val="24"/>
        </w:rPr>
        <w:t>Besschetnova</w:t>
      </w:r>
      <w:proofErr w:type="spellEnd"/>
      <w:r w:rsidRPr="00FC4BB3">
        <w:rPr>
          <w:rFonts w:ascii="Times New Roman" w:hAnsi="Times New Roman"/>
          <w:color w:val="auto"/>
          <w:sz w:val="24"/>
          <w:szCs w:val="24"/>
        </w:rPr>
        <w:t xml:space="preserve"> </w:t>
      </w:r>
      <w:r w:rsidR="007134C6" w:rsidRPr="00FC4BB3">
        <w:rPr>
          <w:rFonts w:ascii="Times New Roman" w:hAnsi="Times New Roman"/>
          <w:color w:val="auto"/>
          <w:sz w:val="24"/>
          <w:szCs w:val="24"/>
        </w:rPr>
        <w:t>and</w:t>
      </w:r>
      <w:r w:rsidRPr="00FC4BB3">
        <w:rPr>
          <w:rFonts w:ascii="Times New Roman" w:hAnsi="Times New Roman"/>
          <w:color w:val="auto"/>
          <w:sz w:val="24"/>
          <w:szCs w:val="24"/>
        </w:rPr>
        <w:t xml:space="preserve"> </w:t>
      </w:r>
      <w:proofErr w:type="spellStart"/>
      <w:r w:rsidRPr="00FC4BB3">
        <w:rPr>
          <w:rFonts w:ascii="Times New Roman" w:hAnsi="Times New Roman"/>
          <w:color w:val="auto"/>
          <w:sz w:val="24"/>
          <w:szCs w:val="24"/>
        </w:rPr>
        <w:t>Kulkova</w:t>
      </w:r>
      <w:proofErr w:type="spellEnd"/>
      <w:r w:rsidRPr="00FC4BB3">
        <w:rPr>
          <w:rFonts w:ascii="Times New Roman" w:hAnsi="Times New Roman"/>
          <w:color w:val="auto"/>
          <w:sz w:val="24"/>
          <w:szCs w:val="24"/>
        </w:rPr>
        <w:t xml:space="preserve"> 2019</w:t>
      </w:r>
      <w:r w:rsidRPr="00FC4BB3">
        <w:rPr>
          <w:rFonts w:ascii="Times New Roman" w:hAnsi="Times New Roman"/>
          <w:sz w:val="24"/>
          <w:szCs w:val="24"/>
        </w:rPr>
        <w:t>). Shoot growth becomes purely fixed by the third growing season.</w:t>
      </w:r>
    </w:p>
    <w:p w14:paraId="391B6A63" w14:textId="77777777" w:rsidR="008E42EA" w:rsidRPr="00FC4BB3" w:rsidRDefault="008E42EA" w:rsidP="008E42E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Under optimal environmental conditions, primary-needle seedlings can continue to elongate after bud set. In the same growing season, such seedlings produce axillary secondary needles and a dormant terminal bud. It is hypothesized that pine seedlings with secondary needles are more tolerant of drought and frost, as well as having better root development after transplanting. However, when two-year-old secondary-needle seedlings are subjected to short-day photoperiod treatments early in the season, their survival and height growth are equal to or similar to those of untreated primary-needle seedlings after three-year field trials.</w:t>
      </w:r>
    </w:p>
    <w:p w14:paraId="6BCD1F4B" w14:textId="77777777" w:rsidR="008E42EA" w:rsidRPr="00FC4BB3" w:rsidRDefault="008E42EA" w:rsidP="008E42E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Light quality is one of the key regulatory factors throughout conifer ontogeny, affecting processes that include germination, photomorphogenesis, and flowering induction. Seedlings tend to grow in canopy shade during early development, where light quality is considerably lower. Green and far-red light (FRL) prevail beneath forest canopies since red and blue light are absorbed by the surrounding taller vegetation.</w:t>
      </w:r>
    </w:p>
    <w:p w14:paraId="37367D74" w14:textId="77777777" w:rsidR="008E42EA" w:rsidRPr="00FC4BB3" w:rsidRDefault="008E42EA" w:rsidP="008E42E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 xml:space="preserve">This filtering effect of light necessitates that woody seedlings acclimate to an environment of changed spectral light quality. For instance, shaded plants acclimate to low </w:t>
      </w:r>
      <w:proofErr w:type="spellStart"/>
      <w:proofErr w:type="gramStart"/>
      <w:r w:rsidRPr="00FC4BB3">
        <w:rPr>
          <w:rFonts w:ascii="Times New Roman" w:hAnsi="Times New Roman"/>
          <w:sz w:val="24"/>
          <w:szCs w:val="24"/>
        </w:rPr>
        <w:t>red:far</w:t>
      </w:r>
      <w:proofErr w:type="gramEnd"/>
      <w:r w:rsidRPr="00FC4BB3">
        <w:rPr>
          <w:rFonts w:ascii="Times New Roman" w:hAnsi="Times New Roman"/>
          <w:sz w:val="24"/>
          <w:szCs w:val="24"/>
        </w:rPr>
        <w:t>-red</w:t>
      </w:r>
      <w:proofErr w:type="spellEnd"/>
      <w:r w:rsidRPr="00FC4BB3">
        <w:rPr>
          <w:rFonts w:ascii="Times New Roman" w:hAnsi="Times New Roman"/>
          <w:sz w:val="24"/>
          <w:szCs w:val="24"/>
        </w:rPr>
        <w:t xml:space="preserve"> (R:FR) ratios, which normally induces shoot elongation. On the contrary, stem elongation is inhibited by blue light (BL). Consequently, plants subjected to high BL and high R:FR ratios become shorter but with an enlarged leaf surface area, which can enhance photosynthetic efficiency.</w:t>
      </w:r>
    </w:p>
    <w:p w14:paraId="407792B3" w14:textId="2570C13B" w:rsidR="008E42EA" w:rsidRPr="00FC4BB3" w:rsidRDefault="008E42EA" w:rsidP="008E42E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Plants have a set of photoreceptors that react to light condition changes in the environment (</w:t>
      </w:r>
      <w:proofErr w:type="spellStart"/>
      <w:r w:rsidR="00F42269" w:rsidRPr="00FC4BB3">
        <w:rPr>
          <w:rFonts w:ascii="Times New Roman" w:hAnsi="Times New Roman"/>
          <w:color w:val="auto"/>
          <w:sz w:val="24"/>
          <w:szCs w:val="24"/>
        </w:rPr>
        <w:t>Utelbayev</w:t>
      </w:r>
      <w:proofErr w:type="spellEnd"/>
      <w:r w:rsidR="00F42269" w:rsidRPr="00FC4BB3">
        <w:rPr>
          <w:rFonts w:ascii="Times New Roman" w:hAnsi="Times New Roman"/>
          <w:color w:val="auto"/>
          <w:sz w:val="24"/>
          <w:szCs w:val="24"/>
        </w:rPr>
        <w:t xml:space="preserve"> et al.</w:t>
      </w:r>
      <w:r w:rsidRPr="00FC4BB3">
        <w:rPr>
          <w:rFonts w:ascii="Times New Roman" w:hAnsi="Times New Roman"/>
          <w:color w:val="auto"/>
          <w:sz w:val="24"/>
          <w:szCs w:val="24"/>
        </w:rPr>
        <w:t xml:space="preserve"> 2025</w:t>
      </w:r>
      <w:r w:rsidRPr="00FC4BB3">
        <w:rPr>
          <w:rFonts w:ascii="Times New Roman" w:hAnsi="Times New Roman"/>
          <w:sz w:val="24"/>
          <w:szCs w:val="24"/>
        </w:rPr>
        <w:t>). Plants are irradiated with radiation of different intensity and wavelength at the same time in natural light, resulting in interactive signaling among various photoreceptors (</w:t>
      </w:r>
      <w:proofErr w:type="spellStart"/>
      <w:r w:rsidRPr="00FC4BB3">
        <w:rPr>
          <w:rFonts w:ascii="Times New Roman" w:hAnsi="Times New Roman"/>
          <w:color w:val="auto"/>
          <w:sz w:val="24"/>
          <w:szCs w:val="24"/>
        </w:rPr>
        <w:t>Shakleina</w:t>
      </w:r>
      <w:proofErr w:type="spellEnd"/>
      <w:r w:rsidRPr="00FC4BB3">
        <w:rPr>
          <w:rFonts w:ascii="Times New Roman" w:hAnsi="Times New Roman"/>
          <w:color w:val="auto"/>
          <w:sz w:val="24"/>
          <w:szCs w:val="24"/>
        </w:rPr>
        <w:t xml:space="preserve"> et al. 2018</w:t>
      </w:r>
      <w:r w:rsidRPr="00FC4BB3">
        <w:rPr>
          <w:rFonts w:ascii="Times New Roman" w:hAnsi="Times New Roman"/>
          <w:sz w:val="24"/>
          <w:szCs w:val="24"/>
        </w:rPr>
        <w:t>). Some of the most researched photoreceptors are phytochromes, which perceive red (RL) and far-red (FRL) light. These receptors control various development processes, such as seed germination and hypocotyl elongation.</w:t>
      </w:r>
    </w:p>
    <w:p w14:paraId="4643A269" w14:textId="77777777" w:rsidR="008E42EA" w:rsidRPr="00FC4BB3" w:rsidRDefault="008E42EA" w:rsidP="008E42E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lastRenderedPageBreak/>
        <w:t>The other important photoreceptors are cryptochromes, which detect blue and ultraviolet (UV-A) light. Cryptochromes are essential for seedling development, de-etiolation, and circadian rhythm regulation. Photoreceptor systems are well characterized in Arabidopsis thaliana, which has five phytochromes (PHYA to PHYE) and two major cryptochromes (CRY1 and CRY2).</w:t>
      </w:r>
    </w:p>
    <w:p w14:paraId="2BBA77A1" w14:textId="02A6E132" w:rsidR="008E42EA" w:rsidRPr="00FC4BB3" w:rsidRDefault="008E42EA" w:rsidP="008E42E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The application of artificial lighting for plant growth is still widening because of its potential to regulate photoperiods, evoke specific developmental responses, boost production intensity, and facilitate plant growth in areas with minimal or no exposure to natural sunlight. The most typical artificial light sources used are fluorescent lamps (FL), high-pressure sodium (HPS) lamps, incandescent bulbs, and metal-halide lamps (</w:t>
      </w:r>
      <w:proofErr w:type="spellStart"/>
      <w:r w:rsidRPr="00FC4BB3">
        <w:rPr>
          <w:rFonts w:ascii="Times New Roman" w:hAnsi="Times New Roman"/>
          <w:color w:val="auto"/>
          <w:sz w:val="24"/>
          <w:szCs w:val="24"/>
        </w:rPr>
        <w:t>Dubrovina</w:t>
      </w:r>
      <w:proofErr w:type="spellEnd"/>
      <w:r w:rsidRPr="00FC4BB3">
        <w:rPr>
          <w:rFonts w:ascii="Times New Roman" w:hAnsi="Times New Roman"/>
          <w:color w:val="auto"/>
          <w:sz w:val="24"/>
          <w:szCs w:val="24"/>
        </w:rPr>
        <w:t xml:space="preserve"> </w:t>
      </w:r>
      <w:r w:rsidR="0059531C" w:rsidRPr="00FC4BB3">
        <w:rPr>
          <w:rFonts w:ascii="Times New Roman" w:hAnsi="Times New Roman"/>
          <w:noProof/>
          <w:color w:val="auto"/>
          <w:sz w:val="24"/>
          <w:szCs w:val="24"/>
          <w:lang w:eastAsia="zh-CN"/>
        </w:rPr>
        <w:t>and</w:t>
      </w:r>
      <w:r w:rsidRPr="00FC4BB3">
        <w:rPr>
          <w:rFonts w:ascii="Times New Roman" w:hAnsi="Times New Roman"/>
          <w:noProof/>
          <w:color w:val="auto"/>
          <w:sz w:val="24"/>
          <w:szCs w:val="24"/>
          <w:lang w:eastAsia="zh-CN"/>
        </w:rPr>
        <w:t xml:space="preserve"> Kiselev</w:t>
      </w:r>
      <w:r w:rsidRPr="00FC4BB3">
        <w:rPr>
          <w:rFonts w:ascii="Times New Roman" w:hAnsi="Times New Roman"/>
          <w:color w:val="auto"/>
          <w:sz w:val="24"/>
          <w:szCs w:val="24"/>
        </w:rPr>
        <w:t xml:space="preserve"> 2019</w:t>
      </w:r>
      <w:r w:rsidRPr="00FC4BB3">
        <w:rPr>
          <w:rFonts w:ascii="Times New Roman" w:hAnsi="Times New Roman"/>
          <w:sz w:val="24"/>
          <w:szCs w:val="24"/>
        </w:rPr>
        <w:t>).</w:t>
      </w:r>
    </w:p>
    <w:p w14:paraId="2B8C1B07" w14:textId="77777777" w:rsidR="008E42EA" w:rsidRPr="00FC4BB3" w:rsidRDefault="008E42EA" w:rsidP="008E42E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LED lighting delivers very customizable light spectra based on plant requirements. It supplies specific ratios of photosynthetic photon flux density (PPFD) in the red, green, and blue wavelengths—roughly 600–700 nm, 500–600 nm, and 400–500 nm, respectively.</w:t>
      </w:r>
    </w:p>
    <w:p w14:paraId="38F5B695" w14:textId="72207191" w:rsidR="008E42EA" w:rsidRPr="00FC4BB3" w:rsidRDefault="008E42EA" w:rsidP="008E42E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Observations of conifer seedlings in containers during the cold time of the year showed the formation and growth of apical buds, along with growth stoppage, which pointed to the beginning of dormancy (</w:t>
      </w:r>
      <w:r w:rsidRPr="00FC4BB3">
        <w:rPr>
          <w:rFonts w:ascii="Times New Roman" w:hAnsi="Times New Roman"/>
          <w:color w:val="auto"/>
          <w:sz w:val="24"/>
          <w:szCs w:val="24"/>
        </w:rPr>
        <w:t xml:space="preserve">Matveev </w:t>
      </w:r>
      <w:r w:rsidR="009543EC" w:rsidRPr="00FC4BB3">
        <w:rPr>
          <w:rFonts w:ascii="Times New Roman" w:hAnsi="Times New Roman"/>
          <w:noProof/>
          <w:color w:val="auto"/>
          <w:sz w:val="24"/>
          <w:szCs w:val="24"/>
          <w:lang w:eastAsia="zh-CN"/>
        </w:rPr>
        <w:t>and</w:t>
      </w:r>
      <w:r w:rsidRPr="00FC4BB3">
        <w:rPr>
          <w:rFonts w:ascii="Times New Roman" w:hAnsi="Times New Roman"/>
          <w:noProof/>
          <w:color w:val="auto"/>
          <w:sz w:val="24"/>
          <w:szCs w:val="24"/>
          <w:lang w:eastAsia="zh-CN"/>
        </w:rPr>
        <w:t xml:space="preserve"> Timashchuk</w:t>
      </w:r>
      <w:r w:rsidRPr="00FC4BB3">
        <w:rPr>
          <w:rFonts w:ascii="Times New Roman" w:hAnsi="Times New Roman"/>
          <w:color w:val="auto"/>
          <w:sz w:val="24"/>
          <w:szCs w:val="24"/>
        </w:rPr>
        <w:t xml:space="preserve"> 2019</w:t>
      </w:r>
      <w:r w:rsidRPr="00FC4BB3">
        <w:rPr>
          <w:rFonts w:ascii="Times New Roman" w:hAnsi="Times New Roman"/>
          <w:sz w:val="24"/>
          <w:szCs w:val="24"/>
        </w:rPr>
        <w:t xml:space="preserve">). Container-grown Scots pine (Pinus sylvestris) and Siberian spruce (Picea </w:t>
      </w:r>
      <w:proofErr w:type="spellStart"/>
      <w:r w:rsidRPr="00FC4BB3">
        <w:rPr>
          <w:rFonts w:ascii="Times New Roman" w:hAnsi="Times New Roman"/>
          <w:sz w:val="24"/>
          <w:szCs w:val="24"/>
        </w:rPr>
        <w:t>obovata</w:t>
      </w:r>
      <w:proofErr w:type="spellEnd"/>
      <w:r w:rsidRPr="00FC4BB3">
        <w:rPr>
          <w:rFonts w:ascii="Times New Roman" w:hAnsi="Times New Roman"/>
          <w:sz w:val="24"/>
          <w:szCs w:val="24"/>
        </w:rPr>
        <w:t>) can achieve standard seedling height in only 2.5 months under greenhouse conditions with climate control and observance of proper lighting regimes—even in autumn and winter (</w:t>
      </w:r>
      <w:proofErr w:type="spellStart"/>
      <w:r w:rsidR="00080230" w:rsidRPr="00FC4BB3">
        <w:rPr>
          <w:rFonts w:ascii="Times New Roman" w:hAnsi="Times New Roman"/>
          <w:color w:val="auto"/>
          <w:sz w:val="24"/>
          <w:szCs w:val="24"/>
        </w:rPr>
        <w:t>Zalesov</w:t>
      </w:r>
      <w:proofErr w:type="spellEnd"/>
      <w:r w:rsidR="00080230" w:rsidRPr="00FC4BB3">
        <w:rPr>
          <w:rFonts w:ascii="Times New Roman" w:hAnsi="Times New Roman"/>
          <w:color w:val="auto"/>
          <w:sz w:val="24"/>
          <w:szCs w:val="24"/>
        </w:rPr>
        <w:t xml:space="preserve"> et al.</w:t>
      </w:r>
      <w:r w:rsidRPr="00FC4BB3">
        <w:rPr>
          <w:rFonts w:ascii="Times New Roman" w:hAnsi="Times New Roman"/>
          <w:color w:val="auto"/>
          <w:sz w:val="24"/>
          <w:szCs w:val="24"/>
        </w:rPr>
        <w:t xml:space="preserve"> 2020</w:t>
      </w:r>
      <w:r w:rsidRPr="00FC4BB3">
        <w:rPr>
          <w:rFonts w:ascii="Times New Roman" w:hAnsi="Times New Roman"/>
          <w:sz w:val="24"/>
          <w:szCs w:val="24"/>
        </w:rPr>
        <w:t>).</w:t>
      </w:r>
    </w:p>
    <w:p w14:paraId="456A4034" w14:textId="77777777" w:rsidR="008E42EA" w:rsidRPr="00FC4BB3" w:rsidRDefault="008E42EA" w:rsidP="008E42E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Together, these findings determine which parts of the spectrum of light could be most suitable for conifer seedling growth. With such knowledge about spectral characteristics, it is possible to improve the production of high-quality planting stock for reforestation using artificial light. These systems can also be successfully applied in the areas of plant biotechnology and indoor forestry initiatives.</w:t>
      </w:r>
    </w:p>
    <w:p w14:paraId="182DEF13" w14:textId="5448E0A0" w:rsidR="008E42EA" w:rsidRPr="00FC4BB3" w:rsidRDefault="008E42EA" w:rsidP="008E42E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A primary drawback associated with fluorescent and gas-discharge lamps is their significant emission of thermal radiation, challenges related to regulation, and a diminished operational lifespan resulting from frequent on-off cycling (</w:t>
      </w:r>
      <w:r w:rsidRPr="00FC4BB3">
        <w:rPr>
          <w:rFonts w:ascii="Times New Roman" w:hAnsi="Times New Roman"/>
          <w:color w:val="auto"/>
          <w:sz w:val="24"/>
          <w:szCs w:val="24"/>
        </w:rPr>
        <w:t>Valletta et al. 2021</w:t>
      </w:r>
      <w:r w:rsidRPr="00FC4BB3">
        <w:rPr>
          <w:rFonts w:ascii="Times New Roman" w:hAnsi="Times New Roman"/>
          <w:sz w:val="24"/>
          <w:szCs w:val="24"/>
        </w:rPr>
        <w:t>).</w:t>
      </w:r>
    </w:p>
    <w:p w14:paraId="353959C2" w14:textId="0B5EA45A" w:rsidR="008E42EA" w:rsidRPr="00FC4BB3" w:rsidRDefault="008E42EA" w:rsidP="008E42E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LED lamps offer many advantages, including a long operating life, the ability to withstand frequent on-off cycling without degradation, and easy intensity modulation. Over the last decades, light-emitting diode (LED) technology has become a promising option for artificial lighting in greenhouse settings (</w:t>
      </w:r>
      <w:r w:rsidRPr="00FC4BB3">
        <w:rPr>
          <w:rFonts w:ascii="Times New Roman" w:hAnsi="Times New Roman"/>
          <w:color w:val="auto"/>
          <w:sz w:val="24"/>
          <w:szCs w:val="24"/>
        </w:rPr>
        <w:t>Colantoni et al. 2018</w:t>
      </w:r>
      <w:r w:rsidRPr="00FC4BB3">
        <w:rPr>
          <w:rFonts w:ascii="Times New Roman" w:hAnsi="Times New Roman"/>
          <w:sz w:val="24"/>
          <w:szCs w:val="24"/>
        </w:rPr>
        <w:t>). Moreover, LEDs can be accurately tuned to emit narrow-band light at specific wavelengths, enabling careful control of both spectral quality and light intensity. As a result, LED lighting has become the leading technology used in modern vertical farming systems (</w:t>
      </w:r>
      <w:r w:rsidRPr="00FC4BB3">
        <w:rPr>
          <w:rFonts w:ascii="Times New Roman" w:hAnsi="Times New Roman"/>
          <w:color w:val="auto"/>
          <w:sz w:val="24"/>
          <w:szCs w:val="24"/>
        </w:rPr>
        <w:t xml:space="preserve">Fedotov </w:t>
      </w:r>
      <w:r w:rsidR="00D74AD6" w:rsidRPr="00FC4BB3">
        <w:rPr>
          <w:rFonts w:ascii="Times New Roman" w:hAnsi="Times New Roman"/>
          <w:color w:val="auto"/>
          <w:sz w:val="24"/>
          <w:szCs w:val="24"/>
        </w:rPr>
        <w:t>and</w:t>
      </w:r>
      <w:r w:rsidRPr="00FC4BB3">
        <w:rPr>
          <w:rFonts w:ascii="Times New Roman" w:hAnsi="Times New Roman"/>
          <w:color w:val="auto"/>
          <w:sz w:val="24"/>
          <w:szCs w:val="24"/>
        </w:rPr>
        <w:t xml:space="preserve"> </w:t>
      </w:r>
      <w:proofErr w:type="spellStart"/>
      <w:r w:rsidRPr="00FC4BB3">
        <w:rPr>
          <w:rFonts w:ascii="Times New Roman" w:hAnsi="Times New Roman"/>
          <w:color w:val="auto"/>
          <w:sz w:val="24"/>
          <w:szCs w:val="24"/>
        </w:rPr>
        <w:t>Zhigunov</w:t>
      </w:r>
      <w:proofErr w:type="spellEnd"/>
      <w:r w:rsidRPr="00FC4BB3">
        <w:rPr>
          <w:rFonts w:ascii="Times New Roman" w:hAnsi="Times New Roman"/>
          <w:color w:val="auto"/>
          <w:sz w:val="24"/>
          <w:szCs w:val="24"/>
        </w:rPr>
        <w:t xml:space="preserve"> 2019</w:t>
      </w:r>
      <w:r w:rsidRPr="00FC4BB3">
        <w:rPr>
          <w:rFonts w:ascii="Times New Roman" w:hAnsi="Times New Roman"/>
          <w:sz w:val="24"/>
          <w:szCs w:val="24"/>
        </w:rPr>
        <w:t>).</w:t>
      </w:r>
    </w:p>
    <w:p w14:paraId="7435479B" w14:textId="6991BC77" w:rsidR="008E42EA" w:rsidRPr="00FC4BB3" w:rsidRDefault="008E42EA" w:rsidP="008E42E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lastRenderedPageBreak/>
        <w:t>Various plant species perceive specific wavelengths of light differently, which results in different physiological and morphological responses (</w:t>
      </w:r>
      <w:r w:rsidRPr="00FC4BB3">
        <w:rPr>
          <w:rFonts w:ascii="Times New Roman" w:hAnsi="Times New Roman"/>
          <w:color w:val="auto"/>
          <w:sz w:val="24"/>
          <w:szCs w:val="24"/>
        </w:rPr>
        <w:t xml:space="preserve">Fedotov </w:t>
      </w:r>
      <w:r w:rsidR="00D74AD6" w:rsidRPr="00FC4BB3">
        <w:rPr>
          <w:rFonts w:ascii="Times New Roman" w:hAnsi="Times New Roman"/>
          <w:color w:val="auto"/>
          <w:sz w:val="24"/>
          <w:szCs w:val="24"/>
        </w:rPr>
        <w:t>and</w:t>
      </w:r>
      <w:r w:rsidRPr="00FC4BB3">
        <w:rPr>
          <w:rFonts w:ascii="Times New Roman" w:hAnsi="Times New Roman"/>
          <w:color w:val="auto"/>
          <w:sz w:val="24"/>
          <w:szCs w:val="24"/>
        </w:rPr>
        <w:t xml:space="preserve"> </w:t>
      </w:r>
      <w:proofErr w:type="spellStart"/>
      <w:r w:rsidRPr="00FC4BB3">
        <w:rPr>
          <w:rFonts w:ascii="Times New Roman" w:hAnsi="Times New Roman"/>
          <w:color w:val="auto"/>
          <w:sz w:val="24"/>
          <w:szCs w:val="24"/>
        </w:rPr>
        <w:t>Zhigunov</w:t>
      </w:r>
      <w:proofErr w:type="spellEnd"/>
      <w:r w:rsidRPr="00FC4BB3">
        <w:rPr>
          <w:rFonts w:ascii="Times New Roman" w:hAnsi="Times New Roman"/>
          <w:color w:val="auto"/>
          <w:sz w:val="24"/>
          <w:szCs w:val="24"/>
        </w:rPr>
        <w:t xml:space="preserve"> 2019</w:t>
      </w:r>
      <w:r w:rsidRPr="00FC4BB3">
        <w:rPr>
          <w:rFonts w:ascii="Times New Roman" w:hAnsi="Times New Roman"/>
          <w:sz w:val="24"/>
          <w:szCs w:val="24"/>
        </w:rPr>
        <w:t>). Blue light has been shown by various studies to be crucial for phototropism, photomorphogenesis, chlorophyll biosynthesis, and stomatal opening (</w:t>
      </w:r>
      <w:proofErr w:type="spellStart"/>
      <w:r w:rsidR="00536AA4" w:rsidRPr="00FC4BB3">
        <w:rPr>
          <w:rFonts w:ascii="Times New Roman" w:hAnsi="Times New Roman"/>
          <w:color w:val="auto"/>
          <w:sz w:val="24"/>
          <w:szCs w:val="24"/>
        </w:rPr>
        <w:t>Shavnin</w:t>
      </w:r>
      <w:proofErr w:type="spellEnd"/>
      <w:r w:rsidR="00536AA4" w:rsidRPr="00FC4BB3">
        <w:rPr>
          <w:rFonts w:ascii="Times New Roman" w:hAnsi="Times New Roman"/>
          <w:color w:val="auto"/>
          <w:sz w:val="24"/>
          <w:szCs w:val="24"/>
        </w:rPr>
        <w:t xml:space="preserve"> et al.</w:t>
      </w:r>
      <w:r w:rsidRPr="00FC4BB3">
        <w:rPr>
          <w:rFonts w:ascii="Times New Roman" w:hAnsi="Times New Roman"/>
          <w:color w:val="auto"/>
          <w:sz w:val="24"/>
          <w:szCs w:val="24"/>
        </w:rPr>
        <w:t xml:space="preserve"> 2021</w:t>
      </w:r>
      <w:r w:rsidRPr="00FC4BB3">
        <w:rPr>
          <w:rFonts w:ascii="Times New Roman" w:hAnsi="Times New Roman"/>
          <w:sz w:val="24"/>
          <w:szCs w:val="24"/>
        </w:rPr>
        <w:t>). The effect of blue light on plant growth varies with species.</w:t>
      </w:r>
    </w:p>
    <w:p w14:paraId="6F510684" w14:textId="3B09073C" w:rsidR="008E42EA" w:rsidRPr="00FC4BB3" w:rsidRDefault="008E42EA" w:rsidP="008E42EA">
      <w:pPr>
        <w:pStyle w:val="afd"/>
        <w:tabs>
          <w:tab w:val="left" w:pos="567"/>
        </w:tabs>
        <w:spacing w:line="360" w:lineRule="auto"/>
        <w:ind w:left="0" w:firstLine="567"/>
        <w:contextualSpacing w:val="0"/>
        <w:jc w:val="both"/>
      </w:pPr>
      <w:r w:rsidRPr="00FC4BB3">
        <w:t>Red and blue LEDs are widely applied in plant production systems since chlorophyll a and b have peak absorption at 430 nm and 663 nm, and at 453 nm and 642 nm, respectively. In general, light quality (spectral composition) has profound influences on plant morphology, which dictates the amount of radiation intercepted and used by the plant. The amount of light, on the other hand, mainly controls the photosynthetic rate and biomass gain. Seedling quality is an important measure to understand the effect of nursery culture practices on subsequent plant performance and survival under adverse field conditions. The use of high-quality planting stock plays a significant role in the achievement of reforestation goals and minimizing the spread of disease.</w:t>
      </w:r>
    </w:p>
    <w:p w14:paraId="1273EEE4" w14:textId="77777777" w:rsidR="008E42EA" w:rsidRPr="00FC4BB3" w:rsidRDefault="008E42EA" w:rsidP="008E42EA">
      <w:pPr>
        <w:pStyle w:val="MDPI31text"/>
        <w:spacing w:line="360" w:lineRule="auto"/>
        <w:ind w:left="0" w:firstLine="567"/>
        <w:rPr>
          <w:rFonts w:ascii="Times New Roman" w:eastAsia="Batang" w:hAnsi="Times New Roman"/>
          <w:color w:val="FF0000"/>
          <w:sz w:val="24"/>
          <w:szCs w:val="24"/>
        </w:rPr>
      </w:pPr>
    </w:p>
    <w:p w14:paraId="723B83DA" w14:textId="79D0C56A" w:rsidR="007E2933" w:rsidRPr="00FC4BB3" w:rsidRDefault="007E2933" w:rsidP="007E2933">
      <w:pPr>
        <w:pStyle w:val="afd"/>
        <w:numPr>
          <w:ilvl w:val="1"/>
          <w:numId w:val="30"/>
        </w:numPr>
        <w:tabs>
          <w:tab w:val="left" w:pos="567"/>
        </w:tabs>
        <w:spacing w:line="360" w:lineRule="auto"/>
        <w:ind w:left="0" w:firstLine="0"/>
        <w:contextualSpacing w:val="0"/>
        <w:jc w:val="both"/>
      </w:pPr>
      <w:r w:rsidRPr="00FC4BB3">
        <w:rPr>
          <w:b/>
          <w:bCs/>
          <w:iCs/>
          <w:szCs w:val="28"/>
        </w:rPr>
        <w:t>The Influence of Mineral Nutrition on the Growth of Conifer Seedlings</w:t>
      </w:r>
    </w:p>
    <w:p w14:paraId="0C7A3002" w14:textId="7F0F8392" w:rsidR="00745249" w:rsidRPr="00FC4BB3" w:rsidRDefault="00745249" w:rsidP="00745249">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 xml:space="preserve">When cultivating conifer seedlings, several </w:t>
      </w:r>
      <w:proofErr w:type="spellStart"/>
      <w:r w:rsidRPr="00FC4BB3">
        <w:rPr>
          <w:rFonts w:ascii="Times New Roman" w:hAnsi="Times New Roman"/>
          <w:sz w:val="24"/>
          <w:szCs w:val="24"/>
        </w:rPr>
        <w:t>phenophases</w:t>
      </w:r>
      <w:proofErr w:type="spellEnd"/>
      <w:r w:rsidRPr="00FC4BB3">
        <w:rPr>
          <w:rFonts w:ascii="Times New Roman" w:hAnsi="Times New Roman"/>
          <w:sz w:val="24"/>
          <w:szCs w:val="24"/>
        </w:rPr>
        <w:t xml:space="preserve"> are distinguished:</w:t>
      </w:r>
    </w:p>
    <w:p w14:paraId="46906E67" w14:textId="77777777" w:rsidR="00745249" w:rsidRPr="00FC4BB3" w:rsidRDefault="00745249" w:rsidP="00745249">
      <w:pPr>
        <w:pStyle w:val="MDPI31text"/>
        <w:numPr>
          <w:ilvl w:val="0"/>
          <w:numId w:val="35"/>
        </w:numPr>
        <w:tabs>
          <w:tab w:val="left" w:pos="993"/>
        </w:tabs>
        <w:spacing w:line="360" w:lineRule="auto"/>
        <w:ind w:left="0" w:firstLine="567"/>
        <w:rPr>
          <w:rFonts w:ascii="Times New Roman" w:hAnsi="Times New Roman"/>
          <w:sz w:val="24"/>
          <w:szCs w:val="24"/>
        </w:rPr>
      </w:pPr>
      <w:r w:rsidRPr="00FC4BB3">
        <w:rPr>
          <w:rFonts w:ascii="Times New Roman" w:hAnsi="Times New Roman"/>
          <w:sz w:val="24"/>
          <w:szCs w:val="24"/>
        </w:rPr>
        <w:t xml:space="preserve">Seed germination — from sowing to seedling emergence. </w:t>
      </w:r>
    </w:p>
    <w:p w14:paraId="2DE84FAB" w14:textId="7B30DE8D" w:rsidR="00745249" w:rsidRPr="00FC4BB3" w:rsidRDefault="00745249" w:rsidP="00745249">
      <w:pPr>
        <w:pStyle w:val="MDPI31text"/>
        <w:numPr>
          <w:ilvl w:val="0"/>
          <w:numId w:val="35"/>
        </w:numPr>
        <w:tabs>
          <w:tab w:val="left" w:pos="993"/>
        </w:tabs>
        <w:spacing w:line="360" w:lineRule="auto"/>
        <w:ind w:left="0" w:firstLine="567"/>
        <w:rPr>
          <w:rFonts w:ascii="Times New Roman" w:hAnsi="Times New Roman"/>
          <w:sz w:val="24"/>
          <w:szCs w:val="24"/>
        </w:rPr>
      </w:pPr>
      <w:r w:rsidRPr="00FC4BB3">
        <w:rPr>
          <w:rFonts w:ascii="Times New Roman" w:hAnsi="Times New Roman"/>
          <w:sz w:val="24"/>
          <w:szCs w:val="24"/>
        </w:rPr>
        <w:t>Emergence of seedlings — seed coats rise above the substrate or soil on elongating hypocotyls and cotyledons (</w:t>
      </w:r>
      <w:proofErr w:type="spellStart"/>
      <w:r w:rsidR="00DF1224" w:rsidRPr="00FC4BB3">
        <w:rPr>
          <w:rFonts w:ascii="Times New Roman" w:hAnsi="Times New Roman"/>
          <w:color w:val="auto"/>
          <w:sz w:val="24"/>
          <w:szCs w:val="24"/>
        </w:rPr>
        <w:t>Böhme</w:t>
      </w:r>
      <w:proofErr w:type="spellEnd"/>
      <w:r w:rsidR="00DF1224" w:rsidRPr="00FC4BB3">
        <w:rPr>
          <w:rFonts w:ascii="Times New Roman" w:hAnsi="Times New Roman"/>
          <w:color w:val="auto"/>
          <w:sz w:val="24"/>
          <w:szCs w:val="24"/>
        </w:rPr>
        <w:t xml:space="preserve"> and Pinker</w:t>
      </w:r>
      <w:r w:rsidRPr="00FC4BB3">
        <w:rPr>
          <w:rFonts w:ascii="Times New Roman" w:hAnsi="Times New Roman"/>
          <w:color w:val="auto"/>
          <w:sz w:val="24"/>
          <w:szCs w:val="24"/>
        </w:rPr>
        <w:t xml:space="preserve"> 2018</w:t>
      </w:r>
      <w:r w:rsidRPr="00FC4BB3">
        <w:rPr>
          <w:rFonts w:ascii="Times New Roman" w:hAnsi="Times New Roman"/>
          <w:sz w:val="24"/>
          <w:szCs w:val="24"/>
        </w:rPr>
        <w:t xml:space="preserve">). </w:t>
      </w:r>
    </w:p>
    <w:p w14:paraId="44451C53" w14:textId="77777777" w:rsidR="00745249" w:rsidRPr="00FC4BB3" w:rsidRDefault="00745249" w:rsidP="00745249">
      <w:pPr>
        <w:pStyle w:val="MDPI31text"/>
        <w:numPr>
          <w:ilvl w:val="0"/>
          <w:numId w:val="35"/>
        </w:numPr>
        <w:tabs>
          <w:tab w:val="left" w:pos="993"/>
        </w:tabs>
        <w:spacing w:line="360" w:lineRule="auto"/>
        <w:ind w:left="0" w:firstLine="567"/>
        <w:rPr>
          <w:rFonts w:ascii="Times New Roman" w:hAnsi="Times New Roman"/>
          <w:sz w:val="24"/>
          <w:szCs w:val="24"/>
        </w:rPr>
      </w:pPr>
      <w:r w:rsidRPr="00FC4BB3">
        <w:rPr>
          <w:rFonts w:ascii="Times New Roman" w:hAnsi="Times New Roman"/>
          <w:sz w:val="24"/>
          <w:szCs w:val="24"/>
        </w:rPr>
        <w:t xml:space="preserve">Cotyledon unfolding — cotyledons shed seed coats and spread out. </w:t>
      </w:r>
    </w:p>
    <w:p w14:paraId="2A5C87C0" w14:textId="77777777" w:rsidR="00745249" w:rsidRPr="00FC4BB3" w:rsidRDefault="00745249" w:rsidP="00745249">
      <w:pPr>
        <w:pStyle w:val="MDPI31text"/>
        <w:numPr>
          <w:ilvl w:val="0"/>
          <w:numId w:val="35"/>
        </w:numPr>
        <w:tabs>
          <w:tab w:val="left" w:pos="993"/>
        </w:tabs>
        <w:spacing w:line="360" w:lineRule="auto"/>
        <w:ind w:left="0" w:firstLine="567"/>
        <w:rPr>
          <w:rFonts w:ascii="Times New Roman" w:hAnsi="Times New Roman"/>
          <w:sz w:val="24"/>
          <w:szCs w:val="24"/>
        </w:rPr>
      </w:pPr>
      <w:r w:rsidRPr="00FC4BB3">
        <w:rPr>
          <w:rFonts w:ascii="Times New Roman" w:hAnsi="Times New Roman"/>
          <w:sz w:val="24"/>
          <w:szCs w:val="24"/>
        </w:rPr>
        <w:t>Appearance of the embryonic shoot bud — a clearly distinguishable, brightly colored swelling (ranging from white to dark red) forms between the cotyledons, later dividing into needle primordia.</w:t>
      </w:r>
    </w:p>
    <w:p w14:paraId="3AD0A44C" w14:textId="479C8962" w:rsidR="00745249" w:rsidRPr="00FC4BB3" w:rsidRDefault="00745249" w:rsidP="00745249">
      <w:pPr>
        <w:pStyle w:val="MDPI31text"/>
        <w:numPr>
          <w:ilvl w:val="0"/>
          <w:numId w:val="35"/>
        </w:numPr>
        <w:tabs>
          <w:tab w:val="left" w:pos="993"/>
        </w:tabs>
        <w:spacing w:line="360" w:lineRule="auto"/>
        <w:ind w:left="0" w:firstLine="567"/>
        <w:rPr>
          <w:rFonts w:ascii="Times New Roman" w:hAnsi="Times New Roman"/>
          <w:color w:val="auto"/>
          <w:sz w:val="24"/>
          <w:szCs w:val="24"/>
        </w:rPr>
      </w:pPr>
      <w:r w:rsidRPr="00FC4BB3">
        <w:rPr>
          <w:rFonts w:ascii="Times New Roman" w:hAnsi="Times New Roman"/>
          <w:sz w:val="24"/>
          <w:szCs w:val="24"/>
        </w:rPr>
        <w:t>Needle unfolding — developing needles acquire a yellowish-green or green color, reaching more than half the length of the cotyledons (</w:t>
      </w:r>
      <w:proofErr w:type="spellStart"/>
      <w:r w:rsidRPr="00FC4BB3">
        <w:rPr>
          <w:rFonts w:ascii="Times New Roman" w:hAnsi="Times New Roman"/>
          <w:color w:val="auto"/>
          <w:sz w:val="24"/>
          <w:szCs w:val="24"/>
        </w:rPr>
        <w:t>Gof</w:t>
      </w:r>
      <w:proofErr w:type="spellEnd"/>
      <w:r w:rsidRPr="00FC4BB3">
        <w:rPr>
          <w:rFonts w:ascii="Times New Roman" w:hAnsi="Times New Roman"/>
          <w:color w:val="auto"/>
          <w:sz w:val="24"/>
          <w:szCs w:val="24"/>
        </w:rPr>
        <w:t xml:space="preserve"> et al. 2019). </w:t>
      </w:r>
    </w:p>
    <w:p w14:paraId="713BBF63" w14:textId="77777777" w:rsidR="00745249" w:rsidRPr="00FC4BB3" w:rsidRDefault="00745249" w:rsidP="00745249">
      <w:pPr>
        <w:pStyle w:val="MDPI31text"/>
        <w:numPr>
          <w:ilvl w:val="0"/>
          <w:numId w:val="35"/>
        </w:numPr>
        <w:tabs>
          <w:tab w:val="left" w:pos="993"/>
        </w:tabs>
        <w:spacing w:line="360" w:lineRule="auto"/>
        <w:ind w:left="0" w:firstLine="567"/>
        <w:rPr>
          <w:rFonts w:ascii="Times New Roman" w:hAnsi="Times New Roman"/>
          <w:sz w:val="24"/>
          <w:szCs w:val="24"/>
        </w:rPr>
      </w:pPr>
      <w:r w:rsidRPr="00FC4BB3">
        <w:rPr>
          <w:rFonts w:ascii="Times New Roman" w:hAnsi="Times New Roman"/>
          <w:sz w:val="24"/>
          <w:szCs w:val="24"/>
        </w:rPr>
        <w:t>Growth of the epicotyl part of the stem — the forming epicotyl lifts the needles above the cotyledon attachment point; under especially favorable conditions, such as in a greenhouse, this phase can be subdivided into linear growth subphases: a) initiation, b) rapid growth, and c) slowdown.</w:t>
      </w:r>
    </w:p>
    <w:p w14:paraId="1C2A399F" w14:textId="77777777" w:rsidR="00745249" w:rsidRPr="00FC4BB3" w:rsidRDefault="00745249" w:rsidP="00745249">
      <w:pPr>
        <w:pStyle w:val="MDPI31text"/>
        <w:numPr>
          <w:ilvl w:val="0"/>
          <w:numId w:val="35"/>
        </w:numPr>
        <w:tabs>
          <w:tab w:val="left" w:pos="993"/>
        </w:tabs>
        <w:spacing w:line="360" w:lineRule="auto"/>
        <w:ind w:left="0" w:firstLine="567"/>
        <w:rPr>
          <w:rFonts w:ascii="Times New Roman" w:hAnsi="Times New Roman"/>
          <w:sz w:val="24"/>
          <w:szCs w:val="24"/>
        </w:rPr>
      </w:pPr>
      <w:r w:rsidRPr="00FC4BB3">
        <w:rPr>
          <w:rFonts w:ascii="Times New Roman" w:hAnsi="Times New Roman"/>
          <w:sz w:val="24"/>
          <w:szCs w:val="24"/>
        </w:rPr>
        <w:t>Transition of the plant into dormancy is divided into subphases: a) linear root system growth (seedling height growth stops, root growth intensifies); b) intensive root lignification (linear growth of all seedling organs ceases).</w:t>
      </w:r>
    </w:p>
    <w:p w14:paraId="1AF13798" w14:textId="77777777" w:rsidR="00745249" w:rsidRPr="00FC4BB3" w:rsidRDefault="00745249" w:rsidP="00745249">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lastRenderedPageBreak/>
        <w:t>For normal growth and development, plants require a diverse nutrient supply that includes various elements. Approximately 20 elements are necessary for the complete life cycle of plants, without which they cannot thrive.</w:t>
      </w:r>
    </w:p>
    <w:p w14:paraId="32EE89DA" w14:textId="77777777" w:rsidR="00745249" w:rsidRPr="00FC4BB3" w:rsidRDefault="00745249" w:rsidP="00745249">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Nutrient elements are categorized into macronutrients and micronutrients. Macronutrients are those found in plants in relatively large amounts — from hundredths of a percent up to several percent — including carbon, oxygen, hydrogen, nitrogen, phosphorus, potassium, sulfur, magnesium, and iron. These elements are essential for plant growth and development; deficiencies can lead to serious problems.</w:t>
      </w:r>
    </w:p>
    <w:p w14:paraId="042B3C8D" w14:textId="77777777" w:rsidR="00745249" w:rsidRPr="00FC4BB3" w:rsidRDefault="00745249" w:rsidP="00745249">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Micronutrients occur in much smaller quantities — from hundred-thousandths to thousandths of a percent — and include boron, copper, zinc, molybdenum, manganese, cobalt, among others. Despite their small concentrations, they play crucial roles in vital plant processes, and their deficiencies may disrupt plant development.</w:t>
      </w:r>
    </w:p>
    <w:p w14:paraId="09BEA439" w14:textId="77777777" w:rsidR="00745249" w:rsidRPr="00FC4BB3" w:rsidRDefault="00745249" w:rsidP="00745249">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 xml:space="preserve">Additionally, there are </w:t>
      </w:r>
      <w:proofErr w:type="spellStart"/>
      <w:r w:rsidRPr="00FC4BB3">
        <w:rPr>
          <w:rFonts w:ascii="Times New Roman" w:hAnsi="Times New Roman"/>
          <w:sz w:val="24"/>
          <w:szCs w:val="24"/>
        </w:rPr>
        <w:t>ultramicroelements</w:t>
      </w:r>
      <w:proofErr w:type="spellEnd"/>
      <w:r w:rsidRPr="00FC4BB3">
        <w:rPr>
          <w:rFonts w:ascii="Times New Roman" w:hAnsi="Times New Roman"/>
          <w:sz w:val="24"/>
          <w:szCs w:val="24"/>
        </w:rPr>
        <w:t xml:space="preserve"> present in even smaller amounts than micronutrients. These too are necessary for proper plant functioning, and their lack can severely affect plant vitality.</w:t>
      </w:r>
    </w:p>
    <w:p w14:paraId="71AEDE9E" w14:textId="2247C0D2" w:rsidR="00745249" w:rsidRPr="00FC4BB3" w:rsidRDefault="00745249" w:rsidP="00745249">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It is important to understand that each of these elements has a unique role in plant life and cannot be replaced by others. Therefore, to ensure healthy growth and development, plants must be provided with an adequate supply of all essential nutrients (</w:t>
      </w:r>
      <w:r w:rsidRPr="00FC4BB3">
        <w:rPr>
          <w:rFonts w:ascii="Times New Roman" w:hAnsi="Times New Roman"/>
          <w:color w:val="auto"/>
          <w:sz w:val="24"/>
          <w:szCs w:val="24"/>
        </w:rPr>
        <w:t>Valletta et al. 2021</w:t>
      </w:r>
      <w:r w:rsidRPr="00FC4BB3">
        <w:rPr>
          <w:rFonts w:ascii="Times New Roman" w:hAnsi="Times New Roman"/>
          <w:sz w:val="24"/>
          <w:szCs w:val="24"/>
        </w:rPr>
        <w:t>).</w:t>
      </w:r>
    </w:p>
    <w:p w14:paraId="5C9F5147" w14:textId="01F56C18" w:rsidR="00745249" w:rsidRPr="00FC4BB3" w:rsidRDefault="00745249" w:rsidP="00745249">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Plants are an important link in the nitrogen cycle in nature. Nitrogen is absorbed by plants from the soil primarily in the form of nitrates and ammonium salts, which serve as the main sources of nutrition (</w:t>
      </w:r>
      <w:proofErr w:type="spellStart"/>
      <w:r w:rsidRPr="00FC4BB3">
        <w:rPr>
          <w:rFonts w:ascii="Times New Roman" w:hAnsi="Times New Roman"/>
          <w:color w:val="auto"/>
          <w:sz w:val="24"/>
          <w:szCs w:val="24"/>
        </w:rPr>
        <w:t>Gruda</w:t>
      </w:r>
      <w:proofErr w:type="spellEnd"/>
      <w:r w:rsidRPr="00FC4BB3">
        <w:rPr>
          <w:rFonts w:ascii="Times New Roman" w:hAnsi="Times New Roman"/>
          <w:color w:val="auto"/>
          <w:sz w:val="24"/>
          <w:szCs w:val="24"/>
        </w:rPr>
        <w:t xml:space="preserve"> 2019</w:t>
      </w:r>
      <w:r w:rsidRPr="00FC4BB3">
        <w:rPr>
          <w:rFonts w:ascii="Times New Roman" w:hAnsi="Times New Roman"/>
          <w:sz w:val="24"/>
          <w:szCs w:val="24"/>
        </w:rPr>
        <w:t>). Additionally, plants can uptake amino acids and amides containing nitrogen, which are used for protein synthesis.</w:t>
      </w:r>
    </w:p>
    <w:p w14:paraId="66FDF0A0" w14:textId="77777777" w:rsidR="00745249" w:rsidRPr="00FC4BB3" w:rsidRDefault="00745249" w:rsidP="00745249">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Absorbed nitrogen is not directly used by plants; organic acids are required to convert nitrogen into amino acids. These amino acids are then utilized for protein synthesis, which is a crucial component for plant growth and vital functions.</w:t>
      </w:r>
    </w:p>
    <w:p w14:paraId="3705102E" w14:textId="77777777" w:rsidR="00745249" w:rsidRPr="00FC4BB3" w:rsidRDefault="00745249" w:rsidP="00745249">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Phosphorus also plays a significant role in plant life. It is essential not only for higher plants but also for simpler organisms, as it is involved in the metabolism of most biosynthetic substances. Phosphorus is absorbed by plants in two forms: organic phosphorus, formed through the decomposition of organic matter, and mineral phosphorus, derived from mineral compounds in the soil.</w:t>
      </w:r>
    </w:p>
    <w:p w14:paraId="584A7752" w14:textId="77777777" w:rsidR="00745249" w:rsidRPr="00FC4BB3" w:rsidRDefault="00745249" w:rsidP="00745249">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Thus, nitrogen and phosphorus are indispensable elements that ensure plant growth, development, and metabolic processes, which are critical for the existence of all living organisms.</w:t>
      </w:r>
    </w:p>
    <w:p w14:paraId="3BD070FC" w14:textId="0508A041" w:rsidR="00745249" w:rsidRPr="00FC4BB3" w:rsidRDefault="00745249" w:rsidP="00745249">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lastRenderedPageBreak/>
        <w:t>Potassium is one of the most important macronutrients, playing a key role in photosynthesis. It influences sucrose synthesis, starch formation, stem rigidity, frost resistance, and enhances nitrogen uptake by plants. A deficiency in potassium impairs normal functioning and development of seedlings (</w:t>
      </w:r>
      <w:r w:rsidRPr="00FC4BB3">
        <w:rPr>
          <w:rFonts w:ascii="Times New Roman" w:hAnsi="Times New Roman"/>
          <w:color w:val="auto"/>
          <w:sz w:val="24"/>
          <w:szCs w:val="24"/>
        </w:rPr>
        <w:t>Atzori et al. 2021</w:t>
      </w:r>
      <w:r w:rsidRPr="00FC4BB3">
        <w:rPr>
          <w:rFonts w:ascii="Times New Roman" w:hAnsi="Times New Roman"/>
          <w:sz w:val="24"/>
          <w:szCs w:val="24"/>
        </w:rPr>
        <w:t>).</w:t>
      </w:r>
    </w:p>
    <w:p w14:paraId="468B587A" w14:textId="77777777" w:rsidR="00745249" w:rsidRPr="00FC4BB3" w:rsidRDefault="00745249" w:rsidP="00745249">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Furthermore, potassium positively affects seedling growth and increases their resistance to lodging. However, excessive application of potassium fertilizers can lead to plant toxicity, so adherence to optimal dosages is necessary.</w:t>
      </w:r>
    </w:p>
    <w:p w14:paraId="6ACE0D7F" w14:textId="77777777" w:rsidR="00745249" w:rsidRPr="00FC4BB3" w:rsidRDefault="00745249" w:rsidP="00745249">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Conifer seedlings exhibit a certain degree of conservatism regarding nutrient uptake; therefore, it is recommended to apply fertilizers in small doses and multiple applications. This approach maximizes nutrient utilization and enhances plant resistance to diseases. The timing of fertilizer application is also important to achieve the best influence on growth processes.</w:t>
      </w:r>
    </w:p>
    <w:p w14:paraId="7DE89E6B" w14:textId="77777777" w:rsidR="00745249" w:rsidRPr="00FC4BB3" w:rsidRDefault="00745249" w:rsidP="00745249">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In summary, potassium is an essential element for normal seedling development and increasing their resilience to adverse conditions. Observing optimal doses and timing of fertilizer applications contributes to healthy growth and development of planting material.</w:t>
      </w:r>
    </w:p>
    <w:p w14:paraId="7ACFABC0" w14:textId="6012749E" w:rsidR="008E42EA" w:rsidRPr="00FC4BB3" w:rsidRDefault="00745249" w:rsidP="00745249">
      <w:pPr>
        <w:pStyle w:val="afd"/>
        <w:tabs>
          <w:tab w:val="left" w:pos="567"/>
        </w:tabs>
        <w:spacing w:line="360" w:lineRule="auto"/>
        <w:ind w:left="0" w:firstLine="567"/>
        <w:contextualSpacing w:val="0"/>
        <w:jc w:val="both"/>
      </w:pPr>
      <w:r w:rsidRPr="00FC4BB3">
        <w:t>The essential nutrients required by conifer plants are presented in Table 1</w:t>
      </w:r>
      <w:r w:rsidR="008E42EA" w:rsidRPr="00FC4BB3">
        <w:t>.</w:t>
      </w:r>
    </w:p>
    <w:p w14:paraId="0BFCEA20" w14:textId="77777777" w:rsidR="008E42EA" w:rsidRPr="00FC4BB3" w:rsidRDefault="008E42EA" w:rsidP="00745249">
      <w:pPr>
        <w:pStyle w:val="MDPI31text"/>
        <w:spacing w:line="360" w:lineRule="auto"/>
        <w:ind w:left="0" w:firstLine="567"/>
        <w:rPr>
          <w:rFonts w:ascii="Times New Roman" w:eastAsia="Batang" w:hAnsi="Times New Roman"/>
          <w:color w:val="FF0000"/>
          <w:sz w:val="24"/>
          <w:szCs w:val="24"/>
        </w:rPr>
      </w:pPr>
    </w:p>
    <w:p w14:paraId="3BBFEBD1" w14:textId="577FAE16" w:rsidR="00D42D1A" w:rsidRPr="00FC4BB3" w:rsidRDefault="00D42D1A" w:rsidP="00D42D1A">
      <w:pPr>
        <w:pStyle w:val="afd"/>
        <w:numPr>
          <w:ilvl w:val="1"/>
          <w:numId w:val="30"/>
        </w:numPr>
        <w:tabs>
          <w:tab w:val="left" w:pos="567"/>
        </w:tabs>
        <w:spacing w:line="360" w:lineRule="auto"/>
        <w:ind w:left="0" w:firstLine="0"/>
        <w:contextualSpacing w:val="0"/>
        <w:jc w:val="both"/>
      </w:pPr>
      <w:r w:rsidRPr="00FC4BB3">
        <w:rPr>
          <w:b/>
          <w:bCs/>
          <w:iCs/>
          <w:szCs w:val="28"/>
        </w:rPr>
        <w:t>Hardening of Conifer Seedlings</w:t>
      </w:r>
    </w:p>
    <w:p w14:paraId="1DF56AA8" w14:textId="0E2A6791" w:rsidR="00D42D1A" w:rsidRPr="00FC4BB3" w:rsidRDefault="00D42D1A" w:rsidP="00D42D1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Seedlings grown under greenhouse conditions generally reach forest restoration standards faster; however, meeting these standards does not always guarantee successful adaptation to forest environments (</w:t>
      </w:r>
      <w:r w:rsidRPr="00FC4BB3">
        <w:rPr>
          <w:rFonts w:ascii="Times New Roman" w:hAnsi="Times New Roman"/>
          <w:color w:val="auto"/>
          <w:sz w:val="24"/>
          <w:szCs w:val="24"/>
        </w:rPr>
        <w:t>Soboleva et al. 2020</w:t>
      </w:r>
      <w:r w:rsidRPr="00FC4BB3">
        <w:rPr>
          <w:rFonts w:ascii="Times New Roman" w:hAnsi="Times New Roman"/>
          <w:sz w:val="24"/>
          <w:szCs w:val="24"/>
        </w:rPr>
        <w:t>).</w:t>
      </w:r>
    </w:p>
    <w:p w14:paraId="6B098413" w14:textId="77777777" w:rsidR="00D42D1A" w:rsidRPr="00FC4BB3" w:rsidRDefault="00D42D1A" w:rsidP="00D42D1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 xml:space="preserve">Winter hardiness issues may not manifest during nursery cultivation and often only become apparent once seedlings are stored or transplanted. While it is relatively easy to grow a crop of seedlings to a specified height and quality, it is much more challenging to harden them so they can withstand stresses related to handling, storage, and </w:t>
      </w:r>
      <w:proofErr w:type="spellStart"/>
      <w:r w:rsidRPr="00FC4BB3">
        <w:rPr>
          <w:rFonts w:ascii="Times New Roman" w:hAnsi="Times New Roman"/>
          <w:sz w:val="24"/>
          <w:szCs w:val="24"/>
        </w:rPr>
        <w:t>outplanting</w:t>
      </w:r>
      <w:proofErr w:type="spellEnd"/>
      <w:r w:rsidRPr="00FC4BB3">
        <w:rPr>
          <w:rFonts w:ascii="Times New Roman" w:hAnsi="Times New Roman"/>
          <w:sz w:val="24"/>
          <w:szCs w:val="24"/>
        </w:rPr>
        <w:t>. This is evidenced by several catastrophic losses caused by non-hardy species in recent years.</w:t>
      </w:r>
    </w:p>
    <w:p w14:paraId="671CACF5" w14:textId="2C901767" w:rsidR="00D42D1A" w:rsidRPr="00FC4BB3" w:rsidRDefault="00D42D1A" w:rsidP="00D42D1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Dormancy can be defined as the inability of plant tissue to grow even under environmentally favorable conditions (</w:t>
      </w:r>
      <w:proofErr w:type="spellStart"/>
      <w:r w:rsidR="000B0DAA" w:rsidRPr="00FC4BB3">
        <w:rPr>
          <w:rFonts w:ascii="Times New Roman" w:hAnsi="Times New Roman"/>
          <w:color w:val="auto"/>
          <w:sz w:val="24"/>
          <w:szCs w:val="24"/>
        </w:rPr>
        <w:t>Korovitsky</w:t>
      </w:r>
      <w:proofErr w:type="spellEnd"/>
      <w:r w:rsidR="000B0DAA" w:rsidRPr="00FC4BB3">
        <w:rPr>
          <w:rFonts w:ascii="Times New Roman" w:hAnsi="Times New Roman"/>
          <w:color w:val="auto"/>
          <w:sz w:val="24"/>
          <w:szCs w:val="24"/>
        </w:rPr>
        <w:t xml:space="preserve"> et al.</w:t>
      </w:r>
      <w:r w:rsidRPr="00FC4BB3">
        <w:rPr>
          <w:rFonts w:ascii="Times New Roman" w:hAnsi="Times New Roman"/>
          <w:color w:val="auto"/>
          <w:sz w:val="24"/>
          <w:szCs w:val="24"/>
        </w:rPr>
        <w:t xml:space="preserve"> 2023). </w:t>
      </w:r>
      <w:r w:rsidRPr="00FC4BB3">
        <w:rPr>
          <w:rFonts w:ascii="Times New Roman" w:hAnsi="Times New Roman"/>
          <w:sz w:val="24"/>
          <w:szCs w:val="24"/>
        </w:rPr>
        <w:t xml:space="preserve">Dormancy pertains to specific meristematic tissues (buds, lateral meristems, or root tips), whereas winter hardiness relates to shoots or roots and, more importantly from a practical standpoint, often to the whole seedling. Most published literature focuses solely on bud dormancy, which is important, but nursery managers must deal with the entire seedling. There is some overlap between dormancy and winter hardiness; indeed, dormancy is a necessary condition for achieving a high level of winter hardiness. Although non-dormant tissues may harden to some extent, seedlings cannot achieve </w:t>
      </w:r>
      <w:r w:rsidRPr="00FC4BB3">
        <w:rPr>
          <w:rFonts w:ascii="Times New Roman" w:hAnsi="Times New Roman"/>
          <w:sz w:val="24"/>
          <w:szCs w:val="24"/>
        </w:rPr>
        <w:lastRenderedPageBreak/>
        <w:t>full winter hardiness if they are still growing. The highest level of winter hardiness is attained after the plant has passed through the dormancy period.</w:t>
      </w:r>
    </w:p>
    <w:p w14:paraId="52242E1C" w14:textId="77777777" w:rsidR="00D42D1A" w:rsidRPr="00FC4BB3" w:rsidRDefault="00D42D1A" w:rsidP="00D42D1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A critical stage in seedling development is the hardening process, which promotes resistance to cold and other adverse factors. Hardening usually begins once most seedlings (about 85–90%) reach the required height and develop buds.</w:t>
      </w:r>
    </w:p>
    <w:p w14:paraId="5109D2B8" w14:textId="77777777" w:rsidR="00D42D1A" w:rsidRPr="00FC4BB3" w:rsidRDefault="00D42D1A" w:rsidP="00D42D1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 xml:space="preserve">Day length, or photoperiod, influences the growth of young plants and bud formation. It is important that as day length shortens, the intensity of sunlight remains consistent, as it plays a key role in normal plant development. According to </w:t>
      </w:r>
      <w:proofErr w:type="spellStart"/>
      <w:r w:rsidRPr="00FC4BB3">
        <w:rPr>
          <w:rFonts w:ascii="Times New Roman" w:hAnsi="Times New Roman"/>
          <w:sz w:val="24"/>
          <w:szCs w:val="24"/>
        </w:rPr>
        <w:t>Zhigunov's</w:t>
      </w:r>
      <w:proofErr w:type="spellEnd"/>
      <w:r w:rsidRPr="00FC4BB3">
        <w:rPr>
          <w:rFonts w:ascii="Times New Roman" w:hAnsi="Times New Roman"/>
          <w:sz w:val="24"/>
          <w:szCs w:val="24"/>
        </w:rPr>
        <w:t xml:space="preserve"> recommendations, the photoperiod for spruce and pine seedlings should be reduced to 10–12 hours in late July to early August. This reduction period should last from two to four weeks.</w:t>
      </w:r>
    </w:p>
    <w:p w14:paraId="00E5C1ED" w14:textId="6F2242E4" w:rsidR="00D42D1A" w:rsidRPr="00FC4BB3" w:rsidRDefault="00D42D1A" w:rsidP="00D42D1A">
      <w:pPr>
        <w:pStyle w:val="MDPI31text"/>
        <w:spacing w:line="360" w:lineRule="auto"/>
        <w:ind w:left="0" w:firstLine="567"/>
        <w:rPr>
          <w:rFonts w:ascii="Times New Roman" w:hAnsi="Times New Roman"/>
          <w:color w:val="auto"/>
          <w:sz w:val="24"/>
          <w:szCs w:val="24"/>
        </w:rPr>
      </w:pPr>
      <w:r w:rsidRPr="00FC4BB3">
        <w:rPr>
          <w:rFonts w:ascii="Times New Roman" w:hAnsi="Times New Roman"/>
          <w:sz w:val="24"/>
          <w:szCs w:val="24"/>
        </w:rPr>
        <w:t xml:space="preserve">Limiting nitrogen fertilization slows plant development and is an effective method to </w:t>
      </w:r>
      <w:r w:rsidRPr="00FC4BB3">
        <w:rPr>
          <w:rFonts w:ascii="Times New Roman" w:hAnsi="Times New Roman"/>
          <w:color w:val="auto"/>
          <w:sz w:val="24"/>
          <w:szCs w:val="24"/>
        </w:rPr>
        <w:t>transition seedlings from active growth to preparation for adverse conditions (</w:t>
      </w:r>
      <w:proofErr w:type="spellStart"/>
      <w:r w:rsidRPr="00FC4BB3">
        <w:rPr>
          <w:rFonts w:ascii="Times New Roman" w:hAnsi="Times New Roman"/>
          <w:color w:val="auto"/>
          <w:sz w:val="24"/>
          <w:szCs w:val="24"/>
        </w:rPr>
        <w:t>Grossnickle</w:t>
      </w:r>
      <w:proofErr w:type="spellEnd"/>
      <w:r w:rsidRPr="00FC4BB3">
        <w:rPr>
          <w:rFonts w:ascii="Times New Roman" w:hAnsi="Times New Roman"/>
          <w:color w:val="auto"/>
          <w:sz w:val="24"/>
          <w:szCs w:val="24"/>
        </w:rPr>
        <w:t xml:space="preserve"> et al. 2020).</w:t>
      </w:r>
    </w:p>
    <w:p w14:paraId="094D55DA" w14:textId="01CC0DAD" w:rsidR="00D42D1A" w:rsidRPr="00FC4BB3" w:rsidRDefault="00D42D1A" w:rsidP="00D42D1A">
      <w:pPr>
        <w:pStyle w:val="MDPI31text"/>
        <w:spacing w:line="360" w:lineRule="auto"/>
        <w:ind w:left="0" w:firstLine="567"/>
        <w:rPr>
          <w:rFonts w:ascii="Times New Roman" w:hAnsi="Times New Roman"/>
          <w:sz w:val="24"/>
          <w:szCs w:val="24"/>
        </w:rPr>
      </w:pPr>
      <w:r w:rsidRPr="00FC4BB3">
        <w:rPr>
          <w:rFonts w:ascii="Times New Roman" w:hAnsi="Times New Roman"/>
          <w:sz w:val="24"/>
          <w:szCs w:val="24"/>
        </w:rPr>
        <w:t xml:space="preserve">With the onset of winter, plastic trays with young plants located in greenhouses or hardening areas are removed from metal racks and placed on gravel or </w:t>
      </w:r>
      <w:proofErr w:type="spellStart"/>
      <w:r w:rsidRPr="00FC4BB3">
        <w:rPr>
          <w:rFonts w:ascii="Times New Roman" w:hAnsi="Times New Roman"/>
          <w:sz w:val="24"/>
          <w:szCs w:val="24"/>
        </w:rPr>
        <w:t>agrotextile</w:t>
      </w:r>
      <w:proofErr w:type="spellEnd"/>
      <w:r w:rsidRPr="00FC4BB3">
        <w:rPr>
          <w:rFonts w:ascii="Times New Roman" w:hAnsi="Times New Roman"/>
          <w:sz w:val="24"/>
          <w:szCs w:val="24"/>
        </w:rPr>
        <w:t xml:space="preserve">, which prevents weed growth. To help plants better survive the winter in trays, their edges are recommended to be protected using </w:t>
      </w:r>
      <w:proofErr w:type="spellStart"/>
      <w:r w:rsidRPr="00FC4BB3">
        <w:rPr>
          <w:rFonts w:ascii="Times New Roman" w:hAnsi="Times New Roman"/>
          <w:sz w:val="24"/>
          <w:szCs w:val="24"/>
        </w:rPr>
        <w:t>spunbond</w:t>
      </w:r>
      <w:proofErr w:type="spellEnd"/>
      <w:r w:rsidRPr="00FC4BB3">
        <w:rPr>
          <w:rFonts w:ascii="Times New Roman" w:hAnsi="Times New Roman"/>
          <w:sz w:val="24"/>
          <w:szCs w:val="24"/>
        </w:rPr>
        <w:t xml:space="preserve"> fabric, sand, or snow (</w:t>
      </w:r>
      <w:r w:rsidRPr="00FC4BB3">
        <w:rPr>
          <w:rFonts w:ascii="Times New Roman" w:hAnsi="Times New Roman"/>
          <w:color w:val="auto"/>
          <w:sz w:val="24"/>
          <w:szCs w:val="24"/>
        </w:rPr>
        <w:t>Beacham et al. 2019</w:t>
      </w:r>
      <w:r w:rsidRPr="00FC4BB3">
        <w:rPr>
          <w:rFonts w:ascii="Times New Roman" w:hAnsi="Times New Roman"/>
          <w:sz w:val="24"/>
          <w:szCs w:val="24"/>
        </w:rPr>
        <w:t>).</w:t>
      </w:r>
    </w:p>
    <w:p w14:paraId="1D7D1E09" w14:textId="124AE85C" w:rsidR="008E42EA" w:rsidRPr="00FC4BB3" w:rsidRDefault="00D42D1A" w:rsidP="00D42D1A">
      <w:pPr>
        <w:pStyle w:val="afd"/>
        <w:tabs>
          <w:tab w:val="left" w:pos="567"/>
        </w:tabs>
        <w:spacing w:line="360" w:lineRule="auto"/>
        <w:ind w:left="0" w:firstLine="567"/>
        <w:contextualSpacing w:val="0"/>
        <w:jc w:val="both"/>
      </w:pPr>
      <w:r w:rsidRPr="00FC4BB3">
        <w:t>During winter storage of young plants in greenhouses, it is crucial to monitor soil moisture levels. Since greenhouses with permanent plastic covers prevent snow from reaching the trays, temperature fluctuations and moisture deficiency may cause substrate drying. Therefore, after snowfall, plastic trays with seedlings should be covered with a layer of snow</w:t>
      </w:r>
      <w:r w:rsidR="008E42EA" w:rsidRPr="00FC4BB3">
        <w:t>.</w:t>
      </w:r>
    </w:p>
    <w:p w14:paraId="63F5F7FD" w14:textId="77777777" w:rsidR="008E42EA" w:rsidRPr="00FC4BB3" w:rsidRDefault="008E42EA" w:rsidP="00D42D1A">
      <w:pPr>
        <w:pStyle w:val="MDPI31text"/>
        <w:spacing w:line="360" w:lineRule="auto"/>
        <w:ind w:left="0" w:firstLine="567"/>
        <w:rPr>
          <w:rFonts w:ascii="Times New Roman" w:eastAsia="Batang" w:hAnsi="Times New Roman"/>
          <w:color w:val="FF0000"/>
          <w:sz w:val="24"/>
          <w:szCs w:val="24"/>
        </w:rPr>
      </w:pPr>
    </w:p>
    <w:p w14:paraId="5D1AE7BD" w14:textId="77777777" w:rsidR="009015ED" w:rsidRPr="00FC4BB3" w:rsidRDefault="009015ED" w:rsidP="009015ED">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FC4BB3">
        <w:rPr>
          <w:rFonts w:ascii="Times New Roman" w:hAnsi="Times New Roman"/>
          <w:color w:val="auto"/>
          <w:sz w:val="24"/>
          <w:szCs w:val="24"/>
        </w:rPr>
        <w:t>MATERIALS AND METHODS</w:t>
      </w:r>
    </w:p>
    <w:p w14:paraId="536B4A21" w14:textId="6871B9A6" w:rsidR="00E27359" w:rsidRPr="00FC4BB3" w:rsidRDefault="00E27359" w:rsidP="00E27359">
      <w:pPr>
        <w:spacing w:line="360" w:lineRule="auto"/>
        <w:ind w:firstLine="567"/>
      </w:pPr>
      <w:r w:rsidRPr="00FC4BB3">
        <w:t>The seedlings were raised under greenhouse conditions with LED lighting systems that controlled light spectra and photoperiod. The photo period was 16 hours of light and 8 hours of darkness. The photoperiod was shortened to 10–12 hours during the hardening period. LEDs with a wavelength in the red (640–660 nm), blue (430–460 nm), and far-red (720–740 nm) ranges were used. The ratio of red to far-red light was kept between 2.5 and 2.7 to mimic the forest canopy conditions.</w:t>
      </w:r>
    </w:p>
    <w:p w14:paraId="5607A7FB" w14:textId="77777777" w:rsidR="00E27359" w:rsidRPr="00FC4BB3" w:rsidRDefault="00E27359" w:rsidP="00E27359">
      <w:pPr>
        <w:spacing w:line="360" w:lineRule="auto"/>
        <w:ind w:firstLine="567"/>
      </w:pPr>
      <w:r w:rsidRPr="00FC4BB3">
        <w:t>The air temperature was kept at +22 to +25°C during the day and +18 to +20°C at night. Relative humidity was kept at 65–75%. During the hardening stage, the temperature was dropped to +10°C during the day and +2 to +5°C at night, and the humidity was set at around 70%.</w:t>
      </w:r>
    </w:p>
    <w:p w14:paraId="7EC439C5" w14:textId="77777777" w:rsidR="00E27359" w:rsidRPr="00FC4BB3" w:rsidRDefault="00E27359" w:rsidP="00E27359">
      <w:pPr>
        <w:spacing w:line="360" w:lineRule="auto"/>
        <w:ind w:firstLine="567"/>
      </w:pPr>
      <w:r w:rsidRPr="00FC4BB3">
        <w:lastRenderedPageBreak/>
        <w:t>Substrate pH was maintained between 4.0 and 5.0, which is optimum for Scots pine germination and initial growth. The pH was read daily with a digital pH meter. pH adjustments were made with ammonium sulfate and humic acids.</w:t>
      </w:r>
    </w:p>
    <w:p w14:paraId="48E948DB" w14:textId="77777777" w:rsidR="00E27359" w:rsidRPr="00FC4BB3" w:rsidRDefault="00E27359" w:rsidP="00E27359">
      <w:pPr>
        <w:spacing w:line="360" w:lineRule="auto"/>
        <w:ind w:firstLine="567"/>
      </w:pPr>
      <w:r w:rsidRPr="00FC4BB3">
        <w:t>LED light with controlled spectra was applied to induce growth and development. Red light induced root biomass development and photosynthesis, and blue light induced needle formation and compact habit. The spectral composition of the light during the hardening phase mimicked the autumn shortening of day length. The light intensity was 200 µmol m⁻² s⁻¹ for Scots pine and 150 µmol m⁻² s⁻¹ for Siberian spruce.</w:t>
      </w:r>
    </w:p>
    <w:p w14:paraId="389CD100" w14:textId="77777777" w:rsidR="00E27359" w:rsidRPr="00FC4BB3" w:rsidRDefault="00E27359" w:rsidP="00E27359">
      <w:pPr>
        <w:spacing w:line="360" w:lineRule="auto"/>
        <w:ind w:firstLine="567"/>
      </w:pPr>
      <w:r w:rsidRPr="00FC4BB3">
        <w:t>Mineral nutrition was supplied through a drip irrigation system with soluble chelated fertilizers. Nutrition was equivalent to three development stages:</w:t>
      </w:r>
    </w:p>
    <w:p w14:paraId="730AC5DD" w14:textId="77777777" w:rsidR="00E27359" w:rsidRPr="00FC4BB3" w:rsidRDefault="00E27359" w:rsidP="00E27359">
      <w:pPr>
        <w:spacing w:line="360" w:lineRule="auto"/>
        <w:ind w:firstLine="567"/>
      </w:pPr>
      <w:r w:rsidRPr="00FC4BB3">
        <w:t>•</w:t>
      </w:r>
      <w:r w:rsidRPr="00FC4BB3">
        <w:tab/>
        <w:t>Phase I (0–2 weeks): N – 0.006%, P – 0.012%, K – 0.012%, Ca – 0.009%;</w:t>
      </w:r>
    </w:p>
    <w:p w14:paraId="7F559974" w14:textId="77777777" w:rsidR="00E27359" w:rsidRPr="00FC4BB3" w:rsidRDefault="00E27359" w:rsidP="00E27359">
      <w:pPr>
        <w:spacing w:line="360" w:lineRule="auto"/>
        <w:ind w:firstLine="567"/>
      </w:pPr>
      <w:r w:rsidRPr="00FC4BB3">
        <w:t>•</w:t>
      </w:r>
      <w:r w:rsidRPr="00FC4BB3">
        <w:tab/>
        <w:t>Phase II (2–8 weeks): N – 0.016%, P – 0.007%, K – 0.016%, with a higher Mg, S, and Fe content;</w:t>
      </w:r>
    </w:p>
    <w:p w14:paraId="11ED062F" w14:textId="77777777" w:rsidR="00E27359" w:rsidRPr="00FC4BB3" w:rsidRDefault="00E27359" w:rsidP="00E27359">
      <w:pPr>
        <w:spacing w:line="360" w:lineRule="auto"/>
        <w:ind w:firstLine="567"/>
      </w:pPr>
      <w:r w:rsidRPr="00FC4BB3">
        <w:t>•</w:t>
      </w:r>
      <w:r w:rsidRPr="00FC4BB3">
        <w:tab/>
        <w:t>Phase III (8–12 weeks): nitrogen reduced to 0.006%, potassium raised to 0.016%, and prevalence of the nitrate form of nitrogen. Microelements, such as Fe, Zn, Mn, Cu, B, and Mo, were also provided in EDTA or DTPA forms. Fertilizer applications, based on substrate analyses, were done weekly.</w:t>
      </w:r>
    </w:p>
    <w:p w14:paraId="0FB0FA39" w14:textId="4D12E31C" w:rsidR="009015ED" w:rsidRPr="00FC4BB3" w:rsidRDefault="00E27359" w:rsidP="00E27359">
      <w:pPr>
        <w:pStyle w:val="afa"/>
        <w:spacing w:line="360" w:lineRule="auto"/>
        <w:ind w:firstLine="567"/>
        <w:rPr>
          <w:color w:val="auto"/>
        </w:rPr>
      </w:pPr>
      <w:r w:rsidRPr="00FC4BB3">
        <w:t xml:space="preserve">Hardening started after seedlings had attained the standard height (not less than 12 cm) and developed a terminal bud. Within 4–6 weeks, the following conditions were used: photoperiod shortened to 10–12 hours, temperature dropped to a level of +10°C in the daytime and +2 to +5°C at night, and nitrogen content reduced to 50–100 ppm, with a switch to the nitrate form. After hardening, trays with seedlings were put on gravel beds, covered with agrotextile and snow for warmth. Substrate humidity was checked </w:t>
      </w:r>
      <w:r w:rsidRPr="00FC4BB3">
        <w:rPr>
          <w:color w:val="auto"/>
        </w:rPr>
        <w:t>every 5 days</w:t>
      </w:r>
      <w:r w:rsidR="009015ED" w:rsidRPr="00FC4BB3">
        <w:rPr>
          <w:color w:val="auto"/>
        </w:rPr>
        <w:t>.</w:t>
      </w:r>
    </w:p>
    <w:p w14:paraId="617D5911" w14:textId="3875E606" w:rsidR="00397A3C" w:rsidRPr="00FC4BB3" w:rsidRDefault="00397A3C" w:rsidP="00E27359">
      <w:pPr>
        <w:pStyle w:val="afd"/>
        <w:tabs>
          <w:tab w:val="left" w:pos="567"/>
        </w:tabs>
        <w:suppressAutoHyphens/>
        <w:spacing w:line="360" w:lineRule="auto"/>
        <w:ind w:left="0"/>
        <w:rPr>
          <w:rFonts w:eastAsia="Batang"/>
          <w:color w:val="FF0000"/>
        </w:rPr>
      </w:pPr>
    </w:p>
    <w:p w14:paraId="20CEC3B5" w14:textId="35A9E07F" w:rsidR="00397A3C" w:rsidRPr="00FC4BB3" w:rsidRDefault="00397A3C"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FC4BB3">
        <w:rPr>
          <w:rFonts w:ascii="Times New Roman" w:hAnsi="Times New Roman"/>
          <w:color w:val="auto"/>
          <w:sz w:val="24"/>
          <w:szCs w:val="24"/>
        </w:rPr>
        <w:t>RESULTS</w:t>
      </w:r>
    </w:p>
    <w:p w14:paraId="11569A6A" w14:textId="36560DDE" w:rsidR="00221B80" w:rsidRPr="00FC4BB3" w:rsidRDefault="00221B80" w:rsidP="00221B80">
      <w:pPr>
        <w:spacing w:line="360" w:lineRule="auto"/>
        <w:ind w:firstLine="567"/>
        <w:rPr>
          <w:szCs w:val="24"/>
        </w:rPr>
      </w:pPr>
      <w:r w:rsidRPr="00FC4BB3">
        <w:rPr>
          <w:szCs w:val="24"/>
        </w:rPr>
        <w:t>Research and reproduction experience have demonstrated that young (1–2 years old) but large enough planting material is prospective for forest reconstruction, since it takes root well and more successfully withstands suppression on the part of herbaceous vegetation. Seedlings cultivated in greenhouses respond to these demands. When growing in open field conditions, the fluctuation of seedling height can be 25–30%. However, in vertical farms, height fluctuation does not exceed 5–10%, which suggests a high level of uniformity and technology efficiency.</w:t>
      </w:r>
    </w:p>
    <w:p w14:paraId="426E8942" w14:textId="77777777" w:rsidR="00221B80" w:rsidRPr="00FC4BB3" w:rsidRDefault="00221B80" w:rsidP="00221B80">
      <w:pPr>
        <w:spacing w:line="360" w:lineRule="auto"/>
        <w:ind w:firstLine="567"/>
        <w:rPr>
          <w:szCs w:val="24"/>
        </w:rPr>
      </w:pPr>
      <w:r w:rsidRPr="00FC4BB3">
        <w:rPr>
          <w:szCs w:val="24"/>
        </w:rPr>
        <w:t xml:space="preserve">According to calculations, the influence of the physical properties of the substrate on plant growth is distributed as follows: 32%—air regime, 29%—water regime, 22%—substrate </w:t>
      </w:r>
      <w:r w:rsidRPr="00FC4BB3">
        <w:rPr>
          <w:szCs w:val="24"/>
        </w:rPr>
        <w:lastRenderedPageBreak/>
        <w:t>temperature, and 9%—substrate structure. Growing plants in containers favors the development of conifers due to greater temperature differentials and better supply of nutrients and water, which requires enhanced aeration. In addition, it is necessary to urgently replace carbon dioxide released during respiration with oxygen from the air.</w:t>
      </w:r>
    </w:p>
    <w:p w14:paraId="25947E06" w14:textId="77777777" w:rsidR="00221B80" w:rsidRPr="00FC4BB3" w:rsidRDefault="00221B80" w:rsidP="00221B80">
      <w:pPr>
        <w:spacing w:line="360" w:lineRule="auto"/>
        <w:ind w:firstLine="567"/>
        <w:rPr>
          <w:szCs w:val="24"/>
        </w:rPr>
      </w:pPr>
      <w:r w:rsidRPr="00FC4BB3">
        <w:rPr>
          <w:szCs w:val="24"/>
        </w:rPr>
        <w:t>An increase in the bulk density of the substrate has consequences on the nutrient content in Scots pine seedlings, causing a reduction in nitrogen, phosphorus, potassium, and sulfur concentrations, especially in shoots and roots. High volumetric substrate densities ranging from 0.308 to 0.342 g·cm³ (dry bulk density 0.123–1.137 g·cm³) caused visible reductions in the height of seedlings, dry matter, and the length of the fine roots, which are defined by diameters below 0.05 mm. Impaired nutrient uptake due to high substrate density may be responsible for the noted worsening of the biometric traits examined in these seedlings. The optimal bulk density for the culture of Scots pine is between 0.258 and 0.292 g·cm³.</w:t>
      </w:r>
    </w:p>
    <w:p w14:paraId="4CB365E0" w14:textId="6AA00B98" w:rsidR="00221B80" w:rsidRPr="00FC4BB3" w:rsidRDefault="00221B80" w:rsidP="00221B80">
      <w:pPr>
        <w:spacing w:line="360" w:lineRule="auto"/>
        <w:ind w:firstLine="567"/>
        <w:rPr>
          <w:szCs w:val="24"/>
        </w:rPr>
      </w:pPr>
      <w:r w:rsidRPr="00FC4BB3">
        <w:rPr>
          <w:szCs w:val="24"/>
        </w:rPr>
        <w:t>Red light (RL) stimulated needle biomass 2.6-fold, while blue light (BL) caused a 2.1-fold increase in needle weight compared with white fluorescent light (WFL), which was used as the control. Also, BL induced elongation of the hypocotyl, while plants under RL had shorter but larger morphological features. Moreover, root mass under RL was 3.8 times higher than under WFL and 2.7 times higher compared to the other experimental conditions (see Fig</w:t>
      </w:r>
      <w:r w:rsidR="0054595D" w:rsidRPr="00FC4BB3">
        <w:rPr>
          <w:szCs w:val="24"/>
        </w:rPr>
        <w:t>.</w:t>
      </w:r>
      <w:r w:rsidRPr="00FC4BB3">
        <w:rPr>
          <w:szCs w:val="24"/>
        </w:rPr>
        <w:t xml:space="preserve"> 5). RL induced intensive development of the root system and increased the number of first- and second-order lateral roots. Experiments have shown that a photo period of under 13 hours acts as a cue for the seedlings to start preparing for winter. A 16:8 light:dark cycle creates conditions favorable for growth. A short photo period, on the other hand, induces dormancy, with a critical length being between 12 and 13 hours. Scots pine achieves optimal conditions for photosynthesis and growth at an illumination level of 200 µmol m⁻² s⁻¹, while Siberian fir seedlings require about 150 µmol m⁻² s⁻¹.</w:t>
      </w:r>
    </w:p>
    <w:p w14:paraId="195816F9" w14:textId="77777777" w:rsidR="00221B80" w:rsidRPr="00FC4BB3" w:rsidRDefault="00221B80" w:rsidP="00221B80">
      <w:pPr>
        <w:spacing w:line="360" w:lineRule="auto"/>
        <w:ind w:firstLine="567"/>
        <w:rPr>
          <w:szCs w:val="24"/>
        </w:rPr>
      </w:pPr>
      <w:r w:rsidRPr="00FC4BB3">
        <w:rPr>
          <w:szCs w:val="24"/>
        </w:rPr>
        <w:t>Plant morphology is affected by the red to far-red light ratio (R:FR). For conifer seedlings, a ratio of 2.5–2.7 is optimal and closely resembles natural conditions. The seedling form is influenced by the combination of red and blue light.</w:t>
      </w:r>
    </w:p>
    <w:p w14:paraId="637604B4" w14:textId="6F782876" w:rsidR="00221B80" w:rsidRPr="00FC4BB3" w:rsidRDefault="00221B80" w:rsidP="00221B80">
      <w:pPr>
        <w:spacing w:line="360" w:lineRule="auto"/>
        <w:ind w:firstLine="567"/>
        <w:rPr>
          <w:color w:val="auto"/>
          <w:szCs w:val="24"/>
        </w:rPr>
      </w:pPr>
      <w:r w:rsidRPr="00FC4BB3">
        <w:rPr>
          <w:szCs w:val="24"/>
        </w:rPr>
        <w:t xml:space="preserve">Nutrition enhancement using organic fertilizers is supported by a steady supply of nitrogen in the form of ammonium and nitrate, especially in boreal conditions where high soil acidity and low temperatures inhibit the nitrogen mineralization process. Further, it has been seen that plant nutrition regulation based on organic nitrogen has the potential to alleviate environmental risks, such as nitrogen leaching, while also promoting nitrogen uptake efficiency and supporting plant nutrition and growth. During the hardening period, there is a progression </w:t>
      </w:r>
      <w:r w:rsidRPr="00FC4BB3">
        <w:rPr>
          <w:szCs w:val="24"/>
        </w:rPr>
        <w:lastRenderedPageBreak/>
        <w:t>towards nitrate nitrogen along with a decrease in overall nitrogen and a gradual drop in temperature (</w:t>
      </w:r>
      <w:r w:rsidRPr="00FC4BB3">
        <w:rPr>
          <w:color w:val="auto"/>
          <w:szCs w:val="24"/>
        </w:rPr>
        <w:t>Sheridan et al. 2019).</w:t>
      </w:r>
    </w:p>
    <w:p w14:paraId="419F5AB6" w14:textId="67782D19" w:rsidR="00221B80" w:rsidRPr="00FC4BB3" w:rsidRDefault="00221B80" w:rsidP="00221B80">
      <w:pPr>
        <w:spacing w:line="360" w:lineRule="auto"/>
        <w:ind w:firstLine="567"/>
        <w:rPr>
          <w:szCs w:val="24"/>
        </w:rPr>
      </w:pPr>
      <w:r w:rsidRPr="00FC4BB3">
        <w:rPr>
          <w:szCs w:val="24"/>
        </w:rPr>
        <w:t>A critical phase in conifer seedling cultivation, defining their post-transplant survival and resistance to abiotic stress, is timely preparation for dormancy. One of the main physiological change triggers is the reduction of ambient temperature. Temperature decrease stimulates tissue lignification (woody hardening of the shoots), initiates cell differentiation processes, and inhibits vegetative growth, enabling the plant to reassign resources to the formation of terminal and lateral buds necessary for spring regrowth. The reduction of nighttime temperature is especially important. This process consists of two phases: I—temperatures somewhat below optimal, and II—temperatures somewhat above 0°C, particularly at night. Such conditions stimulate cold tolerance and mechanical damage resistance. The efficiency of hardening (lignification and frost resistance increase) is optimized by strictly adhering to temperature regimes during both phases. From a practical production perspective, however, gradual lowering of temperatures in vertical farms, simulating natural autumn cooling in outdoor conditions, can be warranted. This decreases energy consumption and facilitates natural seedling adaptation (</w:t>
      </w:r>
      <w:r w:rsidR="00E14822" w:rsidRPr="00FC4BB3">
        <w:rPr>
          <w:color w:val="auto"/>
          <w:szCs w:val="24"/>
        </w:rPr>
        <w:t>Grossnickle et al.</w:t>
      </w:r>
      <w:r w:rsidRPr="00FC4BB3">
        <w:rPr>
          <w:color w:val="auto"/>
          <w:szCs w:val="24"/>
        </w:rPr>
        <w:t xml:space="preserve"> 2020</w:t>
      </w:r>
      <w:r w:rsidRPr="00FC4BB3">
        <w:rPr>
          <w:szCs w:val="24"/>
        </w:rPr>
        <w:t>).</w:t>
      </w:r>
    </w:p>
    <w:p w14:paraId="5DBDBFF6" w14:textId="23E9E902" w:rsidR="00397A3C" w:rsidRPr="00FC4BB3" w:rsidRDefault="00221B80" w:rsidP="00221B80">
      <w:pPr>
        <w:spacing w:line="360" w:lineRule="auto"/>
        <w:ind w:firstLine="567"/>
        <w:rPr>
          <w:color w:val="auto"/>
          <w:szCs w:val="24"/>
        </w:rPr>
      </w:pPr>
      <w:r w:rsidRPr="00FC4BB3">
        <w:rPr>
          <w:szCs w:val="24"/>
        </w:rPr>
        <w:t>In addition to temperature stimulation, there are changes in mineral nutrition, for example, the application of combined forms of nitrogen (amide NH₂, ammonium NH₄⁺, and nitrate NO₃⁻) for providing intense growth and accumulation of biomass. But during hardening, the complete transfer to nitrate nitrogen slows down metabolic processes and prepares plants for dormancy. The reason is that nitrate nitrogen is not a stimulator of growth like ammonium or amide forms but provides sufficient nitrogen nutrition. Experiments showed that both lack and surplus of mineral nutrients have a harmful influence on plant resistance to low temperatures. The application of fertilizers with lowered nitrogen content (50–100 ppm) to conifer seedlings promotes the reduction of frost damage risk (</w:t>
      </w:r>
      <w:r w:rsidR="00536AA4" w:rsidRPr="00FC4BB3">
        <w:rPr>
          <w:color w:val="auto"/>
          <w:szCs w:val="24"/>
        </w:rPr>
        <w:t>Sheridan et al.</w:t>
      </w:r>
      <w:r w:rsidRPr="00FC4BB3">
        <w:rPr>
          <w:color w:val="auto"/>
          <w:szCs w:val="24"/>
        </w:rPr>
        <w:t xml:space="preserve"> 2019</w:t>
      </w:r>
      <w:r w:rsidRPr="00FC4BB3">
        <w:rPr>
          <w:szCs w:val="24"/>
        </w:rPr>
        <w:t xml:space="preserve">). Vertical farms with controlled environments allow for the year-round production of conifer seedlings with standardized quality, particularly in areas with limited growing </w:t>
      </w:r>
      <w:r w:rsidRPr="00FC4BB3">
        <w:rPr>
          <w:color w:val="auto"/>
          <w:szCs w:val="24"/>
        </w:rPr>
        <w:t>seasons</w:t>
      </w:r>
      <w:r w:rsidR="00397A3C" w:rsidRPr="00FC4BB3">
        <w:rPr>
          <w:color w:val="auto"/>
          <w:szCs w:val="24"/>
        </w:rPr>
        <w:t>.</w:t>
      </w:r>
    </w:p>
    <w:p w14:paraId="537A1616" w14:textId="77777777" w:rsidR="00397A3C" w:rsidRPr="00FC4BB3" w:rsidRDefault="00397A3C" w:rsidP="00221B80">
      <w:pPr>
        <w:pStyle w:val="MDPI31text"/>
        <w:spacing w:line="360" w:lineRule="auto"/>
        <w:ind w:left="0" w:firstLine="567"/>
        <w:rPr>
          <w:rFonts w:ascii="Times New Roman" w:hAnsi="Times New Roman"/>
          <w:color w:val="FF0000"/>
          <w:sz w:val="24"/>
          <w:szCs w:val="24"/>
        </w:rPr>
      </w:pPr>
    </w:p>
    <w:p w14:paraId="0DAE1C0B" w14:textId="52D61458" w:rsidR="00397A3C" w:rsidRPr="00FC4BB3" w:rsidRDefault="00B74863" w:rsidP="00AE5B70">
      <w:pPr>
        <w:pStyle w:val="MDPI31text"/>
        <w:numPr>
          <w:ilvl w:val="0"/>
          <w:numId w:val="30"/>
        </w:numPr>
        <w:tabs>
          <w:tab w:val="left" w:pos="567"/>
        </w:tabs>
        <w:spacing w:line="360" w:lineRule="auto"/>
        <w:ind w:left="0" w:firstLine="0"/>
        <w:rPr>
          <w:rFonts w:ascii="Times New Roman" w:hAnsi="Times New Roman"/>
          <w:b/>
          <w:color w:val="auto"/>
          <w:sz w:val="24"/>
          <w:szCs w:val="24"/>
        </w:rPr>
      </w:pPr>
      <w:r w:rsidRPr="00FC4BB3">
        <w:rPr>
          <w:rFonts w:ascii="Times New Roman" w:hAnsi="Times New Roman"/>
          <w:b/>
          <w:color w:val="auto"/>
          <w:sz w:val="24"/>
          <w:szCs w:val="24"/>
        </w:rPr>
        <w:t>DISCUSSION</w:t>
      </w:r>
    </w:p>
    <w:p w14:paraId="63B5A6F7" w14:textId="772D24A3" w:rsidR="002A672C" w:rsidRPr="00FC4BB3" w:rsidRDefault="002A672C" w:rsidP="002A672C">
      <w:pPr>
        <w:spacing w:line="360" w:lineRule="auto"/>
        <w:ind w:firstLine="567"/>
        <w:rPr>
          <w:szCs w:val="24"/>
        </w:rPr>
      </w:pPr>
      <w:r w:rsidRPr="00FC4BB3">
        <w:rPr>
          <w:szCs w:val="24"/>
        </w:rPr>
        <w:t>The results of this study corroborate previously published findings that the use of vertical cultivation technologies for conifer seedlings under controlled conditions ensures high-quality planting material as well as improved resistance to abiotic stresses. One of the key factors is the optimization of the spectral composition of light, which significantly influences plant morphogenesis and physiology.</w:t>
      </w:r>
    </w:p>
    <w:p w14:paraId="4AD34379" w14:textId="77777777" w:rsidR="002A672C" w:rsidRPr="00FC4BB3" w:rsidRDefault="002A672C" w:rsidP="002A672C">
      <w:pPr>
        <w:spacing w:line="360" w:lineRule="auto"/>
        <w:ind w:firstLine="567"/>
        <w:rPr>
          <w:szCs w:val="24"/>
        </w:rPr>
      </w:pPr>
      <w:r w:rsidRPr="00FC4BB3">
        <w:rPr>
          <w:szCs w:val="24"/>
        </w:rPr>
        <w:lastRenderedPageBreak/>
        <w:t xml:space="preserve">According to Fedotov and </w:t>
      </w:r>
      <w:r w:rsidRPr="00FC4BB3">
        <w:rPr>
          <w:color w:val="auto"/>
          <w:szCs w:val="24"/>
        </w:rPr>
        <w:t xml:space="preserve">Zhigunov (2019) and </w:t>
      </w:r>
      <w:r w:rsidRPr="00FC4BB3">
        <w:rPr>
          <w:szCs w:val="24"/>
        </w:rPr>
        <w:t xml:space="preserve">Shavnin et </w:t>
      </w:r>
      <w:r w:rsidRPr="00FC4BB3">
        <w:rPr>
          <w:color w:val="auto"/>
          <w:szCs w:val="24"/>
        </w:rPr>
        <w:t xml:space="preserve">al. (2021), an </w:t>
      </w:r>
      <w:r w:rsidRPr="00FC4BB3">
        <w:rPr>
          <w:szCs w:val="24"/>
        </w:rPr>
        <w:t xml:space="preserve">optimal red to far-red light ratio (R:FR = 2.5–2.7), mimicking conditions under a natural forest canopy, promotes the formation of a compact habitus, stimulates photosynthetic activity, and enhances lateral root development in conifer seedlings. These findings align with observations by Dubrovina and </w:t>
      </w:r>
      <w:r w:rsidRPr="00FC4BB3">
        <w:rPr>
          <w:color w:val="auto"/>
          <w:szCs w:val="24"/>
        </w:rPr>
        <w:t xml:space="preserve">Kiselev (2019), </w:t>
      </w:r>
      <w:r w:rsidRPr="00FC4BB3">
        <w:rPr>
          <w:szCs w:val="24"/>
        </w:rPr>
        <w:t xml:space="preserve">who demonstrated the effects of specific spectral regions (red light [RL] and blue light [BL]) on needle mass, hypocotyl elongation, and root system development. It was found that red light increases needle biomass and stimulates root formation, whereas blue light contributes to the development of a more compact and mechanically robust aboveground part. Similar patterns were also described in a recent study by Utelbayev </w:t>
      </w:r>
      <w:r w:rsidRPr="00FC4BB3">
        <w:rPr>
          <w:color w:val="auto"/>
          <w:szCs w:val="24"/>
        </w:rPr>
        <w:t xml:space="preserve">et al. (2025), </w:t>
      </w:r>
      <w:r w:rsidRPr="00FC4BB3">
        <w:rPr>
          <w:szCs w:val="24"/>
        </w:rPr>
        <w:t>confirming the possibility of precise morphogenetic regulation using LED light sources in controlled environments.</w:t>
      </w:r>
    </w:p>
    <w:p w14:paraId="25D04875" w14:textId="239C566E" w:rsidR="002A672C" w:rsidRPr="00FC4BB3" w:rsidRDefault="002A672C" w:rsidP="002A672C">
      <w:pPr>
        <w:spacing w:line="360" w:lineRule="auto"/>
        <w:ind w:firstLine="567"/>
        <w:rPr>
          <w:color w:val="auto"/>
          <w:szCs w:val="24"/>
        </w:rPr>
      </w:pPr>
      <w:r w:rsidRPr="00FC4BB3">
        <w:rPr>
          <w:szCs w:val="24"/>
        </w:rPr>
        <w:t>Grossnickle and MacDonald (20</w:t>
      </w:r>
      <w:r w:rsidR="00E14822" w:rsidRPr="00FC4BB3">
        <w:rPr>
          <w:szCs w:val="24"/>
        </w:rPr>
        <w:t>18</w:t>
      </w:r>
      <w:r w:rsidRPr="00FC4BB3">
        <w:rPr>
          <w:szCs w:val="24"/>
        </w:rPr>
        <w:t xml:space="preserve">) highlight the critical role of photoperiod and temperature signals in inducing dormancy in seedlings. The reduction of day length to 10–12 hours and lowering of night temperatures to +2 to +5 °C trigger physiological restructuring processes, including tissue lignification, bud formation, and accumulation of osmotically active substances. Our data confirm that nighttime temperatures have a more pronounced effect on the adaptation of Siberian fir and Scots pine, consistent with the phenomenological observations of Grossnickle and </w:t>
      </w:r>
      <w:r w:rsidRPr="00FC4BB3">
        <w:rPr>
          <w:color w:val="auto"/>
          <w:szCs w:val="24"/>
        </w:rPr>
        <w:t>MacDonald (20</w:t>
      </w:r>
      <w:r w:rsidR="00E14822" w:rsidRPr="00FC4BB3">
        <w:rPr>
          <w:color w:val="auto"/>
          <w:szCs w:val="24"/>
        </w:rPr>
        <w:t>18</w:t>
      </w:r>
      <w:r w:rsidRPr="00FC4BB3">
        <w:rPr>
          <w:color w:val="auto"/>
          <w:szCs w:val="24"/>
        </w:rPr>
        <w:t>).</w:t>
      </w:r>
    </w:p>
    <w:p w14:paraId="42787FA1" w14:textId="70D30FAA" w:rsidR="002A672C" w:rsidRPr="00FC4BB3" w:rsidRDefault="002A672C" w:rsidP="002A672C">
      <w:pPr>
        <w:spacing w:line="360" w:lineRule="auto"/>
        <w:ind w:firstLine="567"/>
        <w:rPr>
          <w:szCs w:val="24"/>
        </w:rPr>
      </w:pPr>
      <w:r w:rsidRPr="00FC4BB3">
        <w:rPr>
          <w:szCs w:val="24"/>
        </w:rPr>
        <w:t>Nutritional regimes also significantly affect frost resistance and physiological status during the hardening phase. Balanced nitrogen nutrition predominated by amide and ammonium forms is used at early stages, while the dormancy phase favors nitrate nitrogen, which reduces vegetative activity and supports metabolic adjustments necessary for winter survival (</w:t>
      </w:r>
      <w:r w:rsidR="00B20ED0" w:rsidRPr="00FC4BB3">
        <w:rPr>
          <w:color w:val="auto"/>
          <w:szCs w:val="24"/>
        </w:rPr>
        <w:t>Valletta et al.</w:t>
      </w:r>
      <w:r w:rsidRPr="00FC4BB3">
        <w:rPr>
          <w:color w:val="auto"/>
          <w:szCs w:val="24"/>
        </w:rPr>
        <w:t xml:space="preserve"> 2021; </w:t>
      </w:r>
      <w:r w:rsidR="00536AA4" w:rsidRPr="00FC4BB3">
        <w:rPr>
          <w:color w:val="auto"/>
          <w:szCs w:val="24"/>
        </w:rPr>
        <w:t>Sheridan et al.</w:t>
      </w:r>
      <w:r w:rsidRPr="00FC4BB3">
        <w:rPr>
          <w:color w:val="auto"/>
          <w:szCs w:val="24"/>
        </w:rPr>
        <w:t xml:space="preserve"> 2019</w:t>
      </w:r>
      <w:r w:rsidRPr="00FC4BB3">
        <w:rPr>
          <w:szCs w:val="24"/>
        </w:rPr>
        <w:t xml:space="preserve">). Specifically, Sheridan </w:t>
      </w:r>
      <w:r w:rsidRPr="00FC4BB3">
        <w:rPr>
          <w:color w:val="auto"/>
          <w:szCs w:val="24"/>
        </w:rPr>
        <w:t xml:space="preserve">et al. (2019) notes </w:t>
      </w:r>
      <w:r w:rsidRPr="00FC4BB3">
        <w:rPr>
          <w:szCs w:val="24"/>
        </w:rPr>
        <w:t>that reducing nitrogen concentration to 50–100 ppm during hardening lowers the risk of frost damage by preventing excessive growth. Our experimental results support these findings.</w:t>
      </w:r>
    </w:p>
    <w:p w14:paraId="23C51623" w14:textId="77777777" w:rsidR="002A672C" w:rsidRPr="00FC4BB3" w:rsidRDefault="002A672C" w:rsidP="002A672C">
      <w:pPr>
        <w:spacing w:line="360" w:lineRule="auto"/>
        <w:ind w:firstLine="567"/>
        <w:rPr>
          <w:szCs w:val="24"/>
        </w:rPr>
      </w:pPr>
      <w:r w:rsidRPr="00FC4BB3">
        <w:rPr>
          <w:szCs w:val="24"/>
        </w:rPr>
        <w:t xml:space="preserve">Physical properties of the substrate, especially bulk density, also play a vital role in nutrient uptake and root development. </w:t>
      </w:r>
      <w:r w:rsidRPr="00FC4BB3">
        <w:rPr>
          <w:color w:val="auto"/>
          <w:szCs w:val="24"/>
        </w:rPr>
        <w:t xml:space="preserve">Banach et al. (2020) demonstrated </w:t>
      </w:r>
      <w:r w:rsidRPr="00FC4BB3">
        <w:rPr>
          <w:szCs w:val="24"/>
        </w:rPr>
        <w:t>that increasing the bulk density of peat substrate to 0.308–0.342 g·cm³ decreases availability of N, P, K, and S, leading to reduced height and root mass. Conversely, a range of 0.258–0.292 g·cm³ is recognized as optimal for growing Scots pine seedlings in 120 cm³ containers. These values ensure sufficient porosity, aeration, and water retention capacity conducive to active nutrient assimilation.</w:t>
      </w:r>
    </w:p>
    <w:p w14:paraId="5AEEFD9A" w14:textId="24B0BC74" w:rsidR="002A672C" w:rsidRPr="00FC4BB3" w:rsidRDefault="002A672C" w:rsidP="002A672C">
      <w:pPr>
        <w:spacing w:line="360" w:lineRule="auto"/>
        <w:ind w:firstLine="567"/>
        <w:rPr>
          <w:szCs w:val="24"/>
        </w:rPr>
      </w:pPr>
      <w:r w:rsidRPr="00FC4BB3">
        <w:rPr>
          <w:szCs w:val="24"/>
        </w:rPr>
        <w:t xml:space="preserve">Nutrition and lighting are closely linked with phenological development stages of seedlings. A clear sequence was observed: from seed germination and cotyledon unfolding to </w:t>
      </w:r>
      <w:r w:rsidRPr="00FC4BB3">
        <w:rPr>
          <w:szCs w:val="24"/>
        </w:rPr>
        <w:lastRenderedPageBreak/>
        <w:t>bud differentiation and entry into dormancy. At each stage, coordinated mineral nutrition with optimized macro- and micronutrient ratios is critical. Timely adjustment of nitrogen forms—from readily assimilable to more stable nitrate compounds (</w:t>
      </w:r>
      <w:r w:rsidR="00B20ED0" w:rsidRPr="00FC4BB3">
        <w:rPr>
          <w:color w:val="auto"/>
          <w:szCs w:val="24"/>
        </w:rPr>
        <w:t>Valletta et al.</w:t>
      </w:r>
      <w:r w:rsidRPr="00FC4BB3">
        <w:rPr>
          <w:color w:val="auto"/>
          <w:szCs w:val="24"/>
        </w:rPr>
        <w:t xml:space="preserve"> 2021</w:t>
      </w:r>
      <w:r w:rsidRPr="00FC4BB3">
        <w:rPr>
          <w:szCs w:val="24"/>
        </w:rPr>
        <w:t>)—enhances the plants’ adaptive potential and stress resistance.</w:t>
      </w:r>
    </w:p>
    <w:p w14:paraId="1D83E253" w14:textId="415844E1" w:rsidR="002A672C" w:rsidRPr="00FC4BB3" w:rsidRDefault="002A672C" w:rsidP="002A672C">
      <w:pPr>
        <w:spacing w:line="360" w:lineRule="auto"/>
        <w:ind w:firstLine="567"/>
        <w:rPr>
          <w:szCs w:val="24"/>
        </w:rPr>
      </w:pPr>
      <w:r w:rsidRPr="00FC4BB3">
        <w:rPr>
          <w:szCs w:val="24"/>
        </w:rPr>
        <w:t>Particularly promising is the implementation of modern vertical farm technologies with fully controlled cultivation parameters, including spectral light composition and climate conditions. These innovations can significantly increase the yield of standardized seedlings per unit area and allow year-round production, which is especially relevant for regions with short growing seasons and pronounced seasonal variations (</w:t>
      </w:r>
      <w:r w:rsidRPr="00FC4BB3">
        <w:rPr>
          <w:color w:val="auto"/>
          <w:szCs w:val="24"/>
        </w:rPr>
        <w:t>Domnina et al. 2018</w:t>
      </w:r>
      <w:r w:rsidR="0059531C" w:rsidRPr="00FC4BB3">
        <w:rPr>
          <w:color w:val="auto"/>
          <w:szCs w:val="24"/>
        </w:rPr>
        <w:t>; Kozlova 2021</w:t>
      </w:r>
      <w:r w:rsidRPr="00FC4BB3">
        <w:rPr>
          <w:szCs w:val="24"/>
        </w:rPr>
        <w:t>). The use of LED lighting in such systems provides precise growth condition adjustments, substantially improving planting material quality and uniformity, reducing cultivation time, and lessening dependency on natural factors.</w:t>
      </w:r>
    </w:p>
    <w:p w14:paraId="678E5AC6" w14:textId="79E80B92" w:rsidR="002A672C" w:rsidRPr="00FC4BB3" w:rsidRDefault="002A672C" w:rsidP="002A672C">
      <w:pPr>
        <w:spacing w:line="360" w:lineRule="auto"/>
        <w:ind w:firstLine="567"/>
        <w:rPr>
          <w:szCs w:val="24"/>
        </w:rPr>
      </w:pPr>
      <w:r w:rsidRPr="00FC4BB3">
        <w:rPr>
          <w:szCs w:val="24"/>
        </w:rPr>
        <w:t>Furthermore, creating a favorable microclimate is crucial for successful seedling storage and transport during the autumn-winter period. Measures such as placing trays on gravel beds, mulching with snow, and protecting from weed growth are important (Beacham et al. 2019). Appropriate fertilizer dosing during this period, as noted by Atzori et al. (2021), reduces the risk of excessive growth, enhances resistance to mechanical damage, and ensures seedling viability until planting.</w:t>
      </w:r>
    </w:p>
    <w:p w14:paraId="021CFA65" w14:textId="5B3D48DA" w:rsidR="00397A3C" w:rsidRPr="00FC4BB3" w:rsidRDefault="002A672C" w:rsidP="002A672C">
      <w:pPr>
        <w:pStyle w:val="afa"/>
        <w:spacing w:line="360" w:lineRule="auto"/>
        <w:ind w:firstLine="567"/>
        <w:rPr>
          <w:color w:val="auto"/>
        </w:rPr>
      </w:pPr>
      <w:r w:rsidRPr="00FC4BB3">
        <w:t xml:space="preserve">Overall, the results align fully with current scientific understanding and confirm the high efficiency of integrating spectral lighting, nutritional regimes, hardening, and microclimate control within vertical cultivation technologies for conifer </w:t>
      </w:r>
      <w:r w:rsidRPr="00FC4BB3">
        <w:rPr>
          <w:color w:val="auto"/>
        </w:rPr>
        <w:t>seedlings</w:t>
      </w:r>
      <w:r w:rsidR="00397A3C" w:rsidRPr="00FC4BB3">
        <w:rPr>
          <w:color w:val="auto"/>
        </w:rPr>
        <w:t>.</w:t>
      </w:r>
    </w:p>
    <w:p w14:paraId="2CBEB07C" w14:textId="77777777" w:rsidR="00397A3C" w:rsidRPr="00FC4BB3" w:rsidRDefault="00397A3C" w:rsidP="002A672C">
      <w:pPr>
        <w:pStyle w:val="MDPI31text"/>
        <w:spacing w:line="360" w:lineRule="auto"/>
        <w:ind w:left="0" w:firstLine="567"/>
        <w:rPr>
          <w:rFonts w:ascii="Times New Roman" w:hAnsi="Times New Roman"/>
          <w:color w:val="FF0000"/>
          <w:sz w:val="24"/>
          <w:szCs w:val="24"/>
        </w:rPr>
      </w:pPr>
    </w:p>
    <w:p w14:paraId="2A855CF1" w14:textId="4E548E21" w:rsidR="00397A3C" w:rsidRPr="00FC4BB3" w:rsidRDefault="008D1C74"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lang w:val="ru-RU"/>
        </w:rPr>
      </w:pPr>
      <w:r w:rsidRPr="00FC4BB3">
        <w:rPr>
          <w:rFonts w:ascii="Times New Roman" w:hAnsi="Times New Roman"/>
          <w:color w:val="auto"/>
          <w:sz w:val="24"/>
          <w:szCs w:val="24"/>
        </w:rPr>
        <w:t>CONCLUSION</w:t>
      </w:r>
    </w:p>
    <w:p w14:paraId="3A425B3F" w14:textId="7940EE6A" w:rsidR="00397A3C" w:rsidRPr="00FC4BB3" w:rsidRDefault="002A672C" w:rsidP="002A672C">
      <w:pPr>
        <w:pStyle w:val="afa"/>
        <w:spacing w:line="360" w:lineRule="auto"/>
        <w:ind w:firstLine="567"/>
        <w:rPr>
          <w:color w:val="auto"/>
        </w:rPr>
      </w:pPr>
      <w:r w:rsidRPr="00FC4BB3">
        <w:t xml:space="preserve">The research carried out proved that the application of vertical farming technology to conifer seedlings in a completely controlled environment greatly enhances the quality of planting stock. The optimization of the spectral composition of illumination, substrate pH, physicochemical characteristics of the substrate, and mineral nutrition provides uniform growth, high survival rates, and increased stress resistance of seedlings. Hardening, implemented through controlled photoperiod and temperature regimens, induces adaptation mechanisms enhancing the winter hardiness of plants. Therefore, vertical farms are an efficient way of year-round cultivation of standardized seedlings, particularly in areas with short vegetation periods and high </w:t>
      </w:r>
      <w:r w:rsidRPr="00FC4BB3">
        <w:rPr>
          <w:color w:val="auto"/>
        </w:rPr>
        <w:t>seasonality</w:t>
      </w:r>
      <w:r w:rsidR="00397A3C" w:rsidRPr="00FC4BB3">
        <w:rPr>
          <w:color w:val="auto"/>
        </w:rPr>
        <w:t>.</w:t>
      </w:r>
    </w:p>
    <w:p w14:paraId="1EB34533" w14:textId="77777777" w:rsidR="00397A3C" w:rsidRPr="00FC4BB3" w:rsidRDefault="00397A3C" w:rsidP="002A672C">
      <w:pPr>
        <w:pStyle w:val="MDPI31text"/>
        <w:spacing w:line="360" w:lineRule="auto"/>
        <w:ind w:left="0" w:firstLine="567"/>
        <w:rPr>
          <w:rFonts w:ascii="Times New Roman" w:hAnsi="Times New Roman"/>
          <w:color w:val="FF0000"/>
          <w:sz w:val="24"/>
          <w:szCs w:val="24"/>
        </w:rPr>
      </w:pPr>
    </w:p>
    <w:p w14:paraId="5E7269AD" w14:textId="0F469EDA" w:rsidR="00397A3C" w:rsidRPr="00FC4BB3" w:rsidRDefault="00397A3C" w:rsidP="00320A9D">
      <w:pPr>
        <w:pStyle w:val="MDPI31text"/>
        <w:spacing w:line="360" w:lineRule="auto"/>
        <w:ind w:left="0" w:firstLine="0"/>
        <w:rPr>
          <w:rFonts w:ascii="Times New Roman" w:hAnsi="Times New Roman"/>
          <w:color w:val="FF0000"/>
          <w:sz w:val="24"/>
          <w:szCs w:val="24"/>
        </w:rPr>
      </w:pPr>
      <w:r w:rsidRPr="00FC4BB3">
        <w:rPr>
          <w:rFonts w:ascii="Times New Roman" w:hAnsi="Times New Roman"/>
          <w:b/>
          <w:bCs/>
          <w:color w:val="FF0000"/>
          <w:sz w:val="24"/>
          <w:szCs w:val="24"/>
        </w:rPr>
        <w:lastRenderedPageBreak/>
        <w:t>F</w:t>
      </w:r>
      <w:r w:rsidR="00F4777F" w:rsidRPr="00FC4BB3">
        <w:rPr>
          <w:rFonts w:ascii="Times New Roman" w:hAnsi="Times New Roman"/>
          <w:b/>
          <w:bCs/>
          <w:color w:val="FF0000"/>
          <w:sz w:val="24"/>
          <w:szCs w:val="24"/>
        </w:rPr>
        <w:t>unding</w:t>
      </w:r>
      <w:r w:rsidRPr="00FC4BB3">
        <w:rPr>
          <w:rFonts w:ascii="Times New Roman" w:hAnsi="Times New Roman"/>
          <w:b/>
          <w:bCs/>
          <w:color w:val="FF0000"/>
          <w:sz w:val="24"/>
          <w:szCs w:val="24"/>
        </w:rPr>
        <w:t>:</w:t>
      </w:r>
      <w:r w:rsidRPr="00FC4BB3">
        <w:rPr>
          <w:rFonts w:ascii="Times New Roman" w:hAnsi="Times New Roman"/>
          <w:color w:val="FF0000"/>
          <w:sz w:val="24"/>
          <w:szCs w:val="24"/>
        </w:rPr>
        <w:t xml:space="preserve"> </w:t>
      </w:r>
      <w:r w:rsidR="00AB3660" w:rsidRPr="00FC4BB3">
        <w:rPr>
          <w:rFonts w:ascii="Times New Roman" w:hAnsi="Times New Roman"/>
          <w:color w:val="FF0000"/>
          <w:sz w:val="24"/>
          <w:szCs w:val="24"/>
        </w:rPr>
        <w:t>State funding source(s) with grant number and sponsoring agency/organization. If you did not get any financial support from any agency/organization, write, "This study did not get any financial support from any organization/agency."</w:t>
      </w:r>
    </w:p>
    <w:p w14:paraId="664CFBDF" w14:textId="77777777" w:rsidR="00397A3C" w:rsidRPr="00FC4BB3" w:rsidRDefault="00397A3C" w:rsidP="00320A9D">
      <w:pPr>
        <w:pStyle w:val="MDPI31text"/>
        <w:spacing w:line="360" w:lineRule="auto"/>
        <w:ind w:left="0" w:firstLine="0"/>
        <w:rPr>
          <w:rFonts w:ascii="Times New Roman" w:hAnsi="Times New Roman"/>
          <w:color w:val="FF0000"/>
          <w:sz w:val="24"/>
          <w:szCs w:val="24"/>
        </w:rPr>
      </w:pPr>
    </w:p>
    <w:p w14:paraId="34F2A868" w14:textId="0515AFFB" w:rsidR="00F4777F" w:rsidRPr="00FC4BB3" w:rsidRDefault="00F4777F" w:rsidP="00374E79">
      <w:pPr>
        <w:spacing w:line="360" w:lineRule="auto"/>
        <w:rPr>
          <w:color w:val="FF0000"/>
        </w:rPr>
      </w:pPr>
      <w:r w:rsidRPr="00FC4BB3">
        <w:rPr>
          <w:b/>
          <w:color w:val="FF0000"/>
        </w:rPr>
        <w:t xml:space="preserve">Conflict of Interest: </w:t>
      </w:r>
      <w:r w:rsidR="00320A9D" w:rsidRPr="00FC4BB3">
        <w:rPr>
          <w:color w:val="FF0000"/>
        </w:rPr>
        <w:t>The authors declare that they have no conflict of interest</w:t>
      </w:r>
      <w:r w:rsidRPr="00FC4BB3">
        <w:rPr>
          <w:color w:val="FF0000"/>
        </w:rPr>
        <w:t>.</w:t>
      </w:r>
    </w:p>
    <w:p w14:paraId="23D6B474" w14:textId="77777777" w:rsidR="00F4777F" w:rsidRPr="00FC4BB3" w:rsidRDefault="00F4777F" w:rsidP="00374E79">
      <w:pPr>
        <w:spacing w:line="360" w:lineRule="auto"/>
        <w:rPr>
          <w:color w:val="FF0000"/>
        </w:rPr>
      </w:pPr>
    </w:p>
    <w:p w14:paraId="25A24650" w14:textId="57575085" w:rsidR="00F4777F" w:rsidRPr="00FC4BB3" w:rsidRDefault="00F4777F" w:rsidP="00374E79">
      <w:pPr>
        <w:spacing w:line="360" w:lineRule="auto"/>
        <w:rPr>
          <w:color w:val="FF0000"/>
        </w:rPr>
      </w:pPr>
      <w:r w:rsidRPr="00FC4BB3">
        <w:rPr>
          <w:b/>
          <w:color w:val="FF0000"/>
        </w:rPr>
        <w:t xml:space="preserve">Data Availability: </w:t>
      </w:r>
      <w:r w:rsidR="00F64F16" w:rsidRPr="00FC4BB3">
        <w:rPr>
          <w:color w:val="FF0000"/>
        </w:rPr>
        <w:t>If you have presented all the data in the article, then write: All the data is available in the article. Alternatively, if you cannot present all the data and have additional information to share, write "Data will be available upon request."</w:t>
      </w:r>
      <w:r w:rsidRPr="00FC4BB3">
        <w:rPr>
          <w:color w:val="FF0000"/>
        </w:rPr>
        <w:t>.</w:t>
      </w:r>
    </w:p>
    <w:p w14:paraId="0C1B93BE" w14:textId="77777777" w:rsidR="00F4777F" w:rsidRPr="00FC4BB3" w:rsidRDefault="00F4777F" w:rsidP="00374E79">
      <w:pPr>
        <w:spacing w:line="360" w:lineRule="auto"/>
        <w:rPr>
          <w:color w:val="FF0000"/>
        </w:rPr>
      </w:pPr>
    </w:p>
    <w:p w14:paraId="4D535D9F" w14:textId="77777777" w:rsidR="00374E79" w:rsidRPr="00FC4BB3" w:rsidRDefault="00374E79" w:rsidP="00374E79">
      <w:pPr>
        <w:pStyle w:val="style7"/>
        <w:spacing w:before="0" w:beforeAutospacing="0" w:after="0" w:afterAutospacing="0" w:line="360" w:lineRule="auto"/>
        <w:jc w:val="both"/>
        <w:rPr>
          <w:color w:val="FF0000"/>
          <w:lang w:val="en-US"/>
        </w:rPr>
      </w:pPr>
      <w:r w:rsidRPr="00FC4BB3">
        <w:rPr>
          <w:b/>
          <w:bCs/>
          <w:color w:val="FF0000"/>
          <w:lang w:val="en-US"/>
        </w:rPr>
        <w:t xml:space="preserve">Ethics Statement: </w:t>
      </w:r>
      <w:r w:rsidRPr="00FC4BB3">
        <w:rPr>
          <w:color w:val="FF0000"/>
          <w:lang w:val="en-US"/>
        </w:rPr>
        <w:t>State, like, the animal study was approved by the Ethics Committee of the [insert name of institute/University; approved vide number</w:t>
      </w:r>
      <w:proofErr w:type="gramStart"/>
      <w:r w:rsidRPr="00FC4BB3">
        <w:rPr>
          <w:color w:val="FF0000"/>
          <w:lang w:val="en-US"/>
        </w:rPr>
        <w:t>: ??</w:t>
      </w:r>
      <w:proofErr w:type="gramEnd"/>
      <w:r w:rsidRPr="00FC4BB3">
        <w:rPr>
          <w:color w:val="FF0000"/>
          <w:lang w:val="en-US"/>
        </w:rPr>
        <w:t xml:space="preserve"> Dated: ??] and conducted in accordance with local legislation and institutional requirements.</w:t>
      </w:r>
    </w:p>
    <w:p w14:paraId="26412726" w14:textId="77777777" w:rsidR="00374E79" w:rsidRPr="00FC4BB3" w:rsidRDefault="00374E79" w:rsidP="00374E79">
      <w:pPr>
        <w:spacing w:line="360" w:lineRule="auto"/>
        <w:rPr>
          <w:color w:val="FF0000"/>
        </w:rPr>
      </w:pPr>
    </w:p>
    <w:p w14:paraId="731F9874" w14:textId="78DA7E5D" w:rsidR="00374E79" w:rsidRPr="00FC4BB3" w:rsidRDefault="00374E79" w:rsidP="00374E79">
      <w:pPr>
        <w:spacing w:line="360" w:lineRule="auto"/>
        <w:rPr>
          <w:color w:val="FF0000"/>
        </w:rPr>
      </w:pPr>
      <w:r w:rsidRPr="00FC4BB3">
        <w:rPr>
          <w:b/>
          <w:color w:val="FF0000"/>
        </w:rPr>
        <w:t xml:space="preserve">Authors’ Contributions: </w:t>
      </w:r>
    </w:p>
    <w:p w14:paraId="2ACC3428" w14:textId="77777777" w:rsidR="00374E79" w:rsidRPr="00FC4BB3" w:rsidRDefault="00374E79" w:rsidP="00374E79">
      <w:pPr>
        <w:spacing w:line="360" w:lineRule="auto"/>
        <w:rPr>
          <w:color w:val="FF0000"/>
        </w:rPr>
      </w:pPr>
    </w:p>
    <w:p w14:paraId="45F3E272" w14:textId="0C23A6CF" w:rsidR="00397A3C" w:rsidRPr="00FC4BB3" w:rsidRDefault="00397A3C" w:rsidP="00374E79">
      <w:pPr>
        <w:spacing w:line="360" w:lineRule="auto"/>
        <w:rPr>
          <w:color w:val="FF0000"/>
        </w:rPr>
      </w:pPr>
      <w:r w:rsidRPr="00FC4BB3">
        <w:rPr>
          <w:b/>
          <w:color w:val="FF0000"/>
        </w:rPr>
        <w:t>G</w:t>
      </w:r>
      <w:r w:rsidR="00374E79" w:rsidRPr="00FC4BB3">
        <w:rPr>
          <w:b/>
          <w:color w:val="FF0000"/>
        </w:rPr>
        <w:t>enerative</w:t>
      </w:r>
      <w:r w:rsidRPr="00FC4BB3">
        <w:rPr>
          <w:b/>
          <w:color w:val="FF0000"/>
        </w:rPr>
        <w:t xml:space="preserve"> AI S</w:t>
      </w:r>
      <w:r w:rsidR="00374E79" w:rsidRPr="00FC4BB3">
        <w:rPr>
          <w:b/>
          <w:color w:val="FF0000"/>
        </w:rPr>
        <w:t xml:space="preserve">tatement: </w:t>
      </w:r>
      <w:r w:rsidR="008627A2" w:rsidRPr="00FC4BB3">
        <w:rPr>
          <w:color w:val="FF0000"/>
        </w:rPr>
        <w:t>The authors declare that no Gen AI/DeepSeek was used in the writing/creation of this manuscript</w:t>
      </w:r>
      <w:r w:rsidRPr="00FC4BB3">
        <w:rPr>
          <w:color w:val="FF0000"/>
        </w:rPr>
        <w:t>.</w:t>
      </w:r>
    </w:p>
    <w:p w14:paraId="384301D6" w14:textId="77777777" w:rsidR="00397A3C" w:rsidRPr="00FC4BB3" w:rsidRDefault="00397A3C" w:rsidP="00374E79">
      <w:pPr>
        <w:spacing w:line="360" w:lineRule="auto"/>
        <w:rPr>
          <w:color w:val="FF0000"/>
        </w:rPr>
      </w:pPr>
    </w:p>
    <w:p w14:paraId="068385EF" w14:textId="0A3BBCB6" w:rsidR="00397A3C" w:rsidRPr="00FC4BB3" w:rsidRDefault="00397A3C" w:rsidP="00397A3C">
      <w:pPr>
        <w:pStyle w:val="MDPI21heading1"/>
        <w:spacing w:before="0" w:after="120" w:line="360" w:lineRule="auto"/>
        <w:ind w:left="0"/>
        <w:rPr>
          <w:rFonts w:ascii="Times New Roman" w:hAnsi="Times New Roman"/>
          <w:color w:val="FF0000"/>
          <w:sz w:val="24"/>
          <w:szCs w:val="24"/>
        </w:rPr>
      </w:pPr>
      <w:r w:rsidRPr="00FC4BB3">
        <w:rPr>
          <w:rFonts w:ascii="Times New Roman" w:hAnsi="Times New Roman"/>
          <w:color w:val="auto"/>
          <w:sz w:val="24"/>
          <w:szCs w:val="24"/>
        </w:rPr>
        <w:t>REFERENCES</w:t>
      </w:r>
    </w:p>
    <w:p w14:paraId="2FA7945D" w14:textId="77777777"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Ahtikoski, A., Siipilehto, J., Salminen, H., Lehtonen, M., &amp; Hynynen, J. (2018). Effect of stand structure and number of sample trees on optimal management for Scots pine: A model-based study. </w:t>
      </w:r>
      <w:r w:rsidRPr="00FC4BB3">
        <w:rPr>
          <w:iCs/>
          <w:color w:val="auto"/>
          <w:szCs w:val="24"/>
        </w:rPr>
        <w:t>Forests</w:t>
      </w:r>
      <w:r w:rsidRPr="00FC4BB3">
        <w:rPr>
          <w:color w:val="auto"/>
          <w:szCs w:val="24"/>
        </w:rPr>
        <w:t>, </w:t>
      </w:r>
      <w:r w:rsidRPr="00FC4BB3">
        <w:rPr>
          <w:iCs/>
          <w:color w:val="auto"/>
          <w:szCs w:val="24"/>
        </w:rPr>
        <w:t>9</w:t>
      </w:r>
      <w:r w:rsidRPr="00FC4BB3">
        <w:rPr>
          <w:color w:val="auto"/>
          <w:szCs w:val="24"/>
        </w:rPr>
        <w:t>(12), 750. </w:t>
      </w:r>
      <w:hyperlink r:id="rId8" w:history="1">
        <w:r w:rsidRPr="00FC4BB3">
          <w:rPr>
            <w:rStyle w:val="af1"/>
            <w:color w:val="auto"/>
            <w:szCs w:val="24"/>
          </w:rPr>
          <w:t>https://doi.org/10.3390/f9120750</w:t>
        </w:r>
      </w:hyperlink>
    </w:p>
    <w:p w14:paraId="4AF381EF" w14:textId="77777777" w:rsidR="00206BE4" w:rsidRPr="00FC4BB3" w:rsidRDefault="00206BE4" w:rsidP="001A2938">
      <w:pPr>
        <w:widowControl w:val="0"/>
        <w:pBdr>
          <w:top w:val="nil"/>
          <w:left w:val="nil"/>
          <w:bottom w:val="nil"/>
          <w:right w:val="nil"/>
          <w:between w:val="nil"/>
        </w:pBdr>
        <w:spacing w:line="360" w:lineRule="auto"/>
        <w:ind w:left="567" w:hanging="567"/>
        <w:rPr>
          <w:color w:val="auto"/>
          <w:szCs w:val="24"/>
          <w:lang w:val="pt-BR"/>
        </w:rPr>
      </w:pPr>
      <w:r w:rsidRPr="00FC4BB3">
        <w:rPr>
          <w:color w:val="auto"/>
          <w:szCs w:val="24"/>
          <w:lang w:val="it-IT"/>
        </w:rPr>
        <w:t xml:space="preserve">Atzori, G., Pane, C., Zaccardelli, M., Cacini, S., &amp; Massa, D. (2021). </w:t>
      </w:r>
      <w:r w:rsidRPr="00FC4BB3">
        <w:rPr>
          <w:color w:val="auto"/>
          <w:szCs w:val="24"/>
        </w:rPr>
        <w:t xml:space="preserve">The role of peat-free organic substrates in the sustainable management of soilless cultivations. </w:t>
      </w:r>
      <w:r w:rsidRPr="00FC4BB3">
        <w:rPr>
          <w:iCs/>
          <w:color w:val="auto"/>
          <w:szCs w:val="24"/>
          <w:lang w:val="pt-BR"/>
        </w:rPr>
        <w:t>Agronomy</w:t>
      </w:r>
      <w:r w:rsidRPr="00FC4BB3">
        <w:rPr>
          <w:color w:val="auto"/>
          <w:szCs w:val="24"/>
          <w:lang w:val="pt-BR"/>
        </w:rPr>
        <w:t xml:space="preserve">, </w:t>
      </w:r>
      <w:r w:rsidRPr="00FC4BB3">
        <w:rPr>
          <w:iCs/>
          <w:color w:val="auto"/>
          <w:szCs w:val="24"/>
          <w:lang w:val="pt-BR"/>
        </w:rPr>
        <w:t>11</w:t>
      </w:r>
      <w:r w:rsidRPr="00FC4BB3">
        <w:rPr>
          <w:color w:val="auto"/>
          <w:szCs w:val="24"/>
          <w:lang w:val="pt-BR"/>
        </w:rPr>
        <w:t xml:space="preserve">(6), 1236. </w:t>
      </w:r>
      <w:hyperlink r:id="rId9" w:history="1">
        <w:r w:rsidRPr="00FC4BB3">
          <w:rPr>
            <w:rStyle w:val="af1"/>
            <w:color w:val="auto"/>
            <w:szCs w:val="24"/>
            <w:lang w:val="pt-BR"/>
          </w:rPr>
          <w:t>https://doi.org/10.3390/agronomy11061236</w:t>
        </w:r>
      </w:hyperlink>
    </w:p>
    <w:p w14:paraId="7ACC98F8" w14:textId="4236048A"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lang w:val="pt-BR"/>
        </w:rPr>
        <w:t xml:space="preserve">Bag, T. K., Srivastava, A. K., Yadav, M. S., Gurjar, L. C., Diengdoh, R., Rai, &amp; Singh, S. (2019). </w:t>
      </w:r>
      <w:r w:rsidRPr="00FC4BB3">
        <w:rPr>
          <w:color w:val="auto"/>
          <w:szCs w:val="24"/>
        </w:rPr>
        <w:t>Potato (</w:t>
      </w:r>
      <w:r w:rsidRPr="00FC4BB3">
        <w:rPr>
          <w:i/>
          <w:iCs/>
          <w:color w:val="auto"/>
          <w:szCs w:val="24"/>
        </w:rPr>
        <w:t>Solanum tuberosum</w:t>
      </w:r>
      <w:r w:rsidRPr="00FC4BB3">
        <w:rPr>
          <w:color w:val="auto"/>
          <w:szCs w:val="24"/>
        </w:rPr>
        <w:t xml:space="preserve">) aeroponics for quality seed production in north-eastern Himalayan region of India. </w:t>
      </w:r>
      <w:r w:rsidRPr="00FC4BB3">
        <w:rPr>
          <w:iCs/>
          <w:color w:val="auto"/>
          <w:szCs w:val="24"/>
        </w:rPr>
        <w:t>Indian Journal of Agricultural Sciences</w:t>
      </w:r>
      <w:r w:rsidRPr="00FC4BB3">
        <w:rPr>
          <w:color w:val="auto"/>
          <w:szCs w:val="24"/>
        </w:rPr>
        <w:t xml:space="preserve">, </w:t>
      </w:r>
      <w:r w:rsidRPr="00FC4BB3">
        <w:rPr>
          <w:iCs/>
          <w:color w:val="auto"/>
          <w:szCs w:val="24"/>
        </w:rPr>
        <w:t>85</w:t>
      </w:r>
      <w:r w:rsidR="007134C6" w:rsidRPr="00FC4BB3">
        <w:rPr>
          <w:color w:val="auto"/>
          <w:szCs w:val="24"/>
        </w:rPr>
        <w:t>(10), 1360-</w:t>
      </w:r>
      <w:r w:rsidRPr="00FC4BB3">
        <w:rPr>
          <w:color w:val="auto"/>
          <w:szCs w:val="24"/>
        </w:rPr>
        <w:t>1364. https://doi.org/10.56093/ijas.v85i10.52303</w:t>
      </w:r>
    </w:p>
    <w:p w14:paraId="1615588F" w14:textId="77777777"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Banach, J., Małek, S., Kormanek, M., &amp; Durło, G. (2020). Growth of </w:t>
      </w:r>
      <w:r w:rsidRPr="00FC4BB3">
        <w:rPr>
          <w:i/>
          <w:iCs/>
          <w:color w:val="auto"/>
          <w:szCs w:val="24"/>
        </w:rPr>
        <w:t>Fagus sylvatica</w:t>
      </w:r>
      <w:r w:rsidRPr="00FC4BB3">
        <w:rPr>
          <w:color w:val="auto"/>
          <w:szCs w:val="24"/>
        </w:rPr>
        <w:t xml:space="preserve"> L. and </w:t>
      </w:r>
      <w:r w:rsidRPr="00FC4BB3">
        <w:rPr>
          <w:i/>
          <w:iCs/>
          <w:color w:val="auto"/>
          <w:szCs w:val="24"/>
        </w:rPr>
        <w:t>Picea abies</w:t>
      </w:r>
      <w:r w:rsidRPr="00FC4BB3">
        <w:rPr>
          <w:color w:val="auto"/>
          <w:szCs w:val="24"/>
        </w:rPr>
        <w:t xml:space="preserve"> (L.) Karst. seedlings grown in Hiko containers in the first year after planting. </w:t>
      </w:r>
      <w:r w:rsidRPr="00FC4BB3">
        <w:rPr>
          <w:iCs/>
          <w:color w:val="auto"/>
          <w:szCs w:val="24"/>
        </w:rPr>
        <w:t>Sustainability</w:t>
      </w:r>
      <w:r w:rsidRPr="00FC4BB3">
        <w:rPr>
          <w:color w:val="auto"/>
          <w:szCs w:val="24"/>
        </w:rPr>
        <w:t xml:space="preserve">, </w:t>
      </w:r>
      <w:r w:rsidRPr="00FC4BB3">
        <w:rPr>
          <w:iCs/>
          <w:color w:val="auto"/>
          <w:szCs w:val="24"/>
        </w:rPr>
        <w:t>12</w:t>
      </w:r>
      <w:r w:rsidRPr="00FC4BB3">
        <w:rPr>
          <w:color w:val="auto"/>
          <w:szCs w:val="24"/>
        </w:rPr>
        <w:t xml:space="preserve">(17), 7155. </w:t>
      </w:r>
      <w:hyperlink r:id="rId10" w:tgtFrame="_new" w:history="1">
        <w:r w:rsidRPr="00FC4BB3">
          <w:rPr>
            <w:rStyle w:val="af1"/>
            <w:color w:val="auto"/>
            <w:szCs w:val="24"/>
          </w:rPr>
          <w:t>https://doi.org/10.3390/su12177155</w:t>
        </w:r>
      </w:hyperlink>
    </w:p>
    <w:p w14:paraId="4BF3202B" w14:textId="02E5F757"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lastRenderedPageBreak/>
        <w:t xml:space="preserve">Beacham, A. M., Vickers, L. H., &amp; Monaghan, J. M. (2019). Vertical farming: A summary of approaches to growing skywards. </w:t>
      </w:r>
      <w:r w:rsidRPr="00FC4BB3">
        <w:rPr>
          <w:iCs/>
          <w:color w:val="auto"/>
          <w:szCs w:val="24"/>
        </w:rPr>
        <w:t>Journal of Horticultural Science and Biotechnology</w:t>
      </w:r>
      <w:r w:rsidRPr="00FC4BB3">
        <w:rPr>
          <w:color w:val="auto"/>
          <w:szCs w:val="24"/>
        </w:rPr>
        <w:t xml:space="preserve">, </w:t>
      </w:r>
      <w:r w:rsidRPr="00FC4BB3">
        <w:rPr>
          <w:iCs/>
          <w:color w:val="auto"/>
          <w:szCs w:val="24"/>
        </w:rPr>
        <w:t>94</w:t>
      </w:r>
      <w:r w:rsidR="007134C6" w:rsidRPr="00FC4BB3">
        <w:rPr>
          <w:iCs/>
          <w:color w:val="auto"/>
          <w:szCs w:val="24"/>
        </w:rPr>
        <w:t>(3)</w:t>
      </w:r>
      <w:r w:rsidR="007134C6" w:rsidRPr="00FC4BB3">
        <w:rPr>
          <w:color w:val="auto"/>
          <w:szCs w:val="24"/>
        </w:rPr>
        <w:t>, 277-</w:t>
      </w:r>
      <w:r w:rsidRPr="00FC4BB3">
        <w:rPr>
          <w:color w:val="auto"/>
          <w:szCs w:val="24"/>
        </w:rPr>
        <w:t>283. https://doi.org/10.1080/14620316.2019.1574214</w:t>
      </w:r>
    </w:p>
    <w:p w14:paraId="4925F0A1" w14:textId="1DFEA9D0"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lang w:val="it-IT"/>
        </w:rPr>
        <w:t xml:space="preserve">Besschetnova, N. N., &amp; Kulkova, A. V. (2019). </w:t>
      </w:r>
      <w:r w:rsidR="007134C6" w:rsidRPr="00FC4BB3">
        <w:rPr>
          <w:color w:val="auto"/>
          <w:szCs w:val="24"/>
        </w:rPr>
        <w:t>The content of reserve nutrients in the cells of annual shoot tissues of the representatives of the spruce (Picea L.) genus in Nizhny Novgorod Region</w:t>
      </w:r>
      <w:r w:rsidRPr="00FC4BB3">
        <w:rPr>
          <w:color w:val="auto"/>
          <w:szCs w:val="24"/>
        </w:rPr>
        <w:t xml:space="preserve">. </w:t>
      </w:r>
      <w:r w:rsidR="007134C6" w:rsidRPr="00FC4BB3">
        <w:rPr>
          <w:color w:val="auto"/>
          <w:szCs w:val="24"/>
        </w:rPr>
        <w:t xml:space="preserve">Lesnoy Zhurnal (Russian Forestry Journal), </w:t>
      </w:r>
      <w:r w:rsidRPr="00FC4BB3">
        <w:rPr>
          <w:color w:val="auto"/>
          <w:szCs w:val="24"/>
        </w:rPr>
        <w:t>6, 52</w:t>
      </w:r>
      <w:r w:rsidR="007134C6" w:rsidRPr="00FC4BB3">
        <w:rPr>
          <w:color w:val="auto"/>
          <w:szCs w:val="24"/>
        </w:rPr>
        <w:t>-</w:t>
      </w:r>
      <w:r w:rsidRPr="00FC4BB3">
        <w:rPr>
          <w:color w:val="auto"/>
          <w:szCs w:val="24"/>
        </w:rPr>
        <w:t>61.</w:t>
      </w:r>
      <w:r w:rsidR="007134C6" w:rsidRPr="00FC4BB3">
        <w:rPr>
          <w:color w:val="auto"/>
          <w:szCs w:val="24"/>
        </w:rPr>
        <w:t xml:space="preserve"> https://doi.org/10.17238/issn0536-1036.2019.6.52</w:t>
      </w:r>
    </w:p>
    <w:p w14:paraId="4F8D369D" w14:textId="187AD90B" w:rsidR="00206BE4" w:rsidRPr="00FC4BB3" w:rsidRDefault="00DF122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Böhme</w:t>
      </w:r>
      <w:r w:rsidR="00206BE4" w:rsidRPr="00FC4BB3">
        <w:rPr>
          <w:color w:val="auto"/>
          <w:szCs w:val="24"/>
        </w:rPr>
        <w:t xml:space="preserve">, M., &amp; Pinker, I. (2018). Asian leafy vegetables and herbs cultivated in substrate culture and aeroponics in greenhouse. </w:t>
      </w:r>
      <w:r w:rsidR="00206BE4" w:rsidRPr="00FC4BB3">
        <w:rPr>
          <w:iCs/>
          <w:color w:val="auto"/>
          <w:szCs w:val="24"/>
        </w:rPr>
        <w:t>Acta Horticulturae</w:t>
      </w:r>
      <w:r w:rsidR="00206BE4" w:rsidRPr="00FC4BB3">
        <w:rPr>
          <w:color w:val="auto"/>
          <w:szCs w:val="24"/>
        </w:rPr>
        <w:t xml:space="preserve">, </w:t>
      </w:r>
      <w:r w:rsidR="00206BE4" w:rsidRPr="00FC4BB3">
        <w:rPr>
          <w:iCs/>
          <w:color w:val="auto"/>
          <w:szCs w:val="24"/>
        </w:rPr>
        <w:t>1034</w:t>
      </w:r>
      <w:r w:rsidRPr="00FC4BB3">
        <w:rPr>
          <w:color w:val="auto"/>
          <w:szCs w:val="24"/>
        </w:rPr>
        <w:t xml:space="preserve">, </w:t>
      </w:r>
      <w:r w:rsidR="00206BE4" w:rsidRPr="00FC4BB3">
        <w:rPr>
          <w:color w:val="auto"/>
          <w:szCs w:val="24"/>
        </w:rPr>
        <w:t>155-162. https://doi.org/10.17660/ActaHortic.2014.1034.18</w:t>
      </w:r>
    </w:p>
    <w:p w14:paraId="777514FA" w14:textId="2B770166"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lang w:val="it-IT"/>
        </w:rPr>
        <w:t xml:space="preserve">Calvo, P., Nelson, L., &amp; Kloepper, J. W. (2018). </w:t>
      </w:r>
      <w:r w:rsidRPr="00FC4BB3">
        <w:rPr>
          <w:color w:val="auto"/>
          <w:szCs w:val="24"/>
        </w:rPr>
        <w:t xml:space="preserve">Agricultural uses of plant biostimulants. </w:t>
      </w:r>
      <w:r w:rsidRPr="00FC4BB3">
        <w:rPr>
          <w:iCs/>
          <w:color w:val="auto"/>
          <w:szCs w:val="24"/>
        </w:rPr>
        <w:t>Plant and Soil</w:t>
      </w:r>
      <w:r w:rsidRPr="00FC4BB3">
        <w:rPr>
          <w:color w:val="auto"/>
          <w:szCs w:val="24"/>
        </w:rPr>
        <w:t xml:space="preserve">, </w:t>
      </w:r>
      <w:r w:rsidRPr="00FC4BB3">
        <w:rPr>
          <w:iCs/>
          <w:color w:val="auto"/>
          <w:szCs w:val="24"/>
        </w:rPr>
        <w:t>383</w:t>
      </w:r>
      <w:r w:rsidRPr="00FC4BB3">
        <w:rPr>
          <w:color w:val="auto"/>
          <w:szCs w:val="24"/>
        </w:rPr>
        <w:t xml:space="preserve">(3-4), </w:t>
      </w:r>
      <w:r w:rsidR="00DF1224" w:rsidRPr="00FC4BB3">
        <w:rPr>
          <w:color w:val="auto"/>
          <w:szCs w:val="24"/>
        </w:rPr>
        <w:t>3-</w:t>
      </w:r>
      <w:r w:rsidRPr="00FC4BB3">
        <w:rPr>
          <w:color w:val="auto"/>
          <w:szCs w:val="24"/>
        </w:rPr>
        <w:t>41. https://doi.org/10.1007/s11104-014-2131-8</w:t>
      </w:r>
    </w:p>
    <w:p w14:paraId="61B2A2E5" w14:textId="30579001" w:rsidR="00206BE4" w:rsidRPr="00FC4BB3" w:rsidRDefault="00206BE4" w:rsidP="001A2938">
      <w:pPr>
        <w:widowControl w:val="0"/>
        <w:pBdr>
          <w:top w:val="nil"/>
          <w:left w:val="nil"/>
          <w:bottom w:val="nil"/>
          <w:right w:val="nil"/>
          <w:between w:val="nil"/>
        </w:pBdr>
        <w:spacing w:line="360" w:lineRule="auto"/>
        <w:ind w:left="567" w:hanging="567"/>
        <w:rPr>
          <w:color w:val="auto"/>
          <w:szCs w:val="24"/>
          <w:lang w:val="it-IT"/>
        </w:rPr>
      </w:pPr>
      <w:r w:rsidRPr="00FC4BB3">
        <w:rPr>
          <w:color w:val="auto"/>
          <w:szCs w:val="24"/>
          <w:lang w:val="it-IT"/>
        </w:rPr>
        <w:t xml:space="preserve">Colantoni, A., Monarca, D., Marucci, A., Cecchini, M., Zambon, I., Di Battista, F., Maccario, D., Saporito, M. G., &amp; Beruto, M. (2018). </w:t>
      </w:r>
      <w:r w:rsidRPr="00FC4BB3">
        <w:rPr>
          <w:color w:val="auto"/>
          <w:szCs w:val="24"/>
        </w:rPr>
        <w:t xml:space="preserve">Solar </w:t>
      </w:r>
      <w:r w:rsidR="003E7986" w:rsidRPr="00FC4BB3">
        <w:rPr>
          <w:color w:val="auto"/>
          <w:szCs w:val="24"/>
        </w:rPr>
        <w:t>r</w:t>
      </w:r>
      <w:r w:rsidRPr="00FC4BB3">
        <w:rPr>
          <w:color w:val="auto"/>
          <w:szCs w:val="24"/>
        </w:rPr>
        <w:t xml:space="preserve">adiation </w:t>
      </w:r>
      <w:r w:rsidR="003E7986" w:rsidRPr="00FC4BB3">
        <w:rPr>
          <w:color w:val="auto"/>
          <w:szCs w:val="24"/>
        </w:rPr>
        <w:t>d</w:t>
      </w:r>
      <w:r w:rsidRPr="00FC4BB3">
        <w:rPr>
          <w:color w:val="auto"/>
          <w:szCs w:val="24"/>
        </w:rPr>
        <w:t xml:space="preserve">istribution inside a </w:t>
      </w:r>
      <w:r w:rsidR="003E7986" w:rsidRPr="00FC4BB3">
        <w:rPr>
          <w:color w:val="auto"/>
          <w:szCs w:val="24"/>
        </w:rPr>
        <w:t>g</w:t>
      </w:r>
      <w:r w:rsidRPr="00FC4BB3">
        <w:rPr>
          <w:color w:val="auto"/>
          <w:szCs w:val="24"/>
        </w:rPr>
        <w:t xml:space="preserve">reenhouse </w:t>
      </w:r>
      <w:r w:rsidR="003E7986" w:rsidRPr="00FC4BB3">
        <w:rPr>
          <w:color w:val="auto"/>
          <w:szCs w:val="24"/>
        </w:rPr>
        <w:t>p</w:t>
      </w:r>
      <w:r w:rsidRPr="00FC4BB3">
        <w:rPr>
          <w:color w:val="auto"/>
          <w:szCs w:val="24"/>
        </w:rPr>
        <w:t xml:space="preserve">rototypal with </w:t>
      </w:r>
      <w:r w:rsidR="003E7986" w:rsidRPr="00FC4BB3">
        <w:rPr>
          <w:color w:val="auto"/>
          <w:szCs w:val="24"/>
        </w:rPr>
        <w:t>p</w:t>
      </w:r>
      <w:r w:rsidRPr="00FC4BB3">
        <w:rPr>
          <w:color w:val="auto"/>
          <w:szCs w:val="24"/>
        </w:rPr>
        <w:t xml:space="preserve">hotovoltaic </w:t>
      </w:r>
      <w:r w:rsidR="003E7986" w:rsidRPr="00FC4BB3">
        <w:rPr>
          <w:color w:val="auto"/>
          <w:szCs w:val="24"/>
        </w:rPr>
        <w:t>n</w:t>
      </w:r>
      <w:r w:rsidRPr="00FC4BB3">
        <w:rPr>
          <w:color w:val="auto"/>
          <w:szCs w:val="24"/>
        </w:rPr>
        <w:t xml:space="preserve">obile </w:t>
      </w:r>
      <w:r w:rsidR="003E7986" w:rsidRPr="00FC4BB3">
        <w:rPr>
          <w:color w:val="auto"/>
          <w:szCs w:val="24"/>
        </w:rPr>
        <w:t>p</w:t>
      </w:r>
      <w:r w:rsidRPr="00FC4BB3">
        <w:rPr>
          <w:color w:val="auto"/>
          <w:szCs w:val="24"/>
        </w:rPr>
        <w:t xml:space="preserve">lant and </w:t>
      </w:r>
      <w:r w:rsidR="003E7986" w:rsidRPr="00FC4BB3">
        <w:rPr>
          <w:color w:val="auto"/>
          <w:szCs w:val="24"/>
        </w:rPr>
        <w:t>e</w:t>
      </w:r>
      <w:r w:rsidRPr="00FC4BB3">
        <w:rPr>
          <w:color w:val="auto"/>
          <w:szCs w:val="24"/>
        </w:rPr>
        <w:t xml:space="preserve">ffects on </w:t>
      </w:r>
      <w:r w:rsidR="003E7986" w:rsidRPr="00FC4BB3">
        <w:rPr>
          <w:color w:val="auto"/>
          <w:szCs w:val="24"/>
        </w:rPr>
        <w:t>f</w:t>
      </w:r>
      <w:r w:rsidRPr="00FC4BB3">
        <w:rPr>
          <w:color w:val="auto"/>
          <w:szCs w:val="24"/>
        </w:rPr>
        <w:t xml:space="preserve">lower </w:t>
      </w:r>
      <w:r w:rsidR="003E7986" w:rsidRPr="00FC4BB3">
        <w:rPr>
          <w:color w:val="auto"/>
          <w:szCs w:val="24"/>
        </w:rPr>
        <w:t>g</w:t>
      </w:r>
      <w:r w:rsidRPr="00FC4BB3">
        <w:rPr>
          <w:color w:val="auto"/>
          <w:szCs w:val="24"/>
        </w:rPr>
        <w:t>rowth. </w:t>
      </w:r>
      <w:r w:rsidRPr="00FC4BB3">
        <w:rPr>
          <w:iCs/>
          <w:color w:val="auto"/>
          <w:szCs w:val="24"/>
          <w:lang w:val="it-IT"/>
        </w:rPr>
        <w:t>Sustainability</w:t>
      </w:r>
      <w:r w:rsidRPr="00FC4BB3">
        <w:rPr>
          <w:color w:val="auto"/>
          <w:szCs w:val="24"/>
          <w:lang w:val="it-IT"/>
        </w:rPr>
        <w:t>, </w:t>
      </w:r>
      <w:r w:rsidRPr="00FC4BB3">
        <w:rPr>
          <w:iCs/>
          <w:color w:val="auto"/>
          <w:szCs w:val="24"/>
          <w:lang w:val="it-IT"/>
        </w:rPr>
        <w:t>10</w:t>
      </w:r>
      <w:r w:rsidRPr="00FC4BB3">
        <w:rPr>
          <w:color w:val="auto"/>
          <w:szCs w:val="24"/>
          <w:lang w:val="it-IT"/>
        </w:rPr>
        <w:t xml:space="preserve">(3), 855. </w:t>
      </w:r>
      <w:hyperlink r:id="rId11" w:history="1">
        <w:r w:rsidRPr="00FC4BB3">
          <w:rPr>
            <w:rStyle w:val="af1"/>
            <w:color w:val="auto"/>
            <w:szCs w:val="24"/>
            <w:lang w:val="it-IT"/>
          </w:rPr>
          <w:t>https://doi.org/10.3390/su10030855</w:t>
        </w:r>
      </w:hyperlink>
    </w:p>
    <w:p w14:paraId="1D201092" w14:textId="71DD4D7C"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Degtyareva, A. R. (2021). Characteristics of </w:t>
      </w:r>
      <w:r w:rsidRPr="00FC4BB3">
        <w:rPr>
          <w:i/>
          <w:iCs/>
          <w:color w:val="auto"/>
          <w:szCs w:val="24"/>
        </w:rPr>
        <w:t>Pinus sylvestris</w:t>
      </w:r>
      <w:r w:rsidRPr="00FC4BB3">
        <w:rPr>
          <w:color w:val="auto"/>
          <w:szCs w:val="24"/>
        </w:rPr>
        <w:t xml:space="preserve"> L. seeds under drought conditions in the steppe region of the Central Chernozem Region. </w:t>
      </w:r>
      <w:r w:rsidRPr="00FC4BB3">
        <w:rPr>
          <w:iCs/>
          <w:color w:val="auto"/>
          <w:szCs w:val="24"/>
        </w:rPr>
        <w:t>Journal of Agriculture and Environment</w:t>
      </w:r>
      <w:r w:rsidRPr="00FC4BB3">
        <w:rPr>
          <w:color w:val="auto"/>
          <w:szCs w:val="24"/>
        </w:rPr>
        <w:t xml:space="preserve">, </w:t>
      </w:r>
      <w:r w:rsidRPr="00FC4BB3">
        <w:rPr>
          <w:iCs/>
          <w:color w:val="auto"/>
          <w:szCs w:val="24"/>
        </w:rPr>
        <w:t>3</w:t>
      </w:r>
      <w:r w:rsidRPr="00FC4BB3">
        <w:rPr>
          <w:color w:val="auto"/>
          <w:szCs w:val="24"/>
        </w:rPr>
        <w:t>(19)</w:t>
      </w:r>
      <w:r w:rsidR="003E7986" w:rsidRPr="00FC4BB3">
        <w:rPr>
          <w:color w:val="auto"/>
          <w:szCs w:val="24"/>
        </w:rPr>
        <w:t>, 1</w:t>
      </w:r>
      <w:r w:rsidRPr="00FC4BB3">
        <w:rPr>
          <w:color w:val="auto"/>
          <w:szCs w:val="24"/>
        </w:rPr>
        <w:t>. https://doi.org/10.23649/jae.2021.3.19.1</w:t>
      </w:r>
    </w:p>
    <w:p w14:paraId="17031B52" w14:textId="717773F5"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lang w:val="pt-BR"/>
        </w:rPr>
        <w:t xml:space="preserve">Domnina, E. A., Perestoronina, O. N., Zababurin, E. A., &amp; Smirnova, G. S. (2018). </w:t>
      </w:r>
      <w:r w:rsidRPr="00FC4BB3">
        <w:rPr>
          <w:color w:val="auto"/>
          <w:szCs w:val="24"/>
        </w:rPr>
        <w:t xml:space="preserve">Experience in growing planting material of </w:t>
      </w:r>
      <w:r w:rsidRPr="00FC4BB3">
        <w:rPr>
          <w:i/>
          <w:iCs/>
          <w:color w:val="auto"/>
          <w:szCs w:val="24"/>
        </w:rPr>
        <w:t>Pinus sylvestris</w:t>
      </w:r>
      <w:r w:rsidRPr="00FC4BB3">
        <w:rPr>
          <w:color w:val="auto"/>
          <w:szCs w:val="24"/>
        </w:rPr>
        <w:t xml:space="preserve"> L. with a closed root system. In </w:t>
      </w:r>
      <w:r w:rsidRPr="00FC4BB3">
        <w:rPr>
          <w:iCs/>
          <w:color w:val="auto"/>
          <w:szCs w:val="24"/>
        </w:rPr>
        <w:t>Ecology of the native land: Problems and solutions</w:t>
      </w:r>
      <w:r w:rsidR="0059531C" w:rsidRPr="00FC4BB3">
        <w:rPr>
          <w:iCs/>
          <w:color w:val="auto"/>
          <w:szCs w:val="24"/>
        </w:rPr>
        <w:t>. Proceedings of the XIII All-Russian scientific and practical conference with international participation</w:t>
      </w:r>
      <w:r w:rsidRPr="00FC4BB3">
        <w:rPr>
          <w:color w:val="auto"/>
          <w:szCs w:val="24"/>
        </w:rPr>
        <w:t xml:space="preserve"> (pp. 130</w:t>
      </w:r>
      <w:r w:rsidR="0059531C" w:rsidRPr="00FC4BB3">
        <w:rPr>
          <w:color w:val="auto"/>
          <w:szCs w:val="24"/>
        </w:rPr>
        <w:t>-</w:t>
      </w:r>
      <w:r w:rsidRPr="00FC4BB3">
        <w:rPr>
          <w:color w:val="auto"/>
          <w:szCs w:val="24"/>
        </w:rPr>
        <w:t xml:space="preserve">132). </w:t>
      </w:r>
      <w:r w:rsidR="0059531C" w:rsidRPr="00FC4BB3">
        <w:rPr>
          <w:color w:val="auto"/>
          <w:szCs w:val="24"/>
        </w:rPr>
        <w:t xml:space="preserve">Kirov: </w:t>
      </w:r>
      <w:r w:rsidRPr="00FC4BB3">
        <w:rPr>
          <w:color w:val="auto"/>
          <w:szCs w:val="24"/>
        </w:rPr>
        <w:t>Vyatka State University.</w:t>
      </w:r>
    </w:p>
    <w:p w14:paraId="6D3BD40E" w14:textId="19DB602C"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Dubrovina, A. S., &amp; Kiselev, K. V. (2019). Regulation of stilbene biosynthesis in plants. </w:t>
      </w:r>
      <w:r w:rsidRPr="00FC4BB3">
        <w:rPr>
          <w:iCs/>
          <w:color w:val="auto"/>
          <w:szCs w:val="24"/>
        </w:rPr>
        <w:t>Planta</w:t>
      </w:r>
      <w:r w:rsidRPr="00FC4BB3">
        <w:rPr>
          <w:color w:val="auto"/>
          <w:szCs w:val="24"/>
        </w:rPr>
        <w:t xml:space="preserve">, </w:t>
      </w:r>
      <w:r w:rsidRPr="00FC4BB3">
        <w:rPr>
          <w:iCs/>
          <w:color w:val="auto"/>
          <w:szCs w:val="24"/>
        </w:rPr>
        <w:t>246</w:t>
      </w:r>
      <w:r w:rsidR="0059531C" w:rsidRPr="00FC4BB3">
        <w:rPr>
          <w:color w:val="auto"/>
          <w:szCs w:val="24"/>
        </w:rPr>
        <w:t>(4), 597-</w:t>
      </w:r>
      <w:r w:rsidRPr="00FC4BB3">
        <w:rPr>
          <w:color w:val="auto"/>
          <w:szCs w:val="24"/>
        </w:rPr>
        <w:t>623. https://doi.org/10.1007/s00425-017-2730-8</w:t>
      </w:r>
    </w:p>
    <w:p w14:paraId="2B4310ED" w14:textId="2BCC6BF7"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Escobar, H. P., Sandoval, A. A., Bienzi, P. M., &amp; Salasar, H. D. (2020). </w:t>
      </w:r>
      <w:r w:rsidR="0059531C" w:rsidRPr="00FC4BB3">
        <w:rPr>
          <w:color w:val="auto"/>
          <w:szCs w:val="24"/>
        </w:rPr>
        <w:t>Vertical farm buildings in smart cities</w:t>
      </w:r>
      <w:r w:rsidRPr="00FC4BB3">
        <w:rPr>
          <w:color w:val="auto"/>
          <w:szCs w:val="24"/>
        </w:rPr>
        <w:t xml:space="preserve">. </w:t>
      </w:r>
      <w:r w:rsidRPr="00FC4BB3">
        <w:rPr>
          <w:iCs/>
          <w:color w:val="auto"/>
          <w:szCs w:val="24"/>
        </w:rPr>
        <w:t>System Technologies</w:t>
      </w:r>
      <w:r w:rsidRPr="00FC4BB3">
        <w:rPr>
          <w:color w:val="auto"/>
          <w:szCs w:val="24"/>
        </w:rPr>
        <w:t xml:space="preserve">, </w:t>
      </w:r>
      <w:r w:rsidRPr="00FC4BB3">
        <w:rPr>
          <w:iCs/>
          <w:color w:val="auto"/>
          <w:szCs w:val="24"/>
        </w:rPr>
        <w:t>34</w:t>
      </w:r>
      <w:r w:rsidRPr="00FC4BB3">
        <w:rPr>
          <w:color w:val="auto"/>
          <w:szCs w:val="24"/>
        </w:rPr>
        <w:t>, 73</w:t>
      </w:r>
      <w:r w:rsidR="0059531C" w:rsidRPr="00FC4BB3">
        <w:rPr>
          <w:color w:val="auto"/>
          <w:szCs w:val="24"/>
        </w:rPr>
        <w:t>-</w:t>
      </w:r>
      <w:r w:rsidRPr="00FC4BB3">
        <w:rPr>
          <w:color w:val="auto"/>
          <w:szCs w:val="24"/>
        </w:rPr>
        <w:t>76.</w:t>
      </w:r>
    </w:p>
    <w:p w14:paraId="46ED270B" w14:textId="0C92E9D7"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Fedotov, A. N., &amp; Zhigunov, A. V. (2019). </w:t>
      </w:r>
      <w:r w:rsidR="00D74AD6" w:rsidRPr="00FC4BB3">
        <w:rPr>
          <w:color w:val="auto"/>
          <w:szCs w:val="24"/>
        </w:rPr>
        <w:t>The effect of the day length on the formation of apical buds in one-year-old containerized seedlings of Scots pine and Norway spruce</w:t>
      </w:r>
      <w:r w:rsidRPr="00FC4BB3">
        <w:rPr>
          <w:color w:val="auto"/>
          <w:szCs w:val="24"/>
        </w:rPr>
        <w:t xml:space="preserve">. </w:t>
      </w:r>
      <w:r w:rsidR="00D74AD6" w:rsidRPr="00FC4BB3">
        <w:rPr>
          <w:iCs/>
          <w:color w:val="auto"/>
          <w:szCs w:val="24"/>
        </w:rPr>
        <w:t>Izvestia Sankt-Peterburgskoj lesotehniceskoj akademii</w:t>
      </w:r>
      <w:r w:rsidRPr="00FC4BB3">
        <w:rPr>
          <w:color w:val="auto"/>
          <w:szCs w:val="24"/>
        </w:rPr>
        <w:t xml:space="preserve">, </w:t>
      </w:r>
      <w:r w:rsidRPr="00FC4BB3">
        <w:rPr>
          <w:iCs/>
          <w:color w:val="auto"/>
          <w:szCs w:val="24"/>
        </w:rPr>
        <w:t>215</w:t>
      </w:r>
      <w:r w:rsidRPr="00FC4BB3">
        <w:rPr>
          <w:color w:val="auto"/>
          <w:szCs w:val="24"/>
        </w:rPr>
        <w:t>, 80</w:t>
      </w:r>
      <w:r w:rsidR="00D74AD6" w:rsidRPr="00FC4BB3">
        <w:rPr>
          <w:color w:val="auto"/>
          <w:szCs w:val="24"/>
        </w:rPr>
        <w:t>-</w:t>
      </w:r>
      <w:r w:rsidRPr="00FC4BB3">
        <w:rPr>
          <w:color w:val="auto"/>
          <w:szCs w:val="24"/>
        </w:rPr>
        <w:t xml:space="preserve">91. </w:t>
      </w:r>
      <w:r w:rsidR="00D74AD6" w:rsidRPr="00FC4BB3">
        <w:rPr>
          <w:color w:val="auto"/>
          <w:szCs w:val="24"/>
        </w:rPr>
        <w:t>https://doi.org/10.21266/2079-4304.2016.215.80-91</w:t>
      </w:r>
    </w:p>
    <w:p w14:paraId="12FFADC3" w14:textId="2DCA8136"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Firozjaei, M. K., Sedighi, A., Firozjaei, H. K., Kiavarz, M., Homaee, M., Arsanjani, J. J., &amp; Alavipanah, S. K. (2021). A historical and future impact assessment of mining activities </w:t>
      </w:r>
      <w:r w:rsidRPr="00FC4BB3">
        <w:rPr>
          <w:color w:val="auto"/>
          <w:szCs w:val="24"/>
        </w:rPr>
        <w:lastRenderedPageBreak/>
        <w:t xml:space="preserve">on surface biophysical characteristics change: A remote sensing-based approach. </w:t>
      </w:r>
      <w:r w:rsidRPr="00FC4BB3">
        <w:rPr>
          <w:iCs/>
          <w:color w:val="auto"/>
          <w:szCs w:val="24"/>
        </w:rPr>
        <w:t>Ecological Indicators</w:t>
      </w:r>
      <w:r w:rsidRPr="00FC4BB3">
        <w:rPr>
          <w:color w:val="auto"/>
          <w:szCs w:val="24"/>
        </w:rPr>
        <w:t xml:space="preserve">, </w:t>
      </w:r>
      <w:r w:rsidRPr="00FC4BB3">
        <w:rPr>
          <w:iCs/>
          <w:color w:val="auto"/>
          <w:szCs w:val="24"/>
        </w:rPr>
        <w:t>122</w:t>
      </w:r>
      <w:r w:rsidR="00FB692C" w:rsidRPr="00FC4BB3">
        <w:rPr>
          <w:color w:val="auto"/>
          <w:szCs w:val="24"/>
        </w:rPr>
        <w:t>, 107264</w:t>
      </w:r>
      <w:r w:rsidRPr="00FC4BB3">
        <w:rPr>
          <w:color w:val="auto"/>
          <w:szCs w:val="24"/>
        </w:rPr>
        <w:t>. http://dx.doi.org/10.1016/j.ecolind.2020.107264</w:t>
      </w:r>
    </w:p>
    <w:p w14:paraId="75B9C05E" w14:textId="7A2721DD"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Gof, A. A., Zhigulin, E. V., &amp; Zalesov, S. V. (2019). </w:t>
      </w:r>
      <w:r w:rsidR="00FB692C" w:rsidRPr="00FC4BB3">
        <w:rPr>
          <w:color w:val="auto"/>
          <w:szCs w:val="24"/>
        </w:rPr>
        <w:t>Reasons of low survival rate of common pine seedlings with a closed root system in Altay strip-pine forests</w:t>
      </w:r>
      <w:r w:rsidRPr="00FC4BB3">
        <w:rPr>
          <w:color w:val="auto"/>
          <w:szCs w:val="24"/>
        </w:rPr>
        <w:t xml:space="preserve">. </w:t>
      </w:r>
      <w:r w:rsidRPr="00FC4BB3">
        <w:rPr>
          <w:iCs/>
          <w:color w:val="auto"/>
          <w:szCs w:val="24"/>
        </w:rPr>
        <w:t xml:space="preserve">Advances in </w:t>
      </w:r>
      <w:r w:rsidR="00FB692C" w:rsidRPr="00FC4BB3">
        <w:rPr>
          <w:iCs/>
          <w:color w:val="auto"/>
          <w:szCs w:val="24"/>
        </w:rPr>
        <w:t>Current</w:t>
      </w:r>
      <w:r w:rsidRPr="00FC4BB3">
        <w:rPr>
          <w:iCs/>
          <w:color w:val="auto"/>
          <w:szCs w:val="24"/>
        </w:rPr>
        <w:t xml:space="preserve"> Natural Science</w:t>
      </w:r>
      <w:r w:rsidRPr="00FC4BB3">
        <w:rPr>
          <w:color w:val="auto"/>
          <w:szCs w:val="24"/>
        </w:rPr>
        <w:t xml:space="preserve">, </w:t>
      </w:r>
      <w:r w:rsidRPr="00FC4BB3">
        <w:rPr>
          <w:iCs/>
          <w:color w:val="auto"/>
          <w:szCs w:val="24"/>
        </w:rPr>
        <w:t>12</w:t>
      </w:r>
      <w:r w:rsidRPr="00FC4BB3">
        <w:rPr>
          <w:color w:val="auto"/>
          <w:szCs w:val="24"/>
        </w:rPr>
        <w:t>, 9</w:t>
      </w:r>
      <w:r w:rsidR="00FB692C" w:rsidRPr="00FC4BB3">
        <w:rPr>
          <w:color w:val="auto"/>
          <w:szCs w:val="24"/>
        </w:rPr>
        <w:t>-</w:t>
      </w:r>
      <w:r w:rsidRPr="00FC4BB3">
        <w:rPr>
          <w:color w:val="auto"/>
          <w:szCs w:val="24"/>
        </w:rPr>
        <w:t xml:space="preserve">13. </w:t>
      </w:r>
    </w:p>
    <w:p w14:paraId="08ED15CE" w14:textId="77777777" w:rsidR="001A2938" w:rsidRPr="00FC4BB3" w:rsidRDefault="001A2938" w:rsidP="001A2938">
      <w:pPr>
        <w:widowControl w:val="0"/>
        <w:pBdr>
          <w:top w:val="nil"/>
          <w:left w:val="nil"/>
          <w:bottom w:val="nil"/>
          <w:right w:val="nil"/>
          <w:between w:val="nil"/>
        </w:pBdr>
        <w:spacing w:line="360" w:lineRule="auto"/>
        <w:ind w:left="567" w:hanging="567"/>
        <w:rPr>
          <w:color w:val="auto"/>
          <w:szCs w:val="24"/>
        </w:rPr>
      </w:pPr>
      <w:r w:rsidRPr="00FC4BB3">
        <w:rPr>
          <w:rStyle w:val="rynqvb"/>
          <w:color w:val="auto"/>
          <w:szCs w:val="24"/>
          <w:lang w:val="en"/>
        </w:rPr>
        <w:t xml:space="preserve">Government of the Kemerovo Region – Kuzbass. (2011). Order of the Government of the Kemerovo Region-Kuzbass of May 4, 2011 No. 330-r “On the </w:t>
      </w:r>
      <w:r w:rsidRPr="00FC4BB3">
        <w:rPr>
          <w:color w:val="auto"/>
          <w:szCs w:val="24"/>
        </w:rPr>
        <w:t xml:space="preserve">Strategy for development of forest industry complex of Kemerovo Region until 2025”. </w:t>
      </w:r>
      <w:hyperlink r:id="rId12" w:tgtFrame="_new" w:history="1">
        <w:r w:rsidRPr="00FC4BB3">
          <w:rPr>
            <w:rStyle w:val="af1"/>
            <w:color w:val="auto"/>
            <w:szCs w:val="24"/>
          </w:rPr>
          <w:t>https://docs.cntd.ru/document/450230053</w:t>
        </w:r>
      </w:hyperlink>
      <w:r w:rsidRPr="00FC4BB3">
        <w:rPr>
          <w:rStyle w:val="af1"/>
          <w:color w:val="auto"/>
          <w:szCs w:val="24"/>
          <w:u w:val="none"/>
        </w:rPr>
        <w:t xml:space="preserve"> (accessed on February 26, 2024).</w:t>
      </w:r>
    </w:p>
    <w:p w14:paraId="7215CEA1" w14:textId="20FACC63"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Grossnickle, S. C., Kiiskila, S. B., &amp; Haase, D. L. (2020). Seedling ecophysiology: Five questions to explore in the nursery for optimizing subsequent field success. </w:t>
      </w:r>
      <w:r w:rsidRPr="00FC4BB3">
        <w:rPr>
          <w:iCs/>
          <w:color w:val="auto"/>
          <w:szCs w:val="24"/>
        </w:rPr>
        <w:t>Tree Planters’ Notes</w:t>
      </w:r>
      <w:r w:rsidRPr="00FC4BB3">
        <w:rPr>
          <w:color w:val="auto"/>
          <w:szCs w:val="24"/>
        </w:rPr>
        <w:t xml:space="preserve">, </w:t>
      </w:r>
      <w:r w:rsidRPr="00FC4BB3">
        <w:rPr>
          <w:iCs/>
          <w:color w:val="auto"/>
          <w:szCs w:val="24"/>
        </w:rPr>
        <w:t>6</w:t>
      </w:r>
      <w:r w:rsidR="00FB692C" w:rsidRPr="00FC4BB3">
        <w:rPr>
          <w:iCs/>
          <w:color w:val="auto"/>
          <w:szCs w:val="24"/>
        </w:rPr>
        <w:t>3(</w:t>
      </w:r>
      <w:r w:rsidRPr="00FC4BB3">
        <w:rPr>
          <w:iCs/>
          <w:color w:val="auto"/>
          <w:szCs w:val="24"/>
        </w:rPr>
        <w:t>2</w:t>
      </w:r>
      <w:r w:rsidR="00FB692C" w:rsidRPr="00FC4BB3">
        <w:rPr>
          <w:iCs/>
          <w:color w:val="auto"/>
          <w:szCs w:val="24"/>
        </w:rPr>
        <w:t>)</w:t>
      </w:r>
      <w:r w:rsidR="00FB692C" w:rsidRPr="00FC4BB3">
        <w:rPr>
          <w:color w:val="auto"/>
          <w:szCs w:val="24"/>
        </w:rPr>
        <w:t>, 112-</w:t>
      </w:r>
      <w:r w:rsidRPr="00FC4BB3">
        <w:rPr>
          <w:color w:val="auto"/>
          <w:szCs w:val="24"/>
        </w:rPr>
        <w:t xml:space="preserve">127. </w:t>
      </w:r>
    </w:p>
    <w:p w14:paraId="49A4F9B0" w14:textId="43675B84"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Grossnickle, S. G., &amp; MacDonald, J. E. (20</w:t>
      </w:r>
      <w:r w:rsidR="00E14822" w:rsidRPr="00FC4BB3">
        <w:rPr>
          <w:color w:val="auto"/>
          <w:szCs w:val="24"/>
        </w:rPr>
        <w:t>18</w:t>
      </w:r>
      <w:r w:rsidRPr="00FC4BB3">
        <w:rPr>
          <w:color w:val="auto"/>
          <w:szCs w:val="24"/>
        </w:rPr>
        <w:t xml:space="preserve">). Why seedlings grow: Influence of plant attributes. </w:t>
      </w:r>
      <w:r w:rsidRPr="00FC4BB3">
        <w:rPr>
          <w:iCs/>
          <w:color w:val="auto"/>
          <w:szCs w:val="24"/>
        </w:rPr>
        <w:t>New Forests</w:t>
      </w:r>
      <w:r w:rsidRPr="00FC4BB3">
        <w:rPr>
          <w:color w:val="auto"/>
          <w:szCs w:val="24"/>
        </w:rPr>
        <w:t xml:space="preserve">, </w:t>
      </w:r>
      <w:r w:rsidRPr="00FC4BB3">
        <w:rPr>
          <w:iCs/>
          <w:color w:val="auto"/>
          <w:szCs w:val="24"/>
        </w:rPr>
        <w:t>49</w:t>
      </w:r>
      <w:r w:rsidR="00E14822" w:rsidRPr="00FC4BB3">
        <w:rPr>
          <w:color w:val="auto"/>
          <w:szCs w:val="24"/>
        </w:rPr>
        <w:t>, 1-</w:t>
      </w:r>
      <w:r w:rsidRPr="00FC4BB3">
        <w:rPr>
          <w:color w:val="auto"/>
          <w:szCs w:val="24"/>
        </w:rPr>
        <w:t>34. https://doi.org/10.1007/s11056-017-9606-4</w:t>
      </w:r>
    </w:p>
    <w:p w14:paraId="590BB0E0" w14:textId="77777777"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Gruda, N. S. (2019). Increasing sustainability of growing media constituents and stand-alone substrates in soilless culture systems. </w:t>
      </w:r>
      <w:r w:rsidRPr="00FC4BB3">
        <w:rPr>
          <w:iCs/>
          <w:color w:val="auto"/>
          <w:szCs w:val="24"/>
          <w:lang w:val="it-IT"/>
        </w:rPr>
        <w:t>Agronomy</w:t>
      </w:r>
      <w:r w:rsidRPr="00FC4BB3">
        <w:rPr>
          <w:color w:val="auto"/>
          <w:szCs w:val="24"/>
          <w:lang w:val="it-IT"/>
        </w:rPr>
        <w:t>,</w:t>
      </w:r>
      <w:r w:rsidRPr="00FC4BB3">
        <w:rPr>
          <w:color w:val="auto"/>
          <w:szCs w:val="24"/>
        </w:rPr>
        <w:t xml:space="preserve"> </w:t>
      </w:r>
      <w:r w:rsidRPr="00FC4BB3">
        <w:rPr>
          <w:iCs/>
          <w:color w:val="auto"/>
          <w:szCs w:val="24"/>
        </w:rPr>
        <w:t>9</w:t>
      </w:r>
      <w:r w:rsidRPr="00FC4BB3">
        <w:rPr>
          <w:color w:val="auto"/>
          <w:szCs w:val="24"/>
        </w:rPr>
        <w:t xml:space="preserve">(6), 298. </w:t>
      </w:r>
      <w:hyperlink r:id="rId13" w:history="1">
        <w:r w:rsidRPr="00FC4BB3">
          <w:rPr>
            <w:rStyle w:val="af1"/>
            <w:color w:val="auto"/>
            <w:szCs w:val="24"/>
          </w:rPr>
          <w:t>https://doi.org/10.3390/agronomy9060298</w:t>
        </w:r>
      </w:hyperlink>
    </w:p>
    <w:p w14:paraId="3936470F" w14:textId="29F5FEA0"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lang w:val="it-IT"/>
        </w:rPr>
        <w:t xml:space="preserve">Gulin, K. A., Dianov, S. V., &amp; Antonov, M. B. (2019). </w:t>
      </w:r>
      <w:r w:rsidR="00A71F94" w:rsidRPr="00FC4BB3">
        <w:rPr>
          <w:color w:val="auto"/>
          <w:szCs w:val="24"/>
        </w:rPr>
        <w:t>Issues related to the motivation of tenants of forest plots to use effective methods of reforestation in Russia</w:t>
      </w:r>
      <w:r w:rsidRPr="00FC4BB3">
        <w:rPr>
          <w:color w:val="auto"/>
          <w:szCs w:val="24"/>
        </w:rPr>
        <w:t xml:space="preserve">. </w:t>
      </w:r>
      <w:r w:rsidRPr="00FC4BB3">
        <w:rPr>
          <w:iCs/>
          <w:color w:val="auto"/>
          <w:szCs w:val="24"/>
        </w:rPr>
        <w:t>Economic and Social Changes: Facts, Trends, Forecast</w:t>
      </w:r>
      <w:r w:rsidRPr="00FC4BB3">
        <w:rPr>
          <w:color w:val="auto"/>
          <w:szCs w:val="24"/>
        </w:rPr>
        <w:t xml:space="preserve">, </w:t>
      </w:r>
      <w:r w:rsidRPr="00FC4BB3">
        <w:rPr>
          <w:iCs/>
          <w:color w:val="auto"/>
          <w:szCs w:val="24"/>
        </w:rPr>
        <w:t>12</w:t>
      </w:r>
      <w:r w:rsidR="00E14822" w:rsidRPr="00FC4BB3">
        <w:rPr>
          <w:color w:val="auto"/>
          <w:szCs w:val="24"/>
        </w:rPr>
        <w:t>(1), 108-</w:t>
      </w:r>
      <w:r w:rsidRPr="00FC4BB3">
        <w:rPr>
          <w:color w:val="auto"/>
          <w:szCs w:val="24"/>
        </w:rPr>
        <w:t>123.</w:t>
      </w:r>
      <w:r w:rsidR="00A71F94" w:rsidRPr="00FC4BB3">
        <w:rPr>
          <w:color w:val="auto"/>
          <w:szCs w:val="24"/>
        </w:rPr>
        <w:t xml:space="preserve"> https://doi.org/10.15838/esc.2019.1.61.6</w:t>
      </w:r>
    </w:p>
    <w:p w14:paraId="7250E329" w14:textId="503BDA29"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Halbert-Howard, A., Häfner, F., Karlowsky, S., Schwarz, D., &amp; Krause, A. (2020). Evaluating recycling fertilizers for tomato cultivation in hydroponics and their impact on greenhouse gas emissions. </w:t>
      </w:r>
      <w:r w:rsidRPr="00FC4BB3">
        <w:rPr>
          <w:iCs/>
          <w:color w:val="auto"/>
          <w:szCs w:val="24"/>
        </w:rPr>
        <w:t>Environmental Science and Pollution Research</w:t>
      </w:r>
      <w:r w:rsidRPr="00FC4BB3">
        <w:rPr>
          <w:color w:val="auto"/>
          <w:szCs w:val="24"/>
        </w:rPr>
        <w:t xml:space="preserve">, </w:t>
      </w:r>
      <w:r w:rsidRPr="00FC4BB3">
        <w:rPr>
          <w:iCs/>
          <w:color w:val="auto"/>
          <w:szCs w:val="24"/>
        </w:rPr>
        <w:t>28</w:t>
      </w:r>
      <w:r w:rsidRPr="00FC4BB3">
        <w:rPr>
          <w:color w:val="auto"/>
          <w:szCs w:val="24"/>
        </w:rPr>
        <w:t>, 59284</w:t>
      </w:r>
      <w:r w:rsidR="00A71F94" w:rsidRPr="00FC4BB3">
        <w:rPr>
          <w:color w:val="auto"/>
          <w:szCs w:val="24"/>
        </w:rPr>
        <w:t>-</w:t>
      </w:r>
      <w:r w:rsidRPr="00FC4BB3">
        <w:rPr>
          <w:color w:val="auto"/>
          <w:szCs w:val="24"/>
        </w:rPr>
        <w:t>59303. https://doi.org/10.1007/s11356-020-10461-4</w:t>
      </w:r>
    </w:p>
    <w:p w14:paraId="1419B9DE" w14:textId="77777777" w:rsidR="001A2938" w:rsidRPr="00FC4BB3" w:rsidRDefault="001A2938" w:rsidP="001A2938">
      <w:pPr>
        <w:widowControl w:val="0"/>
        <w:pBdr>
          <w:top w:val="nil"/>
          <w:left w:val="nil"/>
          <w:bottom w:val="nil"/>
          <w:right w:val="nil"/>
          <w:between w:val="nil"/>
        </w:pBdr>
        <w:spacing w:line="360" w:lineRule="auto"/>
        <w:ind w:left="567" w:hanging="567"/>
        <w:rPr>
          <w:color w:val="auto"/>
          <w:szCs w:val="24"/>
        </w:rPr>
      </w:pPr>
      <w:r w:rsidRPr="00FC4BB3">
        <w:rPr>
          <w:rStyle w:val="rynqvb"/>
          <w:color w:val="auto"/>
          <w:szCs w:val="24"/>
          <w:lang w:val="en"/>
        </w:rPr>
        <w:t xml:space="preserve">Industry of Kuzbass. (n.d.). </w:t>
      </w:r>
      <w:r w:rsidRPr="00FC4BB3">
        <w:rPr>
          <w:color w:val="auto"/>
          <w:szCs w:val="24"/>
        </w:rPr>
        <w:t xml:space="preserve">Lesnaya promyshlennost’ [Forest Industry]. </w:t>
      </w:r>
      <w:hyperlink r:id="rId14" w:tgtFrame="_new" w:history="1">
        <w:r w:rsidRPr="00FC4BB3">
          <w:rPr>
            <w:rStyle w:val="af1"/>
            <w:color w:val="auto"/>
            <w:szCs w:val="24"/>
          </w:rPr>
          <w:t>https://vvk-kuzbass.ru/industries/lesnaya-promyshlennost/</w:t>
        </w:r>
      </w:hyperlink>
      <w:r w:rsidRPr="00FC4BB3">
        <w:rPr>
          <w:color w:val="auto"/>
          <w:szCs w:val="24"/>
        </w:rPr>
        <w:t xml:space="preserve"> (accessed on February 28, 2024). </w:t>
      </w:r>
    </w:p>
    <w:p w14:paraId="24279E7F" w14:textId="215ED0A7"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Islakayeva, G. R. (2019). </w:t>
      </w:r>
      <w:r w:rsidR="00A71F94" w:rsidRPr="00FC4BB3">
        <w:rPr>
          <w:color w:val="auto"/>
          <w:szCs w:val="24"/>
        </w:rPr>
        <w:t>The reform of the Finnish forest industry, securing its world level</w:t>
      </w:r>
      <w:r w:rsidRPr="00FC4BB3">
        <w:rPr>
          <w:color w:val="auto"/>
          <w:szCs w:val="24"/>
        </w:rPr>
        <w:t xml:space="preserve">. </w:t>
      </w:r>
      <w:r w:rsidRPr="00FC4BB3">
        <w:rPr>
          <w:iCs/>
          <w:color w:val="auto"/>
          <w:szCs w:val="24"/>
        </w:rPr>
        <w:t>Regional Econom</w:t>
      </w:r>
      <w:r w:rsidR="00A71F94" w:rsidRPr="00FC4BB3">
        <w:rPr>
          <w:iCs/>
          <w:color w:val="auto"/>
          <w:szCs w:val="24"/>
        </w:rPr>
        <w:t>ics</w:t>
      </w:r>
      <w:r w:rsidRPr="00FC4BB3">
        <w:rPr>
          <w:iCs/>
          <w:color w:val="auto"/>
          <w:szCs w:val="24"/>
        </w:rPr>
        <w:t>: Theory and Practice</w:t>
      </w:r>
      <w:r w:rsidRPr="00FC4BB3">
        <w:rPr>
          <w:color w:val="auto"/>
          <w:szCs w:val="24"/>
        </w:rPr>
        <w:t xml:space="preserve">, </w:t>
      </w:r>
      <w:r w:rsidRPr="00FC4BB3">
        <w:rPr>
          <w:iCs/>
          <w:color w:val="auto"/>
          <w:szCs w:val="24"/>
        </w:rPr>
        <w:t>15</w:t>
      </w:r>
      <w:r w:rsidRPr="00FC4BB3">
        <w:rPr>
          <w:color w:val="auto"/>
          <w:szCs w:val="24"/>
        </w:rPr>
        <w:t>(3), 553</w:t>
      </w:r>
      <w:r w:rsidR="00A71F94" w:rsidRPr="00FC4BB3">
        <w:rPr>
          <w:color w:val="auto"/>
          <w:szCs w:val="24"/>
        </w:rPr>
        <w:t>-</w:t>
      </w:r>
      <w:r w:rsidRPr="00FC4BB3">
        <w:rPr>
          <w:color w:val="auto"/>
          <w:szCs w:val="24"/>
        </w:rPr>
        <w:t>564.</w:t>
      </w:r>
      <w:r w:rsidR="00A71F94" w:rsidRPr="00FC4BB3">
        <w:rPr>
          <w:color w:val="auto"/>
          <w:szCs w:val="24"/>
        </w:rPr>
        <w:t xml:space="preserve"> https://doi.org/10.24891/re.15.3.553</w:t>
      </w:r>
    </w:p>
    <w:p w14:paraId="1EF838B1" w14:textId="3081E099"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lang w:val="it-IT"/>
        </w:rPr>
        <w:t>Kabanova, S. A., &amp; Danchenko, A. M. (201</w:t>
      </w:r>
      <w:r w:rsidR="002D44FC" w:rsidRPr="00FC4BB3">
        <w:rPr>
          <w:color w:val="auto"/>
          <w:szCs w:val="24"/>
          <w:lang w:val="it-IT"/>
        </w:rPr>
        <w:t>6</w:t>
      </w:r>
      <w:r w:rsidRPr="00FC4BB3">
        <w:rPr>
          <w:color w:val="auto"/>
          <w:szCs w:val="24"/>
          <w:lang w:val="it-IT"/>
        </w:rPr>
        <w:t xml:space="preserve">). </w:t>
      </w:r>
      <w:r w:rsidR="00A71F94" w:rsidRPr="00FC4BB3">
        <w:rPr>
          <w:color w:val="auto"/>
          <w:szCs w:val="24"/>
        </w:rPr>
        <w:t>The effect of stimulants on seed germination and growth of seedlings of pinus sylvtstris in Northern Kazakhstan</w:t>
      </w:r>
      <w:r w:rsidRPr="00FC4BB3">
        <w:rPr>
          <w:color w:val="auto"/>
          <w:szCs w:val="24"/>
        </w:rPr>
        <w:t xml:space="preserve">. </w:t>
      </w:r>
      <w:r w:rsidRPr="00FC4BB3">
        <w:rPr>
          <w:iCs/>
          <w:color w:val="auto"/>
          <w:szCs w:val="24"/>
        </w:rPr>
        <w:t xml:space="preserve">Advances in </w:t>
      </w:r>
      <w:r w:rsidR="002D44FC" w:rsidRPr="00FC4BB3">
        <w:rPr>
          <w:iCs/>
          <w:color w:val="auto"/>
          <w:szCs w:val="24"/>
        </w:rPr>
        <w:t>Curre</w:t>
      </w:r>
      <w:r w:rsidRPr="00FC4BB3">
        <w:rPr>
          <w:iCs/>
          <w:color w:val="auto"/>
          <w:szCs w:val="24"/>
        </w:rPr>
        <w:t>n</w:t>
      </w:r>
      <w:r w:rsidR="002D44FC" w:rsidRPr="00FC4BB3">
        <w:rPr>
          <w:iCs/>
          <w:color w:val="auto"/>
          <w:szCs w:val="24"/>
        </w:rPr>
        <w:t>t</w:t>
      </w:r>
      <w:r w:rsidRPr="00FC4BB3">
        <w:rPr>
          <w:iCs/>
          <w:color w:val="auto"/>
          <w:szCs w:val="24"/>
        </w:rPr>
        <w:t xml:space="preserve"> Natural Science</w:t>
      </w:r>
      <w:r w:rsidRPr="00FC4BB3">
        <w:rPr>
          <w:color w:val="auto"/>
          <w:szCs w:val="24"/>
        </w:rPr>
        <w:t xml:space="preserve">, </w:t>
      </w:r>
      <w:r w:rsidRPr="00FC4BB3">
        <w:rPr>
          <w:iCs/>
          <w:color w:val="auto"/>
          <w:szCs w:val="24"/>
        </w:rPr>
        <w:t>8</w:t>
      </w:r>
      <w:r w:rsidRPr="00FC4BB3">
        <w:rPr>
          <w:color w:val="auto"/>
          <w:szCs w:val="24"/>
        </w:rPr>
        <w:t>, 88</w:t>
      </w:r>
      <w:r w:rsidR="00A71F94" w:rsidRPr="00FC4BB3">
        <w:rPr>
          <w:color w:val="auto"/>
          <w:szCs w:val="24"/>
        </w:rPr>
        <w:t>-</w:t>
      </w:r>
      <w:r w:rsidRPr="00FC4BB3">
        <w:rPr>
          <w:color w:val="auto"/>
          <w:szCs w:val="24"/>
        </w:rPr>
        <w:t xml:space="preserve">92. </w:t>
      </w:r>
    </w:p>
    <w:p w14:paraId="33A3ADE0" w14:textId="77777777"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Kalkhajeh, Y. K., Huang, B., Hu, W., Chao, M., Gao, H., Thompson, M. L., &amp; Hansen, H. C. </w:t>
      </w:r>
      <w:r w:rsidRPr="00FC4BB3">
        <w:rPr>
          <w:color w:val="auto"/>
          <w:szCs w:val="24"/>
        </w:rPr>
        <w:lastRenderedPageBreak/>
        <w:t xml:space="preserve">B. (2021). Environmental soil quality and vegetable safety under current greenhouse vegetable production management in China. </w:t>
      </w:r>
      <w:r w:rsidRPr="00FC4BB3">
        <w:rPr>
          <w:iCs/>
          <w:color w:val="auto"/>
          <w:szCs w:val="24"/>
        </w:rPr>
        <w:t>Agriculture, Ecosystems &amp; Environment</w:t>
      </w:r>
      <w:r w:rsidRPr="00FC4BB3">
        <w:rPr>
          <w:color w:val="auto"/>
          <w:szCs w:val="24"/>
        </w:rPr>
        <w:t xml:space="preserve">, </w:t>
      </w:r>
      <w:r w:rsidRPr="00FC4BB3">
        <w:rPr>
          <w:iCs/>
          <w:color w:val="auto"/>
          <w:szCs w:val="24"/>
        </w:rPr>
        <w:t>307</w:t>
      </w:r>
      <w:r w:rsidRPr="00FC4BB3">
        <w:rPr>
          <w:color w:val="auto"/>
          <w:szCs w:val="24"/>
        </w:rPr>
        <w:t>, 107230. https://doi.org/10.1016/J.AGEE.2020.107230</w:t>
      </w:r>
    </w:p>
    <w:p w14:paraId="50C702BC" w14:textId="77777777" w:rsidR="001A2938" w:rsidRPr="00FC4BB3" w:rsidRDefault="001A2938" w:rsidP="001A2938">
      <w:pPr>
        <w:widowControl w:val="0"/>
        <w:pBdr>
          <w:top w:val="nil"/>
          <w:left w:val="nil"/>
          <w:bottom w:val="nil"/>
          <w:right w:val="nil"/>
          <w:between w:val="nil"/>
        </w:pBdr>
        <w:spacing w:line="360" w:lineRule="auto"/>
        <w:ind w:left="567" w:hanging="567"/>
        <w:rPr>
          <w:color w:val="auto"/>
          <w:szCs w:val="24"/>
        </w:rPr>
      </w:pPr>
      <w:r w:rsidRPr="00FC4BB3">
        <w:rPr>
          <w:rStyle w:val="rynqvb"/>
          <w:color w:val="auto"/>
          <w:szCs w:val="24"/>
          <w:lang w:val="en"/>
        </w:rPr>
        <w:t>Kamitdinov, N</w:t>
      </w:r>
      <w:r w:rsidRPr="00FC4BB3">
        <w:rPr>
          <w:color w:val="auto"/>
          <w:szCs w:val="24"/>
        </w:rPr>
        <w:t>. (2019, September 5). Gryadki vverkh. Kto i zachem stroit vertikal'nyye fermy v rossiyskikh gorodakh [</w:t>
      </w:r>
      <w:r w:rsidRPr="00FC4BB3">
        <w:rPr>
          <w:rStyle w:val="rynqvb"/>
          <w:color w:val="auto"/>
          <w:szCs w:val="24"/>
          <w:lang w:val="en"/>
        </w:rPr>
        <w:t>Garden beds up.</w:t>
      </w:r>
      <w:r w:rsidRPr="00FC4BB3">
        <w:rPr>
          <w:color w:val="auto"/>
          <w:szCs w:val="24"/>
        </w:rPr>
        <w:t xml:space="preserve"> Who and why builds vertical farms in Russian cities]. https://incrussia.ru/understand/vertical-farming (accessed on February 25, 2024). </w:t>
      </w:r>
    </w:p>
    <w:p w14:paraId="29524078" w14:textId="55FED21D"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Korovitsky, D. I., Kolodich, D. Yu., &amp; Demchuk, E. V. (2023). Vertical farming systems: </w:t>
      </w:r>
      <w:r w:rsidR="000B0DAA" w:rsidRPr="00FC4BB3">
        <w:rPr>
          <w:color w:val="auto"/>
          <w:szCs w:val="24"/>
        </w:rPr>
        <w:t>A</w:t>
      </w:r>
      <w:r w:rsidRPr="00FC4BB3">
        <w:rPr>
          <w:color w:val="auto"/>
          <w:szCs w:val="24"/>
        </w:rPr>
        <w:t xml:space="preserve">dvantages, disadvantages, prospects. In </w:t>
      </w:r>
      <w:r w:rsidRPr="00FC4BB3">
        <w:rPr>
          <w:iCs/>
          <w:color w:val="auto"/>
          <w:szCs w:val="24"/>
        </w:rPr>
        <w:t xml:space="preserve">Scientific and </w:t>
      </w:r>
      <w:r w:rsidR="000B0DAA" w:rsidRPr="00FC4BB3">
        <w:rPr>
          <w:iCs/>
          <w:color w:val="auto"/>
          <w:szCs w:val="24"/>
        </w:rPr>
        <w:t>t</w:t>
      </w:r>
      <w:r w:rsidRPr="00FC4BB3">
        <w:rPr>
          <w:iCs/>
          <w:color w:val="auto"/>
          <w:szCs w:val="24"/>
        </w:rPr>
        <w:t xml:space="preserve">echnical </w:t>
      </w:r>
      <w:r w:rsidR="000B0DAA" w:rsidRPr="00FC4BB3">
        <w:rPr>
          <w:iCs/>
          <w:color w:val="auto"/>
          <w:szCs w:val="24"/>
        </w:rPr>
        <w:t>s</w:t>
      </w:r>
      <w:r w:rsidRPr="00FC4BB3">
        <w:rPr>
          <w:iCs/>
          <w:color w:val="auto"/>
          <w:szCs w:val="24"/>
        </w:rPr>
        <w:t xml:space="preserve">upport of </w:t>
      </w:r>
      <w:r w:rsidR="000B0DAA" w:rsidRPr="00FC4BB3">
        <w:rPr>
          <w:iCs/>
          <w:color w:val="auto"/>
          <w:szCs w:val="24"/>
        </w:rPr>
        <w:t>a</w:t>
      </w:r>
      <w:r w:rsidRPr="00FC4BB3">
        <w:rPr>
          <w:iCs/>
          <w:color w:val="auto"/>
          <w:szCs w:val="24"/>
        </w:rPr>
        <w:t xml:space="preserve">griculture: State and </w:t>
      </w:r>
      <w:r w:rsidR="000B0DAA" w:rsidRPr="00FC4BB3">
        <w:rPr>
          <w:iCs/>
          <w:color w:val="auto"/>
          <w:szCs w:val="24"/>
        </w:rPr>
        <w:t>d</w:t>
      </w:r>
      <w:r w:rsidRPr="00FC4BB3">
        <w:rPr>
          <w:iCs/>
          <w:color w:val="auto"/>
          <w:szCs w:val="24"/>
        </w:rPr>
        <w:t xml:space="preserve">evelopment </w:t>
      </w:r>
      <w:r w:rsidR="000B0DAA" w:rsidRPr="00FC4BB3">
        <w:rPr>
          <w:iCs/>
          <w:color w:val="auto"/>
          <w:szCs w:val="24"/>
        </w:rPr>
        <w:t>p</w:t>
      </w:r>
      <w:r w:rsidRPr="00FC4BB3">
        <w:rPr>
          <w:iCs/>
          <w:color w:val="auto"/>
          <w:szCs w:val="24"/>
        </w:rPr>
        <w:t>rospects</w:t>
      </w:r>
      <w:r w:rsidR="000B0DAA" w:rsidRPr="00FC4BB3">
        <w:rPr>
          <w:iCs/>
          <w:color w:val="auto"/>
          <w:szCs w:val="24"/>
        </w:rPr>
        <w:t>. Proceedings of the IX International scientific and practical conference dedicated to the 105th anniversary of the Federal State Budgetary Educational Institution of Higher Education Omsk State Agrarian University</w:t>
      </w:r>
      <w:r w:rsidRPr="00FC4BB3">
        <w:rPr>
          <w:color w:val="auto"/>
          <w:szCs w:val="24"/>
        </w:rPr>
        <w:t xml:space="preserve"> (pp. 243</w:t>
      </w:r>
      <w:r w:rsidR="000B0DAA" w:rsidRPr="00FC4BB3">
        <w:rPr>
          <w:color w:val="auto"/>
          <w:szCs w:val="24"/>
        </w:rPr>
        <w:t>-</w:t>
      </w:r>
      <w:r w:rsidRPr="00FC4BB3">
        <w:rPr>
          <w:color w:val="auto"/>
          <w:szCs w:val="24"/>
        </w:rPr>
        <w:t>247). Omsk</w:t>
      </w:r>
      <w:r w:rsidR="000B0DAA" w:rsidRPr="00FC4BB3">
        <w:rPr>
          <w:color w:val="auto"/>
          <w:szCs w:val="24"/>
        </w:rPr>
        <w:t xml:space="preserve">: </w:t>
      </w:r>
      <w:r w:rsidR="000B0DAA" w:rsidRPr="00FC4BB3">
        <w:rPr>
          <w:rStyle w:val="rynqvb"/>
          <w:color w:val="auto"/>
          <w:szCs w:val="24"/>
          <w:lang w:val="en"/>
        </w:rPr>
        <w:t>Omsk State Agrarian University named after P.A.</w:t>
      </w:r>
      <w:r w:rsidR="000B0DAA" w:rsidRPr="00FC4BB3">
        <w:rPr>
          <w:rStyle w:val="hwtze"/>
          <w:rFonts w:eastAsiaTheme="majorEastAsia"/>
          <w:color w:val="auto"/>
          <w:szCs w:val="24"/>
          <w:lang w:val="en"/>
        </w:rPr>
        <w:t xml:space="preserve"> </w:t>
      </w:r>
      <w:r w:rsidR="000B0DAA" w:rsidRPr="00FC4BB3">
        <w:rPr>
          <w:rStyle w:val="rynqvb"/>
          <w:color w:val="auto"/>
          <w:szCs w:val="24"/>
          <w:lang w:val="en"/>
        </w:rPr>
        <w:t>Stolypin</w:t>
      </w:r>
      <w:r w:rsidRPr="00FC4BB3">
        <w:rPr>
          <w:color w:val="auto"/>
          <w:szCs w:val="24"/>
        </w:rPr>
        <w:t>.</w:t>
      </w:r>
    </w:p>
    <w:p w14:paraId="53800A1E" w14:textId="045CAACD"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Koval, N. V., &amp; Protopopova, D. A. (2021). </w:t>
      </w:r>
      <w:r w:rsidR="002D44FC" w:rsidRPr="00FC4BB3">
        <w:rPr>
          <w:color w:val="auto"/>
          <w:szCs w:val="24"/>
        </w:rPr>
        <w:t>Innovative technologies of construction of vertical farms in urban conditions</w:t>
      </w:r>
      <w:r w:rsidRPr="00FC4BB3">
        <w:rPr>
          <w:color w:val="auto"/>
          <w:szCs w:val="24"/>
        </w:rPr>
        <w:t xml:space="preserve">. </w:t>
      </w:r>
      <w:r w:rsidRPr="00FC4BB3">
        <w:rPr>
          <w:iCs/>
          <w:color w:val="auto"/>
          <w:szCs w:val="24"/>
        </w:rPr>
        <w:t xml:space="preserve">Young </w:t>
      </w:r>
      <w:r w:rsidR="002D44FC" w:rsidRPr="00FC4BB3">
        <w:rPr>
          <w:iCs/>
          <w:color w:val="auto"/>
          <w:szCs w:val="24"/>
        </w:rPr>
        <w:t xml:space="preserve">Don </w:t>
      </w:r>
      <w:r w:rsidRPr="00FC4BB3">
        <w:rPr>
          <w:iCs/>
          <w:color w:val="auto"/>
          <w:szCs w:val="24"/>
        </w:rPr>
        <w:t>Researcher</w:t>
      </w:r>
      <w:r w:rsidRPr="00FC4BB3">
        <w:rPr>
          <w:color w:val="auto"/>
          <w:szCs w:val="24"/>
        </w:rPr>
        <w:t xml:space="preserve">, </w:t>
      </w:r>
      <w:r w:rsidRPr="00FC4BB3">
        <w:rPr>
          <w:iCs/>
          <w:color w:val="auto"/>
          <w:szCs w:val="24"/>
        </w:rPr>
        <w:t>1</w:t>
      </w:r>
      <w:r w:rsidRPr="00FC4BB3">
        <w:rPr>
          <w:color w:val="auto"/>
          <w:szCs w:val="24"/>
        </w:rPr>
        <w:t>(28), 62</w:t>
      </w:r>
      <w:r w:rsidR="002D44FC" w:rsidRPr="00FC4BB3">
        <w:rPr>
          <w:color w:val="auto"/>
          <w:szCs w:val="24"/>
        </w:rPr>
        <w:t>-</w:t>
      </w:r>
      <w:r w:rsidRPr="00FC4BB3">
        <w:rPr>
          <w:color w:val="auto"/>
          <w:szCs w:val="24"/>
        </w:rPr>
        <w:t>67.</w:t>
      </w:r>
    </w:p>
    <w:p w14:paraId="72110886" w14:textId="47C63386" w:rsidR="00206BE4" w:rsidRPr="00FC4BB3" w:rsidRDefault="00206BE4" w:rsidP="001A2938">
      <w:pPr>
        <w:widowControl w:val="0"/>
        <w:pBdr>
          <w:top w:val="nil"/>
          <w:left w:val="nil"/>
          <w:bottom w:val="nil"/>
          <w:right w:val="nil"/>
          <w:between w:val="nil"/>
        </w:pBdr>
        <w:spacing w:line="360" w:lineRule="auto"/>
        <w:ind w:left="567" w:hanging="567"/>
        <w:rPr>
          <w:color w:val="FF0000"/>
          <w:szCs w:val="24"/>
        </w:rPr>
      </w:pPr>
      <w:r w:rsidRPr="00FC4BB3">
        <w:rPr>
          <w:color w:val="auto"/>
          <w:szCs w:val="24"/>
        </w:rPr>
        <w:t xml:space="preserve">Kozlova, A. V. (2021). Vertical farms – </w:t>
      </w:r>
      <w:r w:rsidR="002D44FC" w:rsidRPr="00FC4BB3">
        <w:rPr>
          <w:color w:val="auto"/>
          <w:szCs w:val="24"/>
        </w:rPr>
        <w:t>A</w:t>
      </w:r>
      <w:r w:rsidRPr="00FC4BB3">
        <w:rPr>
          <w:color w:val="auto"/>
          <w:szCs w:val="24"/>
        </w:rPr>
        <w:t xml:space="preserve"> new trend in agriculture. </w:t>
      </w:r>
      <w:r w:rsidRPr="00FC4BB3">
        <w:rPr>
          <w:iCs/>
          <w:color w:val="auto"/>
          <w:szCs w:val="24"/>
        </w:rPr>
        <w:t>Youth and Science</w:t>
      </w:r>
      <w:r w:rsidRPr="00FC4BB3">
        <w:rPr>
          <w:color w:val="auto"/>
          <w:szCs w:val="24"/>
        </w:rPr>
        <w:t>, 8, 35</w:t>
      </w:r>
      <w:r w:rsidRPr="00FC4BB3">
        <w:rPr>
          <w:color w:val="FF0000"/>
          <w:szCs w:val="24"/>
        </w:rPr>
        <w:t>.</w:t>
      </w:r>
    </w:p>
    <w:p w14:paraId="1280DE8A" w14:textId="77777777"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Kusuma, P., Pattison, P. M., &amp; Bugbee, B. (2020). From physics to fixtures to food: Current and potential LED efficacy. </w:t>
      </w:r>
      <w:r w:rsidRPr="00FC4BB3">
        <w:rPr>
          <w:iCs/>
          <w:color w:val="auto"/>
          <w:szCs w:val="24"/>
        </w:rPr>
        <w:t>Horticulture Research</w:t>
      </w:r>
      <w:r w:rsidRPr="00FC4BB3">
        <w:rPr>
          <w:color w:val="auto"/>
          <w:szCs w:val="24"/>
        </w:rPr>
        <w:t xml:space="preserve">, </w:t>
      </w:r>
      <w:r w:rsidRPr="00FC4BB3">
        <w:rPr>
          <w:iCs/>
          <w:color w:val="auto"/>
          <w:szCs w:val="24"/>
        </w:rPr>
        <w:t>7</w:t>
      </w:r>
      <w:r w:rsidRPr="00FC4BB3">
        <w:rPr>
          <w:color w:val="auto"/>
          <w:szCs w:val="24"/>
        </w:rPr>
        <w:t>, 56. https://doi.org/10.1038/s41438-020-0283-7</w:t>
      </w:r>
    </w:p>
    <w:p w14:paraId="02609975" w14:textId="5BD04C11" w:rsidR="00497D13" w:rsidRPr="00FC4BB3" w:rsidRDefault="00497D13" w:rsidP="001A2938">
      <w:pPr>
        <w:widowControl w:val="0"/>
        <w:pBdr>
          <w:top w:val="nil"/>
          <w:left w:val="nil"/>
          <w:bottom w:val="nil"/>
          <w:right w:val="nil"/>
          <w:between w:val="nil"/>
        </w:pBdr>
        <w:spacing w:line="360" w:lineRule="auto"/>
        <w:ind w:left="567" w:hanging="567"/>
        <w:rPr>
          <w:szCs w:val="24"/>
        </w:rPr>
      </w:pPr>
      <w:r w:rsidRPr="00FC4BB3">
        <w:rPr>
          <w:szCs w:val="24"/>
        </w:rPr>
        <w:t>Lanoue, J., Hao, X., Vaštakaitė-Kairienė, V., &amp; Marcelis, L. F. M. (2024). Editorial: Physiological growth responses to light in controlled environment agriculture. Frontiers in Plant Science 15, 1529062. https://doi.org/10.3389/fpls.2024.1529062</w:t>
      </w:r>
    </w:p>
    <w:p w14:paraId="390C2E58" w14:textId="4EEBC404"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Matveev, S. M., &amp; Timashchuk, D. A. (2019). Dendroclimatic </w:t>
      </w:r>
      <w:r w:rsidR="00A12642" w:rsidRPr="00FC4BB3">
        <w:rPr>
          <w:color w:val="auto"/>
          <w:szCs w:val="24"/>
        </w:rPr>
        <w:t>a</w:t>
      </w:r>
      <w:r w:rsidRPr="00FC4BB3">
        <w:rPr>
          <w:color w:val="auto"/>
          <w:szCs w:val="24"/>
        </w:rPr>
        <w:t>ssessment of a 200-</w:t>
      </w:r>
      <w:r w:rsidR="00A12642" w:rsidRPr="00FC4BB3">
        <w:rPr>
          <w:color w:val="auto"/>
          <w:szCs w:val="24"/>
        </w:rPr>
        <w:t>y</w:t>
      </w:r>
      <w:r w:rsidRPr="00FC4BB3">
        <w:rPr>
          <w:color w:val="auto"/>
          <w:szCs w:val="24"/>
        </w:rPr>
        <w:t>ear-old scots pine stand in the Voronezh biosphere reserve. </w:t>
      </w:r>
      <w:r w:rsidRPr="00FC4BB3">
        <w:rPr>
          <w:iCs/>
          <w:color w:val="auto"/>
          <w:szCs w:val="24"/>
        </w:rPr>
        <w:t>Contemporary Problems of Ecology</w:t>
      </w:r>
      <w:r w:rsidRPr="00FC4BB3">
        <w:rPr>
          <w:color w:val="auto"/>
          <w:szCs w:val="24"/>
        </w:rPr>
        <w:t>, </w:t>
      </w:r>
      <w:r w:rsidRPr="00FC4BB3">
        <w:rPr>
          <w:iCs/>
          <w:color w:val="auto"/>
          <w:szCs w:val="24"/>
        </w:rPr>
        <w:t>12</w:t>
      </w:r>
      <w:r w:rsidRPr="00FC4BB3">
        <w:rPr>
          <w:color w:val="auto"/>
          <w:szCs w:val="24"/>
        </w:rPr>
        <w:t>(7), 682-691. https://doi.org/10.1134/S1995425519070096</w:t>
      </w:r>
    </w:p>
    <w:p w14:paraId="235AADD4" w14:textId="1EE82E82"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lang w:val="es-ES"/>
        </w:rPr>
        <w:t>Miroshnik, S., Vlasova, T., Lesovaya, T.</w:t>
      </w:r>
      <w:r w:rsidR="00A12642" w:rsidRPr="00FC4BB3">
        <w:rPr>
          <w:color w:val="auto"/>
          <w:szCs w:val="24"/>
          <w:lang w:val="es-ES"/>
        </w:rPr>
        <w:t xml:space="preserve">, &amp; Duel, V. </w:t>
      </w:r>
      <w:r w:rsidRPr="00FC4BB3">
        <w:rPr>
          <w:color w:val="auto"/>
          <w:szCs w:val="24"/>
          <w:lang w:val="es-ES"/>
        </w:rPr>
        <w:t xml:space="preserve">(2025). </w:t>
      </w:r>
      <w:r w:rsidRPr="00FC4BB3">
        <w:rPr>
          <w:color w:val="auto"/>
          <w:szCs w:val="24"/>
        </w:rPr>
        <w:t xml:space="preserve">Ecologically sustainable development and the application of common principles of law: The development of legal relationships to improve the interaction between people, society and nature. </w:t>
      </w:r>
      <w:r w:rsidRPr="00FC4BB3">
        <w:rPr>
          <w:iCs/>
          <w:color w:val="auto"/>
          <w:szCs w:val="24"/>
        </w:rPr>
        <w:t>International Journal of Ecosystems and Ecology Science</w:t>
      </w:r>
      <w:r w:rsidRPr="00FC4BB3">
        <w:rPr>
          <w:color w:val="auto"/>
          <w:szCs w:val="24"/>
        </w:rPr>
        <w:t xml:space="preserve">, </w:t>
      </w:r>
      <w:r w:rsidRPr="00FC4BB3">
        <w:rPr>
          <w:iCs/>
          <w:color w:val="auto"/>
          <w:szCs w:val="24"/>
        </w:rPr>
        <w:t>15</w:t>
      </w:r>
      <w:r w:rsidRPr="00FC4BB3">
        <w:rPr>
          <w:color w:val="auto"/>
          <w:szCs w:val="24"/>
        </w:rPr>
        <w:t>(4), 229</w:t>
      </w:r>
      <w:r w:rsidR="00A12642" w:rsidRPr="00FC4BB3">
        <w:rPr>
          <w:color w:val="auto"/>
          <w:szCs w:val="24"/>
        </w:rPr>
        <w:t>-</w:t>
      </w:r>
      <w:r w:rsidRPr="00FC4BB3">
        <w:rPr>
          <w:color w:val="auto"/>
          <w:szCs w:val="24"/>
        </w:rPr>
        <w:t xml:space="preserve">236. </w:t>
      </w:r>
      <w:hyperlink r:id="rId15" w:tgtFrame="_new" w:history="1">
        <w:r w:rsidRPr="00FC4BB3">
          <w:rPr>
            <w:rStyle w:val="af1"/>
            <w:color w:val="auto"/>
            <w:szCs w:val="24"/>
          </w:rPr>
          <w:t>https://doi.org/10.31407/ijees15.428</w:t>
        </w:r>
      </w:hyperlink>
    </w:p>
    <w:p w14:paraId="68CB58E8" w14:textId="554FBEDA"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Otto, A. S., Akhmetov, S. G., Sadbekov, D. Zh., &amp; Demchuk, E. V. (2020). </w:t>
      </w:r>
      <w:r w:rsidR="00A12642" w:rsidRPr="00FC4BB3">
        <w:rPr>
          <w:color w:val="auto"/>
          <w:szCs w:val="24"/>
        </w:rPr>
        <w:t>Hydroponics as a method of modern crop production</w:t>
      </w:r>
      <w:r w:rsidRPr="00FC4BB3">
        <w:rPr>
          <w:color w:val="auto"/>
          <w:szCs w:val="24"/>
        </w:rPr>
        <w:t xml:space="preserve">. In </w:t>
      </w:r>
      <w:r w:rsidRPr="00FC4BB3">
        <w:rPr>
          <w:iCs/>
          <w:color w:val="auto"/>
          <w:szCs w:val="24"/>
        </w:rPr>
        <w:t>Role of student research in agricultural development</w:t>
      </w:r>
      <w:r w:rsidR="00A12642" w:rsidRPr="00FC4BB3">
        <w:rPr>
          <w:iCs/>
          <w:color w:val="auto"/>
          <w:szCs w:val="24"/>
        </w:rPr>
        <w:t xml:space="preserve">: </w:t>
      </w:r>
      <w:r w:rsidR="00A12642" w:rsidRPr="00FC4BB3">
        <w:rPr>
          <w:rStyle w:val="rynqvb"/>
          <w:color w:val="auto"/>
          <w:szCs w:val="24"/>
          <w:lang w:val="en"/>
        </w:rPr>
        <w:t>Collection of the All-Russian (national) scientific and practical conference</w:t>
      </w:r>
      <w:r w:rsidR="00A12642" w:rsidRPr="00FC4BB3">
        <w:rPr>
          <w:color w:val="auto"/>
          <w:szCs w:val="24"/>
        </w:rPr>
        <w:t xml:space="preserve"> (pp. 212-</w:t>
      </w:r>
      <w:r w:rsidRPr="00FC4BB3">
        <w:rPr>
          <w:color w:val="auto"/>
          <w:szCs w:val="24"/>
        </w:rPr>
        <w:t xml:space="preserve">216). </w:t>
      </w:r>
      <w:r w:rsidR="00A12642" w:rsidRPr="00FC4BB3">
        <w:rPr>
          <w:color w:val="auto"/>
          <w:szCs w:val="24"/>
        </w:rPr>
        <w:t xml:space="preserve">Omsk: </w:t>
      </w:r>
      <w:r w:rsidR="00A12642" w:rsidRPr="00FC4BB3">
        <w:rPr>
          <w:rStyle w:val="rynqvb"/>
          <w:color w:val="auto"/>
          <w:szCs w:val="24"/>
          <w:lang w:val="en"/>
        </w:rPr>
        <w:t>Omsk State Agrarian University named after P.A.</w:t>
      </w:r>
      <w:r w:rsidR="00A12642" w:rsidRPr="00FC4BB3">
        <w:rPr>
          <w:rStyle w:val="hwtze"/>
          <w:rFonts w:eastAsiaTheme="majorEastAsia"/>
          <w:color w:val="auto"/>
          <w:szCs w:val="24"/>
          <w:lang w:val="en"/>
        </w:rPr>
        <w:t xml:space="preserve"> </w:t>
      </w:r>
      <w:r w:rsidR="00A12642" w:rsidRPr="00FC4BB3">
        <w:rPr>
          <w:rStyle w:val="rynqvb"/>
          <w:color w:val="auto"/>
          <w:szCs w:val="24"/>
          <w:lang w:val="en"/>
        </w:rPr>
        <w:t>Stolypin</w:t>
      </w:r>
      <w:r w:rsidRPr="00FC4BB3">
        <w:rPr>
          <w:color w:val="auto"/>
          <w:szCs w:val="24"/>
        </w:rPr>
        <w:t>.</w:t>
      </w:r>
    </w:p>
    <w:p w14:paraId="5C1EB3A4" w14:textId="71A6293D"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Panov, D. S., Andreeva, A. I., Kravtsov, I. N., &amp; Leonov, A. A. (2022). Hydroponics: </w:t>
      </w:r>
      <w:r w:rsidR="00D74AD6" w:rsidRPr="00FC4BB3">
        <w:rPr>
          <w:color w:val="auto"/>
          <w:szCs w:val="24"/>
        </w:rPr>
        <w:t>T</w:t>
      </w:r>
      <w:r w:rsidRPr="00FC4BB3">
        <w:rPr>
          <w:color w:val="auto"/>
          <w:szCs w:val="24"/>
        </w:rPr>
        <w:t xml:space="preserve">ypes </w:t>
      </w:r>
      <w:r w:rsidRPr="00FC4BB3">
        <w:rPr>
          <w:color w:val="auto"/>
          <w:szCs w:val="24"/>
        </w:rPr>
        <w:lastRenderedPageBreak/>
        <w:t xml:space="preserve">and prospects. In </w:t>
      </w:r>
      <w:r w:rsidRPr="00FC4BB3">
        <w:rPr>
          <w:iCs/>
          <w:color w:val="auto"/>
          <w:szCs w:val="24"/>
        </w:rPr>
        <w:t xml:space="preserve">Materials of the IX National </w:t>
      </w:r>
      <w:r w:rsidR="00D74AD6" w:rsidRPr="00FC4BB3">
        <w:rPr>
          <w:iCs/>
          <w:color w:val="auto"/>
          <w:szCs w:val="24"/>
        </w:rPr>
        <w:t>s</w:t>
      </w:r>
      <w:r w:rsidRPr="00FC4BB3">
        <w:rPr>
          <w:iCs/>
          <w:color w:val="auto"/>
          <w:szCs w:val="24"/>
        </w:rPr>
        <w:t>cientific-</w:t>
      </w:r>
      <w:r w:rsidR="00A12642" w:rsidRPr="00FC4BB3">
        <w:rPr>
          <w:iCs/>
          <w:color w:val="auto"/>
          <w:szCs w:val="24"/>
        </w:rPr>
        <w:t>p</w:t>
      </w:r>
      <w:r w:rsidRPr="00FC4BB3">
        <w:rPr>
          <w:iCs/>
          <w:color w:val="auto"/>
          <w:szCs w:val="24"/>
        </w:rPr>
        <w:t xml:space="preserve">ractical </w:t>
      </w:r>
      <w:r w:rsidR="00A12642" w:rsidRPr="00FC4BB3">
        <w:rPr>
          <w:iCs/>
          <w:color w:val="auto"/>
          <w:szCs w:val="24"/>
        </w:rPr>
        <w:t>c</w:t>
      </w:r>
      <w:r w:rsidRPr="00FC4BB3">
        <w:rPr>
          <w:iCs/>
          <w:color w:val="auto"/>
          <w:szCs w:val="24"/>
        </w:rPr>
        <w:t xml:space="preserve">onference with </w:t>
      </w:r>
      <w:r w:rsidR="00A12642" w:rsidRPr="00FC4BB3">
        <w:rPr>
          <w:iCs/>
          <w:color w:val="auto"/>
          <w:szCs w:val="24"/>
        </w:rPr>
        <w:t>i</w:t>
      </w:r>
      <w:r w:rsidRPr="00FC4BB3">
        <w:rPr>
          <w:iCs/>
          <w:color w:val="auto"/>
          <w:szCs w:val="24"/>
        </w:rPr>
        <w:t xml:space="preserve">nternational </w:t>
      </w:r>
      <w:r w:rsidR="00A12642" w:rsidRPr="00FC4BB3">
        <w:rPr>
          <w:iCs/>
          <w:color w:val="auto"/>
          <w:szCs w:val="24"/>
        </w:rPr>
        <w:t>p</w:t>
      </w:r>
      <w:r w:rsidRPr="00FC4BB3">
        <w:rPr>
          <w:iCs/>
          <w:color w:val="auto"/>
          <w:szCs w:val="24"/>
        </w:rPr>
        <w:t>articipation</w:t>
      </w:r>
      <w:r w:rsidRPr="00FC4BB3">
        <w:rPr>
          <w:color w:val="auto"/>
          <w:szCs w:val="24"/>
        </w:rPr>
        <w:t xml:space="preserve"> (pp. 150</w:t>
      </w:r>
      <w:r w:rsidR="00D74AD6" w:rsidRPr="00FC4BB3">
        <w:rPr>
          <w:color w:val="auto"/>
          <w:szCs w:val="24"/>
        </w:rPr>
        <w:t>-</w:t>
      </w:r>
      <w:r w:rsidRPr="00FC4BB3">
        <w:rPr>
          <w:color w:val="auto"/>
          <w:szCs w:val="24"/>
        </w:rPr>
        <w:t>156). Kemerovo: Kuzbass State Agricultural Academy.</w:t>
      </w:r>
    </w:p>
    <w:p w14:paraId="20DE81FB" w14:textId="1333FC6D"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Sagynbayeva, A., Mambetov, B., Kalachev, A., Boranbay, Z., Borissenko, Y., Baigazakova, Z., &amp; Turlybekov, K. (2023). Assessing pine forest restoration post-fire using NDVI and GIS technologies. </w:t>
      </w:r>
      <w:r w:rsidRPr="00FC4BB3">
        <w:rPr>
          <w:iCs/>
          <w:color w:val="auto"/>
          <w:szCs w:val="24"/>
        </w:rPr>
        <w:t>International Journal of Design &amp; Nature and Ecodynamics</w:t>
      </w:r>
      <w:r w:rsidRPr="00FC4BB3">
        <w:rPr>
          <w:color w:val="auto"/>
          <w:szCs w:val="24"/>
        </w:rPr>
        <w:t xml:space="preserve">, </w:t>
      </w:r>
      <w:r w:rsidRPr="00FC4BB3">
        <w:rPr>
          <w:iCs/>
          <w:color w:val="auto"/>
          <w:szCs w:val="24"/>
        </w:rPr>
        <w:t>18</w:t>
      </w:r>
      <w:r w:rsidRPr="00FC4BB3">
        <w:rPr>
          <w:color w:val="auto"/>
          <w:szCs w:val="24"/>
        </w:rPr>
        <w:t>(6), 1459</w:t>
      </w:r>
      <w:r w:rsidR="00D74AD6" w:rsidRPr="00FC4BB3">
        <w:rPr>
          <w:color w:val="auto"/>
          <w:szCs w:val="24"/>
        </w:rPr>
        <w:t>-</w:t>
      </w:r>
      <w:r w:rsidRPr="00FC4BB3">
        <w:rPr>
          <w:color w:val="auto"/>
          <w:szCs w:val="24"/>
        </w:rPr>
        <w:t xml:space="preserve">1467. </w:t>
      </w:r>
      <w:hyperlink r:id="rId16" w:tgtFrame="_new" w:history="1">
        <w:r w:rsidRPr="00FC4BB3">
          <w:rPr>
            <w:rStyle w:val="af1"/>
            <w:color w:val="auto"/>
            <w:szCs w:val="24"/>
          </w:rPr>
          <w:t>https://doi.org/10.18280/ijdne.180620</w:t>
        </w:r>
      </w:hyperlink>
    </w:p>
    <w:p w14:paraId="132D4723" w14:textId="694697C5" w:rsidR="00206BE4" w:rsidRPr="00FC4BB3" w:rsidRDefault="00206BE4" w:rsidP="001A2938">
      <w:pPr>
        <w:widowControl w:val="0"/>
        <w:pBdr>
          <w:top w:val="nil"/>
          <w:left w:val="nil"/>
          <w:bottom w:val="nil"/>
          <w:right w:val="nil"/>
          <w:between w:val="nil"/>
        </w:pBdr>
        <w:spacing w:line="360" w:lineRule="auto"/>
        <w:ind w:left="567" w:hanging="567"/>
        <w:rPr>
          <w:color w:val="auto"/>
          <w:szCs w:val="24"/>
          <w:lang w:val="it-IT"/>
        </w:rPr>
      </w:pPr>
      <w:r w:rsidRPr="00FC4BB3">
        <w:rPr>
          <w:color w:val="auto"/>
          <w:szCs w:val="24"/>
          <w:lang w:val="it-IT"/>
        </w:rPr>
        <w:t xml:space="preserve">Shakleina, M. N., Lelekova, E. V., &amp; Konovalova, I. A. (2018). </w:t>
      </w:r>
      <w:r w:rsidRPr="00FC4BB3">
        <w:rPr>
          <w:color w:val="auto"/>
          <w:szCs w:val="24"/>
        </w:rPr>
        <w:t xml:space="preserve">Morphological and anatomical features of first-year Scots pine seedlings. In </w:t>
      </w:r>
      <w:r w:rsidRPr="00FC4BB3">
        <w:rPr>
          <w:iCs/>
          <w:color w:val="auto"/>
          <w:szCs w:val="24"/>
        </w:rPr>
        <w:t xml:space="preserve">Proceedings of the XVIII All-Russian </w:t>
      </w:r>
      <w:r w:rsidR="00536AA4" w:rsidRPr="00FC4BB3">
        <w:rPr>
          <w:iCs/>
          <w:color w:val="auto"/>
          <w:szCs w:val="24"/>
        </w:rPr>
        <w:t>s</w:t>
      </w:r>
      <w:r w:rsidRPr="00FC4BB3">
        <w:rPr>
          <w:iCs/>
          <w:color w:val="auto"/>
          <w:szCs w:val="24"/>
        </w:rPr>
        <w:t xml:space="preserve">cientific and </w:t>
      </w:r>
      <w:r w:rsidR="00536AA4" w:rsidRPr="00FC4BB3">
        <w:rPr>
          <w:iCs/>
          <w:color w:val="auto"/>
          <w:szCs w:val="24"/>
        </w:rPr>
        <w:t>p</w:t>
      </w:r>
      <w:r w:rsidRPr="00FC4BB3">
        <w:rPr>
          <w:iCs/>
          <w:color w:val="auto"/>
          <w:szCs w:val="24"/>
        </w:rPr>
        <w:t xml:space="preserve">ractical </w:t>
      </w:r>
      <w:r w:rsidR="00536AA4" w:rsidRPr="00FC4BB3">
        <w:rPr>
          <w:iCs/>
          <w:color w:val="auto"/>
          <w:szCs w:val="24"/>
        </w:rPr>
        <w:t>c</w:t>
      </w:r>
      <w:r w:rsidRPr="00FC4BB3">
        <w:rPr>
          <w:iCs/>
          <w:color w:val="auto"/>
          <w:szCs w:val="24"/>
        </w:rPr>
        <w:t>onference</w:t>
      </w:r>
      <w:r w:rsidRPr="00FC4BB3">
        <w:rPr>
          <w:color w:val="auto"/>
          <w:szCs w:val="24"/>
        </w:rPr>
        <w:t xml:space="preserve"> (pp. 235</w:t>
      </w:r>
      <w:r w:rsidR="00536AA4" w:rsidRPr="00FC4BB3">
        <w:rPr>
          <w:color w:val="auto"/>
          <w:szCs w:val="24"/>
        </w:rPr>
        <w:t>-</w:t>
      </w:r>
      <w:r w:rsidRPr="00FC4BB3">
        <w:rPr>
          <w:color w:val="auto"/>
          <w:szCs w:val="24"/>
        </w:rPr>
        <w:t xml:space="preserve">241). </w:t>
      </w:r>
      <w:r w:rsidRPr="00FC4BB3">
        <w:rPr>
          <w:color w:val="auto"/>
          <w:szCs w:val="24"/>
          <w:lang w:val="it-IT"/>
        </w:rPr>
        <w:t>Kirov: VSU Publishing.</w:t>
      </w:r>
    </w:p>
    <w:p w14:paraId="4B0ED218" w14:textId="77777777"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lang w:val="it-IT"/>
        </w:rPr>
        <w:t xml:space="preserve">Shavnin, S. A., Yusupov, I. A., Marina, N. V., Montile, A. A., &amp; Golikov, D. Yu. </w:t>
      </w:r>
      <w:r w:rsidRPr="00FC4BB3">
        <w:rPr>
          <w:color w:val="auto"/>
          <w:szCs w:val="24"/>
        </w:rPr>
        <w:t>(2021). Seasonal changes in chlorophyll and carotenoid content in Scots pine (</w:t>
      </w:r>
      <w:r w:rsidRPr="00FC4BB3">
        <w:rPr>
          <w:i/>
          <w:iCs/>
          <w:color w:val="auto"/>
          <w:szCs w:val="24"/>
        </w:rPr>
        <w:t>Pinus sylvestris</w:t>
      </w:r>
      <w:r w:rsidRPr="00FC4BB3">
        <w:rPr>
          <w:color w:val="auto"/>
          <w:szCs w:val="24"/>
        </w:rPr>
        <w:t xml:space="preserve"> L.) needles in the influence zone of a gas flare heat field. </w:t>
      </w:r>
      <w:r w:rsidRPr="00FC4BB3">
        <w:rPr>
          <w:iCs/>
          <w:color w:val="auto"/>
          <w:szCs w:val="24"/>
        </w:rPr>
        <w:t>Russian Journal of Plant Physiology, 68</w:t>
      </w:r>
      <w:r w:rsidRPr="00FC4BB3">
        <w:rPr>
          <w:color w:val="auto"/>
          <w:szCs w:val="24"/>
        </w:rPr>
        <w:t>(3), 526-535. https://doi.org/10.1134/S1021443721020187</w:t>
      </w:r>
    </w:p>
    <w:p w14:paraId="129ECE65" w14:textId="34475954" w:rsidR="00206BE4" w:rsidRPr="00FC4BB3" w:rsidRDefault="00206BE4" w:rsidP="001A2938">
      <w:pPr>
        <w:widowControl w:val="0"/>
        <w:pBdr>
          <w:top w:val="nil"/>
          <w:left w:val="nil"/>
          <w:bottom w:val="nil"/>
          <w:right w:val="nil"/>
          <w:between w:val="nil"/>
        </w:pBdr>
        <w:spacing w:line="360" w:lineRule="auto"/>
        <w:ind w:left="567" w:hanging="567"/>
        <w:rPr>
          <w:color w:val="auto"/>
          <w:szCs w:val="24"/>
          <w:lang w:val="pt-BR"/>
        </w:rPr>
      </w:pPr>
      <w:r w:rsidRPr="00FC4BB3">
        <w:rPr>
          <w:color w:val="auto"/>
          <w:szCs w:val="24"/>
        </w:rPr>
        <w:t xml:space="preserve">Sheridan, C., Depuydt, P., De Ro, M., Petit, C., Van Gysegem, E., Delaere, P., Dixon, M., Stasiak, M., Aciksöz, S. B., Frossard, E., </w:t>
      </w:r>
      <w:r w:rsidR="00536AA4" w:rsidRPr="00FC4BB3">
        <w:rPr>
          <w:color w:val="auto"/>
          <w:szCs w:val="24"/>
        </w:rPr>
        <w:t>Paradiso, R., De Pascale, S., Ventorino, V., De Meyer, T., Sas, B., &amp; Geelen, D</w:t>
      </w:r>
      <w:r w:rsidRPr="00FC4BB3">
        <w:rPr>
          <w:color w:val="auto"/>
          <w:szCs w:val="24"/>
        </w:rPr>
        <w:t xml:space="preserve">. (2019). Microbial community dynamics and response to plant growth-promoting microorganisms in the rhizosphere of four common food crops cultivated in hydroponics. </w:t>
      </w:r>
      <w:r w:rsidRPr="00FC4BB3">
        <w:rPr>
          <w:iCs/>
          <w:color w:val="auto"/>
          <w:szCs w:val="24"/>
          <w:lang w:val="pt-BR"/>
        </w:rPr>
        <w:t>Microbial Ecology</w:t>
      </w:r>
      <w:r w:rsidRPr="00FC4BB3">
        <w:rPr>
          <w:color w:val="auto"/>
          <w:szCs w:val="24"/>
          <w:lang w:val="pt-BR"/>
        </w:rPr>
        <w:t xml:space="preserve">, </w:t>
      </w:r>
      <w:r w:rsidRPr="00FC4BB3">
        <w:rPr>
          <w:iCs/>
          <w:color w:val="auto"/>
          <w:szCs w:val="24"/>
          <w:lang w:val="pt-BR"/>
        </w:rPr>
        <w:t>73</w:t>
      </w:r>
      <w:r w:rsidR="00536AA4" w:rsidRPr="00FC4BB3">
        <w:rPr>
          <w:iCs/>
          <w:color w:val="auto"/>
          <w:szCs w:val="24"/>
          <w:lang w:val="pt-BR"/>
        </w:rPr>
        <w:t>(2)</w:t>
      </w:r>
      <w:r w:rsidRPr="00FC4BB3">
        <w:rPr>
          <w:color w:val="auto"/>
          <w:szCs w:val="24"/>
          <w:lang w:val="pt-BR"/>
        </w:rPr>
        <w:t>, 378</w:t>
      </w:r>
      <w:r w:rsidR="00083C2A" w:rsidRPr="00FC4BB3">
        <w:rPr>
          <w:color w:val="auto"/>
          <w:szCs w:val="24"/>
          <w:lang w:val="pt-BR"/>
        </w:rPr>
        <w:t>-</w:t>
      </w:r>
      <w:r w:rsidRPr="00FC4BB3">
        <w:rPr>
          <w:color w:val="auto"/>
          <w:szCs w:val="24"/>
          <w:lang w:val="pt-BR"/>
        </w:rPr>
        <w:t>393. https://doi.org/10.1007/s00248-016-0855-0</w:t>
      </w:r>
    </w:p>
    <w:p w14:paraId="7160ACD7" w14:textId="5058EA1B"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lang w:val="it-IT"/>
        </w:rPr>
        <w:t xml:space="preserve">Soboleva, S. V., Chentsova, L. I., &amp; Pochekuto, I. S. (2020). </w:t>
      </w:r>
      <w:r w:rsidR="00893768" w:rsidRPr="00FC4BB3">
        <w:rPr>
          <w:color w:val="auto"/>
          <w:szCs w:val="24"/>
        </w:rPr>
        <w:t xml:space="preserve">The study of morphologic and physiologic indicators of </w:t>
      </w:r>
      <w:r w:rsidR="00893768" w:rsidRPr="00FC4BB3">
        <w:rPr>
          <w:i/>
          <w:color w:val="auto"/>
          <w:szCs w:val="24"/>
        </w:rPr>
        <w:t>Pinus Sylvestris</w:t>
      </w:r>
      <w:r w:rsidR="00893768" w:rsidRPr="00FC4BB3">
        <w:rPr>
          <w:color w:val="auto"/>
          <w:szCs w:val="24"/>
        </w:rPr>
        <w:t xml:space="preserve"> L. plantings in different ecological conditions</w:t>
      </w:r>
      <w:r w:rsidRPr="00FC4BB3">
        <w:rPr>
          <w:color w:val="auto"/>
          <w:szCs w:val="24"/>
        </w:rPr>
        <w:t xml:space="preserve">. </w:t>
      </w:r>
      <w:r w:rsidR="00083C2A" w:rsidRPr="00FC4BB3">
        <w:rPr>
          <w:iCs/>
          <w:color w:val="auto"/>
          <w:szCs w:val="24"/>
        </w:rPr>
        <w:t>Bulletin of</w:t>
      </w:r>
      <w:r w:rsidRPr="00FC4BB3">
        <w:rPr>
          <w:iCs/>
          <w:color w:val="auto"/>
          <w:szCs w:val="24"/>
        </w:rPr>
        <w:t xml:space="preserve"> K</w:t>
      </w:r>
      <w:r w:rsidR="00083C2A" w:rsidRPr="00FC4BB3">
        <w:rPr>
          <w:iCs/>
          <w:color w:val="auto"/>
          <w:szCs w:val="24"/>
        </w:rPr>
        <w:t>S</w:t>
      </w:r>
      <w:r w:rsidRPr="00FC4BB3">
        <w:rPr>
          <w:iCs/>
          <w:color w:val="auto"/>
          <w:szCs w:val="24"/>
        </w:rPr>
        <w:t>AU</w:t>
      </w:r>
      <w:r w:rsidRPr="00FC4BB3">
        <w:rPr>
          <w:color w:val="auto"/>
          <w:szCs w:val="24"/>
        </w:rPr>
        <w:t xml:space="preserve">, </w:t>
      </w:r>
      <w:r w:rsidRPr="00FC4BB3">
        <w:rPr>
          <w:iCs/>
          <w:color w:val="auto"/>
          <w:szCs w:val="24"/>
        </w:rPr>
        <w:t>1</w:t>
      </w:r>
      <w:r w:rsidR="00083C2A" w:rsidRPr="00FC4BB3">
        <w:rPr>
          <w:iCs/>
          <w:color w:val="auto"/>
          <w:szCs w:val="24"/>
        </w:rPr>
        <w:t>(136)</w:t>
      </w:r>
      <w:r w:rsidRPr="00FC4BB3">
        <w:rPr>
          <w:color w:val="auto"/>
          <w:szCs w:val="24"/>
        </w:rPr>
        <w:t>, 199</w:t>
      </w:r>
      <w:r w:rsidR="00083C2A" w:rsidRPr="00FC4BB3">
        <w:rPr>
          <w:color w:val="auto"/>
          <w:szCs w:val="24"/>
        </w:rPr>
        <w:t>-</w:t>
      </w:r>
      <w:r w:rsidRPr="00FC4BB3">
        <w:rPr>
          <w:color w:val="auto"/>
          <w:szCs w:val="24"/>
        </w:rPr>
        <w:t>205.</w:t>
      </w:r>
    </w:p>
    <w:p w14:paraId="5F8EB43C" w14:textId="77777777" w:rsidR="001A2938" w:rsidRPr="00FC4BB3" w:rsidRDefault="001A2938"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Sun, Y., Qui, T., Gao, M., Shi, M., Zhang, H., &amp; Wang, X. (2019). Inorganic and organic fertilizers application enhanced antibiotic resistome in greenhouse soils growing vegetables. </w:t>
      </w:r>
      <w:r w:rsidRPr="00FC4BB3">
        <w:rPr>
          <w:iCs/>
          <w:color w:val="auto"/>
          <w:szCs w:val="24"/>
        </w:rPr>
        <w:t>Ecotoxicology and Environmental Safety</w:t>
      </w:r>
      <w:r w:rsidRPr="00FC4BB3">
        <w:rPr>
          <w:color w:val="auto"/>
          <w:szCs w:val="24"/>
        </w:rPr>
        <w:t xml:space="preserve">, </w:t>
      </w:r>
      <w:r w:rsidRPr="00FC4BB3">
        <w:rPr>
          <w:iCs/>
          <w:color w:val="auto"/>
          <w:szCs w:val="24"/>
        </w:rPr>
        <w:t>179</w:t>
      </w:r>
      <w:r w:rsidRPr="00FC4BB3">
        <w:rPr>
          <w:color w:val="auto"/>
          <w:szCs w:val="24"/>
        </w:rPr>
        <w:t>, 24-30.</w:t>
      </w:r>
    </w:p>
    <w:p w14:paraId="656632B9" w14:textId="5705AF57"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Territorial Office of Federal State Statistics Service for Kemerovo Region – Kuzbass. (n.d.). </w:t>
      </w:r>
      <w:hyperlink r:id="rId17" w:tgtFrame="_new" w:history="1">
        <w:r w:rsidRPr="00FC4BB3">
          <w:rPr>
            <w:rStyle w:val="af1"/>
            <w:color w:val="auto"/>
            <w:szCs w:val="24"/>
          </w:rPr>
          <w:t>https://kemerovostat.gks.ru/</w:t>
        </w:r>
      </w:hyperlink>
      <w:r w:rsidR="009A2D5A" w:rsidRPr="00FC4BB3">
        <w:rPr>
          <w:rStyle w:val="af1"/>
          <w:color w:val="auto"/>
          <w:szCs w:val="24"/>
          <w:u w:val="none"/>
        </w:rPr>
        <w:t xml:space="preserve"> (accessed on February 29, 2024).</w:t>
      </w:r>
    </w:p>
    <w:p w14:paraId="1CB4E223" w14:textId="0DC35CA6"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Treschevskaya, E. I., Pankov, Y. V., </w:t>
      </w:r>
      <w:r w:rsidR="00893768" w:rsidRPr="00FC4BB3">
        <w:rPr>
          <w:color w:val="auto"/>
          <w:szCs w:val="24"/>
        </w:rPr>
        <w:t xml:space="preserve">Treshchevskaya, S. V., </w:t>
      </w:r>
      <w:r w:rsidRPr="00FC4BB3">
        <w:rPr>
          <w:color w:val="auto"/>
          <w:szCs w:val="24"/>
        </w:rPr>
        <w:t>&amp; Tikhonova, E. N. (201</w:t>
      </w:r>
      <w:r w:rsidR="00893768" w:rsidRPr="00FC4BB3">
        <w:rPr>
          <w:color w:val="auto"/>
          <w:szCs w:val="24"/>
        </w:rPr>
        <w:t>7</w:t>
      </w:r>
      <w:r w:rsidRPr="00FC4BB3">
        <w:rPr>
          <w:color w:val="auto"/>
          <w:szCs w:val="24"/>
        </w:rPr>
        <w:t xml:space="preserve">). Scots pine cultures on degraded and technogenically disturbed lands of the Central Chernozem region. </w:t>
      </w:r>
      <w:r w:rsidR="00893768" w:rsidRPr="00FC4BB3">
        <w:rPr>
          <w:rStyle w:val="rynqvb"/>
          <w:color w:val="auto"/>
          <w:szCs w:val="24"/>
          <w:lang w:val="en"/>
        </w:rPr>
        <w:t>Voronezh:</w:t>
      </w:r>
      <w:r w:rsidRPr="00FC4BB3">
        <w:rPr>
          <w:color w:val="auto"/>
          <w:szCs w:val="24"/>
        </w:rPr>
        <w:t xml:space="preserve"> VLGU, 13</w:t>
      </w:r>
      <w:r w:rsidR="00893768" w:rsidRPr="00FC4BB3">
        <w:rPr>
          <w:color w:val="auto"/>
          <w:szCs w:val="24"/>
        </w:rPr>
        <w:t>1</w:t>
      </w:r>
      <w:r w:rsidRPr="00FC4BB3">
        <w:rPr>
          <w:color w:val="auto"/>
          <w:szCs w:val="24"/>
        </w:rPr>
        <w:t xml:space="preserve"> p.</w:t>
      </w:r>
    </w:p>
    <w:p w14:paraId="62542703" w14:textId="2FA05C4D"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Turtulova, I. R. (2022). Vertical farms as a basis for environmentally sustainable agriculture. In </w:t>
      </w:r>
      <w:r w:rsidRPr="00FC4BB3">
        <w:rPr>
          <w:iCs/>
          <w:color w:val="auto"/>
          <w:szCs w:val="24"/>
        </w:rPr>
        <w:t>Scientific research of students on solving current agricultural problems</w:t>
      </w:r>
      <w:r w:rsidR="00893768" w:rsidRPr="00FC4BB3">
        <w:rPr>
          <w:iCs/>
          <w:color w:val="auto"/>
          <w:szCs w:val="24"/>
        </w:rPr>
        <w:t xml:space="preserve">: </w:t>
      </w:r>
      <w:r w:rsidR="00893768" w:rsidRPr="00FC4BB3">
        <w:rPr>
          <w:rStyle w:val="rynqvb"/>
          <w:szCs w:val="24"/>
          <w:lang w:val="en"/>
        </w:rPr>
        <w:t>Proceedings of the All-Russian student scientific and practical conference</w:t>
      </w:r>
      <w:r w:rsidRPr="00FC4BB3">
        <w:rPr>
          <w:color w:val="auto"/>
          <w:szCs w:val="24"/>
        </w:rPr>
        <w:t xml:space="preserve"> </w:t>
      </w:r>
      <w:r w:rsidR="00893768" w:rsidRPr="00FC4BB3">
        <w:rPr>
          <w:color w:val="auto"/>
          <w:szCs w:val="24"/>
        </w:rPr>
        <w:t>(pp. 89-</w:t>
      </w:r>
      <w:r w:rsidRPr="00FC4BB3">
        <w:rPr>
          <w:color w:val="auto"/>
          <w:szCs w:val="24"/>
        </w:rPr>
        <w:t>95). Molodezhny</w:t>
      </w:r>
      <w:r w:rsidR="00893768" w:rsidRPr="00FC4BB3">
        <w:rPr>
          <w:color w:val="auto"/>
          <w:szCs w:val="24"/>
        </w:rPr>
        <w:t xml:space="preserve">: </w:t>
      </w:r>
      <w:r w:rsidR="00893768" w:rsidRPr="00FC4BB3">
        <w:rPr>
          <w:rStyle w:val="rynqvb"/>
          <w:color w:val="auto"/>
          <w:szCs w:val="24"/>
          <w:lang w:val="en"/>
        </w:rPr>
        <w:lastRenderedPageBreak/>
        <w:t>Irkutsk State Agrarian University named after A.A.</w:t>
      </w:r>
      <w:r w:rsidR="00893768" w:rsidRPr="00FC4BB3">
        <w:rPr>
          <w:rStyle w:val="hwtze"/>
          <w:rFonts w:eastAsiaTheme="majorEastAsia"/>
          <w:color w:val="auto"/>
          <w:szCs w:val="24"/>
          <w:lang w:val="en"/>
        </w:rPr>
        <w:t xml:space="preserve"> </w:t>
      </w:r>
      <w:r w:rsidR="00893768" w:rsidRPr="00FC4BB3">
        <w:rPr>
          <w:rStyle w:val="rynqvb"/>
          <w:color w:val="auto"/>
          <w:szCs w:val="24"/>
          <w:lang w:val="en"/>
        </w:rPr>
        <w:t>Ezhevsky</w:t>
      </w:r>
      <w:r w:rsidRPr="00FC4BB3">
        <w:rPr>
          <w:color w:val="auto"/>
          <w:szCs w:val="24"/>
        </w:rPr>
        <w:t>.</w:t>
      </w:r>
    </w:p>
    <w:p w14:paraId="5169972C" w14:textId="1E8438A8"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Utelbayev, Y., Kanapin, C., Mussynov, K., Kochorov, A., Bazarbayev, B., &amp; Abysheva, G. (2025). Identification of </w:t>
      </w:r>
      <w:r w:rsidRPr="00FC4BB3">
        <w:rPr>
          <w:i/>
          <w:iCs/>
          <w:color w:val="auto"/>
          <w:szCs w:val="24"/>
        </w:rPr>
        <w:t>Alternaria tenuissima</w:t>
      </w:r>
      <w:r w:rsidRPr="00FC4BB3">
        <w:rPr>
          <w:color w:val="auto"/>
          <w:szCs w:val="24"/>
        </w:rPr>
        <w:t xml:space="preserve"> on soybeans in the forest-steppe zone of North Kazakhstan and identification of the phytopathogen. </w:t>
      </w:r>
      <w:r w:rsidRPr="00FC4BB3">
        <w:rPr>
          <w:iCs/>
          <w:color w:val="auto"/>
          <w:szCs w:val="24"/>
        </w:rPr>
        <w:t>Microbial Biosystems</w:t>
      </w:r>
      <w:r w:rsidRPr="00FC4BB3">
        <w:rPr>
          <w:color w:val="auto"/>
          <w:szCs w:val="24"/>
        </w:rPr>
        <w:t xml:space="preserve">, </w:t>
      </w:r>
      <w:r w:rsidRPr="00FC4BB3">
        <w:rPr>
          <w:iCs/>
          <w:color w:val="auto"/>
          <w:szCs w:val="24"/>
        </w:rPr>
        <w:t>10</w:t>
      </w:r>
      <w:r w:rsidR="00F42269" w:rsidRPr="00FC4BB3">
        <w:rPr>
          <w:color w:val="auto"/>
          <w:szCs w:val="24"/>
        </w:rPr>
        <w:t>(2), 283-</w:t>
      </w:r>
      <w:r w:rsidRPr="00FC4BB3">
        <w:rPr>
          <w:color w:val="auto"/>
          <w:szCs w:val="24"/>
        </w:rPr>
        <w:t xml:space="preserve">291. </w:t>
      </w:r>
      <w:hyperlink r:id="rId18" w:tgtFrame="_new" w:history="1">
        <w:r w:rsidRPr="00FC4BB3">
          <w:rPr>
            <w:rStyle w:val="af1"/>
            <w:color w:val="auto"/>
            <w:szCs w:val="24"/>
          </w:rPr>
          <w:t>https://doi.org/10.21608/mb.2025.366142.1264</w:t>
        </w:r>
      </w:hyperlink>
    </w:p>
    <w:p w14:paraId="5AD96134" w14:textId="77777777" w:rsidR="00206BE4" w:rsidRPr="00FC4BB3" w:rsidRDefault="00206BE4" w:rsidP="001A2938">
      <w:pPr>
        <w:widowControl w:val="0"/>
        <w:pBdr>
          <w:top w:val="nil"/>
          <w:left w:val="nil"/>
          <w:bottom w:val="nil"/>
          <w:right w:val="nil"/>
          <w:between w:val="nil"/>
        </w:pBdr>
        <w:spacing w:line="360" w:lineRule="auto"/>
        <w:ind w:left="567" w:hanging="567"/>
        <w:rPr>
          <w:color w:val="auto"/>
          <w:szCs w:val="24"/>
          <w:lang w:val="it-IT"/>
        </w:rPr>
      </w:pPr>
      <w:r w:rsidRPr="00FC4BB3">
        <w:rPr>
          <w:color w:val="auto"/>
          <w:szCs w:val="24"/>
          <w:lang w:val="it-IT"/>
        </w:rPr>
        <w:t xml:space="preserve">Valletta, A., Iozia, L. M., &amp; Leonelli, F. (2021). </w:t>
      </w:r>
      <w:r w:rsidRPr="00FC4BB3">
        <w:rPr>
          <w:color w:val="auto"/>
          <w:szCs w:val="24"/>
        </w:rPr>
        <w:t xml:space="preserve">Impact of environmental factors on stilbene biosynthesis. </w:t>
      </w:r>
      <w:r w:rsidRPr="00FC4BB3">
        <w:rPr>
          <w:iCs/>
          <w:color w:val="auto"/>
          <w:szCs w:val="24"/>
          <w:lang w:val="it-IT"/>
        </w:rPr>
        <w:t>Plants</w:t>
      </w:r>
      <w:r w:rsidRPr="00FC4BB3">
        <w:rPr>
          <w:color w:val="auto"/>
          <w:szCs w:val="24"/>
          <w:lang w:val="it-IT"/>
        </w:rPr>
        <w:t xml:space="preserve">, </w:t>
      </w:r>
      <w:r w:rsidRPr="00FC4BB3">
        <w:rPr>
          <w:iCs/>
          <w:color w:val="auto"/>
          <w:szCs w:val="24"/>
          <w:lang w:val="it-IT"/>
        </w:rPr>
        <w:t>10</w:t>
      </w:r>
      <w:r w:rsidRPr="00FC4BB3">
        <w:rPr>
          <w:color w:val="auto"/>
          <w:szCs w:val="24"/>
          <w:lang w:val="it-IT"/>
        </w:rPr>
        <w:t>(1), 90. </w:t>
      </w:r>
      <w:hyperlink r:id="rId19" w:history="1">
        <w:r w:rsidRPr="00FC4BB3">
          <w:rPr>
            <w:rStyle w:val="af1"/>
            <w:color w:val="auto"/>
            <w:szCs w:val="24"/>
            <w:lang w:val="it-IT"/>
          </w:rPr>
          <w:t>https://doi.org/10.3390/plants10010090</w:t>
        </w:r>
      </w:hyperlink>
    </w:p>
    <w:p w14:paraId="336727CE" w14:textId="02B46527"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 xml:space="preserve">Waldron, D. (2018). Evolution of vertical farms and the development of a simulation methodology. </w:t>
      </w:r>
      <w:r w:rsidRPr="00FC4BB3">
        <w:rPr>
          <w:iCs/>
          <w:color w:val="auto"/>
          <w:szCs w:val="24"/>
        </w:rPr>
        <w:t>WIT Transactions on Ecology and the Environment</w:t>
      </w:r>
      <w:r w:rsidRPr="00FC4BB3">
        <w:rPr>
          <w:color w:val="auto"/>
          <w:szCs w:val="24"/>
        </w:rPr>
        <w:t xml:space="preserve">, </w:t>
      </w:r>
      <w:r w:rsidR="00B20ED0" w:rsidRPr="00FC4BB3">
        <w:rPr>
          <w:color w:val="auto"/>
          <w:szCs w:val="24"/>
        </w:rPr>
        <w:t>217, 975-</w:t>
      </w:r>
      <w:r w:rsidRPr="00FC4BB3">
        <w:rPr>
          <w:color w:val="auto"/>
          <w:szCs w:val="24"/>
        </w:rPr>
        <w:t>986.</w:t>
      </w:r>
      <w:r w:rsidR="00B20ED0" w:rsidRPr="00FC4BB3">
        <w:rPr>
          <w:color w:val="auto"/>
          <w:szCs w:val="24"/>
        </w:rPr>
        <w:t xml:space="preserve"> https://doi.org/10.2495/SDP180821</w:t>
      </w:r>
    </w:p>
    <w:p w14:paraId="176ECAE0" w14:textId="65153D01" w:rsidR="00206BE4" w:rsidRPr="00FC4BB3" w:rsidRDefault="00206BE4" w:rsidP="001A2938">
      <w:pPr>
        <w:widowControl w:val="0"/>
        <w:pBdr>
          <w:top w:val="nil"/>
          <w:left w:val="nil"/>
          <w:bottom w:val="nil"/>
          <w:right w:val="nil"/>
          <w:between w:val="nil"/>
        </w:pBdr>
        <w:spacing w:line="360" w:lineRule="auto"/>
        <w:ind w:left="567" w:hanging="567"/>
        <w:rPr>
          <w:color w:val="auto"/>
          <w:szCs w:val="24"/>
        </w:rPr>
      </w:pPr>
      <w:r w:rsidRPr="00FC4BB3">
        <w:rPr>
          <w:color w:val="auto"/>
          <w:szCs w:val="24"/>
        </w:rPr>
        <w:t>Wildeman, R. (2020). Vertical farming: A future perspective or a mere conceptual idea?</w:t>
      </w:r>
      <w:r w:rsidR="00B20ED0" w:rsidRPr="00FC4BB3">
        <w:rPr>
          <w:color w:val="auto"/>
          <w:szCs w:val="24"/>
        </w:rPr>
        <w:t xml:space="preserve"> Master Thesis.</w:t>
      </w:r>
      <w:r w:rsidRPr="00FC4BB3">
        <w:rPr>
          <w:color w:val="auto"/>
          <w:szCs w:val="24"/>
        </w:rPr>
        <w:t xml:space="preserve"> University of Twente: Enschede, The Netherlands, </w:t>
      </w:r>
      <w:r w:rsidR="00B20ED0" w:rsidRPr="00FC4BB3">
        <w:rPr>
          <w:color w:val="auto"/>
          <w:szCs w:val="24"/>
        </w:rPr>
        <w:t xml:space="preserve">pp. </w:t>
      </w:r>
      <w:r w:rsidRPr="00FC4BB3">
        <w:rPr>
          <w:color w:val="auto"/>
          <w:szCs w:val="24"/>
        </w:rPr>
        <w:t>39</w:t>
      </w:r>
      <w:r w:rsidR="00B20ED0" w:rsidRPr="00FC4BB3">
        <w:rPr>
          <w:color w:val="auto"/>
          <w:szCs w:val="24"/>
        </w:rPr>
        <w:t>-</w:t>
      </w:r>
      <w:r w:rsidRPr="00FC4BB3">
        <w:rPr>
          <w:color w:val="auto"/>
          <w:szCs w:val="24"/>
        </w:rPr>
        <w:t xml:space="preserve">40. </w:t>
      </w:r>
    </w:p>
    <w:p w14:paraId="44041EE5" w14:textId="1CC1D348" w:rsidR="00206BE4" w:rsidRPr="00FC4BB3" w:rsidRDefault="00206BE4" w:rsidP="001A2938">
      <w:pPr>
        <w:widowControl w:val="0"/>
        <w:pBdr>
          <w:top w:val="nil"/>
          <w:left w:val="nil"/>
          <w:bottom w:val="nil"/>
          <w:right w:val="nil"/>
          <w:between w:val="nil"/>
        </w:pBdr>
        <w:spacing w:line="360" w:lineRule="auto"/>
        <w:ind w:left="567" w:hanging="567"/>
        <w:rPr>
          <w:color w:val="auto"/>
          <w:szCs w:val="24"/>
          <w:lang w:val="it-IT"/>
        </w:rPr>
      </w:pPr>
      <w:r w:rsidRPr="00FC4BB3">
        <w:rPr>
          <w:color w:val="auto"/>
          <w:szCs w:val="24"/>
        </w:rPr>
        <w:t xml:space="preserve">Zalesov, S., Ayan, S., Zalesova, E., </w:t>
      </w:r>
      <w:r w:rsidR="00080230" w:rsidRPr="00FC4BB3">
        <w:rPr>
          <w:color w:val="auto"/>
          <w:szCs w:val="24"/>
        </w:rPr>
        <w:t xml:space="preserve">&amp; </w:t>
      </w:r>
      <w:r w:rsidRPr="00FC4BB3">
        <w:rPr>
          <w:color w:val="auto"/>
          <w:szCs w:val="24"/>
        </w:rPr>
        <w:t xml:space="preserve">Opletaev, A. (2020). Experiences on establishment of Scots pine (Pinus sylvestris L.) plantation in ash dump sites of Reftinskaya HPES, Russia. </w:t>
      </w:r>
      <w:r w:rsidRPr="00FC4BB3">
        <w:rPr>
          <w:iCs/>
          <w:color w:val="auto"/>
          <w:szCs w:val="24"/>
        </w:rPr>
        <w:t>Alinteri Journal of Agriculture Science, 35</w:t>
      </w:r>
      <w:r w:rsidRPr="00FC4BB3">
        <w:rPr>
          <w:color w:val="auto"/>
          <w:szCs w:val="24"/>
        </w:rPr>
        <w:t xml:space="preserve">(1), 7-14. </w:t>
      </w:r>
      <w:hyperlink r:id="rId20" w:history="1">
        <w:r w:rsidRPr="00FC4BB3">
          <w:rPr>
            <w:rStyle w:val="af1"/>
            <w:color w:val="auto"/>
            <w:szCs w:val="24"/>
            <w:lang w:val="it-IT"/>
          </w:rPr>
          <w:t>https://doi.org/10.28955/alinterizbd.696559</w:t>
        </w:r>
      </w:hyperlink>
    </w:p>
    <w:p w14:paraId="079E2850" w14:textId="6325FBC6" w:rsidR="00374E79" w:rsidRPr="00FC4BB3" w:rsidRDefault="00206BE4" w:rsidP="001A2938">
      <w:pPr>
        <w:spacing w:line="360" w:lineRule="auto"/>
        <w:ind w:left="567" w:hanging="567"/>
        <w:rPr>
          <w:color w:val="FF0000"/>
          <w:szCs w:val="24"/>
          <w:lang w:val="kk-KZ"/>
        </w:rPr>
      </w:pPr>
      <w:r w:rsidRPr="00FC4BB3">
        <w:rPr>
          <w:color w:val="auto"/>
          <w:szCs w:val="24"/>
        </w:rPr>
        <w:t xml:space="preserve">Zhigunov, E. V., Opletaev, A. S., &amp; Gof, A. A. (2019). </w:t>
      </w:r>
      <w:r w:rsidR="00B57318" w:rsidRPr="00FC4BB3">
        <w:rPr>
          <w:color w:val="auto"/>
          <w:szCs w:val="24"/>
        </w:rPr>
        <w:t>Growth of seedlings when they grow with closed root system</w:t>
      </w:r>
      <w:r w:rsidRPr="00FC4BB3">
        <w:rPr>
          <w:color w:val="auto"/>
          <w:szCs w:val="24"/>
        </w:rPr>
        <w:t xml:space="preserve">. </w:t>
      </w:r>
      <w:r w:rsidR="00B57318" w:rsidRPr="00FC4BB3">
        <w:rPr>
          <w:color w:val="auto"/>
          <w:szCs w:val="24"/>
        </w:rPr>
        <w:t>Aktual'nyye problemy lesnogo kompleksa</w:t>
      </w:r>
      <w:r w:rsidR="00B57318" w:rsidRPr="00FC4BB3">
        <w:rPr>
          <w:iCs/>
          <w:color w:val="auto"/>
          <w:szCs w:val="24"/>
        </w:rPr>
        <w:t>,</w:t>
      </w:r>
      <w:r w:rsidRPr="00FC4BB3">
        <w:rPr>
          <w:color w:val="auto"/>
          <w:szCs w:val="24"/>
        </w:rPr>
        <w:t xml:space="preserve"> 55, 93</w:t>
      </w:r>
      <w:r w:rsidR="00B57318" w:rsidRPr="00FC4BB3">
        <w:rPr>
          <w:color w:val="auto"/>
          <w:szCs w:val="24"/>
        </w:rPr>
        <w:t>-</w:t>
      </w:r>
      <w:r w:rsidRPr="00FC4BB3">
        <w:rPr>
          <w:color w:val="auto"/>
          <w:szCs w:val="24"/>
        </w:rPr>
        <w:t>96</w:t>
      </w:r>
      <w:r w:rsidR="00B57318" w:rsidRPr="00FC4BB3">
        <w:rPr>
          <w:color w:val="auto"/>
          <w:szCs w:val="24"/>
        </w:rPr>
        <w:t>.</w:t>
      </w:r>
      <w:r w:rsidR="00374E79" w:rsidRPr="00FC4BB3">
        <w:rPr>
          <w:color w:val="FF0000"/>
        </w:rPr>
        <w:br w:type="page"/>
      </w:r>
    </w:p>
    <w:p w14:paraId="5C3915E3" w14:textId="77777777" w:rsidR="0054595D" w:rsidRPr="00FC4BB3" w:rsidRDefault="0054595D" w:rsidP="0054595D">
      <w:pPr>
        <w:spacing w:line="240" w:lineRule="auto"/>
        <w:rPr>
          <w:szCs w:val="24"/>
        </w:rPr>
      </w:pPr>
      <w:r w:rsidRPr="00FC4BB3">
        <w:rPr>
          <w:b/>
          <w:bCs/>
          <w:szCs w:val="24"/>
        </w:rPr>
        <w:lastRenderedPageBreak/>
        <w:t xml:space="preserve">Table 1: </w:t>
      </w:r>
      <w:r w:rsidRPr="00FC4BB3">
        <w:rPr>
          <w:szCs w:val="24"/>
        </w:rPr>
        <w:t xml:space="preserve">Optimal proportions of nutrients for growing conifer seedlings </w:t>
      </w:r>
    </w:p>
    <w:tbl>
      <w:tblPr>
        <w:tblStyle w:val="31"/>
        <w:tblW w:w="901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1"/>
        <w:gridCol w:w="2259"/>
        <w:gridCol w:w="2218"/>
        <w:gridCol w:w="2297"/>
      </w:tblGrid>
      <w:tr w:rsidR="0054595D" w:rsidRPr="00FC4BB3" w14:paraId="52B16769" w14:textId="77777777" w:rsidTr="0054595D">
        <w:trPr>
          <w:trHeight w:val="20"/>
        </w:trPr>
        <w:tc>
          <w:tcPr>
            <w:tcW w:w="2261" w:type="dxa"/>
            <w:vMerge w:val="restart"/>
          </w:tcPr>
          <w:p w14:paraId="15097DBC" w14:textId="77777777" w:rsidR="0054595D" w:rsidRPr="00FC4BB3" w:rsidRDefault="0054595D" w:rsidP="0054595D">
            <w:pPr>
              <w:spacing w:line="240" w:lineRule="auto"/>
              <w:jc w:val="center"/>
              <w:rPr>
                <w:b/>
                <w:bCs/>
                <w:szCs w:val="24"/>
              </w:rPr>
            </w:pPr>
            <w:r w:rsidRPr="00FC4BB3">
              <w:rPr>
                <w:b/>
                <w:bCs/>
                <w:szCs w:val="24"/>
              </w:rPr>
              <w:t>Element</w:t>
            </w:r>
          </w:p>
        </w:tc>
        <w:tc>
          <w:tcPr>
            <w:tcW w:w="6848" w:type="dxa"/>
            <w:gridSpan w:val="3"/>
            <w:tcBorders>
              <w:bottom w:val="single" w:sz="4" w:space="0" w:color="auto"/>
            </w:tcBorders>
          </w:tcPr>
          <w:p w14:paraId="282947BA" w14:textId="77777777" w:rsidR="0054595D" w:rsidRPr="00FC4BB3" w:rsidRDefault="0054595D" w:rsidP="0054595D">
            <w:pPr>
              <w:spacing w:line="240" w:lineRule="auto"/>
              <w:jc w:val="center"/>
              <w:rPr>
                <w:b/>
                <w:bCs/>
                <w:szCs w:val="24"/>
                <w:lang w:eastAsia="ru-RU"/>
              </w:rPr>
            </w:pPr>
            <w:r w:rsidRPr="00FC4BB3">
              <w:rPr>
                <w:b/>
                <w:bCs/>
                <w:szCs w:val="24"/>
                <w:lang w:eastAsia="ru-RU"/>
              </w:rPr>
              <w:t>Nutrient content, %</w:t>
            </w:r>
          </w:p>
        </w:tc>
      </w:tr>
      <w:tr w:rsidR="0054595D" w:rsidRPr="00FC4BB3" w14:paraId="5B473512" w14:textId="77777777" w:rsidTr="0054595D">
        <w:trPr>
          <w:trHeight w:val="20"/>
        </w:trPr>
        <w:tc>
          <w:tcPr>
            <w:tcW w:w="2261" w:type="dxa"/>
            <w:vMerge/>
            <w:tcBorders>
              <w:bottom w:val="single" w:sz="4" w:space="0" w:color="auto"/>
            </w:tcBorders>
          </w:tcPr>
          <w:p w14:paraId="7AD913DD" w14:textId="77777777" w:rsidR="0054595D" w:rsidRPr="00FC4BB3" w:rsidRDefault="0054595D" w:rsidP="0054595D">
            <w:pPr>
              <w:spacing w:line="240" w:lineRule="auto"/>
              <w:jc w:val="center"/>
              <w:rPr>
                <w:b/>
                <w:bCs/>
                <w:szCs w:val="24"/>
                <w:lang w:eastAsia="ru-RU"/>
              </w:rPr>
            </w:pPr>
          </w:p>
        </w:tc>
        <w:tc>
          <w:tcPr>
            <w:tcW w:w="2280" w:type="dxa"/>
            <w:tcBorders>
              <w:top w:val="single" w:sz="4" w:space="0" w:color="auto"/>
              <w:bottom w:val="single" w:sz="4" w:space="0" w:color="auto"/>
            </w:tcBorders>
          </w:tcPr>
          <w:p w14:paraId="74DBF4A0" w14:textId="77777777" w:rsidR="0054595D" w:rsidRPr="00FC4BB3" w:rsidRDefault="0054595D" w:rsidP="0054595D">
            <w:pPr>
              <w:spacing w:line="240" w:lineRule="auto"/>
              <w:rPr>
                <w:b/>
                <w:bCs/>
                <w:szCs w:val="24"/>
                <w:lang w:eastAsia="ru-RU"/>
              </w:rPr>
            </w:pPr>
            <w:r w:rsidRPr="00FC4BB3">
              <w:rPr>
                <w:b/>
                <w:bCs/>
                <w:szCs w:val="24"/>
                <w:lang w:eastAsia="ru-RU"/>
              </w:rPr>
              <w:t>Germination phase</w:t>
            </w:r>
          </w:p>
        </w:tc>
        <w:tc>
          <w:tcPr>
            <w:tcW w:w="2249" w:type="dxa"/>
            <w:tcBorders>
              <w:top w:val="single" w:sz="4" w:space="0" w:color="auto"/>
              <w:bottom w:val="single" w:sz="4" w:space="0" w:color="auto"/>
            </w:tcBorders>
          </w:tcPr>
          <w:p w14:paraId="35449B55" w14:textId="77777777" w:rsidR="0054595D" w:rsidRPr="00FC4BB3" w:rsidRDefault="0054595D" w:rsidP="0054595D">
            <w:pPr>
              <w:spacing w:line="240" w:lineRule="auto"/>
              <w:jc w:val="center"/>
              <w:rPr>
                <w:b/>
                <w:bCs/>
                <w:szCs w:val="24"/>
                <w:lang w:eastAsia="ru-RU"/>
              </w:rPr>
            </w:pPr>
            <w:r w:rsidRPr="00FC4BB3">
              <w:rPr>
                <w:b/>
                <w:bCs/>
                <w:szCs w:val="24"/>
                <w:lang w:eastAsia="ru-RU"/>
              </w:rPr>
              <w:t>Rapid growth phase</w:t>
            </w:r>
          </w:p>
        </w:tc>
        <w:tc>
          <w:tcPr>
            <w:tcW w:w="2319" w:type="dxa"/>
            <w:tcBorders>
              <w:top w:val="single" w:sz="4" w:space="0" w:color="auto"/>
              <w:bottom w:val="single" w:sz="4" w:space="0" w:color="auto"/>
            </w:tcBorders>
          </w:tcPr>
          <w:p w14:paraId="2407D370" w14:textId="77777777" w:rsidR="0054595D" w:rsidRPr="00FC4BB3" w:rsidRDefault="0054595D" w:rsidP="0054595D">
            <w:pPr>
              <w:spacing w:line="240" w:lineRule="auto"/>
              <w:jc w:val="center"/>
              <w:rPr>
                <w:b/>
                <w:bCs/>
                <w:szCs w:val="24"/>
                <w:lang w:eastAsia="ru-RU"/>
              </w:rPr>
            </w:pPr>
            <w:r w:rsidRPr="00FC4BB3">
              <w:rPr>
                <w:b/>
                <w:bCs/>
                <w:szCs w:val="24"/>
                <w:lang w:eastAsia="ru-RU"/>
              </w:rPr>
              <w:t>Lignification phase</w:t>
            </w:r>
          </w:p>
        </w:tc>
      </w:tr>
      <w:tr w:rsidR="0054595D" w:rsidRPr="00FC4BB3" w14:paraId="07B806B9" w14:textId="77777777" w:rsidTr="0054595D">
        <w:trPr>
          <w:trHeight w:val="20"/>
        </w:trPr>
        <w:tc>
          <w:tcPr>
            <w:tcW w:w="9109" w:type="dxa"/>
            <w:gridSpan w:val="4"/>
            <w:tcBorders>
              <w:top w:val="single" w:sz="4" w:space="0" w:color="auto"/>
              <w:bottom w:val="single" w:sz="4" w:space="0" w:color="auto"/>
            </w:tcBorders>
          </w:tcPr>
          <w:p w14:paraId="55CBD505" w14:textId="4EBC6284" w:rsidR="0054595D" w:rsidRPr="00FC4BB3" w:rsidRDefault="0054595D" w:rsidP="002D44FC">
            <w:pPr>
              <w:spacing w:line="240" w:lineRule="auto"/>
              <w:jc w:val="center"/>
              <w:rPr>
                <w:color w:val="auto"/>
                <w:szCs w:val="24"/>
                <w:lang w:eastAsia="ru-RU"/>
              </w:rPr>
            </w:pPr>
            <w:r w:rsidRPr="00FC4BB3">
              <w:rPr>
                <w:color w:val="auto"/>
                <w:szCs w:val="24"/>
                <w:lang w:eastAsia="ru-RU"/>
              </w:rPr>
              <w:t>Macroelements (</w:t>
            </w:r>
            <w:r w:rsidRPr="00FC4BB3">
              <w:rPr>
                <w:rFonts w:eastAsia="Calibri"/>
                <w:color w:val="auto"/>
                <w:szCs w:val="24"/>
              </w:rPr>
              <w:t xml:space="preserve">Kabanova </w:t>
            </w:r>
            <w:r w:rsidR="002D44FC" w:rsidRPr="00FC4BB3">
              <w:rPr>
                <w:rFonts w:eastAsia="Calibri"/>
                <w:color w:val="auto"/>
                <w:szCs w:val="24"/>
              </w:rPr>
              <w:t>and</w:t>
            </w:r>
            <w:r w:rsidRPr="00FC4BB3">
              <w:rPr>
                <w:rFonts w:eastAsia="Calibri"/>
                <w:color w:val="auto"/>
                <w:szCs w:val="24"/>
              </w:rPr>
              <w:t xml:space="preserve"> Danchenko 2019</w:t>
            </w:r>
            <w:r w:rsidRPr="00FC4BB3">
              <w:rPr>
                <w:color w:val="auto"/>
                <w:szCs w:val="24"/>
                <w:lang w:eastAsia="ru-RU"/>
              </w:rPr>
              <w:t>)</w:t>
            </w:r>
          </w:p>
        </w:tc>
      </w:tr>
      <w:tr w:rsidR="0054595D" w:rsidRPr="00FC4BB3" w14:paraId="2D427679" w14:textId="77777777" w:rsidTr="0054595D">
        <w:trPr>
          <w:trHeight w:val="20"/>
        </w:trPr>
        <w:tc>
          <w:tcPr>
            <w:tcW w:w="2261" w:type="dxa"/>
            <w:tcBorders>
              <w:top w:val="single" w:sz="4" w:space="0" w:color="auto"/>
            </w:tcBorders>
          </w:tcPr>
          <w:p w14:paraId="39E69BE2" w14:textId="77777777" w:rsidR="0054595D" w:rsidRPr="00FC4BB3" w:rsidRDefault="0054595D" w:rsidP="0054595D">
            <w:pPr>
              <w:spacing w:line="240" w:lineRule="auto"/>
              <w:jc w:val="center"/>
              <w:rPr>
                <w:szCs w:val="24"/>
                <w:lang w:eastAsia="ru-RU"/>
              </w:rPr>
            </w:pPr>
            <w:r w:rsidRPr="00FC4BB3">
              <w:rPr>
                <w:szCs w:val="24"/>
              </w:rPr>
              <w:t>Nitrogen (N)</w:t>
            </w:r>
          </w:p>
        </w:tc>
        <w:tc>
          <w:tcPr>
            <w:tcW w:w="2280" w:type="dxa"/>
            <w:tcBorders>
              <w:top w:val="single" w:sz="4" w:space="0" w:color="auto"/>
            </w:tcBorders>
          </w:tcPr>
          <w:p w14:paraId="5EF6FB2D" w14:textId="77777777" w:rsidR="0054595D" w:rsidRPr="00FC4BB3" w:rsidRDefault="0054595D" w:rsidP="0054595D">
            <w:pPr>
              <w:spacing w:line="240" w:lineRule="auto"/>
              <w:jc w:val="center"/>
              <w:rPr>
                <w:color w:val="auto"/>
                <w:szCs w:val="24"/>
                <w:lang w:eastAsia="ru-RU"/>
              </w:rPr>
            </w:pPr>
            <w:r w:rsidRPr="00FC4BB3">
              <w:rPr>
                <w:rFonts w:eastAsia="Calibri"/>
                <w:color w:val="auto"/>
                <w:szCs w:val="24"/>
              </w:rPr>
              <w:t>0,006</w:t>
            </w:r>
          </w:p>
        </w:tc>
        <w:tc>
          <w:tcPr>
            <w:tcW w:w="2249" w:type="dxa"/>
            <w:tcBorders>
              <w:top w:val="single" w:sz="4" w:space="0" w:color="auto"/>
            </w:tcBorders>
          </w:tcPr>
          <w:p w14:paraId="440ED187" w14:textId="77777777" w:rsidR="0054595D" w:rsidRPr="00FC4BB3" w:rsidRDefault="0054595D" w:rsidP="0054595D">
            <w:pPr>
              <w:spacing w:line="240" w:lineRule="auto"/>
              <w:jc w:val="center"/>
              <w:rPr>
                <w:color w:val="auto"/>
                <w:szCs w:val="24"/>
                <w:lang w:eastAsia="ru-RU"/>
              </w:rPr>
            </w:pPr>
            <w:r w:rsidRPr="00FC4BB3">
              <w:rPr>
                <w:rFonts w:eastAsia="Calibri"/>
                <w:color w:val="auto"/>
                <w:szCs w:val="24"/>
              </w:rPr>
              <w:t>0,016</w:t>
            </w:r>
          </w:p>
        </w:tc>
        <w:tc>
          <w:tcPr>
            <w:tcW w:w="2319" w:type="dxa"/>
            <w:tcBorders>
              <w:top w:val="single" w:sz="4" w:space="0" w:color="auto"/>
            </w:tcBorders>
          </w:tcPr>
          <w:p w14:paraId="0788FC44" w14:textId="77777777" w:rsidR="0054595D" w:rsidRPr="00FC4BB3" w:rsidRDefault="0054595D" w:rsidP="0054595D">
            <w:pPr>
              <w:spacing w:line="240" w:lineRule="auto"/>
              <w:jc w:val="center"/>
              <w:rPr>
                <w:szCs w:val="24"/>
                <w:lang w:eastAsia="ru-RU"/>
              </w:rPr>
            </w:pPr>
            <w:r w:rsidRPr="00FC4BB3">
              <w:rPr>
                <w:rFonts w:eastAsia="Calibri"/>
                <w:szCs w:val="24"/>
              </w:rPr>
              <w:t>0,006</w:t>
            </w:r>
          </w:p>
        </w:tc>
      </w:tr>
      <w:tr w:rsidR="0054595D" w:rsidRPr="00FC4BB3" w14:paraId="3D118BBB" w14:textId="77777777" w:rsidTr="0054595D">
        <w:trPr>
          <w:trHeight w:val="20"/>
        </w:trPr>
        <w:tc>
          <w:tcPr>
            <w:tcW w:w="2261" w:type="dxa"/>
          </w:tcPr>
          <w:p w14:paraId="69C7DB84" w14:textId="77777777" w:rsidR="0054595D" w:rsidRPr="00FC4BB3" w:rsidRDefault="0054595D" w:rsidP="0054595D">
            <w:pPr>
              <w:spacing w:line="240" w:lineRule="auto"/>
              <w:jc w:val="center"/>
              <w:rPr>
                <w:szCs w:val="24"/>
                <w:lang w:eastAsia="ru-RU"/>
              </w:rPr>
            </w:pPr>
            <w:r w:rsidRPr="00FC4BB3">
              <w:rPr>
                <w:szCs w:val="24"/>
              </w:rPr>
              <w:t>Phosphorus (P)</w:t>
            </w:r>
          </w:p>
        </w:tc>
        <w:tc>
          <w:tcPr>
            <w:tcW w:w="2280" w:type="dxa"/>
          </w:tcPr>
          <w:p w14:paraId="333D55CF" w14:textId="77777777" w:rsidR="0054595D" w:rsidRPr="00FC4BB3" w:rsidRDefault="0054595D" w:rsidP="0054595D">
            <w:pPr>
              <w:spacing w:line="240" w:lineRule="auto"/>
              <w:jc w:val="center"/>
              <w:rPr>
                <w:color w:val="auto"/>
                <w:szCs w:val="24"/>
                <w:lang w:eastAsia="ru-RU"/>
              </w:rPr>
            </w:pPr>
            <w:r w:rsidRPr="00FC4BB3">
              <w:rPr>
                <w:rFonts w:eastAsia="Calibri"/>
                <w:color w:val="auto"/>
                <w:szCs w:val="24"/>
              </w:rPr>
              <w:t>0,012</w:t>
            </w:r>
          </w:p>
        </w:tc>
        <w:tc>
          <w:tcPr>
            <w:tcW w:w="2249" w:type="dxa"/>
          </w:tcPr>
          <w:p w14:paraId="5311AD88" w14:textId="77777777" w:rsidR="0054595D" w:rsidRPr="00FC4BB3" w:rsidRDefault="0054595D" w:rsidP="0054595D">
            <w:pPr>
              <w:spacing w:line="240" w:lineRule="auto"/>
              <w:jc w:val="center"/>
              <w:rPr>
                <w:color w:val="auto"/>
                <w:szCs w:val="24"/>
                <w:lang w:eastAsia="ru-RU"/>
              </w:rPr>
            </w:pPr>
            <w:r w:rsidRPr="00FC4BB3">
              <w:rPr>
                <w:rFonts w:eastAsia="Calibri"/>
                <w:color w:val="auto"/>
                <w:szCs w:val="24"/>
              </w:rPr>
              <w:t>0,007</w:t>
            </w:r>
          </w:p>
        </w:tc>
        <w:tc>
          <w:tcPr>
            <w:tcW w:w="2319" w:type="dxa"/>
          </w:tcPr>
          <w:p w14:paraId="683B113F" w14:textId="77777777" w:rsidR="0054595D" w:rsidRPr="00FC4BB3" w:rsidRDefault="0054595D" w:rsidP="0054595D">
            <w:pPr>
              <w:spacing w:line="240" w:lineRule="auto"/>
              <w:jc w:val="center"/>
              <w:rPr>
                <w:szCs w:val="24"/>
                <w:lang w:eastAsia="ru-RU"/>
              </w:rPr>
            </w:pPr>
            <w:r w:rsidRPr="00FC4BB3">
              <w:rPr>
                <w:rFonts w:eastAsia="Calibri"/>
                <w:szCs w:val="24"/>
              </w:rPr>
              <w:t>0,006</w:t>
            </w:r>
          </w:p>
        </w:tc>
      </w:tr>
      <w:tr w:rsidR="0054595D" w:rsidRPr="00FC4BB3" w14:paraId="57882C38" w14:textId="77777777" w:rsidTr="0054595D">
        <w:trPr>
          <w:trHeight w:val="20"/>
        </w:trPr>
        <w:tc>
          <w:tcPr>
            <w:tcW w:w="2261" w:type="dxa"/>
          </w:tcPr>
          <w:p w14:paraId="652A69B6" w14:textId="77777777" w:rsidR="0054595D" w:rsidRPr="00FC4BB3" w:rsidRDefault="0054595D" w:rsidP="0054595D">
            <w:pPr>
              <w:spacing w:line="240" w:lineRule="auto"/>
              <w:jc w:val="center"/>
              <w:rPr>
                <w:szCs w:val="24"/>
                <w:lang w:eastAsia="ru-RU"/>
              </w:rPr>
            </w:pPr>
            <w:r w:rsidRPr="00FC4BB3">
              <w:rPr>
                <w:szCs w:val="24"/>
              </w:rPr>
              <w:t>Potassium (K)</w:t>
            </w:r>
          </w:p>
        </w:tc>
        <w:tc>
          <w:tcPr>
            <w:tcW w:w="2280" w:type="dxa"/>
          </w:tcPr>
          <w:p w14:paraId="272650B9" w14:textId="77777777" w:rsidR="0054595D" w:rsidRPr="00FC4BB3" w:rsidRDefault="0054595D" w:rsidP="0054595D">
            <w:pPr>
              <w:spacing w:line="240" w:lineRule="auto"/>
              <w:jc w:val="center"/>
              <w:rPr>
                <w:color w:val="auto"/>
                <w:szCs w:val="24"/>
                <w:lang w:eastAsia="ru-RU"/>
              </w:rPr>
            </w:pPr>
            <w:r w:rsidRPr="00FC4BB3">
              <w:rPr>
                <w:rFonts w:eastAsia="Calibri"/>
                <w:color w:val="auto"/>
                <w:szCs w:val="24"/>
              </w:rPr>
              <w:t>0,012</w:t>
            </w:r>
          </w:p>
        </w:tc>
        <w:tc>
          <w:tcPr>
            <w:tcW w:w="2249" w:type="dxa"/>
          </w:tcPr>
          <w:p w14:paraId="03F38860" w14:textId="77777777" w:rsidR="0054595D" w:rsidRPr="00FC4BB3" w:rsidRDefault="0054595D" w:rsidP="0054595D">
            <w:pPr>
              <w:spacing w:line="240" w:lineRule="auto"/>
              <w:jc w:val="center"/>
              <w:rPr>
                <w:color w:val="auto"/>
                <w:szCs w:val="24"/>
                <w:lang w:eastAsia="ru-RU"/>
              </w:rPr>
            </w:pPr>
            <w:r w:rsidRPr="00FC4BB3">
              <w:rPr>
                <w:rFonts w:eastAsia="Calibri"/>
                <w:color w:val="auto"/>
                <w:szCs w:val="24"/>
              </w:rPr>
              <w:t>0,016</w:t>
            </w:r>
          </w:p>
        </w:tc>
        <w:tc>
          <w:tcPr>
            <w:tcW w:w="2319" w:type="dxa"/>
          </w:tcPr>
          <w:p w14:paraId="30C38313" w14:textId="77777777" w:rsidR="0054595D" w:rsidRPr="00FC4BB3" w:rsidRDefault="0054595D" w:rsidP="0054595D">
            <w:pPr>
              <w:spacing w:line="240" w:lineRule="auto"/>
              <w:jc w:val="center"/>
              <w:rPr>
                <w:szCs w:val="24"/>
                <w:lang w:eastAsia="ru-RU"/>
              </w:rPr>
            </w:pPr>
            <w:r w:rsidRPr="00FC4BB3">
              <w:rPr>
                <w:rFonts w:eastAsia="Calibri"/>
                <w:szCs w:val="24"/>
              </w:rPr>
              <w:t>0,016</w:t>
            </w:r>
          </w:p>
        </w:tc>
      </w:tr>
      <w:tr w:rsidR="0054595D" w:rsidRPr="00FC4BB3" w14:paraId="6C70C8C3" w14:textId="77777777" w:rsidTr="0054595D">
        <w:trPr>
          <w:trHeight w:val="20"/>
        </w:trPr>
        <w:tc>
          <w:tcPr>
            <w:tcW w:w="2261" w:type="dxa"/>
          </w:tcPr>
          <w:p w14:paraId="1E1542A7" w14:textId="77777777" w:rsidR="0054595D" w:rsidRPr="00FC4BB3" w:rsidRDefault="0054595D" w:rsidP="0054595D">
            <w:pPr>
              <w:spacing w:line="240" w:lineRule="auto"/>
              <w:jc w:val="center"/>
              <w:rPr>
                <w:szCs w:val="24"/>
                <w:lang w:eastAsia="ru-RU"/>
              </w:rPr>
            </w:pPr>
            <w:r w:rsidRPr="00FC4BB3">
              <w:rPr>
                <w:szCs w:val="24"/>
              </w:rPr>
              <w:t>Calcium (Ca)</w:t>
            </w:r>
          </w:p>
        </w:tc>
        <w:tc>
          <w:tcPr>
            <w:tcW w:w="2280" w:type="dxa"/>
          </w:tcPr>
          <w:p w14:paraId="30AAC022" w14:textId="77777777" w:rsidR="0054595D" w:rsidRPr="00FC4BB3" w:rsidRDefault="0054595D" w:rsidP="0054595D">
            <w:pPr>
              <w:spacing w:line="240" w:lineRule="auto"/>
              <w:jc w:val="center"/>
              <w:rPr>
                <w:color w:val="auto"/>
                <w:szCs w:val="24"/>
                <w:lang w:eastAsia="ru-RU"/>
              </w:rPr>
            </w:pPr>
            <w:r w:rsidRPr="00FC4BB3">
              <w:rPr>
                <w:rFonts w:eastAsia="Calibri"/>
                <w:color w:val="auto"/>
                <w:szCs w:val="24"/>
              </w:rPr>
              <w:t>0,009</w:t>
            </w:r>
          </w:p>
        </w:tc>
        <w:tc>
          <w:tcPr>
            <w:tcW w:w="2249" w:type="dxa"/>
          </w:tcPr>
          <w:p w14:paraId="2199AC6C" w14:textId="77777777" w:rsidR="0054595D" w:rsidRPr="00FC4BB3" w:rsidRDefault="0054595D" w:rsidP="0054595D">
            <w:pPr>
              <w:spacing w:line="240" w:lineRule="auto"/>
              <w:jc w:val="center"/>
              <w:rPr>
                <w:color w:val="auto"/>
                <w:szCs w:val="24"/>
                <w:lang w:eastAsia="ru-RU"/>
              </w:rPr>
            </w:pPr>
            <w:r w:rsidRPr="00FC4BB3">
              <w:rPr>
                <w:rFonts w:eastAsia="Calibri"/>
                <w:color w:val="auto"/>
                <w:szCs w:val="24"/>
              </w:rPr>
              <w:t>0,007</w:t>
            </w:r>
          </w:p>
        </w:tc>
        <w:tc>
          <w:tcPr>
            <w:tcW w:w="2319" w:type="dxa"/>
          </w:tcPr>
          <w:p w14:paraId="1F787D6F" w14:textId="77777777" w:rsidR="0054595D" w:rsidRPr="00FC4BB3" w:rsidRDefault="0054595D" w:rsidP="0054595D">
            <w:pPr>
              <w:spacing w:line="240" w:lineRule="auto"/>
              <w:jc w:val="center"/>
              <w:rPr>
                <w:szCs w:val="24"/>
                <w:lang w:eastAsia="ru-RU"/>
              </w:rPr>
            </w:pPr>
            <w:r w:rsidRPr="00FC4BB3">
              <w:rPr>
                <w:rFonts w:eastAsia="Calibri"/>
                <w:szCs w:val="24"/>
              </w:rPr>
              <w:t>0,0010</w:t>
            </w:r>
          </w:p>
        </w:tc>
      </w:tr>
      <w:tr w:rsidR="0054595D" w:rsidRPr="00FC4BB3" w14:paraId="6A9E378C" w14:textId="77777777" w:rsidTr="0054595D">
        <w:trPr>
          <w:trHeight w:val="20"/>
        </w:trPr>
        <w:tc>
          <w:tcPr>
            <w:tcW w:w="2261" w:type="dxa"/>
          </w:tcPr>
          <w:p w14:paraId="3DD2DEF2" w14:textId="77777777" w:rsidR="0054595D" w:rsidRPr="00FC4BB3" w:rsidRDefault="0054595D" w:rsidP="0054595D">
            <w:pPr>
              <w:spacing w:line="240" w:lineRule="auto"/>
              <w:jc w:val="center"/>
              <w:rPr>
                <w:szCs w:val="24"/>
                <w:lang w:eastAsia="ru-RU"/>
              </w:rPr>
            </w:pPr>
            <w:r w:rsidRPr="00FC4BB3">
              <w:rPr>
                <w:szCs w:val="24"/>
              </w:rPr>
              <w:t>Magnesium (Mg)</w:t>
            </w:r>
          </w:p>
        </w:tc>
        <w:tc>
          <w:tcPr>
            <w:tcW w:w="2280" w:type="dxa"/>
          </w:tcPr>
          <w:p w14:paraId="5DBFB85D" w14:textId="77777777" w:rsidR="0054595D" w:rsidRPr="00FC4BB3" w:rsidRDefault="0054595D" w:rsidP="0054595D">
            <w:pPr>
              <w:spacing w:line="240" w:lineRule="auto"/>
              <w:jc w:val="center"/>
              <w:rPr>
                <w:color w:val="auto"/>
                <w:szCs w:val="24"/>
                <w:lang w:eastAsia="ru-RU"/>
              </w:rPr>
            </w:pPr>
            <w:r w:rsidRPr="00FC4BB3">
              <w:rPr>
                <w:rFonts w:eastAsia="Calibri"/>
                <w:color w:val="auto"/>
                <w:szCs w:val="24"/>
              </w:rPr>
              <w:t>0,004</w:t>
            </w:r>
          </w:p>
        </w:tc>
        <w:tc>
          <w:tcPr>
            <w:tcW w:w="2249" w:type="dxa"/>
          </w:tcPr>
          <w:p w14:paraId="1F10A872" w14:textId="77777777" w:rsidR="0054595D" w:rsidRPr="00FC4BB3" w:rsidRDefault="0054595D" w:rsidP="0054595D">
            <w:pPr>
              <w:spacing w:line="240" w:lineRule="auto"/>
              <w:jc w:val="center"/>
              <w:rPr>
                <w:color w:val="auto"/>
                <w:szCs w:val="24"/>
                <w:lang w:eastAsia="ru-RU"/>
              </w:rPr>
            </w:pPr>
            <w:r w:rsidRPr="00FC4BB3">
              <w:rPr>
                <w:rFonts w:eastAsia="Calibri"/>
                <w:color w:val="auto"/>
                <w:szCs w:val="24"/>
              </w:rPr>
              <w:t>0,005</w:t>
            </w:r>
          </w:p>
        </w:tc>
        <w:tc>
          <w:tcPr>
            <w:tcW w:w="2319" w:type="dxa"/>
          </w:tcPr>
          <w:p w14:paraId="5D1ADD07" w14:textId="77777777" w:rsidR="0054595D" w:rsidRPr="00FC4BB3" w:rsidRDefault="0054595D" w:rsidP="0054595D">
            <w:pPr>
              <w:spacing w:line="240" w:lineRule="auto"/>
              <w:jc w:val="center"/>
              <w:rPr>
                <w:szCs w:val="24"/>
                <w:lang w:eastAsia="ru-RU"/>
              </w:rPr>
            </w:pPr>
            <w:r w:rsidRPr="00FC4BB3">
              <w:rPr>
                <w:rFonts w:eastAsia="Calibri"/>
                <w:szCs w:val="24"/>
              </w:rPr>
              <w:t>0,006</w:t>
            </w:r>
          </w:p>
        </w:tc>
      </w:tr>
      <w:tr w:rsidR="0054595D" w:rsidRPr="00FC4BB3" w14:paraId="26C04789" w14:textId="77777777" w:rsidTr="0054595D">
        <w:trPr>
          <w:trHeight w:val="20"/>
        </w:trPr>
        <w:tc>
          <w:tcPr>
            <w:tcW w:w="2261" w:type="dxa"/>
            <w:tcBorders>
              <w:bottom w:val="single" w:sz="4" w:space="0" w:color="auto"/>
            </w:tcBorders>
          </w:tcPr>
          <w:p w14:paraId="52C5E62D" w14:textId="77777777" w:rsidR="0054595D" w:rsidRPr="00FC4BB3" w:rsidRDefault="0054595D" w:rsidP="0054595D">
            <w:pPr>
              <w:spacing w:line="240" w:lineRule="auto"/>
              <w:jc w:val="center"/>
              <w:rPr>
                <w:szCs w:val="24"/>
                <w:lang w:eastAsia="ru-RU"/>
              </w:rPr>
            </w:pPr>
            <w:r w:rsidRPr="00FC4BB3">
              <w:rPr>
                <w:szCs w:val="24"/>
              </w:rPr>
              <w:t>Sulfur (S)</w:t>
            </w:r>
          </w:p>
        </w:tc>
        <w:tc>
          <w:tcPr>
            <w:tcW w:w="2280" w:type="dxa"/>
            <w:tcBorders>
              <w:bottom w:val="single" w:sz="4" w:space="0" w:color="auto"/>
            </w:tcBorders>
          </w:tcPr>
          <w:p w14:paraId="0D1C30E8" w14:textId="77777777" w:rsidR="0054595D" w:rsidRPr="00FC4BB3" w:rsidRDefault="0054595D" w:rsidP="0054595D">
            <w:pPr>
              <w:spacing w:line="240" w:lineRule="auto"/>
              <w:jc w:val="center"/>
              <w:rPr>
                <w:color w:val="auto"/>
                <w:szCs w:val="24"/>
                <w:lang w:eastAsia="ru-RU"/>
              </w:rPr>
            </w:pPr>
            <w:r w:rsidRPr="00FC4BB3">
              <w:rPr>
                <w:rFonts w:eastAsia="Calibri"/>
                <w:color w:val="auto"/>
                <w:szCs w:val="24"/>
              </w:rPr>
              <w:t>0,005</w:t>
            </w:r>
          </w:p>
        </w:tc>
        <w:tc>
          <w:tcPr>
            <w:tcW w:w="2249" w:type="dxa"/>
            <w:tcBorders>
              <w:bottom w:val="single" w:sz="4" w:space="0" w:color="auto"/>
            </w:tcBorders>
          </w:tcPr>
          <w:p w14:paraId="0D8CDE9F" w14:textId="77777777" w:rsidR="0054595D" w:rsidRPr="00FC4BB3" w:rsidRDefault="0054595D" w:rsidP="0054595D">
            <w:pPr>
              <w:spacing w:line="240" w:lineRule="auto"/>
              <w:jc w:val="center"/>
              <w:rPr>
                <w:color w:val="auto"/>
                <w:szCs w:val="24"/>
                <w:lang w:eastAsia="ru-RU"/>
              </w:rPr>
            </w:pPr>
            <w:r w:rsidRPr="00FC4BB3">
              <w:rPr>
                <w:rFonts w:eastAsia="Calibri"/>
                <w:color w:val="auto"/>
                <w:szCs w:val="24"/>
              </w:rPr>
              <w:t>0,007</w:t>
            </w:r>
          </w:p>
        </w:tc>
        <w:tc>
          <w:tcPr>
            <w:tcW w:w="2319" w:type="dxa"/>
            <w:tcBorders>
              <w:bottom w:val="single" w:sz="4" w:space="0" w:color="auto"/>
            </w:tcBorders>
          </w:tcPr>
          <w:p w14:paraId="70451EEC" w14:textId="77777777" w:rsidR="0054595D" w:rsidRPr="00FC4BB3" w:rsidRDefault="0054595D" w:rsidP="0054595D">
            <w:pPr>
              <w:spacing w:line="240" w:lineRule="auto"/>
              <w:jc w:val="center"/>
              <w:rPr>
                <w:szCs w:val="24"/>
                <w:lang w:eastAsia="ru-RU"/>
              </w:rPr>
            </w:pPr>
            <w:r w:rsidRPr="00FC4BB3">
              <w:rPr>
                <w:rFonts w:eastAsia="Calibri"/>
                <w:szCs w:val="24"/>
              </w:rPr>
              <w:t>0,007</w:t>
            </w:r>
          </w:p>
        </w:tc>
      </w:tr>
      <w:tr w:rsidR="0054595D" w:rsidRPr="00FC4BB3" w14:paraId="4238CEEF" w14:textId="77777777" w:rsidTr="0054595D">
        <w:trPr>
          <w:trHeight w:val="20"/>
        </w:trPr>
        <w:tc>
          <w:tcPr>
            <w:tcW w:w="9109" w:type="dxa"/>
            <w:gridSpan w:val="4"/>
            <w:tcBorders>
              <w:top w:val="single" w:sz="4" w:space="0" w:color="auto"/>
              <w:bottom w:val="single" w:sz="4" w:space="0" w:color="auto"/>
            </w:tcBorders>
          </w:tcPr>
          <w:p w14:paraId="398519BA" w14:textId="50079750" w:rsidR="0054595D" w:rsidRPr="00FC4BB3" w:rsidRDefault="0054595D" w:rsidP="002D44FC">
            <w:pPr>
              <w:spacing w:line="240" w:lineRule="auto"/>
              <w:jc w:val="center"/>
              <w:rPr>
                <w:rFonts w:eastAsia="Calibri"/>
                <w:color w:val="auto"/>
                <w:szCs w:val="24"/>
              </w:rPr>
            </w:pPr>
            <w:r w:rsidRPr="00FC4BB3">
              <w:rPr>
                <w:rFonts w:eastAsia="Calibri"/>
                <w:color w:val="auto"/>
                <w:szCs w:val="24"/>
              </w:rPr>
              <w:t xml:space="preserve">Microelements (Kabanova </w:t>
            </w:r>
            <w:r w:rsidR="002D44FC" w:rsidRPr="00FC4BB3">
              <w:rPr>
                <w:rFonts w:eastAsia="Calibri"/>
                <w:color w:val="auto"/>
                <w:szCs w:val="24"/>
              </w:rPr>
              <w:t>and</w:t>
            </w:r>
            <w:r w:rsidRPr="00FC4BB3">
              <w:rPr>
                <w:rFonts w:eastAsia="Calibri"/>
                <w:color w:val="auto"/>
                <w:szCs w:val="24"/>
              </w:rPr>
              <w:t xml:space="preserve"> Danchenko 2019)</w:t>
            </w:r>
          </w:p>
        </w:tc>
      </w:tr>
      <w:tr w:rsidR="0054595D" w:rsidRPr="00FC4BB3" w14:paraId="52B1FC8E" w14:textId="77777777" w:rsidTr="0054595D">
        <w:trPr>
          <w:trHeight w:val="20"/>
        </w:trPr>
        <w:tc>
          <w:tcPr>
            <w:tcW w:w="2261" w:type="dxa"/>
            <w:tcBorders>
              <w:top w:val="single" w:sz="4" w:space="0" w:color="auto"/>
            </w:tcBorders>
          </w:tcPr>
          <w:p w14:paraId="186782EA" w14:textId="77777777" w:rsidR="0054595D" w:rsidRPr="00FC4BB3" w:rsidRDefault="0054595D" w:rsidP="0054595D">
            <w:pPr>
              <w:spacing w:line="240" w:lineRule="auto"/>
              <w:jc w:val="center"/>
              <w:rPr>
                <w:szCs w:val="24"/>
                <w:lang w:eastAsia="ru-RU"/>
              </w:rPr>
            </w:pPr>
            <w:r w:rsidRPr="00FC4BB3">
              <w:rPr>
                <w:szCs w:val="24"/>
              </w:rPr>
              <w:t>Iron (Fe)</w:t>
            </w:r>
          </w:p>
        </w:tc>
        <w:tc>
          <w:tcPr>
            <w:tcW w:w="2280" w:type="dxa"/>
            <w:tcBorders>
              <w:top w:val="single" w:sz="4" w:space="0" w:color="auto"/>
            </w:tcBorders>
          </w:tcPr>
          <w:p w14:paraId="5616078D" w14:textId="77777777" w:rsidR="0054595D" w:rsidRPr="00FC4BB3" w:rsidRDefault="0054595D" w:rsidP="0054595D">
            <w:pPr>
              <w:spacing w:line="240" w:lineRule="auto"/>
              <w:jc w:val="center"/>
              <w:rPr>
                <w:rFonts w:eastAsia="Calibri"/>
                <w:szCs w:val="24"/>
              </w:rPr>
            </w:pPr>
            <w:r w:rsidRPr="00FC4BB3">
              <w:rPr>
                <w:rFonts w:eastAsia="Calibri"/>
                <w:szCs w:val="24"/>
              </w:rPr>
              <w:t>0,000600</w:t>
            </w:r>
          </w:p>
        </w:tc>
        <w:tc>
          <w:tcPr>
            <w:tcW w:w="2249" w:type="dxa"/>
            <w:tcBorders>
              <w:top w:val="single" w:sz="4" w:space="0" w:color="auto"/>
            </w:tcBorders>
          </w:tcPr>
          <w:p w14:paraId="262C7D12" w14:textId="77777777" w:rsidR="0054595D" w:rsidRPr="00FC4BB3" w:rsidRDefault="0054595D" w:rsidP="0054595D">
            <w:pPr>
              <w:spacing w:line="240" w:lineRule="auto"/>
              <w:jc w:val="center"/>
              <w:rPr>
                <w:rFonts w:eastAsia="Calibri"/>
                <w:szCs w:val="24"/>
              </w:rPr>
            </w:pPr>
            <w:r w:rsidRPr="00FC4BB3">
              <w:rPr>
                <w:rFonts w:eastAsia="Calibri"/>
                <w:szCs w:val="24"/>
              </w:rPr>
              <w:t>0,000500</w:t>
            </w:r>
          </w:p>
        </w:tc>
        <w:tc>
          <w:tcPr>
            <w:tcW w:w="2319" w:type="dxa"/>
            <w:tcBorders>
              <w:top w:val="single" w:sz="4" w:space="0" w:color="auto"/>
            </w:tcBorders>
          </w:tcPr>
          <w:p w14:paraId="13C6F502" w14:textId="77777777" w:rsidR="0054595D" w:rsidRPr="00FC4BB3" w:rsidRDefault="0054595D" w:rsidP="0054595D">
            <w:pPr>
              <w:spacing w:line="240" w:lineRule="auto"/>
              <w:jc w:val="center"/>
              <w:rPr>
                <w:rFonts w:eastAsia="Calibri"/>
                <w:szCs w:val="24"/>
              </w:rPr>
            </w:pPr>
            <w:r w:rsidRPr="00FC4BB3">
              <w:rPr>
                <w:rFonts w:eastAsia="Calibri"/>
                <w:szCs w:val="24"/>
              </w:rPr>
              <w:t>0,000600</w:t>
            </w:r>
          </w:p>
        </w:tc>
      </w:tr>
      <w:tr w:rsidR="0054595D" w:rsidRPr="00FC4BB3" w14:paraId="219D0DF3" w14:textId="77777777" w:rsidTr="0054595D">
        <w:trPr>
          <w:trHeight w:val="20"/>
        </w:trPr>
        <w:tc>
          <w:tcPr>
            <w:tcW w:w="2261" w:type="dxa"/>
          </w:tcPr>
          <w:p w14:paraId="1132C195" w14:textId="77777777" w:rsidR="0054595D" w:rsidRPr="00FC4BB3" w:rsidRDefault="0054595D" w:rsidP="0054595D">
            <w:pPr>
              <w:spacing w:line="240" w:lineRule="auto"/>
              <w:jc w:val="center"/>
              <w:rPr>
                <w:szCs w:val="24"/>
                <w:lang w:eastAsia="ru-RU"/>
              </w:rPr>
            </w:pPr>
            <w:r w:rsidRPr="00FC4BB3">
              <w:rPr>
                <w:szCs w:val="24"/>
              </w:rPr>
              <w:t>Manganese (Mn)</w:t>
            </w:r>
          </w:p>
        </w:tc>
        <w:tc>
          <w:tcPr>
            <w:tcW w:w="2280" w:type="dxa"/>
          </w:tcPr>
          <w:p w14:paraId="63393D7B" w14:textId="77777777" w:rsidR="0054595D" w:rsidRPr="00FC4BB3" w:rsidRDefault="0054595D" w:rsidP="0054595D">
            <w:pPr>
              <w:spacing w:line="240" w:lineRule="auto"/>
              <w:jc w:val="center"/>
              <w:rPr>
                <w:rFonts w:eastAsia="Calibri"/>
                <w:szCs w:val="24"/>
              </w:rPr>
            </w:pPr>
            <w:r w:rsidRPr="00FC4BB3">
              <w:rPr>
                <w:rFonts w:eastAsia="Calibri"/>
                <w:szCs w:val="24"/>
              </w:rPr>
              <w:t>0,000080</w:t>
            </w:r>
          </w:p>
        </w:tc>
        <w:tc>
          <w:tcPr>
            <w:tcW w:w="2249" w:type="dxa"/>
          </w:tcPr>
          <w:p w14:paraId="25F8750C" w14:textId="77777777" w:rsidR="0054595D" w:rsidRPr="00FC4BB3" w:rsidRDefault="0054595D" w:rsidP="0054595D">
            <w:pPr>
              <w:spacing w:line="240" w:lineRule="auto"/>
              <w:jc w:val="center"/>
              <w:rPr>
                <w:rFonts w:eastAsia="Calibri"/>
                <w:szCs w:val="24"/>
              </w:rPr>
            </w:pPr>
            <w:r w:rsidRPr="00FC4BB3">
              <w:rPr>
                <w:rFonts w:eastAsia="Calibri"/>
                <w:szCs w:val="24"/>
              </w:rPr>
              <w:t>0,000080</w:t>
            </w:r>
          </w:p>
        </w:tc>
        <w:tc>
          <w:tcPr>
            <w:tcW w:w="2319" w:type="dxa"/>
          </w:tcPr>
          <w:p w14:paraId="47AF0D46" w14:textId="77777777" w:rsidR="0054595D" w:rsidRPr="00FC4BB3" w:rsidRDefault="0054595D" w:rsidP="0054595D">
            <w:pPr>
              <w:spacing w:line="240" w:lineRule="auto"/>
              <w:jc w:val="center"/>
              <w:rPr>
                <w:rFonts w:eastAsia="Calibri"/>
                <w:szCs w:val="24"/>
              </w:rPr>
            </w:pPr>
            <w:r w:rsidRPr="00FC4BB3">
              <w:rPr>
                <w:rFonts w:eastAsia="Calibri"/>
                <w:szCs w:val="24"/>
              </w:rPr>
              <w:t>0,000090</w:t>
            </w:r>
          </w:p>
        </w:tc>
      </w:tr>
      <w:tr w:rsidR="0054595D" w:rsidRPr="00FC4BB3" w14:paraId="233A96C9" w14:textId="77777777" w:rsidTr="0054595D">
        <w:trPr>
          <w:trHeight w:val="20"/>
        </w:trPr>
        <w:tc>
          <w:tcPr>
            <w:tcW w:w="2261" w:type="dxa"/>
          </w:tcPr>
          <w:p w14:paraId="212CDCC0" w14:textId="77777777" w:rsidR="0054595D" w:rsidRPr="00FC4BB3" w:rsidRDefault="0054595D" w:rsidP="0054595D">
            <w:pPr>
              <w:spacing w:line="240" w:lineRule="auto"/>
              <w:jc w:val="center"/>
              <w:rPr>
                <w:szCs w:val="24"/>
                <w:lang w:eastAsia="ru-RU"/>
              </w:rPr>
            </w:pPr>
            <w:r w:rsidRPr="00FC4BB3">
              <w:rPr>
                <w:szCs w:val="24"/>
              </w:rPr>
              <w:t>Zinc (Zn)</w:t>
            </w:r>
          </w:p>
        </w:tc>
        <w:tc>
          <w:tcPr>
            <w:tcW w:w="2280" w:type="dxa"/>
          </w:tcPr>
          <w:p w14:paraId="511D7170" w14:textId="77777777" w:rsidR="0054595D" w:rsidRPr="00FC4BB3" w:rsidRDefault="0054595D" w:rsidP="0054595D">
            <w:pPr>
              <w:spacing w:line="240" w:lineRule="auto"/>
              <w:jc w:val="center"/>
              <w:rPr>
                <w:rFonts w:eastAsia="Calibri"/>
                <w:szCs w:val="24"/>
              </w:rPr>
            </w:pPr>
            <w:r w:rsidRPr="00FC4BB3">
              <w:rPr>
                <w:rFonts w:eastAsia="Calibri"/>
                <w:szCs w:val="24"/>
              </w:rPr>
              <w:t>0,000032</w:t>
            </w:r>
          </w:p>
        </w:tc>
        <w:tc>
          <w:tcPr>
            <w:tcW w:w="2249" w:type="dxa"/>
          </w:tcPr>
          <w:p w14:paraId="7195BEA9" w14:textId="77777777" w:rsidR="0054595D" w:rsidRPr="00FC4BB3" w:rsidRDefault="0054595D" w:rsidP="0054595D">
            <w:pPr>
              <w:spacing w:line="240" w:lineRule="auto"/>
              <w:jc w:val="center"/>
              <w:rPr>
                <w:rFonts w:eastAsia="Calibri"/>
                <w:szCs w:val="24"/>
              </w:rPr>
            </w:pPr>
            <w:r w:rsidRPr="00FC4BB3">
              <w:rPr>
                <w:rFonts w:eastAsia="Calibri"/>
                <w:szCs w:val="24"/>
              </w:rPr>
              <w:t>0,000032</w:t>
            </w:r>
          </w:p>
        </w:tc>
        <w:tc>
          <w:tcPr>
            <w:tcW w:w="2319" w:type="dxa"/>
          </w:tcPr>
          <w:p w14:paraId="18C04598" w14:textId="77777777" w:rsidR="0054595D" w:rsidRPr="00FC4BB3" w:rsidRDefault="0054595D" w:rsidP="0054595D">
            <w:pPr>
              <w:spacing w:line="240" w:lineRule="auto"/>
              <w:jc w:val="center"/>
              <w:rPr>
                <w:rFonts w:eastAsia="Calibri"/>
                <w:szCs w:val="24"/>
              </w:rPr>
            </w:pPr>
            <w:r w:rsidRPr="00FC4BB3">
              <w:rPr>
                <w:rFonts w:eastAsia="Calibri"/>
                <w:szCs w:val="24"/>
              </w:rPr>
              <w:t>0,000034</w:t>
            </w:r>
          </w:p>
        </w:tc>
      </w:tr>
      <w:tr w:rsidR="0054595D" w:rsidRPr="00FC4BB3" w14:paraId="7940AEF2" w14:textId="77777777" w:rsidTr="0054595D">
        <w:trPr>
          <w:trHeight w:val="20"/>
        </w:trPr>
        <w:tc>
          <w:tcPr>
            <w:tcW w:w="2261" w:type="dxa"/>
          </w:tcPr>
          <w:p w14:paraId="19B76A33" w14:textId="77777777" w:rsidR="0054595D" w:rsidRPr="00FC4BB3" w:rsidRDefault="0054595D" w:rsidP="0054595D">
            <w:pPr>
              <w:spacing w:line="240" w:lineRule="auto"/>
              <w:jc w:val="center"/>
              <w:rPr>
                <w:szCs w:val="24"/>
                <w:lang w:eastAsia="ru-RU"/>
              </w:rPr>
            </w:pPr>
            <w:r w:rsidRPr="00FC4BB3">
              <w:rPr>
                <w:szCs w:val="24"/>
              </w:rPr>
              <w:t>Copper (Cu)</w:t>
            </w:r>
          </w:p>
        </w:tc>
        <w:tc>
          <w:tcPr>
            <w:tcW w:w="2280" w:type="dxa"/>
          </w:tcPr>
          <w:p w14:paraId="2C71DD74" w14:textId="77777777" w:rsidR="0054595D" w:rsidRPr="00FC4BB3" w:rsidRDefault="0054595D" w:rsidP="0054595D">
            <w:pPr>
              <w:spacing w:line="240" w:lineRule="auto"/>
              <w:jc w:val="center"/>
              <w:rPr>
                <w:rFonts w:eastAsia="Calibri"/>
                <w:szCs w:val="24"/>
              </w:rPr>
            </w:pPr>
            <w:r w:rsidRPr="00FC4BB3">
              <w:rPr>
                <w:rFonts w:eastAsia="Calibri"/>
                <w:szCs w:val="24"/>
              </w:rPr>
              <w:t>0,000015</w:t>
            </w:r>
          </w:p>
        </w:tc>
        <w:tc>
          <w:tcPr>
            <w:tcW w:w="2249" w:type="dxa"/>
          </w:tcPr>
          <w:p w14:paraId="27496417" w14:textId="77777777" w:rsidR="0054595D" w:rsidRPr="00FC4BB3" w:rsidRDefault="0054595D" w:rsidP="0054595D">
            <w:pPr>
              <w:spacing w:line="240" w:lineRule="auto"/>
              <w:jc w:val="center"/>
              <w:rPr>
                <w:rFonts w:eastAsia="Calibri"/>
                <w:szCs w:val="24"/>
              </w:rPr>
            </w:pPr>
            <w:r w:rsidRPr="00FC4BB3">
              <w:rPr>
                <w:rFonts w:eastAsia="Calibri"/>
                <w:szCs w:val="24"/>
              </w:rPr>
              <w:t>0,000016</w:t>
            </w:r>
          </w:p>
        </w:tc>
        <w:tc>
          <w:tcPr>
            <w:tcW w:w="2319" w:type="dxa"/>
          </w:tcPr>
          <w:p w14:paraId="45917BA1" w14:textId="77777777" w:rsidR="0054595D" w:rsidRPr="00FC4BB3" w:rsidRDefault="0054595D" w:rsidP="0054595D">
            <w:pPr>
              <w:spacing w:line="240" w:lineRule="auto"/>
              <w:jc w:val="center"/>
              <w:rPr>
                <w:rFonts w:eastAsia="Calibri"/>
                <w:szCs w:val="24"/>
              </w:rPr>
            </w:pPr>
            <w:r w:rsidRPr="00FC4BB3">
              <w:rPr>
                <w:rFonts w:eastAsia="Calibri"/>
                <w:szCs w:val="24"/>
              </w:rPr>
              <w:t>0,000016</w:t>
            </w:r>
          </w:p>
        </w:tc>
      </w:tr>
      <w:tr w:rsidR="0054595D" w:rsidRPr="00FC4BB3" w14:paraId="3EEC51F5" w14:textId="77777777" w:rsidTr="0054595D">
        <w:trPr>
          <w:trHeight w:val="20"/>
        </w:trPr>
        <w:tc>
          <w:tcPr>
            <w:tcW w:w="2261" w:type="dxa"/>
          </w:tcPr>
          <w:p w14:paraId="4184637D" w14:textId="77777777" w:rsidR="0054595D" w:rsidRPr="00FC4BB3" w:rsidRDefault="0054595D" w:rsidP="0054595D">
            <w:pPr>
              <w:spacing w:line="240" w:lineRule="auto"/>
              <w:jc w:val="center"/>
              <w:rPr>
                <w:szCs w:val="24"/>
                <w:lang w:eastAsia="ru-RU"/>
              </w:rPr>
            </w:pPr>
            <w:r w:rsidRPr="00FC4BB3">
              <w:rPr>
                <w:szCs w:val="24"/>
              </w:rPr>
              <w:t>Boron (B)</w:t>
            </w:r>
          </w:p>
        </w:tc>
        <w:tc>
          <w:tcPr>
            <w:tcW w:w="2280" w:type="dxa"/>
          </w:tcPr>
          <w:p w14:paraId="0EE989B4" w14:textId="77777777" w:rsidR="0054595D" w:rsidRPr="00FC4BB3" w:rsidRDefault="0054595D" w:rsidP="0054595D">
            <w:pPr>
              <w:spacing w:line="240" w:lineRule="auto"/>
              <w:jc w:val="center"/>
              <w:rPr>
                <w:rFonts w:eastAsia="Calibri"/>
                <w:szCs w:val="24"/>
              </w:rPr>
            </w:pPr>
            <w:r w:rsidRPr="00FC4BB3">
              <w:rPr>
                <w:rFonts w:eastAsia="Calibri"/>
                <w:szCs w:val="24"/>
              </w:rPr>
              <w:t>0,000003</w:t>
            </w:r>
          </w:p>
        </w:tc>
        <w:tc>
          <w:tcPr>
            <w:tcW w:w="2249" w:type="dxa"/>
          </w:tcPr>
          <w:p w14:paraId="30548952" w14:textId="77777777" w:rsidR="0054595D" w:rsidRPr="00FC4BB3" w:rsidRDefault="0054595D" w:rsidP="0054595D">
            <w:pPr>
              <w:spacing w:line="240" w:lineRule="auto"/>
              <w:jc w:val="center"/>
              <w:rPr>
                <w:rFonts w:eastAsia="Calibri"/>
                <w:szCs w:val="24"/>
              </w:rPr>
            </w:pPr>
            <w:r w:rsidRPr="00FC4BB3">
              <w:rPr>
                <w:rFonts w:eastAsia="Calibri"/>
                <w:szCs w:val="24"/>
              </w:rPr>
              <w:t>0,000003</w:t>
            </w:r>
          </w:p>
        </w:tc>
        <w:tc>
          <w:tcPr>
            <w:tcW w:w="2319" w:type="dxa"/>
          </w:tcPr>
          <w:p w14:paraId="3624DAD8" w14:textId="77777777" w:rsidR="0054595D" w:rsidRPr="00FC4BB3" w:rsidRDefault="0054595D" w:rsidP="0054595D">
            <w:pPr>
              <w:spacing w:line="240" w:lineRule="auto"/>
              <w:jc w:val="center"/>
              <w:rPr>
                <w:rFonts w:eastAsia="Calibri"/>
                <w:szCs w:val="24"/>
              </w:rPr>
            </w:pPr>
            <w:r w:rsidRPr="00FC4BB3">
              <w:rPr>
                <w:rFonts w:eastAsia="Calibri"/>
                <w:szCs w:val="24"/>
              </w:rPr>
              <w:t>0,000003</w:t>
            </w:r>
          </w:p>
        </w:tc>
      </w:tr>
      <w:tr w:rsidR="0054595D" w:rsidRPr="00FC4BB3" w14:paraId="232B738D" w14:textId="77777777" w:rsidTr="0054595D">
        <w:trPr>
          <w:trHeight w:val="20"/>
        </w:trPr>
        <w:tc>
          <w:tcPr>
            <w:tcW w:w="2261" w:type="dxa"/>
          </w:tcPr>
          <w:p w14:paraId="0B10F468" w14:textId="77777777" w:rsidR="0054595D" w:rsidRPr="00FC4BB3" w:rsidRDefault="0054595D" w:rsidP="0054595D">
            <w:pPr>
              <w:spacing w:line="240" w:lineRule="auto"/>
              <w:jc w:val="center"/>
              <w:rPr>
                <w:szCs w:val="24"/>
                <w:lang w:eastAsia="ru-RU"/>
              </w:rPr>
            </w:pPr>
            <w:r w:rsidRPr="00FC4BB3">
              <w:rPr>
                <w:szCs w:val="24"/>
              </w:rPr>
              <w:t>Molybdenum (Mo)</w:t>
            </w:r>
          </w:p>
        </w:tc>
        <w:tc>
          <w:tcPr>
            <w:tcW w:w="2280" w:type="dxa"/>
          </w:tcPr>
          <w:p w14:paraId="247CE970" w14:textId="77777777" w:rsidR="0054595D" w:rsidRPr="00FC4BB3" w:rsidRDefault="0054595D" w:rsidP="0054595D">
            <w:pPr>
              <w:spacing w:line="240" w:lineRule="auto"/>
              <w:jc w:val="center"/>
              <w:rPr>
                <w:rFonts w:eastAsia="Calibri"/>
                <w:szCs w:val="24"/>
              </w:rPr>
            </w:pPr>
            <w:r w:rsidRPr="00FC4BB3">
              <w:rPr>
                <w:rFonts w:eastAsia="Calibri"/>
                <w:szCs w:val="24"/>
              </w:rPr>
              <w:t>0,000060</w:t>
            </w:r>
          </w:p>
        </w:tc>
        <w:tc>
          <w:tcPr>
            <w:tcW w:w="2249" w:type="dxa"/>
          </w:tcPr>
          <w:p w14:paraId="6714353E" w14:textId="77777777" w:rsidR="0054595D" w:rsidRPr="00FC4BB3" w:rsidRDefault="0054595D" w:rsidP="0054595D">
            <w:pPr>
              <w:spacing w:line="240" w:lineRule="auto"/>
              <w:jc w:val="center"/>
              <w:rPr>
                <w:rFonts w:eastAsia="Calibri"/>
                <w:szCs w:val="24"/>
              </w:rPr>
            </w:pPr>
            <w:r w:rsidRPr="00FC4BB3">
              <w:rPr>
                <w:rFonts w:eastAsia="Calibri"/>
                <w:szCs w:val="24"/>
              </w:rPr>
              <w:t>0,000060</w:t>
            </w:r>
          </w:p>
        </w:tc>
        <w:tc>
          <w:tcPr>
            <w:tcW w:w="2319" w:type="dxa"/>
          </w:tcPr>
          <w:p w14:paraId="0D4B7746" w14:textId="77777777" w:rsidR="0054595D" w:rsidRPr="00FC4BB3" w:rsidRDefault="0054595D" w:rsidP="0054595D">
            <w:pPr>
              <w:spacing w:line="240" w:lineRule="auto"/>
              <w:jc w:val="center"/>
              <w:rPr>
                <w:rFonts w:eastAsia="Calibri"/>
                <w:szCs w:val="24"/>
              </w:rPr>
            </w:pPr>
            <w:r w:rsidRPr="00FC4BB3">
              <w:rPr>
                <w:rFonts w:eastAsia="Calibri"/>
                <w:szCs w:val="24"/>
              </w:rPr>
              <w:t>0,000060</w:t>
            </w:r>
          </w:p>
        </w:tc>
      </w:tr>
      <w:tr w:rsidR="0054595D" w:rsidRPr="00FC4BB3" w14:paraId="6841A2FB" w14:textId="77777777" w:rsidTr="0054595D">
        <w:trPr>
          <w:trHeight w:val="20"/>
        </w:trPr>
        <w:tc>
          <w:tcPr>
            <w:tcW w:w="2261" w:type="dxa"/>
          </w:tcPr>
          <w:p w14:paraId="54FCA7C3" w14:textId="77777777" w:rsidR="0054595D" w:rsidRPr="00FC4BB3" w:rsidRDefault="0054595D" w:rsidP="0054595D">
            <w:pPr>
              <w:spacing w:line="240" w:lineRule="auto"/>
              <w:jc w:val="center"/>
              <w:rPr>
                <w:szCs w:val="24"/>
                <w:lang w:eastAsia="ru-RU"/>
              </w:rPr>
            </w:pPr>
            <w:r w:rsidRPr="00FC4BB3">
              <w:rPr>
                <w:szCs w:val="24"/>
              </w:rPr>
              <w:t>Chlorine (Cl)</w:t>
            </w:r>
          </w:p>
        </w:tc>
        <w:tc>
          <w:tcPr>
            <w:tcW w:w="2280" w:type="dxa"/>
          </w:tcPr>
          <w:p w14:paraId="7BBCBEE0" w14:textId="77777777" w:rsidR="0054595D" w:rsidRPr="00FC4BB3" w:rsidRDefault="0054595D" w:rsidP="0054595D">
            <w:pPr>
              <w:spacing w:line="240" w:lineRule="auto"/>
              <w:jc w:val="center"/>
              <w:rPr>
                <w:rFonts w:eastAsia="Calibri"/>
                <w:szCs w:val="24"/>
              </w:rPr>
            </w:pPr>
            <w:r w:rsidRPr="00FC4BB3">
              <w:rPr>
                <w:rFonts w:eastAsia="Calibri"/>
                <w:szCs w:val="24"/>
              </w:rPr>
              <w:t>0,000500</w:t>
            </w:r>
          </w:p>
        </w:tc>
        <w:tc>
          <w:tcPr>
            <w:tcW w:w="2249" w:type="dxa"/>
          </w:tcPr>
          <w:p w14:paraId="12F38BD1" w14:textId="77777777" w:rsidR="0054595D" w:rsidRPr="00FC4BB3" w:rsidRDefault="0054595D" w:rsidP="0054595D">
            <w:pPr>
              <w:spacing w:line="240" w:lineRule="auto"/>
              <w:jc w:val="center"/>
              <w:rPr>
                <w:rFonts w:eastAsia="Calibri"/>
                <w:szCs w:val="24"/>
              </w:rPr>
            </w:pPr>
            <w:r w:rsidRPr="00FC4BB3">
              <w:rPr>
                <w:rFonts w:eastAsia="Calibri"/>
                <w:szCs w:val="24"/>
              </w:rPr>
              <w:t>0,000500</w:t>
            </w:r>
          </w:p>
        </w:tc>
        <w:tc>
          <w:tcPr>
            <w:tcW w:w="2319" w:type="dxa"/>
          </w:tcPr>
          <w:p w14:paraId="24478EE5" w14:textId="77777777" w:rsidR="0054595D" w:rsidRPr="00FC4BB3" w:rsidRDefault="0054595D" w:rsidP="0054595D">
            <w:pPr>
              <w:spacing w:line="240" w:lineRule="auto"/>
              <w:jc w:val="center"/>
              <w:rPr>
                <w:rFonts w:eastAsia="Calibri"/>
                <w:szCs w:val="24"/>
              </w:rPr>
            </w:pPr>
            <w:r w:rsidRPr="00FC4BB3">
              <w:rPr>
                <w:rFonts w:eastAsia="Calibri"/>
                <w:szCs w:val="24"/>
              </w:rPr>
              <w:t>0,000500</w:t>
            </w:r>
          </w:p>
        </w:tc>
      </w:tr>
    </w:tbl>
    <w:p w14:paraId="582EACD6" w14:textId="77777777" w:rsidR="0054595D" w:rsidRPr="00FC4BB3" w:rsidRDefault="0054595D" w:rsidP="0054595D">
      <w:pPr>
        <w:spacing w:line="360" w:lineRule="auto"/>
        <w:rPr>
          <w:b/>
          <w:color w:val="FF0000"/>
          <w:szCs w:val="24"/>
        </w:rPr>
      </w:pPr>
    </w:p>
    <w:p w14:paraId="6ACDE6EA" w14:textId="77777777" w:rsidR="00C76195" w:rsidRPr="00FC4BB3" w:rsidRDefault="00C76195" w:rsidP="00C76195">
      <w:pPr>
        <w:pStyle w:val="13"/>
        <w:jc w:val="both"/>
        <w:rPr>
          <w:rFonts w:cs="Times New Roman"/>
          <w:noProof/>
        </w:rPr>
      </w:pPr>
      <w:r w:rsidRPr="00FC4BB3">
        <w:rPr>
          <w:rFonts w:cs="Times New Roman"/>
          <w:noProof/>
          <w:lang w:val="ru-RU" w:eastAsia="ru-RU" w:bidi="ar-SA"/>
        </w:rPr>
        <w:drawing>
          <wp:inline distT="0" distB="0" distL="0" distR="0" wp14:anchorId="2C0F3CA6" wp14:editId="5F966D7E">
            <wp:extent cx="2868581" cy="2226733"/>
            <wp:effectExtent l="0" t="0" r="8255" b="2540"/>
            <wp:docPr id="205634442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03622" cy="2253933"/>
                    </a:xfrm>
                    <a:prstGeom prst="rect">
                      <a:avLst/>
                    </a:prstGeom>
                    <a:noFill/>
                  </pic:spPr>
                </pic:pic>
              </a:graphicData>
            </a:graphic>
          </wp:inline>
        </w:drawing>
      </w:r>
    </w:p>
    <w:p w14:paraId="78209EC2" w14:textId="77777777" w:rsidR="00C76195" w:rsidRPr="00FC4BB3" w:rsidRDefault="00C76195" w:rsidP="00C76195">
      <w:pPr>
        <w:pStyle w:val="13"/>
        <w:jc w:val="both"/>
        <w:rPr>
          <w:rFonts w:cs="Times New Roman"/>
          <w:noProof/>
        </w:rPr>
      </w:pPr>
      <w:r w:rsidRPr="00FC4BB3">
        <w:rPr>
          <w:rFonts w:eastAsia="Times New Roman" w:cs="Times New Roman"/>
          <w:b/>
          <w:bCs/>
          <w:noProof/>
          <w:lang w:eastAsia="zh-CN"/>
        </w:rPr>
        <w:t xml:space="preserve">Fig. 1: </w:t>
      </w:r>
      <w:r w:rsidRPr="00FC4BB3">
        <w:rPr>
          <w:rFonts w:cs="Times New Roman"/>
          <w:noProof/>
        </w:rPr>
        <w:t>Scots pine seedlings for forest restoration</w:t>
      </w:r>
    </w:p>
    <w:p w14:paraId="16776D25" w14:textId="77777777" w:rsidR="00C76195" w:rsidRPr="00FC4BB3" w:rsidRDefault="00C76195" w:rsidP="00C76195">
      <w:pPr>
        <w:pStyle w:val="13"/>
        <w:ind w:firstLine="284"/>
        <w:jc w:val="center"/>
        <w:rPr>
          <w:rFonts w:cs="Times New Roman"/>
          <w:noProof/>
        </w:rPr>
      </w:pPr>
    </w:p>
    <w:p w14:paraId="7EA2D0DF" w14:textId="77777777" w:rsidR="00C76195" w:rsidRPr="00FC4BB3" w:rsidRDefault="00C76195" w:rsidP="00C76195">
      <w:pPr>
        <w:pStyle w:val="13"/>
        <w:jc w:val="both"/>
        <w:rPr>
          <w:rFonts w:cs="Times New Roman"/>
          <w:noProof/>
        </w:rPr>
      </w:pPr>
      <w:bookmarkStart w:id="0" w:name="_Hlk204994456"/>
      <w:r w:rsidRPr="00FC4BB3">
        <w:rPr>
          <w:rFonts w:cs="Times New Roman"/>
          <w:noProof/>
          <w:lang w:val="ru-RU" w:eastAsia="ru-RU" w:bidi="ar-SA"/>
        </w:rPr>
        <w:drawing>
          <wp:inline distT="0" distB="0" distL="0" distR="0" wp14:anchorId="28F355AA" wp14:editId="1A2A1AE6">
            <wp:extent cx="4199466" cy="2504946"/>
            <wp:effectExtent l="0" t="0" r="0" b="0"/>
            <wp:docPr id="81177151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771513" name="Рисунок 3"/>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4239319" cy="2528718"/>
                    </a:xfrm>
                    <a:prstGeom prst="rect">
                      <a:avLst/>
                    </a:prstGeom>
                    <a:noFill/>
                  </pic:spPr>
                </pic:pic>
              </a:graphicData>
            </a:graphic>
          </wp:inline>
        </w:drawing>
      </w:r>
    </w:p>
    <w:p w14:paraId="4733F033" w14:textId="77777777" w:rsidR="00C76195" w:rsidRPr="00FC4BB3" w:rsidRDefault="00C76195" w:rsidP="00C76195">
      <w:pPr>
        <w:pStyle w:val="13"/>
        <w:jc w:val="both"/>
        <w:rPr>
          <w:rFonts w:cs="Times New Roman"/>
          <w:noProof/>
        </w:rPr>
      </w:pPr>
      <w:r w:rsidRPr="00FC4BB3">
        <w:rPr>
          <w:rFonts w:eastAsia="Times New Roman" w:cs="Times New Roman"/>
          <w:b/>
          <w:bCs/>
          <w:noProof/>
          <w:lang w:eastAsia="zh-CN"/>
        </w:rPr>
        <w:lastRenderedPageBreak/>
        <w:t xml:space="preserve">Fig. 2: </w:t>
      </w:r>
      <w:r w:rsidRPr="00FC4BB3">
        <w:rPr>
          <w:rFonts w:cs="Times New Roman"/>
          <w:noProof/>
        </w:rPr>
        <w:t>Effect of substrate acidity on germination of Scots pine seeds</w:t>
      </w:r>
    </w:p>
    <w:bookmarkEnd w:id="0"/>
    <w:p w14:paraId="2E92B1AA" w14:textId="77777777" w:rsidR="00C76195" w:rsidRPr="00FC4BB3" w:rsidRDefault="00C76195" w:rsidP="00C76195">
      <w:pPr>
        <w:pStyle w:val="13"/>
        <w:spacing w:line="360" w:lineRule="auto"/>
        <w:rPr>
          <w:rFonts w:cs="Times New Roman"/>
          <w:noProof/>
        </w:rPr>
      </w:pPr>
    </w:p>
    <w:p w14:paraId="0E728E2E" w14:textId="77777777" w:rsidR="00C76195" w:rsidRPr="00FC4BB3" w:rsidRDefault="00C76195" w:rsidP="00C76195">
      <w:pPr>
        <w:pBdr>
          <w:bottom w:val="single" w:sz="4" w:space="21" w:color="FFFFFF"/>
        </w:pBdr>
        <w:suppressAutoHyphens/>
        <w:autoSpaceDE w:val="0"/>
        <w:spacing w:line="240" w:lineRule="auto"/>
        <w:rPr>
          <w:color w:val="000000" w:themeColor="text1"/>
        </w:rPr>
      </w:pPr>
      <w:r w:rsidRPr="00FC4BB3">
        <w:rPr>
          <w:color w:val="000000" w:themeColor="text1"/>
          <w:lang w:val="ru-RU" w:eastAsia="ru-RU"/>
        </w:rPr>
        <w:drawing>
          <wp:inline distT="0" distB="0" distL="0" distR="0" wp14:anchorId="5BC52305" wp14:editId="58E7AB4D">
            <wp:extent cx="4199467" cy="2387600"/>
            <wp:effectExtent l="0" t="0" r="10795" b="12700"/>
            <wp:docPr id="15" name="Диаграмма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2CCABA8" w14:textId="5D232EC0" w:rsidR="00C76195" w:rsidRPr="00FC4BB3" w:rsidRDefault="00C76195" w:rsidP="00C76195">
      <w:pPr>
        <w:pStyle w:val="13"/>
        <w:rPr>
          <w:rFonts w:cs="Times New Roman"/>
          <w:noProof/>
        </w:rPr>
      </w:pPr>
      <w:r w:rsidRPr="00FC4BB3">
        <w:rPr>
          <w:rFonts w:cs="Times New Roman"/>
          <w:b/>
          <w:noProof/>
        </w:rPr>
        <w:t>Fig. 3:</w:t>
      </w:r>
      <w:r w:rsidRPr="00FC4BB3">
        <w:rPr>
          <w:rFonts w:cs="Times New Roman"/>
          <w:noProof/>
        </w:rPr>
        <w:t xml:space="preserve"> Dependence of Scots pine seedling biomass on soil pH</w:t>
      </w:r>
    </w:p>
    <w:p w14:paraId="513B4EB7" w14:textId="77777777" w:rsidR="00C76195" w:rsidRPr="00FC4BB3" w:rsidRDefault="00C76195" w:rsidP="00C76195">
      <w:pPr>
        <w:pStyle w:val="13"/>
        <w:spacing w:line="360" w:lineRule="auto"/>
        <w:rPr>
          <w:rFonts w:cs="Times New Roman"/>
          <w:noProof/>
        </w:rPr>
      </w:pPr>
    </w:p>
    <w:p w14:paraId="07DBDC5D" w14:textId="77777777" w:rsidR="00C76195" w:rsidRPr="00FC4BB3" w:rsidRDefault="00C76195" w:rsidP="00C76195">
      <w:pPr>
        <w:pStyle w:val="13"/>
        <w:jc w:val="both"/>
        <w:rPr>
          <w:rFonts w:cs="Times New Roman"/>
          <w:noProof/>
        </w:rPr>
      </w:pPr>
      <w:bookmarkStart w:id="1" w:name="_Hlk204994391"/>
      <w:bookmarkStart w:id="2" w:name="_Hlk204994327"/>
      <w:r w:rsidRPr="00FC4BB3">
        <w:rPr>
          <w:rFonts w:cs="Times New Roman"/>
          <w:noProof/>
          <w:lang w:val="ru-RU" w:eastAsia="ru-RU" w:bidi="ar-SA"/>
        </w:rPr>
        <w:drawing>
          <wp:inline distT="0" distB="0" distL="0" distR="0" wp14:anchorId="6CF3550A" wp14:editId="4E123F0B">
            <wp:extent cx="2893695" cy="2512007"/>
            <wp:effectExtent l="0" t="0" r="1905" b="3175"/>
            <wp:docPr id="21842160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01149" cy="2518477"/>
                    </a:xfrm>
                    <a:prstGeom prst="rect">
                      <a:avLst/>
                    </a:prstGeom>
                    <a:noFill/>
                  </pic:spPr>
                </pic:pic>
              </a:graphicData>
            </a:graphic>
          </wp:inline>
        </w:drawing>
      </w:r>
    </w:p>
    <w:p w14:paraId="18A17FAE" w14:textId="77777777" w:rsidR="00C76195" w:rsidRPr="00FC4BB3" w:rsidRDefault="00C76195" w:rsidP="00C76195">
      <w:pPr>
        <w:pStyle w:val="13"/>
        <w:jc w:val="both"/>
        <w:rPr>
          <w:rFonts w:cs="Times New Roman"/>
          <w:noProof/>
        </w:rPr>
      </w:pPr>
      <w:r w:rsidRPr="00FC4BB3">
        <w:rPr>
          <w:rFonts w:eastAsia="Times New Roman" w:cs="Times New Roman"/>
          <w:b/>
          <w:bCs/>
          <w:noProof/>
          <w:lang w:eastAsia="zh-CN"/>
        </w:rPr>
        <w:t>Fig. 4:</w:t>
      </w:r>
      <w:r w:rsidRPr="00FC4BB3">
        <w:rPr>
          <w:rFonts w:cs="Times New Roman"/>
          <w:noProof/>
        </w:rPr>
        <w:t xml:space="preserve"> </w:t>
      </w:r>
      <w:r w:rsidRPr="00FC4BB3">
        <w:rPr>
          <w:rFonts w:cs="Times New Roman"/>
          <w:noProof/>
          <w:lang w:val="ru-RU"/>
        </w:rPr>
        <w:t>Spectral characteristics</w:t>
      </w:r>
    </w:p>
    <w:p w14:paraId="06ABE9EA" w14:textId="77777777" w:rsidR="00C76195" w:rsidRPr="00FC4BB3" w:rsidRDefault="00C76195" w:rsidP="00C76195">
      <w:pPr>
        <w:pStyle w:val="13"/>
        <w:spacing w:line="360" w:lineRule="auto"/>
        <w:jc w:val="both"/>
        <w:rPr>
          <w:rFonts w:cs="Times New Roman"/>
          <w:noProof/>
        </w:rPr>
      </w:pPr>
    </w:p>
    <w:p w14:paraId="0C39763A" w14:textId="77777777" w:rsidR="00C76195" w:rsidRPr="00FC4BB3" w:rsidRDefault="00C76195" w:rsidP="00C76195">
      <w:pPr>
        <w:pStyle w:val="13"/>
        <w:jc w:val="both"/>
        <w:rPr>
          <w:rFonts w:cs="Times New Roman"/>
          <w:noProof/>
        </w:rPr>
      </w:pPr>
      <w:r w:rsidRPr="00FC4BB3">
        <w:rPr>
          <w:rFonts w:cs="Times New Roman"/>
          <w:noProof/>
          <w:lang w:val="ru-RU" w:eastAsia="ru-RU" w:bidi="ar-SA"/>
        </w:rPr>
        <w:lastRenderedPageBreak/>
        <w:drawing>
          <wp:inline distT="0" distB="0" distL="0" distR="0" wp14:anchorId="2D095DBE" wp14:editId="5B5E0635">
            <wp:extent cx="2979498" cy="2514600"/>
            <wp:effectExtent l="0" t="0" r="0" b="0"/>
            <wp:docPr id="1716431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151869" name=""/>
                    <pic:cNvPicPr/>
                  </pic:nvPicPr>
                  <pic:blipFill>
                    <a:blip r:embed="rId25"/>
                    <a:stretch>
                      <a:fillRect/>
                    </a:stretch>
                  </pic:blipFill>
                  <pic:spPr>
                    <a:xfrm>
                      <a:off x="0" y="0"/>
                      <a:ext cx="3023688" cy="2551895"/>
                    </a:xfrm>
                    <a:prstGeom prst="rect">
                      <a:avLst/>
                    </a:prstGeom>
                  </pic:spPr>
                </pic:pic>
              </a:graphicData>
            </a:graphic>
          </wp:inline>
        </w:drawing>
      </w:r>
    </w:p>
    <w:p w14:paraId="137935BD" w14:textId="77777777" w:rsidR="00C76195" w:rsidRPr="00CB55D4" w:rsidRDefault="00C76195" w:rsidP="00C76195">
      <w:pPr>
        <w:pStyle w:val="13"/>
        <w:jc w:val="both"/>
        <w:rPr>
          <w:rFonts w:cs="Times New Roman"/>
          <w:noProof/>
        </w:rPr>
      </w:pPr>
      <w:r w:rsidRPr="00FC4BB3">
        <w:rPr>
          <w:rFonts w:cs="Times New Roman"/>
          <w:b/>
          <w:bCs/>
          <w:noProof/>
        </w:rPr>
        <w:t>Fig. 5:</w:t>
      </w:r>
      <w:r w:rsidRPr="00FC4BB3">
        <w:rPr>
          <w:rFonts w:cs="Times New Roman"/>
          <w:noProof/>
        </w:rPr>
        <w:t xml:space="preserve"> Effect of red light (RL) on root system development in conifer seedlings</w:t>
      </w:r>
      <w:bookmarkEnd w:id="1"/>
      <w:bookmarkEnd w:id="2"/>
    </w:p>
    <w:sectPr w:rsidR="00C76195" w:rsidRPr="00CB55D4" w:rsidSect="00BB2249">
      <w:footerReference w:type="default" r:id="rId26"/>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01E1B" w14:textId="77777777" w:rsidR="00860751" w:rsidRDefault="00860751" w:rsidP="00374E79">
      <w:pPr>
        <w:spacing w:line="240" w:lineRule="auto"/>
      </w:pPr>
      <w:r>
        <w:separator/>
      </w:r>
    </w:p>
  </w:endnote>
  <w:endnote w:type="continuationSeparator" w:id="0">
    <w:p w14:paraId="78D60111" w14:textId="77777777" w:rsidR="00860751" w:rsidRDefault="00860751" w:rsidP="00374E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553716"/>
      <w:docPartObj>
        <w:docPartGallery w:val="Page Numbers (Bottom of Page)"/>
        <w:docPartUnique/>
      </w:docPartObj>
    </w:sdtPr>
    <w:sdtContent>
      <w:p w14:paraId="70AB5497" w14:textId="5C4ADD61" w:rsidR="007134C6" w:rsidRDefault="007134C6">
        <w:pPr>
          <w:pStyle w:val="ad"/>
          <w:jc w:val="right"/>
        </w:pPr>
        <w:r>
          <w:fldChar w:fldCharType="begin"/>
        </w:r>
        <w:r>
          <w:instrText>PAGE   \* MERGEFORMAT</w:instrText>
        </w:r>
        <w:r>
          <w:fldChar w:fldCharType="separate"/>
        </w:r>
        <w:r w:rsidR="00585028" w:rsidRPr="00585028">
          <w:rPr>
            <w:lang w:val="ru-RU"/>
          </w:rPr>
          <w:t>29</w:t>
        </w:r>
        <w:r>
          <w:fldChar w:fldCharType="end"/>
        </w:r>
      </w:p>
    </w:sdtContent>
  </w:sdt>
  <w:p w14:paraId="04E3E057" w14:textId="77777777" w:rsidR="007134C6" w:rsidRDefault="007134C6">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699BF" w14:textId="77777777" w:rsidR="00860751" w:rsidRDefault="00860751" w:rsidP="00374E79">
      <w:pPr>
        <w:spacing w:line="240" w:lineRule="auto"/>
      </w:pPr>
      <w:r>
        <w:separator/>
      </w:r>
    </w:p>
  </w:footnote>
  <w:footnote w:type="continuationSeparator" w:id="0">
    <w:p w14:paraId="1B83A749" w14:textId="77777777" w:rsidR="00860751" w:rsidRDefault="00860751" w:rsidP="00374E7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8B8F9A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0B81C61"/>
    <w:multiLevelType w:val="multilevel"/>
    <w:tmpl w:val="ECB0B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72FF5"/>
    <w:multiLevelType w:val="hybridMultilevel"/>
    <w:tmpl w:val="721C3962"/>
    <w:lvl w:ilvl="0" w:tplc="82E276EA">
      <w:start w:val="1"/>
      <w:numFmt w:val="upperRoman"/>
      <w:lvlText w:val="%1."/>
      <w:lvlJc w:val="left"/>
      <w:pPr>
        <w:ind w:left="1230" w:hanging="720"/>
      </w:pPr>
      <w:rPr>
        <w:rFonts w:ascii="Palatino Linotype" w:hAnsi="Palatino Linotype" w:hint="default"/>
      </w:rPr>
    </w:lvl>
    <w:lvl w:ilvl="1" w:tplc="04190019" w:tentative="1">
      <w:start w:val="1"/>
      <w:numFmt w:val="lowerLetter"/>
      <w:lvlText w:val="%2."/>
      <w:lvlJc w:val="left"/>
      <w:pPr>
        <w:ind w:left="1590" w:hanging="360"/>
      </w:pPr>
    </w:lvl>
    <w:lvl w:ilvl="2" w:tplc="0419001B" w:tentative="1">
      <w:start w:val="1"/>
      <w:numFmt w:val="lowerRoman"/>
      <w:lvlText w:val="%3."/>
      <w:lvlJc w:val="right"/>
      <w:pPr>
        <w:ind w:left="2310" w:hanging="180"/>
      </w:pPr>
    </w:lvl>
    <w:lvl w:ilvl="3" w:tplc="0419000F" w:tentative="1">
      <w:start w:val="1"/>
      <w:numFmt w:val="decimal"/>
      <w:lvlText w:val="%4."/>
      <w:lvlJc w:val="left"/>
      <w:pPr>
        <w:ind w:left="3030" w:hanging="360"/>
      </w:pPr>
    </w:lvl>
    <w:lvl w:ilvl="4" w:tplc="04190019" w:tentative="1">
      <w:start w:val="1"/>
      <w:numFmt w:val="lowerLetter"/>
      <w:lvlText w:val="%5."/>
      <w:lvlJc w:val="left"/>
      <w:pPr>
        <w:ind w:left="3750" w:hanging="360"/>
      </w:pPr>
    </w:lvl>
    <w:lvl w:ilvl="5" w:tplc="0419001B" w:tentative="1">
      <w:start w:val="1"/>
      <w:numFmt w:val="lowerRoman"/>
      <w:lvlText w:val="%6."/>
      <w:lvlJc w:val="right"/>
      <w:pPr>
        <w:ind w:left="4470" w:hanging="180"/>
      </w:pPr>
    </w:lvl>
    <w:lvl w:ilvl="6" w:tplc="0419000F" w:tentative="1">
      <w:start w:val="1"/>
      <w:numFmt w:val="decimal"/>
      <w:lvlText w:val="%7."/>
      <w:lvlJc w:val="left"/>
      <w:pPr>
        <w:ind w:left="5190" w:hanging="360"/>
      </w:pPr>
    </w:lvl>
    <w:lvl w:ilvl="7" w:tplc="04190019" w:tentative="1">
      <w:start w:val="1"/>
      <w:numFmt w:val="lowerLetter"/>
      <w:lvlText w:val="%8."/>
      <w:lvlJc w:val="left"/>
      <w:pPr>
        <w:ind w:left="5910" w:hanging="360"/>
      </w:pPr>
    </w:lvl>
    <w:lvl w:ilvl="8" w:tplc="0419001B" w:tentative="1">
      <w:start w:val="1"/>
      <w:numFmt w:val="lowerRoman"/>
      <w:lvlText w:val="%9."/>
      <w:lvlJc w:val="right"/>
      <w:pPr>
        <w:ind w:left="6630" w:hanging="180"/>
      </w:pPr>
    </w:lvl>
  </w:abstractNum>
  <w:abstractNum w:abstractNumId="3" w15:restartNumberingAfterBreak="0">
    <w:nsid w:val="12B42CE7"/>
    <w:multiLevelType w:val="hybridMultilevel"/>
    <w:tmpl w:val="BDFC26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6F203E"/>
    <w:multiLevelType w:val="hybridMultilevel"/>
    <w:tmpl w:val="44FA9C1E"/>
    <w:lvl w:ilvl="0" w:tplc="292A848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B468F5"/>
    <w:multiLevelType w:val="hybridMultilevel"/>
    <w:tmpl w:val="D12ABC5C"/>
    <w:lvl w:ilvl="0" w:tplc="B138592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0C6F5D"/>
    <w:multiLevelType w:val="hybridMultilevel"/>
    <w:tmpl w:val="9C2CCA80"/>
    <w:lvl w:ilvl="0" w:tplc="3F26FAEA">
      <w:start w:val="1"/>
      <w:numFmt w:val="decimal"/>
      <w:lvlRestart w:val="0"/>
      <w:pStyle w:val="MDPI71FootNotes"/>
      <w:lvlText w:val="%1."/>
      <w:lvlJc w:val="left"/>
      <w:pPr>
        <w:ind w:left="425" w:hanging="425"/>
      </w:pPr>
      <w:rPr>
        <w:rFonts w:hint="default"/>
        <w:vertAlign w:val="superscrip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7" w15:restartNumberingAfterBreak="0">
    <w:nsid w:val="1F610C97"/>
    <w:multiLevelType w:val="hybridMultilevel"/>
    <w:tmpl w:val="65BEC940"/>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 w15:restartNumberingAfterBreak="0">
    <w:nsid w:val="248663B7"/>
    <w:multiLevelType w:val="hybridMultilevel"/>
    <w:tmpl w:val="60B8F936"/>
    <w:lvl w:ilvl="0" w:tplc="0419000F">
      <w:start w:val="1"/>
      <w:numFmt w:val="decimal"/>
      <w:lvlText w:val="%1."/>
      <w:lvlJc w:val="left"/>
      <w:pPr>
        <w:ind w:left="1282" w:hanging="360"/>
      </w:pPr>
    </w:lvl>
    <w:lvl w:ilvl="1" w:tplc="04190019" w:tentative="1">
      <w:start w:val="1"/>
      <w:numFmt w:val="lowerLetter"/>
      <w:lvlText w:val="%2."/>
      <w:lvlJc w:val="left"/>
      <w:pPr>
        <w:ind w:left="2002" w:hanging="360"/>
      </w:pPr>
    </w:lvl>
    <w:lvl w:ilvl="2" w:tplc="0419001B" w:tentative="1">
      <w:start w:val="1"/>
      <w:numFmt w:val="lowerRoman"/>
      <w:lvlText w:val="%3."/>
      <w:lvlJc w:val="right"/>
      <w:pPr>
        <w:ind w:left="2722" w:hanging="180"/>
      </w:pPr>
    </w:lvl>
    <w:lvl w:ilvl="3" w:tplc="0419000F" w:tentative="1">
      <w:start w:val="1"/>
      <w:numFmt w:val="decimal"/>
      <w:lvlText w:val="%4."/>
      <w:lvlJc w:val="left"/>
      <w:pPr>
        <w:ind w:left="3442" w:hanging="360"/>
      </w:pPr>
    </w:lvl>
    <w:lvl w:ilvl="4" w:tplc="04190019" w:tentative="1">
      <w:start w:val="1"/>
      <w:numFmt w:val="lowerLetter"/>
      <w:lvlText w:val="%5."/>
      <w:lvlJc w:val="left"/>
      <w:pPr>
        <w:ind w:left="4162" w:hanging="360"/>
      </w:pPr>
    </w:lvl>
    <w:lvl w:ilvl="5" w:tplc="0419001B" w:tentative="1">
      <w:start w:val="1"/>
      <w:numFmt w:val="lowerRoman"/>
      <w:lvlText w:val="%6."/>
      <w:lvlJc w:val="right"/>
      <w:pPr>
        <w:ind w:left="4882" w:hanging="180"/>
      </w:pPr>
    </w:lvl>
    <w:lvl w:ilvl="6" w:tplc="0419000F" w:tentative="1">
      <w:start w:val="1"/>
      <w:numFmt w:val="decimal"/>
      <w:lvlText w:val="%7."/>
      <w:lvlJc w:val="left"/>
      <w:pPr>
        <w:ind w:left="5602" w:hanging="360"/>
      </w:pPr>
    </w:lvl>
    <w:lvl w:ilvl="7" w:tplc="04190019" w:tentative="1">
      <w:start w:val="1"/>
      <w:numFmt w:val="lowerLetter"/>
      <w:lvlText w:val="%8."/>
      <w:lvlJc w:val="left"/>
      <w:pPr>
        <w:ind w:left="6322" w:hanging="360"/>
      </w:pPr>
    </w:lvl>
    <w:lvl w:ilvl="8" w:tplc="0419001B" w:tentative="1">
      <w:start w:val="1"/>
      <w:numFmt w:val="lowerRoman"/>
      <w:lvlText w:val="%9."/>
      <w:lvlJc w:val="right"/>
      <w:pPr>
        <w:ind w:left="7042" w:hanging="180"/>
      </w:pPr>
    </w:lvl>
  </w:abstractNum>
  <w:abstractNum w:abstractNumId="9"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C358B2"/>
    <w:multiLevelType w:val="hybridMultilevel"/>
    <w:tmpl w:val="C1767B44"/>
    <w:lvl w:ilvl="0" w:tplc="4C3E7B9E">
      <w:start w:val="1"/>
      <w:numFmt w:val="bullet"/>
      <w:lvlText w:val=""/>
      <w:lvlJc w:val="left"/>
      <w:pPr>
        <w:ind w:left="3753" w:hanging="360"/>
      </w:pPr>
      <w:rPr>
        <w:rFonts w:ascii="Symbol" w:hAnsi="Symbol" w:hint="default"/>
      </w:rPr>
    </w:lvl>
    <w:lvl w:ilvl="1" w:tplc="C45EE8E2" w:tentative="1">
      <w:start w:val="1"/>
      <w:numFmt w:val="bullet"/>
      <w:lvlText w:val="o"/>
      <w:lvlJc w:val="left"/>
      <w:pPr>
        <w:ind w:left="4473" w:hanging="360"/>
      </w:pPr>
      <w:rPr>
        <w:rFonts w:ascii="Courier New" w:hAnsi="Courier New" w:cs="Courier New" w:hint="default"/>
      </w:rPr>
    </w:lvl>
    <w:lvl w:ilvl="2" w:tplc="B10A71E6" w:tentative="1">
      <w:start w:val="1"/>
      <w:numFmt w:val="bullet"/>
      <w:lvlText w:val=""/>
      <w:lvlJc w:val="left"/>
      <w:pPr>
        <w:ind w:left="5193" w:hanging="360"/>
      </w:pPr>
      <w:rPr>
        <w:rFonts w:ascii="Wingdings" w:hAnsi="Wingdings" w:hint="default"/>
      </w:rPr>
    </w:lvl>
    <w:lvl w:ilvl="3" w:tplc="133A15C0" w:tentative="1">
      <w:start w:val="1"/>
      <w:numFmt w:val="bullet"/>
      <w:lvlText w:val=""/>
      <w:lvlJc w:val="left"/>
      <w:pPr>
        <w:ind w:left="5913" w:hanging="360"/>
      </w:pPr>
      <w:rPr>
        <w:rFonts w:ascii="Symbol" w:hAnsi="Symbol" w:hint="default"/>
      </w:rPr>
    </w:lvl>
    <w:lvl w:ilvl="4" w:tplc="C4A468FA" w:tentative="1">
      <w:start w:val="1"/>
      <w:numFmt w:val="bullet"/>
      <w:lvlText w:val="o"/>
      <w:lvlJc w:val="left"/>
      <w:pPr>
        <w:ind w:left="6633" w:hanging="360"/>
      </w:pPr>
      <w:rPr>
        <w:rFonts w:ascii="Courier New" w:hAnsi="Courier New" w:cs="Courier New" w:hint="default"/>
      </w:rPr>
    </w:lvl>
    <w:lvl w:ilvl="5" w:tplc="A16AD262" w:tentative="1">
      <w:start w:val="1"/>
      <w:numFmt w:val="bullet"/>
      <w:lvlText w:val=""/>
      <w:lvlJc w:val="left"/>
      <w:pPr>
        <w:ind w:left="7353" w:hanging="360"/>
      </w:pPr>
      <w:rPr>
        <w:rFonts w:ascii="Wingdings" w:hAnsi="Wingdings" w:hint="default"/>
      </w:rPr>
    </w:lvl>
    <w:lvl w:ilvl="6" w:tplc="9586E30C" w:tentative="1">
      <w:start w:val="1"/>
      <w:numFmt w:val="bullet"/>
      <w:lvlText w:val=""/>
      <w:lvlJc w:val="left"/>
      <w:pPr>
        <w:ind w:left="8073" w:hanging="360"/>
      </w:pPr>
      <w:rPr>
        <w:rFonts w:ascii="Symbol" w:hAnsi="Symbol" w:hint="default"/>
      </w:rPr>
    </w:lvl>
    <w:lvl w:ilvl="7" w:tplc="E57693B0" w:tentative="1">
      <w:start w:val="1"/>
      <w:numFmt w:val="bullet"/>
      <w:lvlText w:val="o"/>
      <w:lvlJc w:val="left"/>
      <w:pPr>
        <w:ind w:left="8793" w:hanging="360"/>
      </w:pPr>
      <w:rPr>
        <w:rFonts w:ascii="Courier New" w:hAnsi="Courier New" w:cs="Courier New" w:hint="default"/>
      </w:rPr>
    </w:lvl>
    <w:lvl w:ilvl="8" w:tplc="36A82F30" w:tentative="1">
      <w:start w:val="1"/>
      <w:numFmt w:val="bullet"/>
      <w:lvlText w:val=""/>
      <w:lvlJc w:val="left"/>
      <w:pPr>
        <w:ind w:left="9513" w:hanging="360"/>
      </w:pPr>
      <w:rPr>
        <w:rFonts w:ascii="Wingdings" w:hAnsi="Wingdings" w:hint="default"/>
      </w:rPr>
    </w:lvl>
  </w:abstractNum>
  <w:abstractNum w:abstractNumId="11" w15:restartNumberingAfterBreak="0">
    <w:nsid w:val="27867D35"/>
    <w:multiLevelType w:val="hybridMultilevel"/>
    <w:tmpl w:val="7C509BD8"/>
    <w:lvl w:ilvl="0" w:tplc="A4DCFD70">
      <w:start w:val="1"/>
      <w:numFmt w:val="decimal"/>
      <w:lvlText w:val="%1)"/>
      <w:lvlJc w:val="left"/>
      <w:pPr>
        <w:ind w:left="720" w:hanging="360"/>
      </w:pPr>
      <w:rPr>
        <w:rFonts w:hint="default"/>
      </w:rPr>
    </w:lvl>
    <w:lvl w:ilvl="1" w:tplc="3E887AE0" w:tentative="1">
      <w:start w:val="1"/>
      <w:numFmt w:val="lowerLetter"/>
      <w:lvlText w:val="%2."/>
      <w:lvlJc w:val="left"/>
      <w:pPr>
        <w:ind w:left="1440" w:hanging="360"/>
      </w:pPr>
    </w:lvl>
    <w:lvl w:ilvl="2" w:tplc="72940684" w:tentative="1">
      <w:start w:val="1"/>
      <w:numFmt w:val="lowerRoman"/>
      <w:lvlText w:val="%3."/>
      <w:lvlJc w:val="right"/>
      <w:pPr>
        <w:ind w:left="2160" w:hanging="180"/>
      </w:pPr>
    </w:lvl>
    <w:lvl w:ilvl="3" w:tplc="51687898" w:tentative="1">
      <w:start w:val="1"/>
      <w:numFmt w:val="decimal"/>
      <w:lvlText w:val="%4."/>
      <w:lvlJc w:val="left"/>
      <w:pPr>
        <w:ind w:left="2880" w:hanging="360"/>
      </w:pPr>
    </w:lvl>
    <w:lvl w:ilvl="4" w:tplc="E77AD1F6" w:tentative="1">
      <w:start w:val="1"/>
      <w:numFmt w:val="lowerLetter"/>
      <w:lvlText w:val="%5."/>
      <w:lvlJc w:val="left"/>
      <w:pPr>
        <w:ind w:left="3600" w:hanging="360"/>
      </w:pPr>
    </w:lvl>
    <w:lvl w:ilvl="5" w:tplc="48ECD3F8" w:tentative="1">
      <w:start w:val="1"/>
      <w:numFmt w:val="lowerRoman"/>
      <w:lvlText w:val="%6."/>
      <w:lvlJc w:val="right"/>
      <w:pPr>
        <w:ind w:left="4320" w:hanging="180"/>
      </w:pPr>
    </w:lvl>
    <w:lvl w:ilvl="6" w:tplc="6270C5B8" w:tentative="1">
      <w:start w:val="1"/>
      <w:numFmt w:val="decimal"/>
      <w:lvlText w:val="%7."/>
      <w:lvlJc w:val="left"/>
      <w:pPr>
        <w:ind w:left="5040" w:hanging="360"/>
      </w:pPr>
    </w:lvl>
    <w:lvl w:ilvl="7" w:tplc="C96499C0" w:tentative="1">
      <w:start w:val="1"/>
      <w:numFmt w:val="lowerLetter"/>
      <w:lvlText w:val="%8."/>
      <w:lvlJc w:val="left"/>
      <w:pPr>
        <w:ind w:left="5760" w:hanging="360"/>
      </w:pPr>
    </w:lvl>
    <w:lvl w:ilvl="8" w:tplc="09E60E90" w:tentative="1">
      <w:start w:val="1"/>
      <w:numFmt w:val="lowerRoman"/>
      <w:lvlText w:val="%9."/>
      <w:lvlJc w:val="right"/>
      <w:pPr>
        <w:ind w:left="6480" w:hanging="180"/>
      </w:pPr>
    </w:lvl>
  </w:abstractNum>
  <w:abstractNum w:abstractNumId="12"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3"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5" w15:restartNumberingAfterBreak="0">
    <w:nsid w:val="3AEA519F"/>
    <w:multiLevelType w:val="hybridMultilevel"/>
    <w:tmpl w:val="13841F72"/>
    <w:lvl w:ilvl="0" w:tplc="0419000F">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6" w15:restartNumberingAfterBreak="0">
    <w:nsid w:val="3B444E26"/>
    <w:multiLevelType w:val="hybridMultilevel"/>
    <w:tmpl w:val="7C847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E865584"/>
    <w:multiLevelType w:val="multilevel"/>
    <w:tmpl w:val="AFEA10D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A031142"/>
    <w:multiLevelType w:val="hybridMultilevel"/>
    <w:tmpl w:val="6D723C3A"/>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9" w15:restartNumberingAfterBreak="0">
    <w:nsid w:val="503300DB"/>
    <w:multiLevelType w:val="multilevel"/>
    <w:tmpl w:val="FA0C399A"/>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2" w15:restartNumberingAfterBreak="0">
    <w:nsid w:val="55FD23D3"/>
    <w:multiLevelType w:val="multilevel"/>
    <w:tmpl w:val="169497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B36ADA"/>
    <w:multiLevelType w:val="hybridMultilevel"/>
    <w:tmpl w:val="E2520026"/>
    <w:lvl w:ilvl="0" w:tplc="04190011">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5" w15:restartNumberingAfterBreak="0">
    <w:nsid w:val="680D105D"/>
    <w:multiLevelType w:val="hybridMultilevel"/>
    <w:tmpl w:val="5246E0A4"/>
    <w:lvl w:ilvl="0" w:tplc="9940CBF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9BE709B"/>
    <w:multiLevelType w:val="hybridMultilevel"/>
    <w:tmpl w:val="AFB69002"/>
    <w:lvl w:ilvl="0" w:tplc="25EACA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CEE24C2"/>
    <w:multiLevelType w:val="multilevel"/>
    <w:tmpl w:val="A9604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9B7FA4"/>
    <w:multiLevelType w:val="hybridMultilevel"/>
    <w:tmpl w:val="A5BA6A4E"/>
    <w:lvl w:ilvl="0" w:tplc="D7EE4E1A">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9"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3E54DF"/>
    <w:multiLevelType w:val="hybridMultilevel"/>
    <w:tmpl w:val="7832A2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37B152B"/>
    <w:multiLevelType w:val="hybridMultilevel"/>
    <w:tmpl w:val="46185D42"/>
    <w:lvl w:ilvl="0" w:tplc="22941264">
      <w:start w:val="1"/>
      <w:numFmt w:val="decimal"/>
      <w:pStyle w:val="msonormalcxspmiddle"/>
      <w:lvlText w:val="[%1]"/>
      <w:lvlJc w:val="left"/>
      <w:pPr>
        <w:ind w:left="425" w:hanging="425"/>
      </w:pPr>
      <w:rPr>
        <w:rFonts w:ascii="Times New Roman" w:hAnsi="Times New Roman" w:cs="Times New Roman" w:hint="default"/>
        <w:b w:val="0"/>
        <w:i w:val="0"/>
        <w:color w:val="auto"/>
        <w:sz w:val="24"/>
        <w:vertAlign w:val="baseline"/>
      </w:rPr>
    </w:lvl>
    <w:lvl w:ilvl="1" w:tplc="DF5093B2" w:tentative="1">
      <w:start w:val="1"/>
      <w:numFmt w:val="lowerLetter"/>
      <w:lvlText w:val="%2."/>
      <w:lvlJc w:val="left"/>
      <w:pPr>
        <w:ind w:left="1440" w:hanging="360"/>
      </w:pPr>
    </w:lvl>
    <w:lvl w:ilvl="2" w:tplc="A26CA902" w:tentative="1">
      <w:start w:val="1"/>
      <w:numFmt w:val="lowerRoman"/>
      <w:lvlText w:val="%3."/>
      <w:lvlJc w:val="right"/>
      <w:pPr>
        <w:ind w:left="2160" w:hanging="180"/>
      </w:pPr>
    </w:lvl>
    <w:lvl w:ilvl="3" w:tplc="3F589272" w:tentative="1">
      <w:start w:val="1"/>
      <w:numFmt w:val="decimal"/>
      <w:lvlText w:val="%4."/>
      <w:lvlJc w:val="left"/>
      <w:pPr>
        <w:ind w:left="2880" w:hanging="360"/>
      </w:pPr>
    </w:lvl>
    <w:lvl w:ilvl="4" w:tplc="848435C2" w:tentative="1">
      <w:start w:val="1"/>
      <w:numFmt w:val="lowerLetter"/>
      <w:lvlText w:val="%5."/>
      <w:lvlJc w:val="left"/>
      <w:pPr>
        <w:ind w:left="3600" w:hanging="360"/>
      </w:pPr>
    </w:lvl>
    <w:lvl w:ilvl="5" w:tplc="B016B6D6" w:tentative="1">
      <w:start w:val="1"/>
      <w:numFmt w:val="lowerRoman"/>
      <w:lvlText w:val="%6."/>
      <w:lvlJc w:val="right"/>
      <w:pPr>
        <w:ind w:left="4320" w:hanging="180"/>
      </w:pPr>
    </w:lvl>
    <w:lvl w:ilvl="6" w:tplc="D02009B8" w:tentative="1">
      <w:start w:val="1"/>
      <w:numFmt w:val="decimal"/>
      <w:lvlText w:val="%7."/>
      <w:lvlJc w:val="left"/>
      <w:pPr>
        <w:ind w:left="5040" w:hanging="360"/>
      </w:pPr>
    </w:lvl>
    <w:lvl w:ilvl="7" w:tplc="589CB4D4" w:tentative="1">
      <w:start w:val="1"/>
      <w:numFmt w:val="lowerLetter"/>
      <w:lvlText w:val="%8."/>
      <w:lvlJc w:val="left"/>
      <w:pPr>
        <w:ind w:left="5760" w:hanging="360"/>
      </w:pPr>
    </w:lvl>
    <w:lvl w:ilvl="8" w:tplc="DF30CD02" w:tentative="1">
      <w:start w:val="1"/>
      <w:numFmt w:val="lowerRoman"/>
      <w:lvlText w:val="%9."/>
      <w:lvlJc w:val="right"/>
      <w:pPr>
        <w:ind w:left="6480" w:hanging="180"/>
      </w:pPr>
    </w:lvl>
  </w:abstractNum>
  <w:abstractNum w:abstractNumId="32" w15:restartNumberingAfterBreak="0">
    <w:nsid w:val="7B413AE1"/>
    <w:multiLevelType w:val="multilevel"/>
    <w:tmpl w:val="1AA2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C05743"/>
    <w:multiLevelType w:val="multilevel"/>
    <w:tmpl w:val="E994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553365">
    <w:abstractNumId w:val="12"/>
  </w:num>
  <w:num w:numId="2" w16cid:durableId="1083719610">
    <w:abstractNumId w:val="14"/>
  </w:num>
  <w:num w:numId="3" w16cid:durableId="899829157">
    <w:abstractNumId w:val="9"/>
  </w:num>
  <w:num w:numId="4" w16cid:durableId="1866557151">
    <w:abstractNumId w:val="13"/>
  </w:num>
  <w:num w:numId="5" w16cid:durableId="439036015">
    <w:abstractNumId w:val="21"/>
  </w:num>
  <w:num w:numId="6" w16cid:durableId="738014613">
    <w:abstractNumId w:val="6"/>
  </w:num>
  <w:num w:numId="7" w16cid:durableId="2284251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67861117">
    <w:abstractNumId w:val="23"/>
  </w:num>
  <w:num w:numId="9" w16cid:durableId="896208597">
    <w:abstractNumId w:val="29"/>
  </w:num>
  <w:num w:numId="10" w16cid:durableId="1714572725">
    <w:abstractNumId w:val="5"/>
  </w:num>
  <w:num w:numId="11" w16cid:durableId="77556431">
    <w:abstractNumId w:val="20"/>
  </w:num>
  <w:num w:numId="12" w16cid:durableId="900362917">
    <w:abstractNumId w:val="4"/>
  </w:num>
  <w:num w:numId="13" w16cid:durableId="168562654">
    <w:abstractNumId w:val="28"/>
  </w:num>
  <w:num w:numId="14" w16cid:durableId="1648582640">
    <w:abstractNumId w:val="7"/>
  </w:num>
  <w:num w:numId="15" w16cid:durableId="135683461">
    <w:abstractNumId w:val="27"/>
  </w:num>
  <w:num w:numId="16" w16cid:durableId="1321158078">
    <w:abstractNumId w:val="30"/>
  </w:num>
  <w:num w:numId="17" w16cid:durableId="1000085995">
    <w:abstractNumId w:val="16"/>
  </w:num>
  <w:num w:numId="18" w16cid:durableId="1712681995">
    <w:abstractNumId w:val="26"/>
  </w:num>
  <w:num w:numId="19" w16cid:durableId="1290014514">
    <w:abstractNumId w:val="18"/>
  </w:num>
  <w:num w:numId="20" w16cid:durableId="825441991">
    <w:abstractNumId w:val="11"/>
  </w:num>
  <w:num w:numId="21" w16cid:durableId="708645405">
    <w:abstractNumId w:val="24"/>
  </w:num>
  <w:num w:numId="22" w16cid:durableId="134415273">
    <w:abstractNumId w:val="25"/>
  </w:num>
  <w:num w:numId="23" w16cid:durableId="1853060488">
    <w:abstractNumId w:val="10"/>
  </w:num>
  <w:num w:numId="24" w16cid:durableId="1298217760">
    <w:abstractNumId w:val="31"/>
  </w:num>
  <w:num w:numId="25" w16cid:durableId="710500670">
    <w:abstractNumId w:val="19"/>
  </w:num>
  <w:num w:numId="26" w16cid:durableId="1324045264">
    <w:abstractNumId w:val="8"/>
  </w:num>
  <w:num w:numId="27" w16cid:durableId="1072191269">
    <w:abstractNumId w:val="33"/>
  </w:num>
  <w:num w:numId="28" w16cid:durableId="1981379582">
    <w:abstractNumId w:val="15"/>
  </w:num>
  <w:num w:numId="29" w16cid:durableId="1403214146">
    <w:abstractNumId w:val="22"/>
  </w:num>
  <w:num w:numId="30" w16cid:durableId="79447779">
    <w:abstractNumId w:val="17"/>
  </w:num>
  <w:num w:numId="31" w16cid:durableId="1966344901">
    <w:abstractNumId w:val="32"/>
  </w:num>
  <w:num w:numId="32" w16cid:durableId="1866627185">
    <w:abstractNumId w:val="1"/>
  </w:num>
  <w:num w:numId="33" w16cid:durableId="602498004">
    <w:abstractNumId w:val="0"/>
  </w:num>
  <w:num w:numId="34" w16cid:durableId="822743486">
    <w:abstractNumId w:val="3"/>
  </w:num>
  <w:num w:numId="35" w16cid:durableId="6819780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ru-RU" w:vendorID="64" w:dllVersion="6" w:nlCheck="1" w:checkStyle="0"/>
  <w:activeWritingStyle w:appName="MSWord" w:lang="en-US" w:vendorID="64" w:dllVersion="6" w:nlCheck="1" w:checkStyle="1"/>
  <w:activeWritingStyle w:appName="MSWord" w:lang="es-ES" w:vendorID="64" w:dllVersion="6" w:nlCheck="1" w:checkStyle="1"/>
  <w:activeWritingStyle w:appName="MSWord" w:lang="en-US" w:vendorID="64" w:dllVersion="4096" w:nlCheck="1" w:checkStyle="0"/>
  <w:activeWritingStyle w:appName="MSWord" w:lang="ru-RU"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1B"/>
    <w:rsid w:val="0000398F"/>
    <w:rsid w:val="00016599"/>
    <w:rsid w:val="00030CB4"/>
    <w:rsid w:val="000314E0"/>
    <w:rsid w:val="00031A62"/>
    <w:rsid w:val="00046977"/>
    <w:rsid w:val="000778CE"/>
    <w:rsid w:val="00080230"/>
    <w:rsid w:val="00082A85"/>
    <w:rsid w:val="00083C2A"/>
    <w:rsid w:val="000A01F8"/>
    <w:rsid w:val="000B066F"/>
    <w:rsid w:val="000B0DAA"/>
    <w:rsid w:val="000B3645"/>
    <w:rsid w:val="000B6631"/>
    <w:rsid w:val="000B66E4"/>
    <w:rsid w:val="000C1E34"/>
    <w:rsid w:val="000C7CBD"/>
    <w:rsid w:val="000D5702"/>
    <w:rsid w:val="000E40E5"/>
    <w:rsid w:val="00105096"/>
    <w:rsid w:val="001361E4"/>
    <w:rsid w:val="0014336E"/>
    <w:rsid w:val="00164AFA"/>
    <w:rsid w:val="00171316"/>
    <w:rsid w:val="00177ACB"/>
    <w:rsid w:val="001A2938"/>
    <w:rsid w:val="001B4D79"/>
    <w:rsid w:val="001C02B0"/>
    <w:rsid w:val="001D3F3D"/>
    <w:rsid w:val="00206BE4"/>
    <w:rsid w:val="00206E10"/>
    <w:rsid w:val="00221B80"/>
    <w:rsid w:val="0022223C"/>
    <w:rsid w:val="0022665E"/>
    <w:rsid w:val="002273A1"/>
    <w:rsid w:val="00245281"/>
    <w:rsid w:val="002503C3"/>
    <w:rsid w:val="00253294"/>
    <w:rsid w:val="00287377"/>
    <w:rsid w:val="002A1475"/>
    <w:rsid w:val="002A672C"/>
    <w:rsid w:val="002C7DDA"/>
    <w:rsid w:val="002D09A4"/>
    <w:rsid w:val="002D44FC"/>
    <w:rsid w:val="002D536C"/>
    <w:rsid w:val="002E6641"/>
    <w:rsid w:val="003023E5"/>
    <w:rsid w:val="003136ED"/>
    <w:rsid w:val="00314E3F"/>
    <w:rsid w:val="00320A9D"/>
    <w:rsid w:val="00374E79"/>
    <w:rsid w:val="003823C8"/>
    <w:rsid w:val="00383FDB"/>
    <w:rsid w:val="00397A3C"/>
    <w:rsid w:val="003A682F"/>
    <w:rsid w:val="003D614B"/>
    <w:rsid w:val="003E7986"/>
    <w:rsid w:val="0040161F"/>
    <w:rsid w:val="00425FA4"/>
    <w:rsid w:val="0044392C"/>
    <w:rsid w:val="00444B97"/>
    <w:rsid w:val="004617CA"/>
    <w:rsid w:val="00472D0C"/>
    <w:rsid w:val="00480B1B"/>
    <w:rsid w:val="0048717D"/>
    <w:rsid w:val="00491BC9"/>
    <w:rsid w:val="00496FDC"/>
    <w:rsid w:val="00497D13"/>
    <w:rsid w:val="004B461B"/>
    <w:rsid w:val="004E0A28"/>
    <w:rsid w:val="004E1BA8"/>
    <w:rsid w:val="004E1E67"/>
    <w:rsid w:val="004E4034"/>
    <w:rsid w:val="004F01B8"/>
    <w:rsid w:val="004F0F8B"/>
    <w:rsid w:val="004F4700"/>
    <w:rsid w:val="00503878"/>
    <w:rsid w:val="00507037"/>
    <w:rsid w:val="005122E2"/>
    <w:rsid w:val="005153D0"/>
    <w:rsid w:val="00517D46"/>
    <w:rsid w:val="00524ABC"/>
    <w:rsid w:val="00536AA4"/>
    <w:rsid w:val="00543FBB"/>
    <w:rsid w:val="0054595D"/>
    <w:rsid w:val="00562BC7"/>
    <w:rsid w:val="00563486"/>
    <w:rsid w:val="00564E77"/>
    <w:rsid w:val="0057611D"/>
    <w:rsid w:val="00581750"/>
    <w:rsid w:val="00585028"/>
    <w:rsid w:val="0059531C"/>
    <w:rsid w:val="005A3CF0"/>
    <w:rsid w:val="005B7712"/>
    <w:rsid w:val="005C3074"/>
    <w:rsid w:val="005C5989"/>
    <w:rsid w:val="00620724"/>
    <w:rsid w:val="006218E9"/>
    <w:rsid w:val="00625D42"/>
    <w:rsid w:val="00660358"/>
    <w:rsid w:val="0067206E"/>
    <w:rsid w:val="0067360D"/>
    <w:rsid w:val="006A33F8"/>
    <w:rsid w:val="006A6660"/>
    <w:rsid w:val="006C3C26"/>
    <w:rsid w:val="006C70D3"/>
    <w:rsid w:val="007122A7"/>
    <w:rsid w:val="007134C6"/>
    <w:rsid w:val="00745249"/>
    <w:rsid w:val="00754A3B"/>
    <w:rsid w:val="0076591E"/>
    <w:rsid w:val="0077303D"/>
    <w:rsid w:val="007932F1"/>
    <w:rsid w:val="007A1B7F"/>
    <w:rsid w:val="007A3515"/>
    <w:rsid w:val="007A6DCD"/>
    <w:rsid w:val="007D0E99"/>
    <w:rsid w:val="007D4CFA"/>
    <w:rsid w:val="007E2933"/>
    <w:rsid w:val="007F122E"/>
    <w:rsid w:val="00825B71"/>
    <w:rsid w:val="00860751"/>
    <w:rsid w:val="008619DB"/>
    <w:rsid w:val="008627A2"/>
    <w:rsid w:val="00863F3F"/>
    <w:rsid w:val="0087087F"/>
    <w:rsid w:val="00893768"/>
    <w:rsid w:val="008C734F"/>
    <w:rsid w:val="008D1C74"/>
    <w:rsid w:val="008D6F70"/>
    <w:rsid w:val="008E3C41"/>
    <w:rsid w:val="008E42EA"/>
    <w:rsid w:val="008F0352"/>
    <w:rsid w:val="008F228C"/>
    <w:rsid w:val="009015ED"/>
    <w:rsid w:val="0094632B"/>
    <w:rsid w:val="009543EC"/>
    <w:rsid w:val="00981AFB"/>
    <w:rsid w:val="00997A2A"/>
    <w:rsid w:val="009A2D5A"/>
    <w:rsid w:val="009C4408"/>
    <w:rsid w:val="009D30D3"/>
    <w:rsid w:val="009E64E5"/>
    <w:rsid w:val="009E7B2C"/>
    <w:rsid w:val="00A12642"/>
    <w:rsid w:val="00A22721"/>
    <w:rsid w:val="00A6011B"/>
    <w:rsid w:val="00A65FF3"/>
    <w:rsid w:val="00A71F94"/>
    <w:rsid w:val="00A84ABE"/>
    <w:rsid w:val="00AA0278"/>
    <w:rsid w:val="00AA6A30"/>
    <w:rsid w:val="00AB2E6B"/>
    <w:rsid w:val="00AB3660"/>
    <w:rsid w:val="00AB769A"/>
    <w:rsid w:val="00AD22B3"/>
    <w:rsid w:val="00AE5B70"/>
    <w:rsid w:val="00AF3847"/>
    <w:rsid w:val="00B01DD3"/>
    <w:rsid w:val="00B06541"/>
    <w:rsid w:val="00B14726"/>
    <w:rsid w:val="00B20ED0"/>
    <w:rsid w:val="00B330A7"/>
    <w:rsid w:val="00B5071B"/>
    <w:rsid w:val="00B57318"/>
    <w:rsid w:val="00B63A47"/>
    <w:rsid w:val="00B63F4D"/>
    <w:rsid w:val="00B6672E"/>
    <w:rsid w:val="00B705C2"/>
    <w:rsid w:val="00B74863"/>
    <w:rsid w:val="00B834E8"/>
    <w:rsid w:val="00B845F9"/>
    <w:rsid w:val="00BA41E6"/>
    <w:rsid w:val="00BA4FB9"/>
    <w:rsid w:val="00BB2249"/>
    <w:rsid w:val="00BC3539"/>
    <w:rsid w:val="00BD2FC7"/>
    <w:rsid w:val="00BD47DE"/>
    <w:rsid w:val="00C32293"/>
    <w:rsid w:val="00C3527B"/>
    <w:rsid w:val="00C70AA0"/>
    <w:rsid w:val="00C76195"/>
    <w:rsid w:val="00C85712"/>
    <w:rsid w:val="00C93009"/>
    <w:rsid w:val="00CB6038"/>
    <w:rsid w:val="00CD314C"/>
    <w:rsid w:val="00CD77E0"/>
    <w:rsid w:val="00CE12D3"/>
    <w:rsid w:val="00CF3B8A"/>
    <w:rsid w:val="00D01586"/>
    <w:rsid w:val="00D21453"/>
    <w:rsid w:val="00D40CBE"/>
    <w:rsid w:val="00D42D1A"/>
    <w:rsid w:val="00D54353"/>
    <w:rsid w:val="00D73491"/>
    <w:rsid w:val="00D74AD6"/>
    <w:rsid w:val="00DD0660"/>
    <w:rsid w:val="00DF1224"/>
    <w:rsid w:val="00DF1861"/>
    <w:rsid w:val="00E14822"/>
    <w:rsid w:val="00E21E7C"/>
    <w:rsid w:val="00E27359"/>
    <w:rsid w:val="00E46630"/>
    <w:rsid w:val="00E665C6"/>
    <w:rsid w:val="00E80C55"/>
    <w:rsid w:val="00E83AF7"/>
    <w:rsid w:val="00E86408"/>
    <w:rsid w:val="00EB674C"/>
    <w:rsid w:val="00EC19FC"/>
    <w:rsid w:val="00ED5168"/>
    <w:rsid w:val="00EE44B6"/>
    <w:rsid w:val="00EE7A19"/>
    <w:rsid w:val="00F00CA5"/>
    <w:rsid w:val="00F34F54"/>
    <w:rsid w:val="00F35C0B"/>
    <w:rsid w:val="00F42269"/>
    <w:rsid w:val="00F4551E"/>
    <w:rsid w:val="00F4777F"/>
    <w:rsid w:val="00F5126D"/>
    <w:rsid w:val="00F64F16"/>
    <w:rsid w:val="00F71F54"/>
    <w:rsid w:val="00FA4052"/>
    <w:rsid w:val="00FB0687"/>
    <w:rsid w:val="00FB692C"/>
    <w:rsid w:val="00FC4BB3"/>
    <w:rsid w:val="00FC603D"/>
    <w:rsid w:val="00FC73F3"/>
    <w:rsid w:val="00FD03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30ED"/>
  <w15:chartTrackingRefBased/>
  <w15:docId w15:val="{783EA662-CC8E-44F9-9CDA-5E3441ED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B2249"/>
    <w:pPr>
      <w:spacing w:after="0" w:line="260" w:lineRule="atLeast"/>
      <w:jc w:val="both"/>
    </w:pPr>
    <w:rPr>
      <w:rFonts w:ascii="Times New Roman" w:eastAsia="Times New Roman" w:hAnsi="Times New Roman" w:cs="Times New Roman"/>
      <w:noProof/>
      <w:color w:val="000000"/>
      <w:sz w:val="24"/>
      <w:szCs w:val="20"/>
      <w:lang w:val="en-US" w:eastAsia="zh-CN"/>
    </w:rPr>
  </w:style>
  <w:style w:type="paragraph" w:styleId="1">
    <w:name w:val="heading 1"/>
    <w:basedOn w:val="a0"/>
    <w:next w:val="a0"/>
    <w:link w:val="10"/>
    <w:uiPriority w:val="9"/>
    <w:qFormat/>
    <w:rsid w:val="00397A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semiHidden/>
    <w:unhideWhenUsed/>
    <w:qFormat/>
    <w:rsid w:val="00397A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semiHidden/>
    <w:unhideWhenUsed/>
    <w:qFormat/>
    <w:rsid w:val="00397A3C"/>
    <w:pPr>
      <w:keepNext/>
      <w:keepLines/>
      <w:spacing w:before="40" w:line="259" w:lineRule="auto"/>
      <w:jc w:val="left"/>
      <w:outlineLvl w:val="2"/>
    </w:pPr>
    <w:rPr>
      <w:rFonts w:asciiTheme="majorHAnsi" w:eastAsiaTheme="majorEastAsia" w:hAnsiTheme="majorHAnsi" w:cstheme="majorBidi"/>
      <w:noProof w:val="0"/>
      <w:color w:val="1F4D78" w:themeColor="accent1" w:themeShade="7F"/>
      <w:szCs w:val="24"/>
      <w:lang w:val="ru-RU" w:eastAsia="en-US"/>
    </w:rPr>
  </w:style>
  <w:style w:type="paragraph" w:styleId="4">
    <w:name w:val="heading 4"/>
    <w:basedOn w:val="a0"/>
    <w:next w:val="a0"/>
    <w:link w:val="40"/>
    <w:uiPriority w:val="9"/>
    <w:semiHidden/>
    <w:unhideWhenUsed/>
    <w:qFormat/>
    <w:rsid w:val="00397A3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semiHidden/>
    <w:unhideWhenUsed/>
    <w:qFormat/>
    <w:rsid w:val="00397A3C"/>
    <w:pPr>
      <w:keepNext/>
      <w:keepLines/>
      <w:spacing w:before="40"/>
      <w:outlineLvl w:val="4"/>
    </w:pPr>
    <w:rPr>
      <w:rFonts w:asciiTheme="majorHAnsi" w:eastAsiaTheme="majorEastAsia" w:hAnsiTheme="majorHAnsi" w:cstheme="majorBidi"/>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97A3C"/>
    <w:rPr>
      <w:rFonts w:asciiTheme="majorHAnsi" w:eastAsiaTheme="majorEastAsia" w:hAnsiTheme="majorHAnsi" w:cstheme="majorBidi"/>
      <w:noProof/>
      <w:color w:val="2E74B5" w:themeColor="accent1" w:themeShade="BF"/>
      <w:sz w:val="32"/>
      <w:szCs w:val="32"/>
      <w:lang w:val="en-US" w:eastAsia="zh-CN"/>
    </w:rPr>
  </w:style>
  <w:style w:type="character" w:customStyle="1" w:styleId="20">
    <w:name w:val="Заголовок 2 Знак"/>
    <w:basedOn w:val="a1"/>
    <w:link w:val="2"/>
    <w:uiPriority w:val="9"/>
    <w:semiHidden/>
    <w:rsid w:val="00397A3C"/>
    <w:rPr>
      <w:rFonts w:asciiTheme="majorHAnsi" w:eastAsiaTheme="majorEastAsia" w:hAnsiTheme="majorHAnsi" w:cstheme="majorBidi"/>
      <w:noProof/>
      <w:color w:val="2E74B5" w:themeColor="accent1" w:themeShade="BF"/>
      <w:sz w:val="26"/>
      <w:szCs w:val="26"/>
      <w:lang w:val="en-US" w:eastAsia="zh-CN"/>
    </w:rPr>
  </w:style>
  <w:style w:type="paragraph" w:customStyle="1" w:styleId="MDPI13authornames">
    <w:name w:val="MDPI_1.3_authornames"/>
    <w:next w:val="a0"/>
    <w:qFormat/>
    <w:rsid w:val="004B461B"/>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character" w:styleId="a4">
    <w:name w:val="line number"/>
    <w:basedOn w:val="a1"/>
    <w:uiPriority w:val="99"/>
    <w:unhideWhenUsed/>
    <w:rsid w:val="004B461B"/>
  </w:style>
  <w:style w:type="paragraph" w:customStyle="1" w:styleId="MDPI16affiliation">
    <w:name w:val="MDPI_1.6_affiliation"/>
    <w:qFormat/>
    <w:rsid w:val="00BB2249"/>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a0"/>
    <w:qFormat/>
    <w:rsid w:val="00BB2249"/>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31text">
    <w:name w:val="MDPI_3.1_text"/>
    <w:link w:val="MDPI31text0"/>
    <w:qFormat/>
    <w:rsid w:val="00BB2249"/>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MDPI31text0">
    <w:name w:val="MDPI_3.1_text Знак"/>
    <w:basedOn w:val="a1"/>
    <w:link w:val="MDPI31text"/>
    <w:rsid w:val="00BB2249"/>
    <w:rPr>
      <w:rFonts w:ascii="Palatino Linotype" w:eastAsia="Times New Roman" w:hAnsi="Palatino Linotype" w:cs="Times New Roman"/>
      <w:snapToGrid w:val="0"/>
      <w:color w:val="000000"/>
      <w:sz w:val="20"/>
      <w:lang w:val="en-US" w:eastAsia="de-DE" w:bidi="en-US"/>
    </w:rPr>
  </w:style>
  <w:style w:type="character" w:styleId="a5">
    <w:name w:val="annotation reference"/>
    <w:basedOn w:val="a1"/>
    <w:uiPriority w:val="99"/>
    <w:unhideWhenUsed/>
    <w:rsid w:val="00BB2249"/>
    <w:rPr>
      <w:sz w:val="16"/>
      <w:szCs w:val="16"/>
    </w:rPr>
  </w:style>
  <w:style w:type="paragraph" w:styleId="a6">
    <w:name w:val="annotation text"/>
    <w:basedOn w:val="a0"/>
    <w:link w:val="a7"/>
    <w:uiPriority w:val="99"/>
    <w:unhideWhenUsed/>
    <w:rsid w:val="00BB2249"/>
    <w:pPr>
      <w:spacing w:line="240" w:lineRule="auto"/>
    </w:pPr>
    <w:rPr>
      <w:sz w:val="20"/>
    </w:rPr>
  </w:style>
  <w:style w:type="character" w:customStyle="1" w:styleId="a7">
    <w:name w:val="Текст примечания Знак"/>
    <w:basedOn w:val="a1"/>
    <w:link w:val="a6"/>
    <w:uiPriority w:val="99"/>
    <w:rsid w:val="00BB2249"/>
    <w:rPr>
      <w:rFonts w:ascii="Times New Roman" w:eastAsia="Times New Roman" w:hAnsi="Times New Roman" w:cs="Times New Roman"/>
      <w:noProof/>
      <w:color w:val="000000"/>
      <w:sz w:val="20"/>
      <w:szCs w:val="20"/>
      <w:lang w:val="en-US" w:eastAsia="zh-CN"/>
    </w:rPr>
  </w:style>
  <w:style w:type="paragraph" w:styleId="a8">
    <w:name w:val="annotation subject"/>
    <w:basedOn w:val="a6"/>
    <w:next w:val="a6"/>
    <w:link w:val="a9"/>
    <w:unhideWhenUsed/>
    <w:rsid w:val="00BB2249"/>
    <w:rPr>
      <w:b/>
      <w:bCs/>
    </w:rPr>
  </w:style>
  <w:style w:type="character" w:customStyle="1" w:styleId="a9">
    <w:name w:val="Тема примечания Знак"/>
    <w:basedOn w:val="a7"/>
    <w:link w:val="a8"/>
    <w:rsid w:val="00BB2249"/>
    <w:rPr>
      <w:rFonts w:ascii="Times New Roman" w:eastAsia="Times New Roman" w:hAnsi="Times New Roman" w:cs="Times New Roman"/>
      <w:b/>
      <w:bCs/>
      <w:noProof/>
      <w:color w:val="000000"/>
      <w:sz w:val="20"/>
      <w:szCs w:val="20"/>
      <w:lang w:val="en-US" w:eastAsia="zh-CN"/>
    </w:rPr>
  </w:style>
  <w:style w:type="paragraph" w:styleId="aa">
    <w:name w:val="Balloon Text"/>
    <w:basedOn w:val="a0"/>
    <w:link w:val="ab"/>
    <w:uiPriority w:val="99"/>
    <w:unhideWhenUsed/>
    <w:qFormat/>
    <w:rsid w:val="00BB2249"/>
    <w:pPr>
      <w:spacing w:line="240" w:lineRule="auto"/>
    </w:pPr>
    <w:rPr>
      <w:rFonts w:ascii="Segoe UI" w:hAnsi="Segoe UI" w:cs="Segoe UI"/>
      <w:sz w:val="18"/>
      <w:szCs w:val="18"/>
    </w:rPr>
  </w:style>
  <w:style w:type="character" w:customStyle="1" w:styleId="ab">
    <w:name w:val="Текст выноски Знак"/>
    <w:basedOn w:val="a1"/>
    <w:link w:val="aa"/>
    <w:uiPriority w:val="99"/>
    <w:qFormat/>
    <w:rsid w:val="00BB2249"/>
    <w:rPr>
      <w:rFonts w:ascii="Segoe UI" w:eastAsia="Times New Roman" w:hAnsi="Segoe UI" w:cs="Segoe UI"/>
      <w:noProof/>
      <w:color w:val="000000"/>
      <w:sz w:val="18"/>
      <w:szCs w:val="18"/>
      <w:lang w:val="en-US" w:eastAsia="zh-CN"/>
    </w:rPr>
  </w:style>
  <w:style w:type="character" w:customStyle="1" w:styleId="30">
    <w:name w:val="Заголовок 3 Знак"/>
    <w:basedOn w:val="a1"/>
    <w:link w:val="3"/>
    <w:uiPriority w:val="9"/>
    <w:semiHidden/>
    <w:rsid w:val="00397A3C"/>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1"/>
    <w:link w:val="4"/>
    <w:uiPriority w:val="9"/>
    <w:semiHidden/>
    <w:rsid w:val="00397A3C"/>
    <w:rPr>
      <w:rFonts w:asciiTheme="majorHAnsi" w:eastAsiaTheme="majorEastAsia" w:hAnsiTheme="majorHAnsi" w:cstheme="majorBidi"/>
      <w:i/>
      <w:iCs/>
      <w:noProof/>
      <w:color w:val="2E74B5" w:themeColor="accent1" w:themeShade="BF"/>
      <w:sz w:val="24"/>
      <w:szCs w:val="20"/>
      <w:lang w:val="en-US" w:eastAsia="zh-CN"/>
    </w:rPr>
  </w:style>
  <w:style w:type="character" w:customStyle="1" w:styleId="50">
    <w:name w:val="Заголовок 5 Знак"/>
    <w:basedOn w:val="a1"/>
    <w:link w:val="5"/>
    <w:uiPriority w:val="9"/>
    <w:semiHidden/>
    <w:rsid w:val="00397A3C"/>
    <w:rPr>
      <w:rFonts w:asciiTheme="majorHAnsi" w:eastAsiaTheme="majorEastAsia" w:hAnsiTheme="majorHAnsi" w:cstheme="majorBidi"/>
      <w:noProof/>
      <w:color w:val="2E74B5" w:themeColor="accent1" w:themeShade="BF"/>
      <w:sz w:val="24"/>
      <w:szCs w:val="20"/>
      <w:lang w:val="en-US" w:eastAsia="zh-CN"/>
    </w:rPr>
  </w:style>
  <w:style w:type="paragraph" w:customStyle="1" w:styleId="MDPI11articletype">
    <w:name w:val="MDPI_1.1_article_type"/>
    <w:next w:val="a0"/>
    <w:qFormat/>
    <w:rsid w:val="00397A3C"/>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a0"/>
    <w:qFormat/>
    <w:rsid w:val="00397A3C"/>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4history">
    <w:name w:val="MDPI_1.4_history"/>
    <w:basedOn w:val="a0"/>
    <w:next w:val="a0"/>
    <w:qFormat/>
    <w:rsid w:val="00397A3C"/>
    <w:pPr>
      <w:adjustRightInd w:val="0"/>
      <w:snapToGrid w:val="0"/>
      <w:spacing w:line="240" w:lineRule="atLeast"/>
      <w:ind w:right="113"/>
      <w:jc w:val="left"/>
    </w:pPr>
    <w:rPr>
      <w:noProof w:val="0"/>
      <w:sz w:val="14"/>
      <w:lang w:eastAsia="de-DE" w:bidi="en-US"/>
    </w:rPr>
  </w:style>
  <w:style w:type="paragraph" w:customStyle="1" w:styleId="MDPI18keywords">
    <w:name w:val="MDPI_1.8_keywords"/>
    <w:next w:val="a0"/>
    <w:qFormat/>
    <w:rsid w:val="00397A3C"/>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qFormat/>
    <w:rsid w:val="00397A3C"/>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table" w:styleId="ac">
    <w:name w:val="Table Grid"/>
    <w:aliases w:val="Сетка_таблицы"/>
    <w:basedOn w:val="a2"/>
    <w:uiPriority w:val="39"/>
    <w:qFormat/>
    <w:rsid w:val="00397A3C"/>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0"/>
    <w:link w:val="ae"/>
    <w:uiPriority w:val="99"/>
    <w:rsid w:val="00397A3C"/>
    <w:pPr>
      <w:tabs>
        <w:tab w:val="center" w:pos="4153"/>
        <w:tab w:val="right" w:pos="8306"/>
      </w:tabs>
      <w:snapToGrid w:val="0"/>
      <w:spacing w:line="240" w:lineRule="atLeast"/>
    </w:pPr>
    <w:rPr>
      <w:szCs w:val="18"/>
    </w:rPr>
  </w:style>
  <w:style w:type="character" w:customStyle="1" w:styleId="ae">
    <w:name w:val="Нижний колонтитул Знак"/>
    <w:basedOn w:val="a1"/>
    <w:link w:val="ad"/>
    <w:uiPriority w:val="99"/>
    <w:rsid w:val="00397A3C"/>
    <w:rPr>
      <w:rFonts w:ascii="Times New Roman" w:eastAsia="Times New Roman" w:hAnsi="Times New Roman" w:cs="Times New Roman"/>
      <w:noProof/>
      <w:color w:val="000000"/>
      <w:sz w:val="24"/>
      <w:szCs w:val="18"/>
      <w:lang w:val="en-US" w:eastAsia="zh-CN"/>
    </w:rPr>
  </w:style>
  <w:style w:type="paragraph" w:styleId="af">
    <w:name w:val="header"/>
    <w:basedOn w:val="a0"/>
    <w:link w:val="af0"/>
    <w:rsid w:val="00397A3C"/>
    <w:pPr>
      <w:pBdr>
        <w:bottom w:val="single" w:sz="6" w:space="1" w:color="auto"/>
      </w:pBdr>
      <w:tabs>
        <w:tab w:val="center" w:pos="4153"/>
        <w:tab w:val="right" w:pos="8306"/>
      </w:tabs>
      <w:snapToGrid w:val="0"/>
      <w:spacing w:line="240" w:lineRule="atLeast"/>
      <w:jc w:val="center"/>
    </w:pPr>
    <w:rPr>
      <w:szCs w:val="18"/>
    </w:rPr>
  </w:style>
  <w:style w:type="character" w:customStyle="1" w:styleId="af0">
    <w:name w:val="Верхний колонтитул Знак"/>
    <w:basedOn w:val="a1"/>
    <w:link w:val="af"/>
    <w:rsid w:val="00397A3C"/>
    <w:rPr>
      <w:rFonts w:ascii="Times New Roman" w:eastAsia="Times New Roman" w:hAnsi="Times New Roman" w:cs="Times New Roman"/>
      <w:noProof/>
      <w:color w:val="000000"/>
      <w:sz w:val="24"/>
      <w:szCs w:val="18"/>
      <w:lang w:val="en-US" w:eastAsia="zh-CN"/>
    </w:rPr>
  </w:style>
  <w:style w:type="paragraph" w:customStyle="1" w:styleId="MDPIheaderjournallogo">
    <w:name w:val="MDPI_header_journal_logo"/>
    <w:qFormat/>
    <w:rsid w:val="00397A3C"/>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DPI32textnoindent">
    <w:name w:val="MDPI_3.2_text_no_indent"/>
    <w:basedOn w:val="MDPI31text"/>
    <w:qFormat/>
    <w:rsid w:val="00397A3C"/>
    <w:pPr>
      <w:ind w:firstLine="0"/>
    </w:pPr>
  </w:style>
  <w:style w:type="paragraph" w:customStyle="1" w:styleId="MDPI33textspaceafter">
    <w:name w:val="MDPI_3.3_text_space_after"/>
    <w:qFormat/>
    <w:rsid w:val="00397A3C"/>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397A3C"/>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397A3C"/>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397A3C"/>
    <w:pPr>
      <w:numPr>
        <w:numId w:val="10"/>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397A3C"/>
    <w:pPr>
      <w:numPr>
        <w:numId w:val="13"/>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397A3C"/>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397A3C"/>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397A3C"/>
    <w:pPr>
      <w:adjustRightInd w:val="0"/>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397A3C"/>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397A3C"/>
    <w:pPr>
      <w:adjustRightInd w:val="0"/>
      <w:snapToGrid w:val="0"/>
      <w:spacing w:after="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397A3C"/>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397A3C"/>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23heading3">
    <w:name w:val="MDPI_2.3_heading3"/>
    <w:qFormat/>
    <w:rsid w:val="00397A3C"/>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397A3C"/>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397A3C"/>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qFormat/>
    <w:rsid w:val="00397A3C"/>
    <w:pPr>
      <w:numPr>
        <w:numId w:val="12"/>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character" w:styleId="af1">
    <w:name w:val="Hyperlink"/>
    <w:uiPriority w:val="99"/>
    <w:qFormat/>
    <w:rsid w:val="00397A3C"/>
    <w:rPr>
      <w:color w:val="0000FF"/>
      <w:u w:val="single"/>
    </w:rPr>
  </w:style>
  <w:style w:type="paragraph" w:customStyle="1" w:styleId="MDPI34textspacebefore">
    <w:name w:val="MDPI_3.4_text_space_before"/>
    <w:qFormat/>
    <w:rsid w:val="00397A3C"/>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81theorem">
    <w:name w:val="MDPI_8.1_theorem"/>
    <w:qFormat/>
    <w:rsid w:val="00397A3C"/>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qFormat/>
    <w:rsid w:val="00397A3C"/>
    <w:pPr>
      <w:adjustRightInd w:val="0"/>
      <w:snapToGrid w:val="0"/>
      <w:spacing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61Citation">
    <w:name w:val="MDPI_6.1_Citation"/>
    <w:qFormat/>
    <w:rsid w:val="00397A3C"/>
    <w:pPr>
      <w:adjustRightInd w:val="0"/>
      <w:snapToGrid w:val="0"/>
      <w:spacing w:after="0" w:line="240" w:lineRule="atLeast"/>
      <w:ind w:right="113"/>
    </w:pPr>
    <w:rPr>
      <w:rFonts w:ascii="Palatino Linotype" w:eastAsia="SimSun" w:hAnsi="Palatino Linotype" w:cs="Cordia New"/>
      <w:sz w:val="14"/>
      <w:lang w:val="en-US" w:eastAsia="zh-CN"/>
    </w:rPr>
  </w:style>
  <w:style w:type="paragraph" w:customStyle="1" w:styleId="MDPI62BackMatter">
    <w:name w:val="MDPI_6.2_BackMatter"/>
    <w:qFormat/>
    <w:rsid w:val="00397A3C"/>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397A3C"/>
    <w:pPr>
      <w:adjustRightInd w:val="0"/>
      <w:snapToGrid w:val="0"/>
      <w:spacing w:before="240" w:after="0" w:line="228" w:lineRule="auto"/>
      <w:jc w:val="both"/>
    </w:pPr>
    <w:rPr>
      <w:rFonts w:ascii="Palatino Linotype" w:eastAsia="SimSun" w:hAnsi="Palatino Linotype" w:cs="Times New Roman"/>
      <w:snapToGrid w:val="0"/>
      <w:color w:val="000000"/>
      <w:sz w:val="18"/>
      <w:szCs w:val="20"/>
      <w:lang w:val="en-US" w:bidi="en-US"/>
    </w:rPr>
  </w:style>
  <w:style w:type="paragraph" w:customStyle="1" w:styleId="MDPI15academiceditor">
    <w:name w:val="MDPI_1.5_academic_editor"/>
    <w:qFormat/>
    <w:rsid w:val="00397A3C"/>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paragraph" w:customStyle="1" w:styleId="MDPI19classification">
    <w:name w:val="MDPI_1.9_classification"/>
    <w:qFormat/>
    <w:rsid w:val="00397A3C"/>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411onetablecaption">
    <w:name w:val="MDPI_4.1.1_one_table_caption"/>
    <w:qFormat/>
    <w:rsid w:val="00397A3C"/>
    <w:pPr>
      <w:adjustRightInd w:val="0"/>
      <w:snapToGrid w:val="0"/>
      <w:spacing w:before="240" w:after="120" w:line="260" w:lineRule="atLeast"/>
      <w:jc w:val="center"/>
    </w:pPr>
    <w:rPr>
      <w:rFonts w:ascii="Palatino Linotype" w:eastAsia="SimSun" w:hAnsi="Palatino Linotype" w:cs="Cordia New"/>
      <w:noProof/>
      <w:color w:val="000000"/>
      <w:sz w:val="18"/>
      <w:lang w:val="en-US" w:eastAsia="zh-CN" w:bidi="en-US"/>
    </w:rPr>
  </w:style>
  <w:style w:type="paragraph" w:customStyle="1" w:styleId="MDPI511onefigurecaption">
    <w:name w:val="MDPI_5.1.1_one_figure_caption"/>
    <w:qFormat/>
    <w:rsid w:val="00397A3C"/>
    <w:pPr>
      <w:adjustRightInd w:val="0"/>
      <w:snapToGrid w:val="0"/>
      <w:spacing w:before="240" w:after="120" w:line="260" w:lineRule="atLeast"/>
      <w:jc w:val="center"/>
    </w:pPr>
    <w:rPr>
      <w:rFonts w:ascii="Palatino Linotype" w:eastAsia="SimSun" w:hAnsi="Palatino Linotype" w:cs="Times New Roman"/>
      <w:noProof/>
      <w:color w:val="000000"/>
      <w:sz w:val="18"/>
      <w:szCs w:val="20"/>
      <w:lang w:val="en-US" w:eastAsia="zh-CN" w:bidi="en-US"/>
    </w:rPr>
  </w:style>
  <w:style w:type="paragraph" w:customStyle="1" w:styleId="MDPI72Copyright">
    <w:name w:val="MDPI_7.2_Copyright"/>
    <w:qFormat/>
    <w:rsid w:val="00397A3C"/>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sz w:val="14"/>
      <w:szCs w:val="20"/>
      <w:lang w:val="en-GB" w:eastAsia="en-GB"/>
    </w:rPr>
  </w:style>
  <w:style w:type="paragraph" w:customStyle="1" w:styleId="MDPI73CopyrightImage">
    <w:name w:val="MDPI_7.3_CopyrightImage"/>
    <w:rsid w:val="00397A3C"/>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equationFram">
    <w:name w:val="MDPI_equationFram"/>
    <w:qFormat/>
    <w:rsid w:val="00397A3C"/>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qFormat/>
    <w:rsid w:val="00397A3C"/>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footerfirstpage">
    <w:name w:val="MDPI_footer_firstpage"/>
    <w:qFormat/>
    <w:rsid w:val="00397A3C"/>
    <w:pPr>
      <w:tabs>
        <w:tab w:val="right" w:pos="8845"/>
      </w:tabs>
      <w:spacing w:after="0" w:line="160" w:lineRule="exact"/>
    </w:pPr>
    <w:rPr>
      <w:rFonts w:ascii="Palatino Linotype" w:eastAsia="Times New Roman" w:hAnsi="Palatino Linotype" w:cs="Times New Roman"/>
      <w:color w:val="000000"/>
      <w:sz w:val="16"/>
      <w:szCs w:val="20"/>
      <w:lang w:val="en-US" w:eastAsia="de-DE"/>
    </w:rPr>
  </w:style>
  <w:style w:type="paragraph" w:customStyle="1" w:styleId="MDPIheader">
    <w:name w:val="MDPI_header"/>
    <w:qFormat/>
    <w:rsid w:val="00397A3C"/>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397A3C"/>
    <w:pPr>
      <w:spacing w:after="240" w:line="240" w:lineRule="auto"/>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qFormat/>
    <w:rsid w:val="00397A3C"/>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paragraph" w:customStyle="1" w:styleId="MDPItext">
    <w:name w:val="MDPI_text"/>
    <w:qFormat/>
    <w:rsid w:val="00397A3C"/>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qFormat/>
    <w:rsid w:val="00397A3C"/>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customStyle="1" w:styleId="apple-converted-space">
    <w:name w:val="apple-converted-space"/>
    <w:rsid w:val="00397A3C"/>
  </w:style>
  <w:style w:type="paragraph" w:styleId="af2">
    <w:name w:val="Body Text"/>
    <w:link w:val="af3"/>
    <w:rsid w:val="00397A3C"/>
    <w:pPr>
      <w:spacing w:after="120" w:line="340" w:lineRule="atLeast"/>
      <w:jc w:val="both"/>
    </w:pPr>
    <w:rPr>
      <w:rFonts w:ascii="Palatino Linotype" w:eastAsia="SimSun" w:hAnsi="Palatino Linotype" w:cs="Times New Roman"/>
      <w:color w:val="000000"/>
      <w:sz w:val="24"/>
      <w:szCs w:val="20"/>
      <w:lang w:val="en-US" w:eastAsia="de-DE"/>
    </w:rPr>
  </w:style>
  <w:style w:type="character" w:customStyle="1" w:styleId="af3">
    <w:name w:val="Основной текст Знак"/>
    <w:basedOn w:val="a1"/>
    <w:link w:val="af2"/>
    <w:rsid w:val="00397A3C"/>
    <w:rPr>
      <w:rFonts w:ascii="Palatino Linotype" w:eastAsia="SimSun" w:hAnsi="Palatino Linotype" w:cs="Times New Roman"/>
      <w:color w:val="000000"/>
      <w:sz w:val="24"/>
      <w:szCs w:val="20"/>
      <w:lang w:val="en-US" w:eastAsia="de-DE"/>
    </w:rPr>
  </w:style>
  <w:style w:type="character" w:styleId="af4">
    <w:name w:val="endnote reference"/>
    <w:rsid w:val="00397A3C"/>
    <w:rPr>
      <w:vertAlign w:val="superscript"/>
    </w:rPr>
  </w:style>
  <w:style w:type="character" w:customStyle="1" w:styleId="af5">
    <w:name w:val="Текст концевой сноски Знак"/>
    <w:basedOn w:val="a1"/>
    <w:link w:val="af6"/>
    <w:semiHidden/>
    <w:rsid w:val="00397A3C"/>
    <w:rPr>
      <w:rFonts w:ascii="Times New Roman" w:eastAsia="Times New Roman" w:hAnsi="Times New Roman" w:cs="Times New Roman"/>
      <w:noProof/>
      <w:color w:val="000000"/>
      <w:sz w:val="24"/>
      <w:szCs w:val="20"/>
      <w:lang w:val="en-US" w:eastAsia="zh-CN"/>
    </w:rPr>
  </w:style>
  <w:style w:type="paragraph" w:styleId="af6">
    <w:name w:val="endnote text"/>
    <w:basedOn w:val="a0"/>
    <w:link w:val="af5"/>
    <w:semiHidden/>
    <w:unhideWhenUsed/>
    <w:rsid w:val="00397A3C"/>
    <w:pPr>
      <w:spacing w:line="240" w:lineRule="auto"/>
    </w:pPr>
  </w:style>
  <w:style w:type="character" w:styleId="af7">
    <w:name w:val="FollowedHyperlink"/>
    <w:rsid w:val="00397A3C"/>
    <w:rPr>
      <w:color w:val="954F72"/>
      <w:u w:val="single"/>
    </w:rPr>
  </w:style>
  <w:style w:type="character" w:customStyle="1" w:styleId="af8">
    <w:name w:val="Текст сноски Знак"/>
    <w:basedOn w:val="a1"/>
    <w:link w:val="af9"/>
    <w:semiHidden/>
    <w:rsid w:val="00397A3C"/>
    <w:rPr>
      <w:rFonts w:ascii="Times New Roman" w:eastAsia="Times New Roman" w:hAnsi="Times New Roman" w:cs="Times New Roman"/>
      <w:noProof/>
      <w:color w:val="000000"/>
      <w:sz w:val="24"/>
      <w:szCs w:val="20"/>
      <w:lang w:val="en-US" w:eastAsia="zh-CN"/>
    </w:rPr>
  </w:style>
  <w:style w:type="paragraph" w:styleId="af9">
    <w:name w:val="footnote text"/>
    <w:basedOn w:val="a0"/>
    <w:link w:val="af8"/>
    <w:semiHidden/>
    <w:unhideWhenUsed/>
    <w:rsid w:val="00397A3C"/>
    <w:pPr>
      <w:spacing w:line="240" w:lineRule="auto"/>
    </w:pPr>
  </w:style>
  <w:style w:type="paragraph" w:styleId="afa">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0"/>
    <w:link w:val="afb"/>
    <w:uiPriority w:val="99"/>
    <w:qFormat/>
    <w:rsid w:val="00397A3C"/>
    <w:rPr>
      <w:szCs w:val="24"/>
    </w:rPr>
  </w:style>
  <w:style w:type="paragraph" w:customStyle="1" w:styleId="MsoFootnoteText0">
    <w:name w:val="MsoFootnoteText"/>
    <w:basedOn w:val="afa"/>
    <w:qFormat/>
    <w:rsid w:val="00397A3C"/>
  </w:style>
  <w:style w:type="character" w:styleId="afc">
    <w:name w:val="page number"/>
    <w:rsid w:val="00397A3C"/>
  </w:style>
  <w:style w:type="paragraph" w:customStyle="1" w:styleId="MDPI71FootNotes">
    <w:name w:val="MDPI_7.1_FootNotes"/>
    <w:qFormat/>
    <w:rsid w:val="00397A3C"/>
    <w:pPr>
      <w:numPr>
        <w:numId w:val="6"/>
      </w:numPr>
      <w:adjustRightInd w:val="0"/>
      <w:snapToGrid w:val="0"/>
      <w:spacing w:after="0" w:line="228" w:lineRule="auto"/>
    </w:pPr>
    <w:rPr>
      <w:rFonts w:ascii="Palatino Linotype" w:eastAsiaTheme="minorEastAsia" w:hAnsi="Palatino Linotype" w:cs="Times New Roman"/>
      <w:noProof/>
      <w:color w:val="000000"/>
      <w:sz w:val="18"/>
      <w:szCs w:val="20"/>
      <w:lang w:val="en-US" w:eastAsia="zh-CN"/>
    </w:rPr>
  </w:style>
  <w:style w:type="character" w:customStyle="1" w:styleId="t">
    <w:name w:val="t"/>
    <w:basedOn w:val="a1"/>
    <w:rsid w:val="00397A3C"/>
  </w:style>
  <w:style w:type="paragraph" w:customStyle="1" w:styleId="nova-legacy-e-listitem">
    <w:name w:val="nova-legacy-e-list__item"/>
    <w:basedOn w:val="a0"/>
    <w:qFormat/>
    <w:rsid w:val="00397A3C"/>
    <w:pPr>
      <w:spacing w:before="100" w:beforeAutospacing="1" w:after="100" w:afterAutospacing="1" w:line="240" w:lineRule="auto"/>
      <w:jc w:val="left"/>
    </w:pPr>
    <w:rPr>
      <w:noProof w:val="0"/>
      <w:color w:val="auto"/>
      <w:szCs w:val="24"/>
    </w:rPr>
  </w:style>
  <w:style w:type="paragraph" w:styleId="afd">
    <w:name w:val="List Paragraph"/>
    <w:aliases w:val="Bullet List,FooterText,numbered,List Paragraph,Абзац списка2,Абзац с отступом,Heading1,Colorful List - Accent 11,Абзац списка4,маркированный,Абзац списка8,Абзац списка3,без абзаца,ПАРАГРАФ"/>
    <w:basedOn w:val="a0"/>
    <w:link w:val="afe"/>
    <w:uiPriority w:val="34"/>
    <w:qFormat/>
    <w:rsid w:val="00397A3C"/>
    <w:pPr>
      <w:spacing w:line="240" w:lineRule="auto"/>
      <w:ind w:left="720"/>
      <w:contextualSpacing/>
      <w:jc w:val="left"/>
    </w:pPr>
    <w:rPr>
      <w:noProof w:val="0"/>
      <w:color w:val="auto"/>
      <w:szCs w:val="24"/>
      <w:lang w:eastAsia="en-US"/>
    </w:rPr>
  </w:style>
  <w:style w:type="character" w:customStyle="1" w:styleId="afe">
    <w:name w:val="Абзац списка Знак"/>
    <w:aliases w:val="Bullet List Знак,FooterText Знак,numbered Знак,List Paragraph Знак,Абзац списка2 Знак,Абзац с отступом Знак,Heading1 Знак,Colorful List - Accent 11 Знак,Абзац списка4 Знак,маркированный Знак,Абзац списка8 Знак,Абзац списка3 Знак"/>
    <w:link w:val="afd"/>
    <w:uiPriority w:val="34"/>
    <w:locked/>
    <w:rsid w:val="00397A3C"/>
    <w:rPr>
      <w:rFonts w:ascii="Times New Roman" w:eastAsia="Times New Roman" w:hAnsi="Times New Roman" w:cs="Times New Roman"/>
      <w:sz w:val="24"/>
      <w:szCs w:val="24"/>
      <w:lang w:val="en-US"/>
    </w:rPr>
  </w:style>
  <w:style w:type="character" w:styleId="aff">
    <w:name w:val="Strong"/>
    <w:basedOn w:val="a1"/>
    <w:uiPriority w:val="22"/>
    <w:qFormat/>
    <w:rsid w:val="00397A3C"/>
    <w:rPr>
      <w:b/>
      <w:bCs/>
    </w:rPr>
  </w:style>
  <w:style w:type="paragraph" w:customStyle="1" w:styleId="TableParagraph">
    <w:name w:val="Table Paragraph"/>
    <w:basedOn w:val="a0"/>
    <w:uiPriority w:val="1"/>
    <w:qFormat/>
    <w:rsid w:val="00397A3C"/>
    <w:pPr>
      <w:widowControl w:val="0"/>
      <w:autoSpaceDE w:val="0"/>
      <w:autoSpaceDN w:val="0"/>
      <w:spacing w:line="240" w:lineRule="auto"/>
      <w:jc w:val="left"/>
    </w:pPr>
    <w:rPr>
      <w:rFonts w:eastAsia="Palatino Linotype" w:cs="Palatino Linotype"/>
      <w:noProof w:val="0"/>
      <w:color w:val="auto"/>
      <w:sz w:val="22"/>
      <w:szCs w:val="22"/>
      <w:lang w:eastAsia="en-US"/>
    </w:rPr>
  </w:style>
  <w:style w:type="character" w:customStyle="1" w:styleId="html-italic">
    <w:name w:val="html-italic"/>
    <w:basedOn w:val="a1"/>
    <w:rsid w:val="00397A3C"/>
  </w:style>
  <w:style w:type="character" w:customStyle="1" w:styleId="anchor-text">
    <w:name w:val="anchor-text"/>
    <w:basedOn w:val="a1"/>
    <w:rsid w:val="00397A3C"/>
  </w:style>
  <w:style w:type="character" w:styleId="aff0">
    <w:name w:val="Emphasis"/>
    <w:basedOn w:val="a1"/>
    <w:uiPriority w:val="20"/>
    <w:qFormat/>
    <w:rsid w:val="00397A3C"/>
    <w:rPr>
      <w:i/>
      <w:iCs/>
    </w:rPr>
  </w:style>
  <w:style w:type="character" w:customStyle="1" w:styleId="u-visually-hidden">
    <w:name w:val="u-visually-hidden"/>
    <w:basedOn w:val="a1"/>
    <w:qFormat/>
    <w:rsid w:val="00397A3C"/>
  </w:style>
  <w:style w:type="character" w:customStyle="1" w:styleId="title-text">
    <w:name w:val="title-text"/>
    <w:basedOn w:val="a1"/>
    <w:qFormat/>
    <w:rsid w:val="00397A3C"/>
  </w:style>
  <w:style w:type="character" w:customStyle="1" w:styleId="rynqvb">
    <w:name w:val="rynqvb"/>
    <w:basedOn w:val="a1"/>
    <w:rsid w:val="00397A3C"/>
  </w:style>
  <w:style w:type="character" w:customStyle="1" w:styleId="hwtze">
    <w:name w:val="hwtze"/>
    <w:basedOn w:val="a1"/>
    <w:rsid w:val="00397A3C"/>
  </w:style>
  <w:style w:type="paragraph" w:styleId="aff1">
    <w:name w:val="No Spacing"/>
    <w:uiPriority w:val="1"/>
    <w:qFormat/>
    <w:rsid w:val="00397A3C"/>
    <w:pPr>
      <w:suppressAutoHyphens/>
      <w:spacing w:after="0" w:line="240" w:lineRule="auto"/>
    </w:pPr>
  </w:style>
  <w:style w:type="paragraph" w:customStyle="1" w:styleId="aff2">
    <w:name w:val="Содержимое врезки"/>
    <w:basedOn w:val="a0"/>
    <w:qFormat/>
    <w:rsid w:val="00397A3C"/>
    <w:pPr>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character" w:customStyle="1" w:styleId="aff3">
    <w:name w:val="Название объекта Знак"/>
    <w:basedOn w:val="a1"/>
    <w:link w:val="aff4"/>
    <w:uiPriority w:val="99"/>
    <w:qFormat/>
    <w:rsid w:val="00397A3C"/>
    <w:rPr>
      <w:rFonts w:eastAsia="Times New Roman"/>
      <w:b/>
      <w:bCs/>
      <w:caps/>
      <w:sz w:val="16"/>
      <w:szCs w:val="18"/>
    </w:rPr>
  </w:style>
  <w:style w:type="paragraph" w:styleId="aff4">
    <w:name w:val="caption"/>
    <w:basedOn w:val="a0"/>
    <w:next w:val="a0"/>
    <w:link w:val="aff3"/>
    <w:uiPriority w:val="35"/>
    <w:qFormat/>
    <w:rsid w:val="00397A3C"/>
    <w:pPr>
      <w:suppressAutoHyphens/>
      <w:spacing w:after="200" w:line="276" w:lineRule="auto"/>
    </w:pPr>
    <w:rPr>
      <w:rFonts w:asciiTheme="minorHAnsi" w:hAnsiTheme="minorHAnsi" w:cstheme="minorBidi"/>
      <w:b/>
      <w:bCs/>
      <w:caps/>
      <w:noProof w:val="0"/>
      <w:color w:val="auto"/>
      <w:sz w:val="16"/>
      <w:szCs w:val="18"/>
      <w:lang w:val="ru-RU" w:eastAsia="en-US"/>
    </w:rPr>
  </w:style>
  <w:style w:type="character" w:customStyle="1" w:styleId="institution">
    <w:name w:val="institution"/>
    <w:basedOn w:val="a1"/>
    <w:rsid w:val="00397A3C"/>
  </w:style>
  <w:style w:type="paragraph" w:styleId="HTML">
    <w:name w:val="HTML Preformatted"/>
    <w:basedOn w:val="a0"/>
    <w:link w:val="HTML0"/>
    <w:uiPriority w:val="99"/>
    <w:unhideWhenUsed/>
    <w:rsid w:val="0039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pPr>
    <w:rPr>
      <w:rFonts w:ascii="Courier New" w:hAnsi="Courier New" w:cs="Courier New"/>
      <w:noProof w:val="0"/>
      <w:color w:val="auto"/>
      <w:lang w:val="ru-RU" w:eastAsia="ru-RU"/>
    </w:rPr>
  </w:style>
  <w:style w:type="character" w:customStyle="1" w:styleId="HTML0">
    <w:name w:val="Стандартный HTML Знак"/>
    <w:basedOn w:val="a1"/>
    <w:link w:val="HTML"/>
    <w:uiPriority w:val="99"/>
    <w:rsid w:val="00397A3C"/>
    <w:rPr>
      <w:rFonts w:ascii="Courier New" w:eastAsia="Times New Roman" w:hAnsi="Courier New" w:cs="Courier New"/>
      <w:sz w:val="24"/>
      <w:szCs w:val="20"/>
      <w:lang w:eastAsia="ru-RU"/>
    </w:rPr>
  </w:style>
  <w:style w:type="character" w:customStyle="1" w:styleId="citation-doi">
    <w:name w:val="citation-doi"/>
    <w:basedOn w:val="a1"/>
    <w:rsid w:val="00397A3C"/>
  </w:style>
  <w:style w:type="character" w:customStyle="1" w:styleId="info-separation">
    <w:name w:val="info-separation"/>
    <w:basedOn w:val="a1"/>
    <w:rsid w:val="00397A3C"/>
  </w:style>
  <w:style w:type="character" w:customStyle="1" w:styleId="organictextcontentspan">
    <w:name w:val="organictextcontentspan"/>
    <w:basedOn w:val="a1"/>
    <w:rsid w:val="00397A3C"/>
  </w:style>
  <w:style w:type="paragraph" w:customStyle="1" w:styleId="11">
    <w:name w:val="дефолт текст1"/>
    <w:basedOn w:val="MDPI21heading1"/>
    <w:link w:val="12"/>
    <w:qFormat/>
    <w:rsid w:val="00397A3C"/>
    <w:pPr>
      <w:spacing w:before="0" w:after="0" w:line="480" w:lineRule="auto"/>
      <w:ind w:left="0" w:firstLine="425"/>
      <w:jc w:val="both"/>
      <w:outlineLvl w:val="9"/>
    </w:pPr>
    <w:rPr>
      <w:rFonts w:ascii="Times New Roman" w:hAnsi="Times New Roman"/>
      <w:b w:val="0"/>
      <w:sz w:val="24"/>
      <w:szCs w:val="24"/>
    </w:rPr>
  </w:style>
  <w:style w:type="character" w:customStyle="1" w:styleId="12">
    <w:name w:val="дефолт текст1 Знак"/>
    <w:basedOn w:val="a1"/>
    <w:link w:val="11"/>
    <w:rsid w:val="00397A3C"/>
    <w:rPr>
      <w:rFonts w:ascii="Times New Roman" w:eastAsia="Times New Roman" w:hAnsi="Times New Roman" w:cs="Times New Roman"/>
      <w:snapToGrid w:val="0"/>
      <w:color w:val="000000"/>
      <w:sz w:val="24"/>
      <w:szCs w:val="24"/>
      <w:lang w:val="en-US" w:eastAsia="de-DE" w:bidi="en-US"/>
    </w:rPr>
  </w:style>
  <w:style w:type="paragraph" w:customStyle="1" w:styleId="21">
    <w:name w:val="подзаголовок 2"/>
    <w:basedOn w:val="a0"/>
    <w:link w:val="22"/>
    <w:qFormat/>
    <w:rsid w:val="00397A3C"/>
    <w:pPr>
      <w:adjustRightInd w:val="0"/>
      <w:snapToGrid w:val="0"/>
      <w:spacing w:line="480" w:lineRule="auto"/>
      <w:ind w:firstLine="567"/>
    </w:pPr>
    <w:rPr>
      <w:i/>
      <w:noProof w:val="0"/>
      <w:snapToGrid w:val="0"/>
      <w:szCs w:val="24"/>
      <w:lang w:eastAsia="de-DE" w:bidi="en-US"/>
    </w:rPr>
  </w:style>
  <w:style w:type="character" w:customStyle="1" w:styleId="22">
    <w:name w:val="подзаголовок 2 Знак"/>
    <w:basedOn w:val="a1"/>
    <w:link w:val="21"/>
    <w:rsid w:val="00397A3C"/>
    <w:rPr>
      <w:rFonts w:ascii="Times New Roman" w:eastAsia="Times New Roman" w:hAnsi="Times New Roman" w:cs="Times New Roman"/>
      <w:i/>
      <w:snapToGrid w:val="0"/>
      <w:color w:val="000000"/>
      <w:sz w:val="24"/>
      <w:szCs w:val="24"/>
      <w:lang w:val="en-US" w:eastAsia="de-DE" w:bidi="en-US"/>
    </w:rPr>
  </w:style>
  <w:style w:type="paragraph" w:customStyle="1" w:styleId="aff5">
    <w:name w:val="референсис"/>
    <w:basedOn w:val="a0"/>
    <w:link w:val="aff6"/>
    <w:qFormat/>
    <w:rsid w:val="00397A3C"/>
    <w:pPr>
      <w:spacing w:line="480" w:lineRule="auto"/>
      <w:ind w:left="357" w:hanging="357"/>
    </w:pPr>
    <w:rPr>
      <w:color w:val="auto"/>
      <w:szCs w:val="24"/>
    </w:rPr>
  </w:style>
  <w:style w:type="character" w:customStyle="1" w:styleId="aff6">
    <w:name w:val="референсис Знак"/>
    <w:basedOn w:val="a1"/>
    <w:link w:val="aff5"/>
    <w:rsid w:val="00397A3C"/>
    <w:rPr>
      <w:rFonts w:ascii="Times New Roman" w:eastAsia="Times New Roman" w:hAnsi="Times New Roman" w:cs="Times New Roman"/>
      <w:noProof/>
      <w:sz w:val="24"/>
      <w:szCs w:val="24"/>
      <w:lang w:val="en-US" w:eastAsia="zh-CN"/>
    </w:rPr>
  </w:style>
  <w:style w:type="character" w:customStyle="1" w:styleId="extendedtext-full">
    <w:name w:val="extendedtext-full"/>
    <w:basedOn w:val="a1"/>
    <w:rsid w:val="00397A3C"/>
  </w:style>
  <w:style w:type="paragraph" w:customStyle="1" w:styleId="msonormalcxspmiddle">
    <w:name w:val="msonormalcxspmiddle"/>
    <w:basedOn w:val="a0"/>
    <w:uiPriority w:val="99"/>
    <w:rsid w:val="00397A3C"/>
    <w:pPr>
      <w:numPr>
        <w:numId w:val="24"/>
      </w:numPr>
      <w:spacing w:before="100" w:beforeAutospacing="1" w:after="100" w:afterAutospacing="1" w:line="240" w:lineRule="auto"/>
      <w:jc w:val="left"/>
    </w:pPr>
    <w:rPr>
      <w:noProof w:val="0"/>
      <w:color w:val="auto"/>
      <w:szCs w:val="24"/>
      <w:lang w:val="ru-RU" w:eastAsia="ru-RU"/>
    </w:rPr>
  </w:style>
  <w:style w:type="character" w:customStyle="1" w:styleId="c-bibliographic-informationvalue">
    <w:name w:val="c-bibliographic-information__value"/>
    <w:basedOn w:val="a1"/>
    <w:rsid w:val="00397A3C"/>
  </w:style>
  <w:style w:type="character" w:customStyle="1" w:styleId="aff7">
    <w:name w:val="Основной текст с отступом Знак"/>
    <w:basedOn w:val="a1"/>
    <w:link w:val="aff8"/>
    <w:uiPriority w:val="99"/>
    <w:semiHidden/>
    <w:rsid w:val="00397A3C"/>
    <w:rPr>
      <w:rFonts w:ascii="Times New Roman" w:eastAsia="Times New Roman" w:hAnsi="Times New Roman" w:cs="Times New Roman"/>
      <w:noProof/>
      <w:color w:val="000000"/>
      <w:sz w:val="24"/>
      <w:szCs w:val="20"/>
      <w:lang w:val="en-US" w:eastAsia="zh-CN"/>
    </w:rPr>
  </w:style>
  <w:style w:type="paragraph" w:styleId="aff8">
    <w:name w:val="Body Text Indent"/>
    <w:basedOn w:val="a0"/>
    <w:link w:val="aff7"/>
    <w:uiPriority w:val="99"/>
    <w:semiHidden/>
    <w:unhideWhenUsed/>
    <w:rsid w:val="00397A3C"/>
    <w:pPr>
      <w:spacing w:after="120"/>
      <w:ind w:left="283"/>
    </w:pPr>
  </w:style>
  <w:style w:type="character" w:customStyle="1" w:styleId="relative">
    <w:name w:val="relative"/>
    <w:basedOn w:val="a1"/>
    <w:rsid w:val="00397A3C"/>
  </w:style>
  <w:style w:type="character" w:customStyle="1" w:styleId="text">
    <w:name w:val="text"/>
    <w:basedOn w:val="a1"/>
    <w:rsid w:val="00397A3C"/>
  </w:style>
  <w:style w:type="paragraph" w:customStyle="1" w:styleId="style7">
    <w:name w:val="style7"/>
    <w:basedOn w:val="a0"/>
    <w:rsid w:val="00374E79"/>
    <w:pPr>
      <w:spacing w:before="100" w:beforeAutospacing="1" w:after="100" w:afterAutospacing="1" w:line="240" w:lineRule="auto"/>
      <w:jc w:val="left"/>
    </w:pPr>
    <w:rPr>
      <w:noProof w:val="0"/>
      <w:color w:val="auto"/>
      <w:szCs w:val="24"/>
      <w:lang w:val="ru-RU" w:eastAsia="ru-RU"/>
    </w:rPr>
  </w:style>
  <w:style w:type="character" w:customStyle="1" w:styleId="afb">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Зна Знак"/>
    <w:link w:val="afa"/>
    <w:uiPriority w:val="99"/>
    <w:locked/>
    <w:rsid w:val="00DD0660"/>
    <w:rPr>
      <w:rFonts w:ascii="Times New Roman" w:eastAsia="Times New Roman" w:hAnsi="Times New Roman" w:cs="Times New Roman"/>
      <w:noProof/>
      <w:color w:val="000000"/>
      <w:sz w:val="24"/>
      <w:szCs w:val="24"/>
      <w:lang w:val="en-US" w:eastAsia="zh-CN"/>
    </w:rPr>
  </w:style>
  <w:style w:type="character" w:customStyle="1" w:styleId="katex-mathml">
    <w:name w:val="katex-mathml"/>
    <w:basedOn w:val="a1"/>
    <w:rsid w:val="003D614B"/>
  </w:style>
  <w:style w:type="character" w:customStyle="1" w:styleId="mord">
    <w:name w:val="mord"/>
    <w:basedOn w:val="a1"/>
    <w:rsid w:val="003D614B"/>
  </w:style>
  <w:style w:type="character" w:customStyle="1" w:styleId="mrel">
    <w:name w:val="mrel"/>
    <w:basedOn w:val="a1"/>
    <w:rsid w:val="003D614B"/>
  </w:style>
  <w:style w:type="character" w:customStyle="1" w:styleId="mbin">
    <w:name w:val="mbin"/>
    <w:basedOn w:val="a1"/>
    <w:rsid w:val="003D614B"/>
  </w:style>
  <w:style w:type="character" w:customStyle="1" w:styleId="vlist-s">
    <w:name w:val="vlist-s"/>
    <w:basedOn w:val="a1"/>
    <w:rsid w:val="003D614B"/>
  </w:style>
  <w:style w:type="paragraph" w:customStyle="1" w:styleId="Default">
    <w:name w:val="Default"/>
    <w:rsid w:val="003D614B"/>
    <w:pPr>
      <w:autoSpaceDE w:val="0"/>
      <w:autoSpaceDN w:val="0"/>
      <w:adjustRightInd w:val="0"/>
      <w:spacing w:after="0" w:line="240" w:lineRule="auto"/>
    </w:pPr>
    <w:rPr>
      <w:rFonts w:ascii="Segoe UI" w:hAnsi="Segoe UI" w:cs="Segoe UI"/>
      <w:color w:val="000000"/>
      <w:sz w:val="24"/>
      <w:szCs w:val="24"/>
    </w:rPr>
  </w:style>
  <w:style w:type="paragraph" w:styleId="a">
    <w:name w:val="List Bullet"/>
    <w:basedOn w:val="a0"/>
    <w:uiPriority w:val="99"/>
    <w:unhideWhenUsed/>
    <w:rsid w:val="00754A3B"/>
    <w:pPr>
      <w:numPr>
        <w:numId w:val="33"/>
      </w:numPr>
      <w:spacing w:after="200" w:line="276" w:lineRule="auto"/>
      <w:contextualSpacing/>
      <w:jc w:val="left"/>
    </w:pPr>
    <w:rPr>
      <w:rFonts w:eastAsiaTheme="minorEastAsia"/>
      <w:noProof w:val="0"/>
      <w:color w:val="auto"/>
      <w:szCs w:val="24"/>
      <w:lang w:eastAsia="ru-RU"/>
    </w:rPr>
  </w:style>
  <w:style w:type="character" w:customStyle="1" w:styleId="FontStyle52">
    <w:name w:val="Font Style52"/>
    <w:basedOn w:val="a1"/>
    <w:uiPriority w:val="99"/>
    <w:rsid w:val="00F35C0B"/>
    <w:rPr>
      <w:rFonts w:ascii="Times New Roman" w:hAnsi="Times New Roman" w:cs="Times New Roman"/>
      <w:color w:val="000000"/>
      <w:sz w:val="30"/>
      <w:szCs w:val="30"/>
    </w:rPr>
  </w:style>
  <w:style w:type="table" w:customStyle="1" w:styleId="31">
    <w:name w:val="Сетка таблицы3"/>
    <w:basedOn w:val="a2"/>
    <w:next w:val="ac"/>
    <w:uiPriority w:val="39"/>
    <w:rsid w:val="005459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Без интервала1"/>
    <w:qFormat/>
    <w:rsid w:val="00C76195"/>
    <w:pPr>
      <w:widowControl w:val="0"/>
      <w:suppressAutoHyphens/>
      <w:spacing w:after="0" w:line="240" w:lineRule="auto"/>
    </w:pPr>
    <w:rPr>
      <w:rFonts w:ascii="Times New Roman" w:eastAsia="Arial Unicode MS" w:hAnsi="Times New Roman" w:cs="Tahoma"/>
      <w:color w:val="000000"/>
      <w:sz w:val="24"/>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98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f9120750" TargetMode="External"/><Relationship Id="rId13" Type="http://schemas.openxmlformats.org/officeDocument/2006/relationships/hyperlink" Target="https://doi.org/10.3390/agronomy9060298" TargetMode="External"/><Relationship Id="rId18" Type="http://schemas.openxmlformats.org/officeDocument/2006/relationships/hyperlink" Target="https://doi.org/10.21608/mb.2025.366142.1264"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jpeg"/><Relationship Id="rId7" Type="http://schemas.openxmlformats.org/officeDocument/2006/relationships/endnotes" Target="endnotes.xml"/><Relationship Id="rId12" Type="http://schemas.openxmlformats.org/officeDocument/2006/relationships/hyperlink" Target="https://docs.cntd.ru/document/450230053" TargetMode="External"/><Relationship Id="rId17" Type="http://schemas.openxmlformats.org/officeDocument/2006/relationships/hyperlink" Target="https://kemerovostat.gks.ru/" TargetMode="External"/><Relationship Id="rId25"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doi.org/10.18280/ijdne.180620" TargetMode="External"/><Relationship Id="rId20" Type="http://schemas.openxmlformats.org/officeDocument/2006/relationships/hyperlink" Target="https://doi.org/10.28955/alinterizbd.69655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90/su10030855" TargetMode="External"/><Relationship Id="rId24"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doi.org/10.31407/ijees15.428" TargetMode="External"/><Relationship Id="rId23" Type="http://schemas.openxmlformats.org/officeDocument/2006/relationships/chart" Target="charts/chart1.xml"/><Relationship Id="rId28" Type="http://schemas.openxmlformats.org/officeDocument/2006/relationships/theme" Target="theme/theme1.xml"/><Relationship Id="rId10" Type="http://schemas.openxmlformats.org/officeDocument/2006/relationships/hyperlink" Target="https://doi.org/10.3390/su12177155" TargetMode="External"/><Relationship Id="rId19" Type="http://schemas.openxmlformats.org/officeDocument/2006/relationships/hyperlink" Target="https://doi.org/10.3390/plants10010090" TargetMode="External"/><Relationship Id="rId4" Type="http://schemas.openxmlformats.org/officeDocument/2006/relationships/settings" Target="settings.xml"/><Relationship Id="rId9" Type="http://schemas.openxmlformats.org/officeDocument/2006/relationships/hyperlink" Target="https://doi.org/10.3390/agronomy11061236" TargetMode="External"/><Relationship Id="rId14" Type="http://schemas.openxmlformats.org/officeDocument/2006/relationships/hyperlink" Target="https://vvk-kuzbass.ru/industries/lesnaya-promyshlennost/" TargetMode="External"/><Relationship Id="rId22" Type="http://schemas.openxmlformats.org/officeDocument/2006/relationships/image" Target="media/image2.png"/><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scatterChart>
        <c:scatterStyle val="smoothMarker"/>
        <c:varyColors val="0"/>
        <c:ser>
          <c:idx val="0"/>
          <c:order val="0"/>
          <c:spPr>
            <a:ln w="9525" cap="rnd">
              <a:solidFill>
                <a:schemeClr val="accent6"/>
              </a:solidFill>
              <a:round/>
            </a:ln>
            <a:effectLst>
              <a:outerShdw blurRad="57150" dist="19050" dir="5400000" algn="ctr" rotWithShape="0">
                <a:srgbClr val="000000">
                  <a:alpha val="63000"/>
                </a:srgbClr>
              </a:outerShdw>
            </a:effectLst>
          </c:spPr>
          <c:marker>
            <c:symbol val="circle"/>
            <c:size val="6"/>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9525" cap="rnd">
                <a:solidFill>
                  <a:schemeClr val="accent6"/>
                </a:solidFill>
                <a:round/>
              </a:ln>
              <a:effectLst>
                <a:outerShdw blurRad="57150" dist="19050" dir="5400000" algn="ctr" rotWithShape="0">
                  <a:srgbClr val="000000">
                    <a:alpha val="63000"/>
                  </a:srgbClr>
                </a:outerShdw>
              </a:effectLst>
            </c:spPr>
          </c:marker>
          <c:xVal>
            <c:numRef>
              <c:f>Лист1!$B$2:$B$8</c:f>
              <c:numCache>
                <c:formatCode>General</c:formatCode>
                <c:ptCount val="7"/>
                <c:pt idx="0">
                  <c:v>3.5</c:v>
                </c:pt>
                <c:pt idx="1">
                  <c:v>4</c:v>
                </c:pt>
                <c:pt idx="2">
                  <c:v>4.5</c:v>
                </c:pt>
                <c:pt idx="3">
                  <c:v>5</c:v>
                </c:pt>
                <c:pt idx="4">
                  <c:v>5.5</c:v>
                </c:pt>
                <c:pt idx="5">
                  <c:v>6</c:v>
                </c:pt>
                <c:pt idx="6">
                  <c:v>6.5</c:v>
                </c:pt>
              </c:numCache>
            </c:numRef>
          </c:xVal>
          <c:yVal>
            <c:numRef>
              <c:f>Лист1!$A$2:$A$8</c:f>
              <c:numCache>
                <c:formatCode>General</c:formatCode>
                <c:ptCount val="7"/>
                <c:pt idx="0">
                  <c:v>620</c:v>
                </c:pt>
                <c:pt idx="1">
                  <c:v>850</c:v>
                </c:pt>
                <c:pt idx="2">
                  <c:v>1610</c:v>
                </c:pt>
                <c:pt idx="3">
                  <c:v>1510</c:v>
                </c:pt>
                <c:pt idx="4">
                  <c:v>1290</c:v>
                </c:pt>
                <c:pt idx="5">
                  <c:v>520</c:v>
                </c:pt>
                <c:pt idx="6">
                  <c:v>500</c:v>
                </c:pt>
              </c:numCache>
            </c:numRef>
          </c:yVal>
          <c:smooth val="1"/>
          <c:extLst>
            <c:ext xmlns:c16="http://schemas.microsoft.com/office/drawing/2014/chart" uri="{C3380CC4-5D6E-409C-BE32-E72D297353CC}">
              <c16:uniqueId val="{00000000-8433-436F-B9C6-F4DE499769C5}"/>
            </c:ext>
          </c:extLst>
        </c:ser>
        <c:dLbls>
          <c:showLegendKey val="0"/>
          <c:showVal val="0"/>
          <c:showCatName val="0"/>
          <c:showSerName val="0"/>
          <c:showPercent val="0"/>
          <c:showBubbleSize val="0"/>
        </c:dLbls>
        <c:axId val="-1573708368"/>
        <c:axId val="-1573707824"/>
      </c:scatterChart>
      <c:valAx>
        <c:axId val="-1573708368"/>
        <c:scaling>
          <c:orientation val="minMax"/>
          <c:min val="3"/>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Soil</a:t>
                </a:r>
                <a:r>
                  <a:rPr lang="en-US" baseline="0"/>
                  <a:t> </a:t>
                </a:r>
                <a:r>
                  <a:rPr lang="ru-RU"/>
                  <a:t>Рн</a:t>
                </a:r>
              </a:p>
            </c:rich>
          </c:tx>
          <c:layout>
            <c:manualLayout>
              <c:xMode val="edge"/>
              <c:yMode val="edge"/>
              <c:x val="0.49885596748499145"/>
              <c:y val="0.86119422572178472"/>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3707824"/>
        <c:crosses val="autoZero"/>
        <c:crossBetween val="midCat"/>
      </c:valAx>
      <c:valAx>
        <c:axId val="-1573707824"/>
        <c:scaling>
          <c:orientation val="minMax"/>
          <c:min val="4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s-ES"/>
                  <a:t>mass of seedlings</a:t>
                </a:r>
                <a:endParaRPr lang="ru-RU"/>
              </a:p>
            </c:rich>
          </c:tx>
          <c:layout>
            <c:manualLayout>
              <c:xMode val="edge"/>
              <c:yMode val="edge"/>
              <c:x val="2.5000158418150412E-2"/>
              <c:y val="0.25783683289588799"/>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370836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602A6BAE-B4FD-4213-BF5A-47753D208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1</Pages>
  <Words>10756</Words>
  <Characters>61312</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hp 17</cp:lastModifiedBy>
  <cp:revision>28</cp:revision>
  <dcterms:created xsi:type="dcterms:W3CDTF">2026-05-22T09:12:00Z</dcterms:created>
  <dcterms:modified xsi:type="dcterms:W3CDTF">2026-05-27T22:07:00Z</dcterms:modified>
</cp:coreProperties>
</file>