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ECD5F" w14:textId="15995FDC" w:rsidR="004B461B" w:rsidRPr="00D95DBC" w:rsidRDefault="004E36C8" w:rsidP="00BB2249">
      <w:pPr>
        <w:pStyle w:val="MDPI13authornames"/>
        <w:spacing w:after="0" w:line="360" w:lineRule="auto"/>
        <w:jc w:val="center"/>
        <w:rPr>
          <w:rFonts w:ascii="Times New Roman" w:hAnsi="Times New Roman"/>
          <w:snapToGrid w:val="0"/>
          <w:color w:val="auto"/>
          <w:sz w:val="24"/>
          <w:szCs w:val="24"/>
        </w:rPr>
      </w:pPr>
      <w:r w:rsidRPr="00D95DBC">
        <w:rPr>
          <w:rFonts w:ascii="Times New Roman" w:hAnsi="Times New Roman"/>
          <w:color w:val="auto"/>
          <w:sz w:val="24"/>
          <w:szCs w:val="24"/>
        </w:rPr>
        <w:t>UTILIZATION OF COAL WASTE-DERIVED CARBON SORBENTS FOR AGRICULTURAL WATER PURIFICATION</w:t>
      </w:r>
    </w:p>
    <w:p w14:paraId="2639A4EA" w14:textId="77777777" w:rsidR="00BB2249" w:rsidRPr="00D95DBC" w:rsidRDefault="00BB2249" w:rsidP="00BB2249">
      <w:pPr>
        <w:pStyle w:val="MDPI13authornames"/>
        <w:spacing w:after="0" w:line="360" w:lineRule="auto"/>
        <w:jc w:val="both"/>
        <w:rPr>
          <w:rFonts w:ascii="Times New Roman" w:hAnsi="Times New Roman"/>
          <w:bCs/>
          <w:color w:val="auto"/>
          <w:sz w:val="24"/>
          <w:szCs w:val="24"/>
        </w:rPr>
      </w:pPr>
    </w:p>
    <w:p w14:paraId="0C786706" w14:textId="04BDD485" w:rsidR="00BB2249" w:rsidRPr="00D95DBC" w:rsidRDefault="00D95DBC" w:rsidP="00B5071B">
      <w:pPr>
        <w:pStyle w:val="MDPI13authornames"/>
        <w:spacing w:after="0" w:line="360" w:lineRule="auto"/>
        <w:jc w:val="center"/>
        <w:rPr>
          <w:rFonts w:ascii="Times New Roman" w:hAnsi="Times New Roman"/>
          <w:color w:val="auto"/>
          <w:sz w:val="24"/>
          <w:szCs w:val="24"/>
          <w:vertAlign w:val="superscript"/>
        </w:rPr>
      </w:pPr>
      <w:r w:rsidRPr="00D95DBC">
        <w:rPr>
          <w:rFonts w:ascii="Times New Roman" w:hAnsi="Times New Roman"/>
          <w:color w:val="auto"/>
          <w:sz w:val="24"/>
          <w:szCs w:val="24"/>
        </w:rPr>
        <w:t xml:space="preserve">Lyubov </w:t>
      </w:r>
      <w:proofErr w:type="spellStart"/>
      <w:r w:rsidRPr="00D95DBC">
        <w:rPr>
          <w:rFonts w:ascii="Times New Roman" w:hAnsi="Times New Roman"/>
          <w:color w:val="auto"/>
          <w:sz w:val="24"/>
          <w:szCs w:val="24"/>
        </w:rPr>
        <w:t>Dyshlyuk</w:t>
      </w:r>
      <w:proofErr w:type="spellEnd"/>
      <w:r w:rsidR="00A833C9" w:rsidRPr="00D95DBC">
        <w:rPr>
          <w:rFonts w:ascii="Times New Roman" w:hAnsi="Times New Roman"/>
          <w:color w:val="auto"/>
          <w:sz w:val="24"/>
          <w:szCs w:val="24"/>
          <w:vertAlign w:val="superscript"/>
          <w:lang w:val="sv-SE"/>
        </w:rPr>
        <w:t>1</w:t>
      </w:r>
      <w:r w:rsidR="00A833C9" w:rsidRPr="00D95DBC">
        <w:rPr>
          <w:rFonts w:ascii="Times New Roman" w:hAnsi="Times New Roman"/>
          <w:color w:val="auto"/>
          <w:sz w:val="24"/>
          <w:szCs w:val="24"/>
          <w:lang w:val="sv-SE"/>
        </w:rPr>
        <w:t xml:space="preserve">, </w:t>
      </w:r>
      <w:r w:rsidRPr="00D95DBC">
        <w:rPr>
          <w:rFonts w:ascii="Times New Roman" w:hAnsi="Times New Roman"/>
          <w:color w:val="auto"/>
          <w:sz w:val="24"/>
          <w:szCs w:val="24"/>
          <w:lang w:val="sv-SE"/>
        </w:rPr>
        <w:t>Olga Babich</w:t>
      </w:r>
      <w:r w:rsidR="00A833C9" w:rsidRPr="00D95DBC">
        <w:rPr>
          <w:rFonts w:ascii="Times New Roman" w:hAnsi="Times New Roman"/>
          <w:color w:val="auto"/>
          <w:sz w:val="24"/>
          <w:szCs w:val="24"/>
          <w:vertAlign w:val="superscript"/>
          <w:lang w:val="sv-SE"/>
        </w:rPr>
        <w:t>2</w:t>
      </w:r>
      <w:r w:rsidRPr="00D95DBC">
        <w:rPr>
          <w:rFonts w:ascii="Times New Roman" w:hAnsi="Times New Roman"/>
          <w:color w:val="auto"/>
          <w:sz w:val="24"/>
          <w:szCs w:val="24"/>
          <w:lang w:val="sv-SE"/>
        </w:rPr>
        <w:t xml:space="preserve">, </w:t>
      </w:r>
      <w:r w:rsidRPr="00D95DBC">
        <w:rPr>
          <w:rFonts w:ascii="Times New Roman" w:hAnsi="Times New Roman"/>
          <w:color w:val="auto"/>
          <w:sz w:val="24"/>
          <w:szCs w:val="24"/>
          <w:lang w:val="sv-SE"/>
        </w:rPr>
        <w:t>Svetlana Ivanova</w:t>
      </w:r>
      <w:r w:rsidRPr="00D95DBC">
        <w:rPr>
          <w:rFonts w:ascii="Times New Roman" w:hAnsi="Times New Roman"/>
          <w:color w:val="auto"/>
          <w:sz w:val="24"/>
          <w:szCs w:val="24"/>
          <w:vertAlign w:val="superscript"/>
          <w:lang w:val="sv-SE"/>
        </w:rPr>
        <w:t>2</w:t>
      </w:r>
      <w:r w:rsidRPr="00D95DBC">
        <w:rPr>
          <w:rFonts w:ascii="Times New Roman" w:hAnsi="Times New Roman"/>
          <w:color w:val="auto"/>
          <w:sz w:val="24"/>
          <w:szCs w:val="24"/>
          <w:lang w:val="sv-SE"/>
        </w:rPr>
        <w:t>*</w:t>
      </w:r>
      <w:r w:rsidRPr="00D95DBC">
        <w:rPr>
          <w:rFonts w:ascii="Times New Roman" w:hAnsi="Times New Roman"/>
          <w:color w:val="auto"/>
          <w:sz w:val="24"/>
          <w:szCs w:val="24"/>
          <w:lang w:val="sv-SE"/>
        </w:rPr>
        <w:t xml:space="preserve">, </w:t>
      </w:r>
      <w:r w:rsidRPr="00D95DBC">
        <w:rPr>
          <w:rFonts w:ascii="Times New Roman" w:hAnsi="Times New Roman"/>
          <w:color w:val="auto"/>
          <w:sz w:val="24"/>
          <w:szCs w:val="24"/>
          <w:lang w:val="sv-SE"/>
        </w:rPr>
        <w:t>Ekaterina Mikhaylova</w:t>
      </w:r>
      <w:r w:rsidRPr="00D95DBC">
        <w:rPr>
          <w:rFonts w:ascii="Times New Roman" w:hAnsi="Times New Roman"/>
          <w:color w:val="auto"/>
          <w:sz w:val="24"/>
          <w:szCs w:val="24"/>
          <w:vertAlign w:val="superscript"/>
          <w:lang w:val="sv-SE"/>
        </w:rPr>
        <w:t>2</w:t>
      </w:r>
      <w:r w:rsidR="00A833C9" w:rsidRPr="00D95DBC">
        <w:rPr>
          <w:rFonts w:ascii="Times New Roman" w:hAnsi="Times New Roman"/>
          <w:color w:val="auto"/>
          <w:sz w:val="24"/>
          <w:szCs w:val="24"/>
          <w:lang w:val="sv-SE"/>
        </w:rPr>
        <w:t xml:space="preserve"> </w:t>
      </w:r>
      <w:r w:rsidR="00A833C9" w:rsidRPr="00D95DBC">
        <w:rPr>
          <w:rFonts w:ascii="Times New Roman" w:hAnsi="Times New Roman"/>
          <w:color w:val="auto"/>
          <w:sz w:val="24"/>
          <w:szCs w:val="24"/>
        </w:rPr>
        <w:t xml:space="preserve">and </w:t>
      </w:r>
      <w:r w:rsidRPr="00D95DBC">
        <w:rPr>
          <w:rFonts w:ascii="Times New Roman" w:hAnsi="Times New Roman"/>
          <w:color w:val="auto"/>
          <w:sz w:val="24"/>
          <w:szCs w:val="24"/>
          <w:lang w:val="sv-SE"/>
        </w:rPr>
        <w:t>Stanislav Sukhikh</w:t>
      </w:r>
      <w:r w:rsidRPr="00D95DBC">
        <w:rPr>
          <w:rFonts w:ascii="Times New Roman" w:hAnsi="Times New Roman"/>
          <w:color w:val="auto"/>
          <w:sz w:val="24"/>
          <w:szCs w:val="24"/>
          <w:vertAlign w:val="superscript"/>
          <w:lang w:val="sv-SE"/>
        </w:rPr>
        <w:t>1</w:t>
      </w:r>
    </w:p>
    <w:p w14:paraId="021505A2" w14:textId="77777777" w:rsidR="00BB2249" w:rsidRPr="00D95DBC" w:rsidRDefault="00BB2249" w:rsidP="00BB2249">
      <w:pPr>
        <w:spacing w:line="360" w:lineRule="auto"/>
        <w:rPr>
          <w:color w:val="auto"/>
          <w:szCs w:val="24"/>
          <w:lang w:eastAsia="de-DE" w:bidi="en-US"/>
        </w:rPr>
      </w:pPr>
    </w:p>
    <w:p w14:paraId="7B85D105" w14:textId="619E4871" w:rsidR="00BB2249" w:rsidRPr="00D95DBC" w:rsidRDefault="00A833C9" w:rsidP="00BB2249">
      <w:pPr>
        <w:pStyle w:val="MDPI16affiliation"/>
        <w:spacing w:line="360" w:lineRule="auto"/>
        <w:ind w:left="0" w:firstLine="0"/>
        <w:jc w:val="center"/>
        <w:rPr>
          <w:rFonts w:ascii="Times New Roman" w:hAnsi="Times New Roman"/>
          <w:bCs/>
          <w:iCs/>
          <w:color w:val="auto"/>
          <w:sz w:val="24"/>
          <w:szCs w:val="24"/>
          <w:lang w:eastAsia="ru-RU"/>
        </w:rPr>
      </w:pPr>
      <w:r w:rsidRPr="00D95DBC">
        <w:rPr>
          <w:rFonts w:ascii="Times New Roman" w:hAnsi="Times New Roman"/>
          <w:bCs/>
          <w:iCs/>
          <w:color w:val="auto"/>
          <w:sz w:val="24"/>
          <w:szCs w:val="24"/>
          <w:vertAlign w:val="superscript"/>
          <w:lang w:eastAsia="ru-RU"/>
        </w:rPr>
        <w:t>1</w:t>
      </w:r>
      <w:r w:rsidR="00D95DBC" w:rsidRPr="00D95DBC">
        <w:rPr>
          <w:rFonts w:ascii="Times New Roman" w:hAnsi="Times New Roman"/>
          <w:bCs/>
          <w:iCs/>
          <w:color w:val="auto"/>
          <w:sz w:val="24"/>
          <w:szCs w:val="24"/>
          <w:vertAlign w:val="superscript"/>
          <w:lang w:eastAsia="ru-RU"/>
        </w:rPr>
        <w:t xml:space="preserve"> </w:t>
      </w:r>
      <w:r w:rsidR="00D95DBC" w:rsidRPr="00D95DBC">
        <w:rPr>
          <w:rFonts w:ascii="Times New Roman" w:hAnsi="Times New Roman"/>
          <w:bCs/>
          <w:iCs/>
          <w:color w:val="auto"/>
          <w:sz w:val="24"/>
          <w:szCs w:val="24"/>
          <w:lang w:val="kk-KZ" w:eastAsia="ru-RU"/>
        </w:rPr>
        <w:t>Immanuel Kant Baltic Federal University</w:t>
      </w:r>
      <w:r w:rsidRPr="00D95DBC">
        <w:rPr>
          <w:rFonts w:ascii="Times New Roman" w:hAnsi="Times New Roman"/>
          <w:bCs/>
          <w:iCs/>
          <w:color w:val="auto"/>
          <w:sz w:val="24"/>
          <w:szCs w:val="24"/>
          <w:lang w:val="kk-KZ" w:eastAsia="ru-RU"/>
        </w:rPr>
        <w:t xml:space="preserve">, </w:t>
      </w:r>
      <w:r w:rsidR="00D95DBC" w:rsidRPr="00D95DBC">
        <w:rPr>
          <w:rFonts w:ascii="Times New Roman" w:hAnsi="Times New Roman"/>
          <w:bCs/>
          <w:iCs/>
          <w:color w:val="auto"/>
          <w:sz w:val="24"/>
          <w:szCs w:val="24"/>
          <w:lang w:eastAsia="ru-RU"/>
        </w:rPr>
        <w:t>Kaliningrad</w:t>
      </w:r>
      <w:r w:rsidRPr="00D95DBC">
        <w:rPr>
          <w:rFonts w:ascii="Times New Roman" w:hAnsi="Times New Roman"/>
          <w:bCs/>
          <w:iCs/>
          <w:color w:val="auto"/>
          <w:sz w:val="24"/>
          <w:szCs w:val="24"/>
          <w:lang w:val="kk-KZ" w:eastAsia="ru-RU"/>
        </w:rPr>
        <w:t xml:space="preserve">, </w:t>
      </w:r>
      <w:r w:rsidR="00D95DBC" w:rsidRPr="00D95DBC">
        <w:rPr>
          <w:rFonts w:ascii="Times New Roman" w:hAnsi="Times New Roman"/>
          <w:bCs/>
          <w:iCs/>
          <w:color w:val="auto"/>
          <w:sz w:val="24"/>
          <w:szCs w:val="24"/>
          <w:lang w:eastAsia="ru-RU"/>
        </w:rPr>
        <w:t>Russia</w:t>
      </w:r>
    </w:p>
    <w:p w14:paraId="54F745A0" w14:textId="600191D3" w:rsidR="00A833C9" w:rsidRPr="00D95DBC"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D95DBC">
        <w:rPr>
          <w:rFonts w:ascii="Times New Roman" w:hAnsi="Times New Roman"/>
          <w:iCs/>
          <w:color w:val="auto"/>
          <w:sz w:val="24"/>
          <w:szCs w:val="24"/>
          <w:shd w:val="clear" w:color="auto" w:fill="FFFFFF"/>
          <w:vertAlign w:val="superscript"/>
        </w:rPr>
        <w:t>2</w:t>
      </w:r>
      <w:r w:rsidR="00D95DBC" w:rsidRPr="00D95DBC">
        <w:rPr>
          <w:rFonts w:ascii="Times New Roman" w:hAnsi="Times New Roman"/>
          <w:iCs/>
          <w:color w:val="auto"/>
          <w:sz w:val="24"/>
          <w:szCs w:val="24"/>
          <w:shd w:val="clear" w:color="auto" w:fill="FFFFFF"/>
        </w:rPr>
        <w:t>Kemerovo State University</w:t>
      </w:r>
      <w:r w:rsidRPr="00D95DBC">
        <w:rPr>
          <w:rFonts w:ascii="Times New Roman" w:hAnsi="Times New Roman"/>
          <w:iCs/>
          <w:color w:val="auto"/>
          <w:sz w:val="24"/>
          <w:szCs w:val="24"/>
          <w:shd w:val="clear" w:color="auto" w:fill="FFFFFF"/>
        </w:rPr>
        <w:t xml:space="preserve">, </w:t>
      </w:r>
      <w:r w:rsidR="00D95DBC" w:rsidRPr="00D95DBC">
        <w:rPr>
          <w:rFonts w:ascii="Times New Roman" w:hAnsi="Times New Roman"/>
          <w:bCs/>
          <w:iCs/>
          <w:color w:val="auto"/>
          <w:sz w:val="24"/>
          <w:szCs w:val="24"/>
          <w:lang w:eastAsia="ru-RU"/>
        </w:rPr>
        <w:t>K</w:t>
      </w:r>
      <w:r w:rsidR="00D95DBC" w:rsidRPr="00D95DBC">
        <w:rPr>
          <w:rFonts w:ascii="Times New Roman" w:hAnsi="Times New Roman"/>
          <w:bCs/>
          <w:iCs/>
          <w:color w:val="auto"/>
          <w:sz w:val="24"/>
          <w:szCs w:val="24"/>
          <w:lang w:eastAsia="ru-RU"/>
        </w:rPr>
        <w:t>emerovo</w:t>
      </w:r>
      <w:r w:rsidR="00D95DBC" w:rsidRPr="00D95DBC">
        <w:rPr>
          <w:rFonts w:ascii="Times New Roman" w:hAnsi="Times New Roman"/>
          <w:bCs/>
          <w:iCs/>
          <w:color w:val="auto"/>
          <w:sz w:val="24"/>
          <w:szCs w:val="24"/>
          <w:lang w:val="kk-KZ" w:eastAsia="ru-RU"/>
        </w:rPr>
        <w:t xml:space="preserve">, </w:t>
      </w:r>
      <w:r w:rsidR="00D95DBC" w:rsidRPr="00D95DBC">
        <w:rPr>
          <w:rFonts w:ascii="Times New Roman" w:hAnsi="Times New Roman"/>
          <w:bCs/>
          <w:iCs/>
          <w:color w:val="auto"/>
          <w:sz w:val="24"/>
          <w:szCs w:val="24"/>
          <w:lang w:eastAsia="ru-RU"/>
        </w:rPr>
        <w:t>Russia</w:t>
      </w:r>
    </w:p>
    <w:p w14:paraId="57B09D5C" w14:textId="5318FADB" w:rsidR="00BB2249" w:rsidRPr="00D95DBC" w:rsidRDefault="00BB2249" w:rsidP="00BB2249">
      <w:pPr>
        <w:pStyle w:val="MDPI16affiliation"/>
        <w:spacing w:line="360" w:lineRule="auto"/>
        <w:ind w:left="0" w:firstLine="0"/>
        <w:jc w:val="center"/>
        <w:rPr>
          <w:rFonts w:ascii="Times New Roman" w:hAnsi="Times New Roman"/>
          <w:color w:val="auto"/>
          <w:sz w:val="24"/>
          <w:szCs w:val="24"/>
        </w:rPr>
      </w:pPr>
      <w:r w:rsidRPr="00D95DBC">
        <w:rPr>
          <w:rFonts w:ascii="Times New Roman" w:hAnsi="Times New Roman"/>
          <w:i/>
          <w:color w:val="auto"/>
          <w:sz w:val="24"/>
          <w:szCs w:val="24"/>
        </w:rPr>
        <w:t>*Corresponding author:</w:t>
      </w:r>
      <w:r w:rsidR="00A833C9" w:rsidRPr="00D95DBC">
        <w:rPr>
          <w:rFonts w:ascii="Times New Roman" w:hAnsi="Times New Roman"/>
          <w:i/>
          <w:color w:val="auto"/>
          <w:sz w:val="24"/>
          <w:szCs w:val="24"/>
        </w:rPr>
        <w:t xml:space="preserve"> </w:t>
      </w:r>
      <w:hyperlink r:id="rId8" w:history="1">
        <w:r w:rsidR="00D95DBC" w:rsidRPr="00D95DBC">
          <w:rPr>
            <w:rStyle w:val="af1"/>
            <w:rFonts w:ascii="Times New Roman" w:hAnsi="Times New Roman"/>
            <w:i/>
            <w:color w:val="auto"/>
            <w:sz w:val="24"/>
            <w:szCs w:val="24"/>
          </w:rPr>
          <w:t>svetlana.ivanova@mymail.academy</w:t>
        </w:r>
      </w:hyperlink>
      <w:r w:rsidR="00D95DBC" w:rsidRPr="00D95DBC">
        <w:rPr>
          <w:rFonts w:ascii="Times New Roman" w:hAnsi="Times New Roman"/>
          <w:i/>
          <w:color w:val="auto"/>
          <w:sz w:val="24"/>
          <w:szCs w:val="24"/>
        </w:rPr>
        <w:t xml:space="preserve"> </w:t>
      </w:r>
    </w:p>
    <w:p w14:paraId="2D91BC99" w14:textId="77777777" w:rsidR="00BB2249" w:rsidRPr="00D95DBC" w:rsidRDefault="00BB2249" w:rsidP="00BB2249">
      <w:pPr>
        <w:pStyle w:val="MDPI16affiliation"/>
        <w:spacing w:line="360" w:lineRule="auto"/>
        <w:ind w:left="0" w:firstLine="0"/>
        <w:jc w:val="both"/>
        <w:rPr>
          <w:rFonts w:ascii="Times New Roman" w:hAnsi="Times New Roman"/>
          <w:color w:val="auto"/>
          <w:sz w:val="24"/>
          <w:szCs w:val="24"/>
        </w:rPr>
      </w:pPr>
    </w:p>
    <w:p w14:paraId="4AFCFBD1" w14:textId="77777777" w:rsidR="00BB2249" w:rsidRPr="00D95DBC" w:rsidRDefault="00BB2249" w:rsidP="00BB2249">
      <w:pPr>
        <w:pStyle w:val="MDPI17abstract"/>
        <w:spacing w:before="0" w:line="360" w:lineRule="auto"/>
        <w:ind w:left="0"/>
        <w:jc w:val="center"/>
        <w:rPr>
          <w:rFonts w:ascii="Times New Roman" w:hAnsi="Times New Roman"/>
          <w:b/>
          <w:color w:val="auto"/>
          <w:sz w:val="24"/>
          <w:szCs w:val="24"/>
        </w:rPr>
      </w:pPr>
      <w:r w:rsidRPr="00D95DBC">
        <w:rPr>
          <w:rFonts w:ascii="Times New Roman" w:hAnsi="Times New Roman"/>
          <w:b/>
          <w:color w:val="auto"/>
          <w:sz w:val="24"/>
          <w:szCs w:val="24"/>
        </w:rPr>
        <w:t>ABSTRACT</w:t>
      </w:r>
    </w:p>
    <w:p w14:paraId="665570A4" w14:textId="4FC808EE" w:rsidR="00BB2249" w:rsidRPr="00D95DBC" w:rsidRDefault="008E0069" w:rsidP="00472D0C">
      <w:pPr>
        <w:pStyle w:val="MDPI31text"/>
        <w:spacing w:line="360" w:lineRule="auto"/>
        <w:ind w:left="0" w:firstLine="0"/>
        <w:rPr>
          <w:rFonts w:ascii="Times New Roman" w:hAnsi="Times New Roman"/>
          <w:color w:val="auto"/>
          <w:sz w:val="24"/>
        </w:rPr>
      </w:pPr>
      <w:r w:rsidRPr="00D95DBC">
        <w:rPr>
          <w:rFonts w:ascii="Times New Roman" w:hAnsi="Times New Roman"/>
          <w:color w:val="auto"/>
          <w:sz w:val="24"/>
        </w:rPr>
        <w:t>The study was carried out to assess the effectiveness of using local waste from coal processing facilities (Kemerovo region, Russia) to remove heavy metal ions and petroleum products. To increase the adsorption efficiency, coal mining waste was modified with silver nanoparticles. Isotherms and adsorption kinetics curves of sorption-catalytic sample materials in relation to petroleum products and heavy metal ions were studied. Sorption equilibrium on the developed samples is reached after 8 h for petroleum products and for iron ions, after 10 h for copper, manganese, and cadmium ions, and after 12 h for lead ions, which confirms a fairly rapid sorption. The best efficiency was observed for petroleum products. No toxic effect of the studied samples of the sorption-catalytic materials has been established. The tested samples of the sorption-catalytic materials can be recommended for purification of aqueous solutions</w:t>
      </w:r>
      <w:r w:rsidR="00BB2249" w:rsidRPr="00D95DBC">
        <w:rPr>
          <w:rFonts w:ascii="Times New Roman" w:hAnsi="Times New Roman"/>
          <w:color w:val="auto"/>
          <w:sz w:val="24"/>
        </w:rPr>
        <w:t>.</w:t>
      </w:r>
    </w:p>
    <w:p w14:paraId="76CF3D1C" w14:textId="77777777" w:rsidR="00BB2249" w:rsidRPr="00D95DBC" w:rsidRDefault="00BB2249" w:rsidP="00AE5B70">
      <w:pPr>
        <w:pStyle w:val="MDPI31text"/>
        <w:spacing w:line="360" w:lineRule="auto"/>
        <w:ind w:left="0" w:firstLine="0"/>
        <w:rPr>
          <w:rFonts w:ascii="Times New Roman" w:hAnsi="Times New Roman"/>
          <w:color w:val="auto"/>
          <w:sz w:val="24"/>
        </w:rPr>
      </w:pPr>
    </w:p>
    <w:p w14:paraId="07684CD8" w14:textId="54CB40F7" w:rsidR="00BB2249" w:rsidRPr="00D95DBC" w:rsidRDefault="00BB2249" w:rsidP="00AE5B70">
      <w:pPr>
        <w:pStyle w:val="MDPI31text"/>
        <w:spacing w:line="360" w:lineRule="auto"/>
        <w:ind w:left="0" w:firstLine="0"/>
        <w:rPr>
          <w:rFonts w:ascii="Times New Roman" w:hAnsi="Times New Roman"/>
          <w:color w:val="auto"/>
          <w:sz w:val="24"/>
          <w:szCs w:val="24"/>
          <w:lang w:eastAsia="ar-SA"/>
        </w:rPr>
      </w:pPr>
      <w:r w:rsidRPr="00D95DBC">
        <w:rPr>
          <w:rFonts w:ascii="Times New Roman" w:hAnsi="Times New Roman"/>
          <w:b/>
          <w:color w:val="auto"/>
          <w:sz w:val="24"/>
          <w:szCs w:val="24"/>
        </w:rPr>
        <w:t xml:space="preserve">Keywords: </w:t>
      </w:r>
      <w:r w:rsidR="008E0069" w:rsidRPr="00D95DBC">
        <w:rPr>
          <w:rFonts w:ascii="Times New Roman" w:hAnsi="Times New Roman"/>
          <w:color w:val="auto"/>
          <w:sz w:val="24"/>
          <w:szCs w:val="24"/>
          <w:lang w:eastAsia="ar-SA"/>
        </w:rPr>
        <w:t xml:space="preserve">Coal mining waste, </w:t>
      </w:r>
      <w:proofErr w:type="spellStart"/>
      <w:r w:rsidR="008E0069" w:rsidRPr="00D95DBC">
        <w:rPr>
          <w:rFonts w:ascii="Times New Roman" w:hAnsi="Times New Roman"/>
          <w:color w:val="auto"/>
          <w:sz w:val="24"/>
          <w:szCs w:val="24"/>
          <w:lang w:eastAsia="ar-SA"/>
        </w:rPr>
        <w:t>Nanosilver</w:t>
      </w:r>
      <w:proofErr w:type="spellEnd"/>
      <w:r w:rsidR="008E0069" w:rsidRPr="00D95DBC">
        <w:rPr>
          <w:rFonts w:ascii="Times New Roman" w:hAnsi="Times New Roman"/>
          <w:color w:val="auto"/>
          <w:sz w:val="24"/>
          <w:szCs w:val="24"/>
          <w:lang w:eastAsia="ar-SA"/>
        </w:rPr>
        <w:t>, Sorption-catalytic materials, Adsorption, Heavy metals and oil products</w:t>
      </w:r>
      <w:r w:rsidR="00397A3C" w:rsidRPr="00D95DBC">
        <w:rPr>
          <w:rFonts w:ascii="Times New Roman" w:hAnsi="Times New Roman"/>
          <w:color w:val="auto"/>
          <w:sz w:val="24"/>
          <w:szCs w:val="24"/>
          <w:lang w:eastAsia="ar-SA"/>
        </w:rPr>
        <w:t>.</w:t>
      </w:r>
    </w:p>
    <w:p w14:paraId="29C3ED42" w14:textId="77777777" w:rsidR="00397A3C" w:rsidRPr="00D95DBC" w:rsidRDefault="00397A3C" w:rsidP="00AE5B70">
      <w:pPr>
        <w:pStyle w:val="MDPI31text"/>
        <w:spacing w:line="360" w:lineRule="auto"/>
        <w:ind w:left="0" w:firstLine="0"/>
        <w:rPr>
          <w:rFonts w:ascii="Times New Roman" w:hAnsi="Times New Roman"/>
          <w:color w:val="auto"/>
          <w:sz w:val="24"/>
          <w:szCs w:val="24"/>
        </w:rPr>
      </w:pPr>
    </w:p>
    <w:p w14:paraId="107930D9" w14:textId="3F586E28" w:rsidR="00397A3C" w:rsidRPr="00D95DBC"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eastAsia="zh-CN"/>
        </w:rPr>
      </w:pPr>
      <w:r w:rsidRPr="00D95DBC">
        <w:rPr>
          <w:rFonts w:ascii="Times New Roman" w:hAnsi="Times New Roman"/>
          <w:color w:val="auto"/>
          <w:sz w:val="24"/>
          <w:szCs w:val="24"/>
          <w:lang w:eastAsia="zh-CN"/>
        </w:rPr>
        <w:t>INTRODUCTION</w:t>
      </w:r>
    </w:p>
    <w:p w14:paraId="549268F9" w14:textId="6A57B41D" w:rsidR="000701ED" w:rsidRPr="00D95DBC" w:rsidRDefault="000701ED" w:rsidP="000701ED">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Pollution with heavy metals and oil products has a long-term impact on both human health and the environment through toxic effects on plants, animals and birds (</w:t>
      </w:r>
      <w:proofErr w:type="spellStart"/>
      <w:r w:rsidR="00FE50D0" w:rsidRPr="00D95DBC">
        <w:rPr>
          <w:rFonts w:ascii="Times New Roman" w:hAnsi="Times New Roman"/>
          <w:color w:val="auto"/>
          <w:sz w:val="24"/>
          <w:szCs w:val="24"/>
          <w:shd w:val="clear" w:color="auto" w:fill="FFFFFF"/>
        </w:rPr>
        <w:t>Adekanmi</w:t>
      </w:r>
      <w:proofErr w:type="spellEnd"/>
      <w:r w:rsidRPr="00D95DBC">
        <w:rPr>
          <w:rFonts w:ascii="Times New Roman" w:hAnsi="Times New Roman"/>
          <w:color w:val="auto"/>
          <w:sz w:val="24"/>
          <w:szCs w:val="24"/>
          <w:shd w:val="clear" w:color="auto" w:fill="FFFFFF"/>
        </w:rPr>
        <w:t xml:space="preserve"> 2021; </w:t>
      </w:r>
      <w:proofErr w:type="spellStart"/>
      <w:r w:rsidRPr="00D95DBC">
        <w:rPr>
          <w:rFonts w:ascii="Times New Roman" w:hAnsi="Times New Roman"/>
          <w:color w:val="auto"/>
          <w:sz w:val="24"/>
          <w:szCs w:val="24"/>
          <w:shd w:val="clear" w:color="auto" w:fill="FFFFFF"/>
        </w:rPr>
        <w:t>Alengebawy</w:t>
      </w:r>
      <w:proofErr w:type="spellEnd"/>
      <w:r w:rsidRPr="00D95DBC">
        <w:rPr>
          <w:rFonts w:ascii="Times New Roman" w:hAnsi="Times New Roman"/>
          <w:color w:val="auto"/>
          <w:sz w:val="24"/>
          <w:szCs w:val="24"/>
          <w:shd w:val="clear" w:color="auto" w:fill="FFFFFF"/>
        </w:rPr>
        <w:t xml:space="preserve"> et al. 2021; </w:t>
      </w:r>
      <w:r w:rsidR="00CF2C79" w:rsidRPr="00D95DBC">
        <w:rPr>
          <w:rFonts w:ascii="Times New Roman" w:hAnsi="Times New Roman"/>
          <w:color w:val="auto"/>
          <w:sz w:val="24"/>
          <w:szCs w:val="24"/>
        </w:rPr>
        <w:t>Ore and</w:t>
      </w:r>
      <w:r w:rsidRPr="00D95DBC">
        <w:rPr>
          <w:rFonts w:ascii="Times New Roman" w:hAnsi="Times New Roman"/>
          <w:color w:val="auto"/>
          <w:sz w:val="24"/>
          <w:szCs w:val="24"/>
        </w:rPr>
        <w:t xml:space="preserve"> Adeola 2021; </w:t>
      </w:r>
      <w:proofErr w:type="spellStart"/>
      <w:r w:rsidR="004B4FB2" w:rsidRPr="00D95DBC">
        <w:rPr>
          <w:rFonts w:ascii="Times New Roman" w:hAnsi="Times New Roman"/>
          <w:color w:val="auto"/>
          <w:sz w:val="24"/>
          <w:szCs w:val="24"/>
          <w:shd w:val="clear" w:color="auto" w:fill="FFFFFF"/>
        </w:rPr>
        <w:t>Dyshlyuk</w:t>
      </w:r>
      <w:proofErr w:type="spellEnd"/>
      <w:r w:rsidR="004B4FB2" w:rsidRPr="00D95DBC">
        <w:rPr>
          <w:rFonts w:ascii="Times New Roman" w:hAnsi="Times New Roman"/>
          <w:color w:val="auto"/>
          <w:sz w:val="24"/>
          <w:szCs w:val="24"/>
          <w:shd w:val="clear" w:color="auto" w:fill="FFFFFF"/>
        </w:rPr>
        <w:t xml:space="preserve"> et al.</w:t>
      </w:r>
      <w:r w:rsidRPr="00D95DBC">
        <w:rPr>
          <w:rFonts w:ascii="Times New Roman" w:hAnsi="Times New Roman"/>
          <w:color w:val="auto"/>
          <w:sz w:val="24"/>
          <w:szCs w:val="24"/>
          <w:shd w:val="clear" w:color="auto" w:fill="FFFFFF"/>
        </w:rPr>
        <w:t xml:space="preserve"> 2020b</w:t>
      </w:r>
      <w:r w:rsidRPr="00D95DBC">
        <w:rPr>
          <w:rFonts w:ascii="Times New Roman" w:hAnsi="Times New Roman"/>
          <w:color w:val="auto"/>
          <w:sz w:val="24"/>
          <w:szCs w:val="24"/>
        </w:rPr>
        <w:t>). Industrial effluents and sometimes natural waters may contain toxic pollutants such as heavy metals (arsenic, cadmium, chromium, lead, mercury, etc.), oil products, pharmaceutical derivatives, etc. (</w:t>
      </w:r>
      <w:r w:rsidRPr="00D95DBC">
        <w:rPr>
          <w:rStyle w:val="af1"/>
          <w:rFonts w:ascii="Times New Roman" w:eastAsiaTheme="majorEastAsia" w:hAnsi="Times New Roman"/>
          <w:color w:val="auto"/>
          <w:sz w:val="24"/>
          <w:u w:val="none"/>
        </w:rPr>
        <w:t>Aziz</w:t>
      </w:r>
      <w:r w:rsidRPr="00D95DBC">
        <w:rPr>
          <w:rFonts w:ascii="Times New Roman" w:hAnsi="Times New Roman"/>
          <w:color w:val="auto"/>
          <w:sz w:val="24"/>
          <w:szCs w:val="24"/>
          <w:shd w:val="clear" w:color="auto" w:fill="FFFFFF"/>
        </w:rPr>
        <w:t xml:space="preserve"> et al. 2023; </w:t>
      </w:r>
      <w:proofErr w:type="spellStart"/>
      <w:r w:rsidRPr="00D95DBC">
        <w:rPr>
          <w:rFonts w:ascii="Times New Roman" w:hAnsi="Times New Roman"/>
          <w:color w:val="auto"/>
          <w:sz w:val="24"/>
          <w:szCs w:val="24"/>
          <w:shd w:val="clear" w:color="auto" w:fill="FFFFFF"/>
        </w:rPr>
        <w:t>Fulke</w:t>
      </w:r>
      <w:proofErr w:type="spellEnd"/>
      <w:r w:rsidRPr="00D95DBC">
        <w:rPr>
          <w:rFonts w:ascii="Times New Roman" w:hAnsi="Times New Roman"/>
          <w:color w:val="auto"/>
          <w:sz w:val="24"/>
          <w:szCs w:val="24"/>
          <w:shd w:val="clear" w:color="auto" w:fill="FFFFFF"/>
        </w:rPr>
        <w:t xml:space="preserve"> et al. 2024; Pandey </w:t>
      </w:r>
      <w:r w:rsidR="00EE0784" w:rsidRPr="00D95DBC">
        <w:rPr>
          <w:rFonts w:ascii="Times New Roman" w:hAnsi="Times New Roman"/>
          <w:color w:val="auto"/>
          <w:sz w:val="24"/>
          <w:szCs w:val="24"/>
          <w:shd w:val="clear" w:color="auto" w:fill="FFFFFF"/>
        </w:rPr>
        <w:t>and Kumari</w:t>
      </w:r>
      <w:r w:rsidRPr="00D95DBC">
        <w:rPr>
          <w:rFonts w:ascii="Times New Roman" w:hAnsi="Times New Roman"/>
          <w:color w:val="auto"/>
          <w:sz w:val="24"/>
          <w:szCs w:val="24"/>
          <w:shd w:val="clear" w:color="auto" w:fill="FFFFFF"/>
        </w:rPr>
        <w:t xml:space="preserve"> 2023</w:t>
      </w:r>
      <w:r w:rsidRPr="00D95DBC">
        <w:rPr>
          <w:rFonts w:ascii="Times New Roman" w:hAnsi="Times New Roman"/>
          <w:color w:val="auto"/>
          <w:sz w:val="24"/>
          <w:szCs w:val="24"/>
        </w:rPr>
        <w:t xml:space="preserve">). If ingested in excess of the permissible concentration, these components accumulate in the human body which leads to serious diseases. All these compounds must be removed from wastewater or natural water before being </w:t>
      </w:r>
      <w:r w:rsidRPr="00D95DBC">
        <w:rPr>
          <w:rFonts w:ascii="Times New Roman" w:hAnsi="Times New Roman"/>
          <w:color w:val="auto"/>
          <w:sz w:val="24"/>
          <w:szCs w:val="24"/>
        </w:rPr>
        <w:lastRenderedPageBreak/>
        <w:t xml:space="preserve">released into the environment and/or prior to use. </w:t>
      </w:r>
      <w:r w:rsidRPr="00D95DBC">
        <w:rPr>
          <w:rFonts w:ascii="Times New Roman" w:hAnsi="Times New Roman"/>
          <w:color w:val="auto"/>
          <w:sz w:val="24"/>
          <w:szCs w:val="24"/>
          <w:lang w:eastAsia="zh-CN"/>
        </w:rPr>
        <w:t>Pollution of the atmosphere with toxic compounds is currently the most dangerous form of environmental degradation in Russia. The environmental situation and emerging environmental problems in some areas of the Russian Federation are caused by local natural conditions as well as the nature of the impacts from industries, transportation, utilities, and agriculture. In general, the magnitude of air pollution relies on the degree of urbanization, anthropogenic modification of the terrain, and meteorological variables that affect the capacity for atmospheric pollution (</w:t>
      </w:r>
      <w:proofErr w:type="spellStart"/>
      <w:r w:rsidRPr="00D95DBC">
        <w:rPr>
          <w:rFonts w:ascii="Times New Roman" w:hAnsi="Times New Roman"/>
          <w:color w:val="auto"/>
          <w:sz w:val="24"/>
          <w:szCs w:val="24"/>
          <w:lang w:eastAsia="zh-CN"/>
        </w:rPr>
        <w:t>Bakaeva</w:t>
      </w:r>
      <w:proofErr w:type="spellEnd"/>
      <w:r w:rsidRPr="00D95DBC">
        <w:rPr>
          <w:rFonts w:ascii="Times New Roman" w:hAnsi="Times New Roman"/>
          <w:color w:val="auto"/>
          <w:sz w:val="24"/>
          <w:szCs w:val="24"/>
          <w:lang w:eastAsia="zh-CN"/>
        </w:rPr>
        <w:t xml:space="preserve"> </w:t>
      </w:r>
      <w:r w:rsidR="00861A6E" w:rsidRPr="00D95DBC">
        <w:rPr>
          <w:rFonts w:ascii="Times New Roman" w:hAnsi="Times New Roman"/>
          <w:color w:val="auto"/>
          <w:sz w:val="24"/>
          <w:szCs w:val="24"/>
          <w:lang w:eastAsia="zh-CN"/>
        </w:rPr>
        <w:t>and</w:t>
      </w:r>
      <w:r w:rsidRPr="00D95DBC">
        <w:rPr>
          <w:rFonts w:ascii="Times New Roman" w:hAnsi="Times New Roman"/>
          <w:color w:val="auto"/>
          <w:sz w:val="24"/>
          <w:szCs w:val="24"/>
          <w:lang w:eastAsia="zh-CN"/>
        </w:rPr>
        <w:t xml:space="preserve"> Le 2021). Another study showed that mining operations in the </w:t>
      </w:r>
      <w:proofErr w:type="spellStart"/>
      <w:r w:rsidRPr="00D95DBC">
        <w:rPr>
          <w:rFonts w:ascii="Times New Roman" w:hAnsi="Times New Roman"/>
          <w:color w:val="auto"/>
          <w:sz w:val="24"/>
          <w:szCs w:val="24"/>
          <w:lang w:eastAsia="zh-CN"/>
        </w:rPr>
        <w:t>Kovdorsky</w:t>
      </w:r>
      <w:proofErr w:type="spellEnd"/>
      <w:r w:rsidRPr="00D95DBC">
        <w:rPr>
          <w:rFonts w:ascii="Times New Roman" w:hAnsi="Times New Roman"/>
          <w:color w:val="auto"/>
          <w:sz w:val="24"/>
          <w:szCs w:val="24"/>
          <w:lang w:eastAsia="zh-CN"/>
        </w:rPr>
        <w:t xml:space="preserve"> District, Murmansk Oblast, have resulted in significant pollution of water, sediments, and soils, primarily due to manganese. This study evaluated geochemical changes from open-pit mining and predicted future environmental impacts influenced by industrial activity and climate instability. The study revealed dangerously high levels of toxic elements, especially manganese, which pose health risks through drinking water (Matveeva et al. 2022). According to Bobylev et al. (2023), an estimated 2.3 – 6.1% of Russia's GDP is spent on environmental harm to the country's population's health, which is mostly caused by pollution of the air and water.</w:t>
      </w:r>
    </w:p>
    <w:p w14:paraId="0FD1FD8A" w14:textId="05F37CEE" w:rsidR="000701ED" w:rsidRPr="00D95DBC" w:rsidRDefault="000701ED" w:rsidP="000701ED">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Traditional water purification methods include chemical precipitation, flocculation, </w:t>
      </w:r>
      <w:bookmarkStart w:id="0" w:name="bb0035"/>
      <w:r w:rsidRPr="00D95DBC">
        <w:rPr>
          <w:rFonts w:ascii="Times New Roman" w:hAnsi="Times New Roman"/>
          <w:color w:val="auto"/>
          <w:sz w:val="24"/>
          <w:szCs w:val="24"/>
        </w:rPr>
        <w:t>membrane filtration</w:t>
      </w:r>
      <w:bookmarkStart w:id="1" w:name="bb0040"/>
      <w:bookmarkEnd w:id="0"/>
      <w:r w:rsidRPr="00D95DBC">
        <w:rPr>
          <w:rFonts w:ascii="Times New Roman" w:hAnsi="Times New Roman"/>
          <w:color w:val="auto"/>
          <w:sz w:val="24"/>
          <w:szCs w:val="24"/>
        </w:rPr>
        <w:t>, adsorption</w:t>
      </w:r>
      <w:bookmarkEnd w:id="1"/>
      <w:r w:rsidRPr="00D95DBC">
        <w:rPr>
          <w:rFonts w:ascii="Times New Roman" w:hAnsi="Times New Roman"/>
          <w:color w:val="auto"/>
          <w:sz w:val="24"/>
          <w:szCs w:val="24"/>
        </w:rPr>
        <w:t>, etc. (</w:t>
      </w:r>
      <w:r w:rsidR="00FE50D0" w:rsidRPr="00D95DBC">
        <w:rPr>
          <w:rFonts w:ascii="Times New Roman" w:hAnsi="Times New Roman"/>
          <w:color w:val="auto"/>
          <w:sz w:val="24"/>
          <w:szCs w:val="24"/>
          <w:shd w:val="clear" w:color="auto" w:fill="FFFFFF"/>
        </w:rPr>
        <w:t>Abd El-Salam et al.</w:t>
      </w:r>
      <w:r w:rsidRPr="00D95DBC">
        <w:rPr>
          <w:rFonts w:ascii="Times New Roman" w:hAnsi="Times New Roman"/>
          <w:color w:val="auto"/>
          <w:sz w:val="24"/>
          <w:szCs w:val="24"/>
          <w:shd w:val="clear" w:color="auto" w:fill="FFFFFF"/>
        </w:rPr>
        <w:t xml:space="preserve"> 2017; </w:t>
      </w:r>
      <w:proofErr w:type="spellStart"/>
      <w:r w:rsidR="00FE50D0" w:rsidRPr="00D95DBC">
        <w:rPr>
          <w:rFonts w:ascii="Times New Roman" w:hAnsi="Times New Roman"/>
          <w:color w:val="auto"/>
          <w:sz w:val="24"/>
          <w:szCs w:val="24"/>
          <w:shd w:val="clear" w:color="auto" w:fill="FFFFFF"/>
        </w:rPr>
        <w:t>Ayach</w:t>
      </w:r>
      <w:proofErr w:type="spellEnd"/>
      <w:r w:rsidR="00FE50D0" w:rsidRPr="00D95DBC">
        <w:rPr>
          <w:rFonts w:ascii="Times New Roman" w:hAnsi="Times New Roman"/>
          <w:color w:val="auto"/>
          <w:sz w:val="24"/>
          <w:szCs w:val="24"/>
          <w:shd w:val="clear" w:color="auto" w:fill="FFFFFF"/>
        </w:rPr>
        <w:t xml:space="preserve"> et al.</w:t>
      </w:r>
      <w:r w:rsidRPr="00D95DBC">
        <w:rPr>
          <w:rFonts w:ascii="Times New Roman" w:hAnsi="Times New Roman"/>
          <w:color w:val="auto"/>
          <w:sz w:val="24"/>
          <w:szCs w:val="24"/>
          <w:shd w:val="clear" w:color="auto" w:fill="FFFFFF"/>
        </w:rPr>
        <w:t xml:space="preserve"> 2024</w:t>
      </w:r>
      <w:r w:rsidRPr="00D95DBC">
        <w:rPr>
          <w:rFonts w:ascii="Times New Roman" w:hAnsi="Times New Roman"/>
          <w:color w:val="auto"/>
          <w:sz w:val="24"/>
          <w:szCs w:val="24"/>
        </w:rPr>
        <w:t xml:space="preserve">). Adsorption technologies have a potential of being applied due to their sustainability, cost-effectiveness and high efficiency without formation of by-products </w:t>
      </w:r>
      <w:bookmarkStart w:id="2" w:name="bb0045"/>
      <w:r w:rsidRPr="00D95DBC">
        <w:rPr>
          <w:rFonts w:ascii="Times New Roman" w:hAnsi="Times New Roman"/>
          <w:color w:val="auto"/>
          <w:sz w:val="24"/>
          <w:szCs w:val="24"/>
        </w:rPr>
        <w:t>(</w:t>
      </w:r>
      <w:r w:rsidRPr="00D95DBC">
        <w:rPr>
          <w:rStyle w:val="af1"/>
          <w:rFonts w:ascii="Times New Roman" w:eastAsiaTheme="majorEastAsia" w:hAnsi="Times New Roman"/>
          <w:color w:val="auto"/>
          <w:sz w:val="24"/>
          <w:u w:val="none"/>
        </w:rPr>
        <w:t>Bonilla-</w:t>
      </w:r>
      <w:proofErr w:type="spellStart"/>
      <w:r w:rsidRPr="00D95DBC">
        <w:rPr>
          <w:rStyle w:val="af1"/>
          <w:rFonts w:ascii="Times New Roman" w:eastAsiaTheme="majorEastAsia" w:hAnsi="Times New Roman"/>
          <w:color w:val="auto"/>
          <w:sz w:val="24"/>
          <w:u w:val="none"/>
        </w:rPr>
        <w:t>Petriciolet</w:t>
      </w:r>
      <w:proofErr w:type="spellEnd"/>
      <w:r w:rsidR="00AB4AD8" w:rsidRPr="00D95DBC">
        <w:rPr>
          <w:rStyle w:val="af1"/>
          <w:rFonts w:ascii="Times New Roman" w:eastAsiaTheme="majorEastAsia" w:hAnsi="Times New Roman"/>
          <w:color w:val="auto"/>
          <w:sz w:val="24"/>
          <w:u w:val="none"/>
        </w:rPr>
        <w:t xml:space="preserve"> et al.</w:t>
      </w:r>
      <w:r w:rsidRPr="00D95DBC">
        <w:rPr>
          <w:rStyle w:val="af1"/>
          <w:rFonts w:ascii="Times New Roman" w:eastAsiaTheme="majorEastAsia" w:hAnsi="Times New Roman"/>
          <w:color w:val="auto"/>
          <w:sz w:val="24"/>
          <w:u w:val="none"/>
        </w:rPr>
        <w:t xml:space="preserve"> 2019; </w:t>
      </w:r>
      <w:r w:rsidR="00EE0784" w:rsidRPr="00D95DBC">
        <w:rPr>
          <w:rStyle w:val="af1"/>
          <w:rFonts w:ascii="Times New Roman" w:eastAsiaTheme="majorEastAsia" w:hAnsi="Times New Roman"/>
          <w:color w:val="auto"/>
          <w:sz w:val="24"/>
          <w:u w:val="none"/>
        </w:rPr>
        <w:t>Selvaraj et al.</w:t>
      </w:r>
      <w:r w:rsidRPr="00D95DBC">
        <w:rPr>
          <w:rStyle w:val="af1"/>
          <w:rFonts w:ascii="Times New Roman" w:eastAsiaTheme="majorEastAsia" w:hAnsi="Times New Roman"/>
          <w:color w:val="auto"/>
          <w:sz w:val="24"/>
          <w:u w:val="none"/>
        </w:rPr>
        <w:t xml:space="preserve"> 2020</w:t>
      </w:r>
      <w:r w:rsidRPr="00D95DBC">
        <w:rPr>
          <w:rFonts w:ascii="Times New Roman" w:hAnsi="Times New Roman"/>
          <w:color w:val="auto"/>
          <w:sz w:val="24"/>
          <w:szCs w:val="24"/>
        </w:rPr>
        <w:t>)</w:t>
      </w:r>
      <w:bookmarkEnd w:id="2"/>
      <w:r w:rsidRPr="00D95DBC">
        <w:rPr>
          <w:rFonts w:ascii="Times New Roman" w:hAnsi="Times New Roman"/>
          <w:color w:val="auto"/>
          <w:sz w:val="24"/>
          <w:szCs w:val="24"/>
        </w:rPr>
        <w:t xml:space="preserve">. According to </w:t>
      </w:r>
      <w:r w:rsidRPr="00D95DBC">
        <w:rPr>
          <w:rFonts w:ascii="Times New Roman" w:hAnsi="Times New Roman"/>
          <w:color w:val="auto"/>
          <w:sz w:val="24"/>
          <w:szCs w:val="24"/>
          <w:lang w:eastAsia="zh-CN"/>
        </w:rPr>
        <w:t>Tran (2023), by first treating sepiolite with acid-base (HCl and NaOH) and then impregnating it with FeCl</w:t>
      </w:r>
      <w:r w:rsidRPr="00D95DBC">
        <w:rPr>
          <w:rFonts w:ascii="Times New Roman" w:hAnsi="Times New Roman"/>
          <w:color w:val="auto"/>
          <w:sz w:val="24"/>
          <w:szCs w:val="24"/>
          <w:vertAlign w:val="subscript"/>
          <w:lang w:eastAsia="zh-CN"/>
        </w:rPr>
        <w:t>3</w:t>
      </w:r>
      <w:r w:rsidRPr="00D95DBC">
        <w:rPr>
          <w:rFonts w:ascii="Times New Roman" w:hAnsi="Times New Roman"/>
          <w:color w:val="auto"/>
          <w:sz w:val="24"/>
          <w:szCs w:val="24"/>
          <w:lang w:eastAsia="zh-CN"/>
        </w:rPr>
        <w:t>, scientist created a novel composite from a sepiolite mineral (magnesium-enriched silicate clay) which was used in adsorbing Antimony (Sb). He also reported that scientist applied utilized graphite to create magnetic graphene oxide (M-GO) and then used M-GO as an adsorbent to remove captopril from wastewater. The magnetic graphene oxide was synthesized using the co-precipitation technique of graphene oxide with FeCl</w:t>
      </w:r>
      <w:r w:rsidRPr="00D95DBC">
        <w:rPr>
          <w:rFonts w:ascii="Times New Roman" w:hAnsi="Times New Roman"/>
          <w:color w:val="auto"/>
          <w:sz w:val="24"/>
          <w:szCs w:val="24"/>
          <w:vertAlign w:val="subscript"/>
          <w:lang w:eastAsia="zh-CN"/>
        </w:rPr>
        <w:t>2</w:t>
      </w:r>
      <w:r w:rsidRPr="00D95DBC">
        <w:rPr>
          <w:rFonts w:ascii="Times New Roman" w:hAnsi="Times New Roman"/>
          <w:color w:val="auto"/>
          <w:sz w:val="24"/>
          <w:szCs w:val="24"/>
          <w:lang w:eastAsia="zh-CN"/>
        </w:rPr>
        <w:t xml:space="preserve"> at pH 9.0. Scientist also explored the use of machine learning to optimize and predict the quantity of phenol absorbed by commercially available powdered activated carbon in an aqueous solution. Studies also explored the use of natural clay, and algae and hydrophytes for bioremediation.</w:t>
      </w:r>
    </w:p>
    <w:p w14:paraId="05F84BE3" w14:textId="0BC7ED04" w:rsidR="000701ED" w:rsidRPr="00D95DBC" w:rsidRDefault="000701ED" w:rsidP="000701ED">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Different adsorbents (activated charcoal, ash, peat, alginate, chitosan, etc.) are used to remove heavy metals, dyes, and organic components (</w:t>
      </w:r>
      <w:proofErr w:type="spellStart"/>
      <w:r w:rsidRPr="00D95DBC">
        <w:rPr>
          <w:rStyle w:val="af1"/>
          <w:rFonts w:ascii="Times New Roman" w:eastAsiaTheme="majorEastAsia" w:hAnsi="Times New Roman"/>
          <w:color w:val="auto"/>
          <w:sz w:val="24"/>
          <w:u w:val="none"/>
        </w:rPr>
        <w:t>Ihsanullah</w:t>
      </w:r>
      <w:proofErr w:type="spellEnd"/>
      <w:r w:rsidRPr="00D95DBC">
        <w:rPr>
          <w:rStyle w:val="af1"/>
          <w:rFonts w:ascii="Times New Roman" w:eastAsiaTheme="majorEastAsia" w:hAnsi="Times New Roman"/>
          <w:color w:val="auto"/>
          <w:sz w:val="24"/>
          <w:u w:val="none"/>
        </w:rPr>
        <w:t xml:space="preserve"> et al. 2016; Selvaraj et al. 2020</w:t>
      </w:r>
      <w:r w:rsidRPr="00D95DBC">
        <w:rPr>
          <w:rFonts w:ascii="Times New Roman" w:hAnsi="Times New Roman"/>
          <w:color w:val="auto"/>
          <w:sz w:val="24"/>
          <w:szCs w:val="24"/>
        </w:rPr>
        <w:t>)</w:t>
      </w:r>
      <w:bookmarkStart w:id="3" w:name="bbib0020"/>
      <w:r w:rsidRPr="00D95DBC">
        <w:rPr>
          <w:rFonts w:ascii="Times New Roman" w:hAnsi="Times New Roman"/>
          <w:color w:val="auto"/>
          <w:sz w:val="24"/>
          <w:szCs w:val="24"/>
        </w:rPr>
        <w:t xml:space="preserve">. Activated charcoal is a popular adsorbent for extracting impurities from water. However, it is known that it either has a low adsorption capacity and removal efficiency, or it </w:t>
      </w:r>
      <w:r w:rsidRPr="00D95DBC">
        <w:rPr>
          <w:rFonts w:ascii="Times New Roman" w:hAnsi="Times New Roman"/>
          <w:color w:val="auto"/>
          <w:sz w:val="24"/>
          <w:szCs w:val="24"/>
        </w:rPr>
        <w:lastRenderedPageBreak/>
        <w:t xml:space="preserve">is difficult to regenerate. There is a constant ongoing search for new adsorbent materials that are free of these issues. </w:t>
      </w:r>
    </w:p>
    <w:p w14:paraId="2183F226" w14:textId="59F58A61" w:rsidR="000701ED" w:rsidRPr="00D95DBC" w:rsidRDefault="000701ED" w:rsidP="000701ED">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Some progress has been made in the use of various nanomaterials immobilized on a solid adsorbent (carbon carrier, for example, activated charcoal),</w:t>
      </w:r>
      <w:bookmarkStart w:id="4" w:name="bbb0125"/>
      <w:bookmarkStart w:id="5" w:name="bbb0135"/>
      <w:bookmarkStart w:id="6" w:name="bbb0120"/>
      <w:bookmarkStart w:id="7" w:name="bbb0130"/>
      <w:r w:rsidRPr="00D95DBC">
        <w:rPr>
          <w:rFonts w:ascii="Times New Roman" w:hAnsi="Times New Roman"/>
          <w:color w:val="auto"/>
          <w:sz w:val="24"/>
          <w:szCs w:val="24"/>
        </w:rPr>
        <w:t xml:space="preserve"> which initially concentrate many harmful substances on their surface (</w:t>
      </w:r>
      <w:r w:rsidRPr="00D95DBC">
        <w:rPr>
          <w:rStyle w:val="af1"/>
          <w:rFonts w:ascii="Times New Roman" w:eastAsiaTheme="majorEastAsia" w:hAnsi="Times New Roman"/>
          <w:color w:val="auto"/>
          <w:sz w:val="24"/>
          <w:u w:val="none"/>
        </w:rPr>
        <w:t>Pal</w:t>
      </w:r>
      <w:r w:rsidR="00EE0784" w:rsidRPr="00D95DBC">
        <w:rPr>
          <w:rFonts w:ascii="Times New Roman" w:hAnsi="Times New Roman"/>
          <w:color w:val="auto"/>
          <w:sz w:val="24"/>
          <w:szCs w:val="24"/>
        </w:rPr>
        <w:t xml:space="preserve"> et al. 2020; Wu et al.</w:t>
      </w:r>
      <w:r w:rsidRPr="00D95DBC">
        <w:rPr>
          <w:rFonts w:ascii="Times New Roman" w:hAnsi="Times New Roman"/>
          <w:color w:val="auto"/>
          <w:sz w:val="24"/>
          <w:szCs w:val="24"/>
        </w:rPr>
        <w:t xml:space="preserve"> 2019)</w:t>
      </w:r>
      <w:bookmarkEnd w:id="4"/>
      <w:bookmarkEnd w:id="5"/>
      <w:r w:rsidRPr="00D95DBC">
        <w:rPr>
          <w:rFonts w:ascii="Times New Roman" w:hAnsi="Times New Roman"/>
          <w:color w:val="auto"/>
          <w:sz w:val="24"/>
          <w:szCs w:val="24"/>
        </w:rPr>
        <w:t xml:space="preserve">. Metal nanoparticles are often included in the hydrocarbon carrier as potential and cost-effective </w:t>
      </w:r>
      <w:proofErr w:type="spellStart"/>
      <w:r w:rsidRPr="00D95DBC">
        <w:rPr>
          <w:rFonts w:ascii="Times New Roman" w:hAnsi="Times New Roman"/>
          <w:color w:val="auto"/>
          <w:sz w:val="24"/>
          <w:szCs w:val="24"/>
        </w:rPr>
        <w:t>nanoadsorbents</w:t>
      </w:r>
      <w:proofErr w:type="spellEnd"/>
      <w:r w:rsidRPr="00D95DBC">
        <w:rPr>
          <w:rFonts w:ascii="Times New Roman" w:hAnsi="Times New Roman"/>
          <w:color w:val="auto"/>
          <w:sz w:val="24"/>
          <w:szCs w:val="24"/>
        </w:rPr>
        <w:t>/catalysts. Precipitation and loading of nanoparticles on activated charcoal increase the reactive center and adsorption capacity (</w:t>
      </w:r>
      <w:r w:rsidR="004B4FB2" w:rsidRPr="00D95DBC">
        <w:rPr>
          <w:rStyle w:val="af1"/>
          <w:rFonts w:ascii="Times New Roman" w:eastAsiaTheme="majorEastAsia" w:hAnsi="Times New Roman"/>
          <w:color w:val="auto"/>
          <w:sz w:val="24"/>
          <w:u w:val="none"/>
        </w:rPr>
        <w:t>Louis et al.</w:t>
      </w:r>
      <w:r w:rsidRPr="00D95DBC">
        <w:rPr>
          <w:rStyle w:val="af1"/>
          <w:rFonts w:ascii="Times New Roman" w:eastAsiaTheme="majorEastAsia" w:hAnsi="Times New Roman"/>
          <w:color w:val="auto"/>
          <w:sz w:val="24"/>
          <w:u w:val="none"/>
        </w:rPr>
        <w:t xml:space="preserve"> 2023</w:t>
      </w:r>
      <w:r w:rsidRPr="00D95DBC">
        <w:rPr>
          <w:rFonts w:ascii="Times New Roman" w:hAnsi="Times New Roman"/>
          <w:color w:val="auto"/>
          <w:sz w:val="24"/>
          <w:szCs w:val="24"/>
        </w:rPr>
        <w:t xml:space="preserve">). </w:t>
      </w:r>
      <w:bookmarkStart w:id="8" w:name="bbib0355"/>
      <w:r w:rsidRPr="00D95DBC">
        <w:rPr>
          <w:rFonts w:ascii="Times New Roman" w:hAnsi="Times New Roman"/>
          <w:color w:val="auto"/>
          <w:sz w:val="24"/>
          <w:szCs w:val="24"/>
        </w:rPr>
        <w:t>Various extraction tests have shown that heavy metals are firmly retained in sorbents based on low-grade coal (</w:t>
      </w:r>
      <w:proofErr w:type="spellStart"/>
      <w:r w:rsidR="0066075A" w:rsidRPr="00D95DBC">
        <w:rPr>
          <w:rFonts w:ascii="Times New Roman" w:hAnsi="Times New Roman"/>
          <w:color w:val="auto"/>
          <w:sz w:val="24"/>
          <w:szCs w:val="24"/>
          <w:shd w:val="clear" w:color="auto" w:fill="FFFFFF"/>
        </w:rPr>
        <w:t>Janoš</w:t>
      </w:r>
      <w:proofErr w:type="spellEnd"/>
      <w:r w:rsidR="0066075A" w:rsidRPr="00D95DBC">
        <w:rPr>
          <w:rFonts w:ascii="Times New Roman" w:hAnsi="Times New Roman"/>
          <w:color w:val="auto"/>
          <w:sz w:val="24"/>
          <w:szCs w:val="24"/>
          <w:shd w:val="clear" w:color="auto" w:fill="FFFFFF"/>
        </w:rPr>
        <w:t xml:space="preserve"> et al.</w:t>
      </w:r>
      <w:r w:rsidRPr="00D95DBC">
        <w:rPr>
          <w:rFonts w:ascii="Times New Roman" w:hAnsi="Times New Roman"/>
          <w:color w:val="auto"/>
          <w:sz w:val="24"/>
          <w:szCs w:val="24"/>
          <w:shd w:val="clear" w:color="auto" w:fill="FFFFFF"/>
        </w:rPr>
        <w:t xml:space="preserve"> 2007</w:t>
      </w:r>
      <w:r w:rsidRPr="00D95DBC">
        <w:rPr>
          <w:rFonts w:ascii="Times New Roman" w:hAnsi="Times New Roman"/>
          <w:color w:val="auto"/>
          <w:sz w:val="24"/>
          <w:szCs w:val="24"/>
        </w:rPr>
        <w:t>)</w:t>
      </w:r>
      <w:bookmarkEnd w:id="8"/>
      <w:r w:rsidRPr="00D95DBC">
        <w:rPr>
          <w:rFonts w:ascii="Times New Roman" w:hAnsi="Times New Roman"/>
          <w:color w:val="auto"/>
          <w:sz w:val="24"/>
          <w:szCs w:val="24"/>
        </w:rPr>
        <w:t xml:space="preserve">. Any cheap material with a high carbon content and a relatively low ash content can be used as a raw material for the production of activated charcoal </w:t>
      </w:r>
      <w:bookmarkStart w:id="9" w:name="bbib0670"/>
      <w:r w:rsidRPr="00D95DBC">
        <w:rPr>
          <w:rFonts w:ascii="Times New Roman" w:hAnsi="Times New Roman"/>
          <w:color w:val="auto"/>
          <w:sz w:val="24"/>
          <w:szCs w:val="24"/>
        </w:rPr>
        <w:t>(</w:t>
      </w:r>
      <w:proofErr w:type="spellStart"/>
      <w:r w:rsidRPr="00D95DBC">
        <w:rPr>
          <w:rFonts w:ascii="Times New Roman" w:hAnsi="Times New Roman"/>
          <w:color w:val="auto"/>
          <w:sz w:val="24"/>
          <w:szCs w:val="24"/>
          <w:shd w:val="clear" w:color="auto" w:fill="FFFFFF"/>
        </w:rPr>
        <w:t>Simate</w:t>
      </w:r>
      <w:proofErr w:type="spellEnd"/>
      <w:r w:rsidRPr="00D95DBC">
        <w:rPr>
          <w:rFonts w:ascii="Times New Roman" w:hAnsi="Times New Roman"/>
          <w:color w:val="auto"/>
          <w:sz w:val="24"/>
          <w:szCs w:val="24"/>
          <w:shd w:val="clear" w:color="auto" w:fill="FFFFFF"/>
        </w:rPr>
        <w:t xml:space="preserve"> et al. 2016</w:t>
      </w:r>
      <w:r w:rsidRPr="00D95DBC">
        <w:rPr>
          <w:rFonts w:ascii="Times New Roman" w:hAnsi="Times New Roman"/>
          <w:color w:val="auto"/>
          <w:sz w:val="24"/>
          <w:szCs w:val="24"/>
        </w:rPr>
        <w:t>)</w:t>
      </w:r>
      <w:bookmarkEnd w:id="9"/>
      <w:r w:rsidRPr="00D95DBC">
        <w:rPr>
          <w:rFonts w:ascii="Times New Roman" w:hAnsi="Times New Roman"/>
          <w:color w:val="auto"/>
          <w:sz w:val="24"/>
          <w:szCs w:val="24"/>
        </w:rPr>
        <w:t xml:space="preserve">. Therefore, it is particularly interesting to create sorption-catalytic materials from coal mining waste in which metal nanoparticles (of silver, gold, platinum, etc.) determine the unique properties and multifunctionality </w:t>
      </w:r>
      <w:bookmarkStart w:id="10" w:name="bb0050"/>
      <w:r w:rsidRPr="00D95DBC">
        <w:rPr>
          <w:rFonts w:ascii="Times New Roman" w:hAnsi="Times New Roman"/>
          <w:color w:val="auto"/>
          <w:sz w:val="24"/>
          <w:szCs w:val="24"/>
        </w:rPr>
        <w:t>(</w:t>
      </w:r>
      <w:proofErr w:type="spellStart"/>
      <w:r w:rsidRPr="00D95DBC">
        <w:rPr>
          <w:rStyle w:val="af1"/>
          <w:rFonts w:ascii="Times New Roman" w:eastAsiaTheme="majorEastAsia" w:hAnsi="Times New Roman"/>
          <w:color w:val="auto"/>
          <w:sz w:val="24"/>
          <w:u w:val="none"/>
          <w:shd w:val="clear" w:color="auto" w:fill="FFFFFF"/>
        </w:rPr>
        <w:t>Dastkhoon</w:t>
      </w:r>
      <w:proofErr w:type="spellEnd"/>
      <w:r w:rsidR="004B4FB2" w:rsidRPr="00D95DBC">
        <w:rPr>
          <w:rStyle w:val="af1"/>
          <w:rFonts w:ascii="Times New Roman" w:eastAsiaTheme="majorEastAsia" w:hAnsi="Times New Roman"/>
          <w:color w:val="auto"/>
          <w:sz w:val="24"/>
          <w:u w:val="none"/>
        </w:rPr>
        <w:t xml:space="preserve"> et al.</w:t>
      </w:r>
      <w:r w:rsidRPr="00D95DBC">
        <w:rPr>
          <w:rStyle w:val="af1"/>
          <w:rFonts w:ascii="Times New Roman" w:eastAsiaTheme="majorEastAsia" w:hAnsi="Times New Roman"/>
          <w:color w:val="auto"/>
          <w:sz w:val="24"/>
          <w:u w:val="none"/>
        </w:rPr>
        <w:t xml:space="preserve"> 2017; </w:t>
      </w:r>
      <w:proofErr w:type="spellStart"/>
      <w:r w:rsidRPr="00D95DBC">
        <w:rPr>
          <w:rStyle w:val="af1"/>
          <w:rFonts w:ascii="Times New Roman" w:eastAsiaTheme="majorEastAsia" w:hAnsi="Times New Roman"/>
          <w:color w:val="auto"/>
          <w:sz w:val="24"/>
          <w:u w:val="none"/>
        </w:rPr>
        <w:t>Dil</w:t>
      </w:r>
      <w:proofErr w:type="spellEnd"/>
      <w:r w:rsidR="004B4FB2" w:rsidRPr="00D95DBC">
        <w:rPr>
          <w:rStyle w:val="af1"/>
          <w:rFonts w:ascii="Times New Roman" w:eastAsiaTheme="majorEastAsia" w:hAnsi="Times New Roman"/>
          <w:color w:val="auto"/>
          <w:sz w:val="24"/>
          <w:u w:val="none"/>
        </w:rPr>
        <w:t xml:space="preserve"> et al.</w:t>
      </w:r>
      <w:r w:rsidRPr="00D95DBC">
        <w:rPr>
          <w:rStyle w:val="af1"/>
          <w:rFonts w:ascii="Times New Roman" w:eastAsiaTheme="majorEastAsia" w:hAnsi="Times New Roman"/>
          <w:color w:val="auto"/>
          <w:sz w:val="24"/>
          <w:u w:val="none"/>
        </w:rPr>
        <w:t xml:space="preserve"> 2017; </w:t>
      </w:r>
      <w:proofErr w:type="spellStart"/>
      <w:r w:rsidR="004B4FB2" w:rsidRPr="00D95DBC">
        <w:rPr>
          <w:rStyle w:val="af1"/>
          <w:rFonts w:ascii="Times New Roman" w:eastAsiaTheme="majorEastAsia" w:hAnsi="Times New Roman"/>
          <w:color w:val="auto"/>
          <w:sz w:val="24"/>
          <w:u w:val="none"/>
          <w:shd w:val="clear" w:color="auto" w:fill="FFFFFF"/>
        </w:rPr>
        <w:t>Dyshlyuk</w:t>
      </w:r>
      <w:proofErr w:type="spellEnd"/>
      <w:r w:rsidR="004B4FB2" w:rsidRPr="00D95DBC">
        <w:rPr>
          <w:rStyle w:val="af1"/>
          <w:rFonts w:ascii="Times New Roman" w:eastAsiaTheme="majorEastAsia" w:hAnsi="Times New Roman"/>
          <w:color w:val="auto"/>
          <w:sz w:val="24"/>
          <w:u w:val="none"/>
          <w:shd w:val="clear" w:color="auto" w:fill="FFFFFF"/>
        </w:rPr>
        <w:t xml:space="preserve"> et al.</w:t>
      </w:r>
      <w:r w:rsidRPr="00D95DBC">
        <w:rPr>
          <w:rStyle w:val="af1"/>
          <w:rFonts w:ascii="Times New Roman" w:eastAsiaTheme="majorEastAsia" w:hAnsi="Times New Roman"/>
          <w:color w:val="auto"/>
          <w:sz w:val="24"/>
          <w:u w:val="none"/>
          <w:shd w:val="clear" w:color="auto" w:fill="FFFFFF"/>
        </w:rPr>
        <w:t xml:space="preserve"> 2020a</w:t>
      </w:r>
      <w:r w:rsidRPr="00D95DBC">
        <w:rPr>
          <w:rFonts w:ascii="Times New Roman" w:hAnsi="Times New Roman"/>
          <w:color w:val="auto"/>
          <w:sz w:val="24"/>
          <w:szCs w:val="24"/>
        </w:rPr>
        <w:t>)</w:t>
      </w:r>
      <w:bookmarkEnd w:id="10"/>
      <w:r w:rsidRPr="00D95DBC">
        <w:rPr>
          <w:rFonts w:ascii="Times New Roman" w:hAnsi="Times New Roman"/>
          <w:color w:val="auto"/>
          <w:sz w:val="24"/>
          <w:szCs w:val="24"/>
        </w:rPr>
        <w:t>. However, it is necessary to establish appropriate technological conditions for higher sorption efficiency (</w:t>
      </w:r>
      <w:r w:rsidR="00FE50D0" w:rsidRPr="00D95DBC">
        <w:rPr>
          <w:rFonts w:ascii="Times New Roman" w:hAnsi="Times New Roman"/>
          <w:color w:val="auto"/>
          <w:sz w:val="24"/>
          <w:szCs w:val="24"/>
          <w:shd w:val="clear" w:color="auto" w:fill="FFFFFF"/>
        </w:rPr>
        <w:t>Abd El-Salam et al.</w:t>
      </w:r>
      <w:r w:rsidRPr="00D95DBC">
        <w:rPr>
          <w:rFonts w:ascii="Times New Roman" w:hAnsi="Times New Roman"/>
          <w:color w:val="auto"/>
          <w:sz w:val="24"/>
          <w:szCs w:val="24"/>
          <w:shd w:val="clear" w:color="auto" w:fill="FFFFFF"/>
        </w:rPr>
        <w:t xml:space="preserve"> 2017; </w:t>
      </w:r>
      <w:r w:rsidRPr="00D95DBC">
        <w:rPr>
          <w:rStyle w:val="af1"/>
          <w:rFonts w:ascii="Times New Roman" w:eastAsiaTheme="majorEastAsia" w:hAnsi="Times New Roman"/>
          <w:color w:val="auto"/>
          <w:sz w:val="24"/>
          <w:u w:val="none"/>
          <w:shd w:val="clear" w:color="auto" w:fill="FFFFFF"/>
        </w:rPr>
        <w:t xml:space="preserve">Park et al. 2019; </w:t>
      </w:r>
      <w:proofErr w:type="spellStart"/>
      <w:r w:rsidRPr="00D95DBC">
        <w:rPr>
          <w:rStyle w:val="af1"/>
          <w:rFonts w:ascii="Times New Roman" w:eastAsiaTheme="majorEastAsia" w:hAnsi="Times New Roman"/>
          <w:color w:val="auto"/>
          <w:sz w:val="24"/>
          <w:u w:val="none"/>
          <w:shd w:val="clear" w:color="auto" w:fill="FFFFFF"/>
        </w:rPr>
        <w:t>Queraltó</w:t>
      </w:r>
      <w:proofErr w:type="spellEnd"/>
      <w:r w:rsidRPr="00D95DBC">
        <w:rPr>
          <w:rStyle w:val="af1"/>
          <w:rFonts w:ascii="Times New Roman" w:eastAsiaTheme="majorEastAsia" w:hAnsi="Times New Roman"/>
          <w:color w:val="auto"/>
          <w:sz w:val="24"/>
          <w:u w:val="none"/>
          <w:shd w:val="clear" w:color="auto" w:fill="FFFFFF"/>
        </w:rPr>
        <w:t xml:space="preserve"> et al. 2018</w:t>
      </w:r>
      <w:r w:rsidRPr="00D95DBC">
        <w:rPr>
          <w:rFonts w:ascii="Times New Roman" w:hAnsi="Times New Roman"/>
          <w:color w:val="auto"/>
          <w:sz w:val="24"/>
          <w:szCs w:val="24"/>
        </w:rPr>
        <w:t xml:space="preserve">). Nanoparticles are also relevant as remediators, they can be used to perform photocatalysis and disinfection on pollutants of diverse and concentration. They also play roles as disinfectants since they are not time-consuming, easy to use, have less toxicity, and have a wide range of antimicrobial activities. Nanoparticles can also be used in magnetic separation to remove solids, heavy metals, dyes </w:t>
      </w:r>
      <w:proofErr w:type="spellStart"/>
      <w:r w:rsidRPr="00D95DBC">
        <w:rPr>
          <w:rFonts w:ascii="Times New Roman" w:hAnsi="Times New Roman"/>
          <w:color w:val="auto"/>
          <w:sz w:val="24"/>
          <w:szCs w:val="24"/>
        </w:rPr>
        <w:t>etc</w:t>
      </w:r>
      <w:proofErr w:type="spellEnd"/>
      <w:r w:rsidRPr="00D95DBC">
        <w:rPr>
          <w:rFonts w:ascii="Times New Roman" w:hAnsi="Times New Roman"/>
          <w:color w:val="auto"/>
          <w:sz w:val="24"/>
          <w:szCs w:val="24"/>
        </w:rPr>
        <w:t xml:space="preserve"> </w:t>
      </w:r>
      <w:r w:rsidRPr="00D95DBC">
        <w:rPr>
          <w:rFonts w:ascii="Times New Roman" w:hAnsi="Times New Roman"/>
          <w:color w:val="auto"/>
          <w:sz w:val="24"/>
          <w:szCs w:val="24"/>
          <w:lang w:eastAsia="zh-CN"/>
        </w:rPr>
        <w:t>(</w:t>
      </w:r>
      <w:r w:rsidR="00861A6E" w:rsidRPr="00D95DBC">
        <w:rPr>
          <w:rFonts w:ascii="Times New Roman" w:hAnsi="Times New Roman"/>
          <w:color w:val="auto"/>
          <w:sz w:val="24"/>
          <w:szCs w:val="24"/>
          <w:lang w:eastAsia="zh-CN"/>
        </w:rPr>
        <w:t>Azeez et al.</w:t>
      </w:r>
      <w:r w:rsidRPr="00D95DBC">
        <w:rPr>
          <w:rFonts w:ascii="Times New Roman" w:hAnsi="Times New Roman"/>
          <w:color w:val="auto"/>
          <w:sz w:val="24"/>
          <w:szCs w:val="24"/>
          <w:lang w:eastAsia="zh-CN"/>
        </w:rPr>
        <w:t xml:space="preserve"> 2023)</w:t>
      </w:r>
      <w:r w:rsidRPr="00D95DBC">
        <w:rPr>
          <w:rFonts w:ascii="Times New Roman" w:hAnsi="Times New Roman"/>
          <w:color w:val="auto"/>
          <w:sz w:val="24"/>
          <w:szCs w:val="24"/>
        </w:rPr>
        <w:t>. Among noble metals, silver nanoparticles (</w:t>
      </w:r>
      <w:proofErr w:type="spellStart"/>
      <w:r w:rsidRPr="00D95DBC">
        <w:rPr>
          <w:rFonts w:ascii="Times New Roman" w:hAnsi="Times New Roman"/>
          <w:color w:val="auto"/>
          <w:sz w:val="24"/>
          <w:szCs w:val="24"/>
        </w:rPr>
        <w:t>AgNPs</w:t>
      </w:r>
      <w:proofErr w:type="spellEnd"/>
      <w:r w:rsidRPr="00D95DBC">
        <w:rPr>
          <w:rFonts w:ascii="Times New Roman" w:hAnsi="Times New Roman"/>
          <w:color w:val="auto"/>
          <w:sz w:val="24"/>
          <w:szCs w:val="24"/>
        </w:rPr>
        <w:t xml:space="preserve">) are particularly promising for water purification composites due to their strong antimicrobial properties, high surface-to-volume ratio, and proven efficacy in catalytic oxidation processes. The incorporation of </w:t>
      </w:r>
      <w:proofErr w:type="spellStart"/>
      <w:r w:rsidRPr="00D95DBC">
        <w:rPr>
          <w:rFonts w:ascii="Times New Roman" w:hAnsi="Times New Roman"/>
          <w:color w:val="auto"/>
          <w:sz w:val="24"/>
          <w:szCs w:val="24"/>
        </w:rPr>
        <w:t>AgNPs</w:t>
      </w:r>
      <w:proofErr w:type="spellEnd"/>
      <w:r w:rsidRPr="00D95DBC">
        <w:rPr>
          <w:rFonts w:ascii="Times New Roman" w:hAnsi="Times New Roman"/>
          <w:color w:val="auto"/>
          <w:sz w:val="24"/>
          <w:szCs w:val="24"/>
        </w:rPr>
        <w:t xml:space="preserve"> into a carbon matrix can create a multifunctional sorbent capable of not only adsorbing contaminants but also catalytically degrading organic pollutants and inhibiting biofilm formation on the sorbent surface, which is a common issue that reduces the longevity of filtration systems. The catalytic activity of silver is highly dependent on its size, shape, and dispersion within the carrier matrix.</w:t>
      </w:r>
    </w:p>
    <w:bookmarkEnd w:id="3"/>
    <w:bookmarkEnd w:id="6"/>
    <w:bookmarkEnd w:id="7"/>
    <w:p w14:paraId="74F39E19" w14:textId="348E9ACF" w:rsidR="00397A3C" w:rsidRPr="00D95DBC" w:rsidRDefault="000701ED" w:rsidP="000701ED">
      <w:pPr>
        <w:pStyle w:val="MDPI31text"/>
        <w:spacing w:line="360" w:lineRule="auto"/>
        <w:ind w:left="0" w:firstLine="567"/>
        <w:rPr>
          <w:color w:val="auto"/>
          <w:szCs w:val="24"/>
        </w:rPr>
      </w:pPr>
      <w:r w:rsidRPr="00D95DBC">
        <w:rPr>
          <w:rFonts w:ascii="Times New Roman" w:hAnsi="Times New Roman"/>
          <w:color w:val="auto"/>
          <w:sz w:val="24"/>
          <w:szCs w:val="24"/>
          <w:lang w:eastAsia="zh-CN"/>
        </w:rPr>
        <w:t xml:space="preserve">Few studies have systematically examined the development, characterization, and use of sorption-catalytic materials made directly from unprocessed coal washing waste and functionalized with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despite the fact that prior research has examined the use of coal for adsorption or the use of </w:t>
      </w:r>
      <w:proofErr w:type="spellStart"/>
      <w:r w:rsidRPr="00D95DBC">
        <w:rPr>
          <w:rFonts w:ascii="Times New Roman" w:hAnsi="Times New Roman"/>
          <w:color w:val="auto"/>
          <w:sz w:val="24"/>
          <w:szCs w:val="24"/>
          <w:lang w:eastAsia="zh-CN"/>
        </w:rPr>
        <w:t>nanosilver</w:t>
      </w:r>
      <w:proofErr w:type="spellEnd"/>
      <w:r w:rsidRPr="00D95DBC">
        <w:rPr>
          <w:rFonts w:ascii="Times New Roman" w:hAnsi="Times New Roman"/>
          <w:color w:val="auto"/>
          <w:sz w:val="24"/>
          <w:szCs w:val="24"/>
          <w:lang w:eastAsia="zh-CN"/>
        </w:rPr>
        <w:t xml:space="preserve"> on commercial activated carbon (Ahmed et al. 2022). </w:t>
      </w:r>
      <w:r w:rsidRPr="00D95DBC">
        <w:rPr>
          <w:rFonts w:ascii="Times New Roman" w:hAnsi="Times New Roman"/>
          <w:color w:val="auto"/>
          <w:sz w:val="24"/>
          <w:szCs w:val="24"/>
        </w:rPr>
        <w:t xml:space="preserve">This work aims to evaluate the potential of carbon structures modified with </w:t>
      </w:r>
      <w:proofErr w:type="spellStart"/>
      <w:r w:rsidRPr="00D95DBC">
        <w:rPr>
          <w:rFonts w:ascii="Times New Roman" w:hAnsi="Times New Roman"/>
          <w:color w:val="auto"/>
          <w:sz w:val="24"/>
          <w:szCs w:val="24"/>
        </w:rPr>
        <w:t>nanosilver</w:t>
      </w:r>
      <w:proofErr w:type="spellEnd"/>
      <w:r w:rsidRPr="00D95DBC">
        <w:rPr>
          <w:rFonts w:ascii="Times New Roman" w:hAnsi="Times New Roman"/>
          <w:color w:val="auto"/>
          <w:sz w:val="24"/>
          <w:szCs w:val="24"/>
        </w:rPr>
        <w:t xml:space="preserve"> to purify natural and waste water from heavy metal ions and oil products</w:t>
      </w:r>
      <w:r w:rsidR="00397A3C" w:rsidRPr="00D95DBC">
        <w:rPr>
          <w:color w:val="auto"/>
          <w:szCs w:val="24"/>
        </w:rPr>
        <w:t>.</w:t>
      </w:r>
    </w:p>
    <w:p w14:paraId="41052CB4" w14:textId="77777777" w:rsidR="00397A3C" w:rsidRPr="00D95DBC" w:rsidRDefault="00397A3C" w:rsidP="000701ED">
      <w:pPr>
        <w:pStyle w:val="MDPI31text"/>
        <w:spacing w:line="360" w:lineRule="auto"/>
        <w:ind w:left="0" w:firstLine="567"/>
        <w:rPr>
          <w:rFonts w:ascii="Times New Roman" w:hAnsi="Times New Roman"/>
          <w:b/>
          <w:color w:val="auto"/>
          <w:sz w:val="24"/>
          <w:szCs w:val="24"/>
          <w:lang w:eastAsia="zh-CN"/>
        </w:rPr>
      </w:pPr>
    </w:p>
    <w:p w14:paraId="7E90C689" w14:textId="0664F94D" w:rsidR="00397A3C" w:rsidRPr="00D95DBC"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D95DBC">
        <w:rPr>
          <w:rFonts w:ascii="Times New Roman" w:hAnsi="Times New Roman"/>
          <w:color w:val="auto"/>
          <w:sz w:val="24"/>
          <w:szCs w:val="24"/>
        </w:rPr>
        <w:t>MATERIALS AND METHODS</w:t>
      </w:r>
    </w:p>
    <w:p w14:paraId="6B0E642F" w14:textId="7A6374E2" w:rsidR="000701ED" w:rsidRPr="00D95DBC" w:rsidRDefault="000701ED" w:rsidP="000701ED">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D95DBC">
        <w:rPr>
          <w:rFonts w:ascii="Times New Roman" w:hAnsi="Times New Roman"/>
          <w:b/>
          <w:i w:val="0"/>
          <w:color w:val="auto"/>
          <w:sz w:val="24"/>
          <w:szCs w:val="24"/>
        </w:rPr>
        <w:t>Materials</w:t>
      </w:r>
    </w:p>
    <w:p w14:paraId="2226589C"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Five samples of sorption-catalytic materials which composition is presented in Table 1 were the objects of the research. A suspension of coal waste (10.0 wt. %) and Ag nanoparticles (0.25 wt. %) was prepared in polydimethylsiloxane and </w:t>
      </w:r>
      <w:proofErr w:type="spellStart"/>
      <w:r w:rsidRPr="00D95DBC">
        <w:rPr>
          <w:rFonts w:ascii="Times New Roman" w:hAnsi="Times New Roman"/>
          <w:color w:val="auto"/>
          <w:sz w:val="24"/>
        </w:rPr>
        <w:t>dimethylsulfoxide</w:t>
      </w:r>
      <w:proofErr w:type="spellEnd"/>
      <w:r w:rsidRPr="00D95DBC">
        <w:rPr>
          <w:rFonts w:ascii="Times New Roman" w:hAnsi="Times New Roman"/>
          <w:color w:val="auto"/>
          <w:sz w:val="24"/>
        </w:rPr>
        <w:t>. The resulting suspensions were irradiated with infrared light at a wavelength of 1200 nm for 60 min.</w:t>
      </w:r>
    </w:p>
    <w:p w14:paraId="34222420"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Coal-washing waste provided by coal processing facilities in Kemerovo region in years 2018-2019: I – filter press mud (</w:t>
      </w:r>
      <w:proofErr w:type="spellStart"/>
      <w:r w:rsidRPr="00D95DBC">
        <w:rPr>
          <w:rFonts w:ascii="Times New Roman" w:hAnsi="Times New Roman"/>
          <w:color w:val="auto"/>
          <w:sz w:val="24"/>
        </w:rPr>
        <w:t>Pervomayskaya</w:t>
      </w:r>
      <w:proofErr w:type="spellEnd"/>
      <w:r w:rsidRPr="00D95DBC">
        <w:rPr>
          <w:rFonts w:ascii="Times New Roman" w:hAnsi="Times New Roman"/>
          <w:color w:val="auto"/>
          <w:sz w:val="24"/>
        </w:rPr>
        <w:t xml:space="preserve"> mine, average diameter 0.23±0.01 mm); II – filter press mud (</w:t>
      </w:r>
      <w:proofErr w:type="spellStart"/>
      <w:r w:rsidRPr="00D95DBC">
        <w:rPr>
          <w:rFonts w:ascii="Times New Roman" w:hAnsi="Times New Roman"/>
          <w:color w:val="auto"/>
          <w:sz w:val="24"/>
        </w:rPr>
        <w:t>Tomusinsky</w:t>
      </w:r>
      <w:proofErr w:type="spellEnd"/>
      <w:r w:rsidRPr="00D95DBC">
        <w:rPr>
          <w:rFonts w:ascii="Times New Roman" w:hAnsi="Times New Roman"/>
          <w:color w:val="auto"/>
          <w:sz w:val="24"/>
        </w:rPr>
        <w:t xml:space="preserve"> open-pit mine; average diameter 0.21±0.01 mm); III – filter press mud (</w:t>
      </w:r>
      <w:proofErr w:type="spellStart"/>
      <w:r w:rsidRPr="00D95DBC">
        <w:rPr>
          <w:rFonts w:ascii="Times New Roman" w:hAnsi="Times New Roman"/>
          <w:color w:val="auto"/>
          <w:sz w:val="24"/>
        </w:rPr>
        <w:t>Antonovskaya</w:t>
      </w:r>
      <w:proofErr w:type="spellEnd"/>
      <w:r w:rsidRPr="00D95DBC">
        <w:rPr>
          <w:rFonts w:ascii="Times New Roman" w:hAnsi="Times New Roman"/>
          <w:color w:val="auto"/>
          <w:sz w:val="24"/>
        </w:rPr>
        <w:t xml:space="preserve"> mine; average diameter 0.27±0.01 mm); IV – spiral separator waste (</w:t>
      </w:r>
      <w:proofErr w:type="spellStart"/>
      <w:r w:rsidRPr="00D95DBC">
        <w:rPr>
          <w:rFonts w:ascii="Times New Roman" w:hAnsi="Times New Roman"/>
          <w:color w:val="auto"/>
          <w:sz w:val="24"/>
        </w:rPr>
        <w:t>Pervomayskaya</w:t>
      </w:r>
      <w:proofErr w:type="spellEnd"/>
      <w:r w:rsidRPr="00D95DBC">
        <w:rPr>
          <w:rFonts w:ascii="Times New Roman" w:hAnsi="Times New Roman"/>
          <w:color w:val="auto"/>
          <w:sz w:val="24"/>
        </w:rPr>
        <w:t xml:space="preserve"> mine, average diameter 0.71±0.04 </w:t>
      </w:r>
      <w:proofErr w:type="spellStart"/>
      <w:r w:rsidRPr="00D95DBC">
        <w:rPr>
          <w:rFonts w:ascii="Times New Roman" w:hAnsi="Times New Roman"/>
          <w:color w:val="auto"/>
          <w:sz w:val="24"/>
        </w:rPr>
        <w:t>мм</w:t>
      </w:r>
      <w:proofErr w:type="spellEnd"/>
      <w:r w:rsidRPr="00D95DBC">
        <w:rPr>
          <w:rFonts w:ascii="Times New Roman" w:hAnsi="Times New Roman"/>
          <w:color w:val="auto"/>
          <w:sz w:val="24"/>
        </w:rPr>
        <w:t>); V – filter press mud (</w:t>
      </w:r>
      <w:proofErr w:type="spellStart"/>
      <w:r w:rsidRPr="00D95DBC">
        <w:rPr>
          <w:rFonts w:ascii="Times New Roman" w:hAnsi="Times New Roman"/>
          <w:color w:val="auto"/>
          <w:sz w:val="24"/>
        </w:rPr>
        <w:t>Beryozovskaya</w:t>
      </w:r>
      <w:proofErr w:type="spellEnd"/>
      <w:r w:rsidRPr="00D95DBC">
        <w:rPr>
          <w:rFonts w:ascii="Times New Roman" w:hAnsi="Times New Roman"/>
          <w:color w:val="auto"/>
          <w:sz w:val="24"/>
        </w:rPr>
        <w:t xml:space="preserve"> mine, average diameter 0.34±0.02 </w:t>
      </w:r>
      <w:proofErr w:type="spellStart"/>
      <w:r w:rsidRPr="00D95DBC">
        <w:rPr>
          <w:rFonts w:ascii="Times New Roman" w:hAnsi="Times New Roman"/>
          <w:color w:val="auto"/>
          <w:sz w:val="24"/>
        </w:rPr>
        <w:t>мм</w:t>
      </w:r>
      <w:proofErr w:type="spellEnd"/>
      <w:r w:rsidRPr="00D95DBC">
        <w:rPr>
          <w:rFonts w:ascii="Times New Roman" w:hAnsi="Times New Roman"/>
          <w:color w:val="auto"/>
          <w:sz w:val="24"/>
        </w:rPr>
        <w:t>).</w:t>
      </w:r>
    </w:p>
    <w:p w14:paraId="1CD0B618"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Silver nanoparticles were prepared by reducing silver nitrate with ethylene glycol in the presence of polyvinylpyrrolidone. The average diameter of silver nanoparticles was 3-4 nm.</w:t>
      </w:r>
    </w:p>
    <w:p w14:paraId="0DE681BA"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All chemicals, solvents and reagents used in this study were of analytical grade and were purchased from </w:t>
      </w:r>
      <w:proofErr w:type="spellStart"/>
      <w:r w:rsidRPr="00D95DBC">
        <w:rPr>
          <w:rFonts w:ascii="Times New Roman" w:hAnsi="Times New Roman"/>
          <w:color w:val="auto"/>
          <w:sz w:val="24"/>
        </w:rPr>
        <w:t>Fluka</w:t>
      </w:r>
      <w:proofErr w:type="spellEnd"/>
      <w:r w:rsidRPr="00D95DBC">
        <w:rPr>
          <w:rFonts w:ascii="Times New Roman" w:hAnsi="Times New Roman"/>
          <w:color w:val="auto"/>
          <w:sz w:val="24"/>
        </w:rPr>
        <w:t>/Sigma-Aldrich (Sigma-Aldrich Rus, Moscow, Russia).</w:t>
      </w:r>
    </w:p>
    <w:p w14:paraId="5F0B693A" w14:textId="77777777" w:rsidR="000701ED" w:rsidRPr="00D95DBC" w:rsidRDefault="000701ED" w:rsidP="000701ED">
      <w:pPr>
        <w:pStyle w:val="MDPI31text"/>
        <w:spacing w:line="360" w:lineRule="auto"/>
        <w:ind w:left="0" w:firstLine="567"/>
        <w:rPr>
          <w:rFonts w:ascii="Times New Roman" w:hAnsi="Times New Roman"/>
          <w:color w:val="auto"/>
          <w:sz w:val="24"/>
        </w:rPr>
      </w:pPr>
    </w:p>
    <w:p w14:paraId="53D0B9CD" w14:textId="5EB78F01" w:rsidR="000701ED" w:rsidRPr="00D95DBC" w:rsidRDefault="000701ED" w:rsidP="000701ED">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D95DBC">
        <w:rPr>
          <w:rFonts w:ascii="Times New Roman" w:hAnsi="Times New Roman"/>
          <w:b/>
          <w:i w:val="0"/>
          <w:color w:val="auto"/>
          <w:sz w:val="24"/>
          <w:szCs w:val="24"/>
        </w:rPr>
        <w:t>Physical and Chemical Characteristics of the Samples</w:t>
      </w:r>
    </w:p>
    <w:p w14:paraId="0974BE40"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Chemical composition of the surface of sorption-catalytic sample materials (Table 1) was studied using the IR spectroscopic method (IR spectrometer with the Fourier transform function IRPrestige21 SM, Shimadzu, Japan). The absorption spectra of samples in the IR region were determined by the method of incomplete internal reflection according to the recommendations of the equipment manufacturer.</w:t>
      </w:r>
    </w:p>
    <w:p w14:paraId="5EB34962"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Phase composition of the samples was studied using the x-ray phase analysis with XRD-7000S diffractometer (Shimadzu, Japan). The data was obtained under the following conditions: Target Cu; Voltage 40.0 kV; Current 30.0 mA; receiving slit 0.15000 mm; drive axis - Theta-2Theta; scan range 10.000 - 70.000; scan mode - Fixed Time; sampling pitch (2 </w:t>
      </w:r>
      <w:r w:rsidRPr="00D95DBC">
        <w:rPr>
          <w:rFonts w:ascii="Times New Roman" w:hAnsi="Times New Roman"/>
          <w:color w:val="auto"/>
          <w:sz w:val="24"/>
        </w:rPr>
        <w:sym w:font="Symbol" w:char="F051"/>
      </w:r>
      <w:r w:rsidRPr="00D95DBC">
        <w:rPr>
          <w:rFonts w:ascii="Times New Roman" w:hAnsi="Times New Roman"/>
          <w:color w:val="auto"/>
          <w:sz w:val="24"/>
        </w:rPr>
        <w:t xml:space="preserve">) 0.0300 deg; preset time 0.80 sec. The obtained x-ray data were used to calculate the content of amorphous (carbon component) and crystalline (nanoscale silver) phases. </w:t>
      </w:r>
    </w:p>
    <w:p w14:paraId="1F130DEB" w14:textId="77777777" w:rsidR="000701ED" w:rsidRPr="00D95DBC" w:rsidRDefault="000701ED" w:rsidP="000701ED">
      <w:pPr>
        <w:pStyle w:val="MDPI31text"/>
        <w:spacing w:line="360" w:lineRule="auto"/>
        <w:ind w:left="0" w:firstLine="567"/>
        <w:rPr>
          <w:rFonts w:ascii="Times New Roman" w:hAnsi="Times New Roman"/>
          <w:b/>
          <w:color w:val="auto"/>
          <w:sz w:val="24"/>
        </w:rPr>
      </w:pPr>
      <w:r w:rsidRPr="00D95DBC">
        <w:rPr>
          <w:rFonts w:ascii="Times New Roman" w:hAnsi="Times New Roman"/>
          <w:color w:val="auto"/>
          <w:sz w:val="24"/>
        </w:rPr>
        <w:t>The surface relief of sorption-catalytic sample materials was studied using the scanning electron microscopy (SEM) with a multifunctional raster electron microscope with an integrated focused ion beam system Quanta 200 3D (FEI Company, USA).</w:t>
      </w:r>
    </w:p>
    <w:p w14:paraId="3909B7A1"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lastRenderedPageBreak/>
        <w:t>The total pore and micropore volume (less than 2 or 5 nm in size) was determined by the method based on the obtained isotherms of low-molecular sorption and nitrogen desorption in the NOVA 2200 E gas sorption analyzer (</w:t>
      </w:r>
      <w:proofErr w:type="spellStart"/>
      <w:r w:rsidRPr="00D95DBC">
        <w:rPr>
          <w:rFonts w:ascii="Times New Roman" w:hAnsi="Times New Roman"/>
          <w:color w:val="auto"/>
          <w:sz w:val="24"/>
        </w:rPr>
        <w:t>Quantachrome</w:t>
      </w:r>
      <w:proofErr w:type="spellEnd"/>
      <w:r w:rsidRPr="00D95DBC">
        <w:rPr>
          <w:rFonts w:ascii="Times New Roman" w:hAnsi="Times New Roman"/>
          <w:color w:val="auto"/>
          <w:sz w:val="24"/>
        </w:rPr>
        <w:t>, USA).</w:t>
      </w:r>
    </w:p>
    <w:p w14:paraId="44D66B5D"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Hardness of the sample surface was measured using the DUH-211S </w:t>
      </w:r>
      <w:proofErr w:type="spellStart"/>
      <w:r w:rsidRPr="00D95DBC">
        <w:rPr>
          <w:rFonts w:ascii="Times New Roman" w:hAnsi="Times New Roman"/>
          <w:color w:val="auto"/>
          <w:sz w:val="24"/>
        </w:rPr>
        <w:t>nanohardometer</w:t>
      </w:r>
      <w:proofErr w:type="spellEnd"/>
      <w:r w:rsidRPr="00D95DBC">
        <w:rPr>
          <w:rFonts w:ascii="Times New Roman" w:hAnsi="Times New Roman"/>
          <w:color w:val="auto"/>
          <w:sz w:val="24"/>
        </w:rPr>
        <w:t xml:space="preserve"> (Shimadzu, Japan).</w:t>
      </w:r>
    </w:p>
    <w:p w14:paraId="70E19A63"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Surface areas of the samples were determined by the gas adsorption method using the </w:t>
      </w:r>
      <w:proofErr w:type="spellStart"/>
      <w:r w:rsidRPr="00D95DBC">
        <w:rPr>
          <w:rFonts w:ascii="Times New Roman" w:hAnsi="Times New Roman"/>
          <w:color w:val="auto"/>
          <w:sz w:val="24"/>
        </w:rPr>
        <w:t>Sorbi</w:t>
      </w:r>
      <w:proofErr w:type="spellEnd"/>
      <w:r w:rsidRPr="00D95DBC">
        <w:rPr>
          <w:rFonts w:ascii="Times New Roman" w:hAnsi="Times New Roman"/>
          <w:color w:val="auto"/>
          <w:sz w:val="24"/>
        </w:rPr>
        <w:t xml:space="preserve"> specific surface meter (META LLC, Russia). </w:t>
      </w:r>
    </w:p>
    <w:p w14:paraId="19ECAC5F"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Sorption capacity of the samples was measured as the mass of calcium hydroxide absorbed by 1 g of the material</w:t>
      </w:r>
      <w:r w:rsidRPr="00D95DBC">
        <w:rPr>
          <w:rFonts w:ascii="Times New Roman" w:eastAsia="Batang" w:hAnsi="Times New Roman"/>
          <w:color w:val="auto"/>
          <w:sz w:val="24"/>
        </w:rPr>
        <w:t>.</w:t>
      </w:r>
    </w:p>
    <w:p w14:paraId="279D7B46" w14:textId="77777777" w:rsidR="000701ED" w:rsidRPr="00D95DBC" w:rsidRDefault="000701ED" w:rsidP="000701ED">
      <w:pPr>
        <w:pStyle w:val="MDPI31text"/>
        <w:spacing w:line="360" w:lineRule="auto"/>
        <w:ind w:left="0" w:firstLine="567"/>
        <w:rPr>
          <w:rFonts w:ascii="Times New Roman" w:eastAsia="Batang" w:hAnsi="Times New Roman"/>
          <w:color w:val="auto"/>
          <w:sz w:val="24"/>
        </w:rPr>
      </w:pPr>
    </w:p>
    <w:p w14:paraId="5F8F0033" w14:textId="2A956E8D" w:rsidR="000701ED" w:rsidRPr="00D95DBC" w:rsidRDefault="000701ED" w:rsidP="000701ED">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D95DBC">
        <w:rPr>
          <w:rFonts w:ascii="Times New Roman" w:hAnsi="Times New Roman"/>
          <w:b/>
          <w:i w:val="0"/>
          <w:color w:val="auto"/>
          <w:sz w:val="24"/>
          <w:szCs w:val="24"/>
        </w:rPr>
        <w:t>Ecotoxic Properties of the Samples</w:t>
      </w:r>
    </w:p>
    <w:p w14:paraId="0C078138"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Impact of the samples on </w:t>
      </w:r>
      <w:proofErr w:type="spellStart"/>
      <w:r w:rsidRPr="00D95DBC">
        <w:rPr>
          <w:rFonts w:ascii="Times New Roman" w:hAnsi="Times New Roman"/>
          <w:color w:val="auto"/>
          <w:sz w:val="24"/>
        </w:rPr>
        <w:t>phyto</w:t>
      </w:r>
      <w:proofErr w:type="spellEnd"/>
      <w:r w:rsidRPr="00D95DBC">
        <w:rPr>
          <w:rFonts w:ascii="Times New Roman" w:hAnsi="Times New Roman"/>
          <w:color w:val="auto"/>
          <w:sz w:val="24"/>
        </w:rPr>
        <w:t xml:space="preserve">- and zooplankton was studied (FR.1.39.2011.10993 "Method for determining the environmental toxicity index of concentrated water dispersed systems of nanoparticles for inhibiting the growth of test culture of Chlorella algae"; FR.1.39.2010.09102 "Method for determining the toxicity index of </w:t>
      </w:r>
      <w:proofErr w:type="spellStart"/>
      <w:r w:rsidRPr="00D95DBC">
        <w:rPr>
          <w:rFonts w:ascii="Times New Roman" w:hAnsi="Times New Roman"/>
          <w:color w:val="auto"/>
          <w:sz w:val="24"/>
        </w:rPr>
        <w:t>nanopowders</w:t>
      </w:r>
      <w:proofErr w:type="spellEnd"/>
      <w:r w:rsidRPr="00D95DBC">
        <w:rPr>
          <w:rFonts w:ascii="Times New Roman" w:hAnsi="Times New Roman"/>
          <w:color w:val="auto"/>
          <w:sz w:val="24"/>
        </w:rPr>
        <w:t xml:space="preserve">, products made of nanomaterials, </w:t>
      </w:r>
      <w:proofErr w:type="spellStart"/>
      <w:r w:rsidRPr="00D95DBC">
        <w:rPr>
          <w:rFonts w:ascii="Times New Roman" w:hAnsi="Times New Roman"/>
          <w:color w:val="auto"/>
          <w:sz w:val="24"/>
        </w:rPr>
        <w:t>nanocoatings</w:t>
      </w:r>
      <w:proofErr w:type="spellEnd"/>
      <w:r w:rsidRPr="00D95DBC">
        <w:rPr>
          <w:rFonts w:ascii="Times New Roman" w:hAnsi="Times New Roman"/>
          <w:color w:val="auto"/>
          <w:sz w:val="24"/>
        </w:rPr>
        <w:t xml:space="preserve">, waste and sewage sludge containing nanoparticles, by mortality of the </w:t>
      </w:r>
      <w:r w:rsidRPr="00D95DBC">
        <w:rPr>
          <w:rFonts w:ascii="Times New Roman" w:hAnsi="Times New Roman"/>
          <w:i/>
          <w:color w:val="auto"/>
          <w:sz w:val="24"/>
        </w:rPr>
        <w:t>Daphnia magna Straus</w:t>
      </w:r>
      <w:r w:rsidRPr="00D95DBC">
        <w:rPr>
          <w:rFonts w:ascii="Times New Roman" w:hAnsi="Times New Roman"/>
          <w:color w:val="auto"/>
          <w:sz w:val="24"/>
        </w:rPr>
        <w:t xml:space="preserve"> test organism" with the STO TGU 137-2015 modification "Nanomaterials and highly dispersive materials, waste and sewage sludge containing nanoparticles. Toxicity index determination by mortality of </w:t>
      </w:r>
      <w:r w:rsidRPr="00D95DBC">
        <w:rPr>
          <w:rFonts w:ascii="Times New Roman" w:hAnsi="Times New Roman"/>
          <w:i/>
          <w:color w:val="auto"/>
          <w:sz w:val="24"/>
        </w:rPr>
        <w:t>Daphnia magna Straus</w:t>
      </w:r>
      <w:r w:rsidRPr="00D95DBC">
        <w:rPr>
          <w:rFonts w:ascii="Times New Roman" w:hAnsi="Times New Roman"/>
          <w:color w:val="auto"/>
          <w:sz w:val="24"/>
        </w:rPr>
        <w:t>").</w:t>
      </w:r>
    </w:p>
    <w:p w14:paraId="16F4E8E9" w14:textId="77777777" w:rsidR="000701ED" w:rsidRPr="00D95DBC" w:rsidRDefault="000701ED" w:rsidP="000701ED">
      <w:pPr>
        <w:pStyle w:val="MDPI31text"/>
        <w:spacing w:line="360" w:lineRule="auto"/>
        <w:ind w:left="0" w:firstLine="567"/>
        <w:rPr>
          <w:rFonts w:ascii="Times New Roman" w:hAnsi="Times New Roman"/>
          <w:color w:val="auto"/>
          <w:sz w:val="24"/>
          <w:highlight w:val="yellow"/>
        </w:rPr>
      </w:pPr>
      <w:r w:rsidRPr="00D95DBC">
        <w:rPr>
          <w:rFonts w:ascii="Times New Roman" w:hAnsi="Times New Roman"/>
          <w:color w:val="auto"/>
          <w:sz w:val="24"/>
        </w:rPr>
        <w:t xml:space="preserve">Method 1. A daily culture of </w:t>
      </w:r>
      <w:r w:rsidRPr="00D95DBC">
        <w:rPr>
          <w:rFonts w:ascii="Times New Roman" w:hAnsi="Times New Roman"/>
          <w:i/>
          <w:color w:val="auto"/>
          <w:sz w:val="24"/>
        </w:rPr>
        <w:t xml:space="preserve">Chlorella vulgaris </w:t>
      </w:r>
      <w:proofErr w:type="spellStart"/>
      <w:r w:rsidRPr="00D95DBC">
        <w:rPr>
          <w:rFonts w:ascii="Times New Roman" w:hAnsi="Times New Roman"/>
          <w:i/>
          <w:color w:val="auto"/>
          <w:sz w:val="24"/>
        </w:rPr>
        <w:t>Beijer</w:t>
      </w:r>
      <w:proofErr w:type="spellEnd"/>
      <w:r w:rsidRPr="00D95DBC">
        <w:rPr>
          <w:rFonts w:ascii="Times New Roman" w:hAnsi="Times New Roman"/>
          <w:i/>
          <w:color w:val="auto"/>
          <w:sz w:val="24"/>
        </w:rPr>
        <w:t xml:space="preserve"> </w:t>
      </w:r>
      <w:r w:rsidRPr="00D95DBC">
        <w:rPr>
          <w:rFonts w:ascii="Times New Roman" w:hAnsi="Times New Roman"/>
          <w:color w:val="auto"/>
          <w:sz w:val="24"/>
        </w:rPr>
        <w:t>algae (2 ml) was added to six glasses each containing 50 ml of control and test samples. The samples were poured into reaction flasks, 5 ml in each. The algae was cultivated for 22 h. After that, the optical density of the test culture was measured and the daily increase in the number of algae cells in the control and experimental versions was compared.</w:t>
      </w:r>
    </w:p>
    <w:p w14:paraId="4C97E286"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 xml:space="preserve">Method 2. Lower crustaceans were used as a test culture. The experiment lasted for 72 h. Death of at least 50% of crustaceans in the test sample within 48 h was the acute toxicity criterion, provided that all species in the control sample were fully viable. Mortality of test organisms was recorded every 24 h. Motionless crustaceans were considered dead if they did not start moving within 15 s after a slight swaying of the test tube. In addition, we took into account the behavior of Daphnia (activity and movement pattern), the degree to which intestines were filled with food, and the number of dropped </w:t>
      </w:r>
      <w:proofErr w:type="spellStart"/>
      <w:r w:rsidRPr="00D95DBC">
        <w:rPr>
          <w:rFonts w:ascii="Times New Roman" w:hAnsi="Times New Roman"/>
          <w:color w:val="auto"/>
          <w:sz w:val="24"/>
        </w:rPr>
        <w:t>ephippiums</w:t>
      </w:r>
      <w:proofErr w:type="spellEnd"/>
      <w:r w:rsidRPr="00D95DBC">
        <w:rPr>
          <w:rFonts w:ascii="Times New Roman" w:hAnsi="Times New Roman"/>
          <w:color w:val="auto"/>
          <w:sz w:val="24"/>
        </w:rPr>
        <w:t>.</w:t>
      </w:r>
    </w:p>
    <w:p w14:paraId="79DA0B23" w14:textId="77777777" w:rsidR="000701ED" w:rsidRPr="00D95DBC" w:rsidRDefault="000701ED" w:rsidP="000701ED">
      <w:pPr>
        <w:pStyle w:val="MDPI31text"/>
        <w:spacing w:line="360" w:lineRule="auto"/>
        <w:ind w:left="0" w:firstLine="567"/>
        <w:rPr>
          <w:rFonts w:ascii="Times New Roman" w:eastAsia="Batang" w:hAnsi="Times New Roman"/>
          <w:color w:val="auto"/>
          <w:sz w:val="24"/>
        </w:rPr>
      </w:pPr>
    </w:p>
    <w:p w14:paraId="3CEA4376" w14:textId="6BB2358C" w:rsidR="000701ED" w:rsidRPr="00D95DBC" w:rsidRDefault="000701ED" w:rsidP="000701ED">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D95DBC">
        <w:rPr>
          <w:rFonts w:ascii="Times New Roman" w:hAnsi="Times New Roman"/>
          <w:b/>
          <w:i w:val="0"/>
          <w:color w:val="auto"/>
          <w:sz w:val="24"/>
          <w:szCs w:val="24"/>
        </w:rPr>
        <w:t>Structural and Adsorption Characteristics of the Samples</w:t>
      </w:r>
    </w:p>
    <w:p w14:paraId="022AE88D" w14:textId="77777777" w:rsidR="000701ED" w:rsidRPr="00D95DBC" w:rsidRDefault="000701ED" w:rsidP="000701ED">
      <w:pPr>
        <w:pStyle w:val="MDPI31text"/>
        <w:spacing w:line="360" w:lineRule="auto"/>
        <w:ind w:left="0" w:firstLine="567"/>
        <w:rPr>
          <w:rFonts w:ascii="Times New Roman" w:hAnsi="Times New Roman"/>
          <w:color w:val="auto"/>
          <w:sz w:val="24"/>
          <w:highlight w:val="yellow"/>
        </w:rPr>
      </w:pPr>
      <w:r w:rsidRPr="00D95DBC">
        <w:rPr>
          <w:rFonts w:ascii="Times New Roman" w:hAnsi="Times New Roman"/>
          <w:color w:val="auto"/>
          <w:sz w:val="24"/>
        </w:rPr>
        <w:lastRenderedPageBreak/>
        <w:t xml:space="preserve">The study determined structural and adsorption characteristics of sorption-catalytic materials to the natural and waste water components (oil products, iron, lead, copper, manganese, and cadmium ions). </w:t>
      </w:r>
    </w:p>
    <w:p w14:paraId="4328252A"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The sorption capacity of the developed sorption-catalytic materials was determined under static conditions at room temperature. Solutions containing natural and waste water components in the concentration range of 10-1000 mg/l were prepared, 1g of sample No. 1 of the developed sorption-catalytic materials was added to each solution. The contents of all the flasks were subjected to continuous stirring for 24 h with the components concentration in the clarified solutions being measured every 2 h.</w:t>
      </w:r>
    </w:p>
    <w:p w14:paraId="7626A216"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The mass concentration of oil products in water was determined by column chromatography with a gravimetric finish (PND F 14.1:2.116-97. Quantitative chemical analysis of water. Procedure of oil product mass concentration measurement in natural water and waste water samples using column chromatography with a gravimetric finish). The oil product mass concentration measuring method is based on the extraction of oil products from the analyzed waters with an organic solvent, separation of other classes from polar compounds by column chromatography on aluminum oxide, and quantitative determination by the gravimetric method. The error of method at the detection limit level is 25%.</w:t>
      </w:r>
    </w:p>
    <w:p w14:paraId="43251111"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The mass concentration of iron, lead, copper, manganese, and cadmium in water was determined by the Atomic absorption spectroscopy (PND F 14.1:2:4.139-98. Quantitative chemical analysis of water. Methods for measuring mass concentrations of cobalt, nickel, copper, zinc, chromium, manganese, iron, silver, cadmium, and lead in drinking water, natural water, and wastewater samples by atomic absorption spectroscopy). The method is based on measuring the resonance absorption of light by free atoms of the given metal when light passes through the formed in the flame atomic vapor of the test sample</w:t>
      </w:r>
      <w:bookmarkStart w:id="11" w:name="i67521"/>
      <w:bookmarkEnd w:id="11"/>
      <w:r w:rsidRPr="00D95DBC">
        <w:rPr>
          <w:rFonts w:ascii="Times New Roman" w:hAnsi="Times New Roman"/>
          <w:color w:val="auto"/>
          <w:sz w:val="24"/>
        </w:rPr>
        <w:t>. The measurement range is from 0.01 mg/dm</w:t>
      </w:r>
      <w:r w:rsidRPr="00D95DBC">
        <w:rPr>
          <w:rFonts w:ascii="Times New Roman" w:hAnsi="Times New Roman"/>
          <w:color w:val="auto"/>
          <w:sz w:val="24"/>
          <w:vertAlign w:val="superscript"/>
        </w:rPr>
        <w:t>3</w:t>
      </w:r>
      <w:r w:rsidRPr="00D95DBC">
        <w:rPr>
          <w:rFonts w:ascii="Times New Roman" w:hAnsi="Times New Roman"/>
          <w:color w:val="auto"/>
          <w:sz w:val="24"/>
        </w:rPr>
        <w:t>. The error of method at the detection limit level is 30%.</w:t>
      </w:r>
    </w:p>
    <w:p w14:paraId="000C8263" w14:textId="77777777" w:rsidR="000701ED" w:rsidRPr="00D95DBC" w:rsidRDefault="000701ED" w:rsidP="000701ED">
      <w:pPr>
        <w:pStyle w:val="MDPI31text"/>
        <w:spacing w:line="360" w:lineRule="auto"/>
        <w:ind w:left="0" w:firstLine="567"/>
        <w:rPr>
          <w:rFonts w:ascii="Times New Roman" w:hAnsi="Times New Roman"/>
          <w:color w:val="auto"/>
          <w:spacing w:val="-4"/>
          <w:sz w:val="24"/>
        </w:rPr>
      </w:pPr>
      <w:r w:rsidRPr="00D95DBC">
        <w:rPr>
          <w:rFonts w:ascii="Times New Roman" w:hAnsi="Times New Roman"/>
          <w:color w:val="auto"/>
          <w:spacing w:val="-4"/>
          <w:sz w:val="24"/>
        </w:rPr>
        <w:t xml:space="preserve">The sorption capacity </w:t>
      </w:r>
      <w:proofErr w:type="spellStart"/>
      <w:r w:rsidRPr="00D95DBC">
        <w:rPr>
          <w:rFonts w:ascii="Times New Roman" w:hAnsi="Times New Roman"/>
          <w:i/>
          <w:color w:val="auto"/>
          <w:spacing w:val="-4"/>
          <w:sz w:val="24"/>
        </w:rPr>
        <w:t>q</w:t>
      </w:r>
      <w:r w:rsidRPr="00D95DBC">
        <w:rPr>
          <w:rFonts w:ascii="Times New Roman" w:hAnsi="Times New Roman"/>
          <w:i/>
          <w:color w:val="auto"/>
          <w:spacing w:val="-4"/>
          <w:sz w:val="24"/>
          <w:vertAlign w:val="subscript"/>
        </w:rPr>
        <w:t>e</w:t>
      </w:r>
      <w:proofErr w:type="spellEnd"/>
      <w:r w:rsidRPr="00D95DBC">
        <w:rPr>
          <w:rFonts w:ascii="Times New Roman" w:hAnsi="Times New Roman"/>
          <w:color w:val="auto"/>
          <w:spacing w:val="-4"/>
          <w:sz w:val="24"/>
        </w:rPr>
        <w:t xml:space="preserve"> (mg/g) of the developed materials was calculated using the formula:</w:t>
      </w:r>
    </w:p>
    <w:p w14:paraId="7AF2AED5" w14:textId="77777777" w:rsidR="000701ED" w:rsidRPr="00D95DBC" w:rsidRDefault="000701ED" w:rsidP="000701ED">
      <w:pPr>
        <w:pStyle w:val="MDPI31text"/>
        <w:spacing w:line="360" w:lineRule="auto"/>
        <w:ind w:left="0" w:firstLine="567"/>
        <w:rPr>
          <w:rFonts w:ascii="Times New Roman" w:hAnsi="Times New Roman"/>
          <w:color w:val="auto"/>
          <w:spacing w:val="-4"/>
          <w:sz w:val="24"/>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1418"/>
      </w:tblGrid>
      <w:tr w:rsidR="000701ED" w:rsidRPr="00D95DBC" w14:paraId="3ED23561" w14:textId="77777777" w:rsidTr="00AB4AD8">
        <w:trPr>
          <w:jc w:val="center"/>
        </w:trPr>
        <w:tc>
          <w:tcPr>
            <w:tcW w:w="6374" w:type="dxa"/>
            <w:vAlign w:val="center"/>
          </w:tcPr>
          <w:p w14:paraId="4B2A1B4A" w14:textId="77777777" w:rsidR="000701ED" w:rsidRPr="00D95DBC" w:rsidRDefault="00000000" w:rsidP="00AB4AD8">
            <w:pPr>
              <w:spacing w:line="360" w:lineRule="auto"/>
              <w:jc w:val="center"/>
              <w:rPr>
                <w:color w:val="auto"/>
                <w:szCs w:val="24"/>
              </w:rPr>
            </w:pPr>
            <m:oMath>
              <m:sSub>
                <m:sSubPr>
                  <m:ctrlPr>
                    <w:rPr>
                      <w:rFonts w:ascii="Cambria Math" w:hAnsi="Cambria Math"/>
                      <w:i/>
                      <w:color w:val="auto"/>
                      <w:szCs w:val="24"/>
                      <w:lang w:val="ru-RU"/>
                    </w:rPr>
                  </m:ctrlPr>
                </m:sSubPr>
                <m:e>
                  <m:r>
                    <w:rPr>
                      <w:rFonts w:ascii="Cambria Math" w:hAnsi="Cambria Math"/>
                      <w:color w:val="auto"/>
                      <w:szCs w:val="24"/>
                    </w:rPr>
                    <m:t>q</m:t>
                  </m:r>
                </m:e>
                <m:sub>
                  <m:r>
                    <w:rPr>
                      <w:rFonts w:ascii="Cambria Math" w:hAnsi="Cambria Math"/>
                      <w:color w:val="auto"/>
                      <w:szCs w:val="24"/>
                    </w:rPr>
                    <m:t>e</m:t>
                  </m:r>
                </m:sub>
              </m:sSub>
              <m:r>
                <w:rPr>
                  <w:rFonts w:ascii="Cambria Math" w:hAnsi="Cambria Math"/>
                  <w:color w:val="auto"/>
                  <w:szCs w:val="24"/>
                </w:rPr>
                <m:t>=</m:t>
              </m:r>
              <m:d>
                <m:dPr>
                  <m:begChr m:val="["/>
                  <m:endChr m:val="]"/>
                  <m:ctrlPr>
                    <w:rPr>
                      <w:rFonts w:ascii="Cambria Math" w:hAnsi="Cambria Math"/>
                      <w:i/>
                      <w:color w:val="auto"/>
                      <w:szCs w:val="24"/>
                    </w:rPr>
                  </m:ctrlPr>
                </m:dPr>
                <m:e>
                  <m:f>
                    <m:fPr>
                      <m:ctrlPr>
                        <w:rPr>
                          <w:rFonts w:ascii="Cambria Math" w:hAnsi="Cambria Math"/>
                          <w:i/>
                          <w:color w:val="auto"/>
                          <w:szCs w:val="24"/>
                        </w:rPr>
                      </m:ctrlPr>
                    </m:fPr>
                    <m:num>
                      <m:sSub>
                        <m:sSubPr>
                          <m:ctrlPr>
                            <w:rPr>
                              <w:rFonts w:ascii="Cambria Math" w:hAnsi="Cambria Math"/>
                              <w:i/>
                              <w:color w:val="auto"/>
                              <w:szCs w:val="24"/>
                            </w:rPr>
                          </m:ctrlPr>
                        </m:sSubPr>
                        <m:e>
                          <m:r>
                            <w:rPr>
                              <w:rFonts w:ascii="Cambria Math" w:hAnsi="Cambria Math"/>
                              <w:color w:val="auto"/>
                              <w:szCs w:val="24"/>
                            </w:rPr>
                            <m:t>С</m:t>
                          </m:r>
                        </m:e>
                        <m:sub>
                          <m:r>
                            <w:rPr>
                              <w:rFonts w:ascii="Cambria Math" w:hAnsi="Cambria Math"/>
                              <w:color w:val="auto"/>
                              <w:szCs w:val="24"/>
                            </w:rPr>
                            <m:t>0</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С</m:t>
                          </m:r>
                        </m:e>
                        <m:sub>
                          <m:r>
                            <w:rPr>
                              <w:rFonts w:ascii="Cambria Math" w:hAnsi="Cambria Math"/>
                              <w:color w:val="auto"/>
                              <w:szCs w:val="24"/>
                            </w:rPr>
                            <m:t>e</m:t>
                          </m:r>
                        </m:sub>
                      </m:sSub>
                    </m:num>
                    <m:den>
                      <m:r>
                        <w:rPr>
                          <w:rFonts w:ascii="Cambria Math" w:hAnsi="Cambria Math"/>
                          <w:color w:val="auto"/>
                          <w:szCs w:val="24"/>
                        </w:rPr>
                        <m:t>m</m:t>
                      </m:r>
                    </m:den>
                  </m:f>
                </m:e>
              </m:d>
              <m:r>
                <w:rPr>
                  <w:rFonts w:ascii="Cambria Math" w:hAnsi="Cambria Math"/>
                  <w:color w:val="auto"/>
                  <w:szCs w:val="24"/>
                </w:rPr>
                <m:t>·</m:t>
              </m:r>
            </m:oMath>
            <w:r w:rsidR="000701ED" w:rsidRPr="00D95DBC">
              <w:rPr>
                <w:i/>
                <w:color w:val="auto"/>
                <w:szCs w:val="24"/>
              </w:rPr>
              <w:t>V</w:t>
            </w:r>
            <w:r w:rsidR="000701ED" w:rsidRPr="00D95DBC">
              <w:rPr>
                <w:color w:val="auto"/>
                <w:szCs w:val="24"/>
              </w:rPr>
              <w:t>,</w:t>
            </w:r>
          </w:p>
        </w:tc>
        <w:tc>
          <w:tcPr>
            <w:tcW w:w="1418" w:type="dxa"/>
            <w:vAlign w:val="center"/>
          </w:tcPr>
          <w:p w14:paraId="2965BB61" w14:textId="77777777" w:rsidR="000701ED" w:rsidRPr="00D95DBC" w:rsidRDefault="000701ED" w:rsidP="00AB4AD8">
            <w:pPr>
              <w:spacing w:line="360" w:lineRule="auto"/>
              <w:jc w:val="right"/>
              <w:rPr>
                <w:color w:val="auto"/>
                <w:szCs w:val="24"/>
                <w:lang w:val="ru-RU"/>
              </w:rPr>
            </w:pPr>
            <w:r w:rsidRPr="00D95DBC">
              <w:rPr>
                <w:color w:val="auto"/>
                <w:szCs w:val="24"/>
                <w:lang w:val="ru-RU"/>
              </w:rPr>
              <w:t>(1)</w:t>
            </w:r>
          </w:p>
        </w:tc>
      </w:tr>
    </w:tbl>
    <w:p w14:paraId="2156AC79" w14:textId="77777777" w:rsidR="000701ED" w:rsidRPr="00D95DBC" w:rsidRDefault="000701ED" w:rsidP="000701ED">
      <w:pPr>
        <w:pStyle w:val="MDPI31text"/>
        <w:spacing w:line="360" w:lineRule="auto"/>
        <w:ind w:left="0" w:firstLine="0"/>
        <w:rPr>
          <w:rFonts w:ascii="Times New Roman" w:hAnsi="Times New Roman"/>
          <w:color w:val="auto"/>
          <w:sz w:val="24"/>
        </w:rPr>
      </w:pPr>
    </w:p>
    <w:p w14:paraId="15235675" w14:textId="77777777" w:rsidR="000701ED" w:rsidRPr="00D95DBC" w:rsidRDefault="000701ED" w:rsidP="000701ED">
      <w:pPr>
        <w:pStyle w:val="MDPI31text"/>
        <w:spacing w:line="360" w:lineRule="auto"/>
        <w:ind w:left="0" w:firstLine="0"/>
        <w:rPr>
          <w:rFonts w:ascii="Times New Roman" w:hAnsi="Times New Roman"/>
          <w:color w:val="auto"/>
          <w:sz w:val="24"/>
        </w:rPr>
      </w:pPr>
      <w:r w:rsidRPr="00D95DBC">
        <w:rPr>
          <w:rFonts w:ascii="Times New Roman" w:hAnsi="Times New Roman"/>
          <w:color w:val="auto"/>
          <w:sz w:val="24"/>
        </w:rPr>
        <w:t xml:space="preserve">where </w:t>
      </w:r>
      <w:r w:rsidRPr="00D95DBC">
        <w:rPr>
          <w:rFonts w:ascii="Times New Roman" w:hAnsi="Times New Roman"/>
          <w:i/>
          <w:color w:val="auto"/>
          <w:sz w:val="24"/>
        </w:rPr>
        <w:t>С</w:t>
      </w:r>
      <w:r w:rsidRPr="00D95DBC">
        <w:rPr>
          <w:rFonts w:ascii="Times New Roman" w:hAnsi="Times New Roman"/>
          <w:color w:val="auto"/>
          <w:sz w:val="24"/>
          <w:vertAlign w:val="subscript"/>
        </w:rPr>
        <w:t>0</w:t>
      </w:r>
      <w:r w:rsidRPr="00D95DBC">
        <w:rPr>
          <w:rFonts w:ascii="Times New Roman" w:hAnsi="Times New Roman"/>
          <w:color w:val="auto"/>
          <w:sz w:val="24"/>
        </w:rPr>
        <w:t xml:space="preserve"> and </w:t>
      </w:r>
      <w:proofErr w:type="spellStart"/>
      <w:r w:rsidRPr="00D95DBC">
        <w:rPr>
          <w:rFonts w:ascii="Times New Roman" w:hAnsi="Times New Roman"/>
          <w:i/>
          <w:color w:val="auto"/>
          <w:sz w:val="24"/>
        </w:rPr>
        <w:t>С</w:t>
      </w:r>
      <w:r w:rsidRPr="00D95DBC">
        <w:rPr>
          <w:rFonts w:ascii="Times New Roman" w:hAnsi="Times New Roman"/>
          <w:i/>
          <w:color w:val="auto"/>
          <w:sz w:val="24"/>
          <w:vertAlign w:val="subscript"/>
        </w:rPr>
        <w:t>e</w:t>
      </w:r>
      <w:proofErr w:type="spellEnd"/>
      <w:r w:rsidRPr="00D95DBC">
        <w:rPr>
          <w:rFonts w:ascii="Times New Roman" w:hAnsi="Times New Roman"/>
          <w:color w:val="auto"/>
          <w:sz w:val="24"/>
        </w:rPr>
        <w:t xml:space="preserve"> are the initial and equilibrium concentrations of the component in solution, respectively, mg/l;</w:t>
      </w:r>
    </w:p>
    <w:p w14:paraId="07B87856" w14:textId="77777777" w:rsidR="000701ED" w:rsidRPr="00D95DBC" w:rsidRDefault="000701ED" w:rsidP="000701ED">
      <w:pPr>
        <w:pStyle w:val="MDPI31text"/>
        <w:spacing w:line="360" w:lineRule="auto"/>
        <w:ind w:left="0" w:firstLine="0"/>
        <w:rPr>
          <w:rFonts w:ascii="Times New Roman" w:hAnsi="Times New Roman"/>
          <w:color w:val="auto"/>
          <w:sz w:val="24"/>
        </w:rPr>
      </w:pPr>
      <w:r w:rsidRPr="00D95DBC">
        <w:rPr>
          <w:rFonts w:ascii="Times New Roman" w:hAnsi="Times New Roman"/>
          <w:i/>
          <w:color w:val="auto"/>
          <w:sz w:val="24"/>
        </w:rPr>
        <w:t>m</w:t>
      </w:r>
      <w:r w:rsidRPr="00D95DBC">
        <w:rPr>
          <w:rFonts w:ascii="Times New Roman" w:hAnsi="Times New Roman"/>
          <w:color w:val="auto"/>
          <w:sz w:val="24"/>
        </w:rPr>
        <w:t xml:space="preserve"> – sample mass of the sorption-catalytic material, g;</w:t>
      </w:r>
    </w:p>
    <w:p w14:paraId="4AED26B3" w14:textId="77777777" w:rsidR="000701ED" w:rsidRPr="00D95DBC" w:rsidRDefault="000701ED" w:rsidP="000701ED">
      <w:pPr>
        <w:pStyle w:val="MDPI31text"/>
        <w:spacing w:line="360" w:lineRule="auto"/>
        <w:ind w:left="0" w:firstLine="0"/>
        <w:rPr>
          <w:rFonts w:ascii="Times New Roman" w:hAnsi="Times New Roman"/>
          <w:color w:val="auto"/>
          <w:sz w:val="24"/>
        </w:rPr>
      </w:pPr>
      <w:r w:rsidRPr="00D95DBC">
        <w:rPr>
          <w:rFonts w:ascii="Times New Roman" w:hAnsi="Times New Roman"/>
          <w:i/>
          <w:color w:val="auto"/>
          <w:sz w:val="24"/>
        </w:rPr>
        <w:t xml:space="preserve">V </w:t>
      </w:r>
      <w:r w:rsidRPr="00D95DBC">
        <w:rPr>
          <w:rFonts w:ascii="Times New Roman" w:hAnsi="Times New Roman"/>
          <w:color w:val="auto"/>
          <w:sz w:val="24"/>
        </w:rPr>
        <w:t>– sample volume, L.</w:t>
      </w:r>
    </w:p>
    <w:p w14:paraId="06F2885B" w14:textId="7C3BFCF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lastRenderedPageBreak/>
        <w:t xml:space="preserve">Sorption isotherms of natural and wastewater components were analyzed for compliance with known theoretical </w:t>
      </w:r>
      <w:r w:rsidRPr="00D95DBC">
        <w:rPr>
          <w:rFonts w:ascii="Times New Roman" w:hAnsi="Times New Roman"/>
          <w:color w:val="auto"/>
          <w:sz w:val="24"/>
          <w:szCs w:val="24"/>
        </w:rPr>
        <w:t>models (</w:t>
      </w:r>
      <w:r w:rsidRPr="00D95DBC">
        <w:rPr>
          <w:rFonts w:ascii="Times New Roman" w:hAnsi="Times New Roman"/>
          <w:color w:val="auto"/>
          <w:sz w:val="24"/>
          <w:szCs w:val="24"/>
          <w:shd w:val="clear" w:color="auto" w:fill="FFFFFF"/>
        </w:rPr>
        <w:t xml:space="preserve">Abd El-Salam et al. 2017; </w:t>
      </w:r>
      <w:proofErr w:type="spellStart"/>
      <w:r w:rsidR="00EE0784" w:rsidRPr="00D95DBC">
        <w:rPr>
          <w:rStyle w:val="af1"/>
          <w:rFonts w:ascii="Times New Roman" w:eastAsiaTheme="majorEastAsia" w:hAnsi="Times New Roman"/>
          <w:color w:val="auto"/>
          <w:sz w:val="24"/>
          <w:u w:val="none"/>
        </w:rPr>
        <w:t>Neris</w:t>
      </w:r>
      <w:proofErr w:type="spellEnd"/>
      <w:r w:rsidR="00EE0784" w:rsidRPr="00D95DBC">
        <w:rPr>
          <w:rStyle w:val="af1"/>
          <w:rFonts w:ascii="Times New Roman" w:eastAsiaTheme="majorEastAsia" w:hAnsi="Times New Roman"/>
          <w:color w:val="auto"/>
          <w:sz w:val="24"/>
          <w:u w:val="none"/>
        </w:rPr>
        <w:t xml:space="preserve"> et al.</w:t>
      </w:r>
      <w:r w:rsidRPr="00D95DBC">
        <w:rPr>
          <w:rStyle w:val="af1"/>
          <w:rFonts w:ascii="Times New Roman" w:eastAsiaTheme="majorEastAsia" w:hAnsi="Times New Roman"/>
          <w:color w:val="auto"/>
          <w:sz w:val="24"/>
          <w:u w:val="none"/>
        </w:rPr>
        <w:t xml:space="preserve"> 2019; </w:t>
      </w:r>
      <w:proofErr w:type="spellStart"/>
      <w:r w:rsidR="00EE0784" w:rsidRPr="00D95DBC">
        <w:rPr>
          <w:rStyle w:val="af1"/>
          <w:rFonts w:ascii="Times New Roman" w:eastAsiaTheme="majorEastAsia" w:hAnsi="Times New Roman"/>
          <w:color w:val="auto"/>
          <w:sz w:val="24"/>
          <w:u w:val="none"/>
        </w:rPr>
        <w:t>Syafiuddin</w:t>
      </w:r>
      <w:proofErr w:type="spellEnd"/>
      <w:r w:rsidR="00EE0784" w:rsidRPr="00D95DBC">
        <w:rPr>
          <w:rStyle w:val="af1"/>
          <w:rFonts w:ascii="Times New Roman" w:eastAsiaTheme="majorEastAsia" w:hAnsi="Times New Roman"/>
          <w:color w:val="auto"/>
          <w:sz w:val="24"/>
          <w:u w:val="none"/>
        </w:rPr>
        <w:t xml:space="preserve"> et al.</w:t>
      </w:r>
      <w:r w:rsidRPr="00D95DBC">
        <w:rPr>
          <w:rStyle w:val="af1"/>
          <w:rFonts w:ascii="Times New Roman" w:eastAsiaTheme="majorEastAsia" w:hAnsi="Times New Roman"/>
          <w:color w:val="auto"/>
          <w:sz w:val="24"/>
          <w:u w:val="none"/>
        </w:rPr>
        <w:t xml:space="preserve"> 2018</w:t>
      </w:r>
      <w:r w:rsidRPr="00D95DBC">
        <w:rPr>
          <w:rFonts w:ascii="Times New Roman" w:hAnsi="Times New Roman"/>
          <w:color w:val="auto"/>
          <w:sz w:val="24"/>
        </w:rPr>
        <w:t>). Kinetic characteristics of natural and waste water components sorption in order to identify the contribution of the diffusion and chemical components to the overall mechanism of sorbate-sorbent interaction. On each isotherm, the curve slope at the point with zero sorbate concentration was measured using the approximation equation (Langmuir isotherm).</w:t>
      </w:r>
    </w:p>
    <w:p w14:paraId="2165D10B"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Provisional stability constants of complexes formed between the functional groups of the developed carbon sorbents and the sorbed components of natural and waste water were calculated at a single wavelength and using spectral ranges on the Shimadzu UV-1800 spectrophotometer in quartz cuvettes with a thickness of l = 1.0 cm, in the range of 320-750 nm with a scan step of 0.2 nm.</w:t>
      </w:r>
    </w:p>
    <w:p w14:paraId="5A115F7F"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The Langmuir equation was used as the basis for modeling:</w:t>
      </w:r>
    </w:p>
    <w:p w14:paraId="6789766F" w14:textId="77777777" w:rsidR="000701ED" w:rsidRPr="00D95DBC" w:rsidRDefault="000701ED" w:rsidP="000701ED">
      <w:pPr>
        <w:pStyle w:val="MDPI31text"/>
        <w:spacing w:line="360" w:lineRule="auto"/>
        <w:ind w:left="0" w:firstLine="567"/>
        <w:rPr>
          <w:rFonts w:ascii="Times New Roman" w:hAnsi="Times New Roman"/>
          <w:color w:val="auto"/>
          <w:sz w:val="24"/>
        </w:rPr>
      </w:pPr>
    </w:p>
    <w:tbl>
      <w:tblPr>
        <w:tblStyle w:val="ac"/>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1418"/>
      </w:tblGrid>
      <w:tr w:rsidR="000701ED" w:rsidRPr="00D95DBC" w14:paraId="254283BB" w14:textId="77777777" w:rsidTr="00AB4AD8">
        <w:trPr>
          <w:jc w:val="center"/>
        </w:trPr>
        <w:tc>
          <w:tcPr>
            <w:tcW w:w="6374" w:type="dxa"/>
            <w:vAlign w:val="center"/>
          </w:tcPr>
          <w:p w14:paraId="1F915E5D" w14:textId="77777777" w:rsidR="000701ED" w:rsidRPr="00D95DBC" w:rsidRDefault="00000000" w:rsidP="00AB4AD8">
            <w:pPr>
              <w:spacing w:line="360" w:lineRule="auto"/>
              <w:jc w:val="center"/>
              <w:rPr>
                <w:color w:val="auto"/>
                <w:szCs w:val="24"/>
              </w:rPr>
            </w:pPr>
            <m:oMath>
              <m:sSub>
                <m:sSubPr>
                  <m:ctrlPr>
                    <w:rPr>
                      <w:rFonts w:ascii="Cambria Math" w:hAnsi="Cambria Math"/>
                      <w:i/>
                      <w:color w:val="auto"/>
                      <w:szCs w:val="24"/>
                    </w:rPr>
                  </m:ctrlPr>
                </m:sSubPr>
                <m:e>
                  <m:r>
                    <w:rPr>
                      <w:rFonts w:ascii="Cambria Math" w:hAnsi="Cambria Math"/>
                      <w:color w:val="auto"/>
                      <w:szCs w:val="24"/>
                    </w:rPr>
                    <m:t>q</m:t>
                  </m:r>
                </m:e>
                <m:sub>
                  <m:r>
                    <w:rPr>
                      <w:rFonts w:ascii="Cambria Math" w:hAnsi="Cambria Math"/>
                      <w:color w:val="auto"/>
                      <w:szCs w:val="24"/>
                    </w:rPr>
                    <m:t>e</m:t>
                  </m:r>
                </m:sub>
              </m:sSub>
              <m:r>
                <w:rPr>
                  <w:rFonts w:ascii="Cambria Math" w:hAnsi="Cambria Math"/>
                  <w:color w:val="auto"/>
                  <w:szCs w:val="24"/>
                </w:rPr>
                <m:t>=</m:t>
              </m:r>
              <m:sSub>
                <m:sSubPr>
                  <m:ctrlPr>
                    <w:rPr>
                      <w:rFonts w:ascii="Cambria Math" w:hAnsi="Cambria Math"/>
                      <w:i/>
                      <w:color w:val="auto"/>
                      <w:szCs w:val="24"/>
                    </w:rPr>
                  </m:ctrlPr>
                </m:sSubPr>
                <m:e>
                  <m:r>
                    <w:rPr>
                      <w:rFonts w:ascii="Cambria Math" w:hAnsi="Cambria Math"/>
                      <w:color w:val="auto"/>
                      <w:szCs w:val="24"/>
                    </w:rPr>
                    <m:t>q</m:t>
                  </m:r>
                </m:e>
                <m:sub>
                  <m:r>
                    <w:rPr>
                      <w:rFonts w:ascii="Cambria Math" w:hAnsi="Cambria Math"/>
                      <w:color w:val="auto"/>
                      <w:szCs w:val="24"/>
                    </w:rPr>
                    <m:t>∞</m:t>
                  </m:r>
                </m:sub>
              </m:sSub>
              <m:f>
                <m:fPr>
                  <m:ctrlPr>
                    <w:rPr>
                      <w:rFonts w:ascii="Cambria Math" w:hAnsi="Cambria Math"/>
                      <w:i/>
                      <w:color w:val="auto"/>
                      <w:szCs w:val="24"/>
                    </w:rPr>
                  </m:ctrlPr>
                </m:fPr>
                <m:num>
                  <m:r>
                    <w:rPr>
                      <w:rFonts w:ascii="Cambria Math" w:hAnsi="Cambria Math"/>
                      <w:color w:val="auto"/>
                      <w:szCs w:val="24"/>
                    </w:rPr>
                    <m:t>K</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e</m:t>
                      </m:r>
                    </m:sub>
                  </m:sSub>
                </m:num>
                <m:den>
                  <m:r>
                    <w:rPr>
                      <w:rFonts w:ascii="Cambria Math" w:hAnsi="Cambria Math"/>
                      <w:color w:val="auto"/>
                      <w:szCs w:val="24"/>
                    </w:rPr>
                    <m:t>1+K</m:t>
                  </m:r>
                  <m:sSub>
                    <m:sSubPr>
                      <m:ctrlPr>
                        <w:rPr>
                          <w:rFonts w:ascii="Cambria Math" w:hAnsi="Cambria Math"/>
                          <w:i/>
                          <w:color w:val="auto"/>
                          <w:szCs w:val="24"/>
                        </w:rPr>
                      </m:ctrlPr>
                    </m:sSubPr>
                    <m:e>
                      <m:r>
                        <w:rPr>
                          <w:rFonts w:ascii="Cambria Math" w:hAnsi="Cambria Math"/>
                          <w:color w:val="auto"/>
                          <w:szCs w:val="24"/>
                        </w:rPr>
                        <m:t>C</m:t>
                      </m:r>
                    </m:e>
                    <m:sub>
                      <m:r>
                        <w:rPr>
                          <w:rFonts w:ascii="Cambria Math" w:hAnsi="Cambria Math"/>
                          <w:color w:val="auto"/>
                          <w:szCs w:val="24"/>
                        </w:rPr>
                        <m:t>e</m:t>
                      </m:r>
                    </m:sub>
                  </m:sSub>
                </m:den>
              </m:f>
            </m:oMath>
            <w:r w:rsidR="000701ED" w:rsidRPr="00D95DBC">
              <w:rPr>
                <w:color w:val="auto"/>
                <w:szCs w:val="24"/>
              </w:rPr>
              <w:t>,</w:t>
            </w:r>
          </w:p>
        </w:tc>
        <w:tc>
          <w:tcPr>
            <w:tcW w:w="1418" w:type="dxa"/>
            <w:vAlign w:val="center"/>
          </w:tcPr>
          <w:p w14:paraId="26DDC7B0" w14:textId="77777777" w:rsidR="000701ED" w:rsidRPr="00D95DBC" w:rsidRDefault="000701ED" w:rsidP="00AB4AD8">
            <w:pPr>
              <w:spacing w:line="360" w:lineRule="auto"/>
              <w:jc w:val="right"/>
              <w:rPr>
                <w:color w:val="auto"/>
                <w:szCs w:val="24"/>
                <w:lang w:val="ru-RU"/>
              </w:rPr>
            </w:pPr>
            <w:r w:rsidRPr="00D95DBC">
              <w:rPr>
                <w:color w:val="auto"/>
                <w:szCs w:val="24"/>
              </w:rPr>
              <w:t>(2</w:t>
            </w:r>
            <w:r w:rsidRPr="00D95DBC">
              <w:rPr>
                <w:color w:val="auto"/>
                <w:szCs w:val="24"/>
                <w:lang w:val="ru-RU"/>
              </w:rPr>
              <w:t>)</w:t>
            </w:r>
          </w:p>
        </w:tc>
      </w:tr>
    </w:tbl>
    <w:p w14:paraId="03C459C8" w14:textId="77777777" w:rsidR="000701ED" w:rsidRPr="00D95DBC" w:rsidRDefault="000701ED" w:rsidP="000701ED">
      <w:pPr>
        <w:pStyle w:val="MDPI31text"/>
        <w:spacing w:line="360" w:lineRule="auto"/>
        <w:ind w:left="0" w:firstLine="0"/>
        <w:rPr>
          <w:rFonts w:ascii="Times New Roman" w:hAnsi="Times New Roman"/>
          <w:color w:val="auto"/>
          <w:sz w:val="24"/>
        </w:rPr>
      </w:pPr>
    </w:p>
    <w:p w14:paraId="1EB4EDA7" w14:textId="77777777" w:rsidR="000701ED" w:rsidRPr="00D95DBC" w:rsidRDefault="000701ED" w:rsidP="000701ED">
      <w:pPr>
        <w:pStyle w:val="MDPI31text"/>
        <w:spacing w:line="360" w:lineRule="auto"/>
        <w:ind w:left="0" w:firstLine="0"/>
        <w:rPr>
          <w:rFonts w:ascii="Times New Roman" w:hAnsi="Times New Roman"/>
          <w:color w:val="auto"/>
          <w:sz w:val="24"/>
        </w:rPr>
      </w:pPr>
      <w:r w:rsidRPr="00D95DBC">
        <w:rPr>
          <w:rFonts w:ascii="Times New Roman" w:hAnsi="Times New Roman"/>
          <w:color w:val="auto"/>
          <w:sz w:val="24"/>
        </w:rPr>
        <w:t xml:space="preserve">where </w:t>
      </w:r>
      <w:r w:rsidRPr="00D95DBC">
        <w:rPr>
          <w:rFonts w:ascii="Times New Roman" w:hAnsi="Times New Roman"/>
          <w:i/>
          <w:color w:val="auto"/>
          <w:sz w:val="24"/>
        </w:rPr>
        <w:t>K</w:t>
      </w:r>
      <w:r w:rsidRPr="00D95DBC">
        <w:rPr>
          <w:rFonts w:ascii="Times New Roman" w:hAnsi="Times New Roman"/>
          <w:color w:val="auto"/>
          <w:sz w:val="24"/>
        </w:rPr>
        <w:t xml:space="preserve"> is the adsorption equilibrium constant.</w:t>
      </w:r>
    </w:p>
    <w:p w14:paraId="1E0DE8A7" w14:textId="77777777" w:rsidR="000701ED" w:rsidRPr="00D95DBC" w:rsidRDefault="000701ED" w:rsidP="000701ED">
      <w:pPr>
        <w:pStyle w:val="MDPI31text"/>
        <w:spacing w:line="360" w:lineRule="auto"/>
        <w:ind w:left="0" w:firstLine="567"/>
        <w:rPr>
          <w:rFonts w:ascii="Times New Roman" w:hAnsi="Times New Roman"/>
          <w:color w:val="auto"/>
          <w:sz w:val="24"/>
        </w:rPr>
      </w:pPr>
      <w:r w:rsidRPr="00D95DBC">
        <w:rPr>
          <w:rFonts w:ascii="Times New Roman" w:hAnsi="Times New Roman"/>
          <w:color w:val="auto"/>
          <w:sz w:val="24"/>
        </w:rPr>
        <w:t>From this equation, the adsorption constant was graphically determined for all tested components of natural and waste water.</w:t>
      </w:r>
    </w:p>
    <w:p w14:paraId="16A2FF00" w14:textId="77777777" w:rsidR="000701ED" w:rsidRPr="00D95DBC" w:rsidRDefault="000701ED" w:rsidP="000701ED">
      <w:pPr>
        <w:pStyle w:val="MDPI31text"/>
        <w:spacing w:line="360" w:lineRule="auto"/>
        <w:ind w:left="0" w:firstLine="567"/>
        <w:rPr>
          <w:rFonts w:ascii="Times New Roman" w:hAnsi="Times New Roman"/>
          <w:color w:val="auto"/>
          <w:sz w:val="24"/>
        </w:rPr>
      </w:pPr>
    </w:p>
    <w:p w14:paraId="061D5C8C" w14:textId="2D9A639D" w:rsidR="000701ED" w:rsidRPr="00D95DBC" w:rsidRDefault="000701ED" w:rsidP="000701ED">
      <w:pPr>
        <w:pStyle w:val="MDPI22heading2"/>
        <w:numPr>
          <w:ilvl w:val="1"/>
          <w:numId w:val="30"/>
        </w:numPr>
        <w:tabs>
          <w:tab w:val="left" w:pos="567"/>
        </w:tabs>
        <w:spacing w:before="0" w:after="0" w:line="360" w:lineRule="auto"/>
        <w:ind w:left="0" w:firstLine="0"/>
        <w:jc w:val="both"/>
        <w:outlineLvl w:val="9"/>
        <w:rPr>
          <w:rFonts w:ascii="Times New Roman" w:hAnsi="Times New Roman"/>
          <w:b/>
          <w:i w:val="0"/>
          <w:color w:val="auto"/>
          <w:sz w:val="24"/>
          <w:szCs w:val="24"/>
        </w:rPr>
      </w:pPr>
      <w:r w:rsidRPr="00D95DBC">
        <w:rPr>
          <w:rFonts w:ascii="Times New Roman" w:hAnsi="Times New Roman"/>
          <w:b/>
          <w:i w:val="0"/>
          <w:color w:val="auto"/>
          <w:sz w:val="24"/>
          <w:szCs w:val="24"/>
        </w:rPr>
        <w:t>Statistical Analysis</w:t>
      </w:r>
    </w:p>
    <w:p w14:paraId="6C2BA59D" w14:textId="2F742D85" w:rsidR="00397A3C" w:rsidRPr="00D95DBC" w:rsidRDefault="000701ED" w:rsidP="000701ED">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Each experiment was repeated three times and data were expressed as means ± SE. Data processing was carried out by standard methods of mathematical statistics. Homogeneity of the sampling effects was checked using the Student’s t-test. Differences between means were considered significant when the confidence interval was smaller than 5% (</w:t>
      </w:r>
      <w:r w:rsidRPr="00D95DBC">
        <w:rPr>
          <w:rFonts w:ascii="Times New Roman" w:hAnsi="Times New Roman"/>
          <w:i/>
          <w:color w:val="auto"/>
          <w:sz w:val="24"/>
          <w:szCs w:val="24"/>
        </w:rPr>
        <w:t>P</w:t>
      </w:r>
      <w:r w:rsidRPr="00D95DBC">
        <w:rPr>
          <w:rFonts w:ascii="Times New Roman" w:hAnsi="Times New Roman"/>
          <w:color w:val="auto"/>
          <w:sz w:val="24"/>
          <w:szCs w:val="24"/>
        </w:rPr>
        <w:t>≤ 0.05)</w:t>
      </w:r>
      <w:r w:rsidR="00397A3C" w:rsidRPr="00D95DBC">
        <w:rPr>
          <w:rFonts w:ascii="Times New Roman" w:hAnsi="Times New Roman"/>
          <w:color w:val="auto"/>
          <w:sz w:val="24"/>
          <w:szCs w:val="24"/>
        </w:rPr>
        <w:t>.</w:t>
      </w:r>
    </w:p>
    <w:p w14:paraId="617D5911" w14:textId="77777777" w:rsidR="00397A3C" w:rsidRPr="00D95DBC" w:rsidRDefault="00397A3C" w:rsidP="000701ED">
      <w:pPr>
        <w:pStyle w:val="MDPI31text"/>
        <w:spacing w:line="360" w:lineRule="auto"/>
        <w:ind w:left="0" w:firstLine="567"/>
        <w:rPr>
          <w:rFonts w:ascii="Times New Roman" w:eastAsia="Batang" w:hAnsi="Times New Roman"/>
          <w:color w:val="auto"/>
          <w:sz w:val="24"/>
          <w:szCs w:val="24"/>
        </w:rPr>
      </w:pPr>
    </w:p>
    <w:p w14:paraId="20CEC3B5" w14:textId="0AF6AD77" w:rsidR="00397A3C" w:rsidRPr="00D95DBC" w:rsidRDefault="007E36A6"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D95DBC">
        <w:rPr>
          <w:rFonts w:ascii="Times New Roman" w:hAnsi="Times New Roman"/>
          <w:color w:val="auto"/>
          <w:sz w:val="24"/>
          <w:szCs w:val="24"/>
        </w:rPr>
        <w:t>RESULTS AND DISCUSSION</w:t>
      </w:r>
    </w:p>
    <w:p w14:paraId="6D1634CA" w14:textId="3961AA14" w:rsidR="00140D10" w:rsidRPr="00D95DBC" w:rsidRDefault="00140D10" w:rsidP="00140D10">
      <w:pPr>
        <w:pStyle w:val="afd"/>
        <w:numPr>
          <w:ilvl w:val="1"/>
          <w:numId w:val="30"/>
        </w:numPr>
        <w:tabs>
          <w:tab w:val="left" w:pos="567"/>
        </w:tabs>
        <w:spacing w:line="360" w:lineRule="auto"/>
        <w:ind w:left="0" w:firstLine="0"/>
        <w:contextualSpacing w:val="0"/>
      </w:pPr>
      <w:r w:rsidRPr="00D95DBC">
        <w:rPr>
          <w:b/>
        </w:rPr>
        <w:t>Results of the Study of Physical and Chemical Properties and Ecotoxicological Characteristics of the Samples</w:t>
      </w:r>
    </w:p>
    <w:p w14:paraId="07F4223F" w14:textId="18A7EBA2"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At the preliminary stage, we worked out the silver nanoparticles synthesis technology, synthesized by the method (</w:t>
      </w:r>
      <w:proofErr w:type="spellStart"/>
      <w:r w:rsidRPr="00D95DBC">
        <w:rPr>
          <w:rStyle w:val="af1"/>
          <w:rFonts w:ascii="Times New Roman" w:eastAsiaTheme="majorEastAsia" w:hAnsi="Times New Roman"/>
          <w:color w:val="auto"/>
          <w:sz w:val="24"/>
          <w:szCs w:val="24"/>
          <w:u w:val="none"/>
          <w:shd w:val="clear" w:color="auto" w:fill="FFFFFF"/>
        </w:rPr>
        <w:t>Dyshlyuk</w:t>
      </w:r>
      <w:proofErr w:type="spellEnd"/>
      <w:r w:rsidRPr="00D95DBC">
        <w:rPr>
          <w:rStyle w:val="af1"/>
          <w:rFonts w:ascii="Times New Roman" w:eastAsiaTheme="majorEastAsia" w:hAnsi="Times New Roman"/>
          <w:color w:val="auto"/>
          <w:sz w:val="24"/>
          <w:szCs w:val="24"/>
          <w:u w:val="none"/>
          <w:shd w:val="clear" w:color="auto" w:fill="FFFFFF"/>
        </w:rPr>
        <w:t xml:space="preserve"> et al. 2020a, 2020b</w:t>
      </w:r>
      <w:r w:rsidRPr="00D95DBC">
        <w:rPr>
          <w:rFonts w:ascii="Times New Roman" w:hAnsi="Times New Roman"/>
          <w:color w:val="auto"/>
          <w:sz w:val="24"/>
          <w:szCs w:val="24"/>
        </w:rPr>
        <w:t xml:space="preserve">). Initially, carbon materials were modified by introducing noble metal nanoparticles (silver, gold, platinum, rhodium, and palladium) into the matrix. Suspensions of coal waste (5.0 – 25.0 wt. %) and nanoparticles (0.05 – 0.5 wt. %) in polydimethylsiloxane and </w:t>
      </w:r>
      <w:proofErr w:type="spellStart"/>
      <w:r w:rsidRPr="00D95DBC">
        <w:rPr>
          <w:rFonts w:ascii="Times New Roman" w:hAnsi="Times New Roman"/>
          <w:color w:val="auto"/>
          <w:sz w:val="24"/>
          <w:szCs w:val="24"/>
        </w:rPr>
        <w:t>dimethylsulfoxide</w:t>
      </w:r>
      <w:proofErr w:type="spellEnd"/>
      <w:r w:rsidRPr="00D95DBC">
        <w:rPr>
          <w:rFonts w:ascii="Times New Roman" w:hAnsi="Times New Roman"/>
          <w:color w:val="auto"/>
          <w:sz w:val="24"/>
          <w:szCs w:val="24"/>
        </w:rPr>
        <w:t xml:space="preserve"> were irradiated with infrared </w:t>
      </w:r>
      <w:r w:rsidRPr="00D95DBC">
        <w:rPr>
          <w:rFonts w:ascii="Times New Roman" w:hAnsi="Times New Roman"/>
          <w:color w:val="auto"/>
          <w:sz w:val="24"/>
          <w:szCs w:val="24"/>
        </w:rPr>
        <w:lastRenderedPageBreak/>
        <w:t xml:space="preserve">light with a wavelength of 1200 nm for 60 min (the surface area of the samples increased to 18%, the sorption capacity rose to 54% compared to the original carbon carriers). The best indicators (surface area, sorption capacity) were achieved in the samples with a coal waste concentration of 10.0 wt. % and a concentration of silver nanoparticles of 0.25 wt. %. Silver is able to catalytically oxidize organic compounds on its surface and induces more efficient catalytic oxidation than other metals due to its large specific surface area (Fu et al. 2022; </w:t>
      </w:r>
      <w:proofErr w:type="spellStart"/>
      <w:r w:rsidR="004B4FB2" w:rsidRPr="00D95DBC">
        <w:rPr>
          <w:rFonts w:ascii="Times New Roman" w:hAnsi="Times New Roman"/>
          <w:color w:val="auto"/>
          <w:sz w:val="24"/>
          <w:szCs w:val="24"/>
        </w:rPr>
        <w:t>Nakatsuji</w:t>
      </w:r>
      <w:proofErr w:type="spellEnd"/>
      <w:r w:rsidR="004B4FB2" w:rsidRPr="00D95DBC">
        <w:rPr>
          <w:rFonts w:ascii="Times New Roman" w:hAnsi="Times New Roman"/>
          <w:color w:val="auto"/>
          <w:sz w:val="24"/>
          <w:szCs w:val="24"/>
        </w:rPr>
        <w:t xml:space="preserve"> et al.</w:t>
      </w:r>
      <w:r w:rsidRPr="00D95DBC">
        <w:rPr>
          <w:rFonts w:ascii="Times New Roman" w:hAnsi="Times New Roman"/>
          <w:color w:val="auto"/>
          <w:sz w:val="24"/>
          <w:szCs w:val="24"/>
        </w:rPr>
        <w:t xml:space="preserve"> 1997). In addition, it was noted that this ability also depends on the size and/or shape of the nanoparticles (Al-</w:t>
      </w:r>
      <w:proofErr w:type="spellStart"/>
      <w:r w:rsidRPr="00D95DBC">
        <w:rPr>
          <w:rFonts w:ascii="Times New Roman" w:hAnsi="Times New Roman"/>
          <w:color w:val="auto"/>
          <w:sz w:val="24"/>
          <w:szCs w:val="24"/>
        </w:rPr>
        <w:t>Onazi</w:t>
      </w:r>
      <w:proofErr w:type="spellEnd"/>
      <w:r w:rsidRPr="00D95DBC">
        <w:rPr>
          <w:rFonts w:ascii="Times New Roman" w:hAnsi="Times New Roman"/>
          <w:color w:val="auto"/>
          <w:sz w:val="24"/>
          <w:szCs w:val="24"/>
        </w:rPr>
        <w:t xml:space="preserve"> </w:t>
      </w:r>
      <w:r w:rsidR="00FE50D0" w:rsidRPr="00D95DBC">
        <w:rPr>
          <w:rFonts w:ascii="Times New Roman" w:hAnsi="Times New Roman"/>
          <w:color w:val="auto"/>
          <w:sz w:val="24"/>
          <w:szCs w:val="24"/>
        </w:rPr>
        <w:t>and</w:t>
      </w:r>
      <w:r w:rsidRPr="00D95DBC">
        <w:rPr>
          <w:rFonts w:ascii="Times New Roman" w:hAnsi="Times New Roman"/>
          <w:color w:val="auto"/>
          <w:sz w:val="24"/>
          <w:szCs w:val="24"/>
        </w:rPr>
        <w:t xml:space="preserve"> Abdel-Lateef 2022). </w:t>
      </w:r>
    </w:p>
    <w:p w14:paraId="3BD27DEA"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In his research, Jain et al. (2021) pointed out that a number of toxic elements were removed from drinking water using </w:t>
      </w:r>
      <w:proofErr w:type="spellStart"/>
      <w:r w:rsidRPr="00D95DBC">
        <w:rPr>
          <w:rFonts w:ascii="Times New Roman" w:hAnsi="Times New Roman"/>
          <w:color w:val="auto"/>
          <w:sz w:val="24"/>
          <w:szCs w:val="24"/>
        </w:rPr>
        <w:t>nanosilver</w:t>
      </w:r>
      <w:proofErr w:type="spellEnd"/>
      <w:r w:rsidRPr="00D95DBC">
        <w:rPr>
          <w:rFonts w:ascii="Times New Roman" w:hAnsi="Times New Roman"/>
          <w:color w:val="auto"/>
          <w:sz w:val="24"/>
          <w:szCs w:val="24"/>
        </w:rPr>
        <w:t>. The author also shows that nanometals are considered highly effective adsorbents for the removal of heavy metals and radionuclides. Singh et al. (2022) also revealed the potential of using noble metal nanoparticles to absorb pollutants and bacteria. Having a high adsorption capacity, nanoparticles successfully absorb mercury, for example.</w:t>
      </w:r>
    </w:p>
    <w:p w14:paraId="1535483C"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The results of the study of physical and chemical properties and ecotoxicological characteristics of sorption-catalytic materials are presented in Figures 1-4 and Tables 2-4.</w:t>
      </w:r>
    </w:p>
    <w:p w14:paraId="3820F18D" w14:textId="77777777" w:rsidR="00140D10" w:rsidRPr="00D95DBC" w:rsidRDefault="00140D10" w:rsidP="00140D10">
      <w:pPr>
        <w:pStyle w:val="MDPI31text"/>
        <w:spacing w:line="360" w:lineRule="auto"/>
        <w:ind w:left="0" w:firstLine="567"/>
        <w:rPr>
          <w:rFonts w:ascii="Times New Roman" w:hAnsi="Times New Roman"/>
          <w:color w:val="auto"/>
          <w:spacing w:val="-4"/>
          <w:sz w:val="24"/>
          <w:szCs w:val="24"/>
        </w:rPr>
      </w:pPr>
      <w:r w:rsidRPr="00D95DBC">
        <w:rPr>
          <w:rFonts w:ascii="Times New Roman" w:hAnsi="Times New Roman"/>
          <w:color w:val="auto"/>
          <w:spacing w:val="-4"/>
          <w:sz w:val="24"/>
          <w:szCs w:val="24"/>
        </w:rPr>
        <w:t>Mineral component (Fig. 1, Table 2) of the surface of sorption-catalytic materials is mainly represented by silicon dioxide (75.4-77.0 %), aluminum oxide (9.5-10.1%) and iron oxide (8.5-8.9%).</w:t>
      </w:r>
    </w:p>
    <w:p w14:paraId="62DF7A33" w14:textId="2B6EED9E"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Similar results were obtained by other researchers (</w:t>
      </w:r>
      <w:r w:rsidRPr="00D95DBC">
        <w:rPr>
          <w:rFonts w:ascii="Times New Roman" w:hAnsi="Times New Roman"/>
          <w:color w:val="auto"/>
          <w:sz w:val="24"/>
          <w:szCs w:val="24"/>
          <w:shd w:val="clear" w:color="auto" w:fill="FFFFFF"/>
        </w:rPr>
        <w:t xml:space="preserve">Kotsiopoulos </w:t>
      </w:r>
      <w:r w:rsidR="004B4FB2" w:rsidRPr="00D95DBC">
        <w:rPr>
          <w:rFonts w:ascii="Times New Roman" w:hAnsi="Times New Roman"/>
          <w:color w:val="auto"/>
          <w:sz w:val="24"/>
          <w:szCs w:val="24"/>
          <w:shd w:val="clear" w:color="auto" w:fill="FFFFFF"/>
        </w:rPr>
        <w:t>and</w:t>
      </w:r>
      <w:r w:rsidRPr="00D95DBC">
        <w:rPr>
          <w:rFonts w:ascii="Times New Roman" w:hAnsi="Times New Roman"/>
          <w:color w:val="auto"/>
          <w:sz w:val="24"/>
          <w:szCs w:val="24"/>
          <w:shd w:val="clear" w:color="auto" w:fill="FFFFFF"/>
        </w:rPr>
        <w:t xml:space="preserve"> Harrison 2017; </w:t>
      </w:r>
      <w:proofErr w:type="spellStart"/>
      <w:r w:rsidRPr="00D95DBC">
        <w:rPr>
          <w:rFonts w:ascii="Times New Roman" w:hAnsi="Times New Roman"/>
          <w:color w:val="auto"/>
          <w:sz w:val="24"/>
          <w:szCs w:val="24"/>
          <w:shd w:val="clear" w:color="auto" w:fill="FFFFFF"/>
        </w:rPr>
        <w:t>Letina</w:t>
      </w:r>
      <w:proofErr w:type="spellEnd"/>
      <w:r w:rsidRPr="00D95DBC">
        <w:rPr>
          <w:rFonts w:ascii="Times New Roman" w:hAnsi="Times New Roman"/>
          <w:color w:val="auto"/>
          <w:sz w:val="24"/>
          <w:szCs w:val="24"/>
          <w:shd w:val="clear" w:color="auto" w:fill="FFFFFF"/>
        </w:rPr>
        <w:t xml:space="preserve"> </w:t>
      </w:r>
      <w:r w:rsidR="004B4FB2" w:rsidRPr="00D95DBC">
        <w:rPr>
          <w:rFonts w:ascii="Times New Roman" w:hAnsi="Times New Roman"/>
          <w:color w:val="auto"/>
          <w:sz w:val="24"/>
          <w:szCs w:val="24"/>
          <w:shd w:val="clear" w:color="auto" w:fill="FFFFFF"/>
        </w:rPr>
        <w:t>and</w:t>
      </w:r>
      <w:r w:rsidRPr="00D95DBC">
        <w:rPr>
          <w:rFonts w:ascii="Times New Roman" w:hAnsi="Times New Roman"/>
          <w:color w:val="auto"/>
          <w:sz w:val="24"/>
          <w:szCs w:val="24"/>
          <w:shd w:val="clear" w:color="auto" w:fill="FFFFFF"/>
        </w:rPr>
        <w:t xml:space="preserve"> </w:t>
      </w:r>
      <w:proofErr w:type="spellStart"/>
      <w:r w:rsidRPr="00D95DBC">
        <w:rPr>
          <w:rFonts w:ascii="Times New Roman" w:hAnsi="Times New Roman"/>
          <w:color w:val="auto"/>
          <w:sz w:val="24"/>
          <w:szCs w:val="24"/>
          <w:shd w:val="clear" w:color="auto" w:fill="FFFFFF"/>
        </w:rPr>
        <w:t>Letshwenyo</w:t>
      </w:r>
      <w:proofErr w:type="spellEnd"/>
      <w:r w:rsidRPr="00D95DBC">
        <w:rPr>
          <w:rFonts w:ascii="Times New Roman" w:hAnsi="Times New Roman"/>
          <w:color w:val="auto"/>
          <w:sz w:val="24"/>
          <w:szCs w:val="24"/>
          <w:shd w:val="clear" w:color="auto" w:fill="FFFFFF"/>
        </w:rPr>
        <w:t xml:space="preserve"> 2018</w:t>
      </w:r>
      <w:r w:rsidRPr="00D95DBC">
        <w:rPr>
          <w:rFonts w:ascii="Times New Roman" w:hAnsi="Times New Roman"/>
          <w:color w:val="auto"/>
          <w:sz w:val="24"/>
          <w:szCs w:val="24"/>
        </w:rPr>
        <w:t>). The following compounds present in different types of coal mining waste are dominant: iron oxide Fe</w:t>
      </w:r>
      <w:r w:rsidRPr="00D95DBC">
        <w:rPr>
          <w:rFonts w:ascii="Times New Roman" w:hAnsi="Times New Roman"/>
          <w:color w:val="auto"/>
          <w:sz w:val="24"/>
          <w:szCs w:val="24"/>
          <w:vertAlign w:val="subscript"/>
        </w:rPr>
        <w:t>2</w:t>
      </w:r>
      <w:r w:rsidRPr="00D95DBC">
        <w:rPr>
          <w:rFonts w:ascii="Times New Roman" w:hAnsi="Times New Roman"/>
          <w:color w:val="auto"/>
          <w:sz w:val="24"/>
          <w:szCs w:val="24"/>
        </w:rPr>
        <w:t>O</w:t>
      </w:r>
      <w:r w:rsidRPr="00D95DBC">
        <w:rPr>
          <w:rFonts w:ascii="Times New Roman" w:hAnsi="Times New Roman"/>
          <w:color w:val="auto"/>
          <w:sz w:val="24"/>
          <w:szCs w:val="24"/>
          <w:vertAlign w:val="subscript"/>
        </w:rPr>
        <w:t>3</w:t>
      </w:r>
      <w:r w:rsidRPr="00D95DBC">
        <w:rPr>
          <w:rFonts w:ascii="Times New Roman" w:hAnsi="Times New Roman"/>
          <w:color w:val="auto"/>
          <w:sz w:val="24"/>
          <w:szCs w:val="24"/>
        </w:rPr>
        <w:t xml:space="preserve"> from 5% to 45%, silicon oxide SiO</w:t>
      </w:r>
      <w:r w:rsidRPr="00D95DBC">
        <w:rPr>
          <w:rFonts w:ascii="Times New Roman" w:hAnsi="Times New Roman"/>
          <w:color w:val="auto"/>
          <w:sz w:val="24"/>
          <w:szCs w:val="24"/>
          <w:vertAlign w:val="subscript"/>
        </w:rPr>
        <w:t>2</w:t>
      </w:r>
      <w:r w:rsidRPr="00D95DBC">
        <w:rPr>
          <w:rFonts w:ascii="Times New Roman" w:hAnsi="Times New Roman"/>
          <w:color w:val="auto"/>
          <w:sz w:val="24"/>
          <w:szCs w:val="24"/>
        </w:rPr>
        <w:t xml:space="preserve"> from 15% to 70%, and aluminum oxide Al</w:t>
      </w:r>
      <w:r w:rsidRPr="00D95DBC">
        <w:rPr>
          <w:rFonts w:ascii="Times New Roman" w:hAnsi="Times New Roman"/>
          <w:color w:val="auto"/>
          <w:sz w:val="24"/>
          <w:szCs w:val="24"/>
          <w:vertAlign w:val="subscript"/>
        </w:rPr>
        <w:t>2</w:t>
      </w:r>
      <w:r w:rsidRPr="00D95DBC">
        <w:rPr>
          <w:rFonts w:ascii="Times New Roman" w:hAnsi="Times New Roman"/>
          <w:color w:val="auto"/>
          <w:sz w:val="24"/>
          <w:szCs w:val="24"/>
        </w:rPr>
        <w:t>O</w:t>
      </w:r>
      <w:r w:rsidRPr="00D95DBC">
        <w:rPr>
          <w:rFonts w:ascii="Times New Roman" w:hAnsi="Times New Roman"/>
          <w:color w:val="auto"/>
          <w:sz w:val="24"/>
          <w:szCs w:val="24"/>
          <w:vertAlign w:val="subscript"/>
        </w:rPr>
        <w:t>3</w:t>
      </w:r>
      <w:r w:rsidRPr="00D95DBC">
        <w:rPr>
          <w:rFonts w:ascii="Times New Roman" w:hAnsi="Times New Roman"/>
          <w:color w:val="auto"/>
          <w:sz w:val="24"/>
          <w:szCs w:val="24"/>
        </w:rPr>
        <w:t xml:space="preserve"> from 3% to 15%. Content variations are determined by the characteristics of coal formations from the deposits under consideration. It is known that both iron oxide and silicon oxide influence the efficiency of adsorption of heavy metals from aqueous solutions (</w:t>
      </w:r>
      <w:proofErr w:type="spellStart"/>
      <w:r w:rsidR="00EE0784" w:rsidRPr="00D95DBC">
        <w:rPr>
          <w:rFonts w:ascii="Times New Roman" w:hAnsi="Times New Roman"/>
          <w:color w:val="auto"/>
          <w:sz w:val="24"/>
          <w:szCs w:val="24"/>
          <w:shd w:val="clear" w:color="auto" w:fill="FFFFFF"/>
        </w:rPr>
        <w:t>Rezaee</w:t>
      </w:r>
      <w:proofErr w:type="spellEnd"/>
      <w:r w:rsidR="00EE0784" w:rsidRPr="00D95DBC">
        <w:rPr>
          <w:rFonts w:ascii="Times New Roman" w:hAnsi="Times New Roman"/>
          <w:color w:val="auto"/>
          <w:sz w:val="24"/>
          <w:szCs w:val="24"/>
          <w:shd w:val="clear" w:color="auto" w:fill="FFFFFF"/>
        </w:rPr>
        <w:t xml:space="preserve"> et al. 2019; Tang and</w:t>
      </w:r>
      <w:r w:rsidRPr="00D95DBC">
        <w:rPr>
          <w:rFonts w:ascii="Times New Roman" w:hAnsi="Times New Roman"/>
          <w:color w:val="auto"/>
          <w:sz w:val="24"/>
          <w:szCs w:val="24"/>
          <w:shd w:val="clear" w:color="auto" w:fill="FFFFFF"/>
        </w:rPr>
        <w:t xml:space="preserve"> Lo 2013</w:t>
      </w:r>
      <w:r w:rsidRPr="00D95DBC">
        <w:rPr>
          <w:rFonts w:ascii="Times New Roman" w:hAnsi="Times New Roman"/>
          <w:color w:val="auto"/>
          <w:sz w:val="24"/>
          <w:szCs w:val="24"/>
        </w:rPr>
        <w:t>), so our samples have a certain adsorbent potential that requires additional research.</w:t>
      </w:r>
    </w:p>
    <w:p w14:paraId="325FD769"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The results of calculating the content of amorphous (carbon component) and crystalline (nanoscale silver) phases of sorption-catalytic sample materials are presented in Figure 2. The figure shows a peak with a higher intensity at 2</w:t>
      </w:r>
      <w:r w:rsidRPr="00D95DBC">
        <w:rPr>
          <w:rFonts w:ascii="Times New Roman" w:hAnsi="Times New Roman"/>
          <w:color w:val="auto"/>
          <w:sz w:val="24"/>
          <w:szCs w:val="24"/>
        </w:rPr>
        <w:sym w:font="Symbol" w:char="F051"/>
      </w:r>
      <w:r w:rsidRPr="00D95DBC">
        <w:rPr>
          <w:rFonts w:ascii="Times New Roman" w:hAnsi="Times New Roman"/>
          <w:color w:val="auto"/>
          <w:sz w:val="24"/>
          <w:szCs w:val="24"/>
        </w:rPr>
        <w:t>=20 in the spectrum of samples No.No.1-3, which determines their greater crystallinity vs. samples No.4 and No.5.</w:t>
      </w:r>
    </w:p>
    <w:p w14:paraId="21D7ABAA"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Figure 3 shows the crystal size distributions in the studied samples. It was found out that 3-4 nm crystallites dominated in all tested samples. Although there exist a level of disparity </w:t>
      </w:r>
      <w:r w:rsidRPr="00D95DBC">
        <w:rPr>
          <w:rFonts w:ascii="Times New Roman" w:hAnsi="Times New Roman"/>
          <w:color w:val="auto"/>
          <w:sz w:val="24"/>
          <w:szCs w:val="24"/>
        </w:rPr>
        <w:lastRenderedPageBreak/>
        <w:t xml:space="preserve">among silver nanoparticles size. Numerous studies reported on using silver nanoparticles which are above 10nm. On the contrary, the study highlights the increased potential of reduce size particle, it also aligns with the study of </w:t>
      </w:r>
      <w:proofErr w:type="spellStart"/>
      <w:r w:rsidRPr="00D95DBC">
        <w:rPr>
          <w:rFonts w:ascii="Times New Roman" w:hAnsi="Times New Roman"/>
          <w:color w:val="auto"/>
          <w:sz w:val="24"/>
          <w:szCs w:val="24"/>
          <w:lang w:eastAsia="zh-CN"/>
        </w:rPr>
        <w:t>Menichetti</w:t>
      </w:r>
      <w:proofErr w:type="spellEnd"/>
      <w:r w:rsidRPr="00D95DBC">
        <w:rPr>
          <w:rFonts w:ascii="Times New Roman" w:hAnsi="Times New Roman"/>
          <w:color w:val="auto"/>
          <w:sz w:val="24"/>
          <w:szCs w:val="24"/>
          <w:lang w:eastAsia="zh-CN"/>
        </w:rPr>
        <w:t xml:space="preserve"> et al. (2023) who concluded that silver nanoparticles at sizes below 5nm performed better than other tested samples.</w:t>
      </w:r>
    </w:p>
    <w:p w14:paraId="69E16E66"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X-ray images of the samples' surface relief (Figure 4) showed that silver nanoparticles are evenly distributed in the amorphous carbon matrix. This aligns with the study of </w:t>
      </w:r>
      <w:proofErr w:type="spellStart"/>
      <w:r w:rsidRPr="00D95DBC">
        <w:rPr>
          <w:rFonts w:ascii="Times New Roman" w:hAnsi="Times New Roman"/>
          <w:color w:val="auto"/>
          <w:sz w:val="24"/>
          <w:szCs w:val="24"/>
          <w:lang w:eastAsia="zh-CN"/>
        </w:rPr>
        <w:t>Streletskiy</w:t>
      </w:r>
      <w:proofErr w:type="spellEnd"/>
      <w:r w:rsidRPr="00D95DBC">
        <w:rPr>
          <w:rFonts w:ascii="Times New Roman" w:hAnsi="Times New Roman"/>
          <w:color w:val="auto"/>
          <w:sz w:val="24"/>
          <w:szCs w:val="24"/>
          <w:lang w:eastAsia="zh-CN"/>
        </w:rPr>
        <w:t xml:space="preserve"> et al. (2022) who attributed the stability of nanoparticles and its effective oxidation and reduction reaction to its even distribution or </w:t>
      </w:r>
      <w:proofErr w:type="spellStart"/>
      <w:r w:rsidRPr="00D95DBC">
        <w:rPr>
          <w:rFonts w:ascii="Times New Roman" w:hAnsi="Times New Roman"/>
          <w:color w:val="auto"/>
          <w:sz w:val="24"/>
          <w:szCs w:val="24"/>
          <w:lang w:eastAsia="zh-CN"/>
        </w:rPr>
        <w:t>monocrystallinity</w:t>
      </w:r>
      <w:proofErr w:type="spellEnd"/>
      <w:r w:rsidRPr="00D95DBC">
        <w:rPr>
          <w:rFonts w:ascii="Times New Roman" w:hAnsi="Times New Roman"/>
          <w:color w:val="auto"/>
          <w:sz w:val="24"/>
          <w:szCs w:val="24"/>
          <w:lang w:eastAsia="zh-CN"/>
        </w:rPr>
        <w:t>.</w:t>
      </w:r>
    </w:p>
    <w:p w14:paraId="08553080"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In terms of quality characteristics (Table 2), all samples of the developed sorption-catalytic materials exceed the control sample (the original nanostructured carbon carrier) by total pore volume by 3.32 times, by micropore volume of up to 2 nm by 4.04 times, and by size of up to 5 nm by 4.87 times. This fact indicates the possibility of using the developed materials as highly effective sorbents.</w:t>
      </w:r>
    </w:p>
    <w:p w14:paraId="47325220"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The microhardness values of the developed sorption-catalytic materials vary from 1.42 to 1.60, which is 1.9 times higher than the microhardness of the control sample.</w:t>
      </w:r>
    </w:p>
    <w:p w14:paraId="7085753B"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The developed materials are characterized by high surface area and sorption capacity values to Ca (OH)</w:t>
      </w:r>
      <w:r w:rsidRPr="00D95DBC">
        <w:rPr>
          <w:rFonts w:ascii="Times New Roman" w:hAnsi="Times New Roman"/>
          <w:color w:val="auto"/>
          <w:sz w:val="24"/>
          <w:szCs w:val="24"/>
          <w:vertAlign w:val="subscript"/>
        </w:rPr>
        <w:t>2</w:t>
      </w:r>
      <w:r w:rsidRPr="00D95DBC">
        <w:rPr>
          <w:rFonts w:ascii="Times New Roman" w:hAnsi="Times New Roman"/>
          <w:color w:val="auto"/>
          <w:sz w:val="24"/>
          <w:szCs w:val="24"/>
        </w:rPr>
        <w:t xml:space="preserve"> (Table 3).</w:t>
      </w:r>
    </w:p>
    <w:p w14:paraId="4AEF4FF2" w14:textId="75D7E769"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For coal mining waste samples No.3 - No.5, the surface area change did not exceed 5%, which is in the margin of statistical error. For samples No.1 and No.2, the increase in quality characteristics was 22% and 17%. The sorption capacity of all carbon carrier samples increased from 57% to 80% after the modification with silver nanoparticles. In (</w:t>
      </w:r>
      <w:r w:rsidR="004B4FB2" w:rsidRPr="00D95DBC">
        <w:rPr>
          <w:rStyle w:val="af1"/>
          <w:rFonts w:ascii="Times New Roman" w:eastAsiaTheme="majorEastAsia" w:hAnsi="Times New Roman"/>
          <w:color w:val="auto"/>
          <w:sz w:val="24"/>
          <w:szCs w:val="24"/>
          <w:u w:val="none"/>
        </w:rPr>
        <w:t>Mishra and</w:t>
      </w:r>
      <w:r w:rsidRPr="00D95DBC">
        <w:rPr>
          <w:rStyle w:val="af1"/>
          <w:rFonts w:ascii="Times New Roman" w:eastAsiaTheme="majorEastAsia" w:hAnsi="Times New Roman"/>
          <w:color w:val="auto"/>
          <w:sz w:val="24"/>
          <w:szCs w:val="24"/>
          <w:u w:val="none"/>
        </w:rPr>
        <w:t xml:space="preserve"> Ghosh 2020</w:t>
      </w:r>
      <w:r w:rsidRPr="00D95DBC">
        <w:rPr>
          <w:rStyle w:val="af1"/>
          <w:rFonts w:ascii="Times New Roman" w:eastAsiaTheme="majorEastAsia" w:hAnsi="Times New Roman"/>
          <w:color w:val="auto"/>
          <w:sz w:val="24"/>
          <w:szCs w:val="24"/>
        </w:rPr>
        <w:t xml:space="preserve">; </w:t>
      </w:r>
      <w:r w:rsidRPr="00D95DBC">
        <w:rPr>
          <w:rStyle w:val="af1"/>
          <w:rFonts w:ascii="Times New Roman" w:eastAsiaTheme="majorEastAsia" w:hAnsi="Times New Roman"/>
          <w:color w:val="auto"/>
          <w:sz w:val="24"/>
          <w:szCs w:val="24"/>
          <w:u w:val="none"/>
        </w:rPr>
        <w:t>Poornima Parva</w:t>
      </w:r>
      <w:r w:rsidR="00EE0784" w:rsidRPr="00D95DBC">
        <w:rPr>
          <w:rStyle w:val="af1"/>
          <w:rFonts w:ascii="Times New Roman" w:eastAsiaTheme="majorEastAsia" w:hAnsi="Times New Roman"/>
          <w:color w:val="auto"/>
          <w:sz w:val="24"/>
          <w:szCs w:val="24"/>
          <w:u w:val="none"/>
        </w:rPr>
        <w:t xml:space="preserve">thi et al. 2020; </w:t>
      </w:r>
      <w:proofErr w:type="spellStart"/>
      <w:r w:rsidR="00EE0784" w:rsidRPr="00D95DBC">
        <w:rPr>
          <w:rStyle w:val="af1"/>
          <w:rFonts w:ascii="Times New Roman" w:eastAsiaTheme="majorEastAsia" w:hAnsi="Times New Roman"/>
          <w:color w:val="auto"/>
          <w:sz w:val="24"/>
          <w:szCs w:val="24"/>
          <w:u w:val="none"/>
        </w:rPr>
        <w:t>Rengga</w:t>
      </w:r>
      <w:proofErr w:type="spellEnd"/>
      <w:r w:rsidR="00EE0784" w:rsidRPr="00D95DBC">
        <w:rPr>
          <w:rStyle w:val="af1"/>
          <w:rFonts w:ascii="Times New Roman" w:eastAsiaTheme="majorEastAsia" w:hAnsi="Times New Roman"/>
          <w:color w:val="auto"/>
          <w:sz w:val="24"/>
          <w:szCs w:val="24"/>
          <w:u w:val="none"/>
        </w:rPr>
        <w:t xml:space="preserve"> et al.</w:t>
      </w:r>
      <w:r w:rsidRPr="00D95DBC">
        <w:rPr>
          <w:rStyle w:val="af1"/>
          <w:rFonts w:ascii="Times New Roman" w:eastAsiaTheme="majorEastAsia" w:hAnsi="Times New Roman"/>
          <w:color w:val="auto"/>
          <w:sz w:val="24"/>
          <w:szCs w:val="24"/>
          <w:u w:val="none"/>
        </w:rPr>
        <w:t xml:space="preserve"> 2017</w:t>
      </w:r>
      <w:r w:rsidRPr="00D95DBC">
        <w:rPr>
          <w:rFonts w:ascii="Times New Roman" w:hAnsi="Times New Roman"/>
          <w:color w:val="auto"/>
          <w:sz w:val="24"/>
          <w:szCs w:val="24"/>
        </w:rPr>
        <w:t>), immobilization of activated charcoal with silver nanoparticles provided more effective adsorption characteristics by increasing the surface area. It is known that almost any carbon-containing material can be converted into activated charcoal</w:t>
      </w:r>
      <w:bookmarkStart w:id="12" w:name="bbib0180"/>
      <w:r w:rsidRPr="00D95DBC">
        <w:rPr>
          <w:rFonts w:ascii="Times New Roman" w:hAnsi="Times New Roman"/>
          <w:color w:val="auto"/>
          <w:sz w:val="24"/>
          <w:szCs w:val="24"/>
        </w:rPr>
        <w:t>. However,</w:t>
      </w:r>
      <w:bookmarkEnd w:id="12"/>
      <w:r w:rsidRPr="00D95DBC">
        <w:rPr>
          <w:rFonts w:ascii="Times New Roman" w:hAnsi="Times New Roman"/>
          <w:color w:val="auto"/>
          <w:sz w:val="24"/>
          <w:szCs w:val="24"/>
        </w:rPr>
        <w:t xml:space="preserve"> the raw material from which this activated charcoal is obtained often has a huge impact on the distribution of its porosity, total surface area, carbon density, particle size distribution, and adsorption capacity. As a result, activated charcoal obtained from different raw materials can have different adsorption properties. For activated charcoals, the specific surface area is determined within 500-1500 m</w:t>
      </w:r>
      <w:r w:rsidRPr="00D95DBC">
        <w:rPr>
          <w:rFonts w:ascii="Times New Roman" w:hAnsi="Times New Roman"/>
          <w:color w:val="auto"/>
          <w:sz w:val="24"/>
          <w:szCs w:val="24"/>
          <w:vertAlign w:val="superscript"/>
        </w:rPr>
        <w:t>2</w:t>
      </w:r>
      <w:r w:rsidRPr="00D95DBC">
        <w:rPr>
          <w:rFonts w:ascii="Times New Roman" w:hAnsi="Times New Roman"/>
          <w:color w:val="auto"/>
          <w:sz w:val="24"/>
          <w:szCs w:val="24"/>
        </w:rPr>
        <w:t>/g (</w:t>
      </w:r>
      <w:proofErr w:type="spellStart"/>
      <w:r w:rsidR="00AB4AD8" w:rsidRPr="00D95DBC">
        <w:rPr>
          <w:rStyle w:val="af1"/>
          <w:rFonts w:ascii="Times New Roman" w:eastAsiaTheme="majorEastAsia" w:hAnsi="Times New Roman"/>
          <w:color w:val="auto"/>
          <w:sz w:val="24"/>
          <w:szCs w:val="24"/>
          <w:u w:val="none"/>
        </w:rPr>
        <w:t>Bonomo</w:t>
      </w:r>
      <w:proofErr w:type="spellEnd"/>
      <w:r w:rsidRPr="00D95DBC">
        <w:rPr>
          <w:rStyle w:val="af1"/>
          <w:rFonts w:ascii="Times New Roman" w:eastAsiaTheme="majorEastAsia" w:hAnsi="Times New Roman"/>
          <w:color w:val="auto"/>
          <w:sz w:val="24"/>
          <w:szCs w:val="24"/>
          <w:u w:val="none"/>
        </w:rPr>
        <w:t xml:space="preserve"> 2008; </w:t>
      </w:r>
      <w:proofErr w:type="spellStart"/>
      <w:r w:rsidRPr="00D95DBC">
        <w:rPr>
          <w:rStyle w:val="af1"/>
          <w:rFonts w:ascii="Times New Roman" w:eastAsiaTheme="majorEastAsia" w:hAnsi="Times New Roman"/>
          <w:color w:val="auto"/>
          <w:sz w:val="24"/>
          <w:szCs w:val="24"/>
          <w:u w:val="none"/>
        </w:rPr>
        <w:t>Cuhadaroglu</w:t>
      </w:r>
      <w:proofErr w:type="spellEnd"/>
      <w:r w:rsidRPr="00D95DBC">
        <w:rPr>
          <w:rStyle w:val="af1"/>
          <w:rFonts w:ascii="Times New Roman" w:eastAsiaTheme="majorEastAsia" w:hAnsi="Times New Roman"/>
          <w:color w:val="auto"/>
          <w:sz w:val="24"/>
          <w:szCs w:val="24"/>
          <w:u w:val="none"/>
        </w:rPr>
        <w:t xml:space="preserve"> </w:t>
      </w:r>
      <w:r w:rsidR="004B4FB2" w:rsidRPr="00D95DBC">
        <w:rPr>
          <w:rStyle w:val="af1"/>
          <w:rFonts w:ascii="Times New Roman" w:eastAsiaTheme="majorEastAsia" w:hAnsi="Times New Roman"/>
          <w:color w:val="auto"/>
          <w:sz w:val="24"/>
          <w:szCs w:val="24"/>
          <w:u w:val="none"/>
        </w:rPr>
        <w:t>and</w:t>
      </w:r>
      <w:r w:rsidRPr="00D95DBC">
        <w:rPr>
          <w:rStyle w:val="af1"/>
          <w:rFonts w:ascii="Times New Roman" w:eastAsiaTheme="majorEastAsia" w:hAnsi="Times New Roman"/>
          <w:color w:val="auto"/>
          <w:sz w:val="24"/>
          <w:szCs w:val="24"/>
          <w:u w:val="none"/>
        </w:rPr>
        <w:t xml:space="preserve"> Uygun 2008; Yeganeh et al. 2006</w:t>
      </w:r>
      <w:r w:rsidRPr="00D95DBC">
        <w:rPr>
          <w:rFonts w:ascii="Times New Roman" w:hAnsi="Times New Roman"/>
          <w:color w:val="auto"/>
          <w:sz w:val="24"/>
          <w:szCs w:val="24"/>
        </w:rPr>
        <w:t>).</w:t>
      </w:r>
    </w:p>
    <w:p w14:paraId="59DAC5F6" w14:textId="55644C20"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The study (</w:t>
      </w:r>
      <w:r w:rsidR="00AB4AD8" w:rsidRPr="00D95DBC">
        <w:rPr>
          <w:rFonts w:ascii="Times New Roman" w:hAnsi="Times New Roman"/>
          <w:color w:val="auto"/>
          <w:sz w:val="24"/>
          <w:szCs w:val="24"/>
        </w:rPr>
        <w:t>Gonçalves et al.</w:t>
      </w:r>
      <w:r w:rsidRPr="00D95DBC">
        <w:rPr>
          <w:rFonts w:ascii="Times New Roman" w:hAnsi="Times New Roman"/>
          <w:color w:val="auto"/>
          <w:sz w:val="24"/>
          <w:szCs w:val="24"/>
        </w:rPr>
        <w:t xml:space="preserve"> 2016) points at environmental risks (toxic effects on the aquatic organism</w:t>
      </w:r>
      <w:r w:rsidRPr="00D95DBC">
        <w:rPr>
          <w:rFonts w:ascii="Times New Roman" w:hAnsi="Times New Roman"/>
          <w:i/>
          <w:iCs/>
          <w:color w:val="auto"/>
          <w:sz w:val="24"/>
          <w:szCs w:val="24"/>
        </w:rPr>
        <w:t xml:space="preserve"> Hydra </w:t>
      </w:r>
      <w:r w:rsidRPr="00D95DBC">
        <w:rPr>
          <w:rFonts w:ascii="Times New Roman" w:hAnsi="Times New Roman"/>
          <w:i/>
          <w:color w:val="auto"/>
          <w:sz w:val="24"/>
          <w:szCs w:val="24"/>
        </w:rPr>
        <w:t>attenuate</w:t>
      </w:r>
      <w:r w:rsidRPr="00D95DBC">
        <w:rPr>
          <w:rFonts w:ascii="Times New Roman" w:hAnsi="Times New Roman"/>
          <w:color w:val="auto"/>
          <w:sz w:val="24"/>
          <w:szCs w:val="24"/>
        </w:rPr>
        <w:t xml:space="preserve"> and inhibition of the </w:t>
      </w:r>
      <w:proofErr w:type="spellStart"/>
      <w:r w:rsidRPr="00D95DBC">
        <w:rPr>
          <w:rStyle w:val="aff0"/>
          <w:rFonts w:ascii="Times New Roman" w:hAnsi="Times New Roman"/>
          <w:color w:val="auto"/>
          <w:sz w:val="24"/>
          <w:szCs w:val="24"/>
        </w:rPr>
        <w:t>Lycopersicum</w:t>
      </w:r>
      <w:proofErr w:type="spellEnd"/>
      <w:r w:rsidRPr="00D95DBC">
        <w:rPr>
          <w:rStyle w:val="aff0"/>
          <w:rFonts w:ascii="Times New Roman" w:hAnsi="Times New Roman"/>
          <w:color w:val="auto"/>
          <w:sz w:val="24"/>
          <w:szCs w:val="24"/>
        </w:rPr>
        <w:t xml:space="preserve"> esculentum </w:t>
      </w:r>
      <w:r w:rsidRPr="00D95DBC">
        <w:rPr>
          <w:rFonts w:ascii="Times New Roman" w:hAnsi="Times New Roman"/>
          <w:color w:val="auto"/>
          <w:sz w:val="24"/>
          <w:szCs w:val="24"/>
        </w:rPr>
        <w:t>root development) from activated charcoal materials modified with silver nanoparticles.</w:t>
      </w:r>
    </w:p>
    <w:p w14:paraId="38E96069"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lastRenderedPageBreak/>
        <w:t>There was no toxic effect of our tested sorption-catalytic sample materials detected (Table 4). By the environmental impact (toxicity against the components of natural biocenoses), they belong to the 5th hazard category (non-hazardous substance; GOST 12.1.007-76 Occupational safety standards system. Noxious substances. Classification and general safety requirements).</w:t>
      </w:r>
    </w:p>
    <w:p w14:paraId="6C246127"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p>
    <w:p w14:paraId="4AAFFA2C" w14:textId="744B9E5B" w:rsidR="00140D10" w:rsidRPr="00D95DBC" w:rsidRDefault="00140D10" w:rsidP="00140D10">
      <w:pPr>
        <w:pStyle w:val="afd"/>
        <w:numPr>
          <w:ilvl w:val="1"/>
          <w:numId w:val="30"/>
        </w:numPr>
        <w:tabs>
          <w:tab w:val="left" w:pos="567"/>
        </w:tabs>
        <w:spacing w:line="360" w:lineRule="auto"/>
        <w:ind w:left="0" w:firstLine="0"/>
        <w:contextualSpacing w:val="0"/>
      </w:pPr>
      <w:r w:rsidRPr="00D95DBC">
        <w:rPr>
          <w:b/>
        </w:rPr>
        <w:t>Kinetic Characteristics of Natural and Waste Water Component Sorption</w:t>
      </w:r>
    </w:p>
    <w:p w14:paraId="5C1D3E21"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To study the potential of the obtained sorption-catalytic materials for the adsorption of petroleum products and heavy metal ions, experimental equilibrium data were determined using the Langmuir isotherm model. Kinetic characteristics of natural and waste water component sorption (oil products, iron ions, lead ions, copper ions, manganese ions, cadmium ions) for the sorption-catalytic sample material No.1 are shown in Figs 5-7. </w:t>
      </w:r>
    </w:p>
    <w:p w14:paraId="68E55127" w14:textId="62FA1B42"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Studying equilibrium time is essential for the development of wastewater treatment technologies (</w:t>
      </w:r>
      <w:proofErr w:type="spellStart"/>
      <w:r w:rsidRPr="00D95DBC">
        <w:rPr>
          <w:rStyle w:val="af1"/>
          <w:rFonts w:ascii="Times New Roman" w:eastAsiaTheme="majorEastAsia" w:hAnsi="Times New Roman"/>
          <w:color w:val="auto"/>
          <w:sz w:val="24"/>
          <w:szCs w:val="24"/>
          <w:u w:val="none"/>
        </w:rPr>
        <w:t>Vaiopoulou</w:t>
      </w:r>
      <w:proofErr w:type="spellEnd"/>
      <w:r w:rsidRPr="00D95DBC">
        <w:rPr>
          <w:rStyle w:val="af1"/>
          <w:rFonts w:ascii="Times New Roman" w:eastAsiaTheme="majorEastAsia" w:hAnsi="Times New Roman"/>
          <w:color w:val="auto"/>
          <w:sz w:val="24"/>
          <w:szCs w:val="24"/>
          <w:u w:val="none"/>
        </w:rPr>
        <w:t xml:space="preserve"> </w:t>
      </w:r>
      <w:r w:rsidR="00EE0784" w:rsidRPr="00D95DBC">
        <w:rPr>
          <w:rStyle w:val="af1"/>
          <w:rFonts w:ascii="Times New Roman" w:eastAsiaTheme="majorEastAsia" w:hAnsi="Times New Roman"/>
          <w:color w:val="auto"/>
          <w:sz w:val="24"/>
          <w:szCs w:val="24"/>
          <w:u w:val="none"/>
        </w:rPr>
        <w:t>and</w:t>
      </w:r>
      <w:r w:rsidRPr="00D95DBC">
        <w:rPr>
          <w:rStyle w:val="af1"/>
          <w:rFonts w:ascii="Times New Roman" w:eastAsiaTheme="majorEastAsia" w:hAnsi="Times New Roman"/>
          <w:color w:val="auto"/>
          <w:sz w:val="24"/>
          <w:szCs w:val="24"/>
          <w:u w:val="none"/>
        </w:rPr>
        <w:t xml:space="preserve"> </w:t>
      </w:r>
      <w:proofErr w:type="spellStart"/>
      <w:r w:rsidRPr="00D95DBC">
        <w:rPr>
          <w:rStyle w:val="af1"/>
          <w:rFonts w:ascii="Times New Roman" w:eastAsiaTheme="majorEastAsia" w:hAnsi="Times New Roman"/>
          <w:color w:val="auto"/>
          <w:sz w:val="24"/>
          <w:szCs w:val="24"/>
          <w:u w:val="none"/>
        </w:rPr>
        <w:t>Gikas</w:t>
      </w:r>
      <w:proofErr w:type="spellEnd"/>
      <w:r w:rsidRPr="00D95DBC">
        <w:rPr>
          <w:rStyle w:val="af1"/>
          <w:rFonts w:ascii="Times New Roman" w:eastAsiaTheme="majorEastAsia" w:hAnsi="Times New Roman"/>
          <w:color w:val="auto"/>
          <w:sz w:val="24"/>
          <w:szCs w:val="24"/>
          <w:u w:val="none"/>
        </w:rPr>
        <w:t xml:space="preserve"> 2012</w:t>
      </w:r>
      <w:r w:rsidRPr="00D95DBC">
        <w:rPr>
          <w:rFonts w:ascii="Times New Roman" w:hAnsi="Times New Roman"/>
          <w:color w:val="auto"/>
          <w:sz w:val="24"/>
          <w:szCs w:val="24"/>
        </w:rPr>
        <w:t>)</w:t>
      </w:r>
      <w:bookmarkStart w:id="13" w:name="bbb0150"/>
      <w:r w:rsidRPr="00D95DBC">
        <w:rPr>
          <w:rFonts w:ascii="Times New Roman" w:hAnsi="Times New Roman"/>
          <w:color w:val="auto"/>
          <w:sz w:val="24"/>
          <w:szCs w:val="24"/>
        </w:rPr>
        <w:t>. In our experiments, rapid sorption was observed within 10 min of the adsorption process.</w:t>
      </w:r>
      <w:bookmarkEnd w:id="13"/>
      <w:r w:rsidRPr="00D95DBC">
        <w:rPr>
          <w:rFonts w:ascii="Times New Roman" w:hAnsi="Times New Roman"/>
          <w:color w:val="auto"/>
          <w:sz w:val="24"/>
          <w:szCs w:val="24"/>
        </w:rPr>
        <w:t xml:space="preserve"> Equilibrium for sorption on the developed samples is reached after 8 hours for petroleum products and iron ions, after 10 hours for copper, manganese, and cadmium ions, and after 12 h for lead ions, which confirms a fairly rapid sorption. In comparison to the study by </w:t>
      </w:r>
      <w:r w:rsidRPr="00D95DBC">
        <w:rPr>
          <w:rFonts w:ascii="Times New Roman" w:hAnsi="Times New Roman"/>
          <w:color w:val="auto"/>
          <w:sz w:val="24"/>
          <w:szCs w:val="24"/>
          <w:lang w:eastAsia="zh-CN"/>
        </w:rPr>
        <w:t xml:space="preserve">Sen (2023), where they explored using agricultural solid wastes based adsorbent materials in the remediation of heavy metal ions they </w:t>
      </w:r>
      <w:proofErr w:type="spellStart"/>
      <w:r w:rsidRPr="00D95DBC">
        <w:rPr>
          <w:rFonts w:ascii="Times New Roman" w:hAnsi="Times New Roman"/>
          <w:color w:val="auto"/>
          <w:sz w:val="24"/>
          <w:szCs w:val="24"/>
          <w:lang w:eastAsia="zh-CN"/>
        </w:rPr>
        <w:t>obserevd</w:t>
      </w:r>
      <w:proofErr w:type="spellEnd"/>
      <w:r w:rsidRPr="00D95DBC">
        <w:rPr>
          <w:rFonts w:ascii="Times New Roman" w:hAnsi="Times New Roman"/>
          <w:color w:val="auto"/>
          <w:sz w:val="24"/>
          <w:szCs w:val="24"/>
          <w:lang w:eastAsia="zh-CN"/>
        </w:rPr>
        <w:t xml:space="preserve"> that this adsorbent material could only equilibrium at 240 mins which shows the adsorbing effectiveness of silver nanoparticles. Studies like Raji et al. (2023) highlighted that fungi </w:t>
      </w:r>
      <w:proofErr w:type="spellStart"/>
      <w:r w:rsidRPr="00D95DBC">
        <w:rPr>
          <w:rFonts w:ascii="Times New Roman" w:hAnsi="Times New Roman"/>
          <w:color w:val="auto"/>
          <w:sz w:val="24"/>
          <w:szCs w:val="24"/>
          <w:lang w:eastAsia="zh-CN"/>
        </w:rPr>
        <w:t>bioadsorbent</w:t>
      </w:r>
      <w:proofErr w:type="spellEnd"/>
      <w:r w:rsidRPr="00D95DBC">
        <w:rPr>
          <w:rFonts w:ascii="Times New Roman" w:hAnsi="Times New Roman"/>
          <w:color w:val="auto"/>
          <w:sz w:val="24"/>
          <w:szCs w:val="24"/>
          <w:lang w:eastAsia="zh-CN"/>
        </w:rPr>
        <w:t xml:space="preserve"> displayed rapid adsorption when compared to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They further explained that waste beer yeast from the brewing industry could be a promising adsorbent to remove Cu</w:t>
      </w:r>
      <w:r w:rsidRPr="00D95DBC">
        <w:rPr>
          <w:rFonts w:ascii="Times New Roman" w:hAnsi="Times New Roman"/>
          <w:color w:val="auto"/>
          <w:sz w:val="24"/>
          <w:szCs w:val="24"/>
          <w:vertAlign w:val="superscript"/>
          <w:lang w:eastAsia="zh-CN"/>
        </w:rPr>
        <w:t>2+</w:t>
      </w:r>
      <w:r w:rsidRPr="00D95DBC">
        <w:rPr>
          <w:rFonts w:ascii="Times New Roman" w:hAnsi="Times New Roman"/>
          <w:color w:val="auto"/>
          <w:sz w:val="24"/>
          <w:szCs w:val="24"/>
          <w:lang w:eastAsia="zh-CN"/>
        </w:rPr>
        <w:t> within 30 min.</w:t>
      </w:r>
    </w:p>
    <w:p w14:paraId="406724DA" w14:textId="589E55A3"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 Apparently, at the initial stage, sorption mainly occurred on the surface. The sorption capacity of the sorption-catalytic sample material No. 1 is 236 mg/g, 70 mg/g, 40 mg/g, 65 mg/g, 56 mg/g, 33 mg/g to oil products, iron ions, copper ions, lead ions, manganese ions and cadmium ions, respectively. As the contact time increases, the adsorption efficiency increases until equilibrium occurs (</w:t>
      </w:r>
      <w:r w:rsidRPr="00D95DBC">
        <w:rPr>
          <w:rFonts w:ascii="Times New Roman" w:hAnsi="Times New Roman"/>
          <w:color w:val="auto"/>
          <w:sz w:val="24"/>
          <w:szCs w:val="24"/>
          <w:shd w:val="clear" w:color="auto" w:fill="FFFFFF"/>
        </w:rPr>
        <w:t>Abd El-Salam et al. 2017</w:t>
      </w:r>
      <w:r w:rsidRPr="00D95DBC">
        <w:rPr>
          <w:rFonts w:ascii="Times New Roman" w:hAnsi="Times New Roman"/>
          <w:color w:val="auto"/>
          <w:sz w:val="24"/>
          <w:szCs w:val="24"/>
        </w:rPr>
        <w:t xml:space="preserve">). Oil products were removed almost completely with the sorption-catalytic sample materials. The efficiency of removing Fe, Cu, Pb, Mn, and Cd ions was up to 30% (the lowest efficiency for copper and cadmium) after 12 h of reaction (Figure 5). The significant efficiency for oil products is probably due to the presence of silver nanoparticles as catalysts on the sorbent surface. The difference in the number of </w:t>
      </w:r>
      <w:r w:rsidRPr="00D95DBC">
        <w:rPr>
          <w:rFonts w:ascii="Times New Roman" w:hAnsi="Times New Roman"/>
          <w:color w:val="auto"/>
          <w:sz w:val="24"/>
          <w:szCs w:val="24"/>
        </w:rPr>
        <w:lastRenderedPageBreak/>
        <w:t xml:space="preserve">sorbed heavy metal ions is explained by the differences in their properties </w:t>
      </w:r>
      <w:bookmarkStart w:id="14" w:name="bbib22"/>
      <w:r w:rsidRPr="00D95DBC">
        <w:rPr>
          <w:rFonts w:ascii="Times New Roman" w:hAnsi="Times New Roman"/>
          <w:color w:val="auto"/>
          <w:sz w:val="24"/>
          <w:szCs w:val="24"/>
        </w:rPr>
        <w:t>(</w:t>
      </w:r>
      <w:proofErr w:type="spellStart"/>
      <w:r w:rsidRPr="00D95DBC">
        <w:rPr>
          <w:rStyle w:val="af1"/>
          <w:rFonts w:ascii="Times New Roman" w:eastAsiaTheme="majorEastAsia" w:hAnsi="Times New Roman"/>
          <w:color w:val="auto"/>
          <w:sz w:val="24"/>
          <w:szCs w:val="24"/>
          <w:u w:val="none"/>
          <w:shd w:val="clear" w:color="auto" w:fill="FFFFFF"/>
        </w:rPr>
        <w:t>Merdy</w:t>
      </w:r>
      <w:proofErr w:type="spellEnd"/>
      <w:r w:rsidRPr="00D95DBC">
        <w:rPr>
          <w:rStyle w:val="af1"/>
          <w:rFonts w:ascii="Times New Roman" w:eastAsiaTheme="majorEastAsia" w:hAnsi="Times New Roman"/>
          <w:color w:val="auto"/>
          <w:sz w:val="24"/>
          <w:szCs w:val="24"/>
          <w:u w:val="none"/>
          <w:shd w:val="clear" w:color="auto" w:fill="FFFFFF"/>
        </w:rPr>
        <w:t xml:space="preserve"> et al. 2009</w:t>
      </w:r>
      <w:r w:rsidRPr="00D95DBC">
        <w:rPr>
          <w:rFonts w:ascii="Times New Roman" w:hAnsi="Times New Roman"/>
          <w:color w:val="auto"/>
          <w:sz w:val="24"/>
          <w:szCs w:val="24"/>
        </w:rPr>
        <w:t>)</w:t>
      </w:r>
      <w:bookmarkEnd w:id="14"/>
      <w:r w:rsidRPr="00D95DBC">
        <w:rPr>
          <w:rFonts w:ascii="Times New Roman" w:hAnsi="Times New Roman"/>
          <w:color w:val="auto"/>
          <w:sz w:val="24"/>
          <w:szCs w:val="24"/>
        </w:rPr>
        <w:t>. Similar results were obtained with slag-based sorbents (</w:t>
      </w:r>
      <w:r w:rsidR="004B4FB2" w:rsidRPr="00D95DBC">
        <w:rPr>
          <w:rStyle w:val="af1"/>
          <w:rFonts w:ascii="Times New Roman" w:eastAsiaTheme="majorEastAsia" w:hAnsi="Times New Roman"/>
          <w:color w:val="auto"/>
          <w:sz w:val="24"/>
          <w:szCs w:val="24"/>
          <w:u w:val="none"/>
          <w:shd w:val="clear" w:color="auto" w:fill="FFFFFF"/>
        </w:rPr>
        <w:t>Kwon et al.</w:t>
      </w:r>
      <w:r w:rsidRPr="00D95DBC">
        <w:rPr>
          <w:rStyle w:val="af1"/>
          <w:rFonts w:ascii="Times New Roman" w:eastAsiaTheme="majorEastAsia" w:hAnsi="Times New Roman"/>
          <w:color w:val="auto"/>
          <w:sz w:val="24"/>
          <w:szCs w:val="24"/>
          <w:u w:val="none"/>
          <w:shd w:val="clear" w:color="auto" w:fill="FFFFFF"/>
        </w:rPr>
        <w:t xml:space="preserve"> 2010</w:t>
      </w:r>
      <w:r w:rsidRPr="00D95DBC">
        <w:rPr>
          <w:rFonts w:ascii="Times New Roman" w:hAnsi="Times New Roman"/>
          <w:color w:val="auto"/>
          <w:sz w:val="24"/>
          <w:szCs w:val="24"/>
        </w:rPr>
        <w:t>).</w:t>
      </w:r>
    </w:p>
    <w:p w14:paraId="4FFD974F" w14:textId="511572A3"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A number of studies have shown the ability of coal and sorbents based on it to remove not only solids and organic carbon (</w:t>
      </w:r>
      <w:r w:rsidR="0066075A" w:rsidRPr="00D95DBC">
        <w:rPr>
          <w:rStyle w:val="af1"/>
          <w:rFonts w:ascii="Times New Roman" w:eastAsiaTheme="majorEastAsia" w:hAnsi="Times New Roman"/>
          <w:color w:val="auto"/>
          <w:sz w:val="24"/>
          <w:szCs w:val="24"/>
          <w:u w:val="none"/>
        </w:rPr>
        <w:t>Huang et al.</w:t>
      </w:r>
      <w:r w:rsidRPr="00D95DBC">
        <w:rPr>
          <w:rStyle w:val="af1"/>
          <w:rFonts w:ascii="Times New Roman" w:eastAsiaTheme="majorEastAsia" w:hAnsi="Times New Roman"/>
          <w:color w:val="auto"/>
          <w:sz w:val="24"/>
          <w:szCs w:val="24"/>
          <w:u w:val="none"/>
        </w:rPr>
        <w:t xml:space="preserve"> 2022</w:t>
      </w:r>
      <w:r w:rsidRPr="00D95DBC">
        <w:rPr>
          <w:rFonts w:ascii="Times New Roman" w:hAnsi="Times New Roman"/>
          <w:color w:val="auto"/>
          <w:sz w:val="24"/>
          <w:szCs w:val="24"/>
        </w:rPr>
        <w:t>), but also heavy metals (Wu et al. 2007), radionuclides (</w:t>
      </w:r>
      <w:r w:rsidR="0066075A" w:rsidRPr="00D95DBC">
        <w:rPr>
          <w:rStyle w:val="af1"/>
          <w:rFonts w:ascii="Times New Roman" w:eastAsiaTheme="majorEastAsia" w:hAnsi="Times New Roman"/>
          <w:color w:val="auto"/>
          <w:sz w:val="24"/>
          <w:szCs w:val="24"/>
          <w:u w:val="none"/>
        </w:rPr>
        <w:t>Huang et al.</w:t>
      </w:r>
      <w:r w:rsidRPr="00D95DBC">
        <w:rPr>
          <w:rStyle w:val="af1"/>
          <w:rFonts w:ascii="Times New Roman" w:eastAsiaTheme="majorEastAsia" w:hAnsi="Times New Roman"/>
          <w:color w:val="auto"/>
          <w:sz w:val="24"/>
          <w:szCs w:val="24"/>
          <w:u w:val="none"/>
        </w:rPr>
        <w:t xml:space="preserve"> 2022; </w:t>
      </w:r>
      <w:r w:rsidRPr="00D95DBC">
        <w:rPr>
          <w:rFonts w:ascii="Times New Roman" w:hAnsi="Times New Roman"/>
          <w:color w:val="auto"/>
          <w:sz w:val="24"/>
          <w:szCs w:val="24"/>
        </w:rPr>
        <w:t>Wu et al. 2007), cations and anions from water (</w:t>
      </w:r>
      <w:proofErr w:type="spellStart"/>
      <w:r w:rsidRPr="00D95DBC">
        <w:rPr>
          <w:rStyle w:val="af1"/>
          <w:rFonts w:ascii="Times New Roman" w:eastAsiaTheme="majorEastAsia" w:hAnsi="Times New Roman"/>
          <w:color w:val="auto"/>
          <w:sz w:val="24"/>
          <w:szCs w:val="24"/>
          <w:u w:val="none"/>
        </w:rPr>
        <w:t>Ulrikh</w:t>
      </w:r>
      <w:proofErr w:type="spellEnd"/>
      <w:r w:rsidRPr="00D95DBC">
        <w:rPr>
          <w:rStyle w:val="af1"/>
          <w:rFonts w:ascii="Times New Roman" w:eastAsiaTheme="majorEastAsia" w:hAnsi="Times New Roman"/>
          <w:color w:val="auto"/>
          <w:sz w:val="24"/>
          <w:szCs w:val="24"/>
          <w:u w:val="none"/>
        </w:rPr>
        <w:t xml:space="preserve"> et al. 2024</w:t>
      </w:r>
      <w:r w:rsidRPr="00D95DBC">
        <w:rPr>
          <w:rFonts w:ascii="Times New Roman" w:hAnsi="Times New Roman"/>
          <w:color w:val="auto"/>
          <w:sz w:val="24"/>
          <w:szCs w:val="24"/>
        </w:rPr>
        <w:t>). The metal adsorption process is well described by the Langmuir and Freundlich isotherm and depends on the contact time, the acidity of the solution, the temperature and the initial concentrations of the sorbate (</w:t>
      </w:r>
      <w:r w:rsidRPr="00D95DBC">
        <w:rPr>
          <w:rStyle w:val="af1"/>
          <w:rFonts w:ascii="Times New Roman" w:eastAsiaTheme="majorEastAsia" w:hAnsi="Times New Roman"/>
          <w:color w:val="auto"/>
          <w:sz w:val="24"/>
          <w:szCs w:val="24"/>
        </w:rPr>
        <w:t>Javed</w:t>
      </w:r>
      <w:r w:rsidR="0066075A" w:rsidRPr="00D95DBC">
        <w:rPr>
          <w:rFonts w:ascii="Times New Roman" w:hAnsi="Times New Roman"/>
          <w:color w:val="auto"/>
          <w:sz w:val="24"/>
          <w:szCs w:val="24"/>
        </w:rPr>
        <w:t xml:space="preserve"> et al.</w:t>
      </w:r>
      <w:r w:rsidRPr="00D95DBC">
        <w:rPr>
          <w:rFonts w:ascii="Times New Roman" w:hAnsi="Times New Roman"/>
          <w:color w:val="auto"/>
          <w:sz w:val="24"/>
          <w:szCs w:val="24"/>
        </w:rPr>
        <w:t xml:space="preserve"> 2017; </w:t>
      </w:r>
      <w:r w:rsidR="00EE0784" w:rsidRPr="00D95DBC">
        <w:rPr>
          <w:rFonts w:ascii="Times New Roman" w:hAnsi="Times New Roman"/>
          <w:color w:val="auto"/>
          <w:sz w:val="24"/>
          <w:szCs w:val="24"/>
        </w:rPr>
        <w:t>Wu et al.</w:t>
      </w:r>
      <w:r w:rsidRPr="00D95DBC">
        <w:rPr>
          <w:rFonts w:ascii="Times New Roman" w:hAnsi="Times New Roman"/>
          <w:color w:val="auto"/>
          <w:sz w:val="24"/>
          <w:szCs w:val="24"/>
        </w:rPr>
        <w:t xml:space="preserve"> 2007). Javed et al. (2017) studies showed that the adsorption capacity of low-grade coal relative to cerium increased significantly with increasing temperature (283-333 K). While previous studies have demonstrated the efficacy of coal-based sorbents for heavy metal removal, the material fictionalized with </w:t>
      </w:r>
      <w:proofErr w:type="spellStart"/>
      <w:r w:rsidRPr="00D95DBC">
        <w:rPr>
          <w:rFonts w:ascii="Times New Roman" w:hAnsi="Times New Roman"/>
          <w:color w:val="auto"/>
          <w:sz w:val="24"/>
          <w:szCs w:val="24"/>
        </w:rPr>
        <w:t>AgNPs</w:t>
      </w:r>
      <w:proofErr w:type="spellEnd"/>
      <w:r w:rsidRPr="00D95DBC">
        <w:rPr>
          <w:rFonts w:ascii="Times New Roman" w:hAnsi="Times New Roman"/>
          <w:color w:val="auto"/>
          <w:sz w:val="24"/>
          <w:szCs w:val="24"/>
        </w:rPr>
        <w:t xml:space="preserve"> shows a distinct advantage in both adsorption capacity and kinetics relevant to agricultural settings. For instance, compared to agricultural waste-derived </w:t>
      </w:r>
      <w:proofErr w:type="spellStart"/>
      <w:r w:rsidRPr="00D95DBC">
        <w:rPr>
          <w:rFonts w:ascii="Times New Roman" w:hAnsi="Times New Roman"/>
          <w:color w:val="auto"/>
          <w:sz w:val="24"/>
          <w:szCs w:val="24"/>
        </w:rPr>
        <w:t>biochars</w:t>
      </w:r>
      <w:proofErr w:type="spellEnd"/>
      <w:r w:rsidRPr="00D95DBC">
        <w:rPr>
          <w:rFonts w:ascii="Times New Roman" w:hAnsi="Times New Roman"/>
          <w:color w:val="auto"/>
          <w:sz w:val="24"/>
          <w:szCs w:val="24"/>
        </w:rPr>
        <w:t xml:space="preserve"> which often require longer equilibrium times, the nanoparticle sorbent reaches equilibrium within 8–12 hours, making it more suitable for continuous-flow water treatment systems commonly used in irrigation</w:t>
      </w:r>
    </w:p>
    <w:p w14:paraId="4EA2A2EA" w14:textId="4BA988A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In the study (</w:t>
      </w:r>
      <w:r w:rsidR="009D3017" w:rsidRPr="00D95DBC">
        <w:rPr>
          <w:rStyle w:val="af1"/>
          <w:rFonts w:ascii="Times New Roman" w:eastAsiaTheme="majorEastAsia" w:hAnsi="Times New Roman"/>
          <w:color w:val="auto"/>
          <w:sz w:val="24"/>
          <w:szCs w:val="24"/>
          <w:u w:val="none"/>
        </w:rPr>
        <w:t>Zhang et al.</w:t>
      </w:r>
      <w:r w:rsidRPr="00D95DBC">
        <w:rPr>
          <w:rStyle w:val="af1"/>
          <w:rFonts w:ascii="Times New Roman" w:eastAsiaTheme="majorEastAsia" w:hAnsi="Times New Roman"/>
          <w:color w:val="auto"/>
          <w:sz w:val="24"/>
          <w:szCs w:val="24"/>
          <w:u w:val="none"/>
        </w:rPr>
        <w:t xml:space="preserve"> 2024</w:t>
      </w:r>
      <w:r w:rsidRPr="00D95DBC">
        <w:rPr>
          <w:rFonts w:ascii="Times New Roman" w:hAnsi="Times New Roman"/>
          <w:color w:val="auto"/>
          <w:sz w:val="24"/>
          <w:szCs w:val="24"/>
        </w:rPr>
        <w:t>), low-grade coal was modified using chemical methods and it was proved that in this modification coal is able to adsorb heavy metals and ammonia present in wastewater. Kinetic and thermodynamic experiments have proved that modified low-grade coal is capable of adsorbing Pb</w:t>
      </w:r>
      <w:r w:rsidRPr="00D95DBC">
        <w:rPr>
          <w:rFonts w:ascii="Times New Roman" w:hAnsi="Times New Roman"/>
          <w:color w:val="auto"/>
          <w:sz w:val="24"/>
          <w:szCs w:val="24"/>
          <w:vertAlign w:val="superscript"/>
        </w:rPr>
        <w:t>2+</w:t>
      </w:r>
      <w:r w:rsidRPr="00D95DBC">
        <w:rPr>
          <w:rFonts w:ascii="Times New Roman" w:hAnsi="Times New Roman"/>
          <w:color w:val="auto"/>
          <w:sz w:val="24"/>
          <w:szCs w:val="24"/>
        </w:rPr>
        <w:t>, Zn</w:t>
      </w:r>
      <w:r w:rsidRPr="00D95DBC">
        <w:rPr>
          <w:rFonts w:ascii="Times New Roman" w:hAnsi="Times New Roman"/>
          <w:color w:val="auto"/>
          <w:sz w:val="24"/>
          <w:szCs w:val="24"/>
          <w:vertAlign w:val="superscript"/>
        </w:rPr>
        <w:t xml:space="preserve">2+ </w:t>
      </w:r>
      <w:r w:rsidRPr="00D95DBC">
        <w:rPr>
          <w:rFonts w:ascii="Times New Roman" w:hAnsi="Times New Roman"/>
          <w:color w:val="auto"/>
          <w:sz w:val="24"/>
          <w:szCs w:val="24"/>
        </w:rPr>
        <w:t>ions and ammonia. Adsorption phenomena correspond to the typical Langmuir isotherm. At the same time, it is shown that the adsorption of heavy metals proceeds with the release of heat and is an independent (</w:t>
      </w:r>
      <w:r w:rsidRPr="00D95DBC">
        <w:rPr>
          <w:rStyle w:val="af1"/>
          <w:rFonts w:ascii="Times New Roman" w:eastAsiaTheme="majorEastAsia" w:hAnsi="Times New Roman"/>
          <w:color w:val="auto"/>
          <w:sz w:val="24"/>
          <w:szCs w:val="24"/>
          <w:u w:val="none"/>
        </w:rPr>
        <w:t>Zhang et al. 2024</w:t>
      </w:r>
      <w:r w:rsidRPr="00D95DBC">
        <w:rPr>
          <w:rFonts w:ascii="Times New Roman" w:hAnsi="Times New Roman"/>
          <w:color w:val="auto"/>
          <w:sz w:val="24"/>
          <w:szCs w:val="24"/>
        </w:rPr>
        <w:t>) and spontaneous process (</w:t>
      </w:r>
      <w:r w:rsidRPr="00D95DBC">
        <w:rPr>
          <w:rStyle w:val="af1"/>
          <w:rFonts w:ascii="Times New Roman" w:eastAsiaTheme="majorEastAsia" w:hAnsi="Times New Roman"/>
          <w:color w:val="auto"/>
          <w:sz w:val="24"/>
          <w:szCs w:val="24"/>
          <w:u w:val="none"/>
        </w:rPr>
        <w:t>Zhang et al. 2023</w:t>
      </w:r>
      <w:r w:rsidRPr="00D95DBC">
        <w:rPr>
          <w:rFonts w:ascii="Times New Roman" w:hAnsi="Times New Roman"/>
          <w:color w:val="auto"/>
          <w:sz w:val="24"/>
          <w:szCs w:val="24"/>
        </w:rPr>
        <w:t xml:space="preserve">). </w:t>
      </w:r>
    </w:p>
    <w:p w14:paraId="5050D674" w14:textId="22919248" w:rsidR="00140D10" w:rsidRPr="00D95DBC" w:rsidRDefault="00140D10" w:rsidP="00140D10">
      <w:pPr>
        <w:pStyle w:val="MDPI31text"/>
        <w:spacing w:line="360" w:lineRule="auto"/>
        <w:ind w:left="0" w:firstLine="567"/>
        <w:rPr>
          <w:rFonts w:ascii="Times New Roman" w:hAnsi="Times New Roman"/>
          <w:color w:val="auto"/>
          <w:sz w:val="24"/>
          <w:szCs w:val="24"/>
          <w:shd w:val="clear" w:color="auto" w:fill="FFFFFF"/>
        </w:rPr>
      </w:pPr>
      <w:r w:rsidRPr="00D95DBC">
        <w:rPr>
          <w:rFonts w:ascii="Times New Roman" w:hAnsi="Times New Roman"/>
          <w:color w:val="auto"/>
          <w:sz w:val="24"/>
          <w:szCs w:val="24"/>
          <w:shd w:val="clear" w:color="auto" w:fill="FFFFFF"/>
        </w:rPr>
        <w:t>Jaya et al. (2023) proved that activated carbon based on coconut shell (after microwave irradiation treatment) is able to effectively remove copper ions. In the study, the author showed that the absorption capacity of activated carbon depends on the surface area (</w:t>
      </w:r>
      <w:r w:rsidR="0066075A" w:rsidRPr="00D95DBC">
        <w:rPr>
          <w:rFonts w:ascii="Times New Roman" w:hAnsi="Times New Roman"/>
          <w:color w:val="auto"/>
          <w:sz w:val="24"/>
          <w:szCs w:val="24"/>
          <w:shd w:val="clear" w:color="auto" w:fill="FFFFFF"/>
        </w:rPr>
        <w:t>Jaya et al.</w:t>
      </w:r>
      <w:r w:rsidRPr="00D95DBC">
        <w:rPr>
          <w:rFonts w:ascii="Times New Roman" w:hAnsi="Times New Roman"/>
          <w:color w:val="auto"/>
          <w:sz w:val="24"/>
          <w:szCs w:val="24"/>
          <w:shd w:val="clear" w:color="auto" w:fill="FFFFFF"/>
        </w:rPr>
        <w:t xml:space="preserve"> 2023), the presence and volume of pores (Jaya et al. 2023; </w:t>
      </w:r>
      <w:proofErr w:type="spellStart"/>
      <w:r w:rsidR="00EE0784" w:rsidRPr="00D95DBC">
        <w:rPr>
          <w:rStyle w:val="af1"/>
          <w:rFonts w:ascii="Times New Roman" w:eastAsiaTheme="majorEastAsia" w:hAnsi="Times New Roman"/>
          <w:color w:val="auto"/>
          <w:sz w:val="24"/>
          <w:szCs w:val="24"/>
          <w:u w:val="none"/>
        </w:rPr>
        <w:t>Prosekov</w:t>
      </w:r>
      <w:proofErr w:type="spellEnd"/>
      <w:r w:rsidR="00EE0784" w:rsidRPr="00D95DBC">
        <w:rPr>
          <w:rStyle w:val="af1"/>
          <w:rFonts w:ascii="Times New Roman" w:eastAsiaTheme="majorEastAsia" w:hAnsi="Times New Roman"/>
          <w:color w:val="auto"/>
          <w:sz w:val="24"/>
          <w:szCs w:val="24"/>
          <w:u w:val="none"/>
        </w:rPr>
        <w:t xml:space="preserve"> et al.</w:t>
      </w:r>
      <w:r w:rsidRPr="00D95DBC">
        <w:rPr>
          <w:rStyle w:val="af1"/>
          <w:rFonts w:ascii="Times New Roman" w:eastAsiaTheme="majorEastAsia" w:hAnsi="Times New Roman"/>
          <w:color w:val="auto"/>
          <w:sz w:val="24"/>
          <w:szCs w:val="24"/>
          <w:u w:val="none"/>
        </w:rPr>
        <w:t xml:space="preserve"> 2022</w:t>
      </w:r>
      <w:r w:rsidRPr="00D95DBC">
        <w:rPr>
          <w:rFonts w:ascii="Times New Roman" w:hAnsi="Times New Roman"/>
          <w:color w:val="auto"/>
          <w:sz w:val="24"/>
          <w:szCs w:val="24"/>
          <w:shd w:val="clear" w:color="auto" w:fill="FFFFFF"/>
        </w:rPr>
        <w:t>). Thus, in the study (</w:t>
      </w:r>
      <w:r w:rsidR="0066075A" w:rsidRPr="00D95DBC">
        <w:rPr>
          <w:rFonts w:ascii="Times New Roman" w:hAnsi="Times New Roman"/>
          <w:color w:val="auto"/>
          <w:sz w:val="24"/>
          <w:szCs w:val="24"/>
          <w:shd w:val="clear" w:color="auto" w:fill="FFFFFF"/>
        </w:rPr>
        <w:t>Jaya et al.</w:t>
      </w:r>
      <w:r w:rsidRPr="00D95DBC">
        <w:rPr>
          <w:rFonts w:ascii="Times New Roman" w:hAnsi="Times New Roman"/>
          <w:color w:val="auto"/>
          <w:sz w:val="24"/>
          <w:szCs w:val="24"/>
          <w:shd w:val="clear" w:color="auto" w:fill="FFFFFF"/>
        </w:rPr>
        <w:t xml:space="preserve"> 2023), activated carbon was characterized by a high surface area and pore area, which allowed it to adsorb a significant amount of copper. Our results are comparable with empirical data (Jaya et al. 2023). First of all, this is due to the fact that coal is characterized by a mesoporous structure, and the surface of coal includes several functional groups that allow heavy metals to be sorbed on them. Thus, it is shown that due to the high specific surface area and a more extensive distribution of pore sizes, the modified coal rock has acquired a high adsorption capacity </w:t>
      </w:r>
      <w:r w:rsidRPr="00D95DBC">
        <w:rPr>
          <w:rFonts w:ascii="Times New Roman" w:hAnsi="Times New Roman"/>
          <w:color w:val="auto"/>
          <w:sz w:val="24"/>
          <w:szCs w:val="24"/>
          <w:u w:val="single"/>
          <w:shd w:val="clear" w:color="auto" w:fill="FFFFFF"/>
        </w:rPr>
        <w:t>(</w:t>
      </w:r>
      <w:r w:rsidRPr="00D95DBC">
        <w:rPr>
          <w:rStyle w:val="af1"/>
          <w:rFonts w:ascii="Times New Roman" w:eastAsiaTheme="majorEastAsia" w:hAnsi="Times New Roman"/>
          <w:color w:val="auto"/>
          <w:sz w:val="24"/>
          <w:szCs w:val="24"/>
          <w:u w:val="none"/>
        </w:rPr>
        <w:t>Jin et al. 2022</w:t>
      </w:r>
      <w:r w:rsidRPr="00D95DBC">
        <w:rPr>
          <w:rFonts w:ascii="Times New Roman" w:hAnsi="Times New Roman"/>
          <w:color w:val="auto"/>
          <w:sz w:val="24"/>
          <w:szCs w:val="24"/>
          <w:shd w:val="clear" w:color="auto" w:fill="FFFFFF"/>
        </w:rPr>
        <w:t xml:space="preserve">). At the same time, </w:t>
      </w:r>
      <w:proofErr w:type="spellStart"/>
      <w:r w:rsidRPr="00D95DBC">
        <w:rPr>
          <w:rFonts w:ascii="Times New Roman" w:hAnsi="Times New Roman"/>
          <w:color w:val="auto"/>
          <w:sz w:val="24"/>
          <w:szCs w:val="24"/>
          <w:shd w:val="clear" w:color="auto" w:fill="FFFFFF"/>
        </w:rPr>
        <w:t>chemoadsorption</w:t>
      </w:r>
      <w:proofErr w:type="spellEnd"/>
      <w:r w:rsidRPr="00D95DBC">
        <w:rPr>
          <w:rFonts w:ascii="Times New Roman" w:hAnsi="Times New Roman"/>
          <w:color w:val="auto"/>
          <w:sz w:val="24"/>
          <w:szCs w:val="24"/>
          <w:shd w:val="clear" w:color="auto" w:fill="FFFFFF"/>
        </w:rPr>
        <w:t xml:space="preserve"> occurred between </w:t>
      </w:r>
      <w:r w:rsidRPr="00D95DBC">
        <w:rPr>
          <w:rFonts w:ascii="Times New Roman" w:hAnsi="Times New Roman"/>
          <w:color w:val="auto"/>
          <w:sz w:val="24"/>
          <w:szCs w:val="24"/>
          <w:shd w:val="clear" w:color="auto" w:fill="FFFFFF"/>
        </w:rPr>
        <w:lastRenderedPageBreak/>
        <w:t>heavy metal ions and the composite, the maximum exchange capacity of Pb2</w:t>
      </w:r>
      <w:r w:rsidRPr="00D95DBC">
        <w:rPr>
          <w:rFonts w:ascii="Times New Roman" w:hAnsi="Times New Roman"/>
          <w:color w:val="auto"/>
          <w:sz w:val="24"/>
          <w:szCs w:val="24"/>
          <w:shd w:val="clear" w:color="auto" w:fill="FFFFFF"/>
          <w:vertAlign w:val="superscript"/>
        </w:rPr>
        <w:t>+</w:t>
      </w:r>
      <w:r w:rsidRPr="00D95DBC">
        <w:rPr>
          <w:rFonts w:ascii="Times New Roman" w:hAnsi="Times New Roman"/>
          <w:color w:val="auto"/>
          <w:sz w:val="24"/>
          <w:szCs w:val="24"/>
          <w:shd w:val="clear" w:color="auto" w:fill="FFFFFF"/>
        </w:rPr>
        <w:t xml:space="preserve"> reached 268 mg/g (</w:t>
      </w:r>
      <w:r w:rsidRPr="00D95DBC">
        <w:rPr>
          <w:rStyle w:val="af1"/>
          <w:rFonts w:ascii="Times New Roman" w:eastAsiaTheme="majorEastAsia" w:hAnsi="Times New Roman"/>
          <w:color w:val="auto"/>
          <w:sz w:val="24"/>
          <w:szCs w:val="24"/>
          <w:u w:val="none"/>
        </w:rPr>
        <w:t>Jin et al. 2022</w:t>
      </w:r>
      <w:r w:rsidRPr="00D95DBC">
        <w:rPr>
          <w:rFonts w:ascii="Times New Roman" w:hAnsi="Times New Roman"/>
          <w:color w:val="auto"/>
          <w:sz w:val="24"/>
          <w:szCs w:val="24"/>
          <w:shd w:val="clear" w:color="auto" w:fill="FFFFFF"/>
        </w:rPr>
        <w:t>).</w:t>
      </w:r>
    </w:p>
    <w:p w14:paraId="48400C1D" w14:textId="0CEE890C"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Sorption capacity in the </w:t>
      </w:r>
      <w:proofErr w:type="spellStart"/>
      <w:r w:rsidRPr="00D95DBC">
        <w:rPr>
          <w:rFonts w:ascii="Times New Roman" w:hAnsi="Times New Roman"/>
          <w:color w:val="auto"/>
          <w:sz w:val="24"/>
          <w:szCs w:val="24"/>
        </w:rPr>
        <w:t>q</w:t>
      </w:r>
      <w:r w:rsidRPr="00D95DBC">
        <w:rPr>
          <w:rFonts w:ascii="Times New Roman" w:hAnsi="Times New Roman"/>
          <w:color w:val="auto"/>
          <w:sz w:val="24"/>
          <w:szCs w:val="24"/>
          <w:vertAlign w:val="subscript"/>
        </w:rPr>
        <w:t>e</w:t>
      </w:r>
      <w:proofErr w:type="spellEnd"/>
      <w:r w:rsidRPr="00D95DBC">
        <w:rPr>
          <w:rFonts w:ascii="Times New Roman" w:hAnsi="Times New Roman"/>
          <w:color w:val="auto"/>
          <w:sz w:val="24"/>
          <w:szCs w:val="24"/>
        </w:rPr>
        <w:t xml:space="preserve"> equilibrium increases with the growing C</w:t>
      </w:r>
      <w:r w:rsidRPr="00D95DBC">
        <w:rPr>
          <w:rFonts w:ascii="Times New Roman" w:hAnsi="Times New Roman"/>
          <w:color w:val="auto"/>
          <w:sz w:val="24"/>
          <w:szCs w:val="24"/>
          <w:vertAlign w:val="subscript"/>
        </w:rPr>
        <w:t xml:space="preserve">e </w:t>
      </w:r>
      <w:r w:rsidRPr="00D95DBC">
        <w:rPr>
          <w:rFonts w:ascii="Times New Roman" w:hAnsi="Times New Roman"/>
          <w:color w:val="auto"/>
          <w:sz w:val="24"/>
          <w:szCs w:val="24"/>
        </w:rPr>
        <w:t xml:space="preserve">(Figs 6-7), which is associated with an increase in the number of available active areas on the sorbent </w:t>
      </w:r>
      <w:bookmarkStart w:id="15" w:name="bbb0170"/>
      <w:r w:rsidRPr="00D95DBC">
        <w:rPr>
          <w:rFonts w:ascii="Times New Roman" w:hAnsi="Times New Roman"/>
          <w:color w:val="auto"/>
          <w:sz w:val="24"/>
          <w:szCs w:val="24"/>
        </w:rPr>
        <w:t>surface (</w:t>
      </w:r>
      <w:r w:rsidRPr="00D95DBC">
        <w:rPr>
          <w:rFonts w:ascii="Times New Roman" w:hAnsi="Times New Roman"/>
          <w:color w:val="auto"/>
          <w:sz w:val="24"/>
          <w:szCs w:val="24"/>
          <w:shd w:val="clear" w:color="auto" w:fill="FFFFFF"/>
        </w:rPr>
        <w:t>Abd El-Salam et al. 2017</w:t>
      </w:r>
      <w:r w:rsidRPr="00D95DBC">
        <w:rPr>
          <w:rFonts w:ascii="Times New Roman" w:hAnsi="Times New Roman"/>
          <w:color w:val="auto"/>
          <w:sz w:val="24"/>
          <w:szCs w:val="24"/>
        </w:rPr>
        <w:t>)</w:t>
      </w:r>
      <w:bookmarkEnd w:id="15"/>
      <w:r w:rsidRPr="00D95DBC">
        <w:rPr>
          <w:rFonts w:ascii="Times New Roman" w:hAnsi="Times New Roman"/>
          <w:color w:val="auto"/>
          <w:sz w:val="24"/>
          <w:szCs w:val="24"/>
        </w:rPr>
        <w:t>.</w:t>
      </w:r>
    </w:p>
    <w:p w14:paraId="5C1D848F"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Analysis of the presented sorption isotherms (Figs 6-7) indicates that the process of adsorption of oil products, iron, copper, lead, manganese, and cadmium ions can be described from the viewpoint of the </w:t>
      </w:r>
      <w:proofErr w:type="spellStart"/>
      <w:r w:rsidRPr="00D95DBC">
        <w:rPr>
          <w:rFonts w:ascii="Times New Roman" w:hAnsi="Times New Roman"/>
          <w:color w:val="auto"/>
          <w:sz w:val="24"/>
          <w:szCs w:val="24"/>
        </w:rPr>
        <w:t>Brunauer</w:t>
      </w:r>
      <w:proofErr w:type="spellEnd"/>
      <w:r w:rsidRPr="00D95DBC">
        <w:rPr>
          <w:rFonts w:ascii="Times New Roman" w:hAnsi="Times New Roman"/>
          <w:color w:val="auto"/>
          <w:sz w:val="24"/>
          <w:szCs w:val="24"/>
        </w:rPr>
        <w:t xml:space="preserve">, Emmett, and Teller polymolecular adsorption theory (BET). All six obtained sorption isotherms belong to type IV, which confirms that macro -, </w:t>
      </w:r>
      <w:proofErr w:type="spellStart"/>
      <w:r w:rsidRPr="00D95DBC">
        <w:rPr>
          <w:rFonts w:ascii="Times New Roman" w:hAnsi="Times New Roman"/>
          <w:color w:val="auto"/>
          <w:sz w:val="24"/>
          <w:szCs w:val="24"/>
        </w:rPr>
        <w:t>meso</w:t>
      </w:r>
      <w:proofErr w:type="spellEnd"/>
      <w:r w:rsidRPr="00D95DBC">
        <w:rPr>
          <w:rFonts w:ascii="Times New Roman" w:hAnsi="Times New Roman"/>
          <w:color w:val="auto"/>
          <w:sz w:val="24"/>
          <w:szCs w:val="24"/>
        </w:rPr>
        <w:t xml:space="preserve"> -, and micro - range pores are present in the developed sorption-catalytic material based on coal mining waste and nanoparticles of noble metals, thus allowing to perform adsorption following a polymolecular mechanism.</w:t>
      </w:r>
    </w:p>
    <w:p w14:paraId="73733B7C" w14:textId="487B94CF"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In the study (</w:t>
      </w:r>
      <w:r w:rsidRPr="00D95DBC">
        <w:rPr>
          <w:rFonts w:ascii="Times New Roman" w:hAnsi="Times New Roman"/>
          <w:color w:val="auto"/>
          <w:sz w:val="24"/>
          <w:szCs w:val="24"/>
          <w:shd w:val="clear" w:color="auto" w:fill="FFFFFF"/>
        </w:rPr>
        <w:t>Chen et al. 2024</w:t>
      </w:r>
      <w:r w:rsidRPr="00D95DBC">
        <w:rPr>
          <w:rFonts w:ascii="Times New Roman" w:hAnsi="Times New Roman"/>
          <w:color w:val="auto"/>
          <w:sz w:val="24"/>
          <w:szCs w:val="24"/>
        </w:rPr>
        <w:t xml:space="preserve">), carbon fiber modified with </w:t>
      </w:r>
      <w:proofErr w:type="spellStart"/>
      <w:r w:rsidRPr="00D95DBC">
        <w:rPr>
          <w:rFonts w:ascii="Times New Roman" w:hAnsi="Times New Roman"/>
          <w:color w:val="auto"/>
          <w:sz w:val="24"/>
          <w:szCs w:val="24"/>
        </w:rPr>
        <w:t>nanosilver</w:t>
      </w:r>
      <w:proofErr w:type="spellEnd"/>
      <w:r w:rsidRPr="00D95DBC">
        <w:rPr>
          <w:rFonts w:ascii="Times New Roman" w:hAnsi="Times New Roman"/>
          <w:color w:val="auto"/>
          <w:sz w:val="24"/>
          <w:szCs w:val="24"/>
        </w:rPr>
        <w:t xml:space="preserve"> showed high efficiency in the process of adsorption of iodine anions. Analysis of the kinetics of adsorption and isotherms of adsorption revealed that the adsorption of iodine anions on modified carbon fiber is a chemical adsorption process involving a single molecular layer (</w:t>
      </w:r>
      <w:r w:rsidR="00CE47FB" w:rsidRPr="00D95DBC">
        <w:rPr>
          <w:rFonts w:ascii="Times New Roman" w:hAnsi="Times New Roman"/>
          <w:color w:val="auto"/>
          <w:sz w:val="24"/>
          <w:szCs w:val="24"/>
          <w:shd w:val="clear" w:color="auto" w:fill="FFFFFF"/>
        </w:rPr>
        <w:t>Chen et al.</w:t>
      </w:r>
      <w:r w:rsidRPr="00D95DBC">
        <w:rPr>
          <w:rFonts w:ascii="Times New Roman" w:hAnsi="Times New Roman"/>
          <w:color w:val="auto"/>
          <w:sz w:val="24"/>
          <w:szCs w:val="24"/>
          <w:shd w:val="clear" w:color="auto" w:fill="FFFFFF"/>
        </w:rPr>
        <w:t xml:space="preserve"> 2024</w:t>
      </w:r>
      <w:r w:rsidRPr="00D95DBC">
        <w:rPr>
          <w:rFonts w:ascii="Times New Roman" w:hAnsi="Times New Roman"/>
          <w:color w:val="auto"/>
          <w:sz w:val="24"/>
          <w:szCs w:val="24"/>
        </w:rPr>
        <w:t xml:space="preserve">). </w:t>
      </w:r>
    </w:p>
    <w:p w14:paraId="26BE0693"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A preliminary analysis of the adsorption mechanism and evaluation of the adsorption performance showed that carbon structures modified with </w:t>
      </w:r>
      <w:proofErr w:type="spellStart"/>
      <w:r w:rsidRPr="00D95DBC">
        <w:rPr>
          <w:rFonts w:ascii="Times New Roman" w:hAnsi="Times New Roman"/>
          <w:color w:val="auto"/>
          <w:sz w:val="24"/>
          <w:szCs w:val="24"/>
        </w:rPr>
        <w:t>nanosilver</w:t>
      </w:r>
      <w:proofErr w:type="spellEnd"/>
      <w:r w:rsidRPr="00D95DBC">
        <w:rPr>
          <w:rFonts w:ascii="Times New Roman" w:hAnsi="Times New Roman"/>
          <w:color w:val="auto"/>
          <w:sz w:val="24"/>
          <w:szCs w:val="24"/>
        </w:rPr>
        <w:t xml:space="preserve"> have significant prospects for the treatment of real wastewater with anions and cations of heavy metals.</w:t>
      </w:r>
    </w:p>
    <w:p w14:paraId="630EF910" w14:textId="6CAF7D7B"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lang w:eastAsia="zh-CN"/>
        </w:rPr>
        <w:t xml:space="preserve">Our </w:t>
      </w:r>
      <w:proofErr w:type="spellStart"/>
      <w:r w:rsidRPr="00D95DBC">
        <w:rPr>
          <w:rFonts w:ascii="Times New Roman" w:hAnsi="Times New Roman"/>
          <w:color w:val="auto"/>
          <w:sz w:val="24"/>
          <w:szCs w:val="24"/>
          <w:lang w:eastAsia="zh-CN"/>
        </w:rPr>
        <w:t>AgNP</w:t>
      </w:r>
      <w:proofErr w:type="spellEnd"/>
      <w:r w:rsidRPr="00D95DBC">
        <w:rPr>
          <w:rFonts w:ascii="Times New Roman" w:hAnsi="Times New Roman"/>
          <w:color w:val="auto"/>
          <w:sz w:val="24"/>
          <w:szCs w:val="24"/>
          <w:lang w:eastAsia="zh-CN"/>
        </w:rPr>
        <w:t>-modified coal waste sorbent exhibits a balanced performance when critically compared to adsorbents frequently used in agricultural water purification, such as activated carbon, biochar, clay minerals, and agricultural residues. It offers notable removal efficiency for petroleum hydrocarbons, a contaminant of increasing concern in farmlands close to industrial zones, in addition to matching or surpassing the adsorption capacities for heavy metals reported for these materials. Furthermore, its rapid sorption kinetics and non-toxic nature make it even more suitable for practical agricultural applications (</w:t>
      </w:r>
      <w:proofErr w:type="spellStart"/>
      <w:r w:rsidR="00C34678" w:rsidRPr="00D95DBC">
        <w:rPr>
          <w:rFonts w:ascii="Times New Roman" w:hAnsi="Times New Roman"/>
          <w:color w:val="auto"/>
          <w:sz w:val="24"/>
          <w:szCs w:val="24"/>
          <w:lang w:eastAsia="zh-CN"/>
        </w:rPr>
        <w:t>Ariyanti</w:t>
      </w:r>
      <w:proofErr w:type="spellEnd"/>
      <w:r w:rsidR="00C34678" w:rsidRPr="00D95DBC">
        <w:rPr>
          <w:rFonts w:ascii="Times New Roman" w:hAnsi="Times New Roman"/>
          <w:color w:val="auto"/>
          <w:sz w:val="24"/>
          <w:szCs w:val="24"/>
          <w:lang w:eastAsia="zh-CN"/>
        </w:rPr>
        <w:t xml:space="preserve"> et al.</w:t>
      </w:r>
      <w:r w:rsidRPr="00D95DBC">
        <w:rPr>
          <w:rFonts w:ascii="Times New Roman" w:hAnsi="Times New Roman"/>
          <w:color w:val="auto"/>
          <w:sz w:val="24"/>
          <w:szCs w:val="24"/>
          <w:lang w:eastAsia="zh-CN"/>
        </w:rPr>
        <w:t xml:space="preserve"> 2023).</w:t>
      </w:r>
    </w:p>
    <w:p w14:paraId="5075B57A" w14:textId="77777777" w:rsidR="00140D10" w:rsidRPr="00D95DBC" w:rsidRDefault="00140D10" w:rsidP="00140D10">
      <w:pPr>
        <w:pStyle w:val="MDPI31text"/>
        <w:spacing w:line="360" w:lineRule="auto"/>
        <w:ind w:left="0" w:firstLine="567"/>
        <w:rPr>
          <w:rFonts w:ascii="Times New Roman" w:hAnsi="Times New Roman"/>
          <w:b/>
          <w:color w:val="auto"/>
          <w:sz w:val="24"/>
          <w:szCs w:val="24"/>
        </w:rPr>
      </w:pPr>
    </w:p>
    <w:p w14:paraId="4EBFDAEB" w14:textId="65609145" w:rsidR="00140D10" w:rsidRPr="00D95DBC" w:rsidRDefault="00140D10" w:rsidP="00140D10">
      <w:pPr>
        <w:pStyle w:val="afd"/>
        <w:numPr>
          <w:ilvl w:val="1"/>
          <w:numId w:val="30"/>
        </w:numPr>
        <w:tabs>
          <w:tab w:val="left" w:pos="567"/>
        </w:tabs>
        <w:spacing w:line="360" w:lineRule="auto"/>
        <w:ind w:left="0" w:firstLine="0"/>
        <w:contextualSpacing w:val="0"/>
      </w:pPr>
      <w:r w:rsidRPr="00D95DBC">
        <w:rPr>
          <w:b/>
        </w:rPr>
        <w:t>Results of Determining the Adsorption Equilibrium Constants for Oil Products, Iron, Copper, Lead, Manganese, and Cadmium Ions</w:t>
      </w:r>
    </w:p>
    <w:p w14:paraId="313E3BCB"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Value of the adsorption equilibrium constant can be used to assess the effectiveness of the sorbent – sorbate interaction. Table 5 shows that these constants for all the studied components get similar values (the </w:t>
      </w:r>
      <w:r w:rsidRPr="00D95DBC">
        <w:rPr>
          <w:rFonts w:ascii="Times New Roman" w:hAnsi="Times New Roman"/>
          <w:i/>
          <w:color w:val="auto"/>
          <w:sz w:val="24"/>
          <w:szCs w:val="24"/>
        </w:rPr>
        <w:t xml:space="preserve">K </w:t>
      </w:r>
      <w:r w:rsidRPr="00D95DBC">
        <w:rPr>
          <w:rFonts w:ascii="Times New Roman" w:hAnsi="Times New Roman"/>
          <w:color w:val="auto"/>
          <w:sz w:val="24"/>
          <w:szCs w:val="24"/>
        </w:rPr>
        <w:t>value varies in the range of 11.85-18.85), therefore, the developed sorption-catalytic materials are characterized by high selectivity to oil products, iron, copper, lead, manganese and cadmium ions.</w:t>
      </w:r>
    </w:p>
    <w:p w14:paraId="287A8DC9" w14:textId="629486B5"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lastRenderedPageBreak/>
        <w:t>In (</w:t>
      </w:r>
      <w:proofErr w:type="spellStart"/>
      <w:r w:rsidR="00EE0784" w:rsidRPr="00D95DBC">
        <w:rPr>
          <w:rFonts w:ascii="Times New Roman" w:hAnsi="Times New Roman"/>
          <w:color w:val="auto"/>
          <w:sz w:val="24"/>
          <w:szCs w:val="24"/>
        </w:rPr>
        <w:t>Wierzba</w:t>
      </w:r>
      <w:proofErr w:type="spellEnd"/>
      <w:r w:rsidR="00EE0784" w:rsidRPr="00D95DBC">
        <w:rPr>
          <w:rFonts w:ascii="Times New Roman" w:hAnsi="Times New Roman"/>
          <w:color w:val="auto"/>
          <w:sz w:val="24"/>
          <w:szCs w:val="24"/>
        </w:rPr>
        <w:t xml:space="preserve"> and</w:t>
      </w:r>
      <w:r w:rsidRPr="00D95DBC">
        <w:rPr>
          <w:rFonts w:ascii="Times New Roman" w:hAnsi="Times New Roman"/>
          <w:color w:val="auto"/>
          <w:sz w:val="24"/>
          <w:szCs w:val="24"/>
        </w:rPr>
        <w:t xml:space="preserve"> </w:t>
      </w:r>
      <w:proofErr w:type="spellStart"/>
      <w:r w:rsidRPr="00D95DBC">
        <w:rPr>
          <w:rFonts w:ascii="Times New Roman" w:hAnsi="Times New Roman"/>
          <w:color w:val="auto"/>
          <w:sz w:val="24"/>
          <w:szCs w:val="24"/>
        </w:rPr>
        <w:t>Kłos</w:t>
      </w:r>
      <w:proofErr w:type="spellEnd"/>
      <w:r w:rsidRPr="00D95DBC">
        <w:rPr>
          <w:rFonts w:ascii="Times New Roman" w:hAnsi="Times New Roman"/>
          <w:color w:val="auto"/>
          <w:sz w:val="24"/>
          <w:szCs w:val="24"/>
        </w:rPr>
        <w:t xml:space="preserve"> 2019), sorption characteristics of used beer grains to heavy metal ions were evaluated. The conclusion says that the new sorbent is suitable for water and waste water treatment. The calculated values of the sorption equilibrium constant were as follows: Cu 15.6, Pb 26.8, Mn 16.3, Ni 13.9, Zn 16.5, Cd 14.9, which in most cases is comparable to our results.</w:t>
      </w:r>
    </w:p>
    <w:p w14:paraId="66667CAA" w14:textId="77777777" w:rsidR="00140D10" w:rsidRPr="00D95DBC" w:rsidRDefault="00140D10" w:rsidP="00140D10">
      <w:pPr>
        <w:pStyle w:val="MDPI31text"/>
        <w:spacing w:line="360" w:lineRule="auto"/>
        <w:ind w:left="0" w:firstLine="567"/>
        <w:rPr>
          <w:rFonts w:ascii="Times New Roman" w:hAnsi="Times New Roman"/>
          <w:color w:val="auto"/>
          <w:sz w:val="24"/>
          <w:szCs w:val="24"/>
        </w:rPr>
      </w:pPr>
    </w:p>
    <w:p w14:paraId="05653D1A" w14:textId="5C6B9B00" w:rsidR="00140D10" w:rsidRPr="00D95DBC" w:rsidRDefault="00140D10" w:rsidP="00140D10">
      <w:pPr>
        <w:pStyle w:val="MDPI31text"/>
        <w:numPr>
          <w:ilvl w:val="1"/>
          <w:numId w:val="30"/>
        </w:numPr>
        <w:spacing w:line="360" w:lineRule="auto"/>
        <w:ind w:left="0" w:firstLine="0"/>
        <w:rPr>
          <w:rFonts w:ascii="Times New Roman" w:hAnsi="Times New Roman"/>
          <w:b/>
          <w:bCs/>
          <w:color w:val="auto"/>
          <w:sz w:val="24"/>
          <w:szCs w:val="24"/>
        </w:rPr>
      </w:pPr>
      <w:r w:rsidRPr="00D95DBC">
        <w:rPr>
          <w:rFonts w:ascii="Times New Roman" w:hAnsi="Times New Roman"/>
          <w:b/>
          <w:bCs/>
          <w:color w:val="auto"/>
          <w:sz w:val="24"/>
          <w:szCs w:val="24"/>
        </w:rPr>
        <w:t>Ecological implications of silver nanoparticles in agricultural</w:t>
      </w:r>
    </w:p>
    <w:p w14:paraId="17E5B795" w14:textId="7AEF614C" w:rsidR="00140D10" w:rsidRPr="00D95DBC" w:rsidRDefault="00140D10" w:rsidP="00140D10">
      <w:pPr>
        <w:pStyle w:val="MDPI31text"/>
        <w:spacing w:line="360" w:lineRule="auto"/>
        <w:ind w:left="0" w:firstLine="567"/>
        <w:rPr>
          <w:rFonts w:ascii="Times New Roman" w:hAnsi="Times New Roman"/>
          <w:color w:val="auto"/>
          <w:sz w:val="24"/>
          <w:szCs w:val="24"/>
          <w:lang w:eastAsia="zh-CN"/>
        </w:rPr>
      </w:pPr>
      <w:r w:rsidRPr="00D95DBC">
        <w:rPr>
          <w:rFonts w:ascii="Times New Roman" w:hAnsi="Times New Roman"/>
          <w:color w:val="auto"/>
          <w:sz w:val="24"/>
          <w:szCs w:val="24"/>
        </w:rPr>
        <w:t xml:space="preserve">Silver nanoparticles have been shown to provide significant benefits such as its impact on seed germination and plant growth, photosynthesis and also its effectiveness as a non-toxic pest management alternative. Irrespective of these benefits, it is imperative that we consider the phytotoxicity of silver nanoparticles. </w:t>
      </w:r>
      <w:r w:rsidRPr="00D95DBC">
        <w:rPr>
          <w:rFonts w:ascii="Times New Roman" w:hAnsi="Times New Roman"/>
          <w:color w:val="auto"/>
          <w:sz w:val="24"/>
          <w:szCs w:val="24"/>
          <w:lang w:eastAsia="zh-CN"/>
        </w:rPr>
        <w:t xml:space="preserve">Khan et al. (2023) reported that although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played vital roles in germination and growth, certain plants displayed toxicity at certain concentrations during application. They also recorded the presence of reduced germination, seed growth, root/shoot length and mass and these phenomena could be attributed to the accumulation of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in leaves and roots which subsequently activates the defense mechanism at cellular/tissue levels and modifies proteomic expression, antioxidant activities, and metabolism (</w:t>
      </w:r>
      <w:r w:rsidR="00E24E48" w:rsidRPr="00D95DBC">
        <w:rPr>
          <w:rFonts w:ascii="Times New Roman" w:hAnsi="Times New Roman"/>
          <w:color w:val="auto"/>
          <w:sz w:val="24"/>
          <w:szCs w:val="24"/>
          <w:lang w:eastAsia="zh-CN"/>
        </w:rPr>
        <w:t>Khan et al.</w:t>
      </w:r>
      <w:r w:rsidRPr="00D95DBC">
        <w:rPr>
          <w:rFonts w:ascii="Times New Roman" w:hAnsi="Times New Roman"/>
          <w:color w:val="auto"/>
          <w:sz w:val="24"/>
          <w:szCs w:val="24"/>
          <w:lang w:eastAsia="zh-CN"/>
        </w:rPr>
        <w:t xml:space="preserve"> 2023).</w:t>
      </w:r>
    </w:p>
    <w:p w14:paraId="62C09E40" w14:textId="2F0B48FE" w:rsidR="00140D10" w:rsidRPr="00D95DBC" w:rsidRDefault="00140D10" w:rsidP="00140D10">
      <w:pPr>
        <w:pStyle w:val="MDPI31text"/>
        <w:spacing w:line="360" w:lineRule="auto"/>
        <w:ind w:left="0" w:firstLine="567"/>
        <w:rPr>
          <w:rFonts w:ascii="Times New Roman" w:hAnsi="Times New Roman"/>
          <w:color w:val="auto"/>
          <w:sz w:val="24"/>
          <w:szCs w:val="24"/>
          <w:lang w:eastAsia="zh-CN"/>
        </w:rPr>
      </w:pPr>
      <w:proofErr w:type="spellStart"/>
      <w:r w:rsidRPr="00D95DBC">
        <w:rPr>
          <w:rFonts w:ascii="Times New Roman" w:hAnsi="Times New Roman"/>
          <w:color w:val="auto"/>
          <w:sz w:val="24"/>
          <w:szCs w:val="24"/>
          <w:lang w:eastAsia="zh-CN"/>
        </w:rPr>
        <w:t>Jangid</w:t>
      </w:r>
      <w:proofErr w:type="spellEnd"/>
      <w:r w:rsidRPr="00D95DBC">
        <w:rPr>
          <w:rFonts w:ascii="Times New Roman" w:hAnsi="Times New Roman"/>
          <w:color w:val="auto"/>
          <w:sz w:val="24"/>
          <w:szCs w:val="24"/>
          <w:lang w:eastAsia="zh-CN"/>
        </w:rPr>
        <w:t xml:space="preserve"> et al. (2025) highlighted that silver nanoparticles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despite possessing antimicrobial properties they also </w:t>
      </w:r>
      <w:proofErr w:type="spellStart"/>
      <w:r w:rsidRPr="00D95DBC">
        <w:rPr>
          <w:rFonts w:ascii="Times New Roman" w:hAnsi="Times New Roman"/>
          <w:color w:val="auto"/>
          <w:sz w:val="24"/>
          <w:szCs w:val="24"/>
          <w:lang w:eastAsia="zh-CN"/>
        </w:rPr>
        <w:t>harbour</w:t>
      </w:r>
      <w:proofErr w:type="spellEnd"/>
      <w:r w:rsidRPr="00D95DBC">
        <w:rPr>
          <w:rFonts w:ascii="Times New Roman" w:hAnsi="Times New Roman"/>
          <w:color w:val="auto"/>
          <w:sz w:val="24"/>
          <w:szCs w:val="24"/>
          <w:lang w:eastAsia="zh-CN"/>
        </w:rPr>
        <w:t xml:space="preserve"> unprecedented effects such as interference in nutrient cycling patterns and accumulation through food webs.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can potentially disrupt critical microbial ecosystems involved in nutrient cycling, reduce soil microbial diversity and enzymatic activity, with long-term implications for soil fertility and ecosystem imbalances. Studies also show it has negative impacts on nitrogen fixing and nitrification Nitrosomonas and Nitrobacter and in cases of agricultural runoff,</w:t>
      </w:r>
      <w:r w:rsidR="00E24E48" w:rsidRPr="00D95DBC">
        <w:rPr>
          <w:rFonts w:ascii="Times New Roman" w:hAnsi="Times New Roman"/>
          <w:color w:val="auto"/>
          <w:sz w:val="24"/>
          <w:szCs w:val="24"/>
          <w:lang w:eastAsia="zh-CN"/>
        </w:rPr>
        <w:t xml:space="preserve">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is dispersed into the water ecosystem, thus posing a significant risk to aquatic ecosystems.</w:t>
      </w:r>
    </w:p>
    <w:p w14:paraId="021CFA65" w14:textId="050D5D69" w:rsidR="00397A3C"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lang w:eastAsia="zh-CN"/>
        </w:rPr>
        <w:t xml:space="preserve">Studies like Chen et al. (2022) emphasize the need for more research on the effect of silver nanoparticles infiltration into the food chain. Advanced analytical tools with low detection limits are necessary for determining the threshold concentrations of </w:t>
      </w:r>
      <w:proofErr w:type="spellStart"/>
      <w:r w:rsidRPr="00D95DBC">
        <w:rPr>
          <w:rFonts w:ascii="Times New Roman" w:hAnsi="Times New Roman"/>
          <w:color w:val="auto"/>
          <w:sz w:val="24"/>
          <w:szCs w:val="24"/>
          <w:lang w:eastAsia="zh-CN"/>
        </w:rPr>
        <w:t>AgNPs</w:t>
      </w:r>
      <w:proofErr w:type="spellEnd"/>
      <w:r w:rsidRPr="00D95DBC">
        <w:rPr>
          <w:rFonts w:ascii="Times New Roman" w:hAnsi="Times New Roman"/>
          <w:color w:val="auto"/>
          <w:sz w:val="24"/>
          <w:szCs w:val="24"/>
          <w:lang w:eastAsia="zh-CN"/>
        </w:rPr>
        <w:t xml:space="preserve"> that cause hazardous effects. Future research is also recommended to create comprehensive concentration standards for every plant so as to encourage effectiveness and reduce the probability of run offs. </w:t>
      </w:r>
      <w:proofErr w:type="spellStart"/>
      <w:r w:rsidRPr="00D95DBC">
        <w:rPr>
          <w:rFonts w:ascii="Times New Roman" w:hAnsi="Times New Roman"/>
          <w:color w:val="auto"/>
          <w:sz w:val="24"/>
          <w:szCs w:val="24"/>
          <w:lang w:eastAsia="zh-CN"/>
        </w:rPr>
        <w:t>Padhye</w:t>
      </w:r>
      <w:proofErr w:type="spellEnd"/>
      <w:r w:rsidRPr="00D95DBC">
        <w:rPr>
          <w:rFonts w:ascii="Times New Roman" w:hAnsi="Times New Roman"/>
          <w:color w:val="auto"/>
          <w:sz w:val="24"/>
          <w:szCs w:val="24"/>
          <w:lang w:eastAsia="zh-CN"/>
        </w:rPr>
        <w:t xml:space="preserve"> et al. (2023) in a broader study, highlights the importance of source reduction for places with potential silver contamination which may be caused by silver nanoparticles. To encourage ecological sustainability, numerous studies such as Fahim et al. (2024), Husain et al. (2023) and Gong et al. (2023) suggest employing a green synthesis approach which is cost </w:t>
      </w:r>
      <w:r w:rsidRPr="00D95DBC">
        <w:rPr>
          <w:rFonts w:ascii="Times New Roman" w:hAnsi="Times New Roman"/>
          <w:color w:val="auto"/>
          <w:sz w:val="24"/>
          <w:szCs w:val="24"/>
          <w:lang w:eastAsia="zh-CN"/>
        </w:rPr>
        <w:lastRenderedPageBreak/>
        <w:t>effective, non-toxic and environmentally friendly and basically involves the oxidation/reduction of metallic ions by organic molecules derived from biological sources</w:t>
      </w:r>
      <w:r w:rsidR="00397A3C" w:rsidRPr="00D95DBC">
        <w:rPr>
          <w:rFonts w:ascii="Times New Roman" w:hAnsi="Times New Roman"/>
          <w:color w:val="auto"/>
          <w:sz w:val="24"/>
          <w:szCs w:val="24"/>
        </w:rPr>
        <w:t>.</w:t>
      </w:r>
    </w:p>
    <w:p w14:paraId="2CBEB07C" w14:textId="77777777" w:rsidR="00397A3C" w:rsidRPr="00D95DBC" w:rsidRDefault="00397A3C" w:rsidP="00140D10">
      <w:pPr>
        <w:pStyle w:val="MDPI31text"/>
        <w:spacing w:line="360" w:lineRule="auto"/>
        <w:ind w:left="0" w:firstLine="567"/>
        <w:rPr>
          <w:rFonts w:ascii="Times New Roman" w:hAnsi="Times New Roman"/>
          <w:color w:val="auto"/>
          <w:sz w:val="24"/>
          <w:szCs w:val="24"/>
        </w:rPr>
      </w:pPr>
    </w:p>
    <w:p w14:paraId="2A855CF1" w14:textId="4E548E21" w:rsidR="00397A3C" w:rsidRPr="00D95DBC" w:rsidRDefault="008D1C74"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D95DBC">
        <w:rPr>
          <w:rFonts w:ascii="Times New Roman" w:hAnsi="Times New Roman"/>
          <w:color w:val="auto"/>
          <w:sz w:val="24"/>
          <w:szCs w:val="24"/>
        </w:rPr>
        <w:t>CONCLUSION</w:t>
      </w:r>
    </w:p>
    <w:p w14:paraId="3E58C31F" w14:textId="27F3467A" w:rsidR="00140D10"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 xml:space="preserve">These days, biotechnologies are being actively developed in various areas of human life, including water treatment. With all the advantages of "green" methods, activated charcoal rightly continues to be used for purifying various water solutions. Coal mining waste can be an environmental and economic alternative to activated charcoal in natural and waste water treatment processes. Modified with silver nanoparticles, coal waste improved its characteristics (adsorption capacity, surface area) without forming an ecotoxic effect on the environment. For the first time, the effect of modifying of carbon carrier with silver nanoparticles (sorption-catalytic materials based on coal waste and </w:t>
      </w:r>
      <w:proofErr w:type="spellStart"/>
      <w:r w:rsidRPr="00D95DBC">
        <w:rPr>
          <w:rFonts w:ascii="Times New Roman" w:hAnsi="Times New Roman"/>
          <w:color w:val="auto"/>
          <w:sz w:val="24"/>
          <w:szCs w:val="24"/>
        </w:rPr>
        <w:t>nanosilver</w:t>
      </w:r>
      <w:proofErr w:type="spellEnd"/>
      <w:r w:rsidRPr="00D95DBC">
        <w:rPr>
          <w:rFonts w:ascii="Times New Roman" w:hAnsi="Times New Roman"/>
          <w:color w:val="auto"/>
          <w:sz w:val="24"/>
          <w:szCs w:val="24"/>
        </w:rPr>
        <w:t xml:space="preserve"> particles) on the adsorption of heavy metal ions and oil products was studied. A simultaneous decrease in the concentration of heavy metals and oil products in aqueous solutions was observed. </w:t>
      </w:r>
    </w:p>
    <w:p w14:paraId="3A425B3F" w14:textId="6E424C82" w:rsidR="00397A3C" w:rsidRPr="00D95DBC" w:rsidRDefault="00140D10" w:rsidP="00140D10">
      <w:pPr>
        <w:pStyle w:val="MDPI31text"/>
        <w:spacing w:line="360" w:lineRule="auto"/>
        <w:ind w:left="0" w:firstLine="567"/>
        <w:rPr>
          <w:rFonts w:ascii="Times New Roman" w:hAnsi="Times New Roman"/>
          <w:color w:val="auto"/>
          <w:sz w:val="24"/>
          <w:szCs w:val="24"/>
        </w:rPr>
      </w:pPr>
      <w:r w:rsidRPr="00D95DBC">
        <w:rPr>
          <w:rFonts w:ascii="Times New Roman" w:hAnsi="Times New Roman"/>
          <w:color w:val="auto"/>
          <w:sz w:val="24"/>
          <w:szCs w:val="24"/>
        </w:rPr>
        <w:t>Thus, the study determines the potential of carbon structures modified with silver nanoparticles in the process of purification of natural and wastewater from petroleum products and heavy metals. The study shows that low-grade coal modified with nanometals has adsorption properties. However, for further development of the direction, it is necessary to study the possibility of presenting sorption-catalytic materials for sampling in a form suitable for collecting oil (fine powders, microcapsules, etc.), as well as restoring sorption characteristics after purification and extraction of petroleum products to reduce the economic and environmental components of the technology for purifying water surfaces and solutions</w:t>
      </w:r>
      <w:r w:rsidR="00397A3C" w:rsidRPr="00D95DBC">
        <w:rPr>
          <w:rFonts w:ascii="Times New Roman" w:hAnsi="Times New Roman"/>
          <w:color w:val="auto"/>
          <w:sz w:val="24"/>
          <w:szCs w:val="24"/>
        </w:rPr>
        <w:t>.</w:t>
      </w:r>
    </w:p>
    <w:p w14:paraId="1EB34533" w14:textId="77777777" w:rsidR="00397A3C" w:rsidRPr="00D95DBC" w:rsidRDefault="00397A3C" w:rsidP="00140D10">
      <w:pPr>
        <w:pStyle w:val="MDPI31text"/>
        <w:spacing w:line="360" w:lineRule="auto"/>
        <w:ind w:left="0" w:firstLine="567"/>
        <w:rPr>
          <w:rFonts w:ascii="Times New Roman" w:hAnsi="Times New Roman"/>
          <w:color w:val="auto"/>
          <w:sz w:val="24"/>
          <w:szCs w:val="24"/>
        </w:rPr>
      </w:pPr>
    </w:p>
    <w:p w14:paraId="5E7269AD" w14:textId="0AE63232" w:rsidR="00397A3C" w:rsidRPr="00D95DBC" w:rsidRDefault="00397A3C" w:rsidP="00320A9D">
      <w:pPr>
        <w:pStyle w:val="MDPI31text"/>
        <w:spacing w:line="360" w:lineRule="auto"/>
        <w:ind w:left="0" w:firstLine="0"/>
        <w:rPr>
          <w:rFonts w:ascii="Times New Roman" w:hAnsi="Times New Roman"/>
          <w:color w:val="auto"/>
          <w:sz w:val="24"/>
          <w:szCs w:val="24"/>
        </w:rPr>
      </w:pPr>
      <w:r w:rsidRPr="00D95DBC">
        <w:rPr>
          <w:rFonts w:ascii="Times New Roman" w:hAnsi="Times New Roman"/>
          <w:b/>
          <w:bCs/>
          <w:color w:val="auto"/>
          <w:sz w:val="24"/>
          <w:szCs w:val="24"/>
        </w:rPr>
        <w:t>F</w:t>
      </w:r>
      <w:r w:rsidR="00F4777F" w:rsidRPr="00D95DBC">
        <w:rPr>
          <w:rFonts w:ascii="Times New Roman" w:hAnsi="Times New Roman"/>
          <w:b/>
          <w:bCs/>
          <w:color w:val="auto"/>
          <w:sz w:val="24"/>
          <w:szCs w:val="24"/>
        </w:rPr>
        <w:t>unding</w:t>
      </w:r>
      <w:r w:rsidRPr="00D95DBC">
        <w:rPr>
          <w:rFonts w:ascii="Times New Roman" w:hAnsi="Times New Roman"/>
          <w:b/>
          <w:bCs/>
          <w:color w:val="auto"/>
          <w:sz w:val="24"/>
          <w:szCs w:val="24"/>
        </w:rPr>
        <w:t>:</w:t>
      </w:r>
      <w:r w:rsidRPr="00D95DBC">
        <w:rPr>
          <w:rFonts w:ascii="Times New Roman" w:hAnsi="Times New Roman"/>
          <w:color w:val="auto"/>
          <w:sz w:val="24"/>
          <w:szCs w:val="24"/>
        </w:rPr>
        <w:t xml:space="preserve"> </w:t>
      </w:r>
      <w:r w:rsidR="00801905" w:rsidRPr="00D95DBC">
        <w:rPr>
          <w:rFonts w:ascii="Times New Roman" w:hAnsi="Times New Roman"/>
          <w:color w:val="auto"/>
          <w:sz w:val="24"/>
          <w:szCs w:val="24"/>
        </w:rPr>
        <w:t>The research was funded the Ministry of Science and Higher Education of the Russian Federation within the framework of the comprehensive scientific and technical program of full innovation cycle (Order of the Government of the Russian Federation No. 1144-r from 11.05.2022., Agreement No. 075-15-2022-1201).</w:t>
      </w:r>
    </w:p>
    <w:p w14:paraId="664CFBDF" w14:textId="77777777" w:rsidR="00397A3C" w:rsidRPr="00D95DBC" w:rsidRDefault="00397A3C" w:rsidP="00320A9D">
      <w:pPr>
        <w:pStyle w:val="MDPI31text"/>
        <w:spacing w:line="360" w:lineRule="auto"/>
        <w:ind w:left="0" w:firstLine="0"/>
        <w:rPr>
          <w:rFonts w:ascii="Times New Roman" w:hAnsi="Times New Roman"/>
          <w:color w:val="auto"/>
          <w:sz w:val="24"/>
          <w:szCs w:val="24"/>
        </w:rPr>
      </w:pPr>
    </w:p>
    <w:p w14:paraId="34F2A868" w14:textId="0515AFFB" w:rsidR="00F4777F" w:rsidRPr="00D95DBC" w:rsidRDefault="00F4777F" w:rsidP="00374E79">
      <w:pPr>
        <w:spacing w:line="360" w:lineRule="auto"/>
        <w:rPr>
          <w:color w:val="auto"/>
        </w:rPr>
      </w:pPr>
      <w:r w:rsidRPr="00D95DBC">
        <w:rPr>
          <w:b/>
          <w:color w:val="auto"/>
        </w:rPr>
        <w:t xml:space="preserve">Conflict of Interest: </w:t>
      </w:r>
      <w:r w:rsidR="00320A9D" w:rsidRPr="00D95DBC">
        <w:rPr>
          <w:color w:val="auto"/>
        </w:rPr>
        <w:t>The authors declare that they have no conflict of interest</w:t>
      </w:r>
      <w:r w:rsidRPr="00D95DBC">
        <w:rPr>
          <w:color w:val="auto"/>
        </w:rPr>
        <w:t>.</w:t>
      </w:r>
    </w:p>
    <w:p w14:paraId="23D6B474" w14:textId="77777777" w:rsidR="00F4777F" w:rsidRPr="00D95DBC" w:rsidRDefault="00F4777F" w:rsidP="00374E79">
      <w:pPr>
        <w:spacing w:line="360" w:lineRule="auto"/>
        <w:rPr>
          <w:color w:val="auto"/>
        </w:rPr>
      </w:pPr>
    </w:p>
    <w:p w14:paraId="25A24650" w14:textId="538D8C9B" w:rsidR="00F4777F" w:rsidRPr="00D95DBC" w:rsidRDefault="00F4777F" w:rsidP="00374E79">
      <w:pPr>
        <w:spacing w:line="360" w:lineRule="auto"/>
        <w:rPr>
          <w:color w:val="auto"/>
        </w:rPr>
      </w:pPr>
      <w:r w:rsidRPr="00D95DBC">
        <w:rPr>
          <w:b/>
          <w:color w:val="auto"/>
        </w:rPr>
        <w:t xml:space="preserve">Data Availability: </w:t>
      </w:r>
      <w:r w:rsidR="00801905" w:rsidRPr="00D95DBC">
        <w:rPr>
          <w:color w:val="auto"/>
        </w:rPr>
        <w:t>The data are included in the manuscript. The authors declare no competing financial interest</w:t>
      </w:r>
      <w:r w:rsidRPr="00D95DBC">
        <w:rPr>
          <w:color w:val="auto"/>
        </w:rPr>
        <w:t>.</w:t>
      </w:r>
    </w:p>
    <w:p w14:paraId="0C1B93BE" w14:textId="77777777" w:rsidR="00F4777F" w:rsidRPr="00D95DBC" w:rsidRDefault="00F4777F" w:rsidP="001E3F1F">
      <w:pPr>
        <w:spacing w:line="360" w:lineRule="auto"/>
        <w:rPr>
          <w:color w:val="auto"/>
        </w:rPr>
      </w:pPr>
    </w:p>
    <w:p w14:paraId="2A40DD1C" w14:textId="77777777" w:rsidR="001E3F1F" w:rsidRPr="00D95DBC" w:rsidRDefault="001E3F1F" w:rsidP="001E3F1F">
      <w:pPr>
        <w:pStyle w:val="MDPI21heading1"/>
        <w:spacing w:before="0" w:after="0" w:line="360" w:lineRule="auto"/>
        <w:ind w:left="0"/>
        <w:jc w:val="both"/>
        <w:outlineLvl w:val="9"/>
        <w:rPr>
          <w:rFonts w:ascii="Times New Roman" w:hAnsi="Times New Roman"/>
          <w:color w:val="auto"/>
          <w:sz w:val="24"/>
          <w:szCs w:val="24"/>
        </w:rPr>
      </w:pPr>
      <w:r w:rsidRPr="00D95DBC">
        <w:rPr>
          <w:rFonts w:ascii="Times New Roman" w:hAnsi="Times New Roman"/>
          <w:color w:val="auto"/>
          <w:sz w:val="24"/>
          <w:szCs w:val="24"/>
        </w:rPr>
        <w:t xml:space="preserve">Institutional Review Board Statement: </w:t>
      </w:r>
      <w:r w:rsidRPr="00D95DBC">
        <w:rPr>
          <w:rFonts w:ascii="Times New Roman" w:hAnsi="Times New Roman"/>
          <w:b w:val="0"/>
          <w:color w:val="auto"/>
          <w:sz w:val="24"/>
          <w:szCs w:val="24"/>
        </w:rPr>
        <w:t>Not applicable.</w:t>
      </w:r>
    </w:p>
    <w:p w14:paraId="156F31CC" w14:textId="77777777" w:rsidR="001E3F1F" w:rsidRPr="00D95DBC" w:rsidRDefault="001E3F1F" w:rsidP="001E3F1F">
      <w:pPr>
        <w:pStyle w:val="MDPI31text"/>
        <w:spacing w:line="360" w:lineRule="auto"/>
        <w:ind w:left="0" w:firstLine="0"/>
        <w:rPr>
          <w:rFonts w:ascii="Times New Roman" w:hAnsi="Times New Roman"/>
          <w:color w:val="auto"/>
          <w:sz w:val="24"/>
          <w:szCs w:val="24"/>
        </w:rPr>
      </w:pPr>
    </w:p>
    <w:p w14:paraId="65D6228B" w14:textId="77777777" w:rsidR="001E3F1F" w:rsidRPr="00D95DBC" w:rsidRDefault="001E3F1F" w:rsidP="001E3F1F">
      <w:pPr>
        <w:pStyle w:val="MDPI21heading1"/>
        <w:spacing w:before="0" w:after="0" w:line="360" w:lineRule="auto"/>
        <w:ind w:left="0"/>
        <w:jc w:val="both"/>
        <w:outlineLvl w:val="9"/>
        <w:rPr>
          <w:rFonts w:ascii="Times New Roman" w:hAnsi="Times New Roman"/>
          <w:color w:val="auto"/>
          <w:sz w:val="24"/>
          <w:szCs w:val="24"/>
        </w:rPr>
      </w:pPr>
      <w:r w:rsidRPr="00D95DBC">
        <w:rPr>
          <w:rFonts w:ascii="Times New Roman" w:hAnsi="Times New Roman"/>
          <w:color w:val="auto"/>
          <w:sz w:val="24"/>
          <w:szCs w:val="24"/>
        </w:rPr>
        <w:t xml:space="preserve">Informed Consent Statement: </w:t>
      </w:r>
      <w:r w:rsidRPr="00D95DBC">
        <w:rPr>
          <w:rFonts w:ascii="Times New Roman" w:hAnsi="Times New Roman"/>
          <w:b w:val="0"/>
          <w:color w:val="auto"/>
          <w:sz w:val="24"/>
          <w:szCs w:val="24"/>
        </w:rPr>
        <w:t>Not applicable.</w:t>
      </w:r>
    </w:p>
    <w:p w14:paraId="5E822049" w14:textId="77777777" w:rsidR="001E3F1F" w:rsidRPr="00D95DBC" w:rsidRDefault="001E3F1F" w:rsidP="001E3F1F">
      <w:pPr>
        <w:pStyle w:val="style7"/>
        <w:spacing w:before="0" w:beforeAutospacing="0" w:after="0" w:afterAutospacing="0" w:line="360" w:lineRule="auto"/>
        <w:jc w:val="both"/>
        <w:rPr>
          <w:b/>
          <w:bCs/>
          <w:lang w:val="en-US"/>
        </w:rPr>
      </w:pPr>
    </w:p>
    <w:p w14:paraId="4D535D9F" w14:textId="77777777" w:rsidR="00374E79" w:rsidRPr="00D95DBC" w:rsidRDefault="00374E79" w:rsidP="00374E79">
      <w:pPr>
        <w:pStyle w:val="style7"/>
        <w:spacing w:before="0" w:beforeAutospacing="0" w:after="0" w:afterAutospacing="0" w:line="360" w:lineRule="auto"/>
        <w:jc w:val="both"/>
        <w:rPr>
          <w:lang w:val="en-US"/>
        </w:rPr>
      </w:pPr>
      <w:r w:rsidRPr="00D95DBC">
        <w:rPr>
          <w:b/>
          <w:bCs/>
          <w:lang w:val="en-US"/>
        </w:rPr>
        <w:t xml:space="preserve">Ethics Statement: </w:t>
      </w:r>
      <w:r w:rsidRPr="00D95DBC">
        <w:rPr>
          <w:lang w:val="en-US"/>
        </w:rPr>
        <w:t>State, like, the animal study was approved by the Ethics Committee of the [insert name of institute/University; approved vide number</w:t>
      </w:r>
      <w:proofErr w:type="gramStart"/>
      <w:r w:rsidRPr="00D95DBC">
        <w:rPr>
          <w:lang w:val="en-US"/>
        </w:rPr>
        <w:t>: ??</w:t>
      </w:r>
      <w:proofErr w:type="gramEnd"/>
      <w:r w:rsidRPr="00D95DBC">
        <w:rPr>
          <w:lang w:val="en-US"/>
        </w:rPr>
        <w:t xml:space="preserve"> Dated: ??] and conducted in accordance with local legislation and institutional requirements.</w:t>
      </w:r>
    </w:p>
    <w:p w14:paraId="26412726" w14:textId="77777777" w:rsidR="00374E79" w:rsidRPr="00D95DBC" w:rsidRDefault="00374E79" w:rsidP="00374E79">
      <w:pPr>
        <w:spacing w:line="360" w:lineRule="auto"/>
        <w:rPr>
          <w:color w:val="auto"/>
        </w:rPr>
      </w:pPr>
    </w:p>
    <w:p w14:paraId="731F9874" w14:textId="32AE7DA1" w:rsidR="00374E79" w:rsidRPr="00D95DBC" w:rsidRDefault="00374E79" w:rsidP="00374E79">
      <w:pPr>
        <w:spacing w:line="360" w:lineRule="auto"/>
        <w:rPr>
          <w:color w:val="auto"/>
        </w:rPr>
      </w:pPr>
      <w:r w:rsidRPr="00D95DBC">
        <w:rPr>
          <w:b/>
          <w:color w:val="auto"/>
        </w:rPr>
        <w:t xml:space="preserve">Authors’ Contributions: </w:t>
      </w:r>
      <w:r w:rsidR="00801905" w:rsidRPr="00D95DBC">
        <w:rPr>
          <w:color w:val="auto"/>
        </w:rPr>
        <w:t>Lyubov Dyshlyuk: Conceptualization, Methodology, Data curation, Writing - original draft, Supervision. Olga Babich: Resources, Software, Writing - review &amp; editing. Svetlana Ivanova: Writing - review &amp; editing, Supervision. Ekaterina Mikhaylova: Software, Data curation, Writing - original draft. Stanislav Sukhikh: Resources, Data curation.</w:t>
      </w:r>
    </w:p>
    <w:p w14:paraId="2ACC3428" w14:textId="77777777" w:rsidR="00374E79" w:rsidRPr="00D95DBC" w:rsidRDefault="00374E79" w:rsidP="00374E79">
      <w:pPr>
        <w:spacing w:line="360" w:lineRule="auto"/>
        <w:rPr>
          <w:color w:val="auto"/>
        </w:rPr>
      </w:pPr>
    </w:p>
    <w:p w14:paraId="45F3E272" w14:textId="0C23A6CF" w:rsidR="00397A3C" w:rsidRPr="00D95DBC" w:rsidRDefault="00397A3C" w:rsidP="00374E79">
      <w:pPr>
        <w:spacing w:line="360" w:lineRule="auto"/>
        <w:rPr>
          <w:color w:val="auto"/>
        </w:rPr>
      </w:pPr>
      <w:r w:rsidRPr="00D95DBC">
        <w:rPr>
          <w:b/>
          <w:color w:val="auto"/>
        </w:rPr>
        <w:t>G</w:t>
      </w:r>
      <w:r w:rsidR="00374E79" w:rsidRPr="00D95DBC">
        <w:rPr>
          <w:b/>
          <w:color w:val="auto"/>
        </w:rPr>
        <w:t>enerative</w:t>
      </w:r>
      <w:r w:rsidRPr="00D95DBC">
        <w:rPr>
          <w:b/>
          <w:color w:val="auto"/>
        </w:rPr>
        <w:t xml:space="preserve"> AI S</w:t>
      </w:r>
      <w:r w:rsidR="00374E79" w:rsidRPr="00D95DBC">
        <w:rPr>
          <w:b/>
          <w:color w:val="auto"/>
        </w:rPr>
        <w:t xml:space="preserve">tatement: </w:t>
      </w:r>
      <w:r w:rsidR="008627A2" w:rsidRPr="00D95DBC">
        <w:rPr>
          <w:color w:val="auto"/>
        </w:rPr>
        <w:t>The authors declare that no Gen AI/DeepSeek was used in the writing/creation of this manuscript</w:t>
      </w:r>
      <w:r w:rsidRPr="00D95DBC">
        <w:rPr>
          <w:color w:val="auto"/>
        </w:rPr>
        <w:t>.</w:t>
      </w:r>
    </w:p>
    <w:p w14:paraId="384301D6" w14:textId="77777777" w:rsidR="00397A3C" w:rsidRPr="00D95DBC" w:rsidRDefault="00397A3C" w:rsidP="00374E79">
      <w:pPr>
        <w:spacing w:line="360" w:lineRule="auto"/>
        <w:rPr>
          <w:color w:val="auto"/>
        </w:rPr>
      </w:pPr>
    </w:p>
    <w:p w14:paraId="068385EF" w14:textId="656C2C04" w:rsidR="00397A3C" w:rsidRPr="00D95DBC" w:rsidRDefault="00397A3C" w:rsidP="00397A3C">
      <w:pPr>
        <w:pStyle w:val="MDPI21heading1"/>
        <w:spacing w:before="0" w:after="120" w:line="360" w:lineRule="auto"/>
        <w:ind w:left="0"/>
        <w:rPr>
          <w:rFonts w:ascii="Times New Roman" w:hAnsi="Times New Roman"/>
          <w:color w:val="auto"/>
          <w:sz w:val="24"/>
          <w:szCs w:val="24"/>
        </w:rPr>
      </w:pPr>
      <w:r w:rsidRPr="00D95DBC">
        <w:rPr>
          <w:rFonts w:ascii="Times New Roman" w:hAnsi="Times New Roman"/>
          <w:color w:val="auto"/>
          <w:sz w:val="24"/>
          <w:szCs w:val="24"/>
          <w:lang w:val="pt-BR"/>
        </w:rPr>
        <w:t>REFERENCES</w:t>
      </w:r>
      <w:r w:rsidR="001E3F1F" w:rsidRPr="00D95DBC">
        <w:rPr>
          <w:rFonts w:ascii="Times New Roman" w:hAnsi="Times New Roman"/>
          <w:color w:val="auto"/>
          <w:sz w:val="24"/>
          <w:szCs w:val="24"/>
        </w:rPr>
        <w:t xml:space="preserve"> </w:t>
      </w:r>
    </w:p>
    <w:p w14:paraId="3C4442B2" w14:textId="77777777" w:rsidR="001E3F1F" w:rsidRPr="00D95DBC" w:rsidRDefault="001E3F1F" w:rsidP="009D3017">
      <w:pPr>
        <w:tabs>
          <w:tab w:val="left" w:pos="567"/>
        </w:tabs>
        <w:spacing w:line="360" w:lineRule="auto"/>
        <w:ind w:left="567" w:hanging="567"/>
        <w:rPr>
          <w:rStyle w:val="af1"/>
          <w:rFonts w:eastAsiaTheme="majorEastAsia"/>
          <w:color w:val="auto"/>
          <w:szCs w:val="24"/>
        </w:rPr>
      </w:pPr>
      <w:r w:rsidRPr="00D95DBC">
        <w:rPr>
          <w:color w:val="auto"/>
          <w:szCs w:val="24"/>
          <w:shd w:val="clear" w:color="auto" w:fill="FFFFFF"/>
        </w:rPr>
        <w:t>Abd El-Salam, A. H., Ewais, H. A., &amp; Basaleh, A. S. (2017). Silver nanoparticles immobilised on the activated carbon as efficient adsorbent for removal of crystal violet dye from aqueous solutions. A kinetic study. Journal of Molecular Liquids, 248, 833-841. https://doi.org/10.1016/j.molliq.2017.10.109</w:t>
      </w:r>
    </w:p>
    <w:p w14:paraId="21BF77D0"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shd w:val="clear" w:color="auto" w:fill="FFFFFF"/>
        </w:rPr>
        <w:t xml:space="preserve">Adekanmi, A. T. (2021). Health hazards of toxic and essential heavy metals from the poultry waste on human and aquatic organisms. In A. Kumar Patra (Ed.), Animal feed science and nutrition-production, health and environment. </w:t>
      </w:r>
      <w:r w:rsidRPr="00D95DBC">
        <w:rPr>
          <w:color w:val="auto"/>
          <w:szCs w:val="24"/>
        </w:rPr>
        <w:t>IntechOpen</w:t>
      </w:r>
      <w:r w:rsidRPr="00D95DBC">
        <w:rPr>
          <w:color w:val="auto"/>
          <w:szCs w:val="24"/>
          <w:shd w:val="clear" w:color="auto" w:fill="FFFFFF"/>
        </w:rPr>
        <w:t>.</w:t>
      </w:r>
      <w:r w:rsidRPr="00D95DBC">
        <w:rPr>
          <w:color w:val="auto"/>
          <w:szCs w:val="24"/>
          <w:shd w:val="clear" w:color="auto" w:fill="FFFFFF"/>
          <w:lang w:eastAsia="de-DE" w:bidi="en-US"/>
        </w:rPr>
        <w:t xml:space="preserve"> https://doi.org/</w:t>
      </w:r>
      <w:r w:rsidRPr="00D95DBC">
        <w:rPr>
          <w:color w:val="auto"/>
          <w:szCs w:val="24"/>
          <w:shd w:val="clear" w:color="auto" w:fill="FFFDEA"/>
        </w:rPr>
        <w:t>10.</w:t>
      </w:r>
      <w:r w:rsidRPr="00D95DBC">
        <w:rPr>
          <w:color w:val="auto"/>
          <w:szCs w:val="24"/>
        </w:rPr>
        <w:t>5772/intechopen.99549</w:t>
      </w:r>
    </w:p>
    <w:p w14:paraId="4860C954"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 xml:space="preserve">Ahmed, A. S., Alsultan, M., Hameed, R. T., Assim, Y. F., &amp; Swiegers, G. F. (2022). High surface area activated charcoal for water purification. </w:t>
      </w:r>
      <w:r w:rsidRPr="00D95DBC">
        <w:rPr>
          <w:iCs/>
          <w:color w:val="auto"/>
        </w:rPr>
        <w:t>Journal of Composites Science</w:t>
      </w:r>
      <w:r w:rsidRPr="00D95DBC">
        <w:rPr>
          <w:color w:val="auto"/>
        </w:rPr>
        <w:t xml:space="preserve">, </w:t>
      </w:r>
      <w:r w:rsidRPr="00D95DBC">
        <w:rPr>
          <w:iCs/>
          <w:color w:val="auto"/>
        </w:rPr>
        <w:t>6</w:t>
      </w:r>
      <w:r w:rsidRPr="00D95DBC">
        <w:rPr>
          <w:color w:val="auto"/>
        </w:rPr>
        <w:t xml:space="preserve">(10), 311. </w:t>
      </w:r>
      <w:hyperlink r:id="rId9" w:history="1">
        <w:r w:rsidRPr="00D95DBC">
          <w:rPr>
            <w:rStyle w:val="af1"/>
            <w:rFonts w:eastAsiaTheme="majorEastAsia"/>
            <w:color w:val="auto"/>
          </w:rPr>
          <w:t>https://doi.org/10.3390/jcs6100311</w:t>
        </w:r>
      </w:hyperlink>
    </w:p>
    <w:p w14:paraId="49643589"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lang w:val="es-ES"/>
        </w:rPr>
        <w:t xml:space="preserve">Al-Onazi, W. A., &amp; Abdel-Lateef, M. A. (2022). </w:t>
      </w:r>
      <w:r w:rsidRPr="00D95DBC">
        <w:rPr>
          <w:color w:val="auto"/>
          <w:szCs w:val="24"/>
        </w:rPr>
        <w:t xml:space="preserve">Catalytic oxidation of O-phenylenediamine by silver nanoparticles for resonance Rayleigh scattering detection of mercury (II) in water samples. Spectrochimica Acta Part A: Molecular and Biomolecular Spectroscopy, 264, 120258. </w:t>
      </w:r>
      <w:r w:rsidRPr="00D95DBC">
        <w:rPr>
          <w:color w:val="auto"/>
          <w:szCs w:val="24"/>
          <w:shd w:val="clear" w:color="auto" w:fill="FFFFFF"/>
          <w:lang w:eastAsia="de-DE" w:bidi="en-US"/>
        </w:rPr>
        <w:t>https://doi.org/</w:t>
      </w:r>
      <w:r w:rsidRPr="00D95DBC">
        <w:rPr>
          <w:color w:val="auto"/>
          <w:szCs w:val="24"/>
          <w:shd w:val="clear" w:color="auto" w:fill="FFFFFF"/>
        </w:rPr>
        <w:t>10.1016/j.saa.2021.120258</w:t>
      </w:r>
    </w:p>
    <w:p w14:paraId="2466B3D8"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rPr>
        <w:lastRenderedPageBreak/>
        <w:t xml:space="preserve">Alengebawy, A., Abdelkhalek, S. T., Qureshi, S. R., &amp; Wang, M. Q. (2021). Heavy metals and pesticides toxicity in agricultural soil and plants: Ecological risks and human health implications. Toxics, 9(3), 42. </w:t>
      </w:r>
      <w:r w:rsidRPr="00D95DBC">
        <w:rPr>
          <w:color w:val="auto"/>
          <w:szCs w:val="24"/>
          <w:shd w:val="clear" w:color="auto" w:fill="FFFFFF"/>
          <w:lang w:eastAsia="de-DE" w:bidi="en-US"/>
        </w:rPr>
        <w:t>https://doi.org/</w:t>
      </w:r>
      <w:r w:rsidRPr="00D95DBC">
        <w:rPr>
          <w:color w:val="auto"/>
          <w:szCs w:val="24"/>
          <w:shd w:val="clear" w:color="auto" w:fill="FFFFFF"/>
        </w:rPr>
        <w:t>10.3390/toxics9030042</w:t>
      </w:r>
    </w:p>
    <w:p w14:paraId="6E22F7A0"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Ariyanti, D., Widiasa, I. N., Widiyanti, M., Lesdantina, D., &amp; Gao, W. (2023). Agricultural waste-based magnetic biochar produced via hydrothermal route for petroleum spills adsorption. International Journal of Renewable Energy Development, 12(3), 499-507. https://doi.org/10.14710/ijred.2023.52180</w:t>
      </w:r>
    </w:p>
    <w:p w14:paraId="130E2E9A" w14:textId="77777777" w:rsidR="001E3F1F" w:rsidRPr="00D95DBC" w:rsidRDefault="001E3F1F" w:rsidP="009D3017">
      <w:pPr>
        <w:tabs>
          <w:tab w:val="left" w:pos="567"/>
        </w:tabs>
        <w:spacing w:line="360" w:lineRule="auto"/>
        <w:ind w:left="567" w:hanging="567"/>
        <w:rPr>
          <w:color w:val="auto"/>
          <w:szCs w:val="24"/>
          <w:shd w:val="clear" w:color="auto" w:fill="FFFFFF"/>
          <w:lang w:val="sv-SE"/>
        </w:rPr>
      </w:pPr>
      <w:r w:rsidRPr="00D95DBC">
        <w:rPr>
          <w:color w:val="auto"/>
          <w:szCs w:val="24"/>
          <w:shd w:val="clear" w:color="auto" w:fill="FFFFFF"/>
          <w:lang w:val="es-ES"/>
        </w:rPr>
        <w:t xml:space="preserve">Ayach, J., El Malti, W., Duma, L., Lalevée, J., Al Ajami, M., Hamad, H., &amp; Hijazi, A. (2024). </w:t>
      </w:r>
      <w:r w:rsidRPr="00D95DBC">
        <w:rPr>
          <w:color w:val="auto"/>
          <w:szCs w:val="24"/>
          <w:shd w:val="clear" w:color="auto" w:fill="FFFFFF"/>
        </w:rPr>
        <w:t xml:space="preserve">Comparing conventional and advanced approaches for heavy metal removal in wastewater treatment: An in-depth review emphasizing filter-based strategies. </w:t>
      </w:r>
      <w:r w:rsidRPr="00D95DBC">
        <w:rPr>
          <w:color w:val="auto"/>
          <w:szCs w:val="24"/>
          <w:shd w:val="clear" w:color="auto" w:fill="FFFFFF"/>
          <w:lang w:val="sv-SE"/>
        </w:rPr>
        <w:t>Polymers, 16(14), 1959. https://doi.org/10.3390/polym16141959</w:t>
      </w:r>
    </w:p>
    <w:p w14:paraId="7F7C2B18"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 xml:space="preserve">Azeez, L., Lateef, A., &amp; Olabode, O. (2023). An overview of biogenic metallic nanoparticles for water treatment and purification: the state of the art. </w:t>
      </w:r>
      <w:r w:rsidRPr="00D95DBC">
        <w:rPr>
          <w:iCs/>
          <w:color w:val="auto"/>
        </w:rPr>
        <w:t>Water Science &amp; Technology</w:t>
      </w:r>
      <w:r w:rsidRPr="00D95DBC">
        <w:rPr>
          <w:color w:val="auto"/>
        </w:rPr>
        <w:t xml:space="preserve">, </w:t>
      </w:r>
      <w:r w:rsidRPr="00D95DBC">
        <w:rPr>
          <w:iCs/>
          <w:color w:val="auto"/>
        </w:rPr>
        <w:t>88</w:t>
      </w:r>
      <w:r w:rsidRPr="00D95DBC">
        <w:rPr>
          <w:color w:val="auto"/>
        </w:rPr>
        <w:t xml:space="preserve">(4), 851-873. </w:t>
      </w:r>
      <w:hyperlink r:id="rId10" w:history="1">
        <w:r w:rsidRPr="00D95DBC">
          <w:rPr>
            <w:rStyle w:val="af1"/>
            <w:rFonts w:eastAsiaTheme="majorEastAsia"/>
            <w:color w:val="auto"/>
          </w:rPr>
          <w:t>https://doi.org/10.2166/wst.2023.255</w:t>
        </w:r>
      </w:hyperlink>
    </w:p>
    <w:p w14:paraId="221E8836"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rStyle w:val="af1"/>
          <w:rFonts w:eastAsiaTheme="majorEastAsia"/>
          <w:color w:val="auto"/>
          <w:szCs w:val="24"/>
          <w:u w:val="none"/>
          <w:lang w:val="sv-SE"/>
        </w:rPr>
        <w:t xml:space="preserve">Aziz, K. H. H., Mustafa, F. S., Omer, K. M., Hama, S., Hamarawf, R. F., &amp; Rahman, K. O. (2023). </w:t>
      </w:r>
      <w:r w:rsidRPr="00D95DBC">
        <w:rPr>
          <w:rStyle w:val="af1"/>
          <w:rFonts w:eastAsiaTheme="majorEastAsia"/>
          <w:color w:val="auto"/>
          <w:szCs w:val="24"/>
          <w:u w:val="none"/>
        </w:rPr>
        <w:t>Heavy metal pollution in the aquatic environment: Efficient and low-cost removal approaches to eliminate their toxicity: A review. RSC Advances, 13(26), 17595-17610. http://dx.doi.org/10.1039/D3RA00723E</w:t>
      </w:r>
    </w:p>
    <w:p w14:paraId="67670713" w14:textId="77777777" w:rsidR="00CF2C79" w:rsidRPr="00D95DBC" w:rsidRDefault="00CF2C79" w:rsidP="00CF2C79">
      <w:pPr>
        <w:pStyle w:val="afa"/>
        <w:tabs>
          <w:tab w:val="left" w:pos="420"/>
        </w:tabs>
        <w:spacing w:line="360" w:lineRule="auto"/>
        <w:ind w:left="567" w:hanging="567"/>
        <w:rPr>
          <w:color w:val="auto"/>
        </w:rPr>
      </w:pPr>
      <w:r w:rsidRPr="00D95DBC">
        <w:rPr>
          <w:color w:val="auto"/>
          <w:lang w:val="es-ES"/>
        </w:rPr>
        <w:t xml:space="preserve">Bakaeva, N., &amp; Le, M. T. (2021). </w:t>
      </w:r>
      <w:r w:rsidRPr="00D95DBC">
        <w:rPr>
          <w:color w:val="auto"/>
        </w:rPr>
        <w:t xml:space="preserve">Determination of urban pollution islands by using remote sensing technology in Moscow, Russia. </w:t>
      </w:r>
      <w:r w:rsidRPr="00D95DBC">
        <w:rPr>
          <w:iCs/>
          <w:color w:val="auto"/>
        </w:rPr>
        <w:t>Ecological Informatics</w:t>
      </w:r>
      <w:r w:rsidRPr="00D95DBC">
        <w:rPr>
          <w:color w:val="auto"/>
        </w:rPr>
        <w:t xml:space="preserve">, </w:t>
      </w:r>
      <w:r w:rsidRPr="00D95DBC">
        <w:rPr>
          <w:iCs/>
          <w:color w:val="auto"/>
        </w:rPr>
        <w:t>67</w:t>
      </w:r>
      <w:r w:rsidRPr="00D95DBC">
        <w:rPr>
          <w:color w:val="auto"/>
        </w:rPr>
        <w:t xml:space="preserve">, 101493. </w:t>
      </w:r>
      <w:hyperlink r:id="rId11" w:history="1">
        <w:r w:rsidRPr="00D95DBC">
          <w:rPr>
            <w:rStyle w:val="af1"/>
            <w:rFonts w:eastAsiaTheme="majorEastAsia"/>
            <w:color w:val="auto"/>
          </w:rPr>
          <w:t>https://doi.org/10.1016/j.ecoinf.2021.101493</w:t>
        </w:r>
      </w:hyperlink>
    </w:p>
    <w:p w14:paraId="76875C02"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 xml:space="preserve">Bobylev, S. N., Solovyeva, S. V., &amp; Koshkina, N. R. (2023). Sustainable development, ESG and the “price” of health. </w:t>
      </w:r>
      <w:r w:rsidRPr="00D95DBC">
        <w:rPr>
          <w:iCs/>
          <w:color w:val="auto"/>
        </w:rPr>
        <w:t>Population and Economics</w:t>
      </w:r>
      <w:r w:rsidRPr="00D95DBC">
        <w:rPr>
          <w:color w:val="auto"/>
        </w:rPr>
        <w:t xml:space="preserve">, </w:t>
      </w:r>
      <w:r w:rsidRPr="00D95DBC">
        <w:rPr>
          <w:iCs/>
          <w:color w:val="auto"/>
        </w:rPr>
        <w:t>7</w:t>
      </w:r>
      <w:r w:rsidRPr="00D95DBC">
        <w:rPr>
          <w:color w:val="auto"/>
        </w:rPr>
        <w:t xml:space="preserve">(3), 124-135. </w:t>
      </w:r>
      <w:hyperlink r:id="rId12" w:history="1">
        <w:r w:rsidRPr="00D95DBC">
          <w:rPr>
            <w:rStyle w:val="af1"/>
            <w:rFonts w:eastAsiaTheme="majorEastAsia"/>
            <w:color w:val="auto"/>
          </w:rPr>
          <w:t>https://doi.org/10.3897/popecon.7.e103302</w:t>
        </w:r>
      </w:hyperlink>
    </w:p>
    <w:p w14:paraId="085C5749"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Bonilla-Petriciolet, A., Mendoza-Castillo, D. I., Dotto, G. L., &amp; Duran-Valle, C. J. (2019). Adsorption in water treatment. In Reference module in chemistry, molecular sciences and chemical engineering. Elsevier Inc. http://dx.doi.org/10.1016/B978-0-12-409547-2.14390-2 </w:t>
      </w:r>
    </w:p>
    <w:p w14:paraId="598D52ED" w14:textId="77777777" w:rsidR="001E3F1F" w:rsidRPr="00D95DBC" w:rsidRDefault="001E3F1F" w:rsidP="009D3017">
      <w:pPr>
        <w:tabs>
          <w:tab w:val="left" w:pos="567"/>
        </w:tabs>
        <w:spacing w:line="360" w:lineRule="auto"/>
        <w:ind w:left="567" w:hanging="567"/>
        <w:rPr>
          <w:color w:val="auto"/>
          <w:szCs w:val="24"/>
        </w:rPr>
      </w:pPr>
      <w:r w:rsidRPr="00D95DBC">
        <w:rPr>
          <w:rStyle w:val="af1"/>
          <w:rFonts w:eastAsiaTheme="majorEastAsia"/>
          <w:color w:val="auto"/>
          <w:szCs w:val="24"/>
          <w:u w:val="none"/>
        </w:rPr>
        <w:t>Bonomo, L. (2008). Wastewater treatment. McGraw Hill Education.</w:t>
      </w:r>
    </w:p>
    <w:p w14:paraId="516B74F4"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lang w:val="es-ES"/>
        </w:rPr>
        <w:t xml:space="preserve">Chen, S., Yan, X., Peralta-Videa, J. R., Su, Z., Hong, J., &amp; Zhao, L. (2022). </w:t>
      </w:r>
      <w:r w:rsidRPr="00D95DBC">
        <w:rPr>
          <w:color w:val="auto"/>
          <w:sz w:val="24"/>
          <w:szCs w:val="24"/>
        </w:rPr>
        <w:t>Biological effects of AgNPs on crop plants: environmental implications and agricultural applications. Environmental Science Nano, 10(1), 62-71. https://doi.org/10.1039/d2en00801g</w:t>
      </w:r>
    </w:p>
    <w:p w14:paraId="1DB32BE9"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shd w:val="clear" w:color="auto" w:fill="FFFFFF"/>
        </w:rPr>
        <w:t xml:space="preserve">Chen, X., Wang, L., Ding, C., Xie, H., Zou, H., Deng, J., Lui, Z., Shi, J., &amp; Ding, Y. (2024). Highly efficient removal of radioactive iodine anions by nano silver modified activated </w:t>
      </w:r>
      <w:r w:rsidRPr="00D95DBC">
        <w:rPr>
          <w:color w:val="auto"/>
          <w:szCs w:val="24"/>
          <w:shd w:val="clear" w:color="auto" w:fill="FFFFFF"/>
        </w:rPr>
        <w:lastRenderedPageBreak/>
        <w:t xml:space="preserve">carbon fiber. Applied Surface Science, 643(1), 158644. </w:t>
      </w:r>
      <w:r w:rsidRPr="00D95DBC">
        <w:rPr>
          <w:color w:val="auto"/>
          <w:szCs w:val="24"/>
          <w:shd w:val="clear" w:color="auto" w:fill="FFFFFF"/>
          <w:lang w:eastAsia="de-DE" w:bidi="en-US"/>
        </w:rPr>
        <w:t>http://dx.doi.org/10.1016/j.apsusc.2023.158644</w:t>
      </w:r>
    </w:p>
    <w:p w14:paraId="7DA84D00"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es-ES"/>
        </w:rPr>
        <w:t xml:space="preserve">Cuhadaroglu, D., &amp; Uygun, O. A. (2008). </w:t>
      </w:r>
      <w:r w:rsidRPr="00D95DBC">
        <w:rPr>
          <w:rStyle w:val="af1"/>
          <w:rFonts w:eastAsiaTheme="majorEastAsia"/>
          <w:color w:val="auto"/>
          <w:szCs w:val="24"/>
          <w:u w:val="none"/>
        </w:rPr>
        <w:t>Production and characterization of activated carbon from a bituminous coal by chemical activation. African Journal of Biotechnology, 7(20), 3703-3710.</w:t>
      </w:r>
    </w:p>
    <w:p w14:paraId="3C9F0484"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rPr>
        <w:t>Dil, E. A., Ghaedi,M., &amp; Asfaram, A. (2017). The performance of nanorods material as dsorbent for removal of azo dyes and heavy metal ions: Application of ultrasound wave, optimization and modeling, Ultrasonics Sonochemistry, 34, 792-802. http://dx.doi.org/10.1016/j.ultsonch.2016.07.015</w:t>
      </w:r>
    </w:p>
    <w:p w14:paraId="3B7D1E2F"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shd w:val="clear" w:color="auto" w:fill="FFFFFF"/>
        </w:rPr>
        <w:t>Dastkhoon, M., Ghaedi,M., Asfaram, A., Zqhandi, M. H. A., Hajati, S., &amp; Purkait, M. K. (2017). Simultaneous removal of dyes onto nanowires adsorbent use of ultrasound assisted adsorption to clean waste water: chemometrics for modeling and optimization, multicomponent adsorption and kinetic study. Chemical Engineering Research and Design, 124, 222-237. http://dx.doi.org/10.1016/j.cherd.2017.06.011</w:t>
      </w:r>
    </w:p>
    <w:p w14:paraId="49FBCFEF"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lang w:val="sv-SE"/>
        </w:rPr>
      </w:pPr>
      <w:r w:rsidRPr="00D95DBC">
        <w:rPr>
          <w:rStyle w:val="af1"/>
          <w:rFonts w:eastAsiaTheme="majorEastAsia"/>
          <w:color w:val="auto"/>
          <w:szCs w:val="24"/>
          <w:u w:val="none"/>
          <w:shd w:val="clear" w:color="auto" w:fill="FFFFFF"/>
        </w:rPr>
        <w:t xml:space="preserve">Dyshlyuk, L., Babich, O., Ivanova, S., Vasilchenco, N., Atuchin, V., Korolkov, I., Russakov, D., &amp; Prosekov, A. (2020a). Antimicrobial potential of ZnO, TiO2 and SiO2 nanoparticles in protecting building materials from biodegradation. </w:t>
      </w:r>
      <w:r w:rsidRPr="00D95DBC">
        <w:rPr>
          <w:rStyle w:val="af1"/>
          <w:rFonts w:eastAsiaTheme="majorEastAsia"/>
          <w:color w:val="auto"/>
          <w:szCs w:val="24"/>
          <w:u w:val="none"/>
          <w:shd w:val="clear" w:color="auto" w:fill="FFFFFF"/>
          <w:lang w:val="sv-SE"/>
        </w:rPr>
        <w:t xml:space="preserve">International Biodeterioration &amp; Biodegradation, 146, 104821. </w:t>
      </w:r>
      <w:r w:rsidRPr="00D95DBC">
        <w:rPr>
          <w:color w:val="auto"/>
          <w:szCs w:val="24"/>
          <w:lang w:val="sv-SE"/>
        </w:rPr>
        <w:t>https://doi.org/10.1016/j.ibiod.2019.104821</w:t>
      </w:r>
    </w:p>
    <w:p w14:paraId="5C64DC03"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color w:val="auto"/>
          <w:szCs w:val="24"/>
          <w:shd w:val="clear" w:color="auto" w:fill="FFFFFF"/>
          <w:lang w:val="sv-SE"/>
        </w:rPr>
        <w:t xml:space="preserve">Dyshlyuk, L., Babich, O., Ivanova, S., Vasilchenco, N., Prosekov, A., &amp; Sukhikh, A. (2020b). </w:t>
      </w:r>
      <w:r w:rsidRPr="00D95DBC">
        <w:rPr>
          <w:color w:val="auto"/>
          <w:szCs w:val="24"/>
          <w:shd w:val="clear" w:color="auto" w:fill="FFFFFF"/>
        </w:rPr>
        <w:t xml:space="preserve">Suspensions of metal nanoparticles as a basis for protection of internal surfaces of building structures from biodegradation. Case Studies in Construction Materials, 12, e00319. </w:t>
      </w:r>
      <w:r w:rsidRPr="00D95DBC">
        <w:rPr>
          <w:color w:val="auto"/>
          <w:szCs w:val="24"/>
        </w:rPr>
        <w:t>https://doi.org/10.1016/j.cscm.2019.e00319</w:t>
      </w:r>
    </w:p>
    <w:p w14:paraId="6CA35D64"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Fahim, M., Shahzaib, A., Nishat, N., Jahan, A., Bhat, T. A., &amp; Inam, A. (2024). Green synthesis of silver nanoparticles: A comprehensive review of methods, influencing factors, and applications. JCIS Open, 16, 100125. https://doi.org/10.1016/j.jciso.2024.100125</w:t>
      </w:r>
    </w:p>
    <w:p w14:paraId="24595747"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rPr>
        <w:t xml:space="preserve">Fu, Y., Yin, Z., Qin, L., Huang, D., Yi, H., Liu, X., Liu, S., Zhang, M., Li, B., Li, L., Wang, W., Zhou, X., Li, Y., Zeng, G., &amp; Lai, C. (2022). Recent progress of noble metals with tailored features in catalytic oxidation for organic pollutants degradation. Journal of Hazardous Materials, 422, 126950. </w:t>
      </w:r>
      <w:r w:rsidRPr="00D95DBC">
        <w:rPr>
          <w:color w:val="auto"/>
          <w:szCs w:val="24"/>
          <w:shd w:val="clear" w:color="auto" w:fill="FFFFFF"/>
          <w:lang w:eastAsia="de-DE" w:bidi="en-US"/>
        </w:rPr>
        <w:t>https://doi.org/</w:t>
      </w:r>
      <w:r w:rsidRPr="00D95DBC">
        <w:rPr>
          <w:color w:val="auto"/>
          <w:szCs w:val="24"/>
          <w:shd w:val="clear" w:color="auto" w:fill="FFFFFF"/>
        </w:rPr>
        <w:t>10.1016/j.jhazmat.2021.126950</w:t>
      </w:r>
    </w:p>
    <w:p w14:paraId="1275FFC2"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lang w:val="sv-SE"/>
        </w:rPr>
        <w:t xml:space="preserve">Fulke, A. B., Ratanpal, S., &amp; Sonker, S. (2024). </w:t>
      </w:r>
      <w:r w:rsidRPr="00D95DBC">
        <w:rPr>
          <w:color w:val="auto"/>
          <w:szCs w:val="24"/>
          <w:shd w:val="clear" w:color="auto" w:fill="FFFFFF"/>
        </w:rPr>
        <w:t xml:space="preserve">Understanding heavy metal toxicity: Implications on human health, marine ecosystems and bioremediation strategies. Marine Pollution Bulletin, 206, 116707. </w:t>
      </w:r>
      <w:r w:rsidRPr="00D95DBC">
        <w:rPr>
          <w:color w:val="auto"/>
          <w:szCs w:val="24"/>
          <w:shd w:val="clear" w:color="auto" w:fill="FFFFFF"/>
          <w:lang w:eastAsia="de-DE" w:bidi="en-US"/>
        </w:rPr>
        <w:t>https://doi.org/</w:t>
      </w:r>
      <w:r w:rsidRPr="00D95DBC">
        <w:rPr>
          <w:color w:val="auto"/>
          <w:szCs w:val="24"/>
          <w:shd w:val="clear" w:color="auto" w:fill="FFFFFF"/>
        </w:rPr>
        <w:t>10.1016/j.marpolbul.2024.116707</w:t>
      </w:r>
    </w:p>
    <w:p w14:paraId="53E17B75"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color w:val="auto"/>
          <w:szCs w:val="24"/>
        </w:rPr>
        <w:lastRenderedPageBreak/>
        <w:t xml:space="preserve">Gonçalves, S. P. C.; </w:t>
      </w:r>
      <w:r w:rsidRPr="00D95DBC">
        <w:rPr>
          <w:rStyle w:val="text"/>
          <w:color w:val="auto"/>
          <w:szCs w:val="24"/>
        </w:rPr>
        <w:t xml:space="preserve">Strauss, M., </w:t>
      </w:r>
      <w:r w:rsidRPr="00D95DBC">
        <w:rPr>
          <w:color w:val="auto"/>
          <w:szCs w:val="24"/>
        </w:rPr>
        <w:t>Delite, F. S., Clemente, Z., Castro, V. L., &amp; Martinez, D. S. T. (2016). Activated carbon from pyrolysed sugarcane bagasse: Silver nanoparticle modification and ecotoxicity assessment. Science of The Total Environment, 565(3), 833-840. http://dx.doi.org/10.1016/j.scitotenv.2016.03.041</w:t>
      </w:r>
    </w:p>
    <w:p w14:paraId="72D956EE"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Gong, X., Jadhav, N. D., Lonikar, V. V., Kulkarni, A. N., Zhang, H., Sankapal, B. R., Ren, J., Xu, B. B., Pathan, H. M., Ma, Y., Lin, Z., Witherspoon, E., Wang, Z., &amp; Guo, Z. (2023). An overview of green synthesized silver nanoparticles towards bioactive antibacterial, antimicrobial and antifungal applications. Advances in Colloid and Interface Science, 323, 103053. https://doi.org/10.1016/j.cis.2023.103053</w:t>
      </w:r>
    </w:p>
    <w:p w14:paraId="0C4A2A5F"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Huang, Z., Liu, F., Tang, M., Gao, Y., Bagley, D. M., He, X., Goroncy, A., &amp; Fan, M. (2022). Removal of ions from produced water using Powder River Basin coal. International Journal of Coal Science &amp; Technology, 9(1), 1. </w:t>
      </w:r>
      <w:r w:rsidRPr="00D95DBC">
        <w:rPr>
          <w:color w:val="auto"/>
          <w:szCs w:val="24"/>
          <w:shd w:val="clear" w:color="auto" w:fill="FFFFFF"/>
        </w:rPr>
        <w:t>https://doi.org/10.1007/s40789-022-00477-1</w:t>
      </w:r>
    </w:p>
    <w:p w14:paraId="7CA045AE"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lang w:val="es-ES"/>
        </w:rPr>
        <w:t xml:space="preserve">Husain, S., Nandi, A., Simnani, F. Z., Saha, U., Ghosh, A., Sinha, A., Sahay, A., Samal, S. K., Panda, P. K., &amp; Verma, S. K. (2023). </w:t>
      </w:r>
      <w:r w:rsidRPr="00D95DBC">
        <w:rPr>
          <w:color w:val="auto"/>
          <w:sz w:val="24"/>
          <w:szCs w:val="24"/>
        </w:rPr>
        <w:t>Emerging trends in advanced translational applications of silver nanoparticles: A progressing dawn of nanotechnology. Journal of Functional Biomaterials, 14(1), 47. https://doi.org/10.3390/jfb14010047</w:t>
      </w:r>
    </w:p>
    <w:p w14:paraId="14484373"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Ihsanullah, A., Abbas, A. M., Al-Amer, T., Laoui, M. J., Al-Marri, M. S., Nasser, M. K., &amp; Atieh, M. A. (2016). Heavy metal removal from aqueous solution by advanced carbon nanotubes: Critical review of adsorption applications. Separation and Purification Technology, 157, 141-161. http://dx.doi.org/10.1016/j.seppur.2015.11.039</w:t>
      </w:r>
    </w:p>
    <w:p w14:paraId="6A7341F1"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Jangid, H., Joshi, H. C., Dutta, J., Ahmad, A., Alshammari, M. B., Hossain, K., Pant, G., &amp; Kumar, G. (2025). Advancing food safety with biogenic silver nanoparticles: Addressing antimicrobial resistance, sustainability, and commercial viability. Food Chemistry X, 26, 102298. https://doi.org/10.1016/j.fochx.2025.102298</w:t>
      </w:r>
    </w:p>
    <w:p w14:paraId="33504A73"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lang w:val="sv-SE"/>
        </w:rPr>
        <w:t xml:space="preserve">Jain, A., Kumari, S., Agarwal, S., &amp; Khan, S. (2021). </w:t>
      </w:r>
      <w:r w:rsidRPr="00D95DBC">
        <w:rPr>
          <w:color w:val="auto"/>
          <w:szCs w:val="24"/>
          <w:shd w:val="clear" w:color="auto" w:fill="FFFFFF"/>
        </w:rPr>
        <w:t>Water purification via novel nano-adsorbents and their regeneration strategies. Process Safety and Environmental Protection, 152(3), 441-454. http://dx.doi.org/10.1016/j.psep.2021.06.031</w:t>
      </w:r>
    </w:p>
    <w:p w14:paraId="2A44F60B"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rPr>
        <w:t xml:space="preserve">Janoš, P., Sypecká, J., Mlčkovská, P., Kuráň, P., &amp; Pilařová, V. (2007). Removal of metal ions from aqueous solutions by sorption onto untreated low-rank coal (oxihumolite). </w:t>
      </w:r>
      <w:r w:rsidRPr="00D95DBC">
        <w:rPr>
          <w:rStyle w:val="af1"/>
          <w:rFonts w:eastAsiaTheme="majorEastAsia"/>
          <w:color w:val="auto"/>
          <w:szCs w:val="24"/>
          <w:u w:val="none"/>
        </w:rPr>
        <w:t>Separation and Purification Technology, 53</w:t>
      </w:r>
      <w:r w:rsidRPr="00D95DBC">
        <w:rPr>
          <w:color w:val="auto"/>
          <w:szCs w:val="24"/>
          <w:shd w:val="clear" w:color="auto" w:fill="FFFFFF"/>
        </w:rPr>
        <w:t>(3), 322-329. http://dx.doi.org/10.1016/j.seppur.2006.08.004</w:t>
      </w:r>
    </w:p>
    <w:p w14:paraId="329FDCCA"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lastRenderedPageBreak/>
        <w:t>Javed, T., Khalid, N., Mirza, M. L. (2017). Kinetics, equilibrium and thermodynamics of cerium removal by adsorption on low-rank coal. Desalination and Water Treatment, 89, 240-249. http://dx.doi.org/10.5004/dwt.2017.21357</w:t>
      </w:r>
    </w:p>
    <w:p w14:paraId="39E5EE3A"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es-ES"/>
        </w:rPr>
        <w:t xml:space="preserve">Jaya, E. M. J., Yusop, M. F. M., Aziz, A., Kahar, N. E. A., &amp; Ahmad, M. A. (2023). </w:t>
      </w:r>
      <w:r w:rsidRPr="00D95DBC">
        <w:rPr>
          <w:rStyle w:val="af1"/>
          <w:rFonts w:eastAsiaTheme="majorEastAsia"/>
          <w:color w:val="auto"/>
          <w:szCs w:val="24"/>
          <w:u w:val="none"/>
        </w:rPr>
        <w:t>Removal of copper from aqueous solution using microwave-assisted coconut shell based activated carbon. AIP Conference Proceedings, 2785(1), 030019. http://dx.doi.org/10.1063/5.0149043</w:t>
      </w:r>
    </w:p>
    <w:p w14:paraId="44F0ED6E"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Jin, Y., Liu, Z., Han, L., Zhang, Y., Li, L., Zhu, S., Li, Z. P. J., &amp; Wang, D. (2022). Synthesis of coal-analcime composite from coal gangue and its adsorption performance on heavy metal ions. Journal of Hazardous Materials, 423, 127027. </w:t>
      </w:r>
      <w:r w:rsidRPr="00D95DBC">
        <w:rPr>
          <w:color w:val="auto"/>
          <w:szCs w:val="24"/>
          <w:shd w:val="clear" w:color="auto" w:fill="FFFFFF"/>
          <w:lang w:eastAsia="de-DE" w:bidi="en-US"/>
        </w:rPr>
        <w:t>https://doi.org/</w:t>
      </w:r>
      <w:r w:rsidRPr="00D95DBC">
        <w:rPr>
          <w:color w:val="auto"/>
          <w:szCs w:val="24"/>
          <w:shd w:val="clear" w:color="auto" w:fill="FFFFFF"/>
        </w:rPr>
        <w:t>10.1016/j.jhazmat.2021.127027</w:t>
      </w:r>
    </w:p>
    <w:p w14:paraId="6ED5DC5A"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Khan, S., Zahoor, M., Khan, R. S., Ikram, M., &amp; Islam, N. U. (2023). The impact of silver nanoparticles on the growth of plants: The agriculture applications. Heliyon, 9(6), e16928. https://doi.org/10.1016/j.heliyon.2023.e16928</w:t>
      </w:r>
    </w:p>
    <w:p w14:paraId="69D15DF0"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rPr>
        <w:t xml:space="preserve">Kotsiopoulos, A., &amp; Harrison, S. T. L. (2017). Application of fine desulfurised coal tailings as neutralising barriers in the prevention of acid rock drainage. Hydrometallurgy, 168, 159-166. http://dx.doi.org/10.1016/j.hydromet.2016.10.004 </w:t>
      </w:r>
    </w:p>
    <w:p w14:paraId="200DBD3F"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shd w:val="clear" w:color="auto" w:fill="FFFFFF"/>
          <w:lang w:val="es-ES"/>
        </w:rPr>
        <w:t xml:space="preserve">Kwon, L.-S., Yun, S.-T., Lee, J.-H., Kim, S.-O., &amp; Jo, H. Y. (2010). </w:t>
      </w:r>
      <w:r w:rsidRPr="00D95DBC">
        <w:rPr>
          <w:rStyle w:val="af1"/>
          <w:rFonts w:eastAsiaTheme="majorEastAsia"/>
          <w:color w:val="auto"/>
          <w:szCs w:val="24"/>
          <w:u w:val="none"/>
          <w:shd w:val="clear" w:color="auto" w:fill="FFFFFF"/>
        </w:rPr>
        <w:t>Removal of divalent heavy metals (Cd, Cu, Pb, and Zn) and arsenic(III) from aqueous solutions using scoria: Kinetics and equilibria of sorption. Journal of Hazardous Materials, 174(1-3), 307-313. http://dx.doi.org/10.1016/j.jhazmat.2009.09.052</w:t>
      </w:r>
    </w:p>
    <w:p w14:paraId="4A21D36E"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lang w:val="sv-SE"/>
        </w:rPr>
        <w:t xml:space="preserve">Letina, D., &amp; Letshwenyo, W. M. (2018). </w:t>
      </w:r>
      <w:r w:rsidRPr="00D95DBC">
        <w:rPr>
          <w:color w:val="auto"/>
          <w:szCs w:val="24"/>
          <w:shd w:val="clear" w:color="auto" w:fill="FFFFFF"/>
        </w:rPr>
        <w:t>Investigating waste rock, tailings, slag and coal ash clinker as adsorbents for heavy metals: Batch and column studies. Physics and Chemistry of the Earth, 105, 184-190. http://dx.doi.org/10.1016/j.pce.2018.02.013</w:t>
      </w:r>
    </w:p>
    <w:p w14:paraId="0EB90FFC"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rStyle w:val="af1"/>
          <w:rFonts w:eastAsiaTheme="majorEastAsia"/>
          <w:color w:val="auto"/>
          <w:szCs w:val="24"/>
          <w:u w:val="none"/>
          <w:lang w:val="pt-BR"/>
        </w:rPr>
        <w:t xml:space="preserve">Louis, M., Behera, P., &amp; Sorokhaibam, L. G. (2023). </w:t>
      </w:r>
      <w:r w:rsidRPr="00D95DBC">
        <w:rPr>
          <w:rStyle w:val="af1"/>
          <w:rFonts w:eastAsiaTheme="majorEastAsia"/>
          <w:color w:val="auto"/>
          <w:szCs w:val="24"/>
          <w:u w:val="none"/>
        </w:rPr>
        <w:t>Magnetic iron nanoparticles (Fe</w:t>
      </w:r>
      <w:r w:rsidRPr="00D95DBC">
        <w:rPr>
          <w:color w:val="auto"/>
          <w:szCs w:val="24"/>
          <w:shd w:val="clear" w:color="auto" w:fill="FFFFFF"/>
          <w:vertAlign w:val="subscript"/>
        </w:rPr>
        <w:t>3</w:t>
      </w:r>
      <w:r w:rsidRPr="00D95DBC">
        <w:rPr>
          <w:rStyle w:val="af1"/>
          <w:rFonts w:eastAsiaTheme="majorEastAsia"/>
          <w:color w:val="auto"/>
          <w:szCs w:val="24"/>
          <w:u w:val="none"/>
        </w:rPr>
        <w:t>O</w:t>
      </w:r>
      <w:r w:rsidRPr="00D95DBC">
        <w:rPr>
          <w:color w:val="auto"/>
          <w:szCs w:val="24"/>
          <w:shd w:val="clear" w:color="auto" w:fill="FFFFFF"/>
          <w:vertAlign w:val="subscript"/>
        </w:rPr>
        <w:t>4</w:t>
      </w:r>
      <w:r w:rsidRPr="00D95DBC">
        <w:rPr>
          <w:rStyle w:val="af1"/>
          <w:rFonts w:eastAsiaTheme="majorEastAsia"/>
          <w:color w:val="auto"/>
          <w:szCs w:val="24"/>
          <w:u w:val="none"/>
        </w:rPr>
        <w:t>) supported on activated carbon as a hybrid adsorbent for desulphurisation of liquid fuels. International Journal of Environmental Analytical Chemistry, 103(11), 2659-2680. https://doi.org/10.1080/03067319.2021.1897118</w:t>
      </w:r>
    </w:p>
    <w:p w14:paraId="76DF1B55"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 xml:space="preserve">Matveeva, V. A., Alekseenko, A. V., Karthe, D., &amp; Puzanov, A. V. (2022). Manganese Pollution in Mining-Influenced Rivers and Lakes: Current State and Forecast under Climate Change in the Russian Arctic. </w:t>
      </w:r>
      <w:r w:rsidRPr="00D95DBC">
        <w:rPr>
          <w:iCs/>
          <w:color w:val="auto"/>
        </w:rPr>
        <w:t>Water</w:t>
      </w:r>
      <w:r w:rsidRPr="00D95DBC">
        <w:rPr>
          <w:color w:val="auto"/>
        </w:rPr>
        <w:t xml:space="preserve">, </w:t>
      </w:r>
      <w:r w:rsidRPr="00D95DBC">
        <w:rPr>
          <w:iCs/>
          <w:color w:val="auto"/>
        </w:rPr>
        <w:t>14</w:t>
      </w:r>
      <w:r w:rsidRPr="00D95DBC">
        <w:rPr>
          <w:color w:val="auto"/>
        </w:rPr>
        <w:t xml:space="preserve">(7), 1091. </w:t>
      </w:r>
      <w:hyperlink r:id="rId13" w:history="1">
        <w:r w:rsidRPr="00D95DBC">
          <w:rPr>
            <w:rStyle w:val="af1"/>
            <w:rFonts w:eastAsiaTheme="majorEastAsia"/>
            <w:color w:val="auto"/>
          </w:rPr>
          <w:t>https://doi.org/10.3390/w14071091</w:t>
        </w:r>
      </w:hyperlink>
    </w:p>
    <w:p w14:paraId="3A50A757"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lang w:val="pt-BR"/>
        </w:rPr>
        <w:lastRenderedPageBreak/>
        <w:t xml:space="preserve">Menichetti, A., Mavridi-Printezi, A., Mordini, D., &amp; Montalti, M. (2023). </w:t>
      </w:r>
      <w:r w:rsidRPr="00D95DBC">
        <w:rPr>
          <w:color w:val="auto"/>
          <w:sz w:val="24"/>
          <w:szCs w:val="24"/>
        </w:rPr>
        <w:t>Effect of size, shape and surface functionalization on the antibacterial activity of silver nanoparticles. Journal of Functional Biomaterials, 14(5), 244. https://doi.org/10.3390/jfb14050244</w:t>
      </w:r>
    </w:p>
    <w:p w14:paraId="6CA6F509"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shd w:val="clear" w:color="auto" w:fill="FFFFFF"/>
        </w:rPr>
        <w:t>Merdy, P., Gharbi, L. T., &amp; Lucas, Y. (2009). Pb, Cu, and Cr interactions with soil: Sorption experiments and modeling</w:t>
      </w:r>
      <w:r w:rsidRPr="00D95DBC">
        <w:rPr>
          <w:rStyle w:val="af1"/>
          <w:rFonts w:eastAsiaTheme="majorEastAsia"/>
          <w:i/>
          <w:color w:val="auto"/>
          <w:szCs w:val="24"/>
          <w:u w:val="none"/>
          <w:shd w:val="clear" w:color="auto" w:fill="FFFFFF"/>
        </w:rPr>
        <w:t xml:space="preserve">. </w:t>
      </w:r>
      <w:r w:rsidRPr="00D95DBC">
        <w:rPr>
          <w:rStyle w:val="af1"/>
          <w:rFonts w:eastAsiaTheme="majorEastAsia"/>
          <w:color w:val="auto"/>
          <w:szCs w:val="24"/>
          <w:u w:val="none"/>
          <w:shd w:val="clear" w:color="auto" w:fill="FFFFFF"/>
        </w:rPr>
        <w:t>Colloids and Surfaces A: Physicochemical and Engineering Aspects, 347(1-3), 192-199. https://doi.org/10.1016/j.colsurfa.2009.04.004</w:t>
      </w:r>
    </w:p>
    <w:p w14:paraId="5C1346D7" w14:textId="77777777" w:rsidR="001E3F1F" w:rsidRPr="00D95DBC" w:rsidRDefault="001E3F1F" w:rsidP="009D3017">
      <w:pPr>
        <w:tabs>
          <w:tab w:val="left" w:pos="567"/>
        </w:tabs>
        <w:spacing w:line="360" w:lineRule="auto"/>
        <w:ind w:left="567" w:hanging="567"/>
        <w:rPr>
          <w:color w:val="auto"/>
          <w:szCs w:val="24"/>
        </w:rPr>
      </w:pPr>
      <w:r w:rsidRPr="00D95DBC">
        <w:rPr>
          <w:rStyle w:val="af1"/>
          <w:rFonts w:eastAsiaTheme="majorEastAsia"/>
          <w:color w:val="auto"/>
          <w:szCs w:val="24"/>
          <w:u w:val="none"/>
        </w:rPr>
        <w:t xml:space="preserve">Mishra, S. P., &amp; Ghosh, M. R. (2020). Use of silver impregnated activated carbon (SAC) for Cr(VI) removal. Journal of Environmental Chemical Engineering, 8(1) (2020) 103641. </w:t>
      </w:r>
      <w:r w:rsidRPr="00D95DBC">
        <w:rPr>
          <w:color w:val="auto"/>
          <w:szCs w:val="24"/>
        </w:rPr>
        <w:t>https://doi.org/10.1016/j.jece.2019.103641</w:t>
      </w:r>
    </w:p>
    <w:p w14:paraId="6A918796"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lang w:val="sv-SE"/>
        </w:rPr>
        <w:t xml:space="preserve">Nakatsuji, H., Hu, Z.-M., &amp; Nakai, H. (1997). </w:t>
      </w:r>
      <w:r w:rsidRPr="00D95DBC">
        <w:rPr>
          <w:color w:val="auto"/>
          <w:szCs w:val="24"/>
        </w:rPr>
        <w:t>Theoretical studies on the catalytic activity of Ag surface for the oxidation of olefins. International Journal of Quantum Chemistry, 65(5), 839-855. https://doi.org/10.1002/(SICI)1097-461X(1997)65:5%3C839::AID-QUA48%3E3.0.CO;2-S</w:t>
      </w:r>
    </w:p>
    <w:p w14:paraId="6C0B6B64" w14:textId="77777777" w:rsidR="001E3F1F" w:rsidRPr="00D95DBC" w:rsidRDefault="001E3F1F" w:rsidP="009D3017">
      <w:pPr>
        <w:tabs>
          <w:tab w:val="left" w:pos="567"/>
        </w:tabs>
        <w:spacing w:line="360" w:lineRule="auto"/>
        <w:ind w:left="567" w:hanging="567"/>
        <w:rPr>
          <w:color w:val="auto"/>
          <w:szCs w:val="24"/>
        </w:rPr>
      </w:pPr>
      <w:r w:rsidRPr="00D95DBC">
        <w:rPr>
          <w:rStyle w:val="af1"/>
          <w:rFonts w:eastAsiaTheme="majorEastAsia"/>
          <w:color w:val="auto"/>
          <w:szCs w:val="24"/>
          <w:u w:val="none"/>
          <w:lang w:val="pt-BR"/>
        </w:rPr>
        <w:t xml:space="preserve">Neris, J. B., Luzardo, F. H. M., da Silva, E. G. P., &amp; Velasco, F. G. (2019). </w:t>
      </w:r>
      <w:r w:rsidRPr="00D95DBC">
        <w:rPr>
          <w:rStyle w:val="af1"/>
          <w:rFonts w:eastAsiaTheme="majorEastAsia"/>
          <w:color w:val="auto"/>
          <w:szCs w:val="24"/>
          <w:u w:val="none"/>
        </w:rPr>
        <w:t>Evaluation of adsorption processes of metal ions in multi-element aqueous systems by lignocellulosic adsorbents applying different isotherms: A critical review. Chemical Engineering Journal, 357, 404-420. http://dx.doi.org/10.1016/j.cej.2018.09.125</w:t>
      </w:r>
    </w:p>
    <w:p w14:paraId="0D23DCBC"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rPr>
        <w:t>Ore, O. T., &amp; Adeola, A. O. (2021). Toxic metals in oil sands: review of human health implications, environmental impact, and potential remediation using membrane-based approach. Energy Ecology and Environment, 6(8), 81-91. http://dx.doi.org/10.1007/s40974-020-00196-w</w:t>
      </w:r>
    </w:p>
    <w:p w14:paraId="4C6A4901"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Padhye, L. P., Jasemizad, T., Bolan, S., Tsyusko, O. V., Unrine, J. M., Biswal, B. K., Balasubramanian, R., Zhang, Y., Zhang, T., Zhao, J., Li, Y., Rinklebe, J., Wang, H., Siddique, K. H., &amp; Bolan, N. (2023). Silver contamination and its toxicity and risk management in terrestrial and aquatic ecosystems. The Science of the Total Environment, 871, 161926. https://doi.org/10.1016/j.scitotenv.2023.161926</w:t>
      </w:r>
    </w:p>
    <w:p w14:paraId="33D7C016"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Pal, A., Uddin, K., Thu, K., Saha, B. B., Kil, H.-S., Yoon, S.-H., &amp; Miyawaki, J. (2020). Thermophysical and adsorption characteristics of waste biomass-derived activated carbons. In S. Hashmi, &amp; I. A. Choudhury (Eds.), Reference module in materials science and materials engineering: Encyclopedia of renewable and sustainable materials (vol. 4, pp. 617-628). Elsevier Inc. </w:t>
      </w:r>
    </w:p>
    <w:p w14:paraId="76F0D0C6"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rPr>
        <w:t xml:space="preserve">Pandey, S., &amp; Kumari, N. (2023). Impact assessment of heavy metal pollution in surface water bodies. In S. K. Shukla, S. Kumar, S. Kumar, &amp; P. K. Mishra (Eds.), Metals in water (pp. </w:t>
      </w:r>
      <w:r w:rsidRPr="00D95DBC">
        <w:rPr>
          <w:color w:val="auto"/>
          <w:szCs w:val="24"/>
          <w:shd w:val="clear" w:color="auto" w:fill="FFFFFF"/>
        </w:rPr>
        <w:lastRenderedPageBreak/>
        <w:t>129-154). Woodhead Publishing. http://dx.doi.org/10.1016/B978-0-323-95919-3.00004-5</w:t>
      </w:r>
    </w:p>
    <w:p w14:paraId="0F863265"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shd w:val="clear" w:color="auto" w:fill="FFFFFF"/>
          <w:lang w:val="sv-SE"/>
        </w:rPr>
        <w:t xml:space="preserve">Park, C. M., Wang, D., Han, J., Heo, J., &amp; Su, C. (2019). </w:t>
      </w:r>
      <w:r w:rsidRPr="00D95DBC">
        <w:rPr>
          <w:rStyle w:val="af1"/>
          <w:rFonts w:eastAsiaTheme="majorEastAsia"/>
          <w:color w:val="auto"/>
          <w:szCs w:val="24"/>
          <w:u w:val="none"/>
          <w:shd w:val="clear" w:color="auto" w:fill="FFFFFF"/>
        </w:rPr>
        <w:t>Evaluation of the colloidal stability and adsorption performance of reduced graphene oxide–elemental silver/magnetite nanohybrids for selected toxic heavy metals in aqueous solutions. Applied Surface Science, 471, 8-17. http://dx.doi.org/10.1016/j.apsusc.2018.11.240</w:t>
      </w:r>
    </w:p>
    <w:p w14:paraId="2A4806EA" w14:textId="77777777" w:rsidR="001E3F1F" w:rsidRPr="00D95DBC" w:rsidRDefault="001E3F1F" w:rsidP="009D3017">
      <w:pPr>
        <w:tabs>
          <w:tab w:val="left" w:pos="567"/>
        </w:tabs>
        <w:spacing w:line="360" w:lineRule="auto"/>
        <w:ind w:left="567" w:hanging="567"/>
        <w:rPr>
          <w:color w:val="auto"/>
          <w:szCs w:val="24"/>
          <w:lang w:val="sv-SE"/>
        </w:rPr>
      </w:pPr>
      <w:r w:rsidRPr="00D95DBC">
        <w:rPr>
          <w:rStyle w:val="af1"/>
          <w:rFonts w:eastAsiaTheme="majorEastAsia"/>
          <w:color w:val="auto"/>
          <w:szCs w:val="24"/>
          <w:u w:val="none"/>
        </w:rPr>
        <w:t xml:space="preserve">Poornima Parvathi, V., Umadevi, M., Sasikala, R., Parimaladevi, R., Ragavendran, V., Mayandi, J., &amp; Sathe, G. V. (2020). Novel silver nanoparticles/activated carbon co-doped titania nanoparticles for enhanced antibacterial activity. </w:t>
      </w:r>
      <w:r w:rsidRPr="00D95DBC">
        <w:rPr>
          <w:rStyle w:val="af1"/>
          <w:rFonts w:eastAsiaTheme="majorEastAsia"/>
          <w:color w:val="auto"/>
          <w:szCs w:val="24"/>
          <w:u w:val="none"/>
          <w:lang w:val="sv-SE"/>
        </w:rPr>
        <w:t xml:space="preserve">Materials Letters, 258, 126775. </w:t>
      </w:r>
      <w:r w:rsidRPr="00D95DBC">
        <w:rPr>
          <w:color w:val="auto"/>
          <w:szCs w:val="24"/>
          <w:lang w:val="sv-SE"/>
        </w:rPr>
        <w:t>https://doi.org/10.1016/j.matlet.2019.126775</w:t>
      </w:r>
    </w:p>
    <w:p w14:paraId="283DF7A8" w14:textId="77777777" w:rsidR="001E3F1F" w:rsidRPr="00D95DBC" w:rsidRDefault="001E3F1F" w:rsidP="009D3017">
      <w:pPr>
        <w:tabs>
          <w:tab w:val="left" w:pos="1005"/>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sv-SE"/>
        </w:rPr>
        <w:t xml:space="preserve">Prosekov, A. Y., Gorelkina, A. K., Timoshchuk, I. V., Golubeva, N. S., Ivanova, L. A., &amp; Mikhaylova, E. S. (2022). </w:t>
      </w:r>
      <w:r w:rsidRPr="00D95DBC">
        <w:rPr>
          <w:rStyle w:val="af1"/>
          <w:rFonts w:eastAsiaTheme="majorEastAsia"/>
          <w:color w:val="auto"/>
          <w:szCs w:val="24"/>
          <w:u w:val="none"/>
        </w:rPr>
        <w:t>Extraction of organic pollutants by crushed carbon sorbents. Coke and Chemistry, 65(11), 545-548. http://dx.doi.org/10.3103/S1068364X22700284</w:t>
      </w:r>
    </w:p>
    <w:p w14:paraId="6C52A7CB"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shd w:val="clear" w:color="auto" w:fill="FFFFFF"/>
          <w:lang w:val="es-ES"/>
        </w:rPr>
        <w:t xml:space="preserve">Queraltó, A., del Pino, A. P., Logofatu, C., Datcu, A., Amade, R., Bertran-Serra, E., &amp; György, E. (2018). </w:t>
      </w:r>
      <w:r w:rsidRPr="00D95DBC">
        <w:rPr>
          <w:rStyle w:val="af1"/>
          <w:rFonts w:eastAsiaTheme="majorEastAsia"/>
          <w:color w:val="auto"/>
          <w:szCs w:val="24"/>
          <w:u w:val="none"/>
          <w:shd w:val="clear" w:color="auto" w:fill="FFFFFF"/>
        </w:rPr>
        <w:t>Reduced graphene oxide/iron oxide nanohybrid flexible electrodes grown by laser-based technique for energy storage applications. Ceramics International, 44(16), 20409-20416. http://dx.doi.org/10.1016/j.ceramint.2018.08.034</w:t>
      </w:r>
    </w:p>
    <w:p w14:paraId="5AE7272B" w14:textId="77777777" w:rsidR="00CF2C79" w:rsidRPr="00D95DBC" w:rsidRDefault="00CF2C79" w:rsidP="00CF2C79">
      <w:pPr>
        <w:pStyle w:val="a6"/>
        <w:tabs>
          <w:tab w:val="left" w:pos="420"/>
        </w:tabs>
        <w:spacing w:line="360" w:lineRule="auto"/>
        <w:ind w:left="567" w:hanging="567"/>
        <w:rPr>
          <w:color w:val="auto"/>
          <w:sz w:val="24"/>
          <w:szCs w:val="24"/>
          <w:lang w:val="es-ES"/>
        </w:rPr>
      </w:pPr>
      <w:r w:rsidRPr="00D95DBC">
        <w:rPr>
          <w:color w:val="auto"/>
          <w:sz w:val="24"/>
          <w:szCs w:val="24"/>
        </w:rPr>
        <w:t xml:space="preserve">Raji, Z., Karim, A., Karam, A., &amp; Khalloufi, S. (2023). Adsorption of heavy metals: Mechanisms, kinetics, and applications of various adsorbents in wastewater remediation—A review. </w:t>
      </w:r>
      <w:r w:rsidRPr="00D95DBC">
        <w:rPr>
          <w:color w:val="auto"/>
          <w:sz w:val="24"/>
          <w:szCs w:val="24"/>
          <w:lang w:val="es-ES"/>
        </w:rPr>
        <w:t>Waste, 1(3), 775-805. https://doi.org/10.3390/waste1030046</w:t>
      </w:r>
    </w:p>
    <w:p w14:paraId="39FC06B1"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es-ES"/>
        </w:rPr>
        <w:t xml:space="preserve">Rengga, W. D. P., Chafidz, A., Sudibandriyo, M., Nasikin, M., &amp; Abasaeed, A. E. (2017). </w:t>
      </w:r>
      <w:r w:rsidRPr="00D95DBC">
        <w:rPr>
          <w:rStyle w:val="af1"/>
          <w:rFonts w:eastAsiaTheme="majorEastAsia"/>
          <w:color w:val="auto"/>
          <w:szCs w:val="24"/>
          <w:u w:val="none"/>
        </w:rPr>
        <w:t xml:space="preserve">Silvernano-particles deposited on bamboo-based activated carbon for removal of formaldehyde. </w:t>
      </w:r>
      <w:r w:rsidRPr="00D95DBC">
        <w:rPr>
          <w:color w:val="auto"/>
          <w:szCs w:val="24"/>
          <w:shd w:val="clear" w:color="auto" w:fill="FFFFFF"/>
        </w:rPr>
        <w:t>Journal of Environmental Chemical Engineering</w:t>
      </w:r>
      <w:r w:rsidRPr="00D95DBC">
        <w:rPr>
          <w:rStyle w:val="af1"/>
          <w:rFonts w:eastAsiaTheme="majorEastAsia"/>
          <w:color w:val="auto"/>
          <w:szCs w:val="24"/>
          <w:u w:val="none"/>
        </w:rPr>
        <w:t xml:space="preserve">, 5(2), 1657-1665. </w:t>
      </w:r>
      <w:r w:rsidRPr="00D95DBC">
        <w:rPr>
          <w:color w:val="auto"/>
          <w:szCs w:val="24"/>
          <w:shd w:val="clear" w:color="auto" w:fill="FFFFFF"/>
        </w:rPr>
        <w:t>http://dx.doi.org/</w:t>
      </w:r>
      <w:r w:rsidRPr="00D95DBC">
        <w:rPr>
          <w:color w:val="auto"/>
          <w:szCs w:val="24"/>
        </w:rPr>
        <w:t>10.1016/j.jece.2017.02.033</w:t>
      </w:r>
    </w:p>
    <w:p w14:paraId="1499762A" w14:textId="77777777" w:rsidR="001E3F1F" w:rsidRPr="00D95DBC" w:rsidRDefault="001E3F1F" w:rsidP="009D3017">
      <w:pPr>
        <w:tabs>
          <w:tab w:val="left" w:pos="567"/>
        </w:tabs>
        <w:spacing w:line="360" w:lineRule="auto"/>
        <w:ind w:left="567" w:hanging="567"/>
        <w:rPr>
          <w:color w:val="auto"/>
          <w:szCs w:val="24"/>
          <w:lang w:val="sv-SE"/>
        </w:rPr>
      </w:pPr>
      <w:r w:rsidRPr="00D95DBC">
        <w:rPr>
          <w:color w:val="auto"/>
          <w:szCs w:val="24"/>
          <w:shd w:val="clear" w:color="auto" w:fill="FFFFFF"/>
          <w:lang w:val="sv-SE"/>
        </w:rPr>
        <w:t xml:space="preserve">Rezaee, M., Rajagopalan, V. N., &amp; Honaker, R. Q. (2019). </w:t>
      </w:r>
      <w:r w:rsidRPr="00D95DBC">
        <w:rPr>
          <w:color w:val="auto"/>
          <w:szCs w:val="24"/>
          <w:shd w:val="clear" w:color="auto" w:fill="FFFFFF"/>
        </w:rPr>
        <w:t xml:space="preserve">Conceptual modifications of coal preparation plants to minimize potential environmental issues associated with coal waste disposal. </w:t>
      </w:r>
      <w:r w:rsidRPr="00D95DBC">
        <w:rPr>
          <w:color w:val="auto"/>
          <w:szCs w:val="24"/>
          <w:shd w:val="clear" w:color="auto" w:fill="FFFFFF"/>
          <w:lang w:val="sv-SE"/>
        </w:rPr>
        <w:t xml:space="preserve">Fuel, 250(2), 352-361. </w:t>
      </w:r>
      <w:hyperlink r:id="rId14" w:history="1">
        <w:r w:rsidRPr="00D95DBC">
          <w:rPr>
            <w:rStyle w:val="af1"/>
            <w:rFonts w:eastAsiaTheme="majorEastAsia"/>
            <w:color w:val="auto"/>
            <w:szCs w:val="24"/>
            <w:u w:val="none"/>
            <w:shd w:val="clear" w:color="auto" w:fill="FFFFFF"/>
            <w:lang w:val="sv-SE"/>
          </w:rPr>
          <w:t>http://dx.doi.org/10.1016/j.fuel.2019.03.067</w:t>
        </w:r>
      </w:hyperlink>
    </w:p>
    <w:p w14:paraId="5E56F622"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sv-SE"/>
        </w:rPr>
        <w:t xml:space="preserve">Selvaraj, M., Hai, A., Banat, F., &amp; Abu Haij, M. (2020). </w:t>
      </w:r>
      <w:r w:rsidRPr="00D95DBC">
        <w:rPr>
          <w:rStyle w:val="af1"/>
          <w:rFonts w:eastAsiaTheme="majorEastAsia"/>
          <w:color w:val="auto"/>
          <w:szCs w:val="24"/>
          <w:u w:val="none"/>
        </w:rPr>
        <w:t xml:space="preserve">Application and prospects of carbon nanostructured materials in water treatment: A review. Journal of Water Process Engineering, 33, 100996. </w:t>
      </w:r>
      <w:r w:rsidRPr="00D95DBC">
        <w:rPr>
          <w:color w:val="auto"/>
          <w:szCs w:val="24"/>
          <w:shd w:val="clear" w:color="auto" w:fill="FFFFFF"/>
          <w:lang w:eastAsia="de-DE" w:bidi="en-US"/>
        </w:rPr>
        <w:t>https://doi.org/</w:t>
      </w:r>
      <w:r w:rsidRPr="00D95DBC">
        <w:rPr>
          <w:color w:val="auto"/>
          <w:szCs w:val="24"/>
          <w:shd w:val="clear" w:color="auto" w:fill="FFFFFF"/>
        </w:rPr>
        <w:t>10.1016/j.jwpe.2019.100996</w:t>
      </w:r>
    </w:p>
    <w:p w14:paraId="3C8D102D" w14:textId="77777777" w:rsidR="00CF2C79" w:rsidRPr="00D95DBC" w:rsidRDefault="00CF2C79" w:rsidP="00CF2C79">
      <w:pPr>
        <w:pStyle w:val="a6"/>
        <w:tabs>
          <w:tab w:val="left" w:pos="420"/>
        </w:tabs>
        <w:spacing w:line="360" w:lineRule="auto"/>
        <w:ind w:left="567" w:hanging="567"/>
        <w:rPr>
          <w:color w:val="auto"/>
          <w:sz w:val="24"/>
          <w:szCs w:val="24"/>
        </w:rPr>
      </w:pPr>
      <w:r w:rsidRPr="00D95DBC">
        <w:rPr>
          <w:color w:val="auto"/>
          <w:sz w:val="24"/>
          <w:szCs w:val="24"/>
        </w:rPr>
        <w:t>Sen, T. K. (2023). Agricultural solid wastes based adsorbent materials in the remediation of heavy metal ions from water and wastewater by adsorption: A review. Molecules, 28(14), 5575. https://doi.org/10.3390/molecules28145575</w:t>
      </w:r>
    </w:p>
    <w:p w14:paraId="492D5E21"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color w:val="auto"/>
          <w:szCs w:val="24"/>
          <w:shd w:val="clear" w:color="auto" w:fill="FFFFFF"/>
        </w:rPr>
        <w:lastRenderedPageBreak/>
        <w:t>Simate, G. S., Maledi, N., Ochieng, A., Ndlovu, S., Zhang, J., &amp; Walubita, L. F. (2016). Coal-based adsorbents for water and wastewater treatment. Journal of Environmental Chemical Engineering, 4(2), 2291-2312. http://dx.doi.org/10.1016/j.jece.2016.03.051</w:t>
      </w:r>
    </w:p>
    <w:p w14:paraId="6C80E16A"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shd w:val="clear" w:color="auto" w:fill="FFFFFF"/>
        </w:rPr>
        <w:t>Singh, K. K., Singh, A., &amp; Rai, S. (2022). A study on nanomaterials for water purification. Materials Today: Proceedings, 51(1), 1157-1163. http://dx.doi.org/10.1016/j.matpr.2021.07.116</w:t>
      </w:r>
    </w:p>
    <w:p w14:paraId="4620A8AC" w14:textId="65E255A9" w:rsidR="00CF2C79" w:rsidRPr="00D95DBC" w:rsidRDefault="00CF2C79" w:rsidP="009D3017">
      <w:pPr>
        <w:tabs>
          <w:tab w:val="left" w:pos="567"/>
        </w:tabs>
        <w:spacing w:line="360" w:lineRule="auto"/>
        <w:ind w:left="567" w:hanging="567"/>
        <w:rPr>
          <w:color w:val="auto"/>
          <w:szCs w:val="24"/>
        </w:rPr>
      </w:pPr>
      <w:r w:rsidRPr="00D95DBC">
        <w:rPr>
          <w:color w:val="auto"/>
          <w:szCs w:val="24"/>
        </w:rPr>
        <w:t xml:space="preserve">Streletskiy, O., Perevedentseva, E., Zavidovskiy, I., Karmenyan, A., Sychev, V., Sadykova, V., Kuvarina, A., &amp; Cheng, C. (2022). Amorphous carbon films with embedded well-dispersed nanodiamonds: Plasmon-enhanced analysis and possible antimicrobial applications. Magnetochemistry, 8(12), 171. </w:t>
      </w:r>
      <w:hyperlink r:id="rId15" w:history="1">
        <w:r w:rsidRPr="00D95DBC">
          <w:rPr>
            <w:rStyle w:val="af1"/>
            <w:color w:val="auto"/>
            <w:szCs w:val="24"/>
          </w:rPr>
          <w:t>https://doi.org/10.3390/magnetochemistry8120171</w:t>
        </w:r>
      </w:hyperlink>
    </w:p>
    <w:p w14:paraId="2754A003" w14:textId="6DF3AC5E"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rPr>
        <w:t>Syafiuddin, A., Salmiati, S., Jonbi, J., &amp; Fulazzaky, M. A. (2018). Application of the kinetic and isotherm models for better understanding of the behaviors of silver nanoparticles adsorption onto different adsorbents. Journal of Environmental Management, 218, 59-70. http://dx.doi.org/10.1016/j.jenvman.2018.03.066</w:t>
      </w:r>
    </w:p>
    <w:p w14:paraId="748B5A58" w14:textId="77777777" w:rsidR="001E3F1F" w:rsidRPr="00D95DBC" w:rsidRDefault="001E3F1F" w:rsidP="009D3017">
      <w:pPr>
        <w:tabs>
          <w:tab w:val="left" w:pos="567"/>
        </w:tabs>
        <w:spacing w:line="360" w:lineRule="auto"/>
        <w:ind w:left="567" w:hanging="567"/>
        <w:rPr>
          <w:color w:val="auto"/>
          <w:szCs w:val="24"/>
          <w:shd w:val="clear" w:color="auto" w:fill="FFFFFF"/>
        </w:rPr>
      </w:pPr>
      <w:r w:rsidRPr="00D95DBC">
        <w:rPr>
          <w:color w:val="auto"/>
          <w:szCs w:val="24"/>
          <w:shd w:val="clear" w:color="auto" w:fill="FFFFFF"/>
          <w:lang w:val="es-ES"/>
        </w:rPr>
        <w:t xml:space="preserve">Tang, C. N., &amp; Lo, I. M. C. (2013). </w:t>
      </w:r>
      <w:r w:rsidRPr="00D95DBC">
        <w:rPr>
          <w:color w:val="auto"/>
          <w:szCs w:val="24"/>
          <w:shd w:val="clear" w:color="auto" w:fill="FFFFFF"/>
        </w:rPr>
        <w:t>Magnetic nanoparticles: Essential factors for sustainable environmental applications. Water Research, 47(8), 2613-2632. http://dx.doi.org/10.1016/j.watres.2013.02.039</w:t>
      </w:r>
    </w:p>
    <w:p w14:paraId="412DE051" w14:textId="77777777" w:rsidR="00CF2C79" w:rsidRPr="00D95DBC" w:rsidRDefault="00CF2C79" w:rsidP="00CF2C79">
      <w:pPr>
        <w:pStyle w:val="afa"/>
        <w:tabs>
          <w:tab w:val="left" w:pos="420"/>
        </w:tabs>
        <w:spacing w:line="360" w:lineRule="auto"/>
        <w:ind w:left="567" w:hanging="567"/>
        <w:rPr>
          <w:color w:val="auto"/>
        </w:rPr>
      </w:pPr>
      <w:r w:rsidRPr="00D95DBC">
        <w:rPr>
          <w:color w:val="auto"/>
        </w:rPr>
        <w:t xml:space="preserve">Tran, H. N. (2023). Adsorption technology for water and wastewater treatments. </w:t>
      </w:r>
      <w:r w:rsidRPr="00D95DBC">
        <w:rPr>
          <w:iCs/>
          <w:color w:val="auto"/>
        </w:rPr>
        <w:t>Water</w:t>
      </w:r>
      <w:r w:rsidRPr="00D95DBC">
        <w:rPr>
          <w:color w:val="auto"/>
        </w:rPr>
        <w:t xml:space="preserve">, </w:t>
      </w:r>
      <w:r w:rsidRPr="00D95DBC">
        <w:rPr>
          <w:iCs/>
          <w:color w:val="auto"/>
        </w:rPr>
        <w:t>15</w:t>
      </w:r>
      <w:r w:rsidRPr="00D95DBC">
        <w:rPr>
          <w:color w:val="auto"/>
        </w:rPr>
        <w:t xml:space="preserve">(15), 2857. </w:t>
      </w:r>
      <w:hyperlink r:id="rId16" w:history="1">
        <w:r w:rsidRPr="00D95DBC">
          <w:rPr>
            <w:rStyle w:val="af1"/>
            <w:rFonts w:eastAsiaTheme="majorEastAsia"/>
            <w:color w:val="auto"/>
          </w:rPr>
          <w:t>https://doi.org/10.3390/w15152857</w:t>
        </w:r>
      </w:hyperlink>
    </w:p>
    <w:p w14:paraId="2115D835"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Ulrikh, E., Babich, O., Ivanova, S., &amp; Mikhaylova, E. (2024). Study of carbon materials using X-ray diffraction method, qualitative and quantitative analysis of adsorption. Microchemical Journal, 198, 110181. </w:t>
      </w:r>
      <w:r w:rsidRPr="00D95DBC">
        <w:rPr>
          <w:color w:val="auto"/>
          <w:szCs w:val="24"/>
        </w:rPr>
        <w:t>https://doi.org/10.1016/j.microc.2024.110181</w:t>
      </w:r>
    </w:p>
    <w:p w14:paraId="5E143501"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shd w:val="clear" w:color="auto" w:fill="FFFFFF"/>
        </w:rPr>
      </w:pPr>
      <w:r w:rsidRPr="00D95DBC">
        <w:rPr>
          <w:rStyle w:val="af1"/>
          <w:rFonts w:eastAsiaTheme="majorEastAsia"/>
          <w:color w:val="auto"/>
          <w:szCs w:val="24"/>
          <w:u w:val="none"/>
        </w:rPr>
        <w:t>Vaiopoulou, E., &amp; Gikas, P. (2012). Effects of chromium on activated sludge and on the performance of wastewater treatment plants. Water Research, 46(3), 549-570. http://dx.doi.org/10.1016/j.watres.2011.11.024</w:t>
      </w:r>
    </w:p>
    <w:p w14:paraId="484259B4" w14:textId="77777777" w:rsidR="001E3F1F" w:rsidRPr="00D95DBC" w:rsidRDefault="001E3F1F" w:rsidP="009D3017">
      <w:pPr>
        <w:tabs>
          <w:tab w:val="left" w:pos="567"/>
        </w:tabs>
        <w:spacing w:line="360" w:lineRule="auto"/>
        <w:ind w:left="567" w:hanging="567"/>
        <w:rPr>
          <w:color w:val="auto"/>
          <w:szCs w:val="24"/>
        </w:rPr>
      </w:pPr>
      <w:r w:rsidRPr="00D95DBC">
        <w:rPr>
          <w:color w:val="auto"/>
          <w:szCs w:val="24"/>
        </w:rPr>
        <w:t xml:space="preserve">Wierzba, S., &amp; Kłos, A. (2019). Heavy metal sorption in biosorbents – Using spent grain from the brewing industry. </w:t>
      </w:r>
      <w:r w:rsidRPr="00D95DBC">
        <w:rPr>
          <w:color w:val="auto"/>
          <w:szCs w:val="24"/>
          <w:shd w:val="clear" w:color="auto" w:fill="FFFFFF"/>
        </w:rPr>
        <w:t>Journal of Cleaner Production,</w:t>
      </w:r>
      <w:r w:rsidRPr="00D95DBC">
        <w:rPr>
          <w:color w:val="auto"/>
          <w:szCs w:val="24"/>
        </w:rPr>
        <w:t xml:space="preserve"> 225, 112-120. </w:t>
      </w:r>
      <w:hyperlink r:id="rId17" w:history="1">
        <w:r w:rsidRPr="00D95DBC">
          <w:rPr>
            <w:rStyle w:val="af1"/>
            <w:rFonts w:eastAsiaTheme="majorEastAsia"/>
            <w:color w:val="auto"/>
            <w:szCs w:val="24"/>
            <w:u w:val="none"/>
          </w:rPr>
          <w:t>https://doi.org/10.1016/J.JCLEPRO.2019.03.286</w:t>
        </w:r>
      </w:hyperlink>
    </w:p>
    <w:p w14:paraId="34782F46"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lang w:val="pt-BR"/>
        </w:rPr>
        <w:t xml:space="preserve">Wu, J., Qichu, X., &amp; Bai, T. (2007). </w:t>
      </w:r>
      <w:r w:rsidRPr="00D95DBC">
        <w:rPr>
          <w:rStyle w:val="af1"/>
          <w:rFonts w:eastAsiaTheme="majorEastAsia"/>
          <w:color w:val="auto"/>
          <w:szCs w:val="24"/>
          <w:u w:val="none"/>
        </w:rPr>
        <w:t>Adsorption behavior of some radionuclides on the Chinese weathered coal. Applied Radiation and Isotopes, 65(8), 901-909. https://doi.org/10.1016/j.apradiso.2007.04.004</w:t>
      </w:r>
    </w:p>
    <w:p w14:paraId="01BA64F4"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lastRenderedPageBreak/>
        <w:t xml:space="preserve">Wu, Y., Pang, H., Liu, Y., Wanga, X., Yu, S., Fu, D., Chen, J., &amp; Wang, X. (2019). Environmental remediation of heavy metal ions by novel-nanomaterials: A review. </w:t>
      </w:r>
      <w:r w:rsidRPr="00D95DBC">
        <w:rPr>
          <w:color w:val="auto"/>
          <w:szCs w:val="24"/>
          <w:shd w:val="clear" w:color="auto" w:fill="FFFFFF"/>
        </w:rPr>
        <w:t>Environmental Pollution, 246</w:t>
      </w:r>
      <w:r w:rsidRPr="00D95DBC">
        <w:rPr>
          <w:rStyle w:val="af1"/>
          <w:rFonts w:eastAsiaTheme="majorEastAsia"/>
          <w:color w:val="auto"/>
          <w:szCs w:val="24"/>
          <w:u w:val="none"/>
        </w:rPr>
        <w:t>, 608-620. http://dx.doi.org/10.1016/j.envpol.2018.12.076</w:t>
      </w:r>
    </w:p>
    <w:p w14:paraId="66BF93EB"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Yeganeh, M. M., Kaghazchi, T., &amp; Soleimani, M. (2006). Effect of raw materials on properties of activated carbons. Chemical Engineering &amp; Technology, 29(10), 1247-1251. http://dx.doi.org/10.1002/ceat.200500298</w:t>
      </w:r>
    </w:p>
    <w:p w14:paraId="5E9A8FD0" w14:textId="77777777" w:rsidR="001E3F1F" w:rsidRPr="00D95DBC" w:rsidRDefault="001E3F1F" w:rsidP="009D3017">
      <w:pPr>
        <w:tabs>
          <w:tab w:val="left" w:pos="567"/>
        </w:tabs>
        <w:spacing w:line="360" w:lineRule="auto"/>
        <w:ind w:left="567" w:hanging="567"/>
        <w:rPr>
          <w:rStyle w:val="af1"/>
          <w:rFonts w:eastAsiaTheme="majorEastAsia"/>
          <w:color w:val="auto"/>
          <w:szCs w:val="24"/>
          <w:u w:val="none"/>
        </w:rPr>
      </w:pPr>
      <w:r w:rsidRPr="00D95DBC">
        <w:rPr>
          <w:rStyle w:val="af1"/>
          <w:rFonts w:eastAsiaTheme="majorEastAsia"/>
          <w:color w:val="auto"/>
          <w:szCs w:val="24"/>
          <w:u w:val="none"/>
        </w:rPr>
        <w:t xml:space="preserve">Zhang, H., Jiang, X., Zhao, M., Ma, X., Yang, Y., &amp; Li, T. (2024). Performance of ball-milling-modified coal gangue on Pb </w:t>
      </w:r>
      <w:r w:rsidRPr="00D95DBC">
        <w:rPr>
          <w:color w:val="auto"/>
          <w:szCs w:val="24"/>
          <w:shd w:val="clear" w:color="auto" w:fill="FFFFFF"/>
          <w:vertAlign w:val="superscript"/>
        </w:rPr>
        <w:t>2+</w:t>
      </w:r>
      <w:r w:rsidRPr="00D95DBC">
        <w:rPr>
          <w:rStyle w:val="af1"/>
          <w:rFonts w:eastAsiaTheme="majorEastAsia"/>
          <w:color w:val="auto"/>
          <w:szCs w:val="24"/>
          <w:u w:val="none"/>
        </w:rPr>
        <w:t>, Zn</w:t>
      </w:r>
      <w:r w:rsidRPr="00D95DBC">
        <w:rPr>
          <w:color w:val="auto"/>
          <w:szCs w:val="24"/>
          <w:shd w:val="clear" w:color="auto" w:fill="FFFFFF"/>
          <w:vertAlign w:val="superscript"/>
        </w:rPr>
        <w:t>2+</w:t>
      </w:r>
      <w:r w:rsidRPr="00D95DBC">
        <w:rPr>
          <w:rStyle w:val="af1"/>
          <w:rFonts w:eastAsiaTheme="majorEastAsia"/>
          <w:color w:val="auto"/>
          <w:szCs w:val="24"/>
          <w:u w:val="none"/>
        </w:rPr>
        <w:t>, and NH</w:t>
      </w:r>
      <w:r w:rsidRPr="00D95DBC">
        <w:rPr>
          <w:color w:val="auto"/>
          <w:szCs w:val="24"/>
          <w:shd w:val="clear" w:color="auto" w:fill="FFFFFF"/>
          <w:vertAlign w:val="subscript"/>
        </w:rPr>
        <w:t>4</w:t>
      </w:r>
      <w:r w:rsidRPr="00D95DBC">
        <w:rPr>
          <w:color w:val="auto"/>
          <w:szCs w:val="24"/>
          <w:shd w:val="clear" w:color="auto" w:fill="FFFFFF"/>
          <w:vertAlign w:val="superscript"/>
        </w:rPr>
        <w:t>+</w:t>
      </w:r>
      <w:r w:rsidRPr="00D95DBC">
        <w:rPr>
          <w:rStyle w:val="af1"/>
          <w:rFonts w:eastAsiaTheme="majorEastAsia"/>
          <w:color w:val="auto"/>
          <w:szCs w:val="24"/>
          <w:u w:val="none"/>
        </w:rPr>
        <w:t>–N adsorption. Journal of Material Cycles and Waste Management, 26(02), 2115-2127. http://dx.doi.org/10.1007/s10163-024-01947-1</w:t>
      </w:r>
    </w:p>
    <w:p w14:paraId="079E2850" w14:textId="5BD17476" w:rsidR="00374E79" w:rsidRPr="00D95DBC" w:rsidRDefault="001E3F1F" w:rsidP="00CF2C79">
      <w:pPr>
        <w:tabs>
          <w:tab w:val="left" w:pos="567"/>
        </w:tabs>
        <w:spacing w:line="360" w:lineRule="auto"/>
        <w:ind w:left="567" w:hanging="567"/>
        <w:rPr>
          <w:color w:val="auto"/>
          <w:szCs w:val="24"/>
        </w:rPr>
      </w:pPr>
      <w:r w:rsidRPr="00D95DBC">
        <w:rPr>
          <w:rStyle w:val="af1"/>
          <w:rFonts w:eastAsiaTheme="majorEastAsia"/>
          <w:color w:val="auto"/>
          <w:szCs w:val="24"/>
          <w:u w:val="none"/>
          <w:lang w:val="sv-SE"/>
        </w:rPr>
        <w:t xml:space="preserve">Zhang, Y., Yuan, K., Magagnin, L., Wu, X., Jiang, Z., &amp; Wang, W. (2023). </w:t>
      </w:r>
      <w:r w:rsidRPr="00D95DBC">
        <w:rPr>
          <w:rStyle w:val="af1"/>
          <w:rFonts w:eastAsiaTheme="majorEastAsia"/>
          <w:color w:val="auto"/>
          <w:szCs w:val="24"/>
          <w:u w:val="none"/>
        </w:rPr>
        <w:t xml:space="preserve">Selective adsorption of Pb (II) and Cu (II) on mercapto-functionalized aerogels: Experiments, DFT studies and LCA analysis. Journal of Cleaner Production, 393, 136126. </w:t>
      </w:r>
      <w:hyperlink r:id="rId18" w:history="1">
        <w:r w:rsidRPr="00D95DBC">
          <w:rPr>
            <w:rStyle w:val="af1"/>
            <w:rFonts w:eastAsiaTheme="majorEastAsia"/>
            <w:color w:val="auto"/>
            <w:szCs w:val="24"/>
            <w:u w:val="none"/>
          </w:rPr>
          <w:t>https://doi.org/10.1016/j.jclepro.2023.136126</w:t>
        </w:r>
      </w:hyperlink>
      <w:r w:rsidR="00374E79" w:rsidRPr="00D95DBC">
        <w:rPr>
          <w:color w:val="auto"/>
        </w:rPr>
        <w:br w:type="page"/>
      </w:r>
    </w:p>
    <w:p w14:paraId="253DEAFB" w14:textId="77777777" w:rsidR="00B374D9" w:rsidRPr="00D95DBC" w:rsidRDefault="00B374D9" w:rsidP="00B374D9">
      <w:pPr>
        <w:spacing w:line="240" w:lineRule="auto"/>
        <w:rPr>
          <w:color w:val="auto"/>
          <w:szCs w:val="24"/>
        </w:rPr>
      </w:pPr>
      <w:r w:rsidRPr="00D95DBC">
        <w:rPr>
          <w:b/>
          <w:color w:val="auto"/>
          <w:szCs w:val="24"/>
        </w:rPr>
        <w:lastRenderedPageBreak/>
        <w:t xml:space="preserve">Table 1: </w:t>
      </w:r>
      <w:r w:rsidRPr="00D95DBC">
        <w:rPr>
          <w:color w:val="auto"/>
          <w:szCs w:val="24"/>
        </w:rPr>
        <w:t>Formulation of carbon nanostructure samples modified with silver</w:t>
      </w:r>
    </w:p>
    <w:tbl>
      <w:tblPr>
        <w:tblStyle w:val="6"/>
        <w:tblW w:w="9015" w:type="dxa"/>
        <w:tblLook w:val="04A0" w:firstRow="1" w:lastRow="0" w:firstColumn="1" w:lastColumn="0" w:noHBand="0" w:noVBand="1"/>
      </w:tblPr>
      <w:tblGrid>
        <w:gridCol w:w="1433"/>
        <w:gridCol w:w="885"/>
        <w:gridCol w:w="885"/>
        <w:gridCol w:w="885"/>
        <w:gridCol w:w="885"/>
        <w:gridCol w:w="885"/>
        <w:gridCol w:w="3157"/>
      </w:tblGrid>
      <w:tr w:rsidR="00D95DBC" w:rsidRPr="00D95DBC" w14:paraId="72458587" w14:textId="77777777" w:rsidTr="00AB4AD8">
        <w:trPr>
          <w:trHeight w:val="20"/>
        </w:trPr>
        <w:tc>
          <w:tcPr>
            <w:tcW w:w="0" w:type="auto"/>
            <w:vMerge w:val="restart"/>
            <w:tcBorders>
              <w:top w:val="single" w:sz="4" w:space="0" w:color="auto"/>
              <w:left w:val="nil"/>
              <w:bottom w:val="single" w:sz="4" w:space="0" w:color="auto"/>
              <w:right w:val="nil"/>
            </w:tcBorders>
            <w:vAlign w:val="center"/>
          </w:tcPr>
          <w:p w14:paraId="536C5A3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Samples</w:t>
            </w:r>
          </w:p>
        </w:tc>
        <w:tc>
          <w:tcPr>
            <w:tcW w:w="0" w:type="auto"/>
            <w:gridSpan w:val="5"/>
            <w:tcBorders>
              <w:top w:val="single" w:sz="4" w:space="0" w:color="auto"/>
              <w:left w:val="nil"/>
              <w:bottom w:val="single" w:sz="4" w:space="0" w:color="auto"/>
              <w:right w:val="nil"/>
            </w:tcBorders>
            <w:vAlign w:val="center"/>
          </w:tcPr>
          <w:p w14:paraId="7ECE4200"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Types of coal waste (%)</w:t>
            </w:r>
          </w:p>
        </w:tc>
        <w:tc>
          <w:tcPr>
            <w:tcW w:w="0" w:type="auto"/>
            <w:vMerge w:val="restart"/>
            <w:tcBorders>
              <w:top w:val="single" w:sz="4" w:space="0" w:color="auto"/>
              <w:left w:val="nil"/>
              <w:bottom w:val="single" w:sz="4" w:space="0" w:color="auto"/>
              <w:right w:val="nil"/>
            </w:tcBorders>
            <w:vAlign w:val="center"/>
          </w:tcPr>
          <w:p w14:paraId="49C6FF86"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Ag nanoparticles (%)</w:t>
            </w:r>
          </w:p>
        </w:tc>
      </w:tr>
      <w:tr w:rsidR="00D95DBC" w:rsidRPr="00D95DBC" w14:paraId="3550A4A2" w14:textId="77777777" w:rsidTr="00AB4AD8">
        <w:trPr>
          <w:trHeight w:val="20"/>
        </w:trPr>
        <w:tc>
          <w:tcPr>
            <w:tcW w:w="0" w:type="auto"/>
            <w:vMerge/>
            <w:tcBorders>
              <w:top w:val="single" w:sz="4" w:space="0" w:color="auto"/>
              <w:left w:val="nil"/>
              <w:bottom w:val="single" w:sz="4" w:space="0" w:color="auto"/>
              <w:right w:val="nil"/>
            </w:tcBorders>
            <w:vAlign w:val="center"/>
          </w:tcPr>
          <w:p w14:paraId="702081AE" w14:textId="77777777" w:rsidR="00B374D9" w:rsidRPr="00D95DBC" w:rsidRDefault="00B374D9" w:rsidP="00B374D9">
            <w:pPr>
              <w:spacing w:line="240" w:lineRule="auto"/>
              <w:rPr>
                <w:color w:val="auto"/>
                <w:szCs w:val="24"/>
                <w:lang w:eastAsia="ru-RU"/>
              </w:rPr>
            </w:pPr>
          </w:p>
        </w:tc>
        <w:tc>
          <w:tcPr>
            <w:tcW w:w="0" w:type="auto"/>
            <w:tcBorders>
              <w:top w:val="single" w:sz="4" w:space="0" w:color="auto"/>
              <w:left w:val="nil"/>
              <w:bottom w:val="single" w:sz="4" w:space="0" w:color="auto"/>
              <w:right w:val="nil"/>
            </w:tcBorders>
            <w:vAlign w:val="center"/>
          </w:tcPr>
          <w:p w14:paraId="2A1BD0F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I</w:t>
            </w:r>
          </w:p>
        </w:tc>
        <w:tc>
          <w:tcPr>
            <w:tcW w:w="0" w:type="auto"/>
            <w:tcBorders>
              <w:top w:val="single" w:sz="4" w:space="0" w:color="auto"/>
              <w:left w:val="nil"/>
              <w:bottom w:val="single" w:sz="4" w:space="0" w:color="auto"/>
              <w:right w:val="nil"/>
            </w:tcBorders>
            <w:vAlign w:val="center"/>
          </w:tcPr>
          <w:p w14:paraId="082B9A9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II</w:t>
            </w:r>
          </w:p>
        </w:tc>
        <w:tc>
          <w:tcPr>
            <w:tcW w:w="0" w:type="auto"/>
            <w:tcBorders>
              <w:top w:val="single" w:sz="4" w:space="0" w:color="auto"/>
              <w:left w:val="nil"/>
              <w:bottom w:val="single" w:sz="4" w:space="0" w:color="auto"/>
              <w:right w:val="nil"/>
            </w:tcBorders>
            <w:vAlign w:val="center"/>
          </w:tcPr>
          <w:p w14:paraId="0BD5B7E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III</w:t>
            </w:r>
          </w:p>
        </w:tc>
        <w:tc>
          <w:tcPr>
            <w:tcW w:w="0" w:type="auto"/>
            <w:tcBorders>
              <w:top w:val="single" w:sz="4" w:space="0" w:color="auto"/>
              <w:left w:val="nil"/>
              <w:bottom w:val="single" w:sz="4" w:space="0" w:color="auto"/>
              <w:right w:val="nil"/>
            </w:tcBorders>
            <w:vAlign w:val="center"/>
          </w:tcPr>
          <w:p w14:paraId="20FC926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IV</w:t>
            </w:r>
          </w:p>
        </w:tc>
        <w:tc>
          <w:tcPr>
            <w:tcW w:w="0" w:type="auto"/>
            <w:tcBorders>
              <w:top w:val="single" w:sz="4" w:space="0" w:color="auto"/>
              <w:left w:val="nil"/>
              <w:bottom w:val="single" w:sz="4" w:space="0" w:color="auto"/>
              <w:right w:val="nil"/>
            </w:tcBorders>
            <w:vAlign w:val="center"/>
          </w:tcPr>
          <w:p w14:paraId="1489347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V</w:t>
            </w:r>
          </w:p>
        </w:tc>
        <w:tc>
          <w:tcPr>
            <w:tcW w:w="0" w:type="auto"/>
            <w:vMerge/>
            <w:tcBorders>
              <w:top w:val="single" w:sz="4" w:space="0" w:color="auto"/>
              <w:left w:val="nil"/>
              <w:bottom w:val="single" w:sz="4" w:space="0" w:color="auto"/>
              <w:right w:val="nil"/>
            </w:tcBorders>
            <w:vAlign w:val="center"/>
          </w:tcPr>
          <w:p w14:paraId="6EAE71CC" w14:textId="77777777" w:rsidR="00B374D9" w:rsidRPr="00D95DBC" w:rsidRDefault="00B374D9" w:rsidP="00B374D9">
            <w:pPr>
              <w:spacing w:line="240" w:lineRule="auto"/>
              <w:rPr>
                <w:color w:val="auto"/>
                <w:szCs w:val="24"/>
                <w:lang w:eastAsia="ru-RU"/>
              </w:rPr>
            </w:pPr>
          </w:p>
        </w:tc>
      </w:tr>
      <w:tr w:rsidR="00D95DBC" w:rsidRPr="00D95DBC" w14:paraId="77AA110A" w14:textId="77777777" w:rsidTr="00AB4AD8">
        <w:trPr>
          <w:trHeight w:val="20"/>
        </w:trPr>
        <w:tc>
          <w:tcPr>
            <w:tcW w:w="0" w:type="auto"/>
            <w:vAlign w:val="center"/>
          </w:tcPr>
          <w:p w14:paraId="71C8A8B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No. 1</w:t>
            </w:r>
          </w:p>
        </w:tc>
        <w:tc>
          <w:tcPr>
            <w:tcW w:w="0" w:type="auto"/>
            <w:vAlign w:val="center"/>
          </w:tcPr>
          <w:p w14:paraId="39FCD0A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w:t>
            </w:r>
          </w:p>
        </w:tc>
        <w:tc>
          <w:tcPr>
            <w:tcW w:w="0" w:type="auto"/>
            <w:vAlign w:val="center"/>
          </w:tcPr>
          <w:p w14:paraId="32DDEA7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679AA5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48942F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20DA083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677B138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w:t>
            </w:r>
          </w:p>
        </w:tc>
      </w:tr>
      <w:tr w:rsidR="00D95DBC" w:rsidRPr="00D95DBC" w14:paraId="34CDE3C0" w14:textId="77777777" w:rsidTr="00AB4AD8">
        <w:trPr>
          <w:trHeight w:val="20"/>
        </w:trPr>
        <w:tc>
          <w:tcPr>
            <w:tcW w:w="0" w:type="auto"/>
            <w:vAlign w:val="center"/>
          </w:tcPr>
          <w:p w14:paraId="525CA06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No. 2</w:t>
            </w:r>
          </w:p>
        </w:tc>
        <w:tc>
          <w:tcPr>
            <w:tcW w:w="0" w:type="auto"/>
            <w:vAlign w:val="center"/>
          </w:tcPr>
          <w:p w14:paraId="468234F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C3674E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w:t>
            </w:r>
          </w:p>
        </w:tc>
        <w:tc>
          <w:tcPr>
            <w:tcW w:w="0" w:type="auto"/>
            <w:vAlign w:val="center"/>
          </w:tcPr>
          <w:p w14:paraId="2030340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74482C5B"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FDA9406"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4F6D727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w:t>
            </w:r>
          </w:p>
        </w:tc>
      </w:tr>
      <w:tr w:rsidR="00D95DBC" w:rsidRPr="00D95DBC" w14:paraId="0CF60372" w14:textId="77777777" w:rsidTr="00AB4AD8">
        <w:trPr>
          <w:trHeight w:val="20"/>
        </w:trPr>
        <w:tc>
          <w:tcPr>
            <w:tcW w:w="0" w:type="auto"/>
            <w:vAlign w:val="center"/>
          </w:tcPr>
          <w:p w14:paraId="59A71B6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No. 3</w:t>
            </w:r>
          </w:p>
        </w:tc>
        <w:tc>
          <w:tcPr>
            <w:tcW w:w="0" w:type="auto"/>
            <w:vAlign w:val="center"/>
          </w:tcPr>
          <w:p w14:paraId="7AD2683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74F63D6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259FB19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w:t>
            </w:r>
          </w:p>
        </w:tc>
        <w:tc>
          <w:tcPr>
            <w:tcW w:w="0" w:type="auto"/>
            <w:vAlign w:val="center"/>
          </w:tcPr>
          <w:p w14:paraId="7A6D3889"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4B1EC69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76B4B0F8"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w:t>
            </w:r>
          </w:p>
        </w:tc>
      </w:tr>
      <w:tr w:rsidR="00D95DBC" w:rsidRPr="00D95DBC" w14:paraId="297FD740" w14:textId="77777777" w:rsidTr="00AB4AD8">
        <w:trPr>
          <w:trHeight w:val="20"/>
        </w:trPr>
        <w:tc>
          <w:tcPr>
            <w:tcW w:w="0" w:type="auto"/>
            <w:vAlign w:val="center"/>
          </w:tcPr>
          <w:p w14:paraId="54EEEEE0"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No. 4</w:t>
            </w:r>
          </w:p>
        </w:tc>
        <w:tc>
          <w:tcPr>
            <w:tcW w:w="0" w:type="auto"/>
            <w:vAlign w:val="center"/>
          </w:tcPr>
          <w:p w14:paraId="6D4EE5A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6CC650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6A4C63A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0F98F58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w:t>
            </w:r>
          </w:p>
        </w:tc>
        <w:tc>
          <w:tcPr>
            <w:tcW w:w="0" w:type="auto"/>
            <w:vAlign w:val="center"/>
          </w:tcPr>
          <w:p w14:paraId="7A0F5A4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vAlign w:val="center"/>
          </w:tcPr>
          <w:p w14:paraId="3A06949B"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w:t>
            </w:r>
          </w:p>
        </w:tc>
      </w:tr>
      <w:tr w:rsidR="00B374D9" w:rsidRPr="00D95DBC" w14:paraId="00ACFEC1" w14:textId="77777777" w:rsidTr="00AB4AD8">
        <w:trPr>
          <w:trHeight w:val="20"/>
        </w:trPr>
        <w:tc>
          <w:tcPr>
            <w:tcW w:w="0" w:type="auto"/>
            <w:tcBorders>
              <w:top w:val="nil"/>
              <w:left w:val="nil"/>
              <w:bottom w:val="single" w:sz="4" w:space="0" w:color="auto"/>
              <w:right w:val="nil"/>
            </w:tcBorders>
            <w:vAlign w:val="center"/>
          </w:tcPr>
          <w:p w14:paraId="28717D08"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No. 5</w:t>
            </w:r>
          </w:p>
        </w:tc>
        <w:tc>
          <w:tcPr>
            <w:tcW w:w="0" w:type="auto"/>
            <w:tcBorders>
              <w:top w:val="nil"/>
              <w:left w:val="nil"/>
              <w:bottom w:val="single" w:sz="4" w:space="0" w:color="auto"/>
              <w:right w:val="nil"/>
            </w:tcBorders>
            <w:vAlign w:val="center"/>
          </w:tcPr>
          <w:p w14:paraId="24D65A06"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tcBorders>
              <w:top w:val="nil"/>
              <w:left w:val="nil"/>
              <w:bottom w:val="single" w:sz="4" w:space="0" w:color="auto"/>
              <w:right w:val="nil"/>
            </w:tcBorders>
            <w:vAlign w:val="center"/>
          </w:tcPr>
          <w:p w14:paraId="4E4861E9"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tcBorders>
              <w:top w:val="nil"/>
              <w:left w:val="nil"/>
              <w:bottom w:val="single" w:sz="4" w:space="0" w:color="auto"/>
              <w:right w:val="nil"/>
            </w:tcBorders>
            <w:vAlign w:val="center"/>
          </w:tcPr>
          <w:p w14:paraId="49E0F74B"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tcBorders>
              <w:top w:val="nil"/>
              <w:left w:val="nil"/>
              <w:bottom w:val="single" w:sz="4" w:space="0" w:color="auto"/>
              <w:right w:val="nil"/>
            </w:tcBorders>
            <w:vAlign w:val="center"/>
          </w:tcPr>
          <w:p w14:paraId="567BD54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w:t>
            </w:r>
          </w:p>
        </w:tc>
        <w:tc>
          <w:tcPr>
            <w:tcW w:w="0" w:type="auto"/>
            <w:tcBorders>
              <w:top w:val="nil"/>
              <w:left w:val="nil"/>
              <w:bottom w:val="single" w:sz="4" w:space="0" w:color="auto"/>
              <w:right w:val="nil"/>
            </w:tcBorders>
            <w:vAlign w:val="center"/>
          </w:tcPr>
          <w:p w14:paraId="67B3021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w:t>
            </w:r>
          </w:p>
        </w:tc>
        <w:tc>
          <w:tcPr>
            <w:tcW w:w="0" w:type="auto"/>
            <w:tcBorders>
              <w:top w:val="nil"/>
              <w:left w:val="nil"/>
              <w:bottom w:val="single" w:sz="4" w:space="0" w:color="auto"/>
              <w:right w:val="nil"/>
            </w:tcBorders>
            <w:vAlign w:val="center"/>
          </w:tcPr>
          <w:p w14:paraId="5964877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w:t>
            </w:r>
          </w:p>
        </w:tc>
      </w:tr>
    </w:tbl>
    <w:p w14:paraId="07B5D988" w14:textId="77777777" w:rsidR="00B374D9" w:rsidRPr="00D95DBC" w:rsidRDefault="00B374D9" w:rsidP="00B374D9">
      <w:pPr>
        <w:pStyle w:val="MDPI41tablecaption"/>
        <w:spacing w:before="0" w:after="0" w:line="360" w:lineRule="auto"/>
        <w:ind w:left="0"/>
        <w:rPr>
          <w:rFonts w:ascii="Times New Roman" w:hAnsi="Times New Roman" w:cs="Times New Roman"/>
          <w:b/>
          <w:color w:val="auto"/>
          <w:sz w:val="24"/>
          <w:szCs w:val="24"/>
        </w:rPr>
      </w:pPr>
    </w:p>
    <w:p w14:paraId="6666D859" w14:textId="77777777" w:rsidR="00B374D9" w:rsidRPr="00D95DBC" w:rsidRDefault="00B374D9" w:rsidP="00B374D9">
      <w:pPr>
        <w:spacing w:line="240" w:lineRule="auto"/>
        <w:rPr>
          <w:color w:val="auto"/>
          <w:spacing w:val="-4"/>
          <w:szCs w:val="24"/>
        </w:rPr>
      </w:pPr>
      <w:r w:rsidRPr="00D95DBC">
        <w:rPr>
          <w:b/>
          <w:color w:val="auto"/>
          <w:spacing w:val="-4"/>
          <w:szCs w:val="24"/>
        </w:rPr>
        <w:t xml:space="preserve">Table 2: </w:t>
      </w:r>
      <w:r w:rsidRPr="00D95DBC">
        <w:rPr>
          <w:color w:val="auto"/>
          <w:spacing w:val="-4"/>
          <w:szCs w:val="24"/>
        </w:rPr>
        <w:t>Chemical composition of the surface of sorption-catalytic materials (mass fraction of the component, %)</w:t>
      </w:r>
    </w:p>
    <w:tbl>
      <w:tblPr>
        <w:tblStyle w:val="6"/>
        <w:tblW w:w="9015" w:type="dxa"/>
        <w:tblLook w:val="04A0" w:firstRow="1" w:lastRow="0" w:firstColumn="1" w:lastColumn="0" w:noHBand="0" w:noVBand="1"/>
      </w:tblPr>
      <w:tblGrid>
        <w:gridCol w:w="1569"/>
        <w:gridCol w:w="1563"/>
        <w:gridCol w:w="1493"/>
        <w:gridCol w:w="1496"/>
        <w:gridCol w:w="1447"/>
        <w:gridCol w:w="1447"/>
      </w:tblGrid>
      <w:tr w:rsidR="00D95DBC" w:rsidRPr="00D95DBC" w14:paraId="35A41BD9" w14:textId="77777777" w:rsidTr="00AB4AD8">
        <w:trPr>
          <w:trHeight w:val="20"/>
        </w:trPr>
        <w:tc>
          <w:tcPr>
            <w:tcW w:w="1809" w:type="dxa"/>
            <w:vMerge w:val="restart"/>
            <w:tcBorders>
              <w:top w:val="single" w:sz="4" w:space="0" w:color="auto"/>
              <w:left w:val="nil"/>
              <w:bottom w:val="single" w:sz="4" w:space="0" w:color="auto"/>
              <w:right w:val="nil"/>
            </w:tcBorders>
            <w:vAlign w:val="center"/>
          </w:tcPr>
          <w:p w14:paraId="1286BE8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Component</w:t>
            </w:r>
          </w:p>
        </w:tc>
        <w:tc>
          <w:tcPr>
            <w:tcW w:w="7761" w:type="dxa"/>
            <w:gridSpan w:val="5"/>
            <w:tcBorders>
              <w:top w:val="single" w:sz="4" w:space="0" w:color="auto"/>
              <w:left w:val="nil"/>
              <w:bottom w:val="single" w:sz="4" w:space="0" w:color="auto"/>
              <w:right w:val="nil"/>
            </w:tcBorders>
            <w:vAlign w:val="center"/>
          </w:tcPr>
          <w:p w14:paraId="56487B04"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Samples</w:t>
            </w:r>
          </w:p>
        </w:tc>
      </w:tr>
      <w:tr w:rsidR="00D95DBC" w:rsidRPr="00D95DBC" w14:paraId="5ED8E28A" w14:textId="77777777" w:rsidTr="00AB4AD8">
        <w:trPr>
          <w:trHeight w:val="20"/>
        </w:trPr>
        <w:tc>
          <w:tcPr>
            <w:tcW w:w="0" w:type="auto"/>
            <w:vMerge/>
            <w:tcBorders>
              <w:top w:val="single" w:sz="4" w:space="0" w:color="auto"/>
              <w:left w:val="nil"/>
              <w:bottom w:val="single" w:sz="4" w:space="0" w:color="auto"/>
              <w:right w:val="nil"/>
            </w:tcBorders>
            <w:vAlign w:val="center"/>
          </w:tcPr>
          <w:p w14:paraId="73CD340A" w14:textId="77777777" w:rsidR="00B374D9" w:rsidRPr="00D95DBC" w:rsidRDefault="00B374D9" w:rsidP="00B374D9">
            <w:pPr>
              <w:spacing w:line="240" w:lineRule="auto"/>
              <w:rPr>
                <w:color w:val="auto"/>
                <w:szCs w:val="24"/>
                <w:lang w:eastAsia="ru-RU"/>
              </w:rPr>
            </w:pPr>
          </w:p>
        </w:tc>
        <w:tc>
          <w:tcPr>
            <w:tcW w:w="1701" w:type="dxa"/>
            <w:tcBorders>
              <w:top w:val="single" w:sz="4" w:space="0" w:color="auto"/>
              <w:left w:val="nil"/>
              <w:bottom w:val="single" w:sz="4" w:space="0" w:color="auto"/>
              <w:right w:val="nil"/>
            </w:tcBorders>
            <w:vAlign w:val="center"/>
          </w:tcPr>
          <w:p w14:paraId="2252462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w:t>
            </w:r>
          </w:p>
        </w:tc>
        <w:tc>
          <w:tcPr>
            <w:tcW w:w="1560" w:type="dxa"/>
            <w:tcBorders>
              <w:top w:val="single" w:sz="4" w:space="0" w:color="auto"/>
              <w:left w:val="nil"/>
              <w:bottom w:val="single" w:sz="4" w:space="0" w:color="auto"/>
              <w:right w:val="nil"/>
            </w:tcBorders>
            <w:vAlign w:val="center"/>
          </w:tcPr>
          <w:p w14:paraId="495A8DB4"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2</w:t>
            </w:r>
          </w:p>
        </w:tc>
        <w:tc>
          <w:tcPr>
            <w:tcW w:w="1566" w:type="dxa"/>
            <w:tcBorders>
              <w:top w:val="single" w:sz="4" w:space="0" w:color="auto"/>
              <w:left w:val="nil"/>
              <w:bottom w:val="single" w:sz="4" w:space="0" w:color="auto"/>
              <w:right w:val="nil"/>
            </w:tcBorders>
            <w:vAlign w:val="center"/>
          </w:tcPr>
          <w:p w14:paraId="31FB011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3</w:t>
            </w:r>
          </w:p>
        </w:tc>
        <w:tc>
          <w:tcPr>
            <w:tcW w:w="1467" w:type="dxa"/>
            <w:tcBorders>
              <w:top w:val="single" w:sz="4" w:space="0" w:color="auto"/>
              <w:left w:val="nil"/>
              <w:bottom w:val="single" w:sz="4" w:space="0" w:color="auto"/>
              <w:right w:val="nil"/>
            </w:tcBorders>
            <w:vAlign w:val="center"/>
          </w:tcPr>
          <w:p w14:paraId="0564B86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4</w:t>
            </w:r>
          </w:p>
        </w:tc>
        <w:tc>
          <w:tcPr>
            <w:tcW w:w="1467" w:type="dxa"/>
            <w:tcBorders>
              <w:top w:val="single" w:sz="4" w:space="0" w:color="auto"/>
              <w:left w:val="nil"/>
              <w:bottom w:val="single" w:sz="4" w:space="0" w:color="auto"/>
              <w:right w:val="nil"/>
            </w:tcBorders>
            <w:vAlign w:val="center"/>
          </w:tcPr>
          <w:p w14:paraId="0402147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5</w:t>
            </w:r>
          </w:p>
        </w:tc>
      </w:tr>
      <w:tr w:rsidR="00D95DBC" w:rsidRPr="00D95DBC" w14:paraId="485C821F" w14:textId="77777777" w:rsidTr="00AB4AD8">
        <w:trPr>
          <w:trHeight w:val="20"/>
        </w:trPr>
        <w:tc>
          <w:tcPr>
            <w:tcW w:w="1809" w:type="dxa"/>
            <w:tcBorders>
              <w:top w:val="single" w:sz="4" w:space="0" w:color="auto"/>
              <w:left w:val="nil"/>
              <w:bottom w:val="nil"/>
              <w:right w:val="nil"/>
            </w:tcBorders>
          </w:tcPr>
          <w:p w14:paraId="4177ADE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SiO</w:t>
            </w:r>
            <w:r w:rsidRPr="00D95DBC">
              <w:rPr>
                <w:color w:val="auto"/>
                <w:szCs w:val="24"/>
                <w:vertAlign w:val="subscript"/>
                <w:lang w:eastAsia="ru-RU"/>
              </w:rPr>
              <w:t>2</w:t>
            </w:r>
          </w:p>
        </w:tc>
        <w:tc>
          <w:tcPr>
            <w:tcW w:w="1701" w:type="dxa"/>
            <w:tcBorders>
              <w:top w:val="single" w:sz="4" w:space="0" w:color="auto"/>
              <w:left w:val="nil"/>
              <w:bottom w:val="nil"/>
              <w:right w:val="nil"/>
            </w:tcBorders>
            <w:vAlign w:val="center"/>
          </w:tcPr>
          <w:p w14:paraId="2756AA9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75.4±3.8</w:t>
            </w:r>
          </w:p>
        </w:tc>
        <w:tc>
          <w:tcPr>
            <w:tcW w:w="1560" w:type="dxa"/>
            <w:tcBorders>
              <w:top w:val="single" w:sz="4" w:space="0" w:color="auto"/>
              <w:left w:val="nil"/>
              <w:bottom w:val="nil"/>
              <w:right w:val="nil"/>
            </w:tcBorders>
            <w:vAlign w:val="center"/>
          </w:tcPr>
          <w:p w14:paraId="42DA52F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76.2±3.8</w:t>
            </w:r>
          </w:p>
        </w:tc>
        <w:tc>
          <w:tcPr>
            <w:tcW w:w="1566" w:type="dxa"/>
            <w:tcBorders>
              <w:top w:val="single" w:sz="4" w:space="0" w:color="auto"/>
              <w:left w:val="nil"/>
              <w:bottom w:val="nil"/>
              <w:right w:val="nil"/>
            </w:tcBorders>
            <w:vAlign w:val="center"/>
          </w:tcPr>
          <w:p w14:paraId="4CAEBDB4"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77.0±3.9</w:t>
            </w:r>
          </w:p>
        </w:tc>
        <w:tc>
          <w:tcPr>
            <w:tcW w:w="1467" w:type="dxa"/>
            <w:tcBorders>
              <w:top w:val="single" w:sz="4" w:space="0" w:color="auto"/>
              <w:left w:val="nil"/>
              <w:bottom w:val="nil"/>
              <w:right w:val="nil"/>
            </w:tcBorders>
            <w:vAlign w:val="center"/>
          </w:tcPr>
          <w:p w14:paraId="66B07DA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75.8±3.8</w:t>
            </w:r>
          </w:p>
        </w:tc>
        <w:tc>
          <w:tcPr>
            <w:tcW w:w="1467" w:type="dxa"/>
            <w:tcBorders>
              <w:top w:val="single" w:sz="4" w:space="0" w:color="auto"/>
              <w:left w:val="nil"/>
              <w:bottom w:val="nil"/>
              <w:right w:val="nil"/>
            </w:tcBorders>
            <w:vAlign w:val="center"/>
          </w:tcPr>
          <w:p w14:paraId="1BD152A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76.5±3.8</w:t>
            </w:r>
          </w:p>
        </w:tc>
      </w:tr>
      <w:tr w:rsidR="00D95DBC" w:rsidRPr="00D95DBC" w14:paraId="6B273284" w14:textId="77777777" w:rsidTr="00AB4AD8">
        <w:trPr>
          <w:trHeight w:val="20"/>
        </w:trPr>
        <w:tc>
          <w:tcPr>
            <w:tcW w:w="1809" w:type="dxa"/>
          </w:tcPr>
          <w:p w14:paraId="1FF8B49B"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Al</w:t>
            </w:r>
            <w:r w:rsidRPr="00D95DBC">
              <w:rPr>
                <w:color w:val="auto"/>
                <w:szCs w:val="24"/>
                <w:vertAlign w:val="subscript"/>
                <w:lang w:eastAsia="ru-RU"/>
              </w:rPr>
              <w:t>2</w:t>
            </w:r>
            <w:r w:rsidRPr="00D95DBC">
              <w:rPr>
                <w:color w:val="auto"/>
                <w:szCs w:val="24"/>
                <w:lang w:eastAsia="ru-RU"/>
              </w:rPr>
              <w:t>O</w:t>
            </w:r>
            <w:r w:rsidRPr="00D95DBC">
              <w:rPr>
                <w:color w:val="auto"/>
                <w:szCs w:val="24"/>
                <w:vertAlign w:val="subscript"/>
                <w:lang w:eastAsia="ru-RU"/>
              </w:rPr>
              <w:t>3</w:t>
            </w:r>
          </w:p>
        </w:tc>
        <w:tc>
          <w:tcPr>
            <w:tcW w:w="1701" w:type="dxa"/>
            <w:vAlign w:val="center"/>
          </w:tcPr>
          <w:p w14:paraId="233573E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9.7±0.5</w:t>
            </w:r>
          </w:p>
        </w:tc>
        <w:tc>
          <w:tcPr>
            <w:tcW w:w="1560" w:type="dxa"/>
            <w:vAlign w:val="center"/>
          </w:tcPr>
          <w:p w14:paraId="54AB42D9"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10.1±0.5</w:t>
            </w:r>
          </w:p>
        </w:tc>
        <w:tc>
          <w:tcPr>
            <w:tcW w:w="1566" w:type="dxa"/>
            <w:vAlign w:val="center"/>
          </w:tcPr>
          <w:p w14:paraId="49305CF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9.5±0.5</w:t>
            </w:r>
          </w:p>
        </w:tc>
        <w:tc>
          <w:tcPr>
            <w:tcW w:w="1467" w:type="dxa"/>
            <w:vAlign w:val="center"/>
          </w:tcPr>
          <w:p w14:paraId="5F6A68C8"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10.0±0.5</w:t>
            </w:r>
          </w:p>
        </w:tc>
        <w:tc>
          <w:tcPr>
            <w:tcW w:w="1467" w:type="dxa"/>
            <w:vAlign w:val="center"/>
          </w:tcPr>
          <w:p w14:paraId="1042BBB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9.9±0.5</w:t>
            </w:r>
          </w:p>
        </w:tc>
      </w:tr>
      <w:tr w:rsidR="00D95DBC" w:rsidRPr="00D95DBC" w14:paraId="1A31BEBC" w14:textId="77777777" w:rsidTr="00AB4AD8">
        <w:trPr>
          <w:trHeight w:val="20"/>
        </w:trPr>
        <w:tc>
          <w:tcPr>
            <w:tcW w:w="1809" w:type="dxa"/>
          </w:tcPr>
          <w:p w14:paraId="59C9DB2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Fe</w:t>
            </w:r>
            <w:r w:rsidRPr="00D95DBC">
              <w:rPr>
                <w:color w:val="auto"/>
                <w:szCs w:val="24"/>
                <w:vertAlign w:val="subscript"/>
                <w:lang w:eastAsia="ru-RU"/>
              </w:rPr>
              <w:t>2</w:t>
            </w:r>
            <w:r w:rsidRPr="00D95DBC">
              <w:rPr>
                <w:color w:val="auto"/>
                <w:szCs w:val="24"/>
                <w:lang w:eastAsia="ru-RU"/>
              </w:rPr>
              <w:t>O</w:t>
            </w:r>
            <w:r w:rsidRPr="00D95DBC">
              <w:rPr>
                <w:color w:val="auto"/>
                <w:szCs w:val="24"/>
                <w:vertAlign w:val="subscript"/>
                <w:lang w:eastAsia="ru-RU"/>
              </w:rPr>
              <w:t>3</w:t>
            </w:r>
          </w:p>
        </w:tc>
        <w:tc>
          <w:tcPr>
            <w:tcW w:w="1701" w:type="dxa"/>
            <w:vAlign w:val="center"/>
          </w:tcPr>
          <w:p w14:paraId="2FE941E8"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8.7±0.4</w:t>
            </w:r>
          </w:p>
        </w:tc>
        <w:tc>
          <w:tcPr>
            <w:tcW w:w="1560" w:type="dxa"/>
            <w:vAlign w:val="center"/>
          </w:tcPr>
          <w:p w14:paraId="229239D9"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8.9±0.4</w:t>
            </w:r>
          </w:p>
        </w:tc>
        <w:tc>
          <w:tcPr>
            <w:tcW w:w="1566" w:type="dxa"/>
            <w:vAlign w:val="center"/>
          </w:tcPr>
          <w:p w14:paraId="5EC2082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8.6±0.4</w:t>
            </w:r>
          </w:p>
        </w:tc>
        <w:tc>
          <w:tcPr>
            <w:tcW w:w="1467" w:type="dxa"/>
            <w:vAlign w:val="center"/>
          </w:tcPr>
          <w:p w14:paraId="54BED31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8.8±0.4</w:t>
            </w:r>
          </w:p>
        </w:tc>
        <w:tc>
          <w:tcPr>
            <w:tcW w:w="1467" w:type="dxa"/>
            <w:vAlign w:val="center"/>
          </w:tcPr>
          <w:p w14:paraId="37B447C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8.5±0.4</w:t>
            </w:r>
          </w:p>
        </w:tc>
      </w:tr>
      <w:tr w:rsidR="00D95DBC" w:rsidRPr="00D95DBC" w14:paraId="0344F79F" w14:textId="77777777" w:rsidTr="00AB4AD8">
        <w:trPr>
          <w:trHeight w:val="20"/>
        </w:trPr>
        <w:tc>
          <w:tcPr>
            <w:tcW w:w="1809" w:type="dxa"/>
          </w:tcPr>
          <w:p w14:paraId="016F034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CaO</w:t>
            </w:r>
          </w:p>
        </w:tc>
        <w:tc>
          <w:tcPr>
            <w:tcW w:w="1701" w:type="dxa"/>
            <w:vAlign w:val="center"/>
          </w:tcPr>
          <w:p w14:paraId="1ADE3BA6"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0.92±0.05</w:t>
            </w:r>
          </w:p>
        </w:tc>
        <w:tc>
          <w:tcPr>
            <w:tcW w:w="1560" w:type="dxa"/>
            <w:vAlign w:val="center"/>
          </w:tcPr>
          <w:p w14:paraId="5AA31C4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0.89±0.04</w:t>
            </w:r>
          </w:p>
        </w:tc>
        <w:tc>
          <w:tcPr>
            <w:tcW w:w="1566" w:type="dxa"/>
            <w:vAlign w:val="center"/>
          </w:tcPr>
          <w:p w14:paraId="3E7FE3D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0.90±0.05</w:t>
            </w:r>
          </w:p>
        </w:tc>
        <w:tc>
          <w:tcPr>
            <w:tcW w:w="1467" w:type="dxa"/>
            <w:vAlign w:val="center"/>
          </w:tcPr>
          <w:p w14:paraId="4B5542D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0.91±0.05</w:t>
            </w:r>
          </w:p>
        </w:tc>
        <w:tc>
          <w:tcPr>
            <w:tcW w:w="1467" w:type="dxa"/>
            <w:vAlign w:val="center"/>
          </w:tcPr>
          <w:p w14:paraId="20F21CBB"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0.93±0.05</w:t>
            </w:r>
          </w:p>
        </w:tc>
      </w:tr>
      <w:tr w:rsidR="00D95DBC" w:rsidRPr="00D95DBC" w14:paraId="52180AD9" w14:textId="77777777" w:rsidTr="00AB4AD8">
        <w:trPr>
          <w:trHeight w:val="20"/>
        </w:trPr>
        <w:tc>
          <w:tcPr>
            <w:tcW w:w="1809" w:type="dxa"/>
          </w:tcPr>
          <w:p w14:paraId="07DC3F6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MgO</w:t>
            </w:r>
          </w:p>
        </w:tc>
        <w:tc>
          <w:tcPr>
            <w:tcW w:w="1701" w:type="dxa"/>
            <w:vAlign w:val="center"/>
          </w:tcPr>
          <w:p w14:paraId="2778B4C0"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1.45±0.07</w:t>
            </w:r>
          </w:p>
        </w:tc>
        <w:tc>
          <w:tcPr>
            <w:tcW w:w="1560" w:type="dxa"/>
            <w:vAlign w:val="center"/>
          </w:tcPr>
          <w:p w14:paraId="5CBAF6E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1.42±0.07</w:t>
            </w:r>
          </w:p>
        </w:tc>
        <w:tc>
          <w:tcPr>
            <w:tcW w:w="1566" w:type="dxa"/>
            <w:vAlign w:val="center"/>
          </w:tcPr>
          <w:p w14:paraId="0B9F636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1.41±0.07</w:t>
            </w:r>
          </w:p>
        </w:tc>
        <w:tc>
          <w:tcPr>
            <w:tcW w:w="1467" w:type="dxa"/>
            <w:vAlign w:val="center"/>
          </w:tcPr>
          <w:p w14:paraId="7CB5809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1.40±0.07</w:t>
            </w:r>
          </w:p>
        </w:tc>
        <w:tc>
          <w:tcPr>
            <w:tcW w:w="1467" w:type="dxa"/>
            <w:vAlign w:val="center"/>
          </w:tcPr>
          <w:p w14:paraId="5A14268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1.38±0.07</w:t>
            </w:r>
          </w:p>
        </w:tc>
      </w:tr>
      <w:tr w:rsidR="00D95DBC" w:rsidRPr="00D95DBC" w14:paraId="7B538592" w14:textId="77777777" w:rsidTr="00AB4AD8">
        <w:trPr>
          <w:trHeight w:val="20"/>
        </w:trPr>
        <w:tc>
          <w:tcPr>
            <w:tcW w:w="1809" w:type="dxa"/>
          </w:tcPr>
          <w:p w14:paraId="7F650AE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MnO</w:t>
            </w:r>
          </w:p>
        </w:tc>
        <w:tc>
          <w:tcPr>
            <w:tcW w:w="1701" w:type="dxa"/>
            <w:vAlign w:val="center"/>
          </w:tcPr>
          <w:p w14:paraId="62616670"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0.030±0.002</w:t>
            </w:r>
          </w:p>
        </w:tc>
        <w:tc>
          <w:tcPr>
            <w:tcW w:w="1560" w:type="dxa"/>
            <w:vAlign w:val="center"/>
          </w:tcPr>
          <w:p w14:paraId="4DA3BB04"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0.028±0.001</w:t>
            </w:r>
          </w:p>
        </w:tc>
        <w:tc>
          <w:tcPr>
            <w:tcW w:w="1566" w:type="dxa"/>
            <w:vAlign w:val="center"/>
          </w:tcPr>
          <w:p w14:paraId="1D4A6A9D"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0.032±0.001</w:t>
            </w:r>
          </w:p>
        </w:tc>
        <w:tc>
          <w:tcPr>
            <w:tcW w:w="1467" w:type="dxa"/>
            <w:vAlign w:val="center"/>
          </w:tcPr>
          <w:p w14:paraId="4AE8BA90"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0.031±0.001</w:t>
            </w:r>
          </w:p>
        </w:tc>
        <w:tc>
          <w:tcPr>
            <w:tcW w:w="1467" w:type="dxa"/>
            <w:vAlign w:val="center"/>
          </w:tcPr>
          <w:p w14:paraId="5D4A029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0.030±0.001</w:t>
            </w:r>
          </w:p>
        </w:tc>
      </w:tr>
      <w:tr w:rsidR="00D95DBC" w:rsidRPr="00D95DBC" w14:paraId="050AEA2C" w14:textId="77777777" w:rsidTr="00AB4AD8">
        <w:trPr>
          <w:trHeight w:val="20"/>
        </w:trPr>
        <w:tc>
          <w:tcPr>
            <w:tcW w:w="1809" w:type="dxa"/>
          </w:tcPr>
          <w:p w14:paraId="4E381CE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Na</w:t>
            </w:r>
            <w:r w:rsidRPr="00D95DBC">
              <w:rPr>
                <w:color w:val="auto"/>
                <w:szCs w:val="24"/>
                <w:vertAlign w:val="subscript"/>
                <w:lang w:eastAsia="ru-RU"/>
              </w:rPr>
              <w:t>2</w:t>
            </w:r>
            <w:r w:rsidRPr="00D95DBC">
              <w:rPr>
                <w:color w:val="auto"/>
                <w:szCs w:val="24"/>
                <w:lang w:eastAsia="ru-RU"/>
              </w:rPr>
              <w:t>O</w:t>
            </w:r>
          </w:p>
        </w:tc>
        <w:tc>
          <w:tcPr>
            <w:tcW w:w="1701" w:type="dxa"/>
            <w:vAlign w:val="center"/>
          </w:tcPr>
          <w:p w14:paraId="59B90B34"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0.25±0.01</w:t>
            </w:r>
          </w:p>
        </w:tc>
        <w:tc>
          <w:tcPr>
            <w:tcW w:w="1560" w:type="dxa"/>
            <w:vAlign w:val="center"/>
          </w:tcPr>
          <w:p w14:paraId="2AEFA27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0.25±0.01</w:t>
            </w:r>
          </w:p>
        </w:tc>
        <w:tc>
          <w:tcPr>
            <w:tcW w:w="1566" w:type="dxa"/>
            <w:vAlign w:val="center"/>
          </w:tcPr>
          <w:p w14:paraId="463830C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0.24±0.01</w:t>
            </w:r>
          </w:p>
        </w:tc>
        <w:tc>
          <w:tcPr>
            <w:tcW w:w="1467" w:type="dxa"/>
            <w:vAlign w:val="center"/>
          </w:tcPr>
          <w:p w14:paraId="74B5218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0.26±0.01</w:t>
            </w:r>
          </w:p>
        </w:tc>
        <w:tc>
          <w:tcPr>
            <w:tcW w:w="1467" w:type="dxa"/>
            <w:vAlign w:val="center"/>
          </w:tcPr>
          <w:p w14:paraId="63D532CE"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0.25±0.01</w:t>
            </w:r>
          </w:p>
        </w:tc>
      </w:tr>
      <w:tr w:rsidR="00D95DBC" w:rsidRPr="00D95DBC" w14:paraId="7D67B4E7" w14:textId="77777777" w:rsidTr="00AB4AD8">
        <w:trPr>
          <w:trHeight w:val="20"/>
        </w:trPr>
        <w:tc>
          <w:tcPr>
            <w:tcW w:w="1809" w:type="dxa"/>
          </w:tcPr>
          <w:p w14:paraId="0EC64B9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S</w:t>
            </w:r>
          </w:p>
        </w:tc>
        <w:tc>
          <w:tcPr>
            <w:tcW w:w="1701" w:type="dxa"/>
            <w:vAlign w:val="center"/>
          </w:tcPr>
          <w:p w14:paraId="684E9CC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0.41±0.02</w:t>
            </w:r>
          </w:p>
        </w:tc>
        <w:tc>
          <w:tcPr>
            <w:tcW w:w="1560" w:type="dxa"/>
            <w:vAlign w:val="center"/>
          </w:tcPr>
          <w:p w14:paraId="2AE1254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0.39±0.02</w:t>
            </w:r>
          </w:p>
        </w:tc>
        <w:tc>
          <w:tcPr>
            <w:tcW w:w="1566" w:type="dxa"/>
            <w:vAlign w:val="center"/>
          </w:tcPr>
          <w:p w14:paraId="1A5F19D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0.40±0.02</w:t>
            </w:r>
          </w:p>
        </w:tc>
        <w:tc>
          <w:tcPr>
            <w:tcW w:w="1467" w:type="dxa"/>
            <w:vAlign w:val="center"/>
          </w:tcPr>
          <w:p w14:paraId="4D6EFDC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0.42±0.02</w:t>
            </w:r>
          </w:p>
        </w:tc>
        <w:tc>
          <w:tcPr>
            <w:tcW w:w="1467" w:type="dxa"/>
            <w:vAlign w:val="center"/>
          </w:tcPr>
          <w:p w14:paraId="360BCA96"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0.38±0.02</w:t>
            </w:r>
          </w:p>
        </w:tc>
      </w:tr>
      <w:tr w:rsidR="00D95DBC" w:rsidRPr="00D95DBC" w14:paraId="2272CAC0" w14:textId="77777777" w:rsidTr="00AB4AD8">
        <w:trPr>
          <w:trHeight w:val="20"/>
        </w:trPr>
        <w:tc>
          <w:tcPr>
            <w:tcW w:w="1809" w:type="dxa"/>
          </w:tcPr>
          <w:p w14:paraId="0E940F0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TiO</w:t>
            </w:r>
            <w:r w:rsidRPr="00D95DBC">
              <w:rPr>
                <w:color w:val="auto"/>
                <w:szCs w:val="24"/>
                <w:vertAlign w:val="subscript"/>
                <w:lang w:eastAsia="ru-RU"/>
              </w:rPr>
              <w:t>2</w:t>
            </w:r>
          </w:p>
        </w:tc>
        <w:tc>
          <w:tcPr>
            <w:tcW w:w="1701" w:type="dxa"/>
            <w:vAlign w:val="center"/>
          </w:tcPr>
          <w:p w14:paraId="61109AC3"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0.93±0.05</w:t>
            </w:r>
          </w:p>
        </w:tc>
        <w:tc>
          <w:tcPr>
            <w:tcW w:w="1560" w:type="dxa"/>
            <w:vAlign w:val="center"/>
          </w:tcPr>
          <w:p w14:paraId="550E1F47"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0.90±0.05</w:t>
            </w:r>
          </w:p>
        </w:tc>
        <w:tc>
          <w:tcPr>
            <w:tcW w:w="1566" w:type="dxa"/>
            <w:vAlign w:val="center"/>
          </w:tcPr>
          <w:p w14:paraId="19D2CAFA"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0.91±0.05</w:t>
            </w:r>
          </w:p>
        </w:tc>
        <w:tc>
          <w:tcPr>
            <w:tcW w:w="1467" w:type="dxa"/>
            <w:vAlign w:val="center"/>
          </w:tcPr>
          <w:p w14:paraId="46C186AD"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0.88±0.05</w:t>
            </w:r>
          </w:p>
        </w:tc>
        <w:tc>
          <w:tcPr>
            <w:tcW w:w="1467" w:type="dxa"/>
            <w:vAlign w:val="center"/>
          </w:tcPr>
          <w:p w14:paraId="09587AFC"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0.87±0.04</w:t>
            </w:r>
          </w:p>
        </w:tc>
      </w:tr>
      <w:tr w:rsidR="00D95DBC" w:rsidRPr="00D95DBC" w14:paraId="2D58E1EA" w14:textId="77777777" w:rsidTr="00AB4AD8">
        <w:trPr>
          <w:trHeight w:val="20"/>
        </w:trPr>
        <w:tc>
          <w:tcPr>
            <w:tcW w:w="1809" w:type="dxa"/>
            <w:tcBorders>
              <w:top w:val="nil"/>
              <w:left w:val="nil"/>
              <w:bottom w:val="single" w:sz="4" w:space="0" w:color="auto"/>
              <w:right w:val="nil"/>
            </w:tcBorders>
          </w:tcPr>
          <w:p w14:paraId="28D8D9E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Ag</w:t>
            </w:r>
          </w:p>
        </w:tc>
        <w:tc>
          <w:tcPr>
            <w:tcW w:w="1701" w:type="dxa"/>
            <w:tcBorders>
              <w:top w:val="nil"/>
              <w:left w:val="nil"/>
              <w:bottom w:val="single" w:sz="4" w:space="0" w:color="auto"/>
              <w:right w:val="nil"/>
            </w:tcBorders>
            <w:vAlign w:val="center"/>
          </w:tcPr>
          <w:p w14:paraId="222B5412"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0.23±0.01</w:t>
            </w:r>
          </w:p>
        </w:tc>
        <w:tc>
          <w:tcPr>
            <w:tcW w:w="1560" w:type="dxa"/>
            <w:tcBorders>
              <w:top w:val="nil"/>
              <w:left w:val="nil"/>
              <w:bottom w:val="single" w:sz="4" w:space="0" w:color="auto"/>
              <w:right w:val="nil"/>
            </w:tcBorders>
            <w:vAlign w:val="center"/>
          </w:tcPr>
          <w:p w14:paraId="73450D6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0.22±0.01</w:t>
            </w:r>
          </w:p>
        </w:tc>
        <w:tc>
          <w:tcPr>
            <w:tcW w:w="1566" w:type="dxa"/>
            <w:tcBorders>
              <w:top w:val="nil"/>
              <w:left w:val="nil"/>
              <w:bottom w:val="single" w:sz="4" w:space="0" w:color="auto"/>
              <w:right w:val="nil"/>
            </w:tcBorders>
            <w:vAlign w:val="center"/>
          </w:tcPr>
          <w:p w14:paraId="3B1F3015"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0.23±0.01</w:t>
            </w:r>
          </w:p>
        </w:tc>
        <w:tc>
          <w:tcPr>
            <w:tcW w:w="1467" w:type="dxa"/>
            <w:tcBorders>
              <w:top w:val="nil"/>
              <w:left w:val="nil"/>
              <w:bottom w:val="single" w:sz="4" w:space="0" w:color="auto"/>
              <w:right w:val="nil"/>
            </w:tcBorders>
            <w:vAlign w:val="center"/>
          </w:tcPr>
          <w:p w14:paraId="36847A8F"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0.22±0.01</w:t>
            </w:r>
          </w:p>
        </w:tc>
        <w:tc>
          <w:tcPr>
            <w:tcW w:w="1467" w:type="dxa"/>
            <w:tcBorders>
              <w:top w:val="nil"/>
              <w:left w:val="nil"/>
              <w:bottom w:val="single" w:sz="4" w:space="0" w:color="auto"/>
              <w:right w:val="nil"/>
            </w:tcBorders>
            <w:vAlign w:val="center"/>
          </w:tcPr>
          <w:p w14:paraId="135E8D21" w14:textId="77777777" w:rsidR="00B374D9" w:rsidRPr="00D95DBC" w:rsidRDefault="00B374D9" w:rsidP="00B374D9">
            <w:pPr>
              <w:spacing w:line="240" w:lineRule="auto"/>
              <w:jc w:val="center"/>
              <w:rPr>
                <w:color w:val="auto"/>
                <w:szCs w:val="24"/>
                <w:lang w:eastAsia="ru-RU"/>
              </w:rPr>
            </w:pPr>
            <w:r w:rsidRPr="00D95DBC">
              <w:rPr>
                <w:color w:val="auto"/>
                <w:szCs w:val="24"/>
                <w:lang w:eastAsia="ru-RU"/>
              </w:rPr>
              <w:t>0.21±0.01</w:t>
            </w:r>
          </w:p>
        </w:tc>
      </w:tr>
    </w:tbl>
    <w:p w14:paraId="45DF86F4" w14:textId="77777777" w:rsidR="00B374D9" w:rsidRPr="00D95DBC" w:rsidRDefault="00B374D9" w:rsidP="00B374D9">
      <w:pPr>
        <w:spacing w:line="240" w:lineRule="auto"/>
        <w:rPr>
          <w:color w:val="auto"/>
          <w:szCs w:val="24"/>
        </w:rPr>
      </w:pPr>
      <w:r w:rsidRPr="00D95DBC">
        <w:rPr>
          <w:color w:val="auto"/>
          <w:szCs w:val="24"/>
        </w:rPr>
        <w:t>The data are expressed as mean ± standard deviation (</w:t>
      </w:r>
      <w:r w:rsidRPr="00D95DBC">
        <w:rPr>
          <w:rStyle w:val="aff0"/>
          <w:color w:val="auto"/>
          <w:szCs w:val="24"/>
        </w:rPr>
        <w:t xml:space="preserve">n </w:t>
      </w:r>
      <w:r w:rsidRPr="00D95DBC">
        <w:rPr>
          <w:color w:val="auto"/>
          <w:szCs w:val="24"/>
        </w:rPr>
        <w:t>= 3).</w:t>
      </w:r>
    </w:p>
    <w:p w14:paraId="2B491A48" w14:textId="77777777" w:rsidR="00B374D9" w:rsidRPr="00D95DBC" w:rsidRDefault="00B374D9" w:rsidP="00B374D9">
      <w:pPr>
        <w:spacing w:line="360" w:lineRule="auto"/>
        <w:rPr>
          <w:color w:val="auto"/>
          <w:szCs w:val="24"/>
        </w:rPr>
      </w:pPr>
    </w:p>
    <w:p w14:paraId="2E81F541" w14:textId="77777777" w:rsidR="00B374D9" w:rsidRPr="00D95DBC" w:rsidRDefault="00B374D9" w:rsidP="00B374D9">
      <w:pPr>
        <w:spacing w:line="240" w:lineRule="auto"/>
        <w:rPr>
          <w:color w:val="auto"/>
          <w:szCs w:val="24"/>
        </w:rPr>
      </w:pPr>
      <w:r w:rsidRPr="00D95DBC">
        <w:rPr>
          <w:b/>
          <w:color w:val="auto"/>
          <w:szCs w:val="24"/>
        </w:rPr>
        <w:t xml:space="preserve">Table 3: </w:t>
      </w:r>
      <w:r w:rsidRPr="00D95DBC">
        <w:rPr>
          <w:color w:val="auto"/>
          <w:szCs w:val="24"/>
        </w:rPr>
        <w:t>Results of determining the surface area and sorption capacity of sorption-catalytic materials</w:t>
      </w:r>
    </w:p>
    <w:tbl>
      <w:tblPr>
        <w:tblStyle w:val="6"/>
        <w:tblW w:w="9015" w:type="dxa"/>
        <w:tblLook w:val="04A0" w:firstRow="1" w:lastRow="0" w:firstColumn="1" w:lastColumn="0" w:noHBand="0" w:noVBand="1"/>
      </w:tblPr>
      <w:tblGrid>
        <w:gridCol w:w="1423"/>
        <w:gridCol w:w="1493"/>
        <w:gridCol w:w="2134"/>
        <w:gridCol w:w="1766"/>
        <w:gridCol w:w="2199"/>
      </w:tblGrid>
      <w:tr w:rsidR="00D95DBC" w:rsidRPr="00D95DBC" w14:paraId="463238A1" w14:textId="77777777" w:rsidTr="00AB4AD8">
        <w:tc>
          <w:tcPr>
            <w:tcW w:w="1527" w:type="dxa"/>
            <w:vMerge w:val="restart"/>
            <w:tcBorders>
              <w:top w:val="single" w:sz="4" w:space="0" w:color="auto"/>
              <w:left w:val="nil"/>
              <w:bottom w:val="nil"/>
              <w:right w:val="nil"/>
            </w:tcBorders>
            <w:vAlign w:val="center"/>
          </w:tcPr>
          <w:p w14:paraId="4AAA81D3"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Sample material</w:t>
            </w:r>
          </w:p>
        </w:tc>
        <w:tc>
          <w:tcPr>
            <w:tcW w:w="3878" w:type="dxa"/>
            <w:gridSpan w:val="2"/>
            <w:tcBorders>
              <w:top w:val="single" w:sz="4" w:space="0" w:color="auto"/>
              <w:left w:val="nil"/>
              <w:bottom w:val="single" w:sz="4" w:space="0" w:color="auto"/>
              <w:right w:val="nil"/>
            </w:tcBorders>
          </w:tcPr>
          <w:p w14:paraId="0A4352DF"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Surface area (m</w:t>
            </w:r>
            <w:r w:rsidRPr="00D95DBC">
              <w:rPr>
                <w:color w:val="auto"/>
                <w:szCs w:val="24"/>
                <w:vertAlign w:val="superscript"/>
                <w:lang w:eastAsia="ru-RU"/>
              </w:rPr>
              <w:t>2</w:t>
            </w:r>
            <w:r w:rsidRPr="00D95DBC">
              <w:rPr>
                <w:color w:val="auto"/>
                <w:szCs w:val="24"/>
                <w:lang w:eastAsia="ru-RU"/>
              </w:rPr>
              <w:t>/g)</w:t>
            </w:r>
          </w:p>
        </w:tc>
        <w:tc>
          <w:tcPr>
            <w:tcW w:w="4449" w:type="dxa"/>
            <w:gridSpan w:val="2"/>
            <w:tcBorders>
              <w:top w:val="single" w:sz="4" w:space="0" w:color="auto"/>
              <w:left w:val="nil"/>
              <w:bottom w:val="single" w:sz="4" w:space="0" w:color="auto"/>
              <w:right w:val="nil"/>
            </w:tcBorders>
          </w:tcPr>
          <w:p w14:paraId="53CEF8F9"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Sorption capacity (mg/g)</w:t>
            </w:r>
          </w:p>
        </w:tc>
      </w:tr>
      <w:tr w:rsidR="00D95DBC" w:rsidRPr="00D95DBC" w14:paraId="46E6D7A2" w14:textId="77777777" w:rsidTr="00AB4AD8">
        <w:tc>
          <w:tcPr>
            <w:tcW w:w="0" w:type="auto"/>
            <w:vMerge/>
            <w:tcBorders>
              <w:top w:val="single" w:sz="4" w:space="0" w:color="auto"/>
              <w:left w:val="nil"/>
              <w:bottom w:val="nil"/>
              <w:right w:val="nil"/>
            </w:tcBorders>
            <w:vAlign w:val="center"/>
          </w:tcPr>
          <w:p w14:paraId="0FB35FF8" w14:textId="77777777" w:rsidR="00B374D9" w:rsidRPr="00D95DBC" w:rsidRDefault="00B374D9" w:rsidP="00AB4AD8">
            <w:pPr>
              <w:spacing w:line="240" w:lineRule="auto"/>
              <w:rPr>
                <w:color w:val="auto"/>
                <w:szCs w:val="24"/>
                <w:lang w:eastAsia="ru-RU"/>
              </w:rPr>
            </w:pPr>
          </w:p>
        </w:tc>
        <w:tc>
          <w:tcPr>
            <w:tcW w:w="1539" w:type="dxa"/>
            <w:tcBorders>
              <w:top w:val="single" w:sz="4" w:space="0" w:color="auto"/>
              <w:left w:val="nil"/>
              <w:bottom w:val="nil"/>
              <w:right w:val="nil"/>
            </w:tcBorders>
            <w:vAlign w:val="center"/>
          </w:tcPr>
          <w:p w14:paraId="6F755AA6"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I</w:t>
            </w:r>
          </w:p>
        </w:tc>
        <w:tc>
          <w:tcPr>
            <w:tcW w:w="2339" w:type="dxa"/>
            <w:tcBorders>
              <w:top w:val="single" w:sz="4" w:space="0" w:color="auto"/>
              <w:left w:val="nil"/>
              <w:bottom w:val="nil"/>
              <w:right w:val="nil"/>
            </w:tcBorders>
            <w:vAlign w:val="center"/>
          </w:tcPr>
          <w:p w14:paraId="04237CEE"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II</w:t>
            </w:r>
          </w:p>
        </w:tc>
        <w:tc>
          <w:tcPr>
            <w:tcW w:w="1969" w:type="dxa"/>
            <w:tcBorders>
              <w:top w:val="single" w:sz="4" w:space="0" w:color="auto"/>
              <w:left w:val="nil"/>
              <w:bottom w:val="nil"/>
              <w:right w:val="nil"/>
            </w:tcBorders>
            <w:vAlign w:val="center"/>
          </w:tcPr>
          <w:p w14:paraId="607C7C38"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I</w:t>
            </w:r>
          </w:p>
        </w:tc>
        <w:tc>
          <w:tcPr>
            <w:tcW w:w="2480" w:type="dxa"/>
            <w:tcBorders>
              <w:top w:val="single" w:sz="4" w:space="0" w:color="auto"/>
              <w:left w:val="nil"/>
              <w:bottom w:val="nil"/>
              <w:right w:val="nil"/>
            </w:tcBorders>
            <w:vAlign w:val="center"/>
          </w:tcPr>
          <w:p w14:paraId="22B64E4E"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II</w:t>
            </w:r>
          </w:p>
        </w:tc>
      </w:tr>
      <w:tr w:rsidR="00D95DBC" w:rsidRPr="00D95DBC" w14:paraId="0F33CA48" w14:textId="77777777" w:rsidTr="00AB4AD8">
        <w:tc>
          <w:tcPr>
            <w:tcW w:w="1527" w:type="dxa"/>
            <w:tcBorders>
              <w:top w:val="single" w:sz="4" w:space="0" w:color="auto"/>
              <w:left w:val="nil"/>
              <w:bottom w:val="nil"/>
              <w:right w:val="nil"/>
            </w:tcBorders>
            <w:vAlign w:val="center"/>
          </w:tcPr>
          <w:p w14:paraId="20EB3EC4"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w:t>
            </w:r>
          </w:p>
        </w:tc>
        <w:tc>
          <w:tcPr>
            <w:tcW w:w="1539" w:type="dxa"/>
            <w:tcBorders>
              <w:top w:val="single" w:sz="4" w:space="0" w:color="auto"/>
              <w:left w:val="nil"/>
              <w:bottom w:val="nil"/>
              <w:right w:val="nil"/>
            </w:tcBorders>
          </w:tcPr>
          <w:p w14:paraId="7BD3A1AB"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527.5±26.4</w:t>
            </w:r>
          </w:p>
        </w:tc>
        <w:tc>
          <w:tcPr>
            <w:tcW w:w="2339" w:type="dxa"/>
            <w:tcBorders>
              <w:top w:val="single" w:sz="4" w:space="0" w:color="auto"/>
              <w:left w:val="nil"/>
              <w:bottom w:val="nil"/>
              <w:right w:val="nil"/>
            </w:tcBorders>
            <w:vAlign w:val="center"/>
          </w:tcPr>
          <w:p w14:paraId="00EE0D5E"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645.6±32.3</w:t>
            </w:r>
          </w:p>
        </w:tc>
        <w:tc>
          <w:tcPr>
            <w:tcW w:w="1969" w:type="dxa"/>
            <w:tcBorders>
              <w:top w:val="single" w:sz="4" w:space="0" w:color="auto"/>
              <w:left w:val="nil"/>
              <w:bottom w:val="nil"/>
              <w:right w:val="nil"/>
            </w:tcBorders>
          </w:tcPr>
          <w:p w14:paraId="47838685"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4.8±0.2</w:t>
            </w:r>
          </w:p>
        </w:tc>
        <w:tc>
          <w:tcPr>
            <w:tcW w:w="2480" w:type="dxa"/>
            <w:tcBorders>
              <w:top w:val="single" w:sz="4" w:space="0" w:color="auto"/>
              <w:left w:val="nil"/>
              <w:bottom w:val="nil"/>
              <w:right w:val="nil"/>
            </w:tcBorders>
            <w:vAlign w:val="center"/>
          </w:tcPr>
          <w:p w14:paraId="1BCC7F13"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7.7±0.4</w:t>
            </w:r>
          </w:p>
        </w:tc>
      </w:tr>
      <w:tr w:rsidR="00D95DBC" w:rsidRPr="00D95DBC" w14:paraId="29DC702C" w14:textId="77777777" w:rsidTr="00AB4AD8">
        <w:tc>
          <w:tcPr>
            <w:tcW w:w="1527" w:type="dxa"/>
            <w:vAlign w:val="center"/>
          </w:tcPr>
          <w:p w14:paraId="50E3DF7B"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2</w:t>
            </w:r>
          </w:p>
        </w:tc>
        <w:tc>
          <w:tcPr>
            <w:tcW w:w="1539" w:type="dxa"/>
          </w:tcPr>
          <w:p w14:paraId="51015BC8"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562.0±28.1</w:t>
            </w:r>
          </w:p>
        </w:tc>
        <w:tc>
          <w:tcPr>
            <w:tcW w:w="2339" w:type="dxa"/>
            <w:vAlign w:val="center"/>
          </w:tcPr>
          <w:p w14:paraId="3C2AE94A"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657.8±32.9</w:t>
            </w:r>
          </w:p>
        </w:tc>
        <w:tc>
          <w:tcPr>
            <w:tcW w:w="1969" w:type="dxa"/>
          </w:tcPr>
          <w:p w14:paraId="5544895C"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5.6±0.3</w:t>
            </w:r>
          </w:p>
        </w:tc>
        <w:tc>
          <w:tcPr>
            <w:tcW w:w="2480" w:type="dxa"/>
            <w:vAlign w:val="center"/>
          </w:tcPr>
          <w:p w14:paraId="41566138"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8.8±0.4</w:t>
            </w:r>
          </w:p>
        </w:tc>
      </w:tr>
      <w:tr w:rsidR="00D95DBC" w:rsidRPr="00D95DBC" w14:paraId="1B385306" w14:textId="77777777" w:rsidTr="00AB4AD8">
        <w:tc>
          <w:tcPr>
            <w:tcW w:w="1527" w:type="dxa"/>
            <w:vAlign w:val="center"/>
          </w:tcPr>
          <w:p w14:paraId="08C7FEC3"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3</w:t>
            </w:r>
          </w:p>
        </w:tc>
        <w:tc>
          <w:tcPr>
            <w:tcW w:w="1539" w:type="dxa"/>
          </w:tcPr>
          <w:p w14:paraId="7B8529D8"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533.1±26.7</w:t>
            </w:r>
          </w:p>
        </w:tc>
        <w:tc>
          <w:tcPr>
            <w:tcW w:w="2339" w:type="dxa"/>
            <w:vAlign w:val="center"/>
          </w:tcPr>
          <w:p w14:paraId="3EA34DB6"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564.9±28.2</w:t>
            </w:r>
          </w:p>
        </w:tc>
        <w:tc>
          <w:tcPr>
            <w:tcW w:w="1969" w:type="dxa"/>
          </w:tcPr>
          <w:p w14:paraId="19E91DE7"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5.3±0.3</w:t>
            </w:r>
          </w:p>
        </w:tc>
        <w:tc>
          <w:tcPr>
            <w:tcW w:w="2480" w:type="dxa"/>
            <w:vAlign w:val="center"/>
          </w:tcPr>
          <w:p w14:paraId="1F2CF824"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9.5±0.5</w:t>
            </w:r>
          </w:p>
        </w:tc>
      </w:tr>
      <w:tr w:rsidR="00D95DBC" w:rsidRPr="00D95DBC" w14:paraId="06D26D2B" w14:textId="77777777" w:rsidTr="00AB4AD8">
        <w:tc>
          <w:tcPr>
            <w:tcW w:w="1527" w:type="dxa"/>
            <w:vAlign w:val="center"/>
          </w:tcPr>
          <w:p w14:paraId="5AD5CDC4"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4</w:t>
            </w:r>
          </w:p>
        </w:tc>
        <w:tc>
          <w:tcPr>
            <w:tcW w:w="1539" w:type="dxa"/>
          </w:tcPr>
          <w:p w14:paraId="5743C812"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547.2±27.4</w:t>
            </w:r>
          </w:p>
        </w:tc>
        <w:tc>
          <w:tcPr>
            <w:tcW w:w="2339" w:type="dxa"/>
            <w:vAlign w:val="center"/>
          </w:tcPr>
          <w:p w14:paraId="5E5F3BA5"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572.3±28.6</w:t>
            </w:r>
          </w:p>
        </w:tc>
        <w:tc>
          <w:tcPr>
            <w:tcW w:w="1969" w:type="dxa"/>
          </w:tcPr>
          <w:p w14:paraId="0680125F"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5.8±0.3</w:t>
            </w:r>
          </w:p>
        </w:tc>
        <w:tc>
          <w:tcPr>
            <w:tcW w:w="2480" w:type="dxa"/>
            <w:vAlign w:val="center"/>
          </w:tcPr>
          <w:p w14:paraId="7A4D696D"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10.3±0.5</w:t>
            </w:r>
          </w:p>
        </w:tc>
      </w:tr>
      <w:tr w:rsidR="00D95DBC" w:rsidRPr="00D95DBC" w14:paraId="4A4E3D0F" w14:textId="77777777" w:rsidTr="00AB4AD8">
        <w:tc>
          <w:tcPr>
            <w:tcW w:w="1527" w:type="dxa"/>
            <w:tcBorders>
              <w:top w:val="nil"/>
              <w:left w:val="nil"/>
              <w:bottom w:val="single" w:sz="4" w:space="0" w:color="auto"/>
              <w:right w:val="nil"/>
            </w:tcBorders>
            <w:vAlign w:val="center"/>
          </w:tcPr>
          <w:p w14:paraId="51B2B3C2"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w:t>
            </w:r>
          </w:p>
        </w:tc>
        <w:tc>
          <w:tcPr>
            <w:tcW w:w="1539" w:type="dxa"/>
            <w:tcBorders>
              <w:top w:val="nil"/>
              <w:left w:val="nil"/>
              <w:bottom w:val="single" w:sz="4" w:space="0" w:color="auto"/>
              <w:right w:val="nil"/>
            </w:tcBorders>
          </w:tcPr>
          <w:p w14:paraId="4FA6E89A"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537.0±26.9</w:t>
            </w:r>
          </w:p>
        </w:tc>
        <w:tc>
          <w:tcPr>
            <w:tcW w:w="2339" w:type="dxa"/>
            <w:tcBorders>
              <w:top w:val="nil"/>
              <w:left w:val="nil"/>
              <w:bottom w:val="single" w:sz="4" w:space="0" w:color="auto"/>
              <w:right w:val="nil"/>
            </w:tcBorders>
            <w:vAlign w:val="center"/>
          </w:tcPr>
          <w:p w14:paraId="51362E97"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568.9±28.4</w:t>
            </w:r>
          </w:p>
        </w:tc>
        <w:tc>
          <w:tcPr>
            <w:tcW w:w="1969" w:type="dxa"/>
            <w:tcBorders>
              <w:top w:val="nil"/>
              <w:left w:val="nil"/>
              <w:bottom w:val="single" w:sz="4" w:space="0" w:color="auto"/>
              <w:right w:val="nil"/>
            </w:tcBorders>
          </w:tcPr>
          <w:p w14:paraId="26A63E1C"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5.5±0.3</w:t>
            </w:r>
          </w:p>
        </w:tc>
        <w:tc>
          <w:tcPr>
            <w:tcW w:w="2480" w:type="dxa"/>
            <w:tcBorders>
              <w:top w:val="nil"/>
              <w:left w:val="nil"/>
              <w:bottom w:val="single" w:sz="4" w:space="0" w:color="auto"/>
              <w:right w:val="nil"/>
            </w:tcBorders>
            <w:vAlign w:val="center"/>
          </w:tcPr>
          <w:p w14:paraId="52A97730"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9.9±0.5</w:t>
            </w:r>
          </w:p>
        </w:tc>
      </w:tr>
    </w:tbl>
    <w:p w14:paraId="3689535F" w14:textId="77777777" w:rsidR="00B374D9" w:rsidRPr="00D95DBC" w:rsidRDefault="00B374D9" w:rsidP="00B374D9">
      <w:pPr>
        <w:spacing w:line="240" w:lineRule="auto"/>
        <w:rPr>
          <w:color w:val="auto"/>
          <w:szCs w:val="24"/>
        </w:rPr>
      </w:pPr>
      <w:r w:rsidRPr="00D95DBC">
        <w:rPr>
          <w:color w:val="auto"/>
          <w:szCs w:val="24"/>
        </w:rPr>
        <w:t>I – carbon carrier; II-carbon carrier modified with nanosilver. The data are expressed as mean ± standard deviation (</w:t>
      </w:r>
      <w:r w:rsidRPr="00D95DBC">
        <w:rPr>
          <w:rStyle w:val="aff0"/>
          <w:color w:val="auto"/>
          <w:szCs w:val="24"/>
        </w:rPr>
        <w:t xml:space="preserve">n </w:t>
      </w:r>
      <w:r w:rsidRPr="00D95DBC">
        <w:rPr>
          <w:color w:val="auto"/>
          <w:szCs w:val="24"/>
        </w:rPr>
        <w:t>= 3).</w:t>
      </w:r>
    </w:p>
    <w:p w14:paraId="4D504511" w14:textId="77777777" w:rsidR="00B374D9" w:rsidRPr="00D95DBC" w:rsidRDefault="00B374D9" w:rsidP="00B374D9">
      <w:pPr>
        <w:spacing w:line="360" w:lineRule="auto"/>
        <w:rPr>
          <w:color w:val="auto"/>
          <w:szCs w:val="24"/>
        </w:rPr>
      </w:pPr>
    </w:p>
    <w:p w14:paraId="1B768A0D" w14:textId="77777777" w:rsidR="00B374D9" w:rsidRPr="00D95DBC" w:rsidRDefault="00B374D9" w:rsidP="00B374D9">
      <w:pPr>
        <w:spacing w:line="240" w:lineRule="auto"/>
        <w:rPr>
          <w:color w:val="auto"/>
          <w:szCs w:val="24"/>
        </w:rPr>
      </w:pPr>
      <w:r w:rsidRPr="00D95DBC">
        <w:rPr>
          <w:b/>
          <w:color w:val="auto"/>
          <w:szCs w:val="24"/>
        </w:rPr>
        <w:t xml:space="preserve">Table 4: </w:t>
      </w:r>
      <w:r w:rsidRPr="00D95DBC">
        <w:rPr>
          <w:color w:val="auto"/>
          <w:szCs w:val="24"/>
        </w:rPr>
        <w:t>Analysts results for ecotoxicity of the tested sorption-catalytic sample materials</w:t>
      </w:r>
    </w:p>
    <w:tbl>
      <w:tblPr>
        <w:tblStyle w:val="6"/>
        <w:tblW w:w="9015" w:type="dxa"/>
        <w:tblLook w:val="04A0" w:firstRow="1" w:lastRow="0" w:firstColumn="1" w:lastColumn="0" w:noHBand="0" w:noVBand="1"/>
      </w:tblPr>
      <w:tblGrid>
        <w:gridCol w:w="1299"/>
        <w:gridCol w:w="1617"/>
        <w:gridCol w:w="1682"/>
        <w:gridCol w:w="1664"/>
        <w:gridCol w:w="1287"/>
        <w:gridCol w:w="1466"/>
      </w:tblGrid>
      <w:tr w:rsidR="00D95DBC" w:rsidRPr="00D95DBC" w14:paraId="37362918" w14:textId="77777777" w:rsidTr="00AB4AD8">
        <w:trPr>
          <w:trHeight w:val="20"/>
        </w:trPr>
        <w:tc>
          <w:tcPr>
            <w:tcW w:w="1358" w:type="dxa"/>
            <w:tcBorders>
              <w:top w:val="single" w:sz="4" w:space="0" w:color="auto"/>
              <w:left w:val="nil"/>
              <w:bottom w:val="single" w:sz="4" w:space="0" w:color="auto"/>
              <w:right w:val="nil"/>
            </w:tcBorders>
            <w:vAlign w:val="center"/>
          </w:tcPr>
          <w:p w14:paraId="2D9AC547"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Sample material</w:t>
            </w:r>
          </w:p>
        </w:tc>
        <w:tc>
          <w:tcPr>
            <w:tcW w:w="1717" w:type="dxa"/>
            <w:tcBorders>
              <w:top w:val="single" w:sz="4" w:space="0" w:color="auto"/>
              <w:left w:val="nil"/>
              <w:bottom w:val="single" w:sz="4" w:space="0" w:color="auto"/>
              <w:right w:val="nil"/>
            </w:tcBorders>
            <w:vAlign w:val="center"/>
          </w:tcPr>
          <w:p w14:paraId="258F033F"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Test-organism</w:t>
            </w:r>
          </w:p>
        </w:tc>
        <w:tc>
          <w:tcPr>
            <w:tcW w:w="1819" w:type="dxa"/>
            <w:tcBorders>
              <w:top w:val="single" w:sz="4" w:space="0" w:color="auto"/>
              <w:left w:val="nil"/>
              <w:bottom w:val="single" w:sz="4" w:space="0" w:color="auto"/>
              <w:right w:val="nil"/>
            </w:tcBorders>
            <w:vAlign w:val="center"/>
          </w:tcPr>
          <w:p w14:paraId="7A7C422D"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Test-reaction</w:t>
            </w:r>
          </w:p>
        </w:tc>
        <w:tc>
          <w:tcPr>
            <w:tcW w:w="1792" w:type="dxa"/>
            <w:tcBorders>
              <w:top w:val="single" w:sz="4" w:space="0" w:color="auto"/>
              <w:left w:val="nil"/>
              <w:bottom w:val="single" w:sz="4" w:space="0" w:color="auto"/>
              <w:right w:val="nil"/>
            </w:tcBorders>
            <w:vAlign w:val="center"/>
          </w:tcPr>
          <w:p w14:paraId="0C03C4B1"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Dilution factor for a safe level</w:t>
            </w:r>
          </w:p>
        </w:tc>
        <w:tc>
          <w:tcPr>
            <w:tcW w:w="1335" w:type="dxa"/>
            <w:tcBorders>
              <w:top w:val="single" w:sz="4" w:space="0" w:color="auto"/>
              <w:left w:val="nil"/>
              <w:bottom w:val="single" w:sz="4" w:space="0" w:color="auto"/>
              <w:right w:val="nil"/>
            </w:tcBorders>
            <w:vAlign w:val="center"/>
          </w:tcPr>
          <w:p w14:paraId="079D7606"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Hazard category</w:t>
            </w:r>
          </w:p>
        </w:tc>
        <w:tc>
          <w:tcPr>
            <w:tcW w:w="1549" w:type="dxa"/>
            <w:tcBorders>
              <w:top w:val="single" w:sz="4" w:space="0" w:color="auto"/>
              <w:left w:val="nil"/>
              <w:bottom w:val="single" w:sz="4" w:space="0" w:color="auto"/>
              <w:right w:val="nil"/>
            </w:tcBorders>
            <w:vAlign w:val="center"/>
          </w:tcPr>
          <w:p w14:paraId="3EC56EBD"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General hazard category</w:t>
            </w:r>
          </w:p>
        </w:tc>
      </w:tr>
      <w:tr w:rsidR="00D95DBC" w:rsidRPr="00D95DBC" w14:paraId="2369F324" w14:textId="77777777" w:rsidTr="00AB4AD8">
        <w:trPr>
          <w:trHeight w:val="20"/>
        </w:trPr>
        <w:tc>
          <w:tcPr>
            <w:tcW w:w="1358" w:type="dxa"/>
            <w:vMerge w:val="restart"/>
            <w:tcBorders>
              <w:top w:val="single" w:sz="4" w:space="0" w:color="auto"/>
              <w:left w:val="nil"/>
              <w:bottom w:val="nil"/>
              <w:right w:val="nil"/>
            </w:tcBorders>
            <w:vAlign w:val="center"/>
          </w:tcPr>
          <w:p w14:paraId="33D34ECB"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w:t>
            </w:r>
          </w:p>
        </w:tc>
        <w:tc>
          <w:tcPr>
            <w:tcW w:w="1717" w:type="dxa"/>
            <w:tcBorders>
              <w:top w:val="single" w:sz="4" w:space="0" w:color="auto"/>
              <w:left w:val="nil"/>
              <w:bottom w:val="nil"/>
              <w:right w:val="nil"/>
            </w:tcBorders>
            <w:vAlign w:val="center"/>
          </w:tcPr>
          <w:p w14:paraId="4C8289C0"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CV</w:t>
            </w:r>
          </w:p>
        </w:tc>
        <w:tc>
          <w:tcPr>
            <w:tcW w:w="1819" w:type="dxa"/>
            <w:tcBorders>
              <w:top w:val="single" w:sz="4" w:space="0" w:color="auto"/>
              <w:left w:val="nil"/>
              <w:bottom w:val="nil"/>
              <w:right w:val="nil"/>
            </w:tcBorders>
            <w:vAlign w:val="center"/>
          </w:tcPr>
          <w:p w14:paraId="46EB79F2"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
                <w:iCs/>
                <w:color w:val="auto"/>
                <w:szCs w:val="24"/>
                <w:lang w:eastAsia="ru-RU"/>
              </w:rPr>
              <w:t>±</w:t>
            </w:r>
          </w:p>
        </w:tc>
        <w:tc>
          <w:tcPr>
            <w:tcW w:w="1792" w:type="dxa"/>
            <w:tcBorders>
              <w:top w:val="single" w:sz="4" w:space="0" w:color="auto"/>
              <w:left w:val="nil"/>
              <w:bottom w:val="nil"/>
              <w:right w:val="nil"/>
            </w:tcBorders>
            <w:vAlign w:val="center"/>
          </w:tcPr>
          <w:p w14:paraId="52B201AB"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0.75</w:t>
            </w:r>
          </w:p>
        </w:tc>
        <w:tc>
          <w:tcPr>
            <w:tcW w:w="1335" w:type="dxa"/>
            <w:tcBorders>
              <w:top w:val="single" w:sz="4" w:space="0" w:color="auto"/>
              <w:left w:val="nil"/>
              <w:bottom w:val="nil"/>
              <w:right w:val="nil"/>
            </w:tcBorders>
            <w:vAlign w:val="center"/>
          </w:tcPr>
          <w:p w14:paraId="11F6E546"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c>
          <w:tcPr>
            <w:tcW w:w="1549" w:type="dxa"/>
            <w:vMerge w:val="restart"/>
            <w:tcBorders>
              <w:top w:val="single" w:sz="4" w:space="0" w:color="auto"/>
              <w:left w:val="nil"/>
              <w:bottom w:val="nil"/>
              <w:right w:val="nil"/>
            </w:tcBorders>
            <w:vAlign w:val="center"/>
          </w:tcPr>
          <w:p w14:paraId="47C67456"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r>
      <w:tr w:rsidR="00D95DBC" w:rsidRPr="00D95DBC" w14:paraId="02A339CE" w14:textId="77777777" w:rsidTr="00AB4AD8">
        <w:trPr>
          <w:trHeight w:val="20"/>
        </w:trPr>
        <w:tc>
          <w:tcPr>
            <w:tcW w:w="0" w:type="auto"/>
            <w:vMerge/>
            <w:tcBorders>
              <w:top w:val="single" w:sz="4" w:space="0" w:color="auto"/>
              <w:left w:val="nil"/>
              <w:bottom w:val="nil"/>
              <w:right w:val="nil"/>
            </w:tcBorders>
            <w:vAlign w:val="center"/>
          </w:tcPr>
          <w:p w14:paraId="32A17522" w14:textId="77777777" w:rsidR="00B374D9" w:rsidRPr="00D95DBC" w:rsidRDefault="00B374D9" w:rsidP="00AB4AD8">
            <w:pPr>
              <w:spacing w:line="240" w:lineRule="auto"/>
              <w:rPr>
                <w:color w:val="auto"/>
                <w:szCs w:val="24"/>
                <w:lang w:eastAsia="ru-RU"/>
              </w:rPr>
            </w:pPr>
          </w:p>
        </w:tc>
        <w:tc>
          <w:tcPr>
            <w:tcW w:w="1717" w:type="dxa"/>
            <w:vAlign w:val="center"/>
          </w:tcPr>
          <w:p w14:paraId="77177702"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DM</w:t>
            </w:r>
          </w:p>
        </w:tc>
        <w:tc>
          <w:tcPr>
            <w:tcW w:w="1819" w:type="dxa"/>
            <w:vAlign w:val="center"/>
          </w:tcPr>
          <w:p w14:paraId="5A3D89E0"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w:t>
            </w:r>
          </w:p>
        </w:tc>
        <w:tc>
          <w:tcPr>
            <w:tcW w:w="1792" w:type="dxa"/>
            <w:vAlign w:val="center"/>
          </w:tcPr>
          <w:p w14:paraId="05DF43D9"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1.15</w:t>
            </w:r>
          </w:p>
        </w:tc>
        <w:tc>
          <w:tcPr>
            <w:tcW w:w="1335" w:type="dxa"/>
            <w:vAlign w:val="center"/>
          </w:tcPr>
          <w:p w14:paraId="613A9DC4"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c>
          <w:tcPr>
            <w:tcW w:w="0" w:type="auto"/>
            <w:vMerge/>
            <w:tcBorders>
              <w:top w:val="single" w:sz="4" w:space="0" w:color="auto"/>
              <w:left w:val="nil"/>
              <w:bottom w:val="nil"/>
              <w:right w:val="nil"/>
            </w:tcBorders>
            <w:vAlign w:val="center"/>
          </w:tcPr>
          <w:p w14:paraId="20C3626A" w14:textId="77777777" w:rsidR="00B374D9" w:rsidRPr="00D95DBC" w:rsidRDefault="00B374D9" w:rsidP="00AB4AD8">
            <w:pPr>
              <w:spacing w:line="240" w:lineRule="auto"/>
              <w:rPr>
                <w:color w:val="auto"/>
                <w:szCs w:val="24"/>
                <w:lang w:eastAsia="ru-RU"/>
              </w:rPr>
            </w:pPr>
          </w:p>
        </w:tc>
      </w:tr>
      <w:tr w:rsidR="00D95DBC" w:rsidRPr="00D95DBC" w14:paraId="1152EE0D" w14:textId="77777777" w:rsidTr="00AB4AD8">
        <w:trPr>
          <w:trHeight w:val="20"/>
        </w:trPr>
        <w:tc>
          <w:tcPr>
            <w:tcW w:w="1358" w:type="dxa"/>
            <w:vMerge w:val="restart"/>
            <w:vAlign w:val="center"/>
          </w:tcPr>
          <w:p w14:paraId="4AED3747"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2</w:t>
            </w:r>
          </w:p>
        </w:tc>
        <w:tc>
          <w:tcPr>
            <w:tcW w:w="1717" w:type="dxa"/>
            <w:vAlign w:val="center"/>
          </w:tcPr>
          <w:p w14:paraId="096E756B"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CV</w:t>
            </w:r>
          </w:p>
        </w:tc>
        <w:tc>
          <w:tcPr>
            <w:tcW w:w="1819" w:type="dxa"/>
            <w:vAlign w:val="center"/>
          </w:tcPr>
          <w:p w14:paraId="6D9B2D16"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
                <w:iCs/>
                <w:color w:val="auto"/>
                <w:szCs w:val="24"/>
                <w:lang w:eastAsia="ru-RU"/>
              </w:rPr>
              <w:t>±</w:t>
            </w:r>
          </w:p>
        </w:tc>
        <w:tc>
          <w:tcPr>
            <w:tcW w:w="1792" w:type="dxa"/>
            <w:vAlign w:val="center"/>
          </w:tcPr>
          <w:p w14:paraId="751D8D11"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1.10</w:t>
            </w:r>
          </w:p>
        </w:tc>
        <w:tc>
          <w:tcPr>
            <w:tcW w:w="1335" w:type="dxa"/>
            <w:vAlign w:val="center"/>
          </w:tcPr>
          <w:p w14:paraId="09B9AA8F"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c>
          <w:tcPr>
            <w:tcW w:w="1549" w:type="dxa"/>
            <w:vMerge w:val="restart"/>
            <w:vAlign w:val="center"/>
          </w:tcPr>
          <w:p w14:paraId="32D0DA49"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r>
      <w:tr w:rsidR="00D95DBC" w:rsidRPr="00D95DBC" w14:paraId="095E3D14" w14:textId="77777777" w:rsidTr="00AB4AD8">
        <w:trPr>
          <w:trHeight w:val="20"/>
        </w:trPr>
        <w:tc>
          <w:tcPr>
            <w:tcW w:w="0" w:type="auto"/>
            <w:vMerge/>
            <w:vAlign w:val="center"/>
          </w:tcPr>
          <w:p w14:paraId="35831FCC" w14:textId="77777777" w:rsidR="00B374D9" w:rsidRPr="00D95DBC" w:rsidRDefault="00B374D9" w:rsidP="00AB4AD8">
            <w:pPr>
              <w:spacing w:line="240" w:lineRule="auto"/>
              <w:rPr>
                <w:color w:val="auto"/>
                <w:szCs w:val="24"/>
                <w:lang w:eastAsia="ru-RU"/>
              </w:rPr>
            </w:pPr>
          </w:p>
        </w:tc>
        <w:tc>
          <w:tcPr>
            <w:tcW w:w="1717" w:type="dxa"/>
            <w:vAlign w:val="center"/>
          </w:tcPr>
          <w:p w14:paraId="02679BFF"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DM</w:t>
            </w:r>
          </w:p>
        </w:tc>
        <w:tc>
          <w:tcPr>
            <w:tcW w:w="1819" w:type="dxa"/>
            <w:vAlign w:val="center"/>
          </w:tcPr>
          <w:p w14:paraId="5BD832AB"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w:t>
            </w:r>
          </w:p>
        </w:tc>
        <w:tc>
          <w:tcPr>
            <w:tcW w:w="1792" w:type="dxa"/>
            <w:vAlign w:val="center"/>
          </w:tcPr>
          <w:p w14:paraId="101CAA56"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0.94</w:t>
            </w:r>
          </w:p>
        </w:tc>
        <w:tc>
          <w:tcPr>
            <w:tcW w:w="1335" w:type="dxa"/>
            <w:vAlign w:val="center"/>
          </w:tcPr>
          <w:p w14:paraId="36BF520D"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c>
          <w:tcPr>
            <w:tcW w:w="0" w:type="auto"/>
            <w:vMerge/>
            <w:vAlign w:val="center"/>
          </w:tcPr>
          <w:p w14:paraId="64BB8806" w14:textId="77777777" w:rsidR="00B374D9" w:rsidRPr="00D95DBC" w:rsidRDefault="00B374D9" w:rsidP="00AB4AD8">
            <w:pPr>
              <w:spacing w:line="240" w:lineRule="auto"/>
              <w:rPr>
                <w:color w:val="auto"/>
                <w:szCs w:val="24"/>
                <w:lang w:eastAsia="ru-RU"/>
              </w:rPr>
            </w:pPr>
          </w:p>
        </w:tc>
      </w:tr>
      <w:tr w:rsidR="00D95DBC" w:rsidRPr="00D95DBC" w14:paraId="4A8652E0" w14:textId="77777777" w:rsidTr="00AB4AD8">
        <w:trPr>
          <w:trHeight w:val="20"/>
        </w:trPr>
        <w:tc>
          <w:tcPr>
            <w:tcW w:w="1358" w:type="dxa"/>
            <w:vMerge w:val="restart"/>
            <w:vAlign w:val="center"/>
          </w:tcPr>
          <w:p w14:paraId="7F59D525"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3</w:t>
            </w:r>
          </w:p>
        </w:tc>
        <w:tc>
          <w:tcPr>
            <w:tcW w:w="1717" w:type="dxa"/>
            <w:vAlign w:val="center"/>
          </w:tcPr>
          <w:p w14:paraId="3452E514"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CV</w:t>
            </w:r>
          </w:p>
        </w:tc>
        <w:tc>
          <w:tcPr>
            <w:tcW w:w="1819" w:type="dxa"/>
            <w:vAlign w:val="center"/>
          </w:tcPr>
          <w:p w14:paraId="6B2AF4D3"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
                <w:iCs/>
                <w:color w:val="auto"/>
                <w:szCs w:val="24"/>
                <w:lang w:eastAsia="ru-RU"/>
              </w:rPr>
              <w:t>±</w:t>
            </w:r>
          </w:p>
        </w:tc>
        <w:tc>
          <w:tcPr>
            <w:tcW w:w="1792" w:type="dxa"/>
            <w:vAlign w:val="center"/>
          </w:tcPr>
          <w:p w14:paraId="69FF2435"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0.90</w:t>
            </w:r>
          </w:p>
        </w:tc>
        <w:tc>
          <w:tcPr>
            <w:tcW w:w="1335" w:type="dxa"/>
            <w:vAlign w:val="center"/>
          </w:tcPr>
          <w:p w14:paraId="7C1CF245"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1549" w:type="dxa"/>
            <w:vMerge w:val="restart"/>
            <w:vAlign w:val="center"/>
          </w:tcPr>
          <w:p w14:paraId="7D874C48"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r>
      <w:tr w:rsidR="00D95DBC" w:rsidRPr="00D95DBC" w14:paraId="19B8F70C" w14:textId="77777777" w:rsidTr="00AB4AD8">
        <w:trPr>
          <w:trHeight w:val="20"/>
        </w:trPr>
        <w:tc>
          <w:tcPr>
            <w:tcW w:w="0" w:type="auto"/>
            <w:vMerge/>
            <w:vAlign w:val="center"/>
          </w:tcPr>
          <w:p w14:paraId="1E264ACC" w14:textId="77777777" w:rsidR="00B374D9" w:rsidRPr="00D95DBC" w:rsidRDefault="00B374D9" w:rsidP="00AB4AD8">
            <w:pPr>
              <w:spacing w:line="240" w:lineRule="auto"/>
              <w:rPr>
                <w:color w:val="auto"/>
                <w:szCs w:val="24"/>
                <w:lang w:eastAsia="ru-RU"/>
              </w:rPr>
            </w:pPr>
          </w:p>
        </w:tc>
        <w:tc>
          <w:tcPr>
            <w:tcW w:w="1717" w:type="dxa"/>
            <w:vAlign w:val="center"/>
          </w:tcPr>
          <w:p w14:paraId="3E102B68"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DM</w:t>
            </w:r>
          </w:p>
        </w:tc>
        <w:tc>
          <w:tcPr>
            <w:tcW w:w="1819" w:type="dxa"/>
            <w:vAlign w:val="center"/>
          </w:tcPr>
          <w:p w14:paraId="0D5E1092"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w:t>
            </w:r>
          </w:p>
        </w:tc>
        <w:tc>
          <w:tcPr>
            <w:tcW w:w="1792" w:type="dxa"/>
            <w:vAlign w:val="center"/>
          </w:tcPr>
          <w:p w14:paraId="6CAE7812"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1.22</w:t>
            </w:r>
          </w:p>
        </w:tc>
        <w:tc>
          <w:tcPr>
            <w:tcW w:w="1335" w:type="dxa"/>
            <w:vAlign w:val="center"/>
          </w:tcPr>
          <w:p w14:paraId="7C412BDE"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0" w:type="auto"/>
            <w:vMerge/>
            <w:vAlign w:val="center"/>
          </w:tcPr>
          <w:p w14:paraId="6B3CE20D" w14:textId="77777777" w:rsidR="00B374D9" w:rsidRPr="00D95DBC" w:rsidRDefault="00B374D9" w:rsidP="00AB4AD8">
            <w:pPr>
              <w:spacing w:line="240" w:lineRule="auto"/>
              <w:rPr>
                <w:color w:val="auto"/>
                <w:szCs w:val="24"/>
                <w:lang w:eastAsia="ru-RU"/>
              </w:rPr>
            </w:pPr>
          </w:p>
        </w:tc>
      </w:tr>
      <w:tr w:rsidR="00D95DBC" w:rsidRPr="00D95DBC" w14:paraId="59CEE29B" w14:textId="77777777" w:rsidTr="00AB4AD8">
        <w:trPr>
          <w:trHeight w:val="20"/>
        </w:trPr>
        <w:tc>
          <w:tcPr>
            <w:tcW w:w="1358" w:type="dxa"/>
            <w:vMerge w:val="restart"/>
            <w:vAlign w:val="center"/>
          </w:tcPr>
          <w:p w14:paraId="67EA579B"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4</w:t>
            </w:r>
          </w:p>
        </w:tc>
        <w:tc>
          <w:tcPr>
            <w:tcW w:w="1717" w:type="dxa"/>
            <w:vAlign w:val="center"/>
          </w:tcPr>
          <w:p w14:paraId="242FC3C1"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CV</w:t>
            </w:r>
          </w:p>
        </w:tc>
        <w:tc>
          <w:tcPr>
            <w:tcW w:w="1819" w:type="dxa"/>
            <w:vAlign w:val="center"/>
          </w:tcPr>
          <w:p w14:paraId="577592E9"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
                <w:iCs/>
                <w:color w:val="auto"/>
                <w:szCs w:val="24"/>
                <w:lang w:eastAsia="ru-RU"/>
              </w:rPr>
              <w:t>±</w:t>
            </w:r>
          </w:p>
        </w:tc>
        <w:tc>
          <w:tcPr>
            <w:tcW w:w="1792" w:type="dxa"/>
            <w:vAlign w:val="center"/>
          </w:tcPr>
          <w:p w14:paraId="5491DFA4"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0.88</w:t>
            </w:r>
          </w:p>
        </w:tc>
        <w:tc>
          <w:tcPr>
            <w:tcW w:w="1335" w:type="dxa"/>
            <w:vAlign w:val="center"/>
          </w:tcPr>
          <w:p w14:paraId="7B3D7F1A"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1549" w:type="dxa"/>
            <w:vMerge w:val="restart"/>
            <w:vAlign w:val="center"/>
          </w:tcPr>
          <w:p w14:paraId="0141F133"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r>
      <w:tr w:rsidR="00D95DBC" w:rsidRPr="00D95DBC" w14:paraId="2A81333F" w14:textId="77777777" w:rsidTr="00AB4AD8">
        <w:trPr>
          <w:trHeight w:val="20"/>
        </w:trPr>
        <w:tc>
          <w:tcPr>
            <w:tcW w:w="0" w:type="auto"/>
            <w:vMerge/>
            <w:vAlign w:val="center"/>
          </w:tcPr>
          <w:p w14:paraId="70D82D2C" w14:textId="77777777" w:rsidR="00B374D9" w:rsidRPr="00D95DBC" w:rsidRDefault="00B374D9" w:rsidP="00AB4AD8">
            <w:pPr>
              <w:spacing w:line="240" w:lineRule="auto"/>
              <w:rPr>
                <w:color w:val="auto"/>
                <w:szCs w:val="24"/>
                <w:lang w:eastAsia="ru-RU"/>
              </w:rPr>
            </w:pPr>
          </w:p>
        </w:tc>
        <w:tc>
          <w:tcPr>
            <w:tcW w:w="1717" w:type="dxa"/>
            <w:vAlign w:val="center"/>
          </w:tcPr>
          <w:p w14:paraId="3049E6A0"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DM</w:t>
            </w:r>
          </w:p>
        </w:tc>
        <w:tc>
          <w:tcPr>
            <w:tcW w:w="1819" w:type="dxa"/>
            <w:vAlign w:val="center"/>
          </w:tcPr>
          <w:p w14:paraId="1E21427F"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w:t>
            </w:r>
          </w:p>
        </w:tc>
        <w:tc>
          <w:tcPr>
            <w:tcW w:w="1792" w:type="dxa"/>
            <w:vAlign w:val="center"/>
          </w:tcPr>
          <w:p w14:paraId="7D00C8B7"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1.15</w:t>
            </w:r>
          </w:p>
        </w:tc>
        <w:tc>
          <w:tcPr>
            <w:tcW w:w="1335" w:type="dxa"/>
            <w:vAlign w:val="center"/>
          </w:tcPr>
          <w:p w14:paraId="222118BB"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0" w:type="auto"/>
            <w:vMerge/>
            <w:vAlign w:val="center"/>
          </w:tcPr>
          <w:p w14:paraId="6ABE8856" w14:textId="77777777" w:rsidR="00B374D9" w:rsidRPr="00D95DBC" w:rsidRDefault="00B374D9" w:rsidP="00AB4AD8">
            <w:pPr>
              <w:spacing w:line="240" w:lineRule="auto"/>
              <w:rPr>
                <w:color w:val="auto"/>
                <w:szCs w:val="24"/>
                <w:lang w:eastAsia="ru-RU"/>
              </w:rPr>
            </w:pPr>
          </w:p>
        </w:tc>
      </w:tr>
      <w:tr w:rsidR="00D95DBC" w:rsidRPr="00D95DBC" w14:paraId="030C5D99" w14:textId="77777777" w:rsidTr="00AB4AD8">
        <w:trPr>
          <w:trHeight w:val="20"/>
        </w:trPr>
        <w:tc>
          <w:tcPr>
            <w:tcW w:w="1358" w:type="dxa"/>
            <w:vMerge w:val="restart"/>
            <w:tcBorders>
              <w:top w:val="nil"/>
              <w:left w:val="nil"/>
              <w:bottom w:val="single" w:sz="4" w:space="0" w:color="auto"/>
              <w:right w:val="nil"/>
            </w:tcBorders>
            <w:vAlign w:val="center"/>
          </w:tcPr>
          <w:p w14:paraId="3997AFDC"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5</w:t>
            </w:r>
          </w:p>
        </w:tc>
        <w:tc>
          <w:tcPr>
            <w:tcW w:w="1717" w:type="dxa"/>
            <w:vAlign w:val="center"/>
          </w:tcPr>
          <w:p w14:paraId="0B4258B3"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CV</w:t>
            </w:r>
          </w:p>
        </w:tc>
        <w:tc>
          <w:tcPr>
            <w:tcW w:w="1819" w:type="dxa"/>
            <w:vAlign w:val="center"/>
          </w:tcPr>
          <w:p w14:paraId="0B519356"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
                <w:iCs/>
                <w:color w:val="auto"/>
                <w:szCs w:val="24"/>
                <w:lang w:eastAsia="ru-RU"/>
              </w:rPr>
              <w:t>±</w:t>
            </w:r>
          </w:p>
        </w:tc>
        <w:tc>
          <w:tcPr>
            <w:tcW w:w="1792" w:type="dxa"/>
            <w:vAlign w:val="center"/>
          </w:tcPr>
          <w:p w14:paraId="538E0895"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1.09</w:t>
            </w:r>
          </w:p>
        </w:tc>
        <w:tc>
          <w:tcPr>
            <w:tcW w:w="1335" w:type="dxa"/>
            <w:vAlign w:val="center"/>
          </w:tcPr>
          <w:p w14:paraId="0AEC1AC4"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1549" w:type="dxa"/>
            <w:vMerge w:val="restart"/>
            <w:tcBorders>
              <w:top w:val="nil"/>
              <w:left w:val="nil"/>
              <w:bottom w:val="single" w:sz="4" w:space="0" w:color="auto"/>
              <w:right w:val="nil"/>
            </w:tcBorders>
            <w:vAlign w:val="center"/>
          </w:tcPr>
          <w:p w14:paraId="1ECB947E" w14:textId="77777777" w:rsidR="00B374D9" w:rsidRPr="00D95DBC" w:rsidRDefault="00B374D9" w:rsidP="00AB4AD8">
            <w:pPr>
              <w:spacing w:line="240" w:lineRule="auto"/>
              <w:jc w:val="center"/>
              <w:rPr>
                <w:color w:val="auto"/>
                <w:szCs w:val="24"/>
                <w:lang w:eastAsia="ru-RU"/>
              </w:rPr>
            </w:pPr>
            <w:r w:rsidRPr="00D95DBC">
              <w:rPr>
                <w:iCs/>
                <w:color w:val="auto"/>
                <w:szCs w:val="24"/>
                <w:lang w:eastAsia="ru-RU"/>
              </w:rPr>
              <w:t>V</w:t>
            </w:r>
          </w:p>
        </w:tc>
      </w:tr>
      <w:tr w:rsidR="00D95DBC" w:rsidRPr="00D95DBC" w14:paraId="64A65786" w14:textId="77777777" w:rsidTr="00AB4AD8">
        <w:trPr>
          <w:trHeight w:val="20"/>
        </w:trPr>
        <w:tc>
          <w:tcPr>
            <w:tcW w:w="0" w:type="auto"/>
            <w:vMerge/>
            <w:tcBorders>
              <w:top w:val="single" w:sz="4" w:space="0" w:color="auto"/>
              <w:left w:val="nil"/>
              <w:bottom w:val="single" w:sz="4" w:space="0" w:color="auto"/>
              <w:right w:val="nil"/>
            </w:tcBorders>
            <w:vAlign w:val="center"/>
          </w:tcPr>
          <w:p w14:paraId="0C6F766D" w14:textId="77777777" w:rsidR="00B374D9" w:rsidRPr="00D95DBC" w:rsidRDefault="00B374D9" w:rsidP="00AB4AD8">
            <w:pPr>
              <w:spacing w:line="240" w:lineRule="auto"/>
              <w:rPr>
                <w:color w:val="auto"/>
                <w:szCs w:val="24"/>
                <w:lang w:eastAsia="ru-RU"/>
              </w:rPr>
            </w:pPr>
          </w:p>
        </w:tc>
        <w:tc>
          <w:tcPr>
            <w:tcW w:w="1717" w:type="dxa"/>
            <w:tcBorders>
              <w:top w:val="nil"/>
              <w:left w:val="nil"/>
              <w:bottom w:val="single" w:sz="4" w:space="0" w:color="auto"/>
              <w:right w:val="nil"/>
            </w:tcBorders>
            <w:vAlign w:val="center"/>
          </w:tcPr>
          <w:p w14:paraId="2B1EDDC9"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DM</w:t>
            </w:r>
          </w:p>
        </w:tc>
        <w:tc>
          <w:tcPr>
            <w:tcW w:w="1819" w:type="dxa"/>
            <w:tcBorders>
              <w:top w:val="nil"/>
              <w:left w:val="nil"/>
              <w:bottom w:val="single" w:sz="4" w:space="0" w:color="auto"/>
              <w:right w:val="nil"/>
            </w:tcBorders>
            <w:vAlign w:val="center"/>
          </w:tcPr>
          <w:p w14:paraId="5A2F3C9A"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w:t>
            </w:r>
          </w:p>
        </w:tc>
        <w:tc>
          <w:tcPr>
            <w:tcW w:w="1792" w:type="dxa"/>
            <w:tcBorders>
              <w:top w:val="nil"/>
              <w:left w:val="nil"/>
              <w:bottom w:val="single" w:sz="4" w:space="0" w:color="auto"/>
              <w:right w:val="nil"/>
            </w:tcBorders>
            <w:vAlign w:val="center"/>
          </w:tcPr>
          <w:p w14:paraId="6134D3AC" w14:textId="77777777" w:rsidR="00B374D9" w:rsidRPr="00D95DBC" w:rsidRDefault="00B374D9" w:rsidP="00AB4AD8">
            <w:pPr>
              <w:keepNext/>
              <w:keepLines/>
              <w:suppressLineNumbers/>
              <w:suppressAutoHyphens/>
              <w:spacing w:line="240" w:lineRule="auto"/>
              <w:jc w:val="center"/>
              <w:rPr>
                <w:iCs/>
                <w:color w:val="auto"/>
                <w:szCs w:val="24"/>
                <w:lang w:eastAsia="ru-RU"/>
              </w:rPr>
            </w:pPr>
            <w:r w:rsidRPr="00D95DBC">
              <w:rPr>
                <w:iCs/>
                <w:color w:val="auto"/>
                <w:szCs w:val="24"/>
                <w:lang w:eastAsia="ru-RU"/>
              </w:rPr>
              <w:t>0.94</w:t>
            </w:r>
          </w:p>
        </w:tc>
        <w:tc>
          <w:tcPr>
            <w:tcW w:w="1335" w:type="dxa"/>
            <w:tcBorders>
              <w:top w:val="nil"/>
              <w:left w:val="nil"/>
              <w:bottom w:val="single" w:sz="4" w:space="0" w:color="auto"/>
              <w:right w:val="nil"/>
            </w:tcBorders>
            <w:vAlign w:val="center"/>
          </w:tcPr>
          <w:p w14:paraId="42A9490C" w14:textId="77777777" w:rsidR="00B374D9" w:rsidRPr="00D95DBC" w:rsidRDefault="00B374D9" w:rsidP="00AB4AD8">
            <w:pPr>
              <w:spacing w:line="240" w:lineRule="auto"/>
              <w:jc w:val="center"/>
              <w:rPr>
                <w:iCs/>
                <w:color w:val="auto"/>
                <w:szCs w:val="24"/>
                <w:lang w:eastAsia="ru-RU"/>
              </w:rPr>
            </w:pPr>
            <w:r w:rsidRPr="00D95DBC">
              <w:rPr>
                <w:iCs/>
                <w:color w:val="auto"/>
                <w:szCs w:val="24"/>
                <w:lang w:eastAsia="ru-RU"/>
              </w:rPr>
              <w:t>V</w:t>
            </w:r>
          </w:p>
        </w:tc>
        <w:tc>
          <w:tcPr>
            <w:tcW w:w="0" w:type="auto"/>
            <w:vMerge/>
            <w:tcBorders>
              <w:top w:val="nil"/>
              <w:left w:val="nil"/>
              <w:bottom w:val="single" w:sz="4" w:space="0" w:color="auto"/>
              <w:right w:val="nil"/>
            </w:tcBorders>
            <w:vAlign w:val="center"/>
          </w:tcPr>
          <w:p w14:paraId="736429D9" w14:textId="77777777" w:rsidR="00B374D9" w:rsidRPr="00D95DBC" w:rsidRDefault="00B374D9" w:rsidP="00AB4AD8">
            <w:pPr>
              <w:spacing w:line="240" w:lineRule="auto"/>
              <w:rPr>
                <w:color w:val="auto"/>
                <w:szCs w:val="24"/>
                <w:lang w:eastAsia="ru-RU"/>
              </w:rPr>
            </w:pPr>
          </w:p>
        </w:tc>
      </w:tr>
    </w:tbl>
    <w:p w14:paraId="5C78ACE2" w14:textId="77777777" w:rsidR="00B374D9" w:rsidRPr="00D95DBC" w:rsidRDefault="00B374D9" w:rsidP="00B374D9">
      <w:pPr>
        <w:spacing w:line="240" w:lineRule="auto"/>
        <w:rPr>
          <w:i/>
          <w:iCs/>
          <w:color w:val="auto"/>
          <w:szCs w:val="24"/>
        </w:rPr>
      </w:pPr>
      <w:r w:rsidRPr="00D95DBC">
        <w:rPr>
          <w:iCs/>
          <w:color w:val="auto"/>
          <w:szCs w:val="24"/>
        </w:rPr>
        <w:t xml:space="preserve">CV - </w:t>
      </w:r>
      <w:r w:rsidRPr="00D95DBC">
        <w:rPr>
          <w:i/>
          <w:iCs/>
          <w:color w:val="auto"/>
          <w:szCs w:val="24"/>
        </w:rPr>
        <w:t xml:space="preserve">Chlorella vulgaris Beijer; </w:t>
      </w:r>
      <w:r w:rsidRPr="00D95DBC">
        <w:rPr>
          <w:iCs/>
          <w:color w:val="auto"/>
          <w:szCs w:val="24"/>
        </w:rPr>
        <w:t xml:space="preserve">DM - </w:t>
      </w:r>
      <w:r w:rsidRPr="00D95DBC">
        <w:rPr>
          <w:i/>
          <w:iCs/>
          <w:color w:val="auto"/>
          <w:szCs w:val="24"/>
        </w:rPr>
        <w:t>Daphnia magna;</w:t>
      </w:r>
    </w:p>
    <w:p w14:paraId="1C8D47F3" w14:textId="77777777" w:rsidR="00B374D9" w:rsidRPr="00D95DBC" w:rsidRDefault="00B374D9" w:rsidP="00B374D9">
      <w:pPr>
        <w:spacing w:line="240" w:lineRule="auto"/>
        <w:rPr>
          <w:color w:val="auto"/>
          <w:spacing w:val="-4"/>
          <w:szCs w:val="24"/>
        </w:rPr>
      </w:pPr>
      <w:r w:rsidRPr="00D95DBC">
        <w:rPr>
          <w:iCs/>
          <w:color w:val="auto"/>
          <w:szCs w:val="24"/>
        </w:rPr>
        <w:sym w:font="Symbol" w:char="F0A2"/>
      </w:r>
      <w:r w:rsidRPr="00D95DBC">
        <w:rPr>
          <w:i/>
          <w:iCs/>
          <w:color w:val="auto"/>
          <w:szCs w:val="24"/>
        </w:rPr>
        <w:t>±</w:t>
      </w:r>
      <w:r w:rsidRPr="00D95DBC">
        <w:rPr>
          <w:iCs/>
          <w:color w:val="auto"/>
          <w:szCs w:val="24"/>
        </w:rPr>
        <w:sym w:font="Symbol" w:char="F0A2"/>
      </w:r>
      <w:r w:rsidRPr="00D95DBC">
        <w:rPr>
          <w:i/>
          <w:iCs/>
          <w:color w:val="auto"/>
          <w:szCs w:val="24"/>
        </w:rPr>
        <w:t xml:space="preserve"> - </w:t>
      </w:r>
      <w:r w:rsidRPr="00D95DBC">
        <w:rPr>
          <w:iCs/>
          <w:color w:val="auto"/>
          <w:szCs w:val="24"/>
        </w:rPr>
        <w:t xml:space="preserve">Test-culture growth inhibition; </w:t>
      </w:r>
      <w:r w:rsidRPr="00D95DBC">
        <w:rPr>
          <w:iCs/>
          <w:color w:val="auto"/>
          <w:szCs w:val="24"/>
        </w:rPr>
        <w:sym w:font="Symbol" w:char="F0A2"/>
      </w:r>
      <w:r w:rsidRPr="00D95DBC">
        <w:rPr>
          <w:iCs/>
          <w:color w:val="auto"/>
          <w:szCs w:val="24"/>
        </w:rPr>
        <w:t>+</w:t>
      </w:r>
      <w:r w:rsidRPr="00D95DBC">
        <w:rPr>
          <w:iCs/>
          <w:color w:val="auto"/>
          <w:szCs w:val="24"/>
        </w:rPr>
        <w:sym w:font="Symbol" w:char="F0A2"/>
      </w:r>
      <w:r w:rsidRPr="00D95DBC">
        <w:rPr>
          <w:iCs/>
          <w:color w:val="auto"/>
          <w:szCs w:val="24"/>
        </w:rPr>
        <w:t xml:space="preserve"> - Mortality</w:t>
      </w:r>
    </w:p>
    <w:p w14:paraId="730DF3B1" w14:textId="77777777" w:rsidR="00B374D9" w:rsidRPr="00D95DBC" w:rsidRDefault="00B374D9" w:rsidP="00B374D9">
      <w:pPr>
        <w:pStyle w:val="MDPI41tablecaption"/>
        <w:spacing w:before="0" w:after="0" w:line="360" w:lineRule="auto"/>
        <w:ind w:left="0"/>
        <w:rPr>
          <w:rFonts w:ascii="Times New Roman" w:hAnsi="Times New Roman" w:cs="Times New Roman"/>
          <w:b/>
          <w:color w:val="auto"/>
          <w:sz w:val="24"/>
          <w:szCs w:val="24"/>
        </w:rPr>
      </w:pPr>
    </w:p>
    <w:p w14:paraId="794AB2E6" w14:textId="77777777" w:rsidR="00B374D9" w:rsidRPr="00D95DBC" w:rsidRDefault="00B374D9" w:rsidP="00B374D9">
      <w:pPr>
        <w:spacing w:line="240" w:lineRule="auto"/>
        <w:rPr>
          <w:color w:val="auto"/>
          <w:szCs w:val="24"/>
        </w:rPr>
      </w:pPr>
      <w:r w:rsidRPr="00D95DBC">
        <w:rPr>
          <w:b/>
          <w:color w:val="auto"/>
          <w:szCs w:val="24"/>
        </w:rPr>
        <w:t xml:space="preserve">Table 5: </w:t>
      </w:r>
      <w:r w:rsidRPr="00D95DBC">
        <w:rPr>
          <w:color w:val="auto"/>
          <w:szCs w:val="24"/>
        </w:rPr>
        <w:t>Results of determining the adsorption equilibrium constants for oil products, iron, copper, lead, manganese, and cadmium ions</w:t>
      </w:r>
    </w:p>
    <w:tbl>
      <w:tblPr>
        <w:tblStyle w:val="6"/>
        <w:tblW w:w="9015" w:type="dxa"/>
        <w:tblLook w:val="04A0" w:firstRow="1" w:lastRow="0" w:firstColumn="1" w:lastColumn="0" w:noHBand="0" w:noVBand="1"/>
      </w:tblPr>
      <w:tblGrid>
        <w:gridCol w:w="3953"/>
        <w:gridCol w:w="5062"/>
      </w:tblGrid>
      <w:tr w:rsidR="00D95DBC" w:rsidRPr="00D95DBC" w14:paraId="7FB2AF01" w14:textId="77777777" w:rsidTr="00AB4AD8">
        <w:trPr>
          <w:trHeight w:val="20"/>
        </w:trPr>
        <w:tc>
          <w:tcPr>
            <w:tcW w:w="4156" w:type="dxa"/>
            <w:tcBorders>
              <w:top w:val="single" w:sz="4" w:space="0" w:color="auto"/>
              <w:left w:val="nil"/>
              <w:bottom w:val="single" w:sz="4" w:space="0" w:color="auto"/>
              <w:right w:val="nil"/>
            </w:tcBorders>
            <w:vAlign w:val="center"/>
          </w:tcPr>
          <w:p w14:paraId="41BE2D72" w14:textId="77777777" w:rsidR="00B374D9" w:rsidRPr="00D95DBC" w:rsidRDefault="00B374D9" w:rsidP="00AB4AD8">
            <w:pPr>
              <w:spacing w:line="240" w:lineRule="auto"/>
              <w:rPr>
                <w:color w:val="auto"/>
                <w:szCs w:val="24"/>
                <w:lang w:eastAsia="ru-RU"/>
              </w:rPr>
            </w:pPr>
            <w:r w:rsidRPr="00D95DBC">
              <w:rPr>
                <w:color w:val="auto"/>
                <w:szCs w:val="24"/>
                <w:lang w:eastAsia="ru-RU"/>
              </w:rPr>
              <w:t>Sorbed component</w:t>
            </w:r>
          </w:p>
        </w:tc>
        <w:tc>
          <w:tcPr>
            <w:tcW w:w="5348" w:type="dxa"/>
            <w:tcBorders>
              <w:top w:val="single" w:sz="4" w:space="0" w:color="auto"/>
              <w:left w:val="nil"/>
              <w:bottom w:val="single" w:sz="4" w:space="0" w:color="auto"/>
              <w:right w:val="nil"/>
            </w:tcBorders>
            <w:vAlign w:val="center"/>
          </w:tcPr>
          <w:p w14:paraId="37E24D0D"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Sorption equilibrium constant (</w:t>
            </w:r>
            <w:r w:rsidRPr="00D95DBC">
              <w:rPr>
                <w:i/>
                <w:color w:val="auto"/>
                <w:szCs w:val="24"/>
                <w:lang w:eastAsia="ru-RU"/>
              </w:rPr>
              <w:t>K</w:t>
            </w:r>
            <w:r w:rsidRPr="00D95DBC">
              <w:rPr>
                <w:color w:val="auto"/>
                <w:szCs w:val="24"/>
                <w:lang w:eastAsia="ru-RU"/>
              </w:rPr>
              <w:t>)</w:t>
            </w:r>
          </w:p>
        </w:tc>
      </w:tr>
      <w:tr w:rsidR="00D95DBC" w:rsidRPr="00D95DBC" w14:paraId="33FC2A40" w14:textId="77777777" w:rsidTr="00AB4AD8">
        <w:trPr>
          <w:trHeight w:val="20"/>
        </w:trPr>
        <w:tc>
          <w:tcPr>
            <w:tcW w:w="4156" w:type="dxa"/>
            <w:tcBorders>
              <w:top w:val="single" w:sz="4" w:space="0" w:color="auto"/>
              <w:left w:val="nil"/>
              <w:bottom w:val="nil"/>
              <w:right w:val="nil"/>
            </w:tcBorders>
            <w:vAlign w:val="center"/>
          </w:tcPr>
          <w:p w14:paraId="04F0BDEA" w14:textId="77777777" w:rsidR="00B374D9" w:rsidRPr="00D95DBC" w:rsidRDefault="00B374D9" w:rsidP="00AB4AD8">
            <w:pPr>
              <w:spacing w:line="240" w:lineRule="auto"/>
              <w:rPr>
                <w:color w:val="auto"/>
                <w:szCs w:val="24"/>
                <w:lang w:eastAsia="ru-RU"/>
              </w:rPr>
            </w:pPr>
            <w:r w:rsidRPr="00D95DBC">
              <w:rPr>
                <w:color w:val="auto"/>
                <w:szCs w:val="24"/>
                <w:lang w:eastAsia="ru-RU"/>
              </w:rPr>
              <w:t>Oil products</w:t>
            </w:r>
          </w:p>
        </w:tc>
        <w:tc>
          <w:tcPr>
            <w:tcW w:w="5348" w:type="dxa"/>
            <w:tcBorders>
              <w:top w:val="single" w:sz="4" w:space="0" w:color="auto"/>
              <w:left w:val="nil"/>
              <w:bottom w:val="nil"/>
              <w:right w:val="nil"/>
            </w:tcBorders>
            <w:vAlign w:val="center"/>
          </w:tcPr>
          <w:p w14:paraId="22B279EC"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18.85</w:t>
            </w:r>
          </w:p>
        </w:tc>
      </w:tr>
      <w:tr w:rsidR="00D95DBC" w:rsidRPr="00D95DBC" w14:paraId="17D83C57" w14:textId="77777777" w:rsidTr="00AB4AD8">
        <w:trPr>
          <w:trHeight w:val="20"/>
        </w:trPr>
        <w:tc>
          <w:tcPr>
            <w:tcW w:w="4156" w:type="dxa"/>
            <w:vAlign w:val="center"/>
          </w:tcPr>
          <w:p w14:paraId="6BEDB915" w14:textId="77777777" w:rsidR="00B374D9" w:rsidRPr="00D95DBC" w:rsidRDefault="00B374D9" w:rsidP="00AB4AD8">
            <w:pPr>
              <w:spacing w:line="240" w:lineRule="auto"/>
              <w:rPr>
                <w:color w:val="auto"/>
                <w:szCs w:val="24"/>
                <w:lang w:eastAsia="ru-RU"/>
              </w:rPr>
            </w:pPr>
            <w:r w:rsidRPr="00D95DBC">
              <w:rPr>
                <w:color w:val="auto"/>
                <w:szCs w:val="24"/>
                <w:lang w:eastAsia="ru-RU"/>
              </w:rPr>
              <w:t>Iron ions</w:t>
            </w:r>
          </w:p>
        </w:tc>
        <w:tc>
          <w:tcPr>
            <w:tcW w:w="5348" w:type="dxa"/>
            <w:vAlign w:val="center"/>
          </w:tcPr>
          <w:p w14:paraId="19E240AF"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12.14</w:t>
            </w:r>
          </w:p>
        </w:tc>
      </w:tr>
      <w:tr w:rsidR="00D95DBC" w:rsidRPr="00D95DBC" w14:paraId="0F1F2E39" w14:textId="77777777" w:rsidTr="00AB4AD8">
        <w:trPr>
          <w:trHeight w:val="20"/>
        </w:trPr>
        <w:tc>
          <w:tcPr>
            <w:tcW w:w="4156" w:type="dxa"/>
            <w:vAlign w:val="center"/>
          </w:tcPr>
          <w:p w14:paraId="5D8F8303" w14:textId="77777777" w:rsidR="00B374D9" w:rsidRPr="00D95DBC" w:rsidRDefault="00B374D9" w:rsidP="00AB4AD8">
            <w:pPr>
              <w:spacing w:line="240" w:lineRule="auto"/>
              <w:rPr>
                <w:color w:val="auto"/>
                <w:szCs w:val="24"/>
                <w:lang w:eastAsia="ru-RU"/>
              </w:rPr>
            </w:pPr>
            <w:r w:rsidRPr="00D95DBC">
              <w:rPr>
                <w:color w:val="auto"/>
                <w:szCs w:val="24"/>
                <w:lang w:eastAsia="ru-RU"/>
              </w:rPr>
              <w:t>Copper ions</w:t>
            </w:r>
          </w:p>
        </w:tc>
        <w:tc>
          <w:tcPr>
            <w:tcW w:w="5348" w:type="dxa"/>
            <w:vAlign w:val="center"/>
          </w:tcPr>
          <w:p w14:paraId="65A1E6C6"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15.67</w:t>
            </w:r>
          </w:p>
        </w:tc>
      </w:tr>
      <w:tr w:rsidR="00D95DBC" w:rsidRPr="00D95DBC" w14:paraId="7CD41E05" w14:textId="77777777" w:rsidTr="00AB4AD8">
        <w:trPr>
          <w:trHeight w:val="20"/>
        </w:trPr>
        <w:tc>
          <w:tcPr>
            <w:tcW w:w="4156" w:type="dxa"/>
            <w:vAlign w:val="center"/>
          </w:tcPr>
          <w:p w14:paraId="3A3CF096" w14:textId="77777777" w:rsidR="00B374D9" w:rsidRPr="00D95DBC" w:rsidRDefault="00B374D9" w:rsidP="00AB4AD8">
            <w:pPr>
              <w:spacing w:line="240" w:lineRule="auto"/>
              <w:rPr>
                <w:color w:val="auto"/>
                <w:szCs w:val="24"/>
                <w:lang w:eastAsia="ru-RU"/>
              </w:rPr>
            </w:pPr>
            <w:r w:rsidRPr="00D95DBC">
              <w:rPr>
                <w:color w:val="auto"/>
                <w:szCs w:val="24"/>
                <w:lang w:eastAsia="ru-RU"/>
              </w:rPr>
              <w:t>Lead ions</w:t>
            </w:r>
          </w:p>
        </w:tc>
        <w:tc>
          <w:tcPr>
            <w:tcW w:w="5348" w:type="dxa"/>
            <w:vAlign w:val="center"/>
          </w:tcPr>
          <w:p w14:paraId="4EE686F4"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11.85</w:t>
            </w:r>
          </w:p>
        </w:tc>
      </w:tr>
      <w:tr w:rsidR="00D95DBC" w:rsidRPr="00D95DBC" w14:paraId="5EE1FD15" w14:textId="77777777" w:rsidTr="00AB4AD8">
        <w:trPr>
          <w:trHeight w:val="20"/>
        </w:trPr>
        <w:tc>
          <w:tcPr>
            <w:tcW w:w="4156" w:type="dxa"/>
            <w:vAlign w:val="center"/>
          </w:tcPr>
          <w:p w14:paraId="7090AEC8" w14:textId="77777777" w:rsidR="00B374D9" w:rsidRPr="00D95DBC" w:rsidRDefault="00B374D9" w:rsidP="00AB4AD8">
            <w:pPr>
              <w:spacing w:line="240" w:lineRule="auto"/>
              <w:rPr>
                <w:color w:val="auto"/>
                <w:szCs w:val="24"/>
                <w:lang w:eastAsia="ru-RU"/>
              </w:rPr>
            </w:pPr>
            <w:r w:rsidRPr="00D95DBC">
              <w:rPr>
                <w:color w:val="auto"/>
                <w:szCs w:val="24"/>
                <w:lang w:eastAsia="ru-RU"/>
              </w:rPr>
              <w:t>Manganese ions</w:t>
            </w:r>
          </w:p>
        </w:tc>
        <w:tc>
          <w:tcPr>
            <w:tcW w:w="5348" w:type="dxa"/>
            <w:vAlign w:val="center"/>
          </w:tcPr>
          <w:p w14:paraId="798E305B"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14.34</w:t>
            </w:r>
          </w:p>
        </w:tc>
      </w:tr>
      <w:tr w:rsidR="00B374D9" w:rsidRPr="00D95DBC" w14:paraId="71E6A1C7" w14:textId="77777777" w:rsidTr="00AB4AD8">
        <w:trPr>
          <w:trHeight w:val="20"/>
        </w:trPr>
        <w:tc>
          <w:tcPr>
            <w:tcW w:w="4156" w:type="dxa"/>
            <w:tcBorders>
              <w:top w:val="nil"/>
              <w:left w:val="nil"/>
              <w:bottom w:val="single" w:sz="4" w:space="0" w:color="auto"/>
              <w:right w:val="nil"/>
            </w:tcBorders>
            <w:vAlign w:val="center"/>
          </w:tcPr>
          <w:p w14:paraId="1EB6E95F" w14:textId="77777777" w:rsidR="00B374D9" w:rsidRPr="00D95DBC" w:rsidRDefault="00B374D9" w:rsidP="00AB4AD8">
            <w:pPr>
              <w:spacing w:line="240" w:lineRule="auto"/>
              <w:rPr>
                <w:color w:val="auto"/>
                <w:szCs w:val="24"/>
                <w:lang w:eastAsia="ru-RU"/>
              </w:rPr>
            </w:pPr>
            <w:r w:rsidRPr="00D95DBC">
              <w:rPr>
                <w:color w:val="auto"/>
                <w:szCs w:val="24"/>
                <w:lang w:eastAsia="ru-RU"/>
              </w:rPr>
              <w:t>Cadmium ions</w:t>
            </w:r>
          </w:p>
        </w:tc>
        <w:tc>
          <w:tcPr>
            <w:tcW w:w="5348" w:type="dxa"/>
            <w:tcBorders>
              <w:top w:val="nil"/>
              <w:left w:val="nil"/>
              <w:bottom w:val="single" w:sz="4" w:space="0" w:color="auto"/>
              <w:right w:val="nil"/>
            </w:tcBorders>
            <w:vAlign w:val="center"/>
          </w:tcPr>
          <w:p w14:paraId="6A2393B6" w14:textId="77777777" w:rsidR="00B374D9" w:rsidRPr="00D95DBC" w:rsidRDefault="00B374D9" w:rsidP="00AB4AD8">
            <w:pPr>
              <w:spacing w:line="240" w:lineRule="auto"/>
              <w:jc w:val="center"/>
              <w:rPr>
                <w:color w:val="auto"/>
                <w:szCs w:val="24"/>
                <w:lang w:eastAsia="ru-RU"/>
              </w:rPr>
            </w:pPr>
            <w:r w:rsidRPr="00D95DBC">
              <w:rPr>
                <w:color w:val="auto"/>
                <w:szCs w:val="24"/>
                <w:lang w:eastAsia="ru-RU"/>
              </w:rPr>
              <w:t>16.07</w:t>
            </w:r>
          </w:p>
        </w:tc>
      </w:tr>
    </w:tbl>
    <w:p w14:paraId="4A4B42C3" w14:textId="77777777" w:rsidR="00B374D9" w:rsidRPr="00D95DBC" w:rsidRDefault="00B374D9" w:rsidP="00B374D9">
      <w:pPr>
        <w:widowControl w:val="0"/>
        <w:spacing w:line="360" w:lineRule="auto"/>
        <w:rPr>
          <w:rStyle w:val="aff0"/>
          <w:b/>
          <w:bCs/>
          <w:i w:val="0"/>
          <w:color w:val="auto"/>
          <w:szCs w:val="24"/>
          <w:shd w:val="clear" w:color="auto" w:fill="FFFFFF"/>
        </w:rPr>
      </w:pPr>
    </w:p>
    <w:p w14:paraId="33AC94FE" w14:textId="77777777" w:rsidR="00B374D9" w:rsidRPr="00D95DBC" w:rsidRDefault="00B374D9" w:rsidP="006B3047">
      <w:pPr>
        <w:pStyle w:val="aff1"/>
        <w:jc w:val="both"/>
        <w:rPr>
          <w:rFonts w:ascii="Times New Roman" w:eastAsia="Times New Roman" w:hAnsi="Times New Roman" w:cs="Times New Roman"/>
          <w:b/>
          <w:sz w:val="24"/>
          <w:szCs w:val="24"/>
          <w:lang w:val="en-US"/>
        </w:rPr>
      </w:pPr>
      <w:r w:rsidRPr="00D95DBC">
        <w:rPr>
          <w:rFonts w:ascii="Times New Roman" w:hAnsi="Times New Roman" w:cs="Times New Roman"/>
          <w:sz w:val="24"/>
          <w:szCs w:val="24"/>
        </w:rPr>
        <w:object w:dxaOrig="8130" w:dyaOrig="6585" w14:anchorId="4091C7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7.7pt;height:329.15pt" o:ole="">
            <v:imagedata r:id="rId19" o:title=""/>
          </v:shape>
          <o:OLEObject Type="Embed" ProgID="PBrush" ShapeID="_x0000_i1025" DrawAspect="Content" ObjectID="_1841435433" r:id="rId20"/>
        </w:object>
      </w:r>
    </w:p>
    <w:p w14:paraId="7EDCA0D9" w14:textId="77777777" w:rsidR="00B374D9" w:rsidRPr="00D95DBC" w:rsidRDefault="00B374D9" w:rsidP="006B3047">
      <w:pPr>
        <w:pStyle w:val="aff1"/>
        <w:jc w:val="both"/>
        <w:rPr>
          <w:rFonts w:ascii="Times New Roman" w:eastAsia="Times New Roman" w:hAnsi="Times New Roman" w:cs="Times New Roman"/>
          <w:sz w:val="24"/>
          <w:szCs w:val="24"/>
          <w:lang w:val="en-US"/>
        </w:rPr>
      </w:pPr>
      <w:r w:rsidRPr="00D95DBC">
        <w:rPr>
          <w:rFonts w:ascii="Times New Roman" w:eastAsia="Times New Roman" w:hAnsi="Times New Roman" w:cs="Times New Roman"/>
          <w:b/>
          <w:sz w:val="24"/>
          <w:szCs w:val="24"/>
          <w:lang w:val="en-US"/>
        </w:rPr>
        <w:t>Fig. 1:</w:t>
      </w:r>
      <w:r w:rsidRPr="00D95DBC">
        <w:rPr>
          <w:rFonts w:ascii="Times New Roman" w:eastAsia="Times New Roman" w:hAnsi="Times New Roman" w:cs="Times New Roman"/>
          <w:sz w:val="24"/>
          <w:szCs w:val="24"/>
          <w:lang w:val="en-US"/>
        </w:rPr>
        <w:t xml:space="preserve"> Absorption spectra of sorption-catalytic materials in the IR region using the method of incomplete internal reflection</w:t>
      </w:r>
    </w:p>
    <w:p w14:paraId="0F4985DA" w14:textId="77777777" w:rsidR="00B374D9" w:rsidRPr="00D95DBC" w:rsidRDefault="00B374D9" w:rsidP="00B374D9">
      <w:pPr>
        <w:widowControl w:val="0"/>
        <w:spacing w:line="360" w:lineRule="auto"/>
        <w:rPr>
          <w:rStyle w:val="aff0"/>
          <w:b/>
          <w:bCs/>
          <w:i w:val="0"/>
          <w:color w:val="auto"/>
          <w:szCs w:val="24"/>
          <w:shd w:val="clear" w:color="auto" w:fill="FFFFFF"/>
        </w:rPr>
      </w:pPr>
    </w:p>
    <w:p w14:paraId="66D8D6E6" w14:textId="6B400353" w:rsidR="00B374D9" w:rsidRPr="00D95DBC" w:rsidRDefault="00B374D9" w:rsidP="00B374D9">
      <w:pPr>
        <w:widowControl w:val="0"/>
        <w:spacing w:line="240" w:lineRule="auto"/>
        <w:rPr>
          <w:rStyle w:val="aff0"/>
          <w:b/>
          <w:bCs/>
          <w:i w:val="0"/>
          <w:color w:val="auto"/>
          <w:szCs w:val="24"/>
          <w:shd w:val="clear" w:color="auto" w:fill="FFFFFF"/>
        </w:rPr>
      </w:pPr>
      <w:r w:rsidRPr="00D95DBC">
        <w:rPr>
          <w:color w:val="auto"/>
          <w:szCs w:val="24"/>
          <w:lang w:val="ru-RU" w:eastAsia="ru-RU"/>
        </w:rPr>
        <w:lastRenderedPageBreak/>
        <w:drawing>
          <wp:inline distT="0" distB="0" distL="0" distR="0" wp14:anchorId="11CC8230" wp14:editId="6DAB28CD">
            <wp:extent cx="4378960" cy="2734945"/>
            <wp:effectExtent l="0" t="0" r="2540" b="8255"/>
            <wp:docPr id="12"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56"/>
                    <pic:cNvPicPr>
                      <a:picLocks noChangeAspect="1" noChangeArrowheads="1"/>
                    </pic:cNvPicPr>
                  </pic:nvPicPr>
                  <pic:blipFill>
                    <a:blip r:embed="rId21" cstate="print"/>
                    <a:srcRect l="2784" t="7565" r="1390"/>
                    <a:stretch>
                      <a:fillRect/>
                    </a:stretch>
                  </pic:blipFill>
                  <pic:spPr>
                    <a:xfrm>
                      <a:off x="0" y="0"/>
                      <a:ext cx="4388334" cy="2740951"/>
                    </a:xfrm>
                    <a:prstGeom prst="rect">
                      <a:avLst/>
                    </a:prstGeom>
                    <a:noFill/>
                    <a:ln>
                      <a:noFill/>
                    </a:ln>
                  </pic:spPr>
                </pic:pic>
              </a:graphicData>
            </a:graphic>
          </wp:inline>
        </w:drawing>
      </w:r>
    </w:p>
    <w:p w14:paraId="7C195A03" w14:textId="77777777" w:rsidR="00B374D9" w:rsidRPr="00D95DBC" w:rsidRDefault="00B374D9" w:rsidP="00B374D9">
      <w:pPr>
        <w:spacing w:line="240" w:lineRule="auto"/>
        <w:rPr>
          <w:rStyle w:val="aff0"/>
          <w:bCs/>
          <w:i w:val="0"/>
          <w:color w:val="auto"/>
          <w:szCs w:val="24"/>
          <w:shd w:val="clear" w:color="auto" w:fill="FFFFFF"/>
        </w:rPr>
      </w:pPr>
      <w:r w:rsidRPr="00D95DBC">
        <w:rPr>
          <w:rStyle w:val="aff0"/>
          <w:b/>
          <w:bCs/>
          <w:i w:val="0"/>
          <w:color w:val="auto"/>
          <w:szCs w:val="24"/>
          <w:shd w:val="clear" w:color="auto" w:fill="FFFFFF"/>
        </w:rPr>
        <w:t xml:space="preserve">Fig. 2: </w:t>
      </w:r>
      <w:r w:rsidRPr="00D95DBC">
        <w:rPr>
          <w:rStyle w:val="aff0"/>
          <w:bCs/>
          <w:i w:val="0"/>
          <w:color w:val="auto"/>
          <w:szCs w:val="24"/>
          <w:shd w:val="clear" w:color="auto" w:fill="FFFFFF"/>
        </w:rPr>
        <w:t>Diffractograms of sorption-catalytic sample materials: 1 – sample No.1; 2 – sample No.2; 3 – sample No.3; 4 – sample No.4; 5 – sample No.5</w:t>
      </w:r>
    </w:p>
    <w:p w14:paraId="43DD03C4" w14:textId="77777777" w:rsidR="00B374D9" w:rsidRPr="00D95DBC" w:rsidRDefault="00B374D9" w:rsidP="00B374D9">
      <w:pPr>
        <w:spacing w:line="360" w:lineRule="auto"/>
        <w:rPr>
          <w:rStyle w:val="aff0"/>
          <w:bCs/>
          <w:i w:val="0"/>
          <w:color w:val="auto"/>
          <w:szCs w:val="24"/>
          <w:shd w:val="clear" w:color="auto" w:fill="FFFFFF"/>
        </w:rPr>
      </w:pPr>
    </w:p>
    <w:p w14:paraId="17F26171" w14:textId="77777777" w:rsidR="006B3047" w:rsidRPr="00D95DBC" w:rsidRDefault="006B3047" w:rsidP="006B3047">
      <w:pPr>
        <w:spacing w:line="240" w:lineRule="auto"/>
        <w:rPr>
          <w:color w:val="auto"/>
          <w:szCs w:val="24"/>
          <w:lang w:val="ru-RU"/>
        </w:rPr>
      </w:pPr>
      <w:r w:rsidRPr="00D95DBC">
        <w:rPr>
          <w:color w:val="auto"/>
          <w:szCs w:val="24"/>
          <w:lang w:val="ru-RU" w:eastAsia="ru-RU"/>
        </w:rPr>
        <w:drawing>
          <wp:inline distT="0" distB="0" distL="0" distR="0" wp14:anchorId="7A1B215B" wp14:editId="7DDBA2BB">
            <wp:extent cx="4229100" cy="2743200"/>
            <wp:effectExtent l="0" t="0" r="0" b="0"/>
            <wp:docPr id="13"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4890E7D8" w14:textId="77777777" w:rsidR="006B3047" w:rsidRPr="00D95DBC" w:rsidRDefault="006B3047" w:rsidP="006B3047">
      <w:pPr>
        <w:spacing w:line="240" w:lineRule="auto"/>
        <w:rPr>
          <w:color w:val="auto"/>
          <w:szCs w:val="24"/>
        </w:rPr>
      </w:pPr>
      <w:r w:rsidRPr="00D95DBC">
        <w:rPr>
          <w:b/>
          <w:color w:val="auto"/>
          <w:szCs w:val="24"/>
        </w:rPr>
        <w:t>Fig. 3:</w:t>
      </w:r>
      <w:r w:rsidRPr="00D95DBC">
        <w:rPr>
          <w:color w:val="auto"/>
          <w:szCs w:val="24"/>
        </w:rPr>
        <w:t xml:space="preserve"> Crystallite size distribution in the sorption-catalytic sample materials: 1 – sample No.1; 2 – sample No.2; 3 – sample No.3; 4 – sample No.4; 5 – sample No.5</w:t>
      </w:r>
    </w:p>
    <w:p w14:paraId="5CADAF92" w14:textId="77777777" w:rsidR="00B374D9" w:rsidRPr="00D95DBC" w:rsidRDefault="00B374D9" w:rsidP="00B374D9">
      <w:pPr>
        <w:spacing w:line="360" w:lineRule="auto"/>
        <w:rPr>
          <w:rStyle w:val="aff0"/>
          <w:bCs/>
          <w:i w:val="0"/>
          <w:color w:val="auto"/>
          <w:szCs w:val="24"/>
          <w:shd w:val="clear" w:color="auto" w:fill="FFFFFF"/>
        </w:rPr>
      </w:pPr>
    </w:p>
    <w:tbl>
      <w:tblPr>
        <w:tblStyle w:val="6"/>
        <w:tblW w:w="0" w:type="auto"/>
        <w:tblLook w:val="04A0" w:firstRow="1" w:lastRow="0" w:firstColumn="1" w:lastColumn="0" w:noHBand="0" w:noVBand="1"/>
      </w:tblPr>
      <w:tblGrid>
        <w:gridCol w:w="4592"/>
        <w:gridCol w:w="4434"/>
      </w:tblGrid>
      <w:tr w:rsidR="00D95DBC" w:rsidRPr="00D95DBC" w14:paraId="4711F9EB" w14:textId="77777777" w:rsidTr="00B267D2">
        <w:trPr>
          <w:trHeight w:val="3676"/>
        </w:trPr>
        <w:tc>
          <w:tcPr>
            <w:tcW w:w="0" w:type="auto"/>
          </w:tcPr>
          <w:p w14:paraId="34AC92D4" w14:textId="03DEB8A9" w:rsidR="006B3047" w:rsidRPr="00D95DBC" w:rsidRDefault="006B3047" w:rsidP="006B3047">
            <w:pPr>
              <w:spacing w:line="240" w:lineRule="auto"/>
              <w:jc w:val="center"/>
              <w:rPr>
                <w:b/>
                <w:color w:val="auto"/>
                <w:szCs w:val="24"/>
                <w:lang w:val="ru-RU" w:eastAsia="ru-RU"/>
              </w:rPr>
            </w:pPr>
            <w:r w:rsidRPr="00D95DBC">
              <w:rPr>
                <w:rFonts w:eastAsia="SimSun"/>
                <w:b/>
                <w:color w:val="auto"/>
                <w:szCs w:val="24"/>
              </w:rPr>
              <w:object w:dxaOrig="4530" w:dyaOrig="3480" w14:anchorId="609AA373">
                <v:shape id="_x0000_i1026" type="#_x0000_t75" style="width:226.3pt;height:173pt" o:ole="">
                  <v:imagedata r:id="rId23" o:title=""/>
                </v:shape>
                <o:OLEObject Type="Embed" ProgID="PBrush" ShapeID="_x0000_i1026" DrawAspect="Content" ObjectID="_1841435434" r:id="rId24"/>
              </w:object>
            </w:r>
            <w:r w:rsidR="00B267D2" w:rsidRPr="00D95DBC">
              <w:rPr>
                <w:rFonts w:eastAsia="SimSun"/>
                <w:b/>
                <w:color w:val="auto"/>
                <w:szCs w:val="24"/>
                <w:lang w:val="ru-RU"/>
              </w:rPr>
              <w:t>(A)</w:t>
            </w:r>
          </w:p>
        </w:tc>
        <w:tc>
          <w:tcPr>
            <w:tcW w:w="0" w:type="auto"/>
          </w:tcPr>
          <w:p w14:paraId="5B898DCE" w14:textId="74F46172" w:rsidR="006B3047" w:rsidRPr="00D95DBC" w:rsidRDefault="006B3047" w:rsidP="006B3047">
            <w:pPr>
              <w:spacing w:line="240" w:lineRule="auto"/>
              <w:jc w:val="center"/>
              <w:rPr>
                <w:b/>
                <w:color w:val="auto"/>
                <w:szCs w:val="24"/>
                <w:lang w:eastAsia="ru-RU"/>
              </w:rPr>
            </w:pPr>
            <w:r w:rsidRPr="00D95DBC">
              <w:rPr>
                <w:rFonts w:eastAsia="SimSun"/>
                <w:b/>
                <w:color w:val="auto"/>
                <w:szCs w:val="24"/>
              </w:rPr>
              <w:object w:dxaOrig="4380" w:dyaOrig="3435" w14:anchorId="277D5768">
                <v:shape id="_x0000_i1027" type="#_x0000_t75" style="width:218.8pt;height:172.05pt" o:ole="">
                  <v:imagedata r:id="rId25" o:title=""/>
                </v:shape>
                <o:OLEObject Type="Embed" ProgID="PBrush" ShapeID="_x0000_i1027" DrawAspect="Content" ObjectID="_1841435435" r:id="rId26"/>
              </w:object>
            </w:r>
            <w:r w:rsidR="00B267D2" w:rsidRPr="00D95DBC">
              <w:rPr>
                <w:rFonts w:eastAsia="SimSun"/>
                <w:b/>
                <w:color w:val="auto"/>
                <w:szCs w:val="24"/>
              </w:rPr>
              <w:t>(B)</w:t>
            </w:r>
          </w:p>
        </w:tc>
      </w:tr>
      <w:tr w:rsidR="00D95DBC" w:rsidRPr="00D95DBC" w14:paraId="5B4B76DB" w14:textId="77777777" w:rsidTr="00B267D2">
        <w:trPr>
          <w:trHeight w:val="3460"/>
        </w:trPr>
        <w:tc>
          <w:tcPr>
            <w:tcW w:w="0" w:type="auto"/>
          </w:tcPr>
          <w:p w14:paraId="7B73C2AC" w14:textId="411D7E5C" w:rsidR="006B3047" w:rsidRPr="00D95DBC" w:rsidRDefault="00B267D2" w:rsidP="006B3047">
            <w:pPr>
              <w:spacing w:line="240" w:lineRule="auto"/>
              <w:jc w:val="center"/>
              <w:rPr>
                <w:b/>
                <w:color w:val="auto"/>
                <w:szCs w:val="24"/>
                <w:lang w:eastAsia="ru-RU"/>
              </w:rPr>
            </w:pPr>
            <w:r w:rsidRPr="00D95DBC">
              <w:rPr>
                <w:rFonts w:eastAsia="SimSun"/>
                <w:b/>
                <w:color w:val="auto"/>
                <w:szCs w:val="24"/>
              </w:rPr>
              <w:object w:dxaOrig="4320" w:dyaOrig="3360" w14:anchorId="0E8F0873">
                <v:shape id="_x0000_i1028" type="#_x0000_t75" style="width:3in;height:168.3pt" o:ole="">
                  <v:imagedata r:id="rId27" o:title=""/>
                </v:shape>
                <o:OLEObject Type="Embed" ProgID="PBrush" ShapeID="_x0000_i1028" DrawAspect="Content" ObjectID="_1841435436" r:id="rId28"/>
              </w:object>
            </w:r>
          </w:p>
        </w:tc>
        <w:tc>
          <w:tcPr>
            <w:tcW w:w="0" w:type="auto"/>
          </w:tcPr>
          <w:p w14:paraId="23003DB1" w14:textId="4B219C09" w:rsidR="006B3047" w:rsidRPr="00D95DBC" w:rsidRDefault="00B267D2" w:rsidP="006B3047">
            <w:pPr>
              <w:spacing w:line="240" w:lineRule="auto"/>
              <w:jc w:val="center"/>
              <w:rPr>
                <w:b/>
                <w:color w:val="auto"/>
                <w:szCs w:val="24"/>
                <w:lang w:eastAsia="ru-RU"/>
              </w:rPr>
            </w:pPr>
            <w:r w:rsidRPr="00D95DBC">
              <w:rPr>
                <w:rFonts w:eastAsia="SimSun"/>
                <w:b/>
                <w:color w:val="auto"/>
                <w:szCs w:val="24"/>
              </w:rPr>
              <w:object w:dxaOrig="4290" w:dyaOrig="3330" w14:anchorId="2043EB30">
                <v:shape id="_x0000_i1029" type="#_x0000_t75" style="width:214.15pt;height:166.45pt" o:ole="">
                  <v:imagedata r:id="rId29" o:title=""/>
                </v:shape>
                <o:OLEObject Type="Embed" ProgID="PBrush" ShapeID="_x0000_i1029" DrawAspect="Content" ObjectID="_1841435437" r:id="rId30"/>
              </w:object>
            </w:r>
          </w:p>
        </w:tc>
      </w:tr>
      <w:tr w:rsidR="00D95DBC" w:rsidRPr="00D95DBC" w14:paraId="35BA97E7" w14:textId="77777777" w:rsidTr="00B267D2">
        <w:tc>
          <w:tcPr>
            <w:tcW w:w="0" w:type="auto"/>
          </w:tcPr>
          <w:p w14:paraId="791B9B4D" w14:textId="77777777" w:rsidR="006B3047" w:rsidRPr="00D95DBC" w:rsidRDefault="006B3047" w:rsidP="006B3047">
            <w:pPr>
              <w:spacing w:line="240" w:lineRule="auto"/>
              <w:jc w:val="center"/>
              <w:rPr>
                <w:b/>
                <w:color w:val="auto"/>
                <w:szCs w:val="24"/>
                <w:lang w:eastAsia="ru-RU"/>
              </w:rPr>
            </w:pPr>
            <w:r w:rsidRPr="00D95DBC">
              <w:rPr>
                <w:b/>
                <w:color w:val="auto"/>
                <w:szCs w:val="24"/>
                <w:lang w:eastAsia="ru-RU"/>
              </w:rPr>
              <w:t>(C)</w:t>
            </w:r>
          </w:p>
        </w:tc>
        <w:tc>
          <w:tcPr>
            <w:tcW w:w="0" w:type="auto"/>
          </w:tcPr>
          <w:p w14:paraId="3321E0D2" w14:textId="77777777" w:rsidR="006B3047" w:rsidRPr="00D95DBC" w:rsidRDefault="006B3047" w:rsidP="006B3047">
            <w:pPr>
              <w:spacing w:line="240" w:lineRule="auto"/>
              <w:jc w:val="center"/>
              <w:rPr>
                <w:b/>
                <w:color w:val="auto"/>
                <w:szCs w:val="24"/>
                <w:lang w:eastAsia="ru-RU"/>
              </w:rPr>
            </w:pPr>
            <w:r w:rsidRPr="00D95DBC">
              <w:rPr>
                <w:b/>
                <w:color w:val="auto"/>
                <w:szCs w:val="24"/>
                <w:lang w:eastAsia="ru-RU"/>
              </w:rPr>
              <w:t>(D)</w:t>
            </w:r>
          </w:p>
        </w:tc>
      </w:tr>
      <w:tr w:rsidR="00D95DBC" w:rsidRPr="00D95DBC" w14:paraId="2247000E" w14:textId="77777777" w:rsidTr="00B267D2">
        <w:tc>
          <w:tcPr>
            <w:tcW w:w="0" w:type="auto"/>
            <w:gridSpan w:val="2"/>
          </w:tcPr>
          <w:p w14:paraId="52625AEC" w14:textId="77777777" w:rsidR="006B3047" w:rsidRPr="00D95DBC" w:rsidRDefault="006B3047" w:rsidP="006B3047">
            <w:pPr>
              <w:spacing w:line="240" w:lineRule="auto"/>
              <w:jc w:val="center"/>
              <w:rPr>
                <w:b/>
                <w:color w:val="auto"/>
                <w:szCs w:val="24"/>
                <w:lang w:eastAsia="ru-RU"/>
              </w:rPr>
            </w:pPr>
            <w:r w:rsidRPr="00D95DBC">
              <w:rPr>
                <w:rFonts w:eastAsia="SimSun"/>
                <w:b/>
                <w:color w:val="auto"/>
                <w:szCs w:val="24"/>
              </w:rPr>
              <w:object w:dxaOrig="4575" w:dyaOrig="3570" w14:anchorId="68A247E2">
                <v:shape id="_x0000_i1030" type="#_x0000_t75" style="width:229.1pt;height:178.6pt" o:ole="">
                  <v:imagedata r:id="rId31" o:title=""/>
                </v:shape>
                <o:OLEObject Type="Embed" ProgID="PBrush" ShapeID="_x0000_i1030" DrawAspect="Content" ObjectID="_1841435438" r:id="rId32"/>
              </w:object>
            </w:r>
          </w:p>
        </w:tc>
      </w:tr>
      <w:tr w:rsidR="00D95DBC" w:rsidRPr="00D95DBC" w14:paraId="78248F7D" w14:textId="77777777" w:rsidTr="00B267D2">
        <w:tc>
          <w:tcPr>
            <w:tcW w:w="0" w:type="auto"/>
            <w:gridSpan w:val="2"/>
          </w:tcPr>
          <w:p w14:paraId="18D9D747" w14:textId="77777777" w:rsidR="006B3047" w:rsidRPr="00D95DBC" w:rsidRDefault="006B3047" w:rsidP="006B3047">
            <w:pPr>
              <w:spacing w:line="240" w:lineRule="auto"/>
              <w:jc w:val="center"/>
              <w:rPr>
                <w:b/>
                <w:color w:val="auto"/>
                <w:szCs w:val="24"/>
                <w:lang w:eastAsia="ru-RU"/>
              </w:rPr>
            </w:pPr>
            <w:r w:rsidRPr="00D95DBC">
              <w:rPr>
                <w:b/>
                <w:color w:val="auto"/>
                <w:szCs w:val="24"/>
                <w:lang w:eastAsia="ru-RU"/>
              </w:rPr>
              <w:t>(E)</w:t>
            </w:r>
          </w:p>
        </w:tc>
      </w:tr>
    </w:tbl>
    <w:p w14:paraId="2DA1A04D" w14:textId="77777777" w:rsidR="006B3047" w:rsidRPr="00D95DBC" w:rsidRDefault="006B3047" w:rsidP="006B3047">
      <w:pPr>
        <w:spacing w:line="240" w:lineRule="auto"/>
        <w:rPr>
          <w:color w:val="auto"/>
          <w:spacing w:val="-8"/>
          <w:szCs w:val="24"/>
        </w:rPr>
      </w:pPr>
      <w:r w:rsidRPr="00D95DBC">
        <w:rPr>
          <w:b/>
          <w:color w:val="auto"/>
          <w:spacing w:val="-8"/>
          <w:szCs w:val="24"/>
        </w:rPr>
        <w:t>Fig. 4:</w:t>
      </w:r>
      <w:r w:rsidRPr="00D95DBC">
        <w:rPr>
          <w:color w:val="auto"/>
          <w:spacing w:val="-8"/>
          <w:szCs w:val="24"/>
        </w:rPr>
        <w:t xml:space="preserve"> Microphotographs of sorption-catalytic sample materials obtained by the SEM method (magnification </w:t>
      </w:r>
      <w:r w:rsidRPr="00D95DBC">
        <w:rPr>
          <w:color w:val="auto"/>
          <w:spacing w:val="-8"/>
          <w:szCs w:val="24"/>
        </w:rPr>
        <w:sym w:font="Symbol" w:char="F0B4"/>
      </w:r>
      <w:r w:rsidRPr="00D95DBC">
        <w:rPr>
          <w:color w:val="auto"/>
          <w:spacing w:val="-8"/>
          <w:szCs w:val="24"/>
        </w:rPr>
        <w:t>20,000): (A) sample No. 1, (B) sample No. 2, (C) sample No. 3, (D) sample No. 4, (E) sample No. 5</w:t>
      </w:r>
    </w:p>
    <w:p w14:paraId="71118D75" w14:textId="77777777" w:rsidR="006B3047" w:rsidRPr="00D95DBC" w:rsidRDefault="006B3047" w:rsidP="00B374D9">
      <w:pPr>
        <w:spacing w:line="360" w:lineRule="auto"/>
        <w:rPr>
          <w:rStyle w:val="aff0"/>
          <w:bCs/>
          <w:i w:val="0"/>
          <w:color w:val="auto"/>
          <w:szCs w:val="24"/>
          <w:shd w:val="clear" w:color="auto" w:fill="FFFFFF"/>
        </w:rPr>
      </w:pPr>
    </w:p>
    <w:p w14:paraId="7DEE5D40" w14:textId="77777777" w:rsidR="00B267D2" w:rsidRPr="00D95DBC" w:rsidRDefault="00B267D2" w:rsidP="00B267D2">
      <w:pPr>
        <w:spacing w:line="240" w:lineRule="auto"/>
        <w:rPr>
          <w:b/>
          <w:color w:val="auto"/>
          <w:szCs w:val="24"/>
          <w:lang w:val="ru-RU"/>
        </w:rPr>
      </w:pPr>
      <w:r w:rsidRPr="00D95DBC">
        <w:rPr>
          <w:b/>
          <w:color w:val="auto"/>
          <w:szCs w:val="24"/>
          <w:lang w:val="ru-RU" w:eastAsia="ru-RU"/>
        </w:rPr>
        <w:lastRenderedPageBreak/>
        <w:drawing>
          <wp:inline distT="0" distB="0" distL="0" distR="0" wp14:anchorId="0BBAE63D" wp14:editId="1C1F5A79">
            <wp:extent cx="4152900" cy="2743200"/>
            <wp:effectExtent l="0" t="0" r="0" b="0"/>
            <wp:docPr id="19" name="Диаграмма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3C7C6852" w14:textId="77777777" w:rsidR="00B267D2" w:rsidRPr="00D95DBC" w:rsidRDefault="00B267D2" w:rsidP="00B267D2">
      <w:pPr>
        <w:spacing w:line="240" w:lineRule="auto"/>
        <w:rPr>
          <w:color w:val="auto"/>
          <w:szCs w:val="24"/>
        </w:rPr>
      </w:pPr>
      <w:r w:rsidRPr="00D95DBC">
        <w:rPr>
          <w:b/>
          <w:color w:val="auto"/>
          <w:szCs w:val="24"/>
        </w:rPr>
        <w:t>Fig. 5:</w:t>
      </w:r>
      <w:r w:rsidRPr="00D95DBC">
        <w:rPr>
          <w:color w:val="auto"/>
          <w:szCs w:val="24"/>
        </w:rPr>
        <w:t xml:space="preserve"> Kinetic curves of sorption of oil products (1), iron (2), copper (3), lead (4), manganese (5) and cadmium (6) ions on the sorption-catalytic material (sample No.1)</w:t>
      </w:r>
    </w:p>
    <w:p w14:paraId="12C2CD3B" w14:textId="77777777" w:rsidR="00B267D2" w:rsidRPr="00D95DBC" w:rsidRDefault="00B267D2" w:rsidP="00B374D9">
      <w:pPr>
        <w:spacing w:line="360" w:lineRule="auto"/>
        <w:rPr>
          <w:rStyle w:val="aff0"/>
          <w:bCs/>
          <w:i w:val="0"/>
          <w:color w:val="auto"/>
          <w:szCs w:val="24"/>
          <w:shd w:val="clear" w:color="auto" w:fill="FFFFFF"/>
        </w:rPr>
      </w:pPr>
    </w:p>
    <w:p w14:paraId="1B8B53DE" w14:textId="77777777" w:rsidR="00B267D2" w:rsidRPr="00D95DBC" w:rsidRDefault="00B267D2" w:rsidP="00B267D2">
      <w:pPr>
        <w:spacing w:line="240" w:lineRule="auto"/>
        <w:rPr>
          <w:color w:val="auto"/>
          <w:szCs w:val="24"/>
        </w:rPr>
      </w:pPr>
      <w:r w:rsidRPr="00D95DBC">
        <w:rPr>
          <w:color w:val="auto"/>
          <w:szCs w:val="24"/>
          <w:lang w:val="ru-RU" w:eastAsia="ru-RU"/>
        </w:rPr>
        <w:drawing>
          <wp:inline distT="0" distB="0" distL="0" distR="0" wp14:anchorId="38AFCFBE" wp14:editId="4BC18F01">
            <wp:extent cx="4572000" cy="2743200"/>
            <wp:effectExtent l="0" t="0" r="0" b="0"/>
            <wp:docPr id="22"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4B1D28B7" w14:textId="77777777" w:rsidR="00B267D2" w:rsidRPr="00D95DBC" w:rsidRDefault="00B267D2" w:rsidP="00B267D2">
      <w:pPr>
        <w:spacing w:line="240" w:lineRule="auto"/>
        <w:rPr>
          <w:color w:val="auto"/>
          <w:szCs w:val="24"/>
        </w:rPr>
      </w:pPr>
      <w:r w:rsidRPr="00D95DBC">
        <w:rPr>
          <w:b/>
          <w:color w:val="auto"/>
          <w:szCs w:val="24"/>
        </w:rPr>
        <w:t>Fig. 6:</w:t>
      </w:r>
      <w:r w:rsidRPr="00D95DBC">
        <w:rPr>
          <w:color w:val="auto"/>
          <w:szCs w:val="24"/>
        </w:rPr>
        <w:t xml:space="preserve"> Isotherm of oil products sorption with a sorption-catalytic material (sample No.1)</w:t>
      </w:r>
    </w:p>
    <w:p w14:paraId="2155AA77" w14:textId="77777777" w:rsidR="00B267D2" w:rsidRPr="00D95DBC" w:rsidRDefault="00B267D2" w:rsidP="00B374D9">
      <w:pPr>
        <w:spacing w:line="360" w:lineRule="auto"/>
        <w:rPr>
          <w:rStyle w:val="aff0"/>
          <w:bCs/>
          <w:i w:val="0"/>
          <w:color w:val="auto"/>
          <w:szCs w:val="24"/>
          <w:shd w:val="clear" w:color="auto" w:fill="FFFFFF"/>
        </w:rPr>
      </w:pPr>
    </w:p>
    <w:p w14:paraId="4CFB9180" w14:textId="77777777" w:rsidR="00B267D2" w:rsidRPr="00D95DBC" w:rsidRDefault="00B267D2" w:rsidP="00B267D2">
      <w:pPr>
        <w:spacing w:line="240" w:lineRule="auto"/>
        <w:rPr>
          <w:color w:val="auto"/>
          <w:szCs w:val="24"/>
        </w:rPr>
      </w:pPr>
      <w:r w:rsidRPr="00D95DBC">
        <w:rPr>
          <w:color w:val="auto"/>
          <w:szCs w:val="24"/>
          <w:lang w:val="ru-RU" w:eastAsia="ru-RU"/>
        </w:rPr>
        <w:lastRenderedPageBreak/>
        <w:drawing>
          <wp:inline distT="0" distB="0" distL="0" distR="0" wp14:anchorId="0FE66EA5" wp14:editId="162F6CB6">
            <wp:extent cx="4162425" cy="2743200"/>
            <wp:effectExtent l="0" t="0" r="0" b="0"/>
            <wp:docPr id="25" name="Диаграмма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00406FC2" w14:textId="7340DDCB" w:rsidR="004E0A28" w:rsidRPr="00D95DBC" w:rsidRDefault="00B267D2" w:rsidP="00672445">
      <w:pPr>
        <w:spacing w:line="240" w:lineRule="auto"/>
        <w:rPr>
          <w:color w:val="auto"/>
        </w:rPr>
      </w:pPr>
      <w:r w:rsidRPr="00D95DBC">
        <w:rPr>
          <w:b/>
          <w:color w:val="auto"/>
          <w:szCs w:val="24"/>
        </w:rPr>
        <w:t>Fig. 7:</w:t>
      </w:r>
      <w:r w:rsidRPr="00D95DBC">
        <w:rPr>
          <w:color w:val="auto"/>
          <w:szCs w:val="24"/>
        </w:rPr>
        <w:t xml:space="preserve"> Isotherm of iron (1), copper (2), lead (3), manganese (4), and cadmium (5) ions with a sorption-c</w:t>
      </w:r>
      <w:r w:rsidR="00672445" w:rsidRPr="00D95DBC">
        <w:rPr>
          <w:color w:val="auto"/>
          <w:szCs w:val="24"/>
        </w:rPr>
        <w:t>atalytic material (sample No. 1).</w:t>
      </w:r>
    </w:p>
    <w:sectPr w:rsidR="004E0A28" w:rsidRPr="00D95DBC" w:rsidSect="00BB2249">
      <w:footerReference w:type="default" r:id="rId36"/>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81ECD9" w14:textId="77777777" w:rsidR="0030174C" w:rsidRDefault="0030174C" w:rsidP="00374E79">
      <w:pPr>
        <w:spacing w:line="240" w:lineRule="auto"/>
      </w:pPr>
      <w:r>
        <w:separator/>
      </w:r>
    </w:p>
  </w:endnote>
  <w:endnote w:type="continuationSeparator" w:id="0">
    <w:p w14:paraId="7149E4DA" w14:textId="77777777" w:rsidR="0030174C" w:rsidRDefault="0030174C"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rdia New">
    <w:panose1 w:val="020B0304020202020204"/>
    <w:charset w:val="00"/>
    <w:family w:val="swiss"/>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553716"/>
      <w:docPartObj>
        <w:docPartGallery w:val="Page Numbers (Bottom of Page)"/>
        <w:docPartUnique/>
      </w:docPartObj>
    </w:sdtPr>
    <w:sdtContent>
      <w:p w14:paraId="70AB5497" w14:textId="5C4ADD61" w:rsidR="00AB4AD8" w:rsidRDefault="00AB4AD8">
        <w:pPr>
          <w:pStyle w:val="ad"/>
          <w:jc w:val="right"/>
        </w:pPr>
        <w:r>
          <w:fldChar w:fldCharType="begin"/>
        </w:r>
        <w:r>
          <w:instrText>PAGE   \* MERGEFORMAT</w:instrText>
        </w:r>
        <w:r>
          <w:fldChar w:fldCharType="separate"/>
        </w:r>
        <w:r w:rsidR="00672445" w:rsidRPr="00672445">
          <w:rPr>
            <w:lang w:val="ru-RU"/>
          </w:rPr>
          <w:t>27</w:t>
        </w:r>
        <w:r>
          <w:fldChar w:fldCharType="end"/>
        </w:r>
      </w:p>
    </w:sdtContent>
  </w:sdt>
  <w:p w14:paraId="04E3E057" w14:textId="77777777" w:rsidR="00AB4AD8" w:rsidRDefault="00AB4AD8">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5E03E" w14:textId="77777777" w:rsidR="0030174C" w:rsidRDefault="0030174C" w:rsidP="00374E79">
      <w:pPr>
        <w:spacing w:line="240" w:lineRule="auto"/>
      </w:pPr>
      <w:r>
        <w:separator/>
      </w:r>
    </w:p>
  </w:footnote>
  <w:footnote w:type="continuationSeparator" w:id="0">
    <w:p w14:paraId="3FEE3737" w14:textId="77777777" w:rsidR="0030174C" w:rsidRDefault="0030174C"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6"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8"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0"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1"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4"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5"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E865584"/>
    <w:multiLevelType w:val="multilevel"/>
    <w:tmpl w:val="0742DF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9"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0"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2"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5" w15:restartNumberingAfterBreak="0">
    <w:nsid w:val="663F58BE"/>
    <w:multiLevelType w:val="hybridMultilevel"/>
    <w:tmpl w:val="505089DE"/>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3"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84193618">
    <w:abstractNumId w:val="11"/>
  </w:num>
  <w:num w:numId="2" w16cid:durableId="1317415248">
    <w:abstractNumId w:val="13"/>
  </w:num>
  <w:num w:numId="3" w16cid:durableId="331377923">
    <w:abstractNumId w:val="8"/>
  </w:num>
  <w:num w:numId="4" w16cid:durableId="1687751216">
    <w:abstractNumId w:val="12"/>
  </w:num>
  <w:num w:numId="5" w16cid:durableId="1369989178">
    <w:abstractNumId w:val="21"/>
  </w:num>
  <w:num w:numId="6" w16cid:durableId="1191065210">
    <w:abstractNumId w:val="5"/>
  </w:num>
  <w:num w:numId="7" w16cid:durableId="12902805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78953940">
    <w:abstractNumId w:val="23"/>
  </w:num>
  <w:num w:numId="9" w16cid:durableId="1837840875">
    <w:abstractNumId w:val="30"/>
  </w:num>
  <w:num w:numId="10" w16cid:durableId="1743522175">
    <w:abstractNumId w:val="4"/>
  </w:num>
  <w:num w:numId="11" w16cid:durableId="586185252">
    <w:abstractNumId w:val="20"/>
  </w:num>
  <w:num w:numId="12" w16cid:durableId="468977952">
    <w:abstractNumId w:val="3"/>
  </w:num>
  <w:num w:numId="13" w16cid:durableId="352416089">
    <w:abstractNumId w:val="29"/>
  </w:num>
  <w:num w:numId="14" w16cid:durableId="1393650374">
    <w:abstractNumId w:val="6"/>
  </w:num>
  <w:num w:numId="15" w16cid:durableId="1539123035">
    <w:abstractNumId w:val="28"/>
  </w:num>
  <w:num w:numId="16" w16cid:durableId="637534995">
    <w:abstractNumId w:val="31"/>
  </w:num>
  <w:num w:numId="17" w16cid:durableId="1885562895">
    <w:abstractNumId w:val="15"/>
  </w:num>
  <w:num w:numId="18" w16cid:durableId="861550817">
    <w:abstractNumId w:val="27"/>
  </w:num>
  <w:num w:numId="19" w16cid:durableId="2147356122">
    <w:abstractNumId w:val="18"/>
  </w:num>
  <w:num w:numId="20" w16cid:durableId="301233605">
    <w:abstractNumId w:val="10"/>
  </w:num>
  <w:num w:numId="21" w16cid:durableId="785153907">
    <w:abstractNumId w:val="24"/>
  </w:num>
  <w:num w:numId="22" w16cid:durableId="1100564915">
    <w:abstractNumId w:val="26"/>
  </w:num>
  <w:num w:numId="23" w16cid:durableId="208999188">
    <w:abstractNumId w:val="9"/>
  </w:num>
  <w:num w:numId="24" w16cid:durableId="1254630732">
    <w:abstractNumId w:val="32"/>
  </w:num>
  <w:num w:numId="25" w16cid:durableId="1910383699">
    <w:abstractNumId w:val="19"/>
  </w:num>
  <w:num w:numId="26" w16cid:durableId="871578068">
    <w:abstractNumId w:val="7"/>
  </w:num>
  <w:num w:numId="27" w16cid:durableId="1694572082">
    <w:abstractNumId w:val="34"/>
  </w:num>
  <w:num w:numId="28" w16cid:durableId="823356041">
    <w:abstractNumId w:val="14"/>
  </w:num>
  <w:num w:numId="29" w16cid:durableId="72092694">
    <w:abstractNumId w:val="22"/>
  </w:num>
  <w:num w:numId="30" w16cid:durableId="1691759472">
    <w:abstractNumId w:val="17"/>
  </w:num>
  <w:num w:numId="31" w16cid:durableId="1510102470">
    <w:abstractNumId w:val="33"/>
  </w:num>
  <w:num w:numId="32" w16cid:durableId="1078091675">
    <w:abstractNumId w:val="1"/>
  </w:num>
  <w:num w:numId="33" w16cid:durableId="1096484050">
    <w:abstractNumId w:val="0"/>
  </w:num>
  <w:num w:numId="34" w16cid:durableId="1875195851">
    <w:abstractNumId w:val="2"/>
  </w:num>
  <w:num w:numId="35" w16cid:durableId="1963264271">
    <w:abstractNumId w:val="16"/>
  </w:num>
  <w:num w:numId="36" w16cid:durableId="134829249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activeWritingStyle w:appName="MSWord" w:lang="ru-RU"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16599"/>
    <w:rsid w:val="00030CB4"/>
    <w:rsid w:val="000314E0"/>
    <w:rsid w:val="00046977"/>
    <w:rsid w:val="00052D88"/>
    <w:rsid w:val="000701ED"/>
    <w:rsid w:val="000778CE"/>
    <w:rsid w:val="000A01F8"/>
    <w:rsid w:val="000B066F"/>
    <w:rsid w:val="000B6631"/>
    <w:rsid w:val="000C1E34"/>
    <w:rsid w:val="000C7CBD"/>
    <w:rsid w:val="000D5702"/>
    <w:rsid w:val="000E40E5"/>
    <w:rsid w:val="00105096"/>
    <w:rsid w:val="001361E4"/>
    <w:rsid w:val="00140D10"/>
    <w:rsid w:val="0014336E"/>
    <w:rsid w:val="00164AFA"/>
    <w:rsid w:val="00165B06"/>
    <w:rsid w:val="00171316"/>
    <w:rsid w:val="001B4D79"/>
    <w:rsid w:val="001C02B0"/>
    <w:rsid w:val="001C0F39"/>
    <w:rsid w:val="001D3F3D"/>
    <w:rsid w:val="001E3F1F"/>
    <w:rsid w:val="00206E10"/>
    <w:rsid w:val="0021029D"/>
    <w:rsid w:val="0022223C"/>
    <w:rsid w:val="002228A4"/>
    <w:rsid w:val="0022665E"/>
    <w:rsid w:val="002273A1"/>
    <w:rsid w:val="00245281"/>
    <w:rsid w:val="002503C3"/>
    <w:rsid w:val="00253294"/>
    <w:rsid w:val="00277021"/>
    <w:rsid w:val="00287377"/>
    <w:rsid w:val="002A1475"/>
    <w:rsid w:val="002A6562"/>
    <w:rsid w:val="002C7DDA"/>
    <w:rsid w:val="002D09A4"/>
    <w:rsid w:val="002E6641"/>
    <w:rsid w:val="0030174C"/>
    <w:rsid w:val="003023E5"/>
    <w:rsid w:val="003136ED"/>
    <w:rsid w:val="00314E3F"/>
    <w:rsid w:val="00320A9D"/>
    <w:rsid w:val="003306C6"/>
    <w:rsid w:val="0034081C"/>
    <w:rsid w:val="003737FE"/>
    <w:rsid w:val="00374E79"/>
    <w:rsid w:val="003823C8"/>
    <w:rsid w:val="00383FDB"/>
    <w:rsid w:val="00397A3C"/>
    <w:rsid w:val="003A682F"/>
    <w:rsid w:val="003D614B"/>
    <w:rsid w:val="003E4BAC"/>
    <w:rsid w:val="0040161F"/>
    <w:rsid w:val="00411371"/>
    <w:rsid w:val="00416989"/>
    <w:rsid w:val="00425FA4"/>
    <w:rsid w:val="0044392C"/>
    <w:rsid w:val="00444B97"/>
    <w:rsid w:val="00453F8B"/>
    <w:rsid w:val="004617CA"/>
    <w:rsid w:val="00472D0C"/>
    <w:rsid w:val="00480B1B"/>
    <w:rsid w:val="0048717D"/>
    <w:rsid w:val="00491BC9"/>
    <w:rsid w:val="00496FDC"/>
    <w:rsid w:val="004B0CA0"/>
    <w:rsid w:val="004B338E"/>
    <w:rsid w:val="004B461B"/>
    <w:rsid w:val="004B4FB2"/>
    <w:rsid w:val="004E0A28"/>
    <w:rsid w:val="004E1BA8"/>
    <w:rsid w:val="004E1E67"/>
    <w:rsid w:val="004E36C8"/>
    <w:rsid w:val="004E4034"/>
    <w:rsid w:val="004F01B8"/>
    <w:rsid w:val="004F0F8B"/>
    <w:rsid w:val="004F4700"/>
    <w:rsid w:val="00500EE8"/>
    <w:rsid w:val="00503878"/>
    <w:rsid w:val="00507037"/>
    <w:rsid w:val="005122E2"/>
    <w:rsid w:val="005153D0"/>
    <w:rsid w:val="00517D46"/>
    <w:rsid w:val="00524ABC"/>
    <w:rsid w:val="00543FBB"/>
    <w:rsid w:val="00562BC7"/>
    <w:rsid w:val="00563486"/>
    <w:rsid w:val="00564E77"/>
    <w:rsid w:val="0057611D"/>
    <w:rsid w:val="00581750"/>
    <w:rsid w:val="005A3CF0"/>
    <w:rsid w:val="005B7712"/>
    <w:rsid w:val="005C3074"/>
    <w:rsid w:val="005C5989"/>
    <w:rsid w:val="00620724"/>
    <w:rsid w:val="006218E9"/>
    <w:rsid w:val="00623FDB"/>
    <w:rsid w:val="00625D42"/>
    <w:rsid w:val="00660358"/>
    <w:rsid w:val="0066075A"/>
    <w:rsid w:val="0067206E"/>
    <w:rsid w:val="00672445"/>
    <w:rsid w:val="0067360D"/>
    <w:rsid w:val="006A6660"/>
    <w:rsid w:val="006B3047"/>
    <w:rsid w:val="006C70D3"/>
    <w:rsid w:val="007122A7"/>
    <w:rsid w:val="00734343"/>
    <w:rsid w:val="00754A3B"/>
    <w:rsid w:val="0076591E"/>
    <w:rsid w:val="0077303D"/>
    <w:rsid w:val="007932F1"/>
    <w:rsid w:val="007A1B7F"/>
    <w:rsid w:val="007A3515"/>
    <w:rsid w:val="007A6DCD"/>
    <w:rsid w:val="007D0E99"/>
    <w:rsid w:val="007D4CFA"/>
    <w:rsid w:val="007E36A6"/>
    <w:rsid w:val="007F122E"/>
    <w:rsid w:val="00801905"/>
    <w:rsid w:val="00806ECA"/>
    <w:rsid w:val="008108D8"/>
    <w:rsid w:val="00814450"/>
    <w:rsid w:val="00821613"/>
    <w:rsid w:val="00825B71"/>
    <w:rsid w:val="008619DB"/>
    <w:rsid w:val="00861A6E"/>
    <w:rsid w:val="008627A2"/>
    <w:rsid w:val="00863F3F"/>
    <w:rsid w:val="008B6B04"/>
    <w:rsid w:val="008D1C74"/>
    <w:rsid w:val="008E0069"/>
    <w:rsid w:val="008E3C41"/>
    <w:rsid w:val="008F0352"/>
    <w:rsid w:val="008F228C"/>
    <w:rsid w:val="00954E72"/>
    <w:rsid w:val="00956EEE"/>
    <w:rsid w:val="00961CCE"/>
    <w:rsid w:val="00981AFB"/>
    <w:rsid w:val="00997A2A"/>
    <w:rsid w:val="009D3017"/>
    <w:rsid w:val="009D30D3"/>
    <w:rsid w:val="009E64E5"/>
    <w:rsid w:val="009E7B2C"/>
    <w:rsid w:val="00A22721"/>
    <w:rsid w:val="00A4125E"/>
    <w:rsid w:val="00A6011B"/>
    <w:rsid w:val="00A65FF3"/>
    <w:rsid w:val="00A833C9"/>
    <w:rsid w:val="00A84ABE"/>
    <w:rsid w:val="00AA0278"/>
    <w:rsid w:val="00AA6A30"/>
    <w:rsid w:val="00AB2E6B"/>
    <w:rsid w:val="00AB4AD8"/>
    <w:rsid w:val="00AB769A"/>
    <w:rsid w:val="00AC284B"/>
    <w:rsid w:val="00AD22B3"/>
    <w:rsid w:val="00AE5B70"/>
    <w:rsid w:val="00AF3847"/>
    <w:rsid w:val="00B01DD3"/>
    <w:rsid w:val="00B06541"/>
    <w:rsid w:val="00B06EB1"/>
    <w:rsid w:val="00B14726"/>
    <w:rsid w:val="00B267D2"/>
    <w:rsid w:val="00B330A7"/>
    <w:rsid w:val="00B374D9"/>
    <w:rsid w:val="00B5071B"/>
    <w:rsid w:val="00B63A47"/>
    <w:rsid w:val="00B63F4D"/>
    <w:rsid w:val="00B6672E"/>
    <w:rsid w:val="00B705C2"/>
    <w:rsid w:val="00B74863"/>
    <w:rsid w:val="00B834E8"/>
    <w:rsid w:val="00B845F9"/>
    <w:rsid w:val="00BA41E6"/>
    <w:rsid w:val="00BA4FB9"/>
    <w:rsid w:val="00BB2249"/>
    <w:rsid w:val="00BC3539"/>
    <w:rsid w:val="00BD2FC7"/>
    <w:rsid w:val="00BD47DE"/>
    <w:rsid w:val="00C32293"/>
    <w:rsid w:val="00C34678"/>
    <w:rsid w:val="00C3527B"/>
    <w:rsid w:val="00C511B5"/>
    <w:rsid w:val="00C70AA0"/>
    <w:rsid w:val="00C82036"/>
    <w:rsid w:val="00C85712"/>
    <w:rsid w:val="00C93009"/>
    <w:rsid w:val="00CB17F3"/>
    <w:rsid w:val="00CB6038"/>
    <w:rsid w:val="00CD314C"/>
    <w:rsid w:val="00CD77E0"/>
    <w:rsid w:val="00CE47FB"/>
    <w:rsid w:val="00CF2C79"/>
    <w:rsid w:val="00CF3B8A"/>
    <w:rsid w:val="00D01586"/>
    <w:rsid w:val="00D21453"/>
    <w:rsid w:val="00D40CBE"/>
    <w:rsid w:val="00D54353"/>
    <w:rsid w:val="00D74E02"/>
    <w:rsid w:val="00D95DBC"/>
    <w:rsid w:val="00DA7B23"/>
    <w:rsid w:val="00DD0660"/>
    <w:rsid w:val="00DE2FC9"/>
    <w:rsid w:val="00DF1861"/>
    <w:rsid w:val="00E21E7C"/>
    <w:rsid w:val="00E24E48"/>
    <w:rsid w:val="00E46630"/>
    <w:rsid w:val="00E665C6"/>
    <w:rsid w:val="00E80C55"/>
    <w:rsid w:val="00E83AF7"/>
    <w:rsid w:val="00E86408"/>
    <w:rsid w:val="00EB674C"/>
    <w:rsid w:val="00ED5168"/>
    <w:rsid w:val="00EE0784"/>
    <w:rsid w:val="00EE44B6"/>
    <w:rsid w:val="00EE7A19"/>
    <w:rsid w:val="00F00CA5"/>
    <w:rsid w:val="00F04E55"/>
    <w:rsid w:val="00F26B99"/>
    <w:rsid w:val="00F34F54"/>
    <w:rsid w:val="00F4551E"/>
    <w:rsid w:val="00F4777F"/>
    <w:rsid w:val="00F5126D"/>
    <w:rsid w:val="00F64F16"/>
    <w:rsid w:val="00F71F54"/>
    <w:rsid w:val="00FA4052"/>
    <w:rsid w:val="00FB0687"/>
    <w:rsid w:val="00FC603D"/>
    <w:rsid w:val="00FC73F3"/>
    <w:rsid w:val="00FD033C"/>
    <w:rsid w:val="00FD63E7"/>
    <w:rsid w:val="00FE50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rsid w:val="00397A3C"/>
  </w:style>
  <w:style w:type="paragraph" w:styleId="aff1">
    <w:name w:val="No Spacing"/>
    <w:uiPriority w:val="99"/>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qFormat/>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a0"/>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table" w:customStyle="1" w:styleId="6">
    <w:name w:val="6"/>
    <w:basedOn w:val="a2"/>
    <w:qFormat/>
    <w:rsid w:val="00B374D9"/>
    <w:pPr>
      <w:spacing w:after="0" w:line="240" w:lineRule="auto"/>
    </w:pPr>
    <w:rPr>
      <w:rFonts w:ascii="Times New Roman" w:eastAsia="Calibri" w:hAnsi="Times New Roman" w:cs="Calibri"/>
      <w:lang w:eastAsia="ru-RU"/>
    </w:rPr>
    <w:tblPr/>
  </w:style>
  <w:style w:type="character" w:styleId="aff9">
    <w:name w:val="Unresolved Mention"/>
    <w:basedOn w:val="a1"/>
    <w:uiPriority w:val="99"/>
    <w:semiHidden/>
    <w:unhideWhenUsed/>
    <w:rsid w:val="00D95D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3390/w14071091" TargetMode="External"/><Relationship Id="rId18" Type="http://schemas.openxmlformats.org/officeDocument/2006/relationships/hyperlink" Target="https://doi.org/10.1016/j.jclepro.2023.136126" TargetMode="External"/><Relationship Id="rId26" Type="http://schemas.openxmlformats.org/officeDocument/2006/relationships/oleObject" Target="embeddings/oleObject3.bin"/><Relationship Id="rId21" Type="http://schemas.openxmlformats.org/officeDocument/2006/relationships/image" Target="media/image2.png"/><Relationship Id="rId34" Type="http://schemas.openxmlformats.org/officeDocument/2006/relationships/chart" Target="charts/chart3.xml"/><Relationship Id="rId7" Type="http://schemas.openxmlformats.org/officeDocument/2006/relationships/endnotes" Target="endnotes.xml"/><Relationship Id="rId12" Type="http://schemas.openxmlformats.org/officeDocument/2006/relationships/hyperlink" Target="https://doi.org/10.3897/popecon.7.e103302" TargetMode="External"/><Relationship Id="rId17" Type="http://schemas.openxmlformats.org/officeDocument/2006/relationships/hyperlink" Target="https://doi.org/10.1016/J.JCLEPRO.2019.03.286" TargetMode="External"/><Relationship Id="rId25" Type="http://schemas.openxmlformats.org/officeDocument/2006/relationships/image" Target="media/image4.png"/><Relationship Id="rId33" Type="http://schemas.openxmlformats.org/officeDocument/2006/relationships/chart" Target="charts/chart2.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3390/w15152857" TargetMode="External"/><Relationship Id="rId20" Type="http://schemas.openxmlformats.org/officeDocument/2006/relationships/oleObject" Target="embeddings/oleObject1.bin"/><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ecoinf.2021.101493" TargetMode="Externa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oi.org/10.3390/magnetochemistry8120171" TargetMode="External"/><Relationship Id="rId23" Type="http://schemas.openxmlformats.org/officeDocument/2006/relationships/image" Target="media/image3.png"/><Relationship Id="rId28" Type="http://schemas.openxmlformats.org/officeDocument/2006/relationships/oleObject" Target="embeddings/oleObject4.bin"/><Relationship Id="rId36" Type="http://schemas.openxmlformats.org/officeDocument/2006/relationships/footer" Target="footer1.xml"/><Relationship Id="rId10" Type="http://schemas.openxmlformats.org/officeDocument/2006/relationships/hyperlink" Target="https://doi.org/10.2166/wst.2023.255" TargetMode="External"/><Relationship Id="rId19" Type="http://schemas.openxmlformats.org/officeDocument/2006/relationships/image" Target="media/image1.png"/><Relationship Id="rId31"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doi.org/10.3390/jcs6100311" TargetMode="External"/><Relationship Id="rId14" Type="http://schemas.openxmlformats.org/officeDocument/2006/relationships/hyperlink" Target="http://dx.doi.org/10.1016/j.fuel.2019.03.067" TargetMode="External"/><Relationship Id="rId22" Type="http://schemas.openxmlformats.org/officeDocument/2006/relationships/chart" Target="charts/chart1.xml"/><Relationship Id="rId27" Type="http://schemas.openxmlformats.org/officeDocument/2006/relationships/image" Target="media/image5.png"/><Relationship Id="rId30" Type="http://schemas.openxmlformats.org/officeDocument/2006/relationships/oleObject" Target="embeddings/oleObject5.bin"/><Relationship Id="rId35" Type="http://schemas.openxmlformats.org/officeDocument/2006/relationships/chart" Target="charts/chart4.xml"/><Relationship Id="rId8" Type="http://schemas.openxmlformats.org/officeDocument/2006/relationships/hyperlink" Target="mailto:svetlana.ivanova@mymail.academy"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ocuments\&#1057;&#1056;&#1057;\&#1089;&#1090;&#1072;&#1090;&#1100;&#1103;%20(&#1092;&#1077;&#1074;&#1088;&#1072;&#1083;&#1100;,%202016)\&#1057;&#1055;%20&#1044;&#1099;&#1096;&#1083;&#1102;&#1082;\2019\&#1088;&#1080;&#1089;.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User\Documents\&#1057;&#1056;&#1057;\&#1089;&#1090;&#1072;&#1090;&#1100;&#1103;%20(&#1092;&#1077;&#1074;&#1088;&#1072;&#1083;&#1100;,%202016)\&#1057;&#1055;%20&#1044;&#1099;&#1096;&#1083;&#1102;&#1082;\2019\&#1088;&#1080;&#1089;.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User\Documents\&#1057;&#1056;&#1057;\&#1089;&#1090;&#1072;&#1090;&#1100;&#1103;%20(&#1092;&#1077;&#1074;&#1088;&#1072;&#1083;&#1100;,%202016)\&#1057;&#1055;%20&#1044;&#1099;&#1096;&#1083;&#1102;&#1082;\2019\&#1088;&#1080;&#1089;.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User\Documents\&#1057;&#1056;&#1057;\&#1089;&#1090;&#1072;&#1090;&#1100;&#1103;%20(&#1092;&#1077;&#1074;&#1088;&#1072;&#1083;&#1100;,%202016)\&#1057;&#1055;%20&#1044;&#1099;&#1096;&#1083;&#1102;&#1082;\2019\&#1088;&#1080;&#1089;.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21988407699037"/>
          <c:y val="5.1400554097404502E-2"/>
          <c:w val="0.85008245844269503"/>
          <c:h val="0.77706401283173099"/>
        </c:manualLayout>
      </c:layout>
      <c:barChart>
        <c:barDir val="col"/>
        <c:grouping val="clustered"/>
        <c:varyColors val="0"/>
        <c:ser>
          <c:idx val="0"/>
          <c:order val="0"/>
          <c:tx>
            <c:strRef>
              <c:f>Лист1!$B$1</c:f>
              <c:strCache>
                <c:ptCount val="1"/>
                <c:pt idx="0">
                  <c:v>1</c:v>
                </c:pt>
              </c:strCache>
            </c:strRef>
          </c:tx>
          <c:invertIfNegative val="0"/>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Лист1!$B$2:$B$13</c:f>
              <c:numCache>
                <c:formatCode>General</c:formatCode>
                <c:ptCount val="12"/>
                <c:pt idx="0">
                  <c:v>2.5</c:v>
                </c:pt>
                <c:pt idx="1">
                  <c:v>3.5</c:v>
                </c:pt>
                <c:pt idx="2">
                  <c:v>34.5</c:v>
                </c:pt>
                <c:pt idx="3">
                  <c:v>36</c:v>
                </c:pt>
                <c:pt idx="4">
                  <c:v>2.2000000000000002</c:v>
                </c:pt>
                <c:pt idx="5">
                  <c:v>4</c:v>
                </c:pt>
                <c:pt idx="6">
                  <c:v>3.2</c:v>
                </c:pt>
                <c:pt idx="7">
                  <c:v>2.5</c:v>
                </c:pt>
                <c:pt idx="8">
                  <c:v>2.7</c:v>
                </c:pt>
                <c:pt idx="9">
                  <c:v>2.6</c:v>
                </c:pt>
                <c:pt idx="10">
                  <c:v>3</c:v>
                </c:pt>
                <c:pt idx="11">
                  <c:v>3.3</c:v>
                </c:pt>
              </c:numCache>
            </c:numRef>
          </c:val>
          <c:extLst>
            <c:ext xmlns:c16="http://schemas.microsoft.com/office/drawing/2014/chart" uri="{C3380CC4-5D6E-409C-BE32-E72D297353CC}">
              <c16:uniqueId val="{00000000-549E-4C07-A880-C2E8DB8F9F96}"/>
            </c:ext>
          </c:extLst>
        </c:ser>
        <c:ser>
          <c:idx val="1"/>
          <c:order val="1"/>
          <c:tx>
            <c:strRef>
              <c:f>Лист1!$C$1</c:f>
              <c:strCache>
                <c:ptCount val="1"/>
                <c:pt idx="0">
                  <c:v>2</c:v>
                </c:pt>
              </c:strCache>
            </c:strRef>
          </c:tx>
          <c:invertIfNegative val="0"/>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Лист1!$C$2:$C$13</c:f>
              <c:numCache>
                <c:formatCode>General</c:formatCode>
                <c:ptCount val="12"/>
                <c:pt idx="0">
                  <c:v>1.8</c:v>
                </c:pt>
                <c:pt idx="1">
                  <c:v>3</c:v>
                </c:pt>
                <c:pt idx="2">
                  <c:v>37</c:v>
                </c:pt>
                <c:pt idx="3">
                  <c:v>35.5</c:v>
                </c:pt>
                <c:pt idx="4">
                  <c:v>3.2</c:v>
                </c:pt>
                <c:pt idx="5">
                  <c:v>3.7</c:v>
                </c:pt>
                <c:pt idx="6">
                  <c:v>3.5</c:v>
                </c:pt>
                <c:pt idx="7">
                  <c:v>2</c:v>
                </c:pt>
                <c:pt idx="8">
                  <c:v>2.4</c:v>
                </c:pt>
                <c:pt idx="9">
                  <c:v>2.2999999999999998</c:v>
                </c:pt>
                <c:pt idx="10">
                  <c:v>2.6</c:v>
                </c:pt>
                <c:pt idx="11">
                  <c:v>3</c:v>
                </c:pt>
              </c:numCache>
            </c:numRef>
          </c:val>
          <c:extLst>
            <c:ext xmlns:c16="http://schemas.microsoft.com/office/drawing/2014/chart" uri="{C3380CC4-5D6E-409C-BE32-E72D297353CC}">
              <c16:uniqueId val="{00000001-549E-4C07-A880-C2E8DB8F9F96}"/>
            </c:ext>
          </c:extLst>
        </c:ser>
        <c:ser>
          <c:idx val="2"/>
          <c:order val="2"/>
          <c:tx>
            <c:strRef>
              <c:f>Лист1!$D$1</c:f>
              <c:strCache>
                <c:ptCount val="1"/>
                <c:pt idx="0">
                  <c:v>3</c:v>
                </c:pt>
              </c:strCache>
            </c:strRef>
          </c:tx>
          <c:invertIfNegative val="0"/>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Лист1!$D$2:$D$13</c:f>
              <c:numCache>
                <c:formatCode>General</c:formatCode>
                <c:ptCount val="12"/>
                <c:pt idx="0">
                  <c:v>2</c:v>
                </c:pt>
                <c:pt idx="1">
                  <c:v>2.4</c:v>
                </c:pt>
                <c:pt idx="2">
                  <c:v>38</c:v>
                </c:pt>
                <c:pt idx="3">
                  <c:v>36</c:v>
                </c:pt>
                <c:pt idx="4">
                  <c:v>2.7</c:v>
                </c:pt>
                <c:pt idx="5">
                  <c:v>3.5</c:v>
                </c:pt>
                <c:pt idx="6">
                  <c:v>3.5</c:v>
                </c:pt>
                <c:pt idx="7">
                  <c:v>2.4</c:v>
                </c:pt>
                <c:pt idx="8">
                  <c:v>2.6</c:v>
                </c:pt>
                <c:pt idx="9">
                  <c:v>2.5</c:v>
                </c:pt>
                <c:pt idx="10">
                  <c:v>2.1</c:v>
                </c:pt>
                <c:pt idx="11">
                  <c:v>2.2999999999999998</c:v>
                </c:pt>
              </c:numCache>
            </c:numRef>
          </c:val>
          <c:extLst>
            <c:ext xmlns:c16="http://schemas.microsoft.com/office/drawing/2014/chart" uri="{C3380CC4-5D6E-409C-BE32-E72D297353CC}">
              <c16:uniqueId val="{00000002-549E-4C07-A880-C2E8DB8F9F96}"/>
            </c:ext>
          </c:extLst>
        </c:ser>
        <c:ser>
          <c:idx val="3"/>
          <c:order val="3"/>
          <c:tx>
            <c:strRef>
              <c:f>Лист1!$E$1</c:f>
              <c:strCache>
                <c:ptCount val="1"/>
                <c:pt idx="0">
                  <c:v>4</c:v>
                </c:pt>
              </c:strCache>
            </c:strRef>
          </c:tx>
          <c:invertIfNegative val="0"/>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Лист1!$E$2:$E$13</c:f>
              <c:numCache>
                <c:formatCode>General</c:formatCode>
                <c:ptCount val="12"/>
                <c:pt idx="0">
                  <c:v>1.5</c:v>
                </c:pt>
                <c:pt idx="1">
                  <c:v>2.2999999999999998</c:v>
                </c:pt>
                <c:pt idx="2">
                  <c:v>40</c:v>
                </c:pt>
                <c:pt idx="3">
                  <c:v>35.6</c:v>
                </c:pt>
                <c:pt idx="4">
                  <c:v>2.6</c:v>
                </c:pt>
                <c:pt idx="5">
                  <c:v>4.0999999999999996</c:v>
                </c:pt>
                <c:pt idx="6">
                  <c:v>2.6</c:v>
                </c:pt>
                <c:pt idx="7">
                  <c:v>2.2000000000000002</c:v>
                </c:pt>
                <c:pt idx="8">
                  <c:v>2.1</c:v>
                </c:pt>
                <c:pt idx="9">
                  <c:v>2.4</c:v>
                </c:pt>
                <c:pt idx="10">
                  <c:v>2.7</c:v>
                </c:pt>
                <c:pt idx="11">
                  <c:v>1.9</c:v>
                </c:pt>
              </c:numCache>
            </c:numRef>
          </c:val>
          <c:extLst>
            <c:ext xmlns:c16="http://schemas.microsoft.com/office/drawing/2014/chart" uri="{C3380CC4-5D6E-409C-BE32-E72D297353CC}">
              <c16:uniqueId val="{00000003-549E-4C07-A880-C2E8DB8F9F96}"/>
            </c:ext>
          </c:extLst>
        </c:ser>
        <c:ser>
          <c:idx val="4"/>
          <c:order val="4"/>
          <c:tx>
            <c:strRef>
              <c:f>Лист1!$F$1</c:f>
              <c:strCache>
                <c:ptCount val="1"/>
                <c:pt idx="0">
                  <c:v>5</c:v>
                </c:pt>
              </c:strCache>
            </c:strRef>
          </c:tx>
          <c:invertIfNegative val="0"/>
          <c:cat>
            <c:numRef>
              <c:f>Лист1!$A$2:$A$13</c:f>
              <c:numCache>
                <c:formatCode>General</c:formatCode>
                <c:ptCount val="12"/>
                <c:pt idx="0">
                  <c:v>1</c:v>
                </c:pt>
                <c:pt idx="1">
                  <c:v>2</c:v>
                </c:pt>
                <c:pt idx="2">
                  <c:v>3</c:v>
                </c:pt>
                <c:pt idx="3">
                  <c:v>4</c:v>
                </c:pt>
                <c:pt idx="4">
                  <c:v>5</c:v>
                </c:pt>
                <c:pt idx="5">
                  <c:v>6</c:v>
                </c:pt>
                <c:pt idx="6">
                  <c:v>7</c:v>
                </c:pt>
                <c:pt idx="7">
                  <c:v>8</c:v>
                </c:pt>
                <c:pt idx="8">
                  <c:v>9</c:v>
                </c:pt>
                <c:pt idx="9">
                  <c:v>10</c:v>
                </c:pt>
                <c:pt idx="10">
                  <c:v>11</c:v>
                </c:pt>
                <c:pt idx="11">
                  <c:v>12</c:v>
                </c:pt>
              </c:numCache>
            </c:numRef>
          </c:cat>
          <c:val>
            <c:numRef>
              <c:f>Лист1!$F$2:$F$13</c:f>
              <c:numCache>
                <c:formatCode>General</c:formatCode>
                <c:ptCount val="12"/>
                <c:pt idx="0">
                  <c:v>1.4</c:v>
                </c:pt>
                <c:pt idx="1">
                  <c:v>3</c:v>
                </c:pt>
                <c:pt idx="2">
                  <c:v>37.700000000000003</c:v>
                </c:pt>
                <c:pt idx="3">
                  <c:v>38</c:v>
                </c:pt>
                <c:pt idx="4">
                  <c:v>2.5</c:v>
                </c:pt>
                <c:pt idx="5">
                  <c:v>2.7</c:v>
                </c:pt>
                <c:pt idx="6">
                  <c:v>3</c:v>
                </c:pt>
                <c:pt idx="7">
                  <c:v>2.2000000000000002</c:v>
                </c:pt>
                <c:pt idx="8">
                  <c:v>2.1</c:v>
                </c:pt>
                <c:pt idx="9">
                  <c:v>2</c:v>
                </c:pt>
                <c:pt idx="10">
                  <c:v>3.1</c:v>
                </c:pt>
                <c:pt idx="11">
                  <c:v>2.2999999999999998</c:v>
                </c:pt>
              </c:numCache>
            </c:numRef>
          </c:val>
          <c:extLst>
            <c:ext xmlns:c16="http://schemas.microsoft.com/office/drawing/2014/chart" uri="{C3380CC4-5D6E-409C-BE32-E72D297353CC}">
              <c16:uniqueId val="{00000004-549E-4C07-A880-C2E8DB8F9F96}"/>
            </c:ext>
          </c:extLst>
        </c:ser>
        <c:dLbls>
          <c:showLegendKey val="0"/>
          <c:showVal val="0"/>
          <c:showCatName val="0"/>
          <c:showSerName val="0"/>
          <c:showPercent val="0"/>
          <c:showBubbleSize val="0"/>
        </c:dLbls>
        <c:gapWidth val="150"/>
        <c:axId val="-1626264976"/>
        <c:axId val="-1626251920"/>
      </c:barChart>
      <c:catAx>
        <c:axId val="-1626264976"/>
        <c:scaling>
          <c:orientation val="minMax"/>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Linear</a:t>
                </a:r>
                <a:r>
                  <a:rPr lang="en-US" baseline="0"/>
                  <a:t> size</a:t>
                </a:r>
                <a:r>
                  <a:rPr lang="ru-RU"/>
                  <a:t>, </a:t>
                </a:r>
                <a:r>
                  <a:rPr lang="en-US"/>
                  <a:t>nm</a:t>
                </a:r>
                <a:endParaRPr lang="ru-RU"/>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51920"/>
        <c:crosses val="autoZero"/>
        <c:auto val="1"/>
        <c:lblAlgn val="ctr"/>
        <c:lblOffset val="100"/>
        <c:noMultiLvlLbl val="0"/>
      </c:catAx>
      <c:valAx>
        <c:axId val="-1626251920"/>
        <c:scaling>
          <c:orientation val="minMax"/>
        </c:scaling>
        <c:delete val="0"/>
        <c:axPos val="l"/>
        <c:title>
          <c:tx>
            <c:rich>
              <a:bodyPr rot="-54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Mass</a:t>
                </a:r>
                <a:r>
                  <a:rPr lang="en-US" baseline="0"/>
                  <a:t> content</a:t>
                </a:r>
                <a:r>
                  <a:rPr lang="ru-RU"/>
                  <a:t>, %</a:t>
                </a:r>
              </a:p>
            </c:rich>
          </c:tx>
          <c:layout>
            <c:manualLayout>
              <c:xMode val="edge"/>
              <c:yMode val="edge"/>
              <c:x val="1.05415573053369E-2"/>
              <c:y val="0.26376348789734599"/>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64976"/>
        <c:crosses val="autoZero"/>
        <c:crossBetween val="between"/>
      </c:valAx>
    </c:plotArea>
    <c:legend>
      <c:legendPos val="r"/>
      <c:layout>
        <c:manualLayout>
          <c:xMode val="edge"/>
          <c:yMode val="edge"/>
          <c:x val="0.53040419947506601"/>
          <c:y val="4.5336468358122398E-2"/>
          <c:w val="0.43070691163604802"/>
          <c:h val="0.108400772820064"/>
        </c:manualLayout>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zero"/>
    <c:showDLblsOverMax val="0"/>
    <c:extLst>
      <c:ext uri="{0b15fc19-7d7d-44ad-8c2d-2c3a37ce22c3}">
        <chartProps xmlns="https://web.wps.cn/et/2018/main" chartId="{b39d4e43-c5e7-4ea1-b697-25eb6d1f269a}"/>
      </c:ext>
    </c:extLst>
  </c:chart>
  <c:spPr>
    <a:ln w="6350" cap="flat" cmpd="sng" algn="ctr">
      <a:noFill/>
      <a:prstDash val="solid"/>
      <a:round/>
    </a:ln>
  </c:spPr>
  <c:txPr>
    <a:bodyPr/>
    <a:lstStyle/>
    <a:p>
      <a:pPr>
        <a:defRPr lang="en-US" sz="1000" b="0">
          <a:latin typeface="Times New Roman" panose="02020603050405020304" charset="0"/>
          <a:cs typeface="Times New Roman" panose="0202060305040502030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89129483814499"/>
          <c:y val="5.1400554097404502E-2"/>
          <c:w val="0.824282370953627"/>
          <c:h val="0.73444808982210597"/>
        </c:manualLayout>
      </c:layout>
      <c:scatterChart>
        <c:scatterStyle val="smoothMarker"/>
        <c:varyColors val="0"/>
        <c:ser>
          <c:idx val="0"/>
          <c:order val="0"/>
          <c:tx>
            <c:strRef>
              <c:f>Лист2!$B$2</c:f>
              <c:strCache>
                <c:ptCount val="1"/>
                <c:pt idx="0">
                  <c:v>1</c:v>
                </c:pt>
              </c:strCache>
            </c:strRef>
          </c:tx>
          <c:marker>
            <c:symbol val="circle"/>
            <c:size val="7"/>
          </c:marker>
          <c:errBars>
            <c:errDir val="y"/>
            <c:errBarType val="both"/>
            <c:errValType val="percentage"/>
            <c:noEndCap val="0"/>
            <c:val val="5"/>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Лист2!$B$3:$B$15</c:f>
              <c:numCache>
                <c:formatCode>General</c:formatCode>
                <c:ptCount val="13"/>
                <c:pt idx="0">
                  <c:v>0</c:v>
                </c:pt>
                <c:pt idx="1">
                  <c:v>55</c:v>
                </c:pt>
                <c:pt idx="2">
                  <c:v>114</c:v>
                </c:pt>
                <c:pt idx="3">
                  <c:v>200</c:v>
                </c:pt>
                <c:pt idx="4">
                  <c:v>230</c:v>
                </c:pt>
                <c:pt idx="5">
                  <c:v>236</c:v>
                </c:pt>
                <c:pt idx="6">
                  <c:v>236</c:v>
                </c:pt>
                <c:pt idx="7">
                  <c:v>236</c:v>
                </c:pt>
                <c:pt idx="8">
                  <c:v>236</c:v>
                </c:pt>
                <c:pt idx="9">
                  <c:v>236</c:v>
                </c:pt>
                <c:pt idx="10">
                  <c:v>236</c:v>
                </c:pt>
                <c:pt idx="11">
                  <c:v>236</c:v>
                </c:pt>
                <c:pt idx="12">
                  <c:v>236</c:v>
                </c:pt>
              </c:numCache>
            </c:numRef>
          </c:yVal>
          <c:smooth val="1"/>
          <c:extLst>
            <c:ext xmlns:c16="http://schemas.microsoft.com/office/drawing/2014/chart" uri="{C3380CC4-5D6E-409C-BE32-E72D297353CC}">
              <c16:uniqueId val="{00000000-1E4F-42E9-951D-A7728A2CE73E}"/>
            </c:ext>
          </c:extLst>
        </c:ser>
        <c:ser>
          <c:idx val="1"/>
          <c:order val="1"/>
          <c:tx>
            <c:strRef>
              <c:f>Лист2!$C$2</c:f>
              <c:strCache>
                <c:ptCount val="1"/>
                <c:pt idx="0">
                  <c:v>2</c:v>
                </c:pt>
              </c:strCache>
            </c:strRef>
          </c:tx>
          <c:marker>
            <c:symbol val="circle"/>
            <c:size val="7"/>
          </c:marker>
          <c:errBars>
            <c:errDir val="y"/>
            <c:errBarType val="both"/>
            <c:errValType val="percentage"/>
            <c:noEndCap val="0"/>
            <c:val val="10"/>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Лист2!$C$3:$C$15</c:f>
              <c:numCache>
                <c:formatCode>General</c:formatCode>
                <c:ptCount val="13"/>
                <c:pt idx="0">
                  <c:v>0</c:v>
                </c:pt>
                <c:pt idx="1">
                  <c:v>25</c:v>
                </c:pt>
                <c:pt idx="2">
                  <c:v>43</c:v>
                </c:pt>
                <c:pt idx="3">
                  <c:v>57</c:v>
                </c:pt>
                <c:pt idx="4">
                  <c:v>65</c:v>
                </c:pt>
                <c:pt idx="5">
                  <c:v>68</c:v>
                </c:pt>
                <c:pt idx="6">
                  <c:v>69</c:v>
                </c:pt>
                <c:pt idx="7">
                  <c:v>70</c:v>
                </c:pt>
                <c:pt idx="8">
                  <c:v>70</c:v>
                </c:pt>
                <c:pt idx="9">
                  <c:v>70</c:v>
                </c:pt>
                <c:pt idx="10">
                  <c:v>70</c:v>
                </c:pt>
                <c:pt idx="11">
                  <c:v>70</c:v>
                </c:pt>
                <c:pt idx="12">
                  <c:v>70</c:v>
                </c:pt>
              </c:numCache>
            </c:numRef>
          </c:yVal>
          <c:smooth val="1"/>
          <c:extLst>
            <c:ext xmlns:c16="http://schemas.microsoft.com/office/drawing/2014/chart" uri="{C3380CC4-5D6E-409C-BE32-E72D297353CC}">
              <c16:uniqueId val="{00000001-1E4F-42E9-951D-A7728A2CE73E}"/>
            </c:ext>
          </c:extLst>
        </c:ser>
        <c:ser>
          <c:idx val="2"/>
          <c:order val="2"/>
          <c:tx>
            <c:strRef>
              <c:f>Лист2!$D$2</c:f>
              <c:strCache>
                <c:ptCount val="1"/>
                <c:pt idx="0">
                  <c:v>3</c:v>
                </c:pt>
              </c:strCache>
            </c:strRef>
          </c:tx>
          <c:marker>
            <c:symbol val="circle"/>
            <c:size val="7"/>
          </c:marker>
          <c:errBars>
            <c:errDir val="y"/>
            <c:errBarType val="both"/>
            <c:errValType val="percentage"/>
            <c:noEndCap val="0"/>
            <c:val val="10"/>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Лист2!$D$3:$D$15</c:f>
              <c:numCache>
                <c:formatCode>General</c:formatCode>
                <c:ptCount val="13"/>
                <c:pt idx="0">
                  <c:v>0</c:v>
                </c:pt>
                <c:pt idx="1">
                  <c:v>18</c:v>
                </c:pt>
                <c:pt idx="2">
                  <c:v>27</c:v>
                </c:pt>
                <c:pt idx="3">
                  <c:v>35</c:v>
                </c:pt>
                <c:pt idx="4">
                  <c:v>38</c:v>
                </c:pt>
                <c:pt idx="5">
                  <c:v>40</c:v>
                </c:pt>
                <c:pt idx="6">
                  <c:v>40</c:v>
                </c:pt>
                <c:pt idx="7">
                  <c:v>40</c:v>
                </c:pt>
                <c:pt idx="8">
                  <c:v>40</c:v>
                </c:pt>
                <c:pt idx="9">
                  <c:v>40</c:v>
                </c:pt>
                <c:pt idx="10">
                  <c:v>40</c:v>
                </c:pt>
                <c:pt idx="11">
                  <c:v>40</c:v>
                </c:pt>
                <c:pt idx="12">
                  <c:v>40</c:v>
                </c:pt>
              </c:numCache>
            </c:numRef>
          </c:yVal>
          <c:smooth val="1"/>
          <c:extLst>
            <c:ext xmlns:c16="http://schemas.microsoft.com/office/drawing/2014/chart" uri="{C3380CC4-5D6E-409C-BE32-E72D297353CC}">
              <c16:uniqueId val="{00000002-1E4F-42E9-951D-A7728A2CE73E}"/>
            </c:ext>
          </c:extLst>
        </c:ser>
        <c:ser>
          <c:idx val="3"/>
          <c:order val="3"/>
          <c:tx>
            <c:strRef>
              <c:f>Лист2!$E$2</c:f>
              <c:strCache>
                <c:ptCount val="1"/>
                <c:pt idx="0">
                  <c:v>4</c:v>
                </c:pt>
              </c:strCache>
            </c:strRef>
          </c:tx>
          <c:marker>
            <c:symbol val="circle"/>
            <c:size val="7"/>
          </c:marker>
          <c:errBars>
            <c:errDir val="y"/>
            <c:errBarType val="both"/>
            <c:errValType val="percentage"/>
            <c:noEndCap val="0"/>
            <c:val val="10"/>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Лист2!$E$3:$E$15</c:f>
              <c:numCache>
                <c:formatCode>General</c:formatCode>
                <c:ptCount val="13"/>
                <c:pt idx="0">
                  <c:v>0</c:v>
                </c:pt>
                <c:pt idx="1">
                  <c:v>12</c:v>
                </c:pt>
                <c:pt idx="2">
                  <c:v>27</c:v>
                </c:pt>
                <c:pt idx="3">
                  <c:v>40</c:v>
                </c:pt>
                <c:pt idx="4">
                  <c:v>52</c:v>
                </c:pt>
                <c:pt idx="5">
                  <c:v>60</c:v>
                </c:pt>
                <c:pt idx="6">
                  <c:v>65</c:v>
                </c:pt>
                <c:pt idx="7">
                  <c:v>67</c:v>
                </c:pt>
                <c:pt idx="8">
                  <c:v>67</c:v>
                </c:pt>
                <c:pt idx="9">
                  <c:v>67</c:v>
                </c:pt>
                <c:pt idx="10">
                  <c:v>67</c:v>
                </c:pt>
                <c:pt idx="11">
                  <c:v>67</c:v>
                </c:pt>
                <c:pt idx="12">
                  <c:v>67</c:v>
                </c:pt>
              </c:numCache>
            </c:numRef>
          </c:yVal>
          <c:smooth val="1"/>
          <c:extLst>
            <c:ext xmlns:c16="http://schemas.microsoft.com/office/drawing/2014/chart" uri="{C3380CC4-5D6E-409C-BE32-E72D297353CC}">
              <c16:uniqueId val="{00000003-1E4F-42E9-951D-A7728A2CE73E}"/>
            </c:ext>
          </c:extLst>
        </c:ser>
        <c:ser>
          <c:idx val="4"/>
          <c:order val="4"/>
          <c:tx>
            <c:strRef>
              <c:f>Лист2!$F$2</c:f>
              <c:strCache>
                <c:ptCount val="1"/>
                <c:pt idx="0">
                  <c:v>5</c:v>
                </c:pt>
              </c:strCache>
            </c:strRef>
          </c:tx>
          <c:marker>
            <c:symbol val="circle"/>
            <c:size val="7"/>
          </c:marker>
          <c:errBars>
            <c:errDir val="y"/>
            <c:errBarType val="both"/>
            <c:errValType val="percentage"/>
            <c:noEndCap val="0"/>
            <c:val val="10"/>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Лист2!$F$3:$F$15</c:f>
              <c:numCache>
                <c:formatCode>General</c:formatCode>
                <c:ptCount val="13"/>
                <c:pt idx="0">
                  <c:v>0</c:v>
                </c:pt>
                <c:pt idx="1">
                  <c:v>16</c:v>
                </c:pt>
                <c:pt idx="2">
                  <c:v>27</c:v>
                </c:pt>
                <c:pt idx="3">
                  <c:v>42</c:v>
                </c:pt>
                <c:pt idx="4">
                  <c:v>55</c:v>
                </c:pt>
                <c:pt idx="5">
                  <c:v>56</c:v>
                </c:pt>
                <c:pt idx="6">
                  <c:v>56</c:v>
                </c:pt>
                <c:pt idx="7">
                  <c:v>56</c:v>
                </c:pt>
                <c:pt idx="8">
                  <c:v>56</c:v>
                </c:pt>
                <c:pt idx="9">
                  <c:v>56</c:v>
                </c:pt>
                <c:pt idx="10">
                  <c:v>56</c:v>
                </c:pt>
                <c:pt idx="11">
                  <c:v>56</c:v>
                </c:pt>
                <c:pt idx="12">
                  <c:v>56</c:v>
                </c:pt>
              </c:numCache>
            </c:numRef>
          </c:yVal>
          <c:smooth val="1"/>
          <c:extLst>
            <c:ext xmlns:c16="http://schemas.microsoft.com/office/drawing/2014/chart" uri="{C3380CC4-5D6E-409C-BE32-E72D297353CC}">
              <c16:uniqueId val="{00000004-1E4F-42E9-951D-A7728A2CE73E}"/>
            </c:ext>
          </c:extLst>
        </c:ser>
        <c:ser>
          <c:idx val="5"/>
          <c:order val="5"/>
          <c:tx>
            <c:strRef>
              <c:f>Лист2!$G$2</c:f>
              <c:strCache>
                <c:ptCount val="1"/>
                <c:pt idx="0">
                  <c:v>6</c:v>
                </c:pt>
              </c:strCache>
            </c:strRef>
          </c:tx>
          <c:errBars>
            <c:errDir val="y"/>
            <c:errBarType val="both"/>
            <c:errValType val="percentage"/>
            <c:noEndCap val="0"/>
            <c:val val="7"/>
          </c:errBars>
          <c:xVal>
            <c:numRef>
              <c:f>Лист2!$A$3:$A$15</c:f>
              <c:numCache>
                <c:formatCode>General</c:formatCode>
                <c:ptCount val="13"/>
                <c:pt idx="0">
                  <c:v>0</c:v>
                </c:pt>
                <c:pt idx="1">
                  <c:v>2</c:v>
                </c:pt>
                <c:pt idx="2">
                  <c:v>4</c:v>
                </c:pt>
                <c:pt idx="3">
                  <c:v>6</c:v>
                </c:pt>
                <c:pt idx="4">
                  <c:v>8</c:v>
                </c:pt>
                <c:pt idx="5">
                  <c:v>10</c:v>
                </c:pt>
                <c:pt idx="6">
                  <c:v>12</c:v>
                </c:pt>
                <c:pt idx="7">
                  <c:v>14</c:v>
                </c:pt>
                <c:pt idx="8">
                  <c:v>16</c:v>
                </c:pt>
                <c:pt idx="9">
                  <c:v>18</c:v>
                </c:pt>
                <c:pt idx="10">
                  <c:v>20</c:v>
                </c:pt>
                <c:pt idx="11">
                  <c:v>22</c:v>
                </c:pt>
                <c:pt idx="12">
                  <c:v>24</c:v>
                </c:pt>
              </c:numCache>
            </c:numRef>
          </c:xVal>
          <c:yVal>
            <c:numRef>
              <c:f>Лист2!$G$3:$G$15</c:f>
              <c:numCache>
                <c:formatCode>General</c:formatCode>
                <c:ptCount val="13"/>
                <c:pt idx="0">
                  <c:v>0</c:v>
                </c:pt>
                <c:pt idx="1">
                  <c:v>9</c:v>
                </c:pt>
                <c:pt idx="2">
                  <c:v>20</c:v>
                </c:pt>
                <c:pt idx="3">
                  <c:v>26</c:v>
                </c:pt>
                <c:pt idx="4">
                  <c:v>30</c:v>
                </c:pt>
                <c:pt idx="5">
                  <c:v>32</c:v>
                </c:pt>
                <c:pt idx="6">
                  <c:v>33</c:v>
                </c:pt>
                <c:pt idx="7">
                  <c:v>33</c:v>
                </c:pt>
                <c:pt idx="8">
                  <c:v>33</c:v>
                </c:pt>
                <c:pt idx="9">
                  <c:v>33</c:v>
                </c:pt>
                <c:pt idx="10">
                  <c:v>33</c:v>
                </c:pt>
                <c:pt idx="11">
                  <c:v>33</c:v>
                </c:pt>
                <c:pt idx="12">
                  <c:v>33</c:v>
                </c:pt>
              </c:numCache>
            </c:numRef>
          </c:yVal>
          <c:smooth val="1"/>
          <c:extLst>
            <c:ext xmlns:c16="http://schemas.microsoft.com/office/drawing/2014/chart" uri="{C3380CC4-5D6E-409C-BE32-E72D297353CC}">
              <c16:uniqueId val="{00000005-1E4F-42E9-951D-A7728A2CE73E}"/>
            </c:ext>
          </c:extLst>
        </c:ser>
        <c:dLbls>
          <c:showLegendKey val="0"/>
          <c:showVal val="0"/>
          <c:showCatName val="0"/>
          <c:showSerName val="0"/>
          <c:showPercent val="0"/>
          <c:showBubbleSize val="0"/>
        </c:dLbls>
        <c:axId val="-1626251376"/>
        <c:axId val="-1626258992"/>
      </c:scatterChart>
      <c:valAx>
        <c:axId val="-1626251376"/>
        <c:scaling>
          <c:orientation val="minMax"/>
          <c:max val="25"/>
          <c:min val="0"/>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baseline="0"/>
                  <a:t>Sorption duration </a:t>
                </a:r>
                <a:r>
                  <a:rPr lang="ru-RU" baseline="0"/>
                  <a:t>(</a:t>
                </a:r>
                <a:r>
                  <a:rPr lang="en-US" baseline="0"/>
                  <a:t>hr</a:t>
                </a:r>
                <a:r>
                  <a:rPr lang="ru-RU" baseline="0"/>
                  <a:t>)</a:t>
                </a:r>
                <a:endParaRPr lang="ru-RU"/>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58992"/>
        <c:crosses val="autoZero"/>
        <c:crossBetween val="midCat"/>
        <c:majorUnit val="5"/>
      </c:valAx>
      <c:valAx>
        <c:axId val="-1626258992"/>
        <c:scaling>
          <c:orientation val="minMax"/>
          <c:max val="300"/>
          <c:min val="0"/>
        </c:scaling>
        <c:delete val="0"/>
        <c:axPos val="l"/>
        <c:title>
          <c:tx>
            <c:rich>
              <a:bodyPr rot="-54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qe (mg/g)</a:t>
                </a:r>
                <a:endParaRPr lang="ru-RU"/>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51376"/>
        <c:crosses val="autoZero"/>
        <c:crossBetween val="midCat"/>
        <c:majorUnit val="50"/>
      </c:valAx>
    </c:plotArea>
    <c:legend>
      <c:legendPos val="r"/>
      <c:layout>
        <c:manualLayout>
          <c:xMode val="edge"/>
          <c:yMode val="edge"/>
          <c:x val="0.227583333333333"/>
          <c:y val="1.2929060950714499E-2"/>
          <c:w val="0.764083333333338"/>
          <c:h val="0.116700568678915"/>
        </c:manualLayout>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zero"/>
    <c:showDLblsOverMax val="0"/>
    <c:extLst>
      <c:ext uri="{0b15fc19-7d7d-44ad-8c2d-2c3a37ce22c3}">
        <chartProps xmlns="https://web.wps.cn/et/2018/main" chartId="{a24bad2e-c577-4d33-914d-f146f544c853}"/>
      </c:ext>
    </c:extLst>
  </c:chart>
  <c:spPr>
    <a:ln w="6350" cap="flat" cmpd="sng" algn="ctr">
      <a:noFill/>
      <a:prstDash val="solid"/>
      <a:round/>
    </a:ln>
  </c:spPr>
  <c:txPr>
    <a:bodyPr/>
    <a:lstStyle/>
    <a:p>
      <a:pPr>
        <a:defRPr lang="en-US" b="0">
          <a:latin typeface="Times New Roman" panose="02020603050405020304" charset="0"/>
          <a:cs typeface="Times New Roman" panose="0202060305040502030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endParaRPr lang="ru-RU"/>
          </a:p>
        </c:rich>
      </c:tx>
      <c:overlay val="0"/>
    </c:title>
    <c:autoTitleDeleted val="0"/>
    <c:plotArea>
      <c:layout>
        <c:manualLayout>
          <c:layoutTarget val="inner"/>
          <c:xMode val="edge"/>
          <c:yMode val="edge"/>
          <c:x val="0.13089129483814499"/>
          <c:y val="5.1400554097404502E-2"/>
          <c:w val="0.824282370953627"/>
          <c:h val="0.73444808982210597"/>
        </c:manualLayout>
      </c:layout>
      <c:scatterChart>
        <c:scatterStyle val="smoothMarker"/>
        <c:varyColors val="0"/>
        <c:ser>
          <c:idx val="0"/>
          <c:order val="0"/>
          <c:tx>
            <c:strRef>
              <c:f>Лист3!$B$1</c:f>
              <c:strCache>
                <c:ptCount val="1"/>
              </c:strCache>
            </c:strRef>
          </c:tx>
          <c:marker>
            <c:symbol val="circle"/>
            <c:size val="7"/>
          </c:marker>
          <c:errBars>
            <c:errDir val="y"/>
            <c:errBarType val="both"/>
            <c:errValType val="percentage"/>
            <c:noEndCap val="0"/>
            <c:val val="7"/>
          </c:errBars>
          <c:errBars>
            <c:errDir val="x"/>
            <c:errBarType val="both"/>
            <c:errValType val="fixedVal"/>
            <c:noEndCap val="0"/>
            <c:val val="1"/>
          </c:errBars>
          <c:xVal>
            <c:numRef>
              <c:f>Лист3!$A$2:$A$16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Лист3!$B$2:$B$16</c:f>
              <c:numCache>
                <c:formatCode>General</c:formatCode>
                <c:ptCount val="15"/>
                <c:pt idx="0">
                  <c:v>0</c:v>
                </c:pt>
                <c:pt idx="1">
                  <c:v>32</c:v>
                </c:pt>
                <c:pt idx="2">
                  <c:v>56</c:v>
                </c:pt>
                <c:pt idx="3">
                  <c:v>80</c:v>
                </c:pt>
                <c:pt idx="4">
                  <c:v>95</c:v>
                </c:pt>
                <c:pt idx="5">
                  <c:v>100</c:v>
                </c:pt>
                <c:pt idx="6">
                  <c:v>102</c:v>
                </c:pt>
                <c:pt idx="7">
                  <c:v>110</c:v>
                </c:pt>
                <c:pt idx="8">
                  <c:v>125</c:v>
                </c:pt>
                <c:pt idx="9">
                  <c:v>185</c:v>
                </c:pt>
                <c:pt idx="10">
                  <c:v>215</c:v>
                </c:pt>
                <c:pt idx="11">
                  <c:v>228</c:v>
                </c:pt>
                <c:pt idx="12">
                  <c:v>227</c:v>
                </c:pt>
                <c:pt idx="13">
                  <c:v>230</c:v>
                </c:pt>
                <c:pt idx="14">
                  <c:v>238</c:v>
                </c:pt>
              </c:numCache>
            </c:numRef>
          </c:yVal>
          <c:smooth val="1"/>
          <c:extLst>
            <c:ext xmlns:c16="http://schemas.microsoft.com/office/drawing/2014/chart" uri="{C3380CC4-5D6E-409C-BE32-E72D297353CC}">
              <c16:uniqueId val="{00000000-C7BB-4375-A0A2-D6EA38F65E40}"/>
            </c:ext>
          </c:extLst>
        </c:ser>
        <c:dLbls>
          <c:showLegendKey val="0"/>
          <c:showVal val="0"/>
          <c:showCatName val="0"/>
          <c:showSerName val="0"/>
          <c:showPercent val="0"/>
          <c:showBubbleSize val="0"/>
        </c:dLbls>
        <c:axId val="-1626250832"/>
        <c:axId val="-1626257360"/>
      </c:scatterChart>
      <c:valAx>
        <c:axId val="-1626250832"/>
        <c:scaling>
          <c:orientation val="minMax"/>
          <c:max val="1000"/>
          <c:min val="0"/>
        </c:scaling>
        <c:delete val="0"/>
        <c:axPos val="b"/>
        <c:title>
          <c:tx>
            <c:rich>
              <a:bodyPr rot="0" spcFirstLastPara="0" vertOverflow="clip"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Ce (mg/l)</a:t>
                </a:r>
                <a:endParaRPr lang="ru-RU"/>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57360"/>
        <c:crosses val="autoZero"/>
        <c:crossBetween val="midCat"/>
        <c:majorUnit val="200"/>
      </c:valAx>
      <c:valAx>
        <c:axId val="-1626257360"/>
        <c:scaling>
          <c:orientation val="minMax"/>
        </c:scaling>
        <c:delete val="0"/>
        <c:axPos val="l"/>
        <c:title>
          <c:tx>
            <c:rich>
              <a:bodyPr rot="-5400000" spcFirstLastPara="0" vertOverflow="clip"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qe (mg/g)</a:t>
                </a:r>
                <a:endParaRPr lang="ru-RU"/>
              </a:p>
            </c:rich>
          </c:tx>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50832"/>
        <c:crosses val="autoZero"/>
        <c:crossBetween val="midCat"/>
      </c:valAx>
      <c:spPr>
        <a:noFill/>
        <a:ln w="25400">
          <a:noFill/>
        </a:ln>
      </c:spPr>
    </c:plotArea>
    <c:plotVisOnly val="1"/>
    <c:dispBlanksAs val="zero"/>
    <c:showDLblsOverMax val="0"/>
    <c:extLst>
      <c:ext uri="{0b15fc19-7d7d-44ad-8c2d-2c3a37ce22c3}">
        <chartProps xmlns="https://web.wps.cn/et/2018/main" chartId="{ccdefec5-0818-49b5-bccb-465b606248dc}"/>
      </c:ext>
    </c:extLst>
  </c:chart>
  <c:spPr>
    <a:ln w="9525" cap="flat" cmpd="sng" algn="ctr">
      <a:noFill/>
      <a:prstDash val="solid"/>
      <a:round/>
    </a:ln>
  </c:spPr>
  <c:txPr>
    <a:bodyPr/>
    <a:lstStyle/>
    <a:p>
      <a:pPr>
        <a:defRPr lang="en-US" b="0">
          <a:latin typeface="Times New Roman" panose="02020603050405020304" charset="0"/>
          <a:cs typeface="Times New Roman" panose="02020603050405020304"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089129483814499"/>
          <c:y val="5.1400554097404502E-2"/>
          <c:w val="0.824282370953627"/>
          <c:h val="0.73444808982210597"/>
        </c:manualLayout>
      </c:layout>
      <c:scatterChart>
        <c:scatterStyle val="smoothMarker"/>
        <c:varyColors val="0"/>
        <c:ser>
          <c:idx val="0"/>
          <c:order val="0"/>
          <c:tx>
            <c:strRef>
              <c:f>Лист4!$B$1</c:f>
              <c:strCache>
                <c:ptCount val="1"/>
                <c:pt idx="0">
                  <c:v>1</c:v>
                </c:pt>
              </c:strCache>
            </c:strRef>
          </c:tx>
          <c:marker>
            <c:symbol val="circle"/>
            <c:size val="7"/>
          </c:marker>
          <c:errBars>
            <c:errDir val="y"/>
            <c:errBarType val="both"/>
            <c:errValType val="percentage"/>
            <c:noEndCap val="0"/>
            <c:val val="5"/>
          </c:errBars>
          <c:errBars>
            <c:errDir val="x"/>
            <c:errBarType val="both"/>
            <c:errValType val="fixedVal"/>
            <c:noEndCap val="0"/>
            <c:val val="1"/>
          </c:errBars>
          <c:xVal>
            <c:numRef>
              <c:f>Лист4!$A$2:$A$16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Лист4!$B$2:$B$16</c:f>
              <c:numCache>
                <c:formatCode>General</c:formatCode>
                <c:ptCount val="15"/>
                <c:pt idx="0">
                  <c:v>0</c:v>
                </c:pt>
                <c:pt idx="1">
                  <c:v>3</c:v>
                </c:pt>
                <c:pt idx="2">
                  <c:v>6</c:v>
                </c:pt>
                <c:pt idx="3">
                  <c:v>9</c:v>
                </c:pt>
                <c:pt idx="4">
                  <c:v>10</c:v>
                </c:pt>
                <c:pt idx="5">
                  <c:v>12</c:v>
                </c:pt>
                <c:pt idx="6">
                  <c:v>14</c:v>
                </c:pt>
                <c:pt idx="7">
                  <c:v>15</c:v>
                </c:pt>
                <c:pt idx="8">
                  <c:v>16</c:v>
                </c:pt>
                <c:pt idx="9">
                  <c:v>30</c:v>
                </c:pt>
                <c:pt idx="10">
                  <c:v>50</c:v>
                </c:pt>
                <c:pt idx="11">
                  <c:v>60</c:v>
                </c:pt>
                <c:pt idx="12">
                  <c:v>65</c:v>
                </c:pt>
                <c:pt idx="13">
                  <c:v>68</c:v>
                </c:pt>
                <c:pt idx="14">
                  <c:v>72</c:v>
                </c:pt>
              </c:numCache>
            </c:numRef>
          </c:yVal>
          <c:smooth val="1"/>
          <c:extLst>
            <c:ext xmlns:c16="http://schemas.microsoft.com/office/drawing/2014/chart" uri="{C3380CC4-5D6E-409C-BE32-E72D297353CC}">
              <c16:uniqueId val="{00000000-4774-458F-B819-CFAEFA947755}"/>
            </c:ext>
          </c:extLst>
        </c:ser>
        <c:ser>
          <c:idx val="1"/>
          <c:order val="1"/>
          <c:tx>
            <c:strRef>
              <c:f>Лист4!$C$1</c:f>
              <c:strCache>
                <c:ptCount val="1"/>
                <c:pt idx="0">
                  <c:v>2</c:v>
                </c:pt>
              </c:strCache>
            </c:strRef>
          </c:tx>
          <c:marker>
            <c:symbol val="circle"/>
            <c:size val="7"/>
          </c:marker>
          <c:errBars>
            <c:errDir val="y"/>
            <c:errBarType val="both"/>
            <c:errValType val="percentage"/>
            <c:noEndCap val="0"/>
            <c:val val="7"/>
          </c:errBars>
          <c:errBars>
            <c:errDir val="x"/>
            <c:errBarType val="both"/>
            <c:errValType val="fixedVal"/>
            <c:noEndCap val="0"/>
            <c:val val="1"/>
          </c:errBars>
          <c:xVal>
            <c:numRef>
              <c:f>Лист4!$A$2:$A$16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Лист4!$C$2:$C$16</c:f>
              <c:numCache>
                <c:formatCode>General</c:formatCode>
                <c:ptCount val="15"/>
                <c:pt idx="0">
                  <c:v>0</c:v>
                </c:pt>
                <c:pt idx="1">
                  <c:v>2</c:v>
                </c:pt>
                <c:pt idx="2">
                  <c:v>5</c:v>
                </c:pt>
                <c:pt idx="3">
                  <c:v>7</c:v>
                </c:pt>
                <c:pt idx="4">
                  <c:v>8</c:v>
                </c:pt>
                <c:pt idx="5">
                  <c:v>10</c:v>
                </c:pt>
                <c:pt idx="6">
                  <c:v>10</c:v>
                </c:pt>
                <c:pt idx="7">
                  <c:v>12</c:v>
                </c:pt>
                <c:pt idx="8">
                  <c:v>25</c:v>
                </c:pt>
                <c:pt idx="9">
                  <c:v>35</c:v>
                </c:pt>
                <c:pt idx="10">
                  <c:v>37</c:v>
                </c:pt>
                <c:pt idx="11">
                  <c:v>38</c:v>
                </c:pt>
                <c:pt idx="12">
                  <c:v>39</c:v>
                </c:pt>
                <c:pt idx="13">
                  <c:v>40</c:v>
                </c:pt>
                <c:pt idx="14">
                  <c:v>42</c:v>
                </c:pt>
              </c:numCache>
            </c:numRef>
          </c:yVal>
          <c:smooth val="1"/>
          <c:extLst>
            <c:ext xmlns:c16="http://schemas.microsoft.com/office/drawing/2014/chart" uri="{C3380CC4-5D6E-409C-BE32-E72D297353CC}">
              <c16:uniqueId val="{00000001-4774-458F-B819-CFAEFA947755}"/>
            </c:ext>
          </c:extLst>
        </c:ser>
        <c:ser>
          <c:idx val="2"/>
          <c:order val="2"/>
          <c:tx>
            <c:strRef>
              <c:f>Лист4!$D$1</c:f>
              <c:strCache>
                <c:ptCount val="1"/>
                <c:pt idx="0">
                  <c:v>3</c:v>
                </c:pt>
              </c:strCache>
            </c:strRef>
          </c:tx>
          <c:marker>
            <c:symbol val="circle"/>
            <c:size val="7"/>
          </c:marker>
          <c:errBars>
            <c:errDir val="y"/>
            <c:errBarType val="both"/>
            <c:errValType val="percentage"/>
            <c:noEndCap val="0"/>
            <c:val val="7"/>
          </c:errBars>
          <c:errBars>
            <c:errDir val="x"/>
            <c:errBarType val="both"/>
            <c:errValType val="fixedVal"/>
            <c:noEndCap val="0"/>
            <c:val val="1"/>
          </c:errBars>
          <c:xVal>
            <c:numRef>
              <c:f>Лист4!$A$2:$A$16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Лист4!$D$2:$D$16</c:f>
              <c:numCache>
                <c:formatCode>General</c:formatCode>
                <c:ptCount val="15"/>
                <c:pt idx="0">
                  <c:v>0</c:v>
                </c:pt>
                <c:pt idx="1">
                  <c:v>4</c:v>
                </c:pt>
                <c:pt idx="2">
                  <c:v>8</c:v>
                </c:pt>
                <c:pt idx="3">
                  <c:v>10</c:v>
                </c:pt>
                <c:pt idx="4">
                  <c:v>13</c:v>
                </c:pt>
                <c:pt idx="5">
                  <c:v>15</c:v>
                </c:pt>
                <c:pt idx="6">
                  <c:v>17</c:v>
                </c:pt>
                <c:pt idx="7">
                  <c:v>19</c:v>
                </c:pt>
                <c:pt idx="8">
                  <c:v>22</c:v>
                </c:pt>
                <c:pt idx="9">
                  <c:v>44</c:v>
                </c:pt>
                <c:pt idx="10">
                  <c:v>56</c:v>
                </c:pt>
                <c:pt idx="11">
                  <c:v>62</c:v>
                </c:pt>
                <c:pt idx="12">
                  <c:v>65</c:v>
                </c:pt>
                <c:pt idx="13">
                  <c:v>67</c:v>
                </c:pt>
                <c:pt idx="14">
                  <c:v>68</c:v>
                </c:pt>
              </c:numCache>
            </c:numRef>
          </c:yVal>
          <c:smooth val="1"/>
          <c:extLst>
            <c:ext xmlns:c16="http://schemas.microsoft.com/office/drawing/2014/chart" uri="{C3380CC4-5D6E-409C-BE32-E72D297353CC}">
              <c16:uniqueId val="{00000002-4774-458F-B819-CFAEFA947755}"/>
            </c:ext>
          </c:extLst>
        </c:ser>
        <c:ser>
          <c:idx val="3"/>
          <c:order val="3"/>
          <c:tx>
            <c:strRef>
              <c:f>Лист4!$E$1</c:f>
              <c:strCache>
                <c:ptCount val="1"/>
                <c:pt idx="0">
                  <c:v>4</c:v>
                </c:pt>
              </c:strCache>
            </c:strRef>
          </c:tx>
          <c:marker>
            <c:symbol val="circle"/>
            <c:size val="7"/>
          </c:marker>
          <c:errBars>
            <c:errDir val="y"/>
            <c:errBarType val="both"/>
            <c:errValType val="percentage"/>
            <c:noEndCap val="0"/>
            <c:val val="5"/>
          </c:errBars>
          <c:errBars>
            <c:errDir val="x"/>
            <c:errBarType val="both"/>
            <c:errValType val="fixedVal"/>
            <c:noEndCap val="0"/>
            <c:val val="1"/>
          </c:errBars>
          <c:xVal>
            <c:numRef>
              <c:f>Лист4!$A$2:$A$16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Лист4!$E$2:$E$16</c:f>
              <c:numCache>
                <c:formatCode>General</c:formatCode>
                <c:ptCount val="15"/>
                <c:pt idx="0">
                  <c:v>0</c:v>
                </c:pt>
                <c:pt idx="1">
                  <c:v>5</c:v>
                </c:pt>
                <c:pt idx="2">
                  <c:v>8</c:v>
                </c:pt>
                <c:pt idx="3">
                  <c:v>10</c:v>
                </c:pt>
                <c:pt idx="4">
                  <c:v>11</c:v>
                </c:pt>
                <c:pt idx="5">
                  <c:v>12</c:v>
                </c:pt>
                <c:pt idx="6">
                  <c:v>12</c:v>
                </c:pt>
                <c:pt idx="7">
                  <c:v>15</c:v>
                </c:pt>
                <c:pt idx="8">
                  <c:v>38</c:v>
                </c:pt>
                <c:pt idx="9">
                  <c:v>48</c:v>
                </c:pt>
                <c:pt idx="10">
                  <c:v>52</c:v>
                </c:pt>
                <c:pt idx="11">
                  <c:v>54</c:v>
                </c:pt>
                <c:pt idx="12">
                  <c:v>56</c:v>
                </c:pt>
                <c:pt idx="13">
                  <c:v>57</c:v>
                </c:pt>
                <c:pt idx="14">
                  <c:v>62</c:v>
                </c:pt>
              </c:numCache>
            </c:numRef>
          </c:yVal>
          <c:smooth val="1"/>
          <c:extLst>
            <c:ext xmlns:c16="http://schemas.microsoft.com/office/drawing/2014/chart" uri="{C3380CC4-5D6E-409C-BE32-E72D297353CC}">
              <c16:uniqueId val="{00000003-4774-458F-B819-CFAEFA947755}"/>
            </c:ext>
          </c:extLst>
        </c:ser>
        <c:ser>
          <c:idx val="4"/>
          <c:order val="4"/>
          <c:tx>
            <c:strRef>
              <c:f>Лист4!$F$1</c:f>
              <c:strCache>
                <c:ptCount val="1"/>
                <c:pt idx="0">
                  <c:v>5</c:v>
                </c:pt>
              </c:strCache>
            </c:strRef>
          </c:tx>
          <c:marker>
            <c:symbol val="circle"/>
            <c:size val="7"/>
          </c:marker>
          <c:errBars>
            <c:errDir val="y"/>
            <c:errBarType val="both"/>
            <c:errValType val="percentage"/>
            <c:noEndCap val="0"/>
            <c:val val="7"/>
          </c:errBars>
          <c:errBars>
            <c:errDir val="x"/>
            <c:errBarType val="both"/>
            <c:errValType val="fixedVal"/>
            <c:noEndCap val="0"/>
            <c:val val="1"/>
          </c:errBars>
          <c:xVal>
            <c:numRef>
              <c:f>Лист4!$A$2:$A$16</c:f>
              <c:numCache>
                <c:formatCode>General</c:formatCode>
                <c:ptCount val="15"/>
                <c:pt idx="0">
                  <c:v>0</c:v>
                </c:pt>
                <c:pt idx="1">
                  <c:v>20</c:v>
                </c:pt>
                <c:pt idx="2">
                  <c:v>40</c:v>
                </c:pt>
                <c:pt idx="3">
                  <c:v>60</c:v>
                </c:pt>
                <c:pt idx="4">
                  <c:v>80</c:v>
                </c:pt>
                <c:pt idx="5">
                  <c:v>100</c:v>
                </c:pt>
                <c:pt idx="6">
                  <c:v>200</c:v>
                </c:pt>
                <c:pt idx="7">
                  <c:v>300</c:v>
                </c:pt>
                <c:pt idx="8">
                  <c:v>400</c:v>
                </c:pt>
                <c:pt idx="9">
                  <c:v>500</c:v>
                </c:pt>
                <c:pt idx="10">
                  <c:v>600</c:v>
                </c:pt>
                <c:pt idx="11">
                  <c:v>700</c:v>
                </c:pt>
                <c:pt idx="12">
                  <c:v>800</c:v>
                </c:pt>
                <c:pt idx="13">
                  <c:v>900</c:v>
                </c:pt>
                <c:pt idx="14">
                  <c:v>1000</c:v>
                </c:pt>
              </c:numCache>
            </c:numRef>
          </c:xVal>
          <c:yVal>
            <c:numRef>
              <c:f>Лист4!$F$2:$F$16</c:f>
              <c:numCache>
                <c:formatCode>General</c:formatCode>
                <c:ptCount val="15"/>
                <c:pt idx="0">
                  <c:v>0</c:v>
                </c:pt>
                <c:pt idx="1">
                  <c:v>3</c:v>
                </c:pt>
                <c:pt idx="2">
                  <c:v>5</c:v>
                </c:pt>
                <c:pt idx="3">
                  <c:v>7</c:v>
                </c:pt>
                <c:pt idx="4">
                  <c:v>8</c:v>
                </c:pt>
                <c:pt idx="5">
                  <c:v>10</c:v>
                </c:pt>
                <c:pt idx="6">
                  <c:v>11</c:v>
                </c:pt>
                <c:pt idx="7">
                  <c:v>12</c:v>
                </c:pt>
                <c:pt idx="8">
                  <c:v>19</c:v>
                </c:pt>
                <c:pt idx="9">
                  <c:v>25</c:v>
                </c:pt>
                <c:pt idx="10">
                  <c:v>28</c:v>
                </c:pt>
                <c:pt idx="11">
                  <c:v>30</c:v>
                </c:pt>
                <c:pt idx="12">
                  <c:v>32</c:v>
                </c:pt>
                <c:pt idx="13">
                  <c:v>33</c:v>
                </c:pt>
                <c:pt idx="14">
                  <c:v>33</c:v>
                </c:pt>
              </c:numCache>
            </c:numRef>
          </c:yVal>
          <c:smooth val="1"/>
          <c:extLst>
            <c:ext xmlns:c16="http://schemas.microsoft.com/office/drawing/2014/chart" uri="{C3380CC4-5D6E-409C-BE32-E72D297353CC}">
              <c16:uniqueId val="{00000004-4774-458F-B819-CFAEFA947755}"/>
            </c:ext>
          </c:extLst>
        </c:ser>
        <c:dLbls>
          <c:showLegendKey val="0"/>
          <c:showVal val="0"/>
          <c:showCatName val="0"/>
          <c:showSerName val="0"/>
          <c:showPercent val="0"/>
          <c:showBubbleSize val="0"/>
        </c:dLbls>
        <c:axId val="-1626262800"/>
        <c:axId val="-1626245936"/>
      </c:scatterChart>
      <c:valAx>
        <c:axId val="-1626262800"/>
        <c:scaling>
          <c:orientation val="minMax"/>
          <c:max val="1000"/>
          <c:min val="0"/>
        </c:scaling>
        <c:delete val="0"/>
        <c:axPos val="b"/>
        <c:title>
          <c:tx>
            <c:rich>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Ce (mg/l)</a:t>
                </a:r>
                <a:endParaRPr lang="ru-RU"/>
              </a:p>
            </c:rich>
          </c:tx>
          <c:layout>
            <c:manualLayout>
              <c:xMode val="edge"/>
              <c:yMode val="edge"/>
              <c:x val="0.46996303587051602"/>
              <c:y val="0.905941236512111"/>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45936"/>
        <c:crosses val="autoZero"/>
        <c:crossBetween val="midCat"/>
        <c:majorUnit val="200"/>
      </c:valAx>
      <c:valAx>
        <c:axId val="-1626245936"/>
        <c:scaling>
          <c:orientation val="minMax"/>
        </c:scaling>
        <c:delete val="0"/>
        <c:axPos val="l"/>
        <c:title>
          <c:tx>
            <c:rich>
              <a:bodyPr rot="-54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r>
                  <a:rPr lang="en-US"/>
                  <a:t>qe (mg/g)</a:t>
                </a:r>
                <a:endParaRPr lang="ru-RU"/>
              </a:p>
            </c:rich>
          </c:tx>
          <c:layout>
            <c:manualLayout>
              <c:xMode val="edge"/>
              <c:yMode val="edge"/>
              <c:x val="1.8370516185476801E-2"/>
              <c:y val="0.30482830271216499"/>
            </c:manualLayout>
          </c:layout>
          <c:overlay val="0"/>
        </c:title>
        <c:numFmt formatCode="General" sourceLinked="1"/>
        <c:majorTickMark val="out"/>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626262800"/>
        <c:crosses val="autoZero"/>
        <c:crossBetween val="midCat"/>
      </c:valAx>
    </c:plotArea>
    <c:legend>
      <c:legendPos val="r"/>
      <c:layout>
        <c:manualLayout>
          <c:xMode val="edge"/>
          <c:yMode val="edge"/>
          <c:x val="0.547027777777778"/>
          <c:y val="0.62866980169146003"/>
          <c:w val="0.40575"/>
          <c:h val="0.14080818022747299"/>
        </c:manualLayout>
      </c:layout>
      <c:overlay val="0"/>
      <c:txPr>
        <a:bodyPr rot="0" spcFirstLastPara="0" vertOverflow="ellipsis" vert="horz" wrap="square" anchor="ctr" anchorCtr="1"/>
        <a:lstStyle/>
        <a:p>
          <a:pPr>
            <a:defRPr lang="en-US" sz="10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zero"/>
    <c:showDLblsOverMax val="0"/>
    <c:extLst>
      <c:ext uri="{0b15fc19-7d7d-44ad-8c2d-2c3a37ce22c3}">
        <chartProps xmlns="https://web.wps.cn/et/2018/main" chartId="{06bcc4b8-6d40-4294-bcb5-06ea6da12384}"/>
      </c:ext>
    </c:extLst>
  </c:chart>
  <c:spPr>
    <a:ln w="6350" cap="flat" cmpd="sng" algn="ctr">
      <a:noFill/>
      <a:prstDash val="solid"/>
      <a:round/>
    </a:ln>
  </c:spPr>
  <c:txPr>
    <a:bodyPr/>
    <a:lstStyle/>
    <a:p>
      <a:pPr>
        <a:defRPr lang="en-US" b="0">
          <a:latin typeface="Times New Roman" panose="02020603050405020304" charset="0"/>
          <a:cs typeface="Times New Roman" panose="0202060305040502030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61A66F9-2A96-428A-A647-5446B41DA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9117</Words>
  <Characters>51969</Characters>
  <Application>Microsoft Office Word</Application>
  <DocSecurity>0</DocSecurity>
  <Lines>433</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60965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hp 17</cp:lastModifiedBy>
  <cp:revision>20</cp:revision>
  <dcterms:created xsi:type="dcterms:W3CDTF">2026-05-22T10:07:00Z</dcterms:created>
  <dcterms:modified xsi:type="dcterms:W3CDTF">2026-05-27T22:04:00Z</dcterms:modified>
</cp:coreProperties>
</file>