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12D650E1" w:rsidR="004B461B" w:rsidRPr="008B4AB4" w:rsidRDefault="001A47E0" w:rsidP="00BB2249">
      <w:pPr>
        <w:pStyle w:val="MDPI13authornames"/>
        <w:spacing w:after="0" w:line="360" w:lineRule="auto"/>
        <w:jc w:val="center"/>
        <w:rPr>
          <w:rFonts w:ascii="Times New Roman" w:hAnsi="Times New Roman"/>
          <w:snapToGrid w:val="0"/>
          <w:color w:val="auto"/>
          <w:sz w:val="24"/>
          <w:szCs w:val="24"/>
        </w:rPr>
      </w:pPr>
      <w:r w:rsidRPr="008B4AB4">
        <w:rPr>
          <w:rFonts w:ascii="Times New Roman" w:hAnsi="Times New Roman"/>
          <w:color w:val="auto"/>
          <w:sz w:val="24"/>
          <w:szCs w:val="24"/>
        </w:rPr>
        <w:t>BIOCHEMICAL COMPOSITION AND BIOLOGICALLY ACTIVE SUBSTANCES IN TUBERS OF KAZAKH-RUSSIAN BREEDING COLOURED POTATO</w:t>
      </w:r>
    </w:p>
    <w:p w14:paraId="2639A4EA" w14:textId="77777777" w:rsidR="00BB2249" w:rsidRPr="008B4AB4" w:rsidRDefault="00BB2249" w:rsidP="00BB2249">
      <w:pPr>
        <w:pStyle w:val="MDPI13authornames"/>
        <w:spacing w:after="0" w:line="360" w:lineRule="auto"/>
        <w:jc w:val="both"/>
        <w:rPr>
          <w:rFonts w:ascii="Times New Roman" w:hAnsi="Times New Roman"/>
          <w:bCs/>
          <w:color w:val="auto"/>
          <w:sz w:val="24"/>
          <w:szCs w:val="24"/>
        </w:rPr>
      </w:pPr>
    </w:p>
    <w:p w14:paraId="0C786706" w14:textId="727930AE" w:rsidR="00BB2249" w:rsidRPr="008B4AB4" w:rsidRDefault="00986758" w:rsidP="00B5071B">
      <w:pPr>
        <w:pStyle w:val="MDPI13authornames"/>
        <w:spacing w:after="0" w:line="360" w:lineRule="auto"/>
        <w:jc w:val="center"/>
        <w:rPr>
          <w:rFonts w:ascii="Times New Roman" w:hAnsi="Times New Roman"/>
          <w:color w:val="auto"/>
          <w:sz w:val="24"/>
          <w:szCs w:val="24"/>
          <w:vertAlign w:val="superscript"/>
        </w:rPr>
      </w:pPr>
      <w:r w:rsidRPr="008B4AB4">
        <w:rPr>
          <w:rFonts w:ascii="Times New Roman" w:hAnsi="Times New Roman"/>
          <w:bCs/>
          <w:color w:val="auto"/>
          <w:sz w:val="24"/>
          <w:szCs w:val="24"/>
        </w:rPr>
        <w:t>Elena Rogozina</w:t>
      </w:r>
      <w:r w:rsidRPr="008B4AB4">
        <w:rPr>
          <w:rFonts w:ascii="Times New Roman" w:hAnsi="Times New Roman"/>
          <w:color w:val="auto"/>
          <w:sz w:val="24"/>
          <w:szCs w:val="24"/>
          <w:vertAlign w:val="superscript"/>
        </w:rPr>
        <w:t>1</w:t>
      </w:r>
      <w:r w:rsidRPr="008B4AB4">
        <w:rPr>
          <w:rFonts w:ascii="Times New Roman" w:hAnsi="Times New Roman"/>
          <w:color w:val="auto"/>
          <w:sz w:val="24"/>
          <w:szCs w:val="24"/>
        </w:rPr>
        <w:t xml:space="preserve">, </w:t>
      </w:r>
      <w:proofErr w:type="spellStart"/>
      <w:r w:rsidRPr="008B4AB4">
        <w:rPr>
          <w:rFonts w:ascii="Times New Roman" w:hAnsi="Times New Roman"/>
          <w:bCs/>
          <w:color w:val="auto"/>
          <w:sz w:val="24"/>
          <w:szCs w:val="24"/>
        </w:rPr>
        <w:t>Andey</w:t>
      </w:r>
      <w:proofErr w:type="spellEnd"/>
      <w:r w:rsidRPr="008B4AB4">
        <w:rPr>
          <w:rFonts w:ascii="Times New Roman" w:hAnsi="Times New Roman"/>
          <w:bCs/>
          <w:color w:val="auto"/>
          <w:sz w:val="24"/>
          <w:szCs w:val="24"/>
        </w:rPr>
        <w:t xml:space="preserve"> Udovitsky</w:t>
      </w:r>
      <w:r w:rsidRPr="008B4AB4">
        <w:rPr>
          <w:rFonts w:ascii="Times New Roman" w:hAnsi="Times New Roman"/>
          <w:bCs/>
          <w:color w:val="auto"/>
          <w:sz w:val="24"/>
          <w:szCs w:val="24"/>
          <w:vertAlign w:val="superscript"/>
        </w:rPr>
        <w:t>2</w:t>
      </w:r>
      <w:r w:rsidRPr="008B4AB4">
        <w:rPr>
          <w:rFonts w:ascii="Times New Roman" w:hAnsi="Times New Roman"/>
          <w:color w:val="auto"/>
          <w:sz w:val="24"/>
          <w:szCs w:val="24"/>
        </w:rPr>
        <w:t xml:space="preserve">, </w:t>
      </w:r>
      <w:r w:rsidRPr="008B4AB4">
        <w:rPr>
          <w:rFonts w:ascii="Times New Roman" w:hAnsi="Times New Roman"/>
          <w:bCs/>
          <w:color w:val="auto"/>
          <w:sz w:val="24"/>
          <w:szCs w:val="24"/>
        </w:rPr>
        <w:t>Ekaterina Ekaterinskaya</w:t>
      </w:r>
      <w:r w:rsidRPr="008B4AB4">
        <w:rPr>
          <w:rFonts w:ascii="Times New Roman" w:hAnsi="Times New Roman"/>
          <w:bCs/>
          <w:color w:val="auto"/>
          <w:sz w:val="24"/>
          <w:szCs w:val="24"/>
          <w:vertAlign w:val="superscript"/>
        </w:rPr>
        <w:t>3</w:t>
      </w:r>
      <w:r w:rsidRPr="008B4AB4">
        <w:rPr>
          <w:rFonts w:ascii="Times New Roman" w:hAnsi="Times New Roman"/>
          <w:color w:val="auto"/>
          <w:sz w:val="24"/>
          <w:szCs w:val="24"/>
        </w:rPr>
        <w:t xml:space="preserve">, </w:t>
      </w:r>
      <w:r w:rsidRPr="008B4AB4">
        <w:rPr>
          <w:rFonts w:ascii="Times New Roman" w:hAnsi="Times New Roman"/>
          <w:bCs/>
          <w:color w:val="auto"/>
          <w:sz w:val="24"/>
          <w:szCs w:val="24"/>
        </w:rPr>
        <w:t>Vladimir Semeikin</w:t>
      </w:r>
      <w:r w:rsidRPr="008B4AB4">
        <w:rPr>
          <w:rFonts w:ascii="Times New Roman" w:hAnsi="Times New Roman"/>
          <w:color w:val="auto"/>
          <w:sz w:val="24"/>
          <w:szCs w:val="24"/>
          <w:vertAlign w:val="superscript"/>
        </w:rPr>
        <w:t>2</w:t>
      </w:r>
      <w:r w:rsidRPr="008B4AB4">
        <w:rPr>
          <w:rFonts w:ascii="Times New Roman" w:hAnsi="Times New Roman"/>
          <w:color w:val="auto"/>
          <w:sz w:val="24"/>
          <w:szCs w:val="24"/>
        </w:rPr>
        <w:t>, Alexander Sidorik</w:t>
      </w:r>
      <w:r w:rsidRPr="008B4AB4">
        <w:rPr>
          <w:rFonts w:ascii="Times New Roman" w:hAnsi="Times New Roman"/>
          <w:color w:val="auto"/>
          <w:sz w:val="24"/>
          <w:szCs w:val="24"/>
          <w:vertAlign w:val="superscript"/>
        </w:rPr>
        <w:t>4</w:t>
      </w:r>
      <w:r w:rsidRPr="008B4AB4">
        <w:rPr>
          <w:rFonts w:ascii="Times New Roman" w:hAnsi="Times New Roman"/>
          <w:color w:val="auto"/>
          <w:sz w:val="24"/>
          <w:szCs w:val="24"/>
        </w:rPr>
        <w:t>, Nadezhda Chalaya</w:t>
      </w:r>
      <w:r w:rsidRPr="008B4AB4">
        <w:rPr>
          <w:rFonts w:ascii="Times New Roman" w:hAnsi="Times New Roman"/>
          <w:color w:val="auto"/>
          <w:sz w:val="24"/>
          <w:szCs w:val="24"/>
          <w:vertAlign w:val="superscript"/>
        </w:rPr>
        <w:t>1</w:t>
      </w:r>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Alla</w:t>
      </w:r>
      <w:proofErr w:type="spellEnd"/>
      <w:r w:rsidRPr="008B4AB4">
        <w:rPr>
          <w:rFonts w:ascii="Times New Roman" w:hAnsi="Times New Roman"/>
          <w:color w:val="auto"/>
          <w:sz w:val="24"/>
          <w:szCs w:val="24"/>
        </w:rPr>
        <w:t xml:space="preserve"> Solovyeva</w:t>
      </w:r>
      <w:r w:rsidRPr="008B4AB4">
        <w:rPr>
          <w:rFonts w:ascii="Times New Roman" w:hAnsi="Times New Roman"/>
          <w:color w:val="auto"/>
          <w:sz w:val="24"/>
          <w:szCs w:val="24"/>
          <w:vertAlign w:val="superscript"/>
        </w:rPr>
        <w:t>1</w:t>
      </w:r>
      <w:r w:rsidRPr="008B4AB4">
        <w:rPr>
          <w:rFonts w:ascii="Times New Roman" w:hAnsi="Times New Roman"/>
          <w:color w:val="auto"/>
          <w:sz w:val="24"/>
          <w:szCs w:val="24"/>
        </w:rPr>
        <w:t xml:space="preserve"> and </w:t>
      </w:r>
      <w:r w:rsidRPr="008B4AB4">
        <w:rPr>
          <w:rFonts w:ascii="Times New Roman" w:hAnsi="Times New Roman"/>
          <w:color w:val="auto"/>
          <w:sz w:val="24"/>
          <w:szCs w:val="24"/>
          <w:lang w:val="en-GB"/>
        </w:rPr>
        <w:t xml:space="preserve">Vadim </w:t>
      </w:r>
      <w:proofErr w:type="spellStart"/>
      <w:r w:rsidRPr="008B4AB4">
        <w:rPr>
          <w:rFonts w:ascii="Times New Roman" w:hAnsi="Times New Roman"/>
          <w:color w:val="auto"/>
          <w:sz w:val="24"/>
          <w:szCs w:val="24"/>
          <w:lang w:val="en-GB"/>
        </w:rPr>
        <w:t>Khassanov</w:t>
      </w:r>
      <w:proofErr w:type="spellEnd"/>
      <w:r w:rsidRPr="008B4AB4">
        <w:rPr>
          <w:rFonts w:ascii="Times New Roman" w:hAnsi="Times New Roman"/>
          <w:bCs/>
          <w:color w:val="auto"/>
          <w:sz w:val="24"/>
          <w:szCs w:val="24"/>
          <w:vertAlign w:val="superscript"/>
        </w:rPr>
        <w:t>5</w:t>
      </w:r>
      <w:r w:rsidRPr="008B4AB4">
        <w:rPr>
          <w:rFonts w:ascii="Times New Roman" w:hAnsi="Times New Roman"/>
          <w:bCs/>
          <w:color w:val="auto"/>
          <w:sz w:val="24"/>
          <w:szCs w:val="24"/>
        </w:rPr>
        <w:t>*</w:t>
      </w:r>
    </w:p>
    <w:p w14:paraId="021505A2" w14:textId="77777777" w:rsidR="00BB2249" w:rsidRPr="008B4AB4" w:rsidRDefault="00BB2249" w:rsidP="00BB2249">
      <w:pPr>
        <w:spacing w:line="360" w:lineRule="auto"/>
        <w:rPr>
          <w:color w:val="auto"/>
          <w:szCs w:val="24"/>
          <w:lang w:eastAsia="de-DE" w:bidi="en-US"/>
        </w:rPr>
      </w:pPr>
    </w:p>
    <w:p w14:paraId="7B85D105" w14:textId="4B909927" w:rsidR="00BB2249" w:rsidRPr="008B4AB4" w:rsidRDefault="003142CA" w:rsidP="00986758">
      <w:pPr>
        <w:pStyle w:val="MDPI16affiliation"/>
        <w:spacing w:line="360" w:lineRule="auto"/>
        <w:ind w:left="0" w:firstLine="0"/>
        <w:jc w:val="center"/>
        <w:rPr>
          <w:rFonts w:ascii="Times New Roman" w:hAnsi="Times New Roman"/>
          <w:bCs/>
          <w:iCs/>
          <w:color w:val="auto"/>
          <w:sz w:val="24"/>
          <w:szCs w:val="24"/>
          <w:lang w:val="kk-KZ" w:eastAsia="ru-RU"/>
        </w:rPr>
      </w:pPr>
      <w:r w:rsidRPr="008B4AB4">
        <w:rPr>
          <w:rFonts w:ascii="Times New Roman" w:hAnsi="Times New Roman"/>
          <w:bCs/>
          <w:iCs/>
          <w:color w:val="auto"/>
          <w:sz w:val="24"/>
          <w:szCs w:val="24"/>
          <w:vertAlign w:val="superscript"/>
          <w:lang w:val="kk-KZ" w:eastAsia="ru-RU"/>
        </w:rPr>
        <w:t>1</w:t>
      </w:r>
      <w:r w:rsidR="00986758" w:rsidRPr="008B4AB4">
        <w:rPr>
          <w:rFonts w:ascii="Times New Roman" w:hAnsi="Times New Roman"/>
          <w:bCs/>
          <w:iCs/>
          <w:color w:val="auto"/>
          <w:sz w:val="24"/>
          <w:szCs w:val="24"/>
          <w:lang w:val="kk-KZ" w:eastAsia="ru-RU"/>
        </w:rPr>
        <w:t>N.I. Vavilov All-Russian Institute of Plant Genetic Resources, St. Petersburg, Russia</w:t>
      </w:r>
    </w:p>
    <w:p w14:paraId="63DE482A" w14:textId="129F42E9" w:rsidR="003142CA" w:rsidRPr="008B4AB4" w:rsidRDefault="003142CA" w:rsidP="00986758">
      <w:pPr>
        <w:pStyle w:val="MDPI16affiliation"/>
        <w:spacing w:line="360" w:lineRule="auto"/>
        <w:ind w:left="0" w:firstLine="0"/>
        <w:jc w:val="center"/>
        <w:rPr>
          <w:rFonts w:ascii="Times New Roman" w:hAnsi="Times New Roman"/>
          <w:color w:val="auto"/>
          <w:sz w:val="24"/>
          <w:szCs w:val="24"/>
        </w:rPr>
      </w:pPr>
      <w:r w:rsidRPr="008B4AB4">
        <w:rPr>
          <w:rFonts w:ascii="Times New Roman" w:hAnsi="Times New Roman"/>
          <w:color w:val="auto"/>
          <w:sz w:val="24"/>
          <w:szCs w:val="24"/>
          <w:vertAlign w:val="superscript"/>
          <w:lang w:val="kk-KZ"/>
        </w:rPr>
        <w:t>2</w:t>
      </w:r>
      <w:r w:rsidR="00986758" w:rsidRPr="008B4AB4">
        <w:rPr>
          <w:rFonts w:ascii="Times New Roman" w:hAnsi="Times New Roman"/>
          <w:color w:val="auto"/>
          <w:sz w:val="24"/>
          <w:szCs w:val="24"/>
        </w:rPr>
        <w:t>Terra Farm, Kostanay, Kazakhstan</w:t>
      </w:r>
    </w:p>
    <w:p w14:paraId="7FF823B6" w14:textId="77777777" w:rsidR="00986758" w:rsidRPr="008B4AB4" w:rsidRDefault="00986758" w:rsidP="00986758">
      <w:pPr>
        <w:pStyle w:val="MDPI16affiliation"/>
        <w:spacing w:line="360" w:lineRule="auto"/>
        <w:ind w:left="0" w:firstLine="0"/>
        <w:jc w:val="center"/>
        <w:rPr>
          <w:rFonts w:ascii="Times New Roman" w:hAnsi="Times New Roman"/>
          <w:color w:val="auto"/>
          <w:sz w:val="24"/>
          <w:szCs w:val="24"/>
        </w:rPr>
      </w:pPr>
      <w:r w:rsidRPr="008B4AB4">
        <w:rPr>
          <w:rFonts w:ascii="Times New Roman" w:hAnsi="Times New Roman"/>
          <w:color w:val="auto"/>
          <w:sz w:val="24"/>
          <w:szCs w:val="24"/>
          <w:vertAlign w:val="superscript"/>
        </w:rPr>
        <w:t>3</w:t>
      </w:r>
      <w:r w:rsidRPr="008B4AB4">
        <w:rPr>
          <w:rFonts w:ascii="Times New Roman" w:hAnsi="Times New Roman"/>
          <w:iCs/>
          <w:color w:val="auto"/>
          <w:sz w:val="24"/>
          <w:szCs w:val="24"/>
          <w:shd w:val="clear" w:color="auto" w:fill="FFFFFF"/>
        </w:rPr>
        <w:t xml:space="preserve">Kostanay Engineering and Economics University named after </w:t>
      </w:r>
      <w:proofErr w:type="spellStart"/>
      <w:r w:rsidRPr="008B4AB4">
        <w:rPr>
          <w:rFonts w:ascii="Times New Roman" w:hAnsi="Times New Roman"/>
          <w:iCs/>
          <w:color w:val="auto"/>
          <w:sz w:val="24"/>
          <w:szCs w:val="24"/>
          <w:shd w:val="clear" w:color="auto" w:fill="FFFFFF"/>
        </w:rPr>
        <w:t>M.Dulatov</w:t>
      </w:r>
      <w:proofErr w:type="spellEnd"/>
      <w:r w:rsidRPr="008B4AB4">
        <w:rPr>
          <w:rFonts w:ascii="Times New Roman" w:hAnsi="Times New Roman"/>
          <w:iCs/>
          <w:color w:val="auto"/>
          <w:sz w:val="24"/>
          <w:szCs w:val="24"/>
          <w:shd w:val="clear" w:color="auto" w:fill="FFFFFF"/>
        </w:rPr>
        <w:t>, Kostanay, Kazakhstan</w:t>
      </w:r>
    </w:p>
    <w:p w14:paraId="6D7F094E" w14:textId="77777777" w:rsidR="00986758" w:rsidRPr="008B4AB4" w:rsidRDefault="00986758" w:rsidP="00986758">
      <w:pPr>
        <w:pStyle w:val="MDPI16affiliation"/>
        <w:spacing w:line="360" w:lineRule="auto"/>
        <w:ind w:left="0" w:firstLine="0"/>
        <w:jc w:val="center"/>
        <w:rPr>
          <w:rFonts w:ascii="Times New Roman" w:hAnsi="Times New Roman"/>
          <w:color w:val="auto"/>
          <w:sz w:val="24"/>
          <w:szCs w:val="24"/>
        </w:rPr>
      </w:pPr>
      <w:r w:rsidRPr="008B4AB4">
        <w:rPr>
          <w:rFonts w:ascii="Times New Roman" w:hAnsi="Times New Roman"/>
          <w:color w:val="auto"/>
          <w:sz w:val="24"/>
          <w:szCs w:val="24"/>
          <w:vertAlign w:val="superscript"/>
        </w:rPr>
        <w:t>4</w:t>
      </w:r>
      <w:r w:rsidRPr="008B4AB4">
        <w:rPr>
          <w:rFonts w:ascii="Times New Roman" w:hAnsi="Times New Roman"/>
          <w:iCs/>
          <w:color w:val="auto"/>
          <w:sz w:val="24"/>
          <w:szCs w:val="24"/>
          <w:shd w:val="clear" w:color="auto" w:fill="FFFFFF"/>
        </w:rPr>
        <w:t>Olzha Agro LLP, Kostanay, Kazakhstan</w:t>
      </w:r>
    </w:p>
    <w:p w14:paraId="2B07D6BA" w14:textId="3D94EFD8" w:rsidR="00986758" w:rsidRPr="008B4AB4" w:rsidRDefault="00986758" w:rsidP="00986758">
      <w:pPr>
        <w:pStyle w:val="MDPI16affiliation"/>
        <w:spacing w:line="360" w:lineRule="auto"/>
        <w:ind w:left="0" w:firstLine="0"/>
        <w:jc w:val="center"/>
        <w:rPr>
          <w:rFonts w:ascii="Times New Roman" w:hAnsi="Times New Roman"/>
          <w:color w:val="auto"/>
          <w:sz w:val="24"/>
          <w:szCs w:val="24"/>
        </w:rPr>
      </w:pPr>
      <w:r w:rsidRPr="008B4AB4">
        <w:rPr>
          <w:rFonts w:ascii="Times New Roman" w:hAnsi="Times New Roman"/>
          <w:color w:val="auto"/>
          <w:sz w:val="24"/>
          <w:szCs w:val="24"/>
          <w:vertAlign w:val="superscript"/>
        </w:rPr>
        <w:t>5</w:t>
      </w:r>
      <w:r w:rsidRPr="008B4AB4">
        <w:rPr>
          <w:rFonts w:ascii="Times New Roman" w:hAnsi="Times New Roman"/>
          <w:iCs/>
          <w:color w:val="auto"/>
          <w:sz w:val="24"/>
          <w:szCs w:val="24"/>
          <w:shd w:val="clear" w:color="auto" w:fill="FFFFFF"/>
        </w:rPr>
        <w:t xml:space="preserve">Saken </w:t>
      </w:r>
      <w:proofErr w:type="spellStart"/>
      <w:r w:rsidRPr="008B4AB4">
        <w:rPr>
          <w:rFonts w:ascii="Times New Roman" w:hAnsi="Times New Roman"/>
          <w:iCs/>
          <w:color w:val="auto"/>
          <w:sz w:val="24"/>
          <w:szCs w:val="24"/>
          <w:shd w:val="clear" w:color="auto" w:fill="FFFFFF"/>
        </w:rPr>
        <w:t>Seifullin</w:t>
      </w:r>
      <w:proofErr w:type="spellEnd"/>
      <w:r w:rsidRPr="008B4AB4">
        <w:rPr>
          <w:rFonts w:ascii="Times New Roman" w:hAnsi="Times New Roman"/>
          <w:iCs/>
          <w:color w:val="auto"/>
          <w:sz w:val="24"/>
          <w:szCs w:val="24"/>
          <w:shd w:val="clear" w:color="auto" w:fill="FFFFFF"/>
        </w:rPr>
        <w:t xml:space="preserve"> Kazakh Agrotechnical University, Astana, Kazakhstan</w:t>
      </w:r>
    </w:p>
    <w:p w14:paraId="57B09D5C" w14:textId="64DDF927" w:rsidR="00BB2249" w:rsidRPr="008B4AB4" w:rsidRDefault="00BB2249" w:rsidP="00BB2249">
      <w:pPr>
        <w:pStyle w:val="MDPI16affiliation"/>
        <w:spacing w:line="360" w:lineRule="auto"/>
        <w:ind w:left="0" w:firstLine="0"/>
        <w:jc w:val="center"/>
        <w:rPr>
          <w:rFonts w:ascii="Times New Roman" w:hAnsi="Times New Roman"/>
          <w:color w:val="auto"/>
          <w:sz w:val="24"/>
          <w:szCs w:val="24"/>
        </w:rPr>
      </w:pPr>
      <w:r w:rsidRPr="008B4AB4">
        <w:rPr>
          <w:rFonts w:ascii="Times New Roman" w:hAnsi="Times New Roman"/>
          <w:i/>
          <w:color w:val="auto"/>
          <w:sz w:val="24"/>
          <w:szCs w:val="24"/>
        </w:rPr>
        <w:t>*Corresponding author:</w:t>
      </w:r>
      <w:r w:rsidR="003142CA" w:rsidRPr="008B4AB4">
        <w:rPr>
          <w:rFonts w:ascii="Times New Roman" w:hAnsi="Times New Roman"/>
          <w:i/>
          <w:color w:val="auto"/>
          <w:sz w:val="24"/>
          <w:szCs w:val="24"/>
        </w:rPr>
        <w:t xml:space="preserve"> </w:t>
      </w:r>
      <w:r w:rsidR="00986758" w:rsidRPr="008B4AB4">
        <w:rPr>
          <w:rFonts w:ascii="Times New Roman" w:hAnsi="Times New Roman"/>
          <w:color w:val="auto"/>
          <w:sz w:val="24"/>
          <w:szCs w:val="24"/>
        </w:rPr>
        <w:t>vadim.khassanov@mail.ru</w:t>
      </w:r>
    </w:p>
    <w:p w14:paraId="2D91BC99" w14:textId="77777777" w:rsidR="00BB2249" w:rsidRPr="008B4AB4" w:rsidRDefault="00BB2249" w:rsidP="00BB2249">
      <w:pPr>
        <w:pStyle w:val="MDPI16affiliation"/>
        <w:spacing w:line="360" w:lineRule="auto"/>
        <w:ind w:left="0" w:firstLine="0"/>
        <w:jc w:val="both"/>
        <w:rPr>
          <w:rFonts w:ascii="Times New Roman" w:hAnsi="Times New Roman"/>
          <w:color w:val="auto"/>
          <w:sz w:val="24"/>
          <w:szCs w:val="24"/>
        </w:rPr>
      </w:pPr>
    </w:p>
    <w:p w14:paraId="4AFCFBD1" w14:textId="77777777" w:rsidR="00BB2249" w:rsidRPr="008B4AB4" w:rsidRDefault="00BB2249" w:rsidP="00BB2249">
      <w:pPr>
        <w:pStyle w:val="MDPI17abstract"/>
        <w:spacing w:before="0" w:line="360" w:lineRule="auto"/>
        <w:ind w:left="0"/>
        <w:jc w:val="center"/>
        <w:rPr>
          <w:rFonts w:ascii="Times New Roman" w:hAnsi="Times New Roman"/>
          <w:b/>
          <w:color w:val="auto"/>
          <w:sz w:val="24"/>
          <w:szCs w:val="24"/>
        </w:rPr>
      </w:pPr>
      <w:r w:rsidRPr="008B4AB4">
        <w:rPr>
          <w:rFonts w:ascii="Times New Roman" w:hAnsi="Times New Roman"/>
          <w:b/>
          <w:color w:val="auto"/>
          <w:sz w:val="24"/>
          <w:szCs w:val="24"/>
        </w:rPr>
        <w:t>ABSTRACT</w:t>
      </w:r>
    </w:p>
    <w:p w14:paraId="665570A4" w14:textId="66206B9E" w:rsidR="00BB2249" w:rsidRPr="008B4AB4" w:rsidRDefault="00024210" w:rsidP="00024210">
      <w:pPr>
        <w:pStyle w:val="MDPI31text"/>
        <w:spacing w:line="360" w:lineRule="auto"/>
        <w:ind w:left="0" w:firstLine="0"/>
        <w:rPr>
          <w:rFonts w:ascii="Times New Roman" w:hAnsi="Times New Roman"/>
          <w:color w:val="auto"/>
          <w:sz w:val="24"/>
        </w:rPr>
      </w:pPr>
      <w:r w:rsidRPr="008B4AB4">
        <w:rPr>
          <w:rFonts w:asciiTheme="majorBidi" w:hAnsiTheme="majorBidi" w:cstheme="majorBidi"/>
          <w:color w:val="auto"/>
          <w:sz w:val="24"/>
          <w:szCs w:val="24"/>
        </w:rPr>
        <w:t xml:space="preserve">Potato varieties with colored flesh are an extremely healthy food product. However, the biochemical composition of tubers depends on cultivation conditions. The purpose of the study: to determine 17 biochemical indicators of potato </w:t>
      </w:r>
      <w:proofErr w:type="spellStart"/>
      <w:r w:rsidRPr="008B4AB4">
        <w:rPr>
          <w:rFonts w:asciiTheme="majorBidi" w:hAnsiTheme="majorBidi" w:cstheme="majorBidi"/>
          <w:color w:val="auto"/>
          <w:sz w:val="24"/>
          <w:szCs w:val="24"/>
        </w:rPr>
        <w:t>varietiy</w:t>
      </w:r>
      <w:proofErr w:type="spellEnd"/>
      <w:r w:rsidRPr="008B4AB4">
        <w:rPr>
          <w:rFonts w:asciiTheme="majorBidi" w:hAnsiTheme="majorBidi" w:cstheme="majorBidi"/>
          <w:color w:val="auto"/>
          <w:sz w:val="24"/>
          <w:szCs w:val="24"/>
        </w:rPr>
        <w:t xml:space="preserve"> tubers of Kazakh-Russian breeding and to establish their variability when grown in different conditions. The potato varieties and breeding samples with pigmented tuber flesh </w:t>
      </w:r>
      <w:proofErr w:type="spellStart"/>
      <w:r w:rsidRPr="008B4AB4">
        <w:rPr>
          <w:rFonts w:asciiTheme="majorBidi" w:hAnsiTheme="majorBidi" w:cstheme="majorBidi"/>
          <w:color w:val="auto"/>
          <w:sz w:val="24"/>
          <w:szCs w:val="24"/>
        </w:rPr>
        <w:t>Kiru</w:t>
      </w:r>
      <w:proofErr w:type="spellEnd"/>
      <w:r w:rsidRPr="008B4AB4">
        <w:rPr>
          <w:rFonts w:asciiTheme="majorBidi" w:hAnsiTheme="majorBidi" w:cstheme="majorBidi"/>
          <w:color w:val="auto"/>
          <w:sz w:val="24"/>
          <w:szCs w:val="24"/>
        </w:rPr>
        <w:t xml:space="preserve">, </w:t>
      </w:r>
      <w:proofErr w:type="spellStart"/>
      <w:r w:rsidRPr="008B4AB4">
        <w:rPr>
          <w:rFonts w:asciiTheme="majorBidi" w:hAnsiTheme="majorBidi" w:cstheme="majorBidi"/>
          <w:color w:val="auto"/>
          <w:sz w:val="24"/>
          <w:szCs w:val="24"/>
        </w:rPr>
        <w:t>Travnik</w:t>
      </w:r>
      <w:proofErr w:type="spellEnd"/>
      <w:r w:rsidRPr="008B4AB4">
        <w:rPr>
          <w:rFonts w:asciiTheme="majorBidi" w:hAnsiTheme="majorBidi" w:cstheme="majorBidi"/>
          <w:color w:val="auto"/>
          <w:sz w:val="24"/>
          <w:szCs w:val="24"/>
        </w:rPr>
        <w:t xml:space="preserve">, </w:t>
      </w:r>
      <w:proofErr w:type="spellStart"/>
      <w:r w:rsidRPr="008B4AB4">
        <w:rPr>
          <w:rFonts w:asciiTheme="majorBidi" w:hAnsiTheme="majorBidi" w:cstheme="majorBidi"/>
          <w:color w:val="auto"/>
          <w:sz w:val="24"/>
          <w:szCs w:val="24"/>
        </w:rPr>
        <w:t>Tanyusha</w:t>
      </w:r>
      <w:proofErr w:type="spellEnd"/>
      <w:r w:rsidRPr="008B4AB4">
        <w:rPr>
          <w:rFonts w:asciiTheme="majorBidi" w:hAnsiTheme="majorBidi" w:cstheme="majorBidi"/>
          <w:color w:val="auto"/>
          <w:sz w:val="24"/>
          <w:szCs w:val="24"/>
        </w:rPr>
        <w:t xml:space="preserve">, and </w:t>
      </w:r>
      <w:proofErr w:type="spellStart"/>
      <w:r w:rsidRPr="008B4AB4">
        <w:rPr>
          <w:rFonts w:asciiTheme="majorBidi" w:hAnsiTheme="majorBidi" w:cstheme="majorBidi"/>
          <w:color w:val="auto"/>
          <w:sz w:val="24"/>
          <w:szCs w:val="24"/>
        </w:rPr>
        <w:t>Olyushka</w:t>
      </w:r>
      <w:proofErr w:type="spellEnd"/>
      <w:r w:rsidRPr="008B4AB4">
        <w:rPr>
          <w:rFonts w:asciiTheme="majorBidi" w:hAnsiTheme="majorBidi" w:cstheme="majorBidi"/>
          <w:color w:val="auto"/>
          <w:sz w:val="24"/>
          <w:szCs w:val="24"/>
        </w:rPr>
        <w:t xml:space="preserve"> were evaluated for yield and biochemical composition of tubers under cultivation in two agro-climatically contrasting regions. The study was conducted in 2022–2024 in the Kostanay Region (Republic of Kazakhstan) and the Leningrad Region (Russian Federation). The biochemical composition of pigmented potato tubers was assessed based on 17 parameters characterizing their nutritional value, including dry matter, total sugars, starch, protein, total acidity, and the content of biologically active compounds — ascorbic acid, pigments (carotenoids and anthocyanins), phenolic compounds, as well as the antioxidant activity of the tubers. The results revealed varietal-specific responses and the influence of environmental factors on the biochemical traits of pigmented potato tubers. The breeding sample </w:t>
      </w:r>
      <w:proofErr w:type="spellStart"/>
      <w:r w:rsidRPr="008B4AB4">
        <w:rPr>
          <w:rFonts w:asciiTheme="majorBidi" w:hAnsiTheme="majorBidi" w:cstheme="majorBidi"/>
          <w:color w:val="auto"/>
          <w:sz w:val="24"/>
          <w:szCs w:val="24"/>
        </w:rPr>
        <w:t>Olyushka</w:t>
      </w:r>
      <w:proofErr w:type="spellEnd"/>
      <w:r w:rsidRPr="008B4AB4">
        <w:rPr>
          <w:rFonts w:asciiTheme="majorBidi" w:hAnsiTheme="majorBidi" w:cstheme="majorBidi"/>
          <w:color w:val="auto"/>
          <w:sz w:val="24"/>
          <w:szCs w:val="24"/>
        </w:rPr>
        <w:t xml:space="preserve"> showed the greatest potential for cultivation in the Kostanay Region, while </w:t>
      </w:r>
      <w:proofErr w:type="spellStart"/>
      <w:r w:rsidRPr="008B4AB4">
        <w:rPr>
          <w:rFonts w:asciiTheme="majorBidi" w:hAnsiTheme="majorBidi" w:cstheme="majorBidi"/>
          <w:color w:val="auto"/>
          <w:sz w:val="24"/>
          <w:szCs w:val="24"/>
        </w:rPr>
        <w:t>Travnik</w:t>
      </w:r>
      <w:proofErr w:type="spellEnd"/>
      <w:r w:rsidRPr="008B4AB4">
        <w:rPr>
          <w:rFonts w:asciiTheme="majorBidi" w:hAnsiTheme="majorBidi" w:cstheme="majorBidi"/>
          <w:color w:val="auto"/>
          <w:sz w:val="24"/>
          <w:szCs w:val="24"/>
        </w:rPr>
        <w:t xml:space="preserve"> and </w:t>
      </w:r>
      <w:proofErr w:type="spellStart"/>
      <w:r w:rsidRPr="008B4AB4">
        <w:rPr>
          <w:rFonts w:asciiTheme="majorBidi" w:hAnsiTheme="majorBidi" w:cstheme="majorBidi"/>
          <w:color w:val="auto"/>
          <w:sz w:val="24"/>
          <w:szCs w:val="24"/>
        </w:rPr>
        <w:t>Tanyusha</w:t>
      </w:r>
      <w:proofErr w:type="spellEnd"/>
      <w:r w:rsidRPr="008B4AB4">
        <w:rPr>
          <w:rFonts w:asciiTheme="majorBidi" w:hAnsiTheme="majorBidi" w:cstheme="majorBidi"/>
          <w:color w:val="auto"/>
          <w:sz w:val="24"/>
          <w:szCs w:val="24"/>
        </w:rPr>
        <w:t xml:space="preserve"> were more promising for the conditions of the Leningrad Region. This research contributes to the further development of breeding in the direction of creating varieties with improved taste qualities and higher yields</w:t>
      </w:r>
      <w:r w:rsidR="00BB2249" w:rsidRPr="008B4AB4">
        <w:rPr>
          <w:rFonts w:ascii="Times New Roman" w:hAnsi="Times New Roman"/>
          <w:color w:val="auto"/>
          <w:sz w:val="24"/>
        </w:rPr>
        <w:t>.</w:t>
      </w:r>
    </w:p>
    <w:p w14:paraId="76CF3D1C" w14:textId="77777777" w:rsidR="00BB2249" w:rsidRPr="008B4AB4" w:rsidRDefault="00BB2249" w:rsidP="00024210">
      <w:pPr>
        <w:pStyle w:val="MDPI31text"/>
        <w:spacing w:line="360" w:lineRule="auto"/>
        <w:ind w:left="0" w:firstLine="0"/>
        <w:rPr>
          <w:rFonts w:ascii="Times New Roman" w:hAnsi="Times New Roman"/>
          <w:color w:val="auto"/>
          <w:sz w:val="24"/>
        </w:rPr>
      </w:pPr>
    </w:p>
    <w:p w14:paraId="07684CD8" w14:textId="18210A14" w:rsidR="00BB2249" w:rsidRPr="008B4AB4" w:rsidRDefault="00BB2249" w:rsidP="00AE5B70">
      <w:pPr>
        <w:pStyle w:val="MDPI31text"/>
        <w:spacing w:line="360" w:lineRule="auto"/>
        <w:ind w:left="0" w:firstLine="0"/>
        <w:rPr>
          <w:rFonts w:ascii="Times New Roman" w:hAnsi="Times New Roman"/>
          <w:color w:val="auto"/>
          <w:sz w:val="24"/>
          <w:szCs w:val="24"/>
          <w:lang w:eastAsia="ar-SA"/>
        </w:rPr>
      </w:pPr>
      <w:r w:rsidRPr="008B4AB4">
        <w:rPr>
          <w:rFonts w:ascii="Times New Roman" w:hAnsi="Times New Roman"/>
          <w:b/>
          <w:color w:val="auto"/>
          <w:sz w:val="24"/>
          <w:szCs w:val="24"/>
        </w:rPr>
        <w:lastRenderedPageBreak/>
        <w:t xml:space="preserve">Keywords: </w:t>
      </w:r>
      <w:r w:rsidR="00024210" w:rsidRPr="008B4AB4">
        <w:rPr>
          <w:rFonts w:ascii="Times New Roman" w:hAnsi="Times New Roman"/>
          <w:color w:val="auto"/>
          <w:sz w:val="24"/>
          <w:szCs w:val="24"/>
          <w:lang w:eastAsia="ar-SA"/>
        </w:rPr>
        <w:t>Nutritional value, Colored-flesh potato, Bioactive compounds, Anthocyanins, Carotenoids</w:t>
      </w:r>
      <w:r w:rsidR="00397A3C" w:rsidRPr="008B4AB4">
        <w:rPr>
          <w:rFonts w:ascii="Times New Roman" w:hAnsi="Times New Roman"/>
          <w:color w:val="auto"/>
          <w:sz w:val="24"/>
          <w:szCs w:val="24"/>
          <w:lang w:eastAsia="ar-SA"/>
        </w:rPr>
        <w:t>.</w:t>
      </w:r>
    </w:p>
    <w:p w14:paraId="6584A23A" w14:textId="77777777" w:rsidR="00024210" w:rsidRPr="008B4AB4" w:rsidRDefault="00024210" w:rsidP="00AE5B70">
      <w:pPr>
        <w:pStyle w:val="MDPI31text"/>
        <w:spacing w:line="360" w:lineRule="auto"/>
        <w:ind w:left="0" w:firstLine="0"/>
        <w:rPr>
          <w:rFonts w:ascii="Times New Roman" w:hAnsi="Times New Roman"/>
          <w:color w:val="auto"/>
          <w:sz w:val="24"/>
          <w:szCs w:val="24"/>
          <w:lang w:eastAsia="ar-SA"/>
        </w:rPr>
      </w:pPr>
    </w:p>
    <w:p w14:paraId="107930D9" w14:textId="3F586E28" w:rsidR="00397A3C" w:rsidRPr="008B4AB4"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eastAsia="zh-CN"/>
        </w:rPr>
      </w:pPr>
      <w:r w:rsidRPr="008B4AB4">
        <w:rPr>
          <w:rFonts w:ascii="Times New Roman" w:hAnsi="Times New Roman"/>
          <w:color w:val="auto"/>
          <w:sz w:val="24"/>
          <w:szCs w:val="24"/>
          <w:lang w:eastAsia="zh-CN"/>
        </w:rPr>
        <w:t>INTRODUCTION</w:t>
      </w:r>
    </w:p>
    <w:p w14:paraId="04C1840B" w14:textId="7B73CFA7" w:rsidR="00541C8E" w:rsidRPr="008B4AB4" w:rsidRDefault="00541C8E" w:rsidP="00541C8E">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Potato is one of the major food crops globally and the most important non-cereal crop, cultivated on approximately 20 million hectares and consumed by around 1.3 billion people worldwide. In 2022, global potato production reached 374.78 million tons. The leading producers are China, India, Ukraine, and the Russian Federation, which ranks fourth with an annual production volume of 18.9 million tons (Food and Agriculture Org</w:t>
      </w:r>
      <w:r w:rsidR="00F2389B" w:rsidRPr="008B4AB4">
        <w:rPr>
          <w:rFonts w:ascii="Times New Roman" w:hAnsi="Times New Roman"/>
          <w:color w:val="auto"/>
          <w:sz w:val="24"/>
          <w:szCs w:val="24"/>
        </w:rPr>
        <w:t>anization of the United Nations</w:t>
      </w:r>
      <w:r w:rsidRPr="008B4AB4">
        <w:rPr>
          <w:rFonts w:ascii="Times New Roman" w:hAnsi="Times New Roman"/>
          <w:color w:val="auto"/>
          <w:sz w:val="24"/>
          <w:szCs w:val="24"/>
        </w:rPr>
        <w:t xml:space="preserve"> 2024). In the Russian Federation, per capita potato consumption in 2021 was 52 kg per year (Kuzmin et al. 2024). As the global consumer trend preferences gradually shift towards the health and wellness market in the next coming years, pigmented potatoes have shown traits of a promising future for non-traditional, available food sources and a source of enhanced nutritional content due to their antioxidant levels, which are comparably higher than the white potato variety (Pino </w:t>
      </w:r>
      <w:r w:rsidR="00593853" w:rsidRPr="008B4AB4">
        <w:rPr>
          <w:rFonts w:ascii="Times New Roman" w:hAnsi="Times New Roman"/>
          <w:color w:val="auto"/>
          <w:sz w:val="24"/>
          <w:szCs w:val="24"/>
        </w:rPr>
        <w:t>and</w:t>
      </w:r>
      <w:r w:rsidRPr="008B4AB4">
        <w:rPr>
          <w:rFonts w:ascii="Times New Roman" w:hAnsi="Times New Roman"/>
          <w:color w:val="auto"/>
          <w:sz w:val="24"/>
          <w:szCs w:val="24"/>
        </w:rPr>
        <w:t xml:space="preserve"> Vergara 2021). Pino and Vergara (2021) also mentioned that, aside from being an aesthetically pleasing, healthy solution to starvation and imminent world hunger, the flesh of these pigmented potatoes has shown potential to be used as raw materials for natural color extraction and food coloring ingredients.</w:t>
      </w:r>
    </w:p>
    <w:p w14:paraId="0EF3404A" w14:textId="6B82B992" w:rsidR="00541C8E" w:rsidRPr="008B4AB4" w:rsidRDefault="00541C8E" w:rsidP="00541C8E">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Pigmented potatoes are also globally important due to their latent health benefits. </w:t>
      </w:r>
      <w:proofErr w:type="spellStart"/>
      <w:r w:rsidRPr="008B4AB4">
        <w:rPr>
          <w:rFonts w:ascii="Times New Roman" w:hAnsi="Times New Roman"/>
          <w:color w:val="auto"/>
          <w:sz w:val="24"/>
          <w:szCs w:val="24"/>
        </w:rPr>
        <w:t>Bvenura</w:t>
      </w:r>
      <w:proofErr w:type="spellEnd"/>
      <w:r w:rsidRPr="008B4AB4">
        <w:rPr>
          <w:rFonts w:ascii="Times New Roman" w:hAnsi="Times New Roman"/>
          <w:color w:val="auto"/>
          <w:sz w:val="24"/>
          <w:szCs w:val="24"/>
        </w:rPr>
        <w:t xml:space="preserve"> et al. (2022) mentioned that the consumption of these carotenoid-rich potatoes may serve as a safeguard against lifestyle- and diet-induced diseases and assist in the management and treatment of vision-related disorders. Other in vitro studies claim that the anthocyanins in pigmented potatoes can inhibit cancer cell proliferation; another school of thought believes in the medical capacity of pigmented potatoes to reduce chronic cardiovascular diseases and manage diabetes (</w:t>
      </w:r>
      <w:r w:rsidR="00083271" w:rsidRPr="008B4AB4">
        <w:rPr>
          <w:rFonts w:ascii="Times New Roman" w:hAnsi="Times New Roman"/>
          <w:color w:val="auto"/>
          <w:sz w:val="24"/>
          <w:szCs w:val="24"/>
        </w:rPr>
        <w:t xml:space="preserve">Mattoo et al. 2022; </w:t>
      </w:r>
      <w:r w:rsidR="003334DF" w:rsidRPr="008B4AB4">
        <w:rPr>
          <w:rFonts w:ascii="Times New Roman" w:hAnsi="Times New Roman"/>
          <w:color w:val="auto"/>
          <w:sz w:val="24"/>
          <w:szCs w:val="24"/>
        </w:rPr>
        <w:t>Singh et al.</w:t>
      </w:r>
      <w:r w:rsidR="00083271" w:rsidRPr="008B4AB4">
        <w:rPr>
          <w:rFonts w:ascii="Times New Roman" w:hAnsi="Times New Roman"/>
          <w:color w:val="auto"/>
          <w:sz w:val="24"/>
          <w:szCs w:val="24"/>
        </w:rPr>
        <w:t xml:space="preserve"> 2020</w:t>
      </w:r>
      <w:r w:rsidRPr="008B4AB4">
        <w:rPr>
          <w:rFonts w:ascii="Times New Roman" w:hAnsi="Times New Roman"/>
          <w:color w:val="auto"/>
          <w:sz w:val="24"/>
          <w:szCs w:val="24"/>
        </w:rPr>
        <w:t>).</w:t>
      </w:r>
    </w:p>
    <w:p w14:paraId="24F60364" w14:textId="77777777" w:rsidR="00541C8E" w:rsidRPr="008B4AB4" w:rsidRDefault="00541C8E" w:rsidP="00541C8E">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The biochemical activities of pigmented potatoes vary across boards but are closely linked to the presence of anthocyanins and carotenoids. Zhang et al. (2023) highlighted in their study that for most pigmented varieties, cyanidin and pelargonidin derivatives were responsible for the redness, while malvidin, petunidin, and delphinidin compounds contributed to the purple color. Violaxanthin compounds determined the light-yellow hue, while zeaxanthin and antheraxanthin derivatives increased the deep-yellow deposition. Integrated transcriptome and proteome analysis revealed that F3′5′H significantly increased anthocyanin production in purple flesh, which was responsible for metabolic differences between red and purple samples. BCH2 dramatically increased carotenoid production in yellow samples, and together with ZEP, </w:t>
      </w:r>
      <w:r w:rsidRPr="008B4AB4">
        <w:rPr>
          <w:rFonts w:ascii="Times New Roman" w:hAnsi="Times New Roman"/>
          <w:color w:val="auto"/>
          <w:sz w:val="24"/>
          <w:szCs w:val="24"/>
        </w:rPr>
        <w:lastRenderedPageBreak/>
        <w:t xml:space="preserve">NCED1, and CCD1 genes, determined metabolic divergence between light and deep-yellow samples. In another unrelated study, Wang et al. (2023) explained that the biochemical activity of pigmented potatoes allowed them to thrive in high saline soil. </w:t>
      </w:r>
      <w:proofErr w:type="spellStart"/>
      <w:r w:rsidRPr="008B4AB4">
        <w:rPr>
          <w:rFonts w:ascii="Times New Roman" w:hAnsi="Times New Roman"/>
          <w:color w:val="auto"/>
          <w:sz w:val="24"/>
          <w:szCs w:val="24"/>
        </w:rPr>
        <w:t>Bvenura</w:t>
      </w:r>
      <w:proofErr w:type="spellEnd"/>
      <w:r w:rsidRPr="008B4AB4">
        <w:rPr>
          <w:rFonts w:ascii="Times New Roman" w:hAnsi="Times New Roman"/>
          <w:color w:val="auto"/>
          <w:sz w:val="24"/>
          <w:szCs w:val="24"/>
        </w:rPr>
        <w:t xml:space="preserve"> et al. (2022) also added that the in vitro study showed that the ethanolic extracts were minimally active against the hepatocellular carcinoma cell lines. Studies also showed a reduction in cancer incidence and multiplicity, but in vivo, when extracts of pigmented potatoes were used. Other studies also revealed that the extracts of some pigmented potatoes were lethal against the hepatocarcinoma (Hep3B) cell lines, and skin and flesh extracts of some cultivars possessed some antibacterial properties against E. coli.</w:t>
      </w:r>
    </w:p>
    <w:p w14:paraId="0CECE920" w14:textId="0EA47835" w:rsidR="00541C8E" w:rsidRPr="008B4AB4" w:rsidRDefault="00541C8E" w:rsidP="00541C8E">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In 2024, the total area under potato cultivation in the Republic of Kazakhstan amounted to 122.6 thousand hectares. According to the Ministry of Agriculture of the Republic of Kazakhstan, the gross potato harvest in the same year reached 2.9 million tons, including 300 thousand tons of early-season potatoes. Based on the Order of the Minister of National Economy of the Republic of Kazakhstan No.503 dated December 9, 2016, "On the Approval of Scientifically Based Physiological Standards for Food Consumption," the recommended per capita annual consumption of potatoes is 100 kilograms. Given the country's population size, domestic demand for potatoes is estimated at approximately 2 million tons per year (Bureau of N</w:t>
      </w:r>
      <w:r w:rsidR="00F2389B" w:rsidRPr="008B4AB4">
        <w:rPr>
          <w:rFonts w:ascii="Times New Roman" w:hAnsi="Times New Roman"/>
          <w:color w:val="auto"/>
          <w:sz w:val="24"/>
          <w:szCs w:val="24"/>
        </w:rPr>
        <w:t>ational Statistics</w:t>
      </w:r>
      <w:r w:rsidRPr="008B4AB4">
        <w:rPr>
          <w:rFonts w:ascii="Times New Roman" w:hAnsi="Times New Roman"/>
          <w:color w:val="auto"/>
          <w:sz w:val="24"/>
          <w:szCs w:val="24"/>
        </w:rPr>
        <w:t xml:space="preserve"> 2024; Ministry of Agriculture of the Republic of Kazakhstan 2024; </w:t>
      </w:r>
      <w:r w:rsidRPr="008B4AB4">
        <w:rPr>
          <w:rStyle w:val="rynqvb"/>
          <w:rFonts w:ascii="Times New Roman" w:hAnsi="Times New Roman"/>
          <w:color w:val="auto"/>
          <w:sz w:val="24"/>
          <w:szCs w:val="24"/>
          <w:lang w:val="en"/>
        </w:rPr>
        <w:t>Ministry of National Econom</w:t>
      </w:r>
      <w:r w:rsidR="00F74B07" w:rsidRPr="008B4AB4">
        <w:rPr>
          <w:rStyle w:val="rynqvb"/>
          <w:rFonts w:ascii="Times New Roman" w:hAnsi="Times New Roman"/>
          <w:color w:val="auto"/>
          <w:sz w:val="24"/>
          <w:szCs w:val="24"/>
          <w:lang w:val="en"/>
        </w:rPr>
        <w:t>y of the Republic of Kazakhstan</w:t>
      </w:r>
      <w:r w:rsidRPr="008B4AB4">
        <w:rPr>
          <w:rStyle w:val="rynqvb"/>
          <w:rFonts w:ascii="Times New Roman" w:hAnsi="Times New Roman"/>
          <w:color w:val="auto"/>
          <w:sz w:val="24"/>
          <w:szCs w:val="24"/>
          <w:lang w:val="en"/>
        </w:rPr>
        <w:t xml:space="preserve"> 2016</w:t>
      </w:r>
      <w:r w:rsidRPr="008B4AB4">
        <w:rPr>
          <w:rFonts w:ascii="Times New Roman" w:hAnsi="Times New Roman"/>
          <w:color w:val="auto"/>
          <w:sz w:val="24"/>
          <w:szCs w:val="24"/>
        </w:rPr>
        <w:t xml:space="preserve">). The high nutritional value and balanced composition of essential components in potato tubers are of great importance for a healthy modern diet. Potato tubers contain carbohydrates, protein, fats, dietary fiber, vitamins, minerals, and antioxidants. Phenolic compounds, storage proteins, anthocyanins, vitamins, and carotenoids found in potatoes may have beneficial effects on human health, exhibiting anticancer, </w:t>
      </w:r>
      <w:proofErr w:type="spellStart"/>
      <w:r w:rsidRPr="008B4AB4">
        <w:rPr>
          <w:rFonts w:ascii="Times New Roman" w:hAnsi="Times New Roman"/>
          <w:color w:val="auto"/>
          <w:sz w:val="24"/>
          <w:szCs w:val="24"/>
        </w:rPr>
        <w:t>hypocholesterolemic</w:t>
      </w:r>
      <w:proofErr w:type="spellEnd"/>
      <w:r w:rsidRPr="008B4AB4">
        <w:rPr>
          <w:rFonts w:ascii="Times New Roman" w:hAnsi="Times New Roman"/>
          <w:color w:val="auto"/>
          <w:sz w:val="24"/>
          <w:szCs w:val="24"/>
        </w:rPr>
        <w:t>, anti-inflammatory, and antidiabetic properties (</w:t>
      </w:r>
      <w:r w:rsidR="00F2389B" w:rsidRPr="008B4AB4">
        <w:rPr>
          <w:rFonts w:ascii="Times New Roman" w:hAnsi="Times New Roman"/>
          <w:color w:val="auto"/>
          <w:sz w:val="24"/>
          <w:szCs w:val="24"/>
        </w:rPr>
        <w:t>Hellmann et al.</w:t>
      </w:r>
      <w:r w:rsidRPr="008B4AB4">
        <w:rPr>
          <w:rFonts w:ascii="Times New Roman" w:hAnsi="Times New Roman"/>
          <w:color w:val="auto"/>
          <w:sz w:val="24"/>
          <w:szCs w:val="24"/>
        </w:rPr>
        <w:t xml:space="preserve"> 2021). Potato varieties with red and purple flesh have particularly high dietary value, as they are rich sources of polyphenolic compounds with antioxidant activity, primarily anthocyanins (</w:t>
      </w:r>
      <w:proofErr w:type="spellStart"/>
      <w:r w:rsidRPr="008B4AB4">
        <w:rPr>
          <w:rFonts w:ascii="Times New Roman" w:hAnsi="Times New Roman"/>
          <w:color w:val="auto"/>
          <w:sz w:val="24"/>
          <w:szCs w:val="24"/>
        </w:rPr>
        <w:t>Polivanova</w:t>
      </w:r>
      <w:proofErr w:type="spellEnd"/>
      <w:r w:rsidRPr="008B4AB4">
        <w:rPr>
          <w:rFonts w:ascii="Times New Roman" w:hAnsi="Times New Roman"/>
          <w:color w:val="auto"/>
          <w:sz w:val="24"/>
          <w:szCs w:val="24"/>
        </w:rPr>
        <w:t xml:space="preserve"> </w:t>
      </w:r>
      <w:r w:rsidR="001815AA" w:rsidRPr="008B4AB4">
        <w:rPr>
          <w:rFonts w:ascii="Times New Roman" w:hAnsi="Times New Roman"/>
          <w:color w:val="auto"/>
          <w:sz w:val="24"/>
          <w:szCs w:val="24"/>
        </w:rPr>
        <w:t>and</w:t>
      </w:r>
      <w:r w:rsidRPr="008B4AB4">
        <w:rPr>
          <w:rFonts w:ascii="Times New Roman" w:hAnsi="Times New Roman"/>
          <w:color w:val="auto"/>
          <w:sz w:val="24"/>
          <w:szCs w:val="24"/>
        </w:rPr>
        <w:t xml:space="preserve"> Gins 2019). Aside from phenolic and polyphenolic contents, pigmented potatoes are rich sources of macro- and micronutrients. According to the </w:t>
      </w:r>
      <w:proofErr w:type="spellStart"/>
      <w:r w:rsidRPr="008B4AB4">
        <w:rPr>
          <w:rFonts w:ascii="Times New Roman" w:hAnsi="Times New Roman"/>
          <w:color w:val="auto"/>
          <w:sz w:val="24"/>
          <w:szCs w:val="24"/>
        </w:rPr>
        <w:t>Bellumori</w:t>
      </w:r>
      <w:proofErr w:type="spellEnd"/>
      <w:r w:rsidRPr="008B4AB4">
        <w:rPr>
          <w:rFonts w:ascii="Times New Roman" w:hAnsi="Times New Roman"/>
          <w:color w:val="auto"/>
          <w:sz w:val="24"/>
          <w:szCs w:val="24"/>
        </w:rPr>
        <w:t xml:space="preserve"> et al. (2020) study on pigmented Andean potatoes, potassium was the highest nutrient in both the skin and flesh for most species. Calcium, an essential mineral involved in neuromuscular function, blood clotting, and many metabolic processes, was also found in abundance in the skin of the pigmented potatoes. Micronutrients, iron, and zinc were found in lower concentrations, with a positive correlation existing between calcium and iron. </w:t>
      </w:r>
      <w:proofErr w:type="spellStart"/>
      <w:r w:rsidRPr="008B4AB4">
        <w:rPr>
          <w:rFonts w:ascii="Times New Roman" w:hAnsi="Times New Roman"/>
          <w:color w:val="auto"/>
          <w:sz w:val="24"/>
          <w:szCs w:val="24"/>
        </w:rPr>
        <w:t>Bellumori</w:t>
      </w:r>
      <w:proofErr w:type="spellEnd"/>
      <w:r w:rsidRPr="008B4AB4">
        <w:rPr>
          <w:rFonts w:ascii="Times New Roman" w:hAnsi="Times New Roman"/>
          <w:color w:val="auto"/>
          <w:sz w:val="24"/>
          <w:szCs w:val="24"/>
        </w:rPr>
        <w:t xml:space="preserve"> et al. (2020) went further to state that, in agreement with previous studies, all mineral elements (macro- and micro-) </w:t>
      </w:r>
      <w:r w:rsidRPr="008B4AB4">
        <w:rPr>
          <w:rFonts w:ascii="Times New Roman" w:hAnsi="Times New Roman"/>
          <w:color w:val="auto"/>
          <w:sz w:val="24"/>
          <w:szCs w:val="24"/>
        </w:rPr>
        <w:lastRenderedPageBreak/>
        <w:t>exhibited elevated amounts in the skin samples compared to the flesh samples across all investigated genotypes.</w:t>
      </w:r>
    </w:p>
    <w:p w14:paraId="77B82346" w14:textId="5F61719D" w:rsidR="00541C8E" w:rsidRPr="008B4AB4" w:rsidRDefault="00541C8E" w:rsidP="00541C8E">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The study of environmental conditions that influence pigmented cultivars, yields a variety of findings. According to research, root zone temperature has a considerable influence on plant height and tuber weight, although the impact on anthocyanins and polyphenolics varies greatly depending on cultivar. Environmental circumstances, like altitude and soil composition, can boost anthocyanin production while leaving carotenoids unaffected. Drought stress has varying effects on phytochemical levels among cultivars, with organic and biodynamic approaches exhibiting differences in anthocyanins and carotenoids when compared to conventional methods. Tuber maturity coincides with a decrease in certain chemicals. Despite multiple studies, there is still a large vacuum in knowledge regarding breeding and yield data for pigmented cultivars, indicating the need for additional collaborative research efforts </w:t>
      </w:r>
      <w:r w:rsidRPr="008B4AB4">
        <w:rPr>
          <w:rFonts w:ascii="Times New Roman" w:hAnsi="Times New Roman"/>
          <w:color w:val="auto"/>
          <w:sz w:val="24"/>
          <w:szCs w:val="24"/>
          <w:lang w:eastAsia="zh-CN"/>
        </w:rPr>
        <w:t>(</w:t>
      </w:r>
      <w:proofErr w:type="spellStart"/>
      <w:r w:rsidRPr="008B4AB4">
        <w:rPr>
          <w:rFonts w:ascii="Times New Roman" w:hAnsi="Times New Roman"/>
          <w:color w:val="auto"/>
          <w:sz w:val="24"/>
          <w:szCs w:val="24"/>
          <w:lang w:eastAsia="zh-CN"/>
        </w:rPr>
        <w:t>Bvenura</w:t>
      </w:r>
      <w:proofErr w:type="spellEnd"/>
      <w:r w:rsidRPr="008B4AB4">
        <w:rPr>
          <w:rFonts w:ascii="Times New Roman" w:hAnsi="Times New Roman"/>
          <w:color w:val="auto"/>
          <w:sz w:val="24"/>
          <w:szCs w:val="24"/>
          <w:lang w:eastAsia="zh-CN"/>
        </w:rPr>
        <w:t xml:space="preserve"> et al. 2022).</w:t>
      </w:r>
    </w:p>
    <w:p w14:paraId="74F39E19" w14:textId="729FC401" w:rsidR="00397A3C" w:rsidRPr="008B4AB4" w:rsidRDefault="00541C8E" w:rsidP="00541C8E">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Rising consumer expectations in Russia regarding the culinary and nutritional quality of potatoes have led to the emergence of a new breeding focus: the development of cultivars aimed at balanced and health-promoting (functional or therapeutic) diets (</w:t>
      </w:r>
      <w:proofErr w:type="spellStart"/>
      <w:r w:rsidR="001815AA" w:rsidRPr="008B4AB4">
        <w:rPr>
          <w:rFonts w:ascii="Times New Roman" w:hAnsi="Times New Roman"/>
          <w:color w:val="auto"/>
          <w:sz w:val="24"/>
          <w:szCs w:val="24"/>
        </w:rPr>
        <w:t>Simakov</w:t>
      </w:r>
      <w:proofErr w:type="spellEnd"/>
      <w:r w:rsidR="001815AA" w:rsidRPr="008B4AB4">
        <w:rPr>
          <w:rFonts w:ascii="Times New Roman" w:hAnsi="Times New Roman"/>
          <w:color w:val="auto"/>
          <w:sz w:val="24"/>
          <w:szCs w:val="24"/>
        </w:rPr>
        <w:t xml:space="preserve"> et al.</w:t>
      </w:r>
      <w:r w:rsidRPr="008B4AB4">
        <w:rPr>
          <w:rFonts w:ascii="Times New Roman" w:hAnsi="Times New Roman"/>
          <w:color w:val="auto"/>
          <w:sz w:val="24"/>
          <w:szCs w:val="24"/>
        </w:rPr>
        <w:t xml:space="preserve"> 2020). In order to enhance the quality of food products, specific criteria have been defined for key agronomic and nutritional traits of table potato varieties. Varieties intended for dietary (therapeutic) use should have low starch content (8–10%), elevated levels of vitamin C (25–30 mg%), and increased concentrations of carotenoids (&gt;20 mg/100 g) or anthocyanins (&gt;500 mg/100 g) (</w:t>
      </w:r>
      <w:proofErr w:type="spellStart"/>
      <w:r w:rsidRPr="008B4AB4">
        <w:rPr>
          <w:rFonts w:ascii="Times New Roman" w:hAnsi="Times New Roman"/>
          <w:color w:val="auto"/>
          <w:sz w:val="24"/>
          <w:szCs w:val="24"/>
        </w:rPr>
        <w:t>Simakov</w:t>
      </w:r>
      <w:proofErr w:type="spellEnd"/>
      <w:r w:rsidRPr="008B4AB4">
        <w:rPr>
          <w:rFonts w:ascii="Times New Roman" w:hAnsi="Times New Roman"/>
          <w:color w:val="auto"/>
          <w:sz w:val="24"/>
          <w:szCs w:val="24"/>
        </w:rPr>
        <w:t xml:space="preserve"> et al. 2020). The State Register of Breeding Achievements of the Russian Federation includes three potato varieties with pigmented tuber flesh: </w:t>
      </w:r>
      <w:proofErr w:type="spellStart"/>
      <w:r w:rsidRPr="008B4AB4">
        <w:rPr>
          <w:rFonts w:ascii="Times New Roman" w:hAnsi="Times New Roman"/>
          <w:color w:val="auto"/>
          <w:sz w:val="24"/>
          <w:szCs w:val="24"/>
        </w:rPr>
        <w:t>Severnoe</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Siyaniye</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Syurpriz</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Fioletovyi</w:t>
      </w:r>
      <w:proofErr w:type="spellEnd"/>
      <w:r w:rsidRPr="008B4AB4">
        <w:rPr>
          <w:rFonts w:ascii="Times New Roman" w:hAnsi="Times New Roman"/>
          <w:color w:val="auto"/>
          <w:sz w:val="24"/>
          <w:szCs w:val="24"/>
        </w:rPr>
        <w:t xml:space="preserve"> (</w:t>
      </w:r>
      <w:r w:rsidR="001815AA" w:rsidRPr="008B4AB4">
        <w:rPr>
          <w:rStyle w:val="rynqvb"/>
          <w:rFonts w:ascii="Times New Roman" w:hAnsi="Times New Roman"/>
          <w:color w:val="auto"/>
          <w:sz w:val="24"/>
          <w:szCs w:val="24"/>
          <w:lang w:val="en"/>
        </w:rPr>
        <w:t>State Variety Commission</w:t>
      </w:r>
      <w:r w:rsidRPr="008B4AB4">
        <w:rPr>
          <w:rStyle w:val="rynqvb"/>
          <w:rFonts w:ascii="Times New Roman" w:hAnsi="Times New Roman"/>
          <w:color w:val="auto"/>
          <w:sz w:val="24"/>
          <w:szCs w:val="24"/>
          <w:lang w:val="en"/>
        </w:rPr>
        <w:t xml:space="preserve"> 2025</w:t>
      </w:r>
      <w:r w:rsidRPr="008B4AB4">
        <w:rPr>
          <w:rFonts w:ascii="Times New Roman" w:hAnsi="Times New Roman"/>
          <w:color w:val="auto"/>
          <w:sz w:val="24"/>
          <w:szCs w:val="24"/>
        </w:rPr>
        <w:t xml:space="preserve">). In order to expand the genetic diversity of potato varieties for emerging breeding objectives, the Federal Research Center “N.I. Vavilov All-Russian Institute of Plant Genetic Resources” (VIR) is conducting systematic introduction of potato varieties and breeding clones. In 2021–2022, VIR acquired a number of promising pigmented-flesh potato varieties developed by the leading breeder of Kazakhstan Andrey S.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The objective of this study was a comparative analysis of yield performance and tuber quality of pigmented-flesh potato varieties grown under the environmental conditions of the Kostanay Region (KR), Republic of Kazakhstan, and the Leningrad Region (LR), Russian Federation</w:t>
      </w:r>
      <w:r w:rsidR="00397A3C" w:rsidRPr="008B4AB4">
        <w:rPr>
          <w:rFonts w:ascii="Times New Roman" w:hAnsi="Times New Roman"/>
          <w:color w:val="auto"/>
          <w:sz w:val="24"/>
          <w:szCs w:val="24"/>
        </w:rPr>
        <w:t>.</w:t>
      </w:r>
    </w:p>
    <w:p w14:paraId="41052CB4" w14:textId="77777777" w:rsidR="00397A3C" w:rsidRPr="008B4AB4" w:rsidRDefault="00397A3C" w:rsidP="00541C8E">
      <w:pPr>
        <w:pStyle w:val="MDPI31text"/>
        <w:spacing w:line="360" w:lineRule="auto"/>
        <w:ind w:left="0" w:firstLine="567"/>
        <w:rPr>
          <w:rFonts w:ascii="Times New Roman" w:hAnsi="Times New Roman"/>
          <w:b/>
          <w:color w:val="auto"/>
          <w:sz w:val="24"/>
          <w:szCs w:val="24"/>
          <w:lang w:eastAsia="zh-CN"/>
        </w:rPr>
      </w:pPr>
    </w:p>
    <w:p w14:paraId="7E90C689" w14:textId="0664F94D" w:rsidR="00397A3C" w:rsidRPr="008B4AB4"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8B4AB4">
        <w:rPr>
          <w:rFonts w:ascii="Times New Roman" w:hAnsi="Times New Roman"/>
          <w:color w:val="auto"/>
          <w:sz w:val="24"/>
          <w:szCs w:val="24"/>
        </w:rPr>
        <w:t>MATERIALS AND METHODS</w:t>
      </w:r>
    </w:p>
    <w:p w14:paraId="76EFDDC6" w14:textId="24A50DA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rPr>
        <w:lastRenderedPageBreak/>
        <w:t xml:space="preserve">In the Leningrad Region, field trials were conducted during 2022–2024 at the VIR experimental facilities in Pushkin (near St. Petersburg) to evaluate four pigmented-flesh potato varieties and breeding samples: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 along with a white-fleshed variety, </w:t>
      </w:r>
      <w:proofErr w:type="spellStart"/>
      <w:r w:rsidRPr="008B4AB4">
        <w:rPr>
          <w:rFonts w:ascii="Times New Roman" w:hAnsi="Times New Roman"/>
          <w:color w:val="auto"/>
          <w:sz w:val="24"/>
        </w:rPr>
        <w:t>Udovitsky</w:t>
      </w:r>
      <w:proofErr w:type="spellEnd"/>
      <w:r w:rsidRPr="008B4AB4">
        <w:rPr>
          <w:rFonts w:ascii="Times New Roman" w:hAnsi="Times New Roman"/>
          <w:color w:val="auto"/>
          <w:sz w:val="24"/>
        </w:rPr>
        <w:t xml:space="preserve">, all developed in the Republic of Kazakhstan (Fig. 1). The pigmented-flesh variety </w:t>
      </w:r>
      <w:proofErr w:type="spellStart"/>
      <w:r w:rsidRPr="008B4AB4">
        <w:rPr>
          <w:rFonts w:ascii="Times New Roman" w:hAnsi="Times New Roman"/>
          <w:color w:val="auto"/>
          <w:sz w:val="24"/>
        </w:rPr>
        <w:t>Fioletovyi</w:t>
      </w:r>
      <w:proofErr w:type="spellEnd"/>
      <w:r w:rsidRPr="008B4AB4">
        <w:rPr>
          <w:rFonts w:ascii="Times New Roman" w:hAnsi="Times New Roman"/>
          <w:color w:val="auto"/>
          <w:sz w:val="24"/>
        </w:rPr>
        <w:t xml:space="preserve">, developed at the A.G. </w:t>
      </w:r>
      <w:proofErr w:type="spellStart"/>
      <w:r w:rsidRPr="008B4AB4">
        <w:rPr>
          <w:rFonts w:ascii="Times New Roman" w:hAnsi="Times New Roman"/>
          <w:color w:val="auto"/>
          <w:sz w:val="24"/>
        </w:rPr>
        <w:t>Lorkh</w:t>
      </w:r>
      <w:proofErr w:type="spellEnd"/>
      <w:r w:rsidRPr="008B4AB4">
        <w:rPr>
          <w:rFonts w:ascii="Times New Roman" w:hAnsi="Times New Roman"/>
          <w:color w:val="auto"/>
          <w:sz w:val="24"/>
        </w:rPr>
        <w:t xml:space="preserve"> Federal Research Center for Potato and approved for cultivation in the Leningrad Region, was included as the reference cultivar (Table 1)</w:t>
      </w:r>
      <w:r w:rsidRPr="008B4AB4">
        <w:rPr>
          <w:rFonts w:ascii="Times New Roman" w:hAnsi="Times New Roman"/>
          <w:color w:val="auto"/>
          <w:sz w:val="24"/>
          <w:szCs w:val="24"/>
        </w:rPr>
        <w:t>.</w:t>
      </w:r>
    </w:p>
    <w:p w14:paraId="6B1BDEE0" w14:textId="77777777" w:rsidR="00DE5A5B" w:rsidRPr="008B4AB4" w:rsidRDefault="00DE5A5B" w:rsidP="00DE5A5B">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 xml:space="preserve">In 2024, the potato breeding samples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and the cultivar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(used as a control) were evaluated under the field conditions of the Kostanay District, Kostanay Region, at the Terra private farm. At each trial site, yield performance was assessed for the breeding material, including total and marketable yield, the number of tubers per plant, average tuber weight, and the percentage of marketable tubers by weight.</w:t>
      </w:r>
    </w:p>
    <w:p w14:paraId="27423196" w14:textId="77777777" w:rsidR="00DE5A5B" w:rsidRPr="008B4AB4" w:rsidRDefault="00DE5A5B" w:rsidP="00DE5A5B">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Between 2021 and 2024, the chemical composition of potato tubers was assessed at the Biochemistry Department of the N.I. Vavilov Institute of Plant Genetic Resources (VIR). Analyses were conducted on tuber samples obtained from harvests in the Kostanay Region (2021-2024) and the Leningrad Region (2022–2024).</w:t>
      </w:r>
    </w:p>
    <w:p w14:paraId="317504DC" w14:textId="77777777" w:rsidR="00DE5A5B" w:rsidRPr="008B4AB4" w:rsidRDefault="00DE5A5B" w:rsidP="00DE5A5B">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The soil and climatic conditions of the two regions where pigmented potato varieties were cultivated are highly contrasting. The climate of the Kostanay Region is sharply continental, characterized by cold, low-snow winters and hot, dry summers. Prolonged cold spells in spring, early autumn frosts, and late summer precipitation are typical features of the region and distinguish it from other arid zones. All climatic factors exhibit considerable interannual variability in both intensity and timing. In 2021, air temperatures exceeded the long-term average in June and August. Precipitation was below normal in May, June, and August, while in July it was nearly twice the average. In 2024, temperatures were above the long-term average in May, June, and August. Precipitation was again below normal in May and August, but exceeded the norm in June.</w:t>
      </w:r>
    </w:p>
    <w:p w14:paraId="71483CB1" w14:textId="77777777" w:rsidR="00DE5A5B" w:rsidRPr="008B4AB4" w:rsidRDefault="00DE5A5B" w:rsidP="00DE5A5B">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 xml:space="preserve">The climate of the Leningrad Region is temperate, transitional from oceanic to continental, characterized by relatively mild winters with frequent thaws and moderately warm summers. Precipitation is most abundant during summer and autumn. Agro-meteorological conditions during the growing seasons of 2022–2024 were highly unstable and not always favorable for obtaining high potato yields with good consumer qualities. The summer of 2022 was warm, though not particularly sunny; average July temperatures were below the long-term average. Precipitation in June and July was below normal, while August saw 185% of the monthly average. The summer of 2023 was rather variable, with alternating warm and sunny </w:t>
      </w:r>
      <w:r w:rsidRPr="008B4AB4">
        <w:rPr>
          <w:rFonts w:ascii="Times New Roman" w:hAnsi="Times New Roman"/>
          <w:color w:val="auto"/>
          <w:sz w:val="24"/>
        </w:rPr>
        <w:lastRenderedPageBreak/>
        <w:t>periods. July temperatures were below the multi-year average, and rainfall was twice below normal; in August, only 38% of the average precipitation was recorded. The summer of 2024 was warm, with temperatures above the long-term average in June and July. A deficit of precipitation was observed in July (62% of normal), while in August precipitation reached 144% of the monthly norm.</w:t>
      </w:r>
    </w:p>
    <w:p w14:paraId="7B4D4B28" w14:textId="77777777" w:rsidR="00DE5A5B" w:rsidRPr="008B4AB4" w:rsidRDefault="00DE5A5B" w:rsidP="00DE5A5B">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In the field trial conducted at VIR’s Pushkin Laboratories (Leningrad region), each potato variety was represented annually by 10 plants in three replicates. The soil at the VIR experimental site is sod-podzolic, sandy loam with light loam inclusions, containing 3.0–3.5% humus, with pH ranging from 4.8 to 5.1. Crop management followed standard practices for the Northwestern region. In the irrigated field trial at the Terra private farm (Kostanay Region), each variety was represented by 10 plants in four replicates. The soil of the experimental site is southern black soil with light to medium loam texture, humus content ranging from 3.17% to 3.71%, and a pH of 7.53. Crop management followed conventional practices for the Kostanay Region.</w:t>
      </w:r>
    </w:p>
    <w:p w14:paraId="5F493D48" w14:textId="0611C8CF"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rPr>
        <w:t>For biochemical evaluation, one tuber (weighing 50–90 g) was taken from 10 morphologically typical plants of each cultivar at each trial site during harvest. The selected tubers were combined into a composite sample. In the laboratory, each tuber was longitudinally cut in half, and one half from each was homogenized for analysis. The samples were processed and analyzed as described previously (</w:t>
      </w:r>
      <w:r w:rsidR="00182F60" w:rsidRPr="008B4AB4">
        <w:rPr>
          <w:rFonts w:ascii="Times New Roman" w:hAnsi="Times New Roman"/>
          <w:color w:val="auto"/>
          <w:sz w:val="24"/>
        </w:rPr>
        <w:t>Ermakov et al.</w:t>
      </w:r>
      <w:r w:rsidRPr="008B4AB4">
        <w:rPr>
          <w:rFonts w:ascii="Times New Roman" w:hAnsi="Times New Roman"/>
          <w:color w:val="auto"/>
          <w:sz w:val="24"/>
        </w:rPr>
        <w:t xml:space="preserve"> 1987):</w:t>
      </w:r>
    </w:p>
    <w:p w14:paraId="17C0E7D3"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p>
    <w:p w14:paraId="5E8A3602" w14:textId="78C58B9E"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Dry Matter Content</w:t>
      </w:r>
    </w:p>
    <w:p w14:paraId="7746D8F1"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Dry matter content (%) was determined gravimetrically. A 50 g fresh tissue sample was dried in a thermostat at 80°C for 12 hours, followed by drying at 105°C for 1 hour until constant weight. Results were expressed as a percentage</w:t>
      </w:r>
      <w:r w:rsidRPr="008B4AB4">
        <w:rPr>
          <w:rFonts w:ascii="Times New Roman" w:eastAsia="Batang" w:hAnsi="Times New Roman"/>
          <w:color w:val="auto"/>
          <w:sz w:val="24"/>
          <w:szCs w:val="24"/>
        </w:rPr>
        <w:t>.</w:t>
      </w:r>
    </w:p>
    <w:p w14:paraId="73FD9D2B" w14:textId="77777777" w:rsidR="00DE5A5B" w:rsidRPr="008B4AB4" w:rsidRDefault="00DE5A5B" w:rsidP="00DE5A5B">
      <w:pPr>
        <w:pStyle w:val="MDPI31text"/>
        <w:spacing w:line="360" w:lineRule="auto"/>
        <w:ind w:left="0" w:firstLine="567"/>
        <w:rPr>
          <w:rFonts w:ascii="Times New Roman" w:eastAsia="Batang" w:hAnsi="Times New Roman"/>
          <w:color w:val="auto"/>
          <w:sz w:val="24"/>
          <w:szCs w:val="24"/>
        </w:rPr>
      </w:pPr>
    </w:p>
    <w:p w14:paraId="63837221" w14:textId="465C999C"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Ascorbic Acid</w:t>
      </w:r>
    </w:p>
    <w:p w14:paraId="44BE5167" w14:textId="77777777" w:rsidR="00DE5A5B" w:rsidRPr="008B4AB4" w:rsidRDefault="00DE5A5B" w:rsidP="00DE5A5B">
      <w:pPr>
        <w:pStyle w:val="MDPI31text"/>
        <w:spacing w:line="360" w:lineRule="auto"/>
        <w:ind w:left="0" w:firstLine="510"/>
        <w:rPr>
          <w:rFonts w:ascii="Times New Roman" w:hAnsi="Times New Roman"/>
          <w:color w:val="auto"/>
          <w:sz w:val="24"/>
          <w:szCs w:val="24"/>
        </w:rPr>
      </w:pPr>
      <w:r w:rsidRPr="008B4AB4">
        <w:rPr>
          <w:rFonts w:ascii="Times New Roman" w:hAnsi="Times New Roman"/>
          <w:color w:val="auto"/>
          <w:sz w:val="24"/>
          <w:szCs w:val="24"/>
        </w:rPr>
        <w:t>Ascorbic acid was extracted directly from 10 g of tissue using a 1% HCl solution (according to I.K. Murry) and titrated with 2,6-dichlorophenolindophenol (Tillmans reagent). Results were expressed in mg per 100 g of fresh weight.</w:t>
      </w:r>
    </w:p>
    <w:p w14:paraId="5445A818" w14:textId="77777777" w:rsidR="00DE5A5B" w:rsidRPr="008B4AB4" w:rsidRDefault="00DE5A5B" w:rsidP="00DE5A5B">
      <w:pPr>
        <w:pStyle w:val="MDPI31text"/>
        <w:spacing w:line="360" w:lineRule="auto"/>
        <w:ind w:left="0" w:firstLine="510"/>
        <w:rPr>
          <w:rFonts w:ascii="Times New Roman" w:hAnsi="Times New Roman"/>
          <w:color w:val="auto"/>
          <w:sz w:val="24"/>
          <w:szCs w:val="24"/>
        </w:rPr>
      </w:pPr>
    </w:p>
    <w:p w14:paraId="0F4E8C18" w14:textId="2AE544F1"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Sugar Analysis</w:t>
      </w:r>
    </w:p>
    <w:p w14:paraId="5361335C"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Total sugar content was determined by Bertrand’s method. A 25 g sample was used for analysis. Oligosaccharides were pre-hydrolyzed with 10% HCl. The amount of cuprous oxide precipitated corresponded to the sugar concentration. The precipitate was dissolved in ferric </w:t>
      </w:r>
      <w:r w:rsidRPr="008B4AB4">
        <w:rPr>
          <w:rFonts w:ascii="Times New Roman" w:hAnsi="Times New Roman"/>
          <w:color w:val="auto"/>
          <w:sz w:val="24"/>
          <w:szCs w:val="24"/>
        </w:rPr>
        <w:lastRenderedPageBreak/>
        <w:t>sulfate in the presence of sulfuric acid, where cuprous oxide was oxidized and ferric ions were reduced to ferrous ions. These were titrated with a standardized potassium permanganate solution. Results were expressed as a percentage.</w:t>
      </w:r>
    </w:p>
    <w:p w14:paraId="52FC2491"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p>
    <w:p w14:paraId="2E13A7D8" w14:textId="21F27415"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Total Acidity</w:t>
      </w:r>
    </w:p>
    <w:p w14:paraId="431AC2CA"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To determine total acidity, a 25 g sample of fresh tissue was homogenized in 250 ml of hot distilled water and filtered. A 10 ml aliquot was titrated with 0.1 N alkali in the presence of a phenolphthalein indicator. Results were expressed as a percentage and recalculated as citric acid equivalents.</w:t>
      </w:r>
    </w:p>
    <w:p w14:paraId="74AF977F"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p>
    <w:p w14:paraId="0F53D45B" w14:textId="7313DDA5"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Protein Content</w:t>
      </w:r>
    </w:p>
    <w:p w14:paraId="1E066C38"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Protein content was measured using the </w:t>
      </w:r>
      <w:proofErr w:type="spellStart"/>
      <w:r w:rsidRPr="008B4AB4">
        <w:rPr>
          <w:rFonts w:ascii="Times New Roman" w:hAnsi="Times New Roman"/>
          <w:color w:val="auto"/>
          <w:sz w:val="24"/>
          <w:szCs w:val="24"/>
        </w:rPr>
        <w:t>Kjeldahl</w:t>
      </w:r>
      <w:proofErr w:type="spellEnd"/>
      <w:r w:rsidRPr="008B4AB4">
        <w:rPr>
          <w:rFonts w:ascii="Times New Roman" w:hAnsi="Times New Roman"/>
          <w:color w:val="auto"/>
          <w:sz w:val="24"/>
          <w:szCs w:val="24"/>
        </w:rPr>
        <w:t xml:space="preserve"> method (</w:t>
      </w:r>
      <w:proofErr w:type="spellStart"/>
      <w:r w:rsidRPr="008B4AB4">
        <w:rPr>
          <w:rFonts w:ascii="Times New Roman" w:hAnsi="Times New Roman"/>
          <w:color w:val="auto"/>
          <w:sz w:val="24"/>
          <w:szCs w:val="24"/>
        </w:rPr>
        <w:t>Kjeldahl</w:t>
      </w:r>
      <w:proofErr w:type="spellEnd"/>
      <w:r w:rsidRPr="008B4AB4">
        <w:rPr>
          <w:rFonts w:ascii="Times New Roman" w:hAnsi="Times New Roman"/>
          <w:color w:val="auto"/>
          <w:sz w:val="24"/>
          <w:szCs w:val="24"/>
        </w:rPr>
        <w:t xml:space="preserve">, 1883). A sample of dried and ground material was digested with concentrated sulfuric acid at 420°C for 1.5 hours. Nitrogen content was determined using a VELP </w:t>
      </w:r>
      <w:proofErr w:type="spellStart"/>
      <w:r w:rsidRPr="008B4AB4">
        <w:rPr>
          <w:rFonts w:ascii="Times New Roman" w:hAnsi="Times New Roman"/>
          <w:color w:val="auto"/>
          <w:sz w:val="24"/>
          <w:szCs w:val="24"/>
        </w:rPr>
        <w:t>Scientifica</w:t>
      </w:r>
      <w:proofErr w:type="spellEnd"/>
      <w:r w:rsidRPr="008B4AB4">
        <w:rPr>
          <w:rFonts w:ascii="Times New Roman" w:hAnsi="Times New Roman"/>
          <w:color w:val="auto"/>
          <w:sz w:val="24"/>
          <w:szCs w:val="24"/>
        </w:rPr>
        <w:t xml:space="preserve"> UDK 159 automatic analyzer (Italy). Total protein was calculated using a nitrogen-to-protein conversion factor of 6.25 (specific for vegetables) and expressed as a percentage.</w:t>
      </w:r>
    </w:p>
    <w:p w14:paraId="77726CEB"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p>
    <w:p w14:paraId="7BC965A2" w14:textId="30B711E1"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Starch</w:t>
      </w:r>
    </w:p>
    <w:p w14:paraId="784CF833"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Starch content was determined using the Evers polarimetric method with an automatic polarimeter/saccharimeter SAC-I (Japan). Results were expressed as a percentage.</w:t>
      </w:r>
    </w:p>
    <w:p w14:paraId="3BDAC293"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p>
    <w:p w14:paraId="52675998" w14:textId="0130A571"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Pigment Content</w:t>
      </w:r>
    </w:p>
    <w:p w14:paraId="61E4EE0A" w14:textId="74BE9D6A"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Carotenoid pigments were extracted using 100% acetone, and their absorbance was measured with an </w:t>
      </w:r>
      <w:proofErr w:type="spellStart"/>
      <w:r w:rsidRPr="008B4AB4">
        <w:rPr>
          <w:rFonts w:ascii="Times New Roman" w:hAnsi="Times New Roman"/>
          <w:color w:val="auto"/>
          <w:sz w:val="24"/>
          <w:szCs w:val="24"/>
        </w:rPr>
        <w:t>Ultrospec</w:t>
      </w:r>
      <w:proofErr w:type="spellEnd"/>
      <w:r w:rsidRPr="008B4AB4">
        <w:rPr>
          <w:rFonts w:ascii="Times New Roman" w:hAnsi="Times New Roman"/>
          <w:color w:val="auto"/>
          <w:sz w:val="24"/>
          <w:szCs w:val="24"/>
        </w:rPr>
        <w:t xml:space="preserve"> II spectrophotometer at the following wavelengths (nm): 663 for chlorophyll a, 645 for chlorophyll b, 440 for total carotenoids, and 454 for β-carotene. Anthocyanins were extracted with a 1% hydrochloric acid solution, followed by spectrophotometric analysis at 510 nm, with results calculated as cyanidin-3,5-diglucoside equivalents. To correct for the presence of green pigments, optical density was also measured at 657 nm in the same extracts (Wu et al. 2006). Data are presented in mg/100 g.</w:t>
      </w:r>
    </w:p>
    <w:p w14:paraId="268CDCF6"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p>
    <w:p w14:paraId="05058F5B" w14:textId="0217B85B"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Total Phenolic Content</w:t>
      </w:r>
    </w:p>
    <w:p w14:paraId="41593C33" w14:textId="085F9D5F"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Phenolic compounds were extracted and antioxidant activity was assessed using 80% ethanol. The total phenolic content was determined by the Folin–</w:t>
      </w:r>
      <w:proofErr w:type="spellStart"/>
      <w:r w:rsidRPr="008B4AB4">
        <w:rPr>
          <w:rFonts w:ascii="Times New Roman" w:hAnsi="Times New Roman"/>
          <w:color w:val="auto"/>
          <w:sz w:val="24"/>
          <w:szCs w:val="24"/>
        </w:rPr>
        <w:t>Ciocalteu</w:t>
      </w:r>
      <w:proofErr w:type="spellEnd"/>
      <w:r w:rsidRPr="008B4AB4">
        <w:rPr>
          <w:rFonts w:ascii="Times New Roman" w:hAnsi="Times New Roman"/>
          <w:color w:val="auto"/>
          <w:sz w:val="24"/>
          <w:szCs w:val="24"/>
        </w:rPr>
        <w:t xml:space="preserve"> method, as modified by Singleton and Rossi (</w:t>
      </w:r>
      <w:r w:rsidR="00182F60" w:rsidRPr="008B4AB4">
        <w:rPr>
          <w:rFonts w:ascii="Times New Roman" w:hAnsi="Times New Roman"/>
          <w:color w:val="auto"/>
          <w:sz w:val="24"/>
          <w:szCs w:val="24"/>
        </w:rPr>
        <w:t>Ainsworth and</w:t>
      </w:r>
      <w:r w:rsidRPr="008B4AB4">
        <w:rPr>
          <w:rFonts w:ascii="Times New Roman" w:hAnsi="Times New Roman"/>
          <w:color w:val="auto"/>
          <w:sz w:val="24"/>
          <w:szCs w:val="24"/>
        </w:rPr>
        <w:t xml:space="preserve"> Gillespie 2007). This method is based on the reduction </w:t>
      </w:r>
      <w:r w:rsidRPr="008B4AB4">
        <w:rPr>
          <w:rFonts w:ascii="Times New Roman" w:hAnsi="Times New Roman"/>
          <w:color w:val="auto"/>
          <w:sz w:val="24"/>
          <w:szCs w:val="24"/>
        </w:rPr>
        <w:lastRenderedPageBreak/>
        <w:t>of Mo</w:t>
      </w:r>
      <w:r w:rsidRPr="008B4AB4">
        <w:rPr>
          <w:rFonts w:ascii="Cambria Math" w:hAnsi="Cambria Math" w:cs="Cambria Math"/>
          <w:color w:val="auto"/>
          <w:sz w:val="24"/>
          <w:szCs w:val="24"/>
        </w:rPr>
        <w:t>⁶⁺</w:t>
      </w:r>
      <w:r w:rsidRPr="008B4AB4">
        <w:rPr>
          <w:rFonts w:ascii="Times New Roman" w:hAnsi="Times New Roman"/>
          <w:color w:val="auto"/>
          <w:sz w:val="24"/>
          <w:szCs w:val="24"/>
        </w:rPr>
        <w:t xml:space="preserve"> to Mo</w:t>
      </w:r>
      <w:r w:rsidRPr="008B4AB4">
        <w:rPr>
          <w:rFonts w:ascii="Cambria Math" w:hAnsi="Cambria Math" w:cs="Cambria Math"/>
          <w:color w:val="auto"/>
          <w:sz w:val="24"/>
          <w:szCs w:val="24"/>
        </w:rPr>
        <w:t>⁵⁺</w:t>
      </w:r>
      <w:r w:rsidRPr="008B4AB4">
        <w:rPr>
          <w:rFonts w:ascii="Times New Roman" w:hAnsi="Times New Roman"/>
          <w:color w:val="auto"/>
          <w:sz w:val="24"/>
          <w:szCs w:val="24"/>
        </w:rPr>
        <w:t>, resulting in a blue coloration of the sample solution, which is measured spectrophotometrically at 765 nm. Results were expressed as Gallic acid equivalents (GAE) in mg GAE/g.</w:t>
      </w:r>
    </w:p>
    <w:p w14:paraId="17673577"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p>
    <w:p w14:paraId="6D7ACDE6" w14:textId="1B470469" w:rsidR="00DE5A5B" w:rsidRPr="008B4AB4" w:rsidRDefault="00DE5A5B" w:rsidP="00DE5A5B">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8B4AB4">
        <w:rPr>
          <w:rFonts w:ascii="Times New Roman" w:hAnsi="Times New Roman"/>
          <w:b/>
          <w:i w:val="0"/>
          <w:color w:val="auto"/>
          <w:sz w:val="24"/>
          <w:szCs w:val="24"/>
        </w:rPr>
        <w:t>Determination of Total Antioxidant and Antiradical Activity</w:t>
      </w:r>
    </w:p>
    <w:p w14:paraId="1B39EF30" w14:textId="34370F59"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The antioxidant activity was evaluated using the free radical spectrophotometric method based on the DPPH (2,2-diphenyl-1-picrylhydrazyl; C</w:t>
      </w:r>
      <w:r w:rsidRPr="008B4AB4">
        <w:rPr>
          <w:rFonts w:ascii="Cambria Math" w:hAnsi="Cambria Math" w:cs="Cambria Math"/>
          <w:color w:val="auto"/>
          <w:sz w:val="24"/>
          <w:szCs w:val="24"/>
        </w:rPr>
        <w:t>₁₈</w:t>
      </w:r>
      <w:r w:rsidRPr="008B4AB4">
        <w:rPr>
          <w:rFonts w:ascii="Times New Roman" w:hAnsi="Times New Roman"/>
          <w:color w:val="auto"/>
          <w:sz w:val="24"/>
          <w:szCs w:val="24"/>
        </w:rPr>
        <w:t>H</w:t>
      </w:r>
      <w:r w:rsidRPr="008B4AB4">
        <w:rPr>
          <w:rFonts w:ascii="Cambria Math" w:hAnsi="Cambria Math" w:cs="Cambria Math"/>
          <w:color w:val="auto"/>
          <w:sz w:val="24"/>
          <w:szCs w:val="24"/>
        </w:rPr>
        <w:t>₁₂</w:t>
      </w:r>
      <w:r w:rsidRPr="008B4AB4">
        <w:rPr>
          <w:rFonts w:ascii="Times New Roman" w:hAnsi="Times New Roman"/>
          <w:color w:val="auto"/>
          <w:sz w:val="24"/>
          <w:szCs w:val="24"/>
        </w:rPr>
        <w:t>N</w:t>
      </w:r>
      <w:r w:rsidRPr="008B4AB4">
        <w:rPr>
          <w:rFonts w:ascii="Cambria Math" w:hAnsi="Cambria Math" w:cs="Cambria Math"/>
          <w:color w:val="auto"/>
          <w:sz w:val="24"/>
          <w:szCs w:val="24"/>
        </w:rPr>
        <w:t>₅</w:t>
      </w:r>
      <w:r w:rsidRPr="008B4AB4">
        <w:rPr>
          <w:rFonts w:ascii="Times New Roman" w:hAnsi="Times New Roman"/>
          <w:color w:val="auto"/>
          <w:sz w:val="24"/>
          <w:szCs w:val="24"/>
        </w:rPr>
        <w:t>O</w:t>
      </w:r>
      <w:r w:rsidRPr="008B4AB4">
        <w:rPr>
          <w:rFonts w:ascii="Cambria Math" w:hAnsi="Cambria Math" w:cs="Cambria Math"/>
          <w:color w:val="auto"/>
          <w:sz w:val="24"/>
          <w:szCs w:val="24"/>
        </w:rPr>
        <w:t>₆</w:t>
      </w:r>
      <w:r w:rsidRPr="008B4AB4">
        <w:rPr>
          <w:rFonts w:ascii="Times New Roman" w:hAnsi="Times New Roman"/>
          <w:color w:val="auto"/>
          <w:sz w:val="24"/>
          <w:szCs w:val="24"/>
        </w:rPr>
        <w:t>, M = 394.33) assay. This method involves the reaction of DPPH dissolved in ethanol with the antioxidant sample, measured at a wavelength of 515 nm. Following the neutralization phase of free radicals under standard conditions, the rate of DPPH radical oxidation was measured. Results were expressed as ascorbic acid equivalents (AAE) and as the percentage of radical scavenging activity (</w:t>
      </w:r>
      <w:proofErr w:type="spellStart"/>
      <w:r w:rsidRPr="008B4AB4">
        <w:rPr>
          <w:rFonts w:ascii="Times New Roman" w:hAnsi="Times New Roman"/>
          <w:color w:val="auto"/>
          <w:sz w:val="24"/>
          <w:szCs w:val="24"/>
        </w:rPr>
        <w:t>Pozdnyakov</w:t>
      </w:r>
      <w:proofErr w:type="spellEnd"/>
      <w:r w:rsidRPr="008B4AB4">
        <w:rPr>
          <w:rFonts w:ascii="Times New Roman" w:hAnsi="Times New Roman"/>
          <w:color w:val="auto"/>
          <w:sz w:val="24"/>
          <w:szCs w:val="24"/>
        </w:rPr>
        <w:t xml:space="preserve"> </w:t>
      </w:r>
      <w:r w:rsidR="001815AA" w:rsidRPr="008B4AB4">
        <w:rPr>
          <w:rFonts w:ascii="Times New Roman" w:hAnsi="Times New Roman"/>
          <w:color w:val="auto"/>
          <w:sz w:val="24"/>
          <w:szCs w:val="24"/>
        </w:rPr>
        <w:t>and</w:t>
      </w:r>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Vasilenko</w:t>
      </w:r>
      <w:proofErr w:type="spellEnd"/>
      <w:r w:rsidRPr="008B4AB4">
        <w:rPr>
          <w:rFonts w:ascii="Times New Roman" w:hAnsi="Times New Roman"/>
          <w:color w:val="auto"/>
          <w:sz w:val="24"/>
          <w:szCs w:val="24"/>
        </w:rPr>
        <w:t xml:space="preserve"> 2017).</w:t>
      </w:r>
    </w:p>
    <w:p w14:paraId="1899B704"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All data are presented on a fresh weight.</w:t>
      </w:r>
    </w:p>
    <w:p w14:paraId="5C0EDF3B" w14:textId="77777777" w:rsidR="00DE5A5B" w:rsidRPr="008B4AB4" w:rsidRDefault="00DE5A5B" w:rsidP="00DE5A5B">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Statistical analysis of the yield and biochemical data of the potato breeding material was conducted using </w:t>
      </w:r>
      <w:proofErr w:type="spellStart"/>
      <w:r w:rsidRPr="008B4AB4">
        <w:rPr>
          <w:rFonts w:ascii="Times New Roman" w:hAnsi="Times New Roman"/>
          <w:color w:val="auto"/>
          <w:sz w:val="24"/>
          <w:szCs w:val="24"/>
        </w:rPr>
        <w:t>Statistica</w:t>
      </w:r>
      <w:proofErr w:type="spellEnd"/>
      <w:r w:rsidRPr="008B4AB4">
        <w:rPr>
          <w:rFonts w:ascii="Times New Roman" w:hAnsi="Times New Roman"/>
          <w:color w:val="auto"/>
          <w:sz w:val="24"/>
          <w:szCs w:val="24"/>
        </w:rPr>
        <w:t xml:space="preserve"> 13 software. Depending on the distribution type of each variable, either parametric or non-parametric statistical methods were applied. Differences were considered statistically significant at p&lt;0.05.</w:t>
      </w:r>
    </w:p>
    <w:p w14:paraId="6C2BA59D" w14:textId="4196BEEA" w:rsidR="00397A3C" w:rsidRPr="008B4AB4" w:rsidRDefault="00DE5A5B" w:rsidP="00DE5A5B">
      <w:pPr>
        <w:pStyle w:val="afa"/>
        <w:spacing w:line="360" w:lineRule="auto"/>
        <w:ind w:firstLine="567"/>
        <w:rPr>
          <w:color w:val="auto"/>
        </w:rPr>
      </w:pPr>
      <w:r w:rsidRPr="008B4AB4">
        <w:rPr>
          <w:color w:val="auto"/>
        </w:rPr>
        <w:t>Statistical analysis of the yield and biochemical data of the potato breeding material was conducted using Statistica 13 software. Depending on the distribution type of each variable, either parametric or non-parametric statistical methods were applied. Differences were considered statistically significant at p&lt;0.05</w:t>
      </w:r>
      <w:r w:rsidR="00397A3C" w:rsidRPr="008B4AB4">
        <w:rPr>
          <w:color w:val="auto"/>
        </w:rPr>
        <w:t>.</w:t>
      </w:r>
    </w:p>
    <w:p w14:paraId="617D5911" w14:textId="77777777" w:rsidR="00397A3C" w:rsidRPr="008B4AB4" w:rsidRDefault="00397A3C" w:rsidP="00DE5A5B">
      <w:pPr>
        <w:pStyle w:val="MDPI31text"/>
        <w:spacing w:line="360" w:lineRule="auto"/>
        <w:ind w:left="0" w:firstLine="567"/>
        <w:rPr>
          <w:rFonts w:ascii="Times New Roman" w:eastAsia="Batang" w:hAnsi="Times New Roman"/>
          <w:color w:val="auto"/>
          <w:sz w:val="24"/>
          <w:szCs w:val="24"/>
        </w:rPr>
      </w:pPr>
    </w:p>
    <w:p w14:paraId="20CEC3B5" w14:textId="39F473B4" w:rsidR="00397A3C" w:rsidRPr="008B4AB4"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8B4AB4">
        <w:rPr>
          <w:rFonts w:ascii="Times New Roman" w:hAnsi="Times New Roman"/>
          <w:color w:val="auto"/>
          <w:sz w:val="24"/>
          <w:szCs w:val="24"/>
        </w:rPr>
        <w:t>RESULTS</w:t>
      </w:r>
      <w:r w:rsidR="00DE5A5B" w:rsidRPr="008B4AB4">
        <w:rPr>
          <w:rFonts w:ascii="Times New Roman" w:hAnsi="Times New Roman"/>
          <w:color w:val="auto"/>
          <w:sz w:val="24"/>
          <w:szCs w:val="24"/>
        </w:rPr>
        <w:t xml:space="preserve"> AND DISCUSSION</w:t>
      </w:r>
    </w:p>
    <w:p w14:paraId="754FC2E1" w14:textId="02511595" w:rsidR="003C2865" w:rsidRPr="008B4AB4" w:rsidRDefault="003C2865" w:rsidP="003C2865">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rPr>
        <w:t xml:space="preserve">The studied potato varieties and breeding samples showed statistically significant differences in yield, which varied depending on the growing location (Table 2, Fig. 2). The highest-yielding variety at both testing sites was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producing 603–981 g of tubers per plant. In the conditions of the Kostanay Region, the breeding samples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had yields ranging from 548 to 882 g/plant and did not differ significantly from the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variety. Under the conditions of the Leningrad Region, the accessions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significantly exceeded the standard variety </w:t>
      </w:r>
      <w:proofErr w:type="spellStart"/>
      <w:r w:rsidRPr="008B4AB4">
        <w:rPr>
          <w:rFonts w:ascii="Times New Roman" w:hAnsi="Times New Roman"/>
          <w:color w:val="auto"/>
          <w:sz w:val="24"/>
        </w:rPr>
        <w:t>Fioletovyi</w:t>
      </w:r>
      <w:proofErr w:type="spellEnd"/>
      <w:r w:rsidRPr="008B4AB4">
        <w:rPr>
          <w:rFonts w:ascii="Times New Roman" w:hAnsi="Times New Roman"/>
          <w:color w:val="auto"/>
          <w:sz w:val="24"/>
        </w:rPr>
        <w:t xml:space="preserve">, as well as the varieties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Udovitsky</w:t>
      </w:r>
      <w:proofErr w:type="spellEnd"/>
      <w:r w:rsidRPr="008B4AB4">
        <w:rPr>
          <w:rFonts w:ascii="Times New Roman" w:hAnsi="Times New Roman"/>
          <w:color w:val="auto"/>
          <w:sz w:val="24"/>
        </w:rPr>
        <w:t xml:space="preserve"> in terms of yield (Table 2, Fig. 2)</w:t>
      </w:r>
      <w:r w:rsidRPr="008B4AB4">
        <w:rPr>
          <w:rFonts w:ascii="Times New Roman" w:hAnsi="Times New Roman"/>
          <w:color w:val="auto"/>
          <w:sz w:val="24"/>
          <w:szCs w:val="24"/>
        </w:rPr>
        <w:t xml:space="preserve">. The study's findings are consistent with current research trends, which support the concept that potato yields vary substantially depending on location. This is because the location influences crucial environmental elements such as temperature, water availability, and day length, as well as soil characteristics such as </w:t>
      </w:r>
      <w:r w:rsidRPr="008B4AB4">
        <w:rPr>
          <w:rFonts w:ascii="Times New Roman" w:hAnsi="Times New Roman"/>
          <w:color w:val="auto"/>
          <w:sz w:val="24"/>
          <w:szCs w:val="24"/>
        </w:rPr>
        <w:lastRenderedPageBreak/>
        <w:t>drainage, pH level, and nutrient availability. The location also influences optimal planting dates and potato quality, but it cannot be used alone to anticipate production (</w:t>
      </w:r>
      <w:r w:rsidR="00E066E7" w:rsidRPr="008B4AB4">
        <w:rPr>
          <w:rFonts w:ascii="Times New Roman" w:hAnsi="Times New Roman"/>
          <w:color w:val="auto"/>
          <w:sz w:val="24"/>
          <w:szCs w:val="24"/>
        </w:rPr>
        <w:t xml:space="preserve">Muthoni and </w:t>
      </w:r>
      <w:proofErr w:type="spellStart"/>
      <w:r w:rsidR="00E066E7" w:rsidRPr="008B4AB4">
        <w:rPr>
          <w:rFonts w:ascii="Times New Roman" w:hAnsi="Times New Roman"/>
          <w:color w:val="auto"/>
          <w:sz w:val="24"/>
          <w:szCs w:val="24"/>
        </w:rPr>
        <w:t>Shimelis</w:t>
      </w:r>
      <w:proofErr w:type="spellEnd"/>
      <w:r w:rsidR="00E066E7" w:rsidRPr="008B4AB4">
        <w:rPr>
          <w:rFonts w:ascii="Times New Roman" w:hAnsi="Times New Roman"/>
          <w:color w:val="auto"/>
          <w:sz w:val="24"/>
          <w:szCs w:val="24"/>
        </w:rPr>
        <w:t xml:space="preserve"> 2020; </w:t>
      </w:r>
      <w:proofErr w:type="spellStart"/>
      <w:r w:rsidRPr="008B4AB4">
        <w:rPr>
          <w:rFonts w:ascii="Times New Roman" w:hAnsi="Times New Roman"/>
          <w:color w:val="auto"/>
          <w:sz w:val="24"/>
          <w:szCs w:val="24"/>
        </w:rPr>
        <w:t>Piekuto</w:t>
      </w:r>
      <w:r w:rsidR="001437B4" w:rsidRPr="008B4AB4">
        <w:rPr>
          <w:rFonts w:ascii="Times New Roman" w:hAnsi="Times New Roman"/>
          <w:color w:val="auto"/>
          <w:sz w:val="24"/>
          <w:szCs w:val="24"/>
        </w:rPr>
        <w:t>wska</w:t>
      </w:r>
      <w:proofErr w:type="spellEnd"/>
      <w:r w:rsidR="001437B4" w:rsidRPr="008B4AB4">
        <w:rPr>
          <w:rFonts w:ascii="Times New Roman" w:hAnsi="Times New Roman"/>
          <w:color w:val="auto"/>
          <w:sz w:val="24"/>
          <w:szCs w:val="24"/>
        </w:rPr>
        <w:t xml:space="preserve"> et al.</w:t>
      </w:r>
      <w:r w:rsidR="00E066E7" w:rsidRPr="008B4AB4">
        <w:rPr>
          <w:rFonts w:ascii="Times New Roman" w:hAnsi="Times New Roman"/>
          <w:color w:val="auto"/>
          <w:sz w:val="24"/>
          <w:szCs w:val="24"/>
        </w:rPr>
        <w:t xml:space="preserve"> 2021; </w:t>
      </w:r>
      <w:proofErr w:type="spellStart"/>
      <w:r w:rsidR="00E066E7" w:rsidRPr="008B4AB4">
        <w:rPr>
          <w:rFonts w:ascii="Times New Roman" w:hAnsi="Times New Roman"/>
          <w:color w:val="auto"/>
          <w:sz w:val="24"/>
          <w:szCs w:val="24"/>
        </w:rPr>
        <w:t>Tunio</w:t>
      </w:r>
      <w:proofErr w:type="spellEnd"/>
      <w:r w:rsidR="00E066E7" w:rsidRPr="008B4AB4">
        <w:rPr>
          <w:rFonts w:ascii="Times New Roman" w:hAnsi="Times New Roman"/>
          <w:color w:val="auto"/>
          <w:sz w:val="24"/>
          <w:szCs w:val="24"/>
        </w:rPr>
        <w:t xml:space="preserve"> et al.</w:t>
      </w:r>
      <w:r w:rsidRPr="008B4AB4">
        <w:rPr>
          <w:rFonts w:ascii="Times New Roman" w:hAnsi="Times New Roman"/>
          <w:color w:val="auto"/>
          <w:sz w:val="24"/>
          <w:szCs w:val="24"/>
        </w:rPr>
        <w:t xml:space="preserve"> 2020). </w:t>
      </w:r>
    </w:p>
    <w:p w14:paraId="0FF41865" w14:textId="77777777" w:rsidR="003C2865" w:rsidRPr="008B4AB4" w:rsidRDefault="003C2865" w:rsidP="003C2865">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 xml:space="preserve">The highest marketability in both trial locations was also observed in the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variety, reaching 90–100%. Under the conditions of the Kostanay Region, the breeding samples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also demonstrated high marketable yields (93–99%), whereas the marketability of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varied considerably (Table 2). In the Leningrad Region, the marketability of all tested potato genotypes - except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 was relatively low, ranging from 44.9% to 87.7%.</w:t>
      </w:r>
    </w:p>
    <w:p w14:paraId="2258887A" w14:textId="77777777" w:rsidR="003C2865" w:rsidRPr="008B4AB4" w:rsidRDefault="003C2865" w:rsidP="003C2865">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rPr>
        <w:t xml:space="preserve">In the Kostanay Region, the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breeding samples produced relatively few tubers—on average 5–8 per plant—with an average weight ranging from 66 to 154 g. In contrast,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formed 12–18 tubers per plant, but these were smaller, with an average weight of 44 to 59 g (Table 2, Fig. 3 and 4)</w:t>
      </w:r>
      <w:r w:rsidRPr="008B4AB4">
        <w:rPr>
          <w:rFonts w:ascii="Times New Roman" w:hAnsi="Times New Roman"/>
          <w:color w:val="auto"/>
          <w:sz w:val="24"/>
          <w:szCs w:val="24"/>
        </w:rPr>
        <w:t>.</w:t>
      </w:r>
    </w:p>
    <w:p w14:paraId="3978631F" w14:textId="75BA483F" w:rsidR="003C2865" w:rsidRPr="008B4AB4" w:rsidRDefault="003C2865" w:rsidP="003C2865">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 xml:space="preserve">Under the growing conditions of the Leningrad Region, a similar trend was observed: the breeding samples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produced a relatively small number of tubers per plant (6 to 12), while the genotypes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formed a greater number of tubers, ranging from 12 to 28 (Table 2, Fig. 3). However, the average tuber weight of </w:t>
      </w:r>
      <w:proofErr w:type="spellStart"/>
      <w:r w:rsidRPr="008B4AB4">
        <w:rPr>
          <w:rFonts w:ascii="Times New Roman" w:hAnsi="Times New Roman"/>
          <w:color w:val="auto"/>
          <w:sz w:val="24"/>
        </w:rPr>
        <w:t>Kiru</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in the Leningrad Region was 1.5–2 times lower than that observed under the conditions of the Kostanay Region. In the Leningrad Region, the tubers of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were just as small as in the Kostanay Region, with an average weight of 28–47 g. For the </w:t>
      </w:r>
      <w:proofErr w:type="spellStart"/>
      <w:r w:rsidRPr="008B4AB4">
        <w:rPr>
          <w:rFonts w:ascii="Times New Roman" w:hAnsi="Times New Roman"/>
          <w:color w:val="auto"/>
          <w:sz w:val="24"/>
        </w:rPr>
        <w:t>Udovitsky</w:t>
      </w:r>
      <w:proofErr w:type="spellEnd"/>
      <w:r w:rsidRPr="008B4AB4">
        <w:rPr>
          <w:rFonts w:ascii="Times New Roman" w:hAnsi="Times New Roman"/>
          <w:color w:val="auto"/>
          <w:sz w:val="24"/>
        </w:rPr>
        <w:t xml:space="preserve"> and </w:t>
      </w:r>
      <w:proofErr w:type="spellStart"/>
      <w:r w:rsidRPr="008B4AB4">
        <w:rPr>
          <w:rFonts w:ascii="Times New Roman" w:hAnsi="Times New Roman"/>
          <w:color w:val="auto"/>
          <w:sz w:val="24"/>
        </w:rPr>
        <w:t>Fioletovyi</w:t>
      </w:r>
      <w:proofErr w:type="spellEnd"/>
      <w:r w:rsidRPr="008B4AB4">
        <w:rPr>
          <w:rFonts w:ascii="Times New Roman" w:hAnsi="Times New Roman"/>
          <w:color w:val="auto"/>
          <w:sz w:val="24"/>
        </w:rPr>
        <w:t xml:space="preserve"> varieties, the number of tubers ranged from 5 to 15 per plant, with an average weight of 29–60 g (Table 2, Fig. 3, 4). The results align with the fact that for the majority of commercial agricultural markets, crop marketability is largely determined by quality rather than quantity. The value of a crop and a farmer's profitability are essentially determined by whether the produce satisfies certain quality standards demanded by buyers and consumers, even though high yields are crucial for overall production volume (</w:t>
      </w:r>
      <w:proofErr w:type="spellStart"/>
      <w:r w:rsidR="00E636EC" w:rsidRPr="008B4AB4">
        <w:rPr>
          <w:rFonts w:ascii="Times New Roman" w:hAnsi="Times New Roman"/>
          <w:color w:val="auto"/>
          <w:sz w:val="24"/>
        </w:rPr>
        <w:t>Gazzea</w:t>
      </w:r>
      <w:proofErr w:type="spellEnd"/>
      <w:r w:rsidR="00E636EC" w:rsidRPr="008B4AB4">
        <w:rPr>
          <w:rFonts w:ascii="Times New Roman" w:hAnsi="Times New Roman"/>
          <w:color w:val="auto"/>
          <w:sz w:val="24"/>
        </w:rPr>
        <w:t xml:space="preserve"> et al. 2023; </w:t>
      </w:r>
      <w:r w:rsidRPr="008B4AB4">
        <w:rPr>
          <w:rFonts w:ascii="Times New Roman" w:hAnsi="Times New Roman"/>
          <w:color w:val="auto"/>
          <w:sz w:val="24"/>
        </w:rPr>
        <w:t>Kubiak et al.</w:t>
      </w:r>
      <w:r w:rsidR="00851E4B" w:rsidRPr="008B4AB4">
        <w:rPr>
          <w:rFonts w:ascii="Times New Roman" w:hAnsi="Times New Roman"/>
          <w:color w:val="auto"/>
          <w:sz w:val="24"/>
        </w:rPr>
        <w:t xml:space="preserve"> 2022</w:t>
      </w:r>
      <w:r w:rsidRPr="008B4AB4">
        <w:rPr>
          <w:rFonts w:ascii="Times New Roman" w:hAnsi="Times New Roman"/>
          <w:color w:val="auto"/>
          <w:sz w:val="24"/>
        </w:rPr>
        <w:t>). According to the results and in alignment with other studies, it can be stated that the weight of potato crops is a crucial component in determining the marketability of potato crops (</w:t>
      </w:r>
      <w:proofErr w:type="spellStart"/>
      <w:r w:rsidR="00512157" w:rsidRPr="008B4AB4">
        <w:rPr>
          <w:rFonts w:ascii="Times New Roman" w:hAnsi="Times New Roman"/>
          <w:color w:val="auto"/>
          <w:sz w:val="24"/>
        </w:rPr>
        <w:t>Asnake</w:t>
      </w:r>
      <w:proofErr w:type="spellEnd"/>
      <w:r w:rsidR="00512157" w:rsidRPr="008B4AB4">
        <w:rPr>
          <w:rFonts w:ascii="Times New Roman" w:hAnsi="Times New Roman"/>
          <w:color w:val="auto"/>
          <w:sz w:val="24"/>
        </w:rPr>
        <w:t xml:space="preserve"> et al.</w:t>
      </w:r>
      <w:r w:rsidRPr="008B4AB4">
        <w:rPr>
          <w:rFonts w:ascii="Times New Roman" w:hAnsi="Times New Roman"/>
          <w:color w:val="auto"/>
          <w:sz w:val="24"/>
        </w:rPr>
        <w:t xml:space="preserve"> 2023; </w:t>
      </w:r>
      <w:r w:rsidR="00851E4B" w:rsidRPr="008B4AB4">
        <w:rPr>
          <w:rFonts w:ascii="Times New Roman" w:hAnsi="Times New Roman"/>
          <w:color w:val="auto"/>
          <w:sz w:val="24"/>
        </w:rPr>
        <w:t>Larkin et al.</w:t>
      </w:r>
      <w:r w:rsidRPr="008B4AB4">
        <w:rPr>
          <w:rFonts w:ascii="Times New Roman" w:hAnsi="Times New Roman"/>
          <w:color w:val="auto"/>
          <w:sz w:val="24"/>
        </w:rPr>
        <w:t xml:space="preserve"> 2021; </w:t>
      </w:r>
      <w:proofErr w:type="spellStart"/>
      <w:r w:rsidRPr="008B4AB4">
        <w:rPr>
          <w:rFonts w:ascii="Times New Roman" w:hAnsi="Times New Roman"/>
          <w:color w:val="auto"/>
          <w:sz w:val="24"/>
        </w:rPr>
        <w:t>Tessema</w:t>
      </w:r>
      <w:proofErr w:type="spellEnd"/>
      <w:r w:rsidRPr="008B4AB4">
        <w:rPr>
          <w:rFonts w:ascii="Times New Roman" w:hAnsi="Times New Roman"/>
          <w:color w:val="auto"/>
          <w:sz w:val="24"/>
        </w:rPr>
        <w:t xml:space="preserve"> et al. 2020). Certain genotypes performed consistently even in the variable conditions, while others performed more variably.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in Kazakhstan had comparatively high yield, low starch, and vitamin C in both years, while purple clones consistently had low yield. This result is similar to the study conducted in Kazakhstan, where Kira and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produced a high marketable yield in Kostanay conditions. Broader surveys show similar trends; in Russia, </w:t>
      </w:r>
      <w:proofErr w:type="spellStart"/>
      <w:r w:rsidRPr="008B4AB4">
        <w:rPr>
          <w:rFonts w:ascii="Times New Roman" w:hAnsi="Times New Roman"/>
          <w:color w:val="auto"/>
          <w:sz w:val="24"/>
        </w:rPr>
        <w:t>Solovyeva</w:t>
      </w:r>
      <w:proofErr w:type="spellEnd"/>
      <w:r w:rsidRPr="008B4AB4">
        <w:rPr>
          <w:rFonts w:ascii="Times New Roman" w:hAnsi="Times New Roman"/>
          <w:color w:val="auto"/>
          <w:sz w:val="24"/>
        </w:rPr>
        <w:t xml:space="preserve"> et al. (2024) found that </w:t>
      </w:r>
      <w:r w:rsidRPr="008B4AB4">
        <w:rPr>
          <w:rFonts w:ascii="Times New Roman" w:hAnsi="Times New Roman"/>
          <w:color w:val="auto"/>
          <w:sz w:val="24"/>
        </w:rPr>
        <w:lastRenderedPageBreak/>
        <w:t>the tuber composition of cultivar "</w:t>
      </w:r>
      <w:proofErr w:type="spellStart"/>
      <w:r w:rsidRPr="008B4AB4">
        <w:rPr>
          <w:rFonts w:ascii="Times New Roman" w:hAnsi="Times New Roman"/>
          <w:color w:val="auto"/>
          <w:sz w:val="24"/>
        </w:rPr>
        <w:t>Sokur</w:t>
      </w:r>
      <w:proofErr w:type="spellEnd"/>
      <w:r w:rsidRPr="008B4AB4">
        <w:rPr>
          <w:rFonts w:ascii="Times New Roman" w:hAnsi="Times New Roman"/>
          <w:color w:val="auto"/>
          <w:sz w:val="24"/>
        </w:rPr>
        <w:t>" was among the most stable across regions and that it consistently had very high dry matter and protein content everywhere.</w:t>
      </w:r>
    </w:p>
    <w:p w14:paraId="5A7F7BF2" w14:textId="77777777" w:rsidR="003C2865" w:rsidRPr="008B4AB4" w:rsidRDefault="003C2865" w:rsidP="003C2865">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 xml:space="preserve"> When combined, these findings imply that some varieties with colored flesh are trait-robust in various settings. Similar to how </w:t>
      </w:r>
      <w:proofErr w:type="spellStart"/>
      <w:r w:rsidRPr="008B4AB4">
        <w:rPr>
          <w:rFonts w:ascii="Times New Roman" w:hAnsi="Times New Roman"/>
          <w:color w:val="auto"/>
          <w:sz w:val="24"/>
        </w:rPr>
        <w:t>Sokur</w:t>
      </w:r>
      <w:proofErr w:type="spellEnd"/>
      <w:r w:rsidRPr="008B4AB4">
        <w:rPr>
          <w:rFonts w:ascii="Times New Roman" w:hAnsi="Times New Roman"/>
          <w:color w:val="auto"/>
          <w:sz w:val="24"/>
        </w:rPr>
        <w:t xml:space="preserve"> was stable in Russia, </w:t>
      </w:r>
      <w:proofErr w:type="spellStart"/>
      <w:r w:rsidRPr="008B4AB4">
        <w:rPr>
          <w:rFonts w:ascii="Times New Roman" w:hAnsi="Times New Roman"/>
          <w:color w:val="auto"/>
          <w:sz w:val="24"/>
        </w:rPr>
        <w:t>Olyushka's</w:t>
      </w:r>
      <w:proofErr w:type="spellEnd"/>
      <w:r w:rsidRPr="008B4AB4">
        <w:rPr>
          <w:rFonts w:ascii="Times New Roman" w:hAnsi="Times New Roman"/>
          <w:color w:val="auto"/>
          <w:sz w:val="24"/>
        </w:rPr>
        <w:t xml:space="preserve"> combination of a respectable yield and high vitamin C was stable in our trials. Such stability is important, as </w:t>
      </w:r>
      <w:proofErr w:type="spellStart"/>
      <w:r w:rsidRPr="008B4AB4">
        <w:rPr>
          <w:rFonts w:ascii="Times New Roman" w:hAnsi="Times New Roman"/>
          <w:color w:val="auto"/>
          <w:sz w:val="24"/>
        </w:rPr>
        <w:t>Sokur</w:t>
      </w:r>
      <w:proofErr w:type="spellEnd"/>
      <w:r w:rsidRPr="008B4AB4">
        <w:rPr>
          <w:rFonts w:ascii="Times New Roman" w:hAnsi="Times New Roman"/>
          <w:color w:val="auto"/>
          <w:sz w:val="24"/>
        </w:rPr>
        <w:t xml:space="preserve"> was a promising candidate for widespread cultivation due to its consistently high dry matter in both central and northwest Russia. In Kazakh and Russian trials, varieties such as </w:t>
      </w:r>
      <w:proofErr w:type="spellStart"/>
      <w:r w:rsidRPr="008B4AB4">
        <w:rPr>
          <w:rFonts w:ascii="Times New Roman" w:hAnsi="Times New Roman"/>
          <w:color w:val="auto"/>
          <w:sz w:val="24"/>
        </w:rPr>
        <w:t>Olyushka</w:t>
      </w:r>
      <w:proofErr w:type="spellEnd"/>
      <w:r w:rsidRPr="008B4AB4">
        <w:rPr>
          <w:rFonts w:ascii="Times New Roman" w:hAnsi="Times New Roman"/>
          <w:color w:val="auto"/>
          <w:sz w:val="24"/>
        </w:rPr>
        <w:t xml:space="preserve">, Kira, and </w:t>
      </w:r>
      <w:proofErr w:type="spellStart"/>
      <w:r w:rsidRPr="008B4AB4">
        <w:rPr>
          <w:rFonts w:ascii="Times New Roman" w:hAnsi="Times New Roman"/>
          <w:color w:val="auto"/>
          <w:sz w:val="24"/>
        </w:rPr>
        <w:t>Travnik</w:t>
      </w:r>
      <w:proofErr w:type="spellEnd"/>
      <w:r w:rsidRPr="008B4AB4">
        <w:rPr>
          <w:rFonts w:ascii="Times New Roman" w:hAnsi="Times New Roman"/>
          <w:color w:val="auto"/>
          <w:sz w:val="24"/>
        </w:rPr>
        <w:t xml:space="preserve"> consistently demonstrated genotype-specific strengths (yield, antioxidants, or starch content) under different conditions, indicating their suitability for those particular agroclimatic zones.</w:t>
      </w:r>
    </w:p>
    <w:p w14:paraId="67C2CB07" w14:textId="77777777" w:rsidR="003C2865" w:rsidRPr="008B4AB4" w:rsidRDefault="003C2865" w:rsidP="003C2865">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rPr>
        <w:t>The biochemical composition of the colored-flesh potato tubers was evaluated based on 17 indicators. Tables 3 and 4 present data for 15 of these parameters; the content of disaccharides (%) is not shown but was calculated as the difference between total sugars and monosaccharides. Total chlorophyll content was determined as the sum of chlorophyll A and chlorophyll B</w:t>
      </w:r>
      <w:r w:rsidRPr="008B4AB4">
        <w:rPr>
          <w:rFonts w:ascii="Times New Roman" w:hAnsi="Times New Roman"/>
          <w:color w:val="auto"/>
          <w:sz w:val="24"/>
          <w:szCs w:val="24"/>
        </w:rPr>
        <w:t>.</w:t>
      </w:r>
    </w:p>
    <w:p w14:paraId="36F3BCC3" w14:textId="0B895BD8" w:rsidR="003C2865" w:rsidRPr="008B4AB4" w:rsidRDefault="003C2865" w:rsidP="003C2865">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rPr>
        <w:t>Thus, the previously known dependence of the biochemical parameters of potato tubers on genotype (variety) and environment (growing season conditions) has been confirmed. In our experiments, statistically significant differences among the potato accessions were observed in dry matter content, total acidity, and the content of biologically active compounds such as carotenoids, β-carotene, phenolic compounds, and anthocyanins (Tables 3, 4)</w:t>
      </w:r>
      <w:r w:rsidRPr="008B4AB4">
        <w:rPr>
          <w:rFonts w:ascii="Times New Roman" w:hAnsi="Times New Roman"/>
          <w:color w:val="auto"/>
          <w:sz w:val="24"/>
          <w:szCs w:val="24"/>
        </w:rPr>
        <w:t xml:space="preserve">. This is consistent with the findings of Samaniego et al. (2020), </w:t>
      </w:r>
      <w:proofErr w:type="spellStart"/>
      <w:r w:rsidRPr="008B4AB4">
        <w:rPr>
          <w:rFonts w:ascii="Times New Roman" w:hAnsi="Times New Roman"/>
          <w:color w:val="auto"/>
          <w:sz w:val="24"/>
          <w:szCs w:val="24"/>
        </w:rPr>
        <w:t>Scavo</w:t>
      </w:r>
      <w:proofErr w:type="spellEnd"/>
      <w:r w:rsidRPr="008B4AB4">
        <w:rPr>
          <w:rFonts w:ascii="Times New Roman" w:hAnsi="Times New Roman"/>
          <w:color w:val="auto"/>
          <w:sz w:val="24"/>
          <w:szCs w:val="24"/>
        </w:rPr>
        <w:t xml:space="preserve"> et al. (2022), and </w:t>
      </w:r>
      <w:proofErr w:type="spellStart"/>
      <w:r w:rsidRPr="008B4AB4">
        <w:rPr>
          <w:rFonts w:ascii="Times New Roman" w:hAnsi="Times New Roman"/>
          <w:color w:val="auto"/>
          <w:sz w:val="24"/>
          <w:szCs w:val="24"/>
        </w:rPr>
        <w:t>Solovyeva</w:t>
      </w:r>
      <w:proofErr w:type="spellEnd"/>
      <w:r w:rsidRPr="008B4AB4">
        <w:rPr>
          <w:rFonts w:ascii="Times New Roman" w:hAnsi="Times New Roman"/>
          <w:color w:val="auto"/>
          <w:sz w:val="24"/>
          <w:szCs w:val="24"/>
        </w:rPr>
        <w:t xml:space="preserve"> et al. (2024), who emphasized the significance of the genotype-environment interaction. </w:t>
      </w:r>
      <w:proofErr w:type="spellStart"/>
      <w:r w:rsidRPr="008B4AB4">
        <w:rPr>
          <w:rFonts w:ascii="Times New Roman" w:hAnsi="Times New Roman"/>
          <w:color w:val="auto"/>
          <w:sz w:val="24"/>
          <w:szCs w:val="24"/>
        </w:rPr>
        <w:t>Solovyeva</w:t>
      </w:r>
      <w:proofErr w:type="spellEnd"/>
      <w:r w:rsidRPr="008B4AB4">
        <w:rPr>
          <w:rFonts w:ascii="Times New Roman" w:hAnsi="Times New Roman"/>
          <w:color w:val="auto"/>
          <w:sz w:val="24"/>
          <w:szCs w:val="24"/>
        </w:rPr>
        <w:t xml:space="preserve"> et al. (2024) </w:t>
      </w:r>
      <w:r w:rsidRPr="008B4AB4">
        <w:rPr>
          <w:rFonts w:ascii="Times New Roman" w:hAnsi="Times New Roman"/>
          <w:color w:val="auto"/>
          <w:sz w:val="24"/>
          <w:szCs w:val="24"/>
          <w:lang w:eastAsia="zh-CN"/>
        </w:rPr>
        <w:t xml:space="preserve">discovered that while the year of cultivation had a greater impact on vitamin C, carotenoids, and anthocyanins, genotype accounted for 38 – 49% of the variation in dry matter, starch, and sugars. Similar genotype differences in dry matter and starch were observed in our study; for example, </w:t>
      </w:r>
      <w:proofErr w:type="spellStart"/>
      <w:r w:rsidRPr="008B4AB4">
        <w:rPr>
          <w:rFonts w:ascii="Times New Roman" w:hAnsi="Times New Roman"/>
          <w:color w:val="auto"/>
          <w:sz w:val="24"/>
          <w:szCs w:val="24"/>
          <w:lang w:eastAsia="zh-CN"/>
        </w:rPr>
        <w:t>Travnik</w:t>
      </w:r>
      <w:proofErr w:type="spellEnd"/>
      <w:r w:rsidRPr="008B4AB4">
        <w:rPr>
          <w:rFonts w:ascii="Times New Roman" w:hAnsi="Times New Roman"/>
          <w:color w:val="auto"/>
          <w:sz w:val="24"/>
          <w:szCs w:val="24"/>
          <w:lang w:eastAsia="zh-CN"/>
        </w:rPr>
        <w:t xml:space="preserve"> consistently displayed high starch while </w:t>
      </w:r>
      <w:proofErr w:type="spellStart"/>
      <w:r w:rsidRPr="008B4AB4">
        <w:rPr>
          <w:rFonts w:ascii="Times New Roman" w:hAnsi="Times New Roman"/>
          <w:color w:val="auto"/>
          <w:sz w:val="24"/>
          <w:szCs w:val="24"/>
          <w:lang w:eastAsia="zh-CN"/>
        </w:rPr>
        <w:t>Olyushka</w:t>
      </w:r>
      <w:proofErr w:type="spellEnd"/>
      <w:r w:rsidRPr="008B4AB4">
        <w:rPr>
          <w:rFonts w:ascii="Times New Roman" w:hAnsi="Times New Roman"/>
          <w:color w:val="auto"/>
          <w:sz w:val="24"/>
          <w:szCs w:val="24"/>
          <w:lang w:eastAsia="zh-CN"/>
        </w:rPr>
        <w:t xml:space="preserve"> consistently showed lower starch, indicating strong genetic control. This aligns with </w:t>
      </w:r>
      <w:proofErr w:type="spellStart"/>
      <w:r w:rsidRPr="008B4AB4">
        <w:rPr>
          <w:rFonts w:ascii="Times New Roman" w:hAnsi="Times New Roman"/>
          <w:color w:val="auto"/>
          <w:sz w:val="24"/>
          <w:szCs w:val="24"/>
          <w:lang w:eastAsia="zh-CN"/>
        </w:rPr>
        <w:t>Solovyeva</w:t>
      </w:r>
      <w:proofErr w:type="spellEnd"/>
      <w:r w:rsidRPr="008B4AB4">
        <w:rPr>
          <w:rFonts w:ascii="Times New Roman" w:hAnsi="Times New Roman"/>
          <w:color w:val="auto"/>
          <w:sz w:val="24"/>
          <w:szCs w:val="24"/>
          <w:lang w:eastAsia="zh-CN"/>
        </w:rPr>
        <w:t xml:space="preserve"> et al. (2024), who reported that antioxidant vitamins varied with seasonal conditions, vitamin C and carotenoids exhibited greater year-to-year fluctuation. </w:t>
      </w:r>
      <w:r w:rsidRPr="008B4AB4">
        <w:rPr>
          <w:rFonts w:ascii="Times New Roman" w:hAnsi="Times New Roman"/>
          <w:color w:val="auto"/>
          <w:sz w:val="24"/>
          <w:szCs w:val="24"/>
        </w:rPr>
        <w:t xml:space="preserve">Samaniego et al. (2020) discovered that variations in potato production were caused by both growth environment and genetics. The genotype is related to more diversity in phytochemical components. They also proposed that using genetic improvement, genotypes with the highest </w:t>
      </w:r>
      <w:proofErr w:type="spellStart"/>
      <w:r w:rsidRPr="008B4AB4">
        <w:rPr>
          <w:rFonts w:ascii="Times New Roman" w:hAnsi="Times New Roman"/>
          <w:color w:val="auto"/>
          <w:sz w:val="24"/>
          <w:szCs w:val="24"/>
        </w:rPr>
        <w:t>biocompound</w:t>
      </w:r>
      <w:proofErr w:type="spellEnd"/>
      <w:r w:rsidRPr="008B4AB4">
        <w:rPr>
          <w:rFonts w:ascii="Times New Roman" w:hAnsi="Times New Roman"/>
          <w:color w:val="auto"/>
          <w:sz w:val="24"/>
          <w:szCs w:val="24"/>
        </w:rPr>
        <w:t xml:space="preserve"> content may be used as progenitors. </w:t>
      </w:r>
      <w:proofErr w:type="spellStart"/>
      <w:r w:rsidRPr="008B4AB4">
        <w:rPr>
          <w:rFonts w:ascii="Times New Roman" w:hAnsi="Times New Roman"/>
          <w:color w:val="auto"/>
          <w:sz w:val="24"/>
          <w:szCs w:val="24"/>
        </w:rPr>
        <w:t>Scavo</w:t>
      </w:r>
      <w:proofErr w:type="spellEnd"/>
      <w:r w:rsidRPr="008B4AB4">
        <w:rPr>
          <w:rFonts w:ascii="Times New Roman" w:hAnsi="Times New Roman"/>
          <w:color w:val="auto"/>
          <w:sz w:val="24"/>
          <w:szCs w:val="24"/>
        </w:rPr>
        <w:t xml:space="preserve"> et al. (2022) also stated that, for optimal farming and genetic development, once a novel genotype is offered for cultivation, the genotype x environment </w:t>
      </w:r>
      <w:r w:rsidRPr="008B4AB4">
        <w:rPr>
          <w:rFonts w:ascii="Times New Roman" w:hAnsi="Times New Roman"/>
          <w:color w:val="auto"/>
          <w:sz w:val="24"/>
          <w:szCs w:val="24"/>
        </w:rPr>
        <w:lastRenderedPageBreak/>
        <w:t>interaction (GEI) with the specific cultivated area should be evaluated. Anthocyanins and phenolics, on the other hand, showed notable G×E effects. It has been demonstrated that environmental elements like climate and altitude have a significant impact on tuber pigment levels. According to reports, pigmented potato anthocyanins rise in high-altitude locations and drastically decrease during drought stress (Liu et al. 2023</w:t>
      </w:r>
      <w:r w:rsidR="00F2389B" w:rsidRPr="008B4AB4">
        <w:rPr>
          <w:rFonts w:ascii="Times New Roman" w:hAnsi="Times New Roman"/>
          <w:color w:val="auto"/>
          <w:sz w:val="24"/>
          <w:szCs w:val="24"/>
        </w:rPr>
        <w:t>; Wu and Xiao 2024</w:t>
      </w:r>
      <w:r w:rsidRPr="008B4AB4">
        <w:rPr>
          <w:rFonts w:ascii="Times New Roman" w:hAnsi="Times New Roman"/>
          <w:color w:val="auto"/>
          <w:sz w:val="24"/>
          <w:szCs w:val="24"/>
        </w:rPr>
        <w:t>). Only in the more favorable environment did colored varieties, such as purple-fleshed clones, accumulate particularly high anthocyanin and phenolic content in this study, suggesting genotype-specific site sensitivity. These results are consistent with reports by Mattoo et al. (2022) that purple potatoes' anthocyanin levels can be significantly lowered by heat or drought. Similar to other multi-environment trials, this study's polysaccharide/phenolic antioxidant activity was genotype-dependent, with pigmented cultivars continuously having higher levels of DPPH and FRAP than white tubers.</w:t>
      </w:r>
    </w:p>
    <w:p w14:paraId="3F9D49ED" w14:textId="77777777" w:rsidR="003C2865" w:rsidRPr="008B4AB4" w:rsidRDefault="003C2865" w:rsidP="003C2865">
      <w:pPr>
        <w:pStyle w:val="MDPI31text"/>
        <w:spacing w:line="360" w:lineRule="auto"/>
        <w:ind w:left="0" w:firstLine="567"/>
        <w:rPr>
          <w:rFonts w:ascii="Times New Roman" w:hAnsi="Times New Roman"/>
          <w:color w:val="auto"/>
          <w:sz w:val="24"/>
          <w:szCs w:val="24"/>
        </w:rPr>
      </w:pPr>
    </w:p>
    <w:p w14:paraId="1029CEB6" w14:textId="4356112C" w:rsidR="003C2865" w:rsidRPr="008B4AB4" w:rsidRDefault="003C2865" w:rsidP="003C2865">
      <w:pPr>
        <w:pStyle w:val="afd"/>
        <w:numPr>
          <w:ilvl w:val="1"/>
          <w:numId w:val="30"/>
        </w:numPr>
        <w:tabs>
          <w:tab w:val="left" w:pos="567"/>
        </w:tabs>
        <w:spacing w:line="360" w:lineRule="auto"/>
        <w:ind w:left="0" w:firstLine="0"/>
        <w:contextualSpacing w:val="0"/>
      </w:pPr>
      <w:r w:rsidRPr="008B4AB4">
        <w:rPr>
          <w:b/>
        </w:rPr>
        <w:t>Dry Matter</w:t>
      </w:r>
    </w:p>
    <w:p w14:paraId="2EEBC5C7" w14:textId="72E3DDE0" w:rsidR="003C2865" w:rsidRPr="008B4AB4" w:rsidRDefault="003C2865" w:rsidP="003C2865">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The primary indicator of potato quality and nutritional value is its chemical composition, particularly the content of key nutrients. The cumulative concentration of these elements is reflected in the "dry matter" parameter. Dry matter content is a varietal trait that can vary significantly depending on the growing conditions, with a reported range of 13–37% (</w:t>
      </w:r>
      <w:proofErr w:type="spellStart"/>
      <w:r w:rsidRPr="008B4AB4">
        <w:rPr>
          <w:rFonts w:ascii="Times New Roman" w:hAnsi="Times New Roman"/>
          <w:color w:val="auto"/>
          <w:sz w:val="24"/>
          <w:szCs w:val="24"/>
        </w:rPr>
        <w:t>Kolyadko</w:t>
      </w:r>
      <w:proofErr w:type="spellEnd"/>
      <w:r w:rsidRPr="008B4AB4">
        <w:rPr>
          <w:rFonts w:ascii="Times New Roman" w:hAnsi="Times New Roman"/>
          <w:color w:val="auto"/>
          <w:sz w:val="24"/>
          <w:szCs w:val="24"/>
        </w:rPr>
        <w:t xml:space="preserve"> 2008). In our study, the breeding samples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showed higher dry matter accumulation compared to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xml:space="preserve">. The sample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had a significantly higher dry matter content (23.2–26.4%) than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xml:space="preserve"> (Table 3).</w:t>
      </w:r>
    </w:p>
    <w:p w14:paraId="260F3CD6" w14:textId="77777777" w:rsidR="003C2865" w:rsidRPr="008B4AB4" w:rsidRDefault="003C2865" w:rsidP="003C2865">
      <w:pPr>
        <w:pStyle w:val="MDPI31text"/>
        <w:spacing w:line="360" w:lineRule="auto"/>
        <w:ind w:left="0" w:firstLine="567"/>
        <w:rPr>
          <w:rFonts w:ascii="Times New Roman" w:hAnsi="Times New Roman"/>
          <w:color w:val="auto"/>
          <w:sz w:val="24"/>
          <w:szCs w:val="24"/>
        </w:rPr>
      </w:pPr>
    </w:p>
    <w:p w14:paraId="319D938B" w14:textId="2A2FCFAA" w:rsidR="003C2865" w:rsidRPr="008B4AB4" w:rsidRDefault="003C2865" w:rsidP="00650ED4">
      <w:pPr>
        <w:pStyle w:val="afd"/>
        <w:numPr>
          <w:ilvl w:val="1"/>
          <w:numId w:val="30"/>
        </w:numPr>
        <w:tabs>
          <w:tab w:val="left" w:pos="567"/>
        </w:tabs>
        <w:spacing w:line="360" w:lineRule="auto"/>
        <w:ind w:left="0" w:firstLine="0"/>
      </w:pPr>
      <w:r w:rsidRPr="008B4AB4">
        <w:rPr>
          <w:b/>
        </w:rPr>
        <w:t>Starch</w:t>
      </w:r>
    </w:p>
    <w:p w14:paraId="0531FF03" w14:textId="00C5724B"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The value of potatoes as a food product is primarily determined by their starch content, which typically constitutes about 70–80% of the dry matter. The relationship between dry matter and starch is relatively constant in potatoes and follows a general rule: the higher the dry matter content, the higher the starch content (Pavlova 2006). On average, edible potato varieties contain 16–20% starch (</w:t>
      </w:r>
      <w:r w:rsidR="00182F60" w:rsidRPr="008B4AB4">
        <w:rPr>
          <w:rFonts w:ascii="Times New Roman" w:hAnsi="Times New Roman"/>
          <w:color w:val="auto"/>
          <w:sz w:val="24"/>
          <w:szCs w:val="24"/>
        </w:rPr>
        <w:t>Burgos et al.</w:t>
      </w:r>
      <w:r w:rsidRPr="008B4AB4">
        <w:rPr>
          <w:rFonts w:ascii="Times New Roman" w:hAnsi="Times New Roman"/>
          <w:color w:val="auto"/>
          <w:sz w:val="24"/>
          <w:szCs w:val="24"/>
        </w:rPr>
        <w:t xml:space="preserve"> 2020). In our study, starch content in the tested varieties ranged from 12.07% to 18.45%. Low starch content (12.07–13.36%) was recorded in the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xml:space="preserve"> variety. In the colored potato varieties, depending on the cultivation site, starch levels were average to above average (Table 3). While the correlation between high dry matter content and high starch content was observed, no statistically significant differences among the accessions were found for this trait (Table 3).</w:t>
      </w:r>
    </w:p>
    <w:p w14:paraId="6A10BC73"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p>
    <w:p w14:paraId="1F1A87FB" w14:textId="703F8D43"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lastRenderedPageBreak/>
        <w:t>Sugars</w:t>
      </w:r>
    </w:p>
    <w:p w14:paraId="57DF79DB"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Sugars in potatoes are mainly represented by glucose (approximately 65% of total sugars), fructose (5%), and sucrose (30%). Maltose is present in minor quantities, typically during sprouting. In addition to free sugars, potatoes also contain sugar phosphates such as glucose-1-phosphate and fructose-6-phosphate. Mature potato tubers generally contain low levels of sugars (0.5–1.5%). In our study, the total sugar content ranged from 0.23% to 1.19%, and the monosaccharide content from 0.09% to 0.98% (Table 3).</w:t>
      </w:r>
    </w:p>
    <w:p w14:paraId="33529FF3" w14:textId="77777777" w:rsidR="003C2865" w:rsidRPr="008B4AB4" w:rsidRDefault="003C2865" w:rsidP="00650ED4">
      <w:pPr>
        <w:pStyle w:val="MDPI31text"/>
        <w:spacing w:line="360" w:lineRule="auto"/>
        <w:ind w:left="0" w:firstLine="567"/>
        <w:rPr>
          <w:rFonts w:ascii="Times New Roman" w:hAnsi="Times New Roman"/>
          <w:b/>
          <w:color w:val="auto"/>
          <w:sz w:val="24"/>
          <w:szCs w:val="24"/>
        </w:rPr>
      </w:pPr>
    </w:p>
    <w:p w14:paraId="03CEFB82" w14:textId="5D0EAA27"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Crude Protein</w:t>
      </w:r>
    </w:p>
    <w:p w14:paraId="36934F9E" w14:textId="6A9E1266" w:rsidR="003C2865" w:rsidRPr="008B4AB4" w:rsidRDefault="003C2865" w:rsidP="00650ED4">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Nitrogen-containing compounds in potatoes account for 1.5–2.5% of tuber mass, with a substantial portion being proteins. The amount of protein nitrogen in tubers is 1.5 to 2 times higher than non-protein nitrogen. The crude protein content in cultivated potato varieties averages 1.76–2.95% on a fresh weight basis (</w:t>
      </w:r>
      <w:r w:rsidR="00182F60" w:rsidRPr="008B4AB4">
        <w:rPr>
          <w:rFonts w:ascii="Times New Roman" w:hAnsi="Times New Roman"/>
          <w:color w:val="auto"/>
          <w:sz w:val="24"/>
        </w:rPr>
        <w:t>Burgos et al.</w:t>
      </w:r>
      <w:r w:rsidRPr="008B4AB4">
        <w:rPr>
          <w:rFonts w:ascii="Times New Roman" w:hAnsi="Times New Roman"/>
          <w:color w:val="auto"/>
          <w:sz w:val="24"/>
        </w:rPr>
        <w:t xml:space="preserve"> 2020). In our study, the protein content among the tested varieties ranged from 1.63% to 2.82%, with no statistically significant differences between samples (Table 3).</w:t>
      </w:r>
    </w:p>
    <w:p w14:paraId="4C622C60"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p>
    <w:p w14:paraId="6D4D3FC1" w14:textId="19F0E2B9"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Ascorbic Acid</w:t>
      </w:r>
    </w:p>
    <w:p w14:paraId="4793C9FF" w14:textId="34617213" w:rsidR="003C2865" w:rsidRPr="008B4AB4" w:rsidRDefault="003C2865" w:rsidP="00650ED4">
      <w:pPr>
        <w:pStyle w:val="MDPI31text"/>
        <w:spacing w:line="360" w:lineRule="auto"/>
        <w:ind w:left="0" w:firstLine="567"/>
        <w:rPr>
          <w:rFonts w:ascii="Times New Roman" w:hAnsi="Times New Roman"/>
          <w:color w:val="auto"/>
          <w:sz w:val="24"/>
        </w:rPr>
      </w:pPr>
      <w:r w:rsidRPr="008B4AB4">
        <w:rPr>
          <w:rFonts w:ascii="Times New Roman" w:hAnsi="Times New Roman"/>
          <w:color w:val="auto"/>
          <w:sz w:val="24"/>
        </w:rPr>
        <w:t>Potato tubers contain several vitamins, including B1 (thiamine), B2 (riboflavin), B3 (pantothenic acid), B6 (pyridoxine), B9 (folic acid), PP (niacin), and, predominantly, vitamin C (ascorbic acid – AA), which plays a key role in the nutritional value of the crop. AA is known for its moderate reducing potential and the low reactivity of its radical form, making it an effective primary antioxidant (Sharova 2016). The highest vitamin C levels in tubers are typically observed shortly after tuber initiation, during the period of rapid growth, and decline as the tubers reach physiological maturity (</w:t>
      </w:r>
      <w:r w:rsidR="001815AA" w:rsidRPr="008B4AB4">
        <w:rPr>
          <w:rFonts w:ascii="Times New Roman" w:hAnsi="Times New Roman"/>
          <w:color w:val="auto"/>
          <w:sz w:val="24"/>
        </w:rPr>
        <w:t>Pavlova</w:t>
      </w:r>
      <w:r w:rsidRPr="008B4AB4">
        <w:rPr>
          <w:rFonts w:ascii="Times New Roman" w:hAnsi="Times New Roman"/>
          <w:color w:val="auto"/>
          <w:sz w:val="24"/>
        </w:rPr>
        <w:t xml:space="preserve"> 2006). In our study, AA content in tubers ranged from 15.63 to 28.29 mg/100 g. However, differences among the varieties were not statistically significant (Table 4). The breeding sample </w:t>
      </w:r>
      <w:proofErr w:type="spellStart"/>
      <w:r w:rsidRPr="008B4AB4">
        <w:rPr>
          <w:rFonts w:ascii="Times New Roman" w:hAnsi="Times New Roman"/>
          <w:color w:val="auto"/>
          <w:sz w:val="24"/>
        </w:rPr>
        <w:t>Tanyusha</w:t>
      </w:r>
      <w:proofErr w:type="spellEnd"/>
      <w:r w:rsidRPr="008B4AB4">
        <w:rPr>
          <w:rFonts w:ascii="Times New Roman" w:hAnsi="Times New Roman"/>
          <w:color w:val="auto"/>
          <w:sz w:val="24"/>
        </w:rPr>
        <w:t xml:space="preserve"> demonstrated the highest AA levels, ranging from 25.24 to 28.29 mg/100 g.</w:t>
      </w:r>
    </w:p>
    <w:p w14:paraId="0BB91149"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p>
    <w:p w14:paraId="55D8C23C" w14:textId="052F7E70"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Total (Titratable) Acidity</w:t>
      </w:r>
    </w:p>
    <w:p w14:paraId="77A051C8"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Organic acids in plants are present in free form or as acidic and neutral salts. The accumulation of particular acids is closely linked to the overall transformation of organic acids during plant development, to the type of metabolism, and its dependence on environmental conditions. Organic acids determine the acidity of potato cell sap. The pH (active acidity) of potatoes typically ranges from 5.6 to 6.2. Potato tubers contain citric, malic, oxalic, </w:t>
      </w:r>
      <w:proofErr w:type="spellStart"/>
      <w:r w:rsidRPr="008B4AB4">
        <w:rPr>
          <w:rFonts w:ascii="Times New Roman" w:hAnsi="Times New Roman"/>
          <w:color w:val="auto"/>
          <w:sz w:val="24"/>
          <w:szCs w:val="24"/>
        </w:rPr>
        <w:t>isocitric</w:t>
      </w:r>
      <w:proofErr w:type="spellEnd"/>
      <w:r w:rsidRPr="008B4AB4">
        <w:rPr>
          <w:rFonts w:ascii="Times New Roman" w:hAnsi="Times New Roman"/>
          <w:color w:val="auto"/>
          <w:sz w:val="24"/>
          <w:szCs w:val="24"/>
        </w:rPr>
        <w:t xml:space="preserve">, </w:t>
      </w:r>
      <w:r w:rsidRPr="008B4AB4">
        <w:rPr>
          <w:rFonts w:ascii="Times New Roman" w:hAnsi="Times New Roman"/>
          <w:color w:val="auto"/>
          <w:sz w:val="24"/>
          <w:szCs w:val="24"/>
        </w:rPr>
        <w:lastRenderedPageBreak/>
        <w:t xml:space="preserve">lactic, pyruvic, tartaric, chlorogenic, </w:t>
      </w:r>
      <w:proofErr w:type="spellStart"/>
      <w:r w:rsidRPr="008B4AB4">
        <w:rPr>
          <w:rFonts w:ascii="Times New Roman" w:hAnsi="Times New Roman"/>
          <w:color w:val="auto"/>
          <w:sz w:val="24"/>
          <w:szCs w:val="24"/>
        </w:rPr>
        <w:t>quinic</w:t>
      </w:r>
      <w:proofErr w:type="spellEnd"/>
      <w:r w:rsidRPr="008B4AB4">
        <w:rPr>
          <w:rFonts w:ascii="Times New Roman" w:hAnsi="Times New Roman"/>
          <w:color w:val="auto"/>
          <w:sz w:val="24"/>
          <w:szCs w:val="24"/>
        </w:rPr>
        <w:t>, and other acids. Potatoes are especially rich in citric and malic acids. The total titratable acidity of potatoes is also influenced by the presence of acidic phosphates.</w:t>
      </w:r>
    </w:p>
    <w:p w14:paraId="5C6E6BA0"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In our study, we measured titratable acidity, which reflects the total amount of free acids and acid salts. In the tested potato varieties, titratable acidity ranged from 0.23% to 0.41% (expressed as citric acid equivalents). The variety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xml:space="preserve"> demonstrated significantly higher total acidity (0.33–0.41%) compared to the pigmented-flesh varieties (Table 3).</w:t>
      </w:r>
    </w:p>
    <w:p w14:paraId="1323D0A4"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p>
    <w:p w14:paraId="6007CC30" w14:textId="5994D1DC"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Pigments</w:t>
      </w:r>
    </w:p>
    <w:p w14:paraId="26313883"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The plant pigment complex is a dynamic system that responds sensitively to environmental changes within the genetically determined framework. Potato tubers generally contain two major classes of pigments: carotenoids and anthocyanins; however, following light exposure, a third class: chlorophylls - can also accumulate. Since tuber color is an important varietal trait, these pigment classes are discussed in greater detail.</w:t>
      </w:r>
    </w:p>
    <w:p w14:paraId="4951C2B8"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p>
    <w:p w14:paraId="60A7F179" w14:textId="6AB3800D"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Potato Carotenoids</w:t>
      </w:r>
    </w:p>
    <w:p w14:paraId="25E786A0" w14:textId="47389B8B"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Potato carotenoids are mainly xanthophylls, whose ester forms account for more than 60% of the total carotenoid content (</w:t>
      </w:r>
      <w:proofErr w:type="spellStart"/>
      <w:r w:rsidRPr="008B4AB4">
        <w:rPr>
          <w:rFonts w:ascii="Times New Roman" w:hAnsi="Times New Roman"/>
          <w:color w:val="auto"/>
          <w:sz w:val="24"/>
          <w:szCs w:val="24"/>
        </w:rPr>
        <w:t>Sturaro</w:t>
      </w:r>
      <w:proofErr w:type="spellEnd"/>
      <w:r w:rsidRPr="008B4AB4">
        <w:rPr>
          <w:rFonts w:ascii="Times New Roman" w:hAnsi="Times New Roman"/>
          <w:color w:val="auto"/>
          <w:sz w:val="24"/>
          <w:szCs w:val="24"/>
        </w:rPr>
        <w:t xml:space="preserve"> 2025). Beta-carotene, an isomer of carotene and a provitamin A, is nutritionally important but is a minor component in most potato varieties, comprising 2–3%, and in some cases up to 5–12% of total carotenoids (Lachman et al. 2016). Among most cultivated varieties, carotenoid content varies from 0.027 to 0.511 mg/100 g (</w:t>
      </w:r>
      <w:proofErr w:type="spellStart"/>
      <w:r w:rsidR="001815AA" w:rsidRPr="008B4AB4">
        <w:rPr>
          <w:rFonts w:ascii="Times New Roman" w:hAnsi="Times New Roman"/>
          <w:color w:val="auto"/>
          <w:sz w:val="24"/>
          <w:szCs w:val="24"/>
        </w:rPr>
        <w:t>Sturaro</w:t>
      </w:r>
      <w:proofErr w:type="spellEnd"/>
      <w:r w:rsidRPr="008B4AB4">
        <w:rPr>
          <w:rFonts w:ascii="Times New Roman" w:hAnsi="Times New Roman"/>
          <w:color w:val="auto"/>
          <w:sz w:val="24"/>
          <w:szCs w:val="24"/>
        </w:rPr>
        <w:t xml:space="preserve"> 2025). In yellow-fleshed varieties, carotenoid content typically ranges from 0.100 to 0.350 mg/100 g and can reach up to 0.700 mg/100 g in intensely yellow varieties (</w:t>
      </w:r>
      <w:r w:rsidR="00F74B07" w:rsidRPr="008B4AB4">
        <w:rPr>
          <w:rFonts w:ascii="Times New Roman" w:hAnsi="Times New Roman"/>
          <w:color w:val="auto"/>
          <w:sz w:val="24"/>
          <w:szCs w:val="24"/>
        </w:rPr>
        <w:t>Lachman et al.</w:t>
      </w:r>
      <w:r w:rsidRPr="008B4AB4">
        <w:rPr>
          <w:rFonts w:ascii="Times New Roman" w:hAnsi="Times New Roman"/>
          <w:color w:val="auto"/>
          <w:sz w:val="24"/>
          <w:szCs w:val="24"/>
        </w:rPr>
        <w:t xml:space="preserve"> 2016). In our study, carotenoid levels in the examined cultivars and breeding lines ranged from 0.15 to 0.74 mg/100 g. The breeding lines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showed significantly higher carotenoid content than the cultivar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(Table 4). In terms of β-carotene content, the line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significantly outperformed all other genotypes (Table 4).</w:t>
      </w:r>
    </w:p>
    <w:p w14:paraId="3E246F88" w14:textId="142D36AA"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Greening of potato tubers, resulting from chlorophyll formation (a class of plastid pigments) due to light exposure, is common and typically accompanied by the synthesis of toxic glycoalkaloids such as solanine and </w:t>
      </w:r>
      <w:proofErr w:type="spellStart"/>
      <w:r w:rsidRPr="008B4AB4">
        <w:rPr>
          <w:rFonts w:ascii="Times New Roman" w:hAnsi="Times New Roman"/>
          <w:color w:val="auto"/>
          <w:sz w:val="24"/>
          <w:szCs w:val="24"/>
        </w:rPr>
        <w:t>chaconine</w:t>
      </w:r>
      <w:proofErr w:type="spellEnd"/>
      <w:r w:rsidRPr="008B4AB4">
        <w:rPr>
          <w:rFonts w:ascii="Times New Roman" w:hAnsi="Times New Roman"/>
          <w:color w:val="auto"/>
          <w:sz w:val="24"/>
          <w:szCs w:val="24"/>
        </w:rPr>
        <w:t xml:space="preserve"> (Burton 1989), making green-colored tubers unsuitable for consumption. Nonetheless, small amounts of chlorophylls can be present in both the flesh and skin of tubers. In our study, chlorophyll content ranged from trace amounts to 0.76 mg/100 g, with no statistically significant differences observed among the potato genotypes.</w:t>
      </w:r>
    </w:p>
    <w:p w14:paraId="16D79238"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p>
    <w:p w14:paraId="671131B4" w14:textId="2349FFF9"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Anthocyanins</w:t>
      </w:r>
    </w:p>
    <w:p w14:paraId="19ACAB8C" w14:textId="1B36DA58"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Anthocyanins are the primary group of pigments found in pigmented-flesh potato tubers. These are vacuolar pigments responsible for red, purple, or deep pink coloration in the skin or flesh of the tuber, often masking the colors produced by carotenoids. The total anthocyanin content in purple-fleshed potato tubers ranges from 63 to 588 mg/100 g fresh weight (Burgos et al. 2013). Anthocyanins are present in the cell sap as glycosides, which, upon hydrolysis, break down into glucose, galactose, rhamnose, and the colored aglycones - anthocyanidins. Although anthocyanins belong to the flavonoid class, most other flavonoids are typically colorless or yellow. The color and distribution of anthocyanin pigmentation across different plant parts are key varietal identification traits in potatoes. The skin may be fully or partially pigmented, and the flesh may be entirely colored or show varying pigment distribution. The color of sprouts developing under natural diffused light also varies by cultivar (Burton 1989). In our study, we examined varieties and samples with purple or red skin and various flesh pigmentation (Table 1). Anthocyanin content in the studied tubers ranged from 2.91–6.94 mg/100 g in the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xml:space="preserve"> variety to 76.86–101.43 mg/100 g in the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breeding sample. The latter showed significantly higher anthocyanin content than the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variety and did not differ significantly from the breeding samples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(Table 4). Quantitatively, our anthocyanin levels are in line with recent reports. Colored potatoes have been found to reach up to 1200 mg/kg in tubers, and indeed we observed very high anthocyanin content in our darkest-fleshed genotypes. These values far exceed those of yellow or light </w:t>
      </w:r>
      <w:proofErr w:type="spellStart"/>
      <w:r w:rsidRPr="008B4AB4">
        <w:rPr>
          <w:rFonts w:ascii="Times New Roman" w:hAnsi="Times New Roman"/>
          <w:color w:val="auto"/>
          <w:sz w:val="24"/>
          <w:szCs w:val="24"/>
        </w:rPr>
        <w:t>coloured</w:t>
      </w:r>
      <w:proofErr w:type="spellEnd"/>
      <w:r w:rsidRPr="008B4AB4">
        <w:rPr>
          <w:rFonts w:ascii="Times New Roman" w:hAnsi="Times New Roman"/>
          <w:color w:val="auto"/>
          <w:sz w:val="24"/>
          <w:szCs w:val="24"/>
        </w:rPr>
        <w:t xml:space="preserve"> varieties, which typically show only ~1–2 mg/kg. Our results that dark </w:t>
      </w:r>
      <w:proofErr w:type="spellStart"/>
      <w:r w:rsidRPr="008B4AB4">
        <w:rPr>
          <w:rFonts w:ascii="Times New Roman" w:hAnsi="Times New Roman"/>
          <w:color w:val="auto"/>
          <w:sz w:val="24"/>
          <w:szCs w:val="24"/>
        </w:rPr>
        <w:t>coloured</w:t>
      </w:r>
      <w:proofErr w:type="spellEnd"/>
      <w:r w:rsidRPr="008B4AB4">
        <w:rPr>
          <w:rFonts w:ascii="Times New Roman" w:hAnsi="Times New Roman"/>
          <w:color w:val="auto"/>
          <w:sz w:val="24"/>
          <w:szCs w:val="24"/>
        </w:rPr>
        <w:t xml:space="preserve"> clones accumulated a large quantity of anthocyanins are thus consistent with </w:t>
      </w:r>
      <w:r w:rsidRPr="008B4AB4">
        <w:rPr>
          <w:rFonts w:ascii="Times New Roman" w:hAnsi="Times New Roman"/>
          <w:color w:val="auto"/>
          <w:sz w:val="24"/>
          <w:szCs w:val="24"/>
          <w:lang w:eastAsia="zh-CN"/>
        </w:rPr>
        <w:t>Kim et al. (2025)</w:t>
      </w:r>
      <w:r w:rsidRPr="008B4AB4">
        <w:rPr>
          <w:rFonts w:ascii="Times New Roman" w:hAnsi="Times New Roman"/>
          <w:color w:val="auto"/>
          <w:sz w:val="24"/>
          <w:szCs w:val="24"/>
        </w:rPr>
        <w:t xml:space="preserve"> findings.</w:t>
      </w:r>
    </w:p>
    <w:p w14:paraId="103DD595"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p>
    <w:p w14:paraId="2F375FB1" w14:textId="57451319"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 xml:space="preserve">Phenolic </w:t>
      </w:r>
      <w:r w:rsidR="00650ED4" w:rsidRPr="008B4AB4">
        <w:rPr>
          <w:b/>
        </w:rPr>
        <w:t>C</w:t>
      </w:r>
      <w:r w:rsidRPr="008B4AB4">
        <w:rPr>
          <w:b/>
        </w:rPr>
        <w:t>ompounds</w:t>
      </w:r>
    </w:p>
    <w:p w14:paraId="7A5EC35E" w14:textId="6482C513"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Phenolic compounds are a diverse group of molecules containing one or more aromatic (benzene) rings bearing one or more hydroxyl groups. Their synthesis is characteristic of plant cells, which are capable of producing tens of thousands of such compounds. The variation in their chemical structure arises from biosynthetic modifications and chemical reactions such as hydroxylation, glycosylation, and the formation of esters and glycosides. The antioxidant activity of phenolics is based on their ability to donate an electron and a proton, forming relatively stable </w:t>
      </w:r>
      <w:proofErr w:type="spellStart"/>
      <w:r w:rsidRPr="008B4AB4">
        <w:rPr>
          <w:rFonts w:ascii="Times New Roman" w:hAnsi="Times New Roman"/>
          <w:color w:val="auto"/>
          <w:sz w:val="24"/>
          <w:szCs w:val="24"/>
        </w:rPr>
        <w:t>phenoxyl</w:t>
      </w:r>
      <w:proofErr w:type="spellEnd"/>
      <w:r w:rsidRPr="008B4AB4">
        <w:rPr>
          <w:rFonts w:ascii="Times New Roman" w:hAnsi="Times New Roman"/>
          <w:color w:val="auto"/>
          <w:sz w:val="24"/>
          <w:szCs w:val="24"/>
        </w:rPr>
        <w:t xml:space="preserve"> radicals capable of delocalizing the unpaired electron (Sharova 2016). Phenolic compounds are secondary plant metabolites, with phenolic acids - primarily </w:t>
      </w:r>
      <w:r w:rsidRPr="008B4AB4">
        <w:rPr>
          <w:rFonts w:ascii="Times New Roman" w:hAnsi="Times New Roman"/>
          <w:color w:val="auto"/>
          <w:sz w:val="24"/>
          <w:szCs w:val="24"/>
        </w:rPr>
        <w:lastRenderedPageBreak/>
        <w:t xml:space="preserve">chlorogenic acid - accounting for up to 90% of the total phenolic content in potatoes (Kim et al. 2019). Overall, potato tubers contain 22.53–85.85 mg GAE/100 g of polyphenols, with significantly higher concentrations found in the peel than in the flesh; in purple-colored varieties, levels can reach up to 209 mg GAE/100 g (Rasheed et al. 2022). In our study, the total soluble phenolic content ranged from 13.97 to 59.34 mg GAE/100 g fresh weight. The highest accumulation was observed in the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breeding sample, which significantly exceeded the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xml:space="preserve"> variety in phenolic content (Table 4).</w:t>
      </w:r>
    </w:p>
    <w:p w14:paraId="2079E496" w14:textId="77777777" w:rsidR="003C2865" w:rsidRPr="008B4AB4" w:rsidRDefault="003C2865" w:rsidP="00650ED4">
      <w:pPr>
        <w:spacing w:line="360" w:lineRule="auto"/>
        <w:ind w:firstLine="567"/>
        <w:rPr>
          <w:b/>
          <w:color w:val="auto"/>
          <w:szCs w:val="24"/>
        </w:rPr>
      </w:pPr>
    </w:p>
    <w:p w14:paraId="7F4316A5" w14:textId="77E65D73" w:rsidR="003C2865" w:rsidRPr="008B4AB4" w:rsidRDefault="003C2865" w:rsidP="00650ED4">
      <w:pPr>
        <w:pStyle w:val="afd"/>
        <w:numPr>
          <w:ilvl w:val="1"/>
          <w:numId w:val="30"/>
        </w:numPr>
        <w:tabs>
          <w:tab w:val="left" w:pos="567"/>
        </w:tabs>
        <w:spacing w:line="360" w:lineRule="auto"/>
        <w:ind w:left="0" w:firstLine="0"/>
        <w:contextualSpacing w:val="0"/>
      </w:pPr>
      <w:r w:rsidRPr="008B4AB4">
        <w:rPr>
          <w:b/>
        </w:rPr>
        <w:t>Antioxidant Activity (AOA)</w:t>
      </w:r>
    </w:p>
    <w:p w14:paraId="4BC8B512" w14:textId="529E29B6"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In recent years, there has been growing interest in the antioxidant activity (AOA) of potatoes, with particularly high values observed in cultivars with pigmented tuber flesh. The main groups of antioxidant compounds present in potato tubers include carotenoids, vitamin E, vitamin C, and phenolic compounds such as phenolic acids and anthocyanins (</w:t>
      </w:r>
      <w:proofErr w:type="spellStart"/>
      <w:r w:rsidRPr="008B4AB4">
        <w:rPr>
          <w:rFonts w:ascii="Times New Roman" w:hAnsi="Times New Roman"/>
          <w:color w:val="auto"/>
          <w:sz w:val="24"/>
          <w:szCs w:val="24"/>
        </w:rPr>
        <w:t>Polivanova</w:t>
      </w:r>
      <w:proofErr w:type="spellEnd"/>
      <w:r w:rsidRPr="008B4AB4">
        <w:rPr>
          <w:rFonts w:ascii="Times New Roman" w:hAnsi="Times New Roman"/>
          <w:color w:val="auto"/>
          <w:sz w:val="24"/>
          <w:szCs w:val="24"/>
        </w:rPr>
        <w:t xml:space="preserve"> </w:t>
      </w:r>
      <w:r w:rsidR="001815AA" w:rsidRPr="008B4AB4">
        <w:rPr>
          <w:rFonts w:ascii="Times New Roman" w:hAnsi="Times New Roman"/>
          <w:color w:val="auto"/>
          <w:sz w:val="24"/>
          <w:szCs w:val="24"/>
        </w:rPr>
        <w:t>and</w:t>
      </w:r>
      <w:r w:rsidRPr="008B4AB4">
        <w:rPr>
          <w:rFonts w:ascii="Times New Roman" w:hAnsi="Times New Roman"/>
          <w:color w:val="auto"/>
          <w:sz w:val="24"/>
          <w:szCs w:val="24"/>
        </w:rPr>
        <w:t xml:space="preserve"> Gins 2019). These compounds help prevent oxidative stress by interrupting the chain reactions of free radical formation, the accumulation of which exacerbates the progression of many diseases and accelerates aging. The AOA of potatoes is comparable to that of tomatoes, carrots, and some leafy vegetables, although lower than that of berries. However, unlike berries, potatoes are available year-round and are consumed globally in much larger quantities, making them a potentially consistent dietary source of antioxidants (</w:t>
      </w:r>
      <w:proofErr w:type="spellStart"/>
      <w:r w:rsidR="00CB7983" w:rsidRPr="008B4AB4">
        <w:rPr>
          <w:rFonts w:ascii="Times New Roman" w:hAnsi="Times New Roman"/>
          <w:color w:val="auto"/>
          <w:sz w:val="24"/>
          <w:szCs w:val="24"/>
        </w:rPr>
        <w:t>Zhevora</w:t>
      </w:r>
      <w:proofErr w:type="spellEnd"/>
      <w:r w:rsidR="00CB7983" w:rsidRPr="008B4AB4">
        <w:rPr>
          <w:rFonts w:ascii="Times New Roman" w:hAnsi="Times New Roman"/>
          <w:color w:val="auto"/>
          <w:sz w:val="24"/>
          <w:szCs w:val="24"/>
        </w:rPr>
        <w:t xml:space="preserve"> et al.</w:t>
      </w:r>
      <w:r w:rsidRPr="008B4AB4">
        <w:rPr>
          <w:rFonts w:ascii="Times New Roman" w:hAnsi="Times New Roman"/>
          <w:color w:val="auto"/>
          <w:sz w:val="24"/>
          <w:szCs w:val="24"/>
        </w:rPr>
        <w:t xml:space="preserve"> 2021). Many studies have shown that the antioxidant activity of potato peel is 2–3 times higher than that of the flesh (</w:t>
      </w:r>
      <w:proofErr w:type="spellStart"/>
      <w:r w:rsidRPr="008B4AB4">
        <w:rPr>
          <w:rFonts w:ascii="Times New Roman" w:hAnsi="Times New Roman"/>
          <w:color w:val="auto"/>
          <w:sz w:val="24"/>
          <w:szCs w:val="24"/>
        </w:rPr>
        <w:t>Zhevora</w:t>
      </w:r>
      <w:proofErr w:type="spellEnd"/>
      <w:r w:rsidRPr="008B4AB4">
        <w:rPr>
          <w:rFonts w:ascii="Times New Roman" w:hAnsi="Times New Roman"/>
          <w:color w:val="auto"/>
          <w:sz w:val="24"/>
          <w:szCs w:val="24"/>
        </w:rPr>
        <w:t xml:space="preserve"> et al. 2021). Additionally, environmental stress during cultivation can increase the antioxidant content in tubers.</w:t>
      </w:r>
    </w:p>
    <w:p w14:paraId="6DD75A90" w14:textId="239F72A8"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In our study, significant differences in AOA levels were observed among the examined potato samples, ranging from 2.82 mg AAE per 100 g in the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xml:space="preserve"> variety (red skin, yellow flesh) to 59.34 mg AAE/100 g in the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breeding sample (red skin, deep pink flesh). The DPPH assay revealed that antioxidant levels in potatoes with red or purple flesh were several times higher than those in yellow-fleshed varieties. These findings correlate with the high content of phenolic compounds in pigmented-flesh genotypes and the low content observed in </w:t>
      </w:r>
      <w:proofErr w:type="spellStart"/>
      <w:r w:rsidRPr="008B4AB4">
        <w:rPr>
          <w:rFonts w:ascii="Times New Roman" w:hAnsi="Times New Roman"/>
          <w:color w:val="auto"/>
          <w:sz w:val="24"/>
          <w:szCs w:val="24"/>
        </w:rPr>
        <w:t>Udovitsky</w:t>
      </w:r>
      <w:proofErr w:type="spellEnd"/>
      <w:r w:rsidRPr="008B4AB4">
        <w:rPr>
          <w:rFonts w:ascii="Times New Roman" w:hAnsi="Times New Roman"/>
          <w:color w:val="auto"/>
          <w:sz w:val="24"/>
          <w:szCs w:val="24"/>
        </w:rPr>
        <w:t>, thereby indirectly confirming the contribution of phenolics to overall AOA. It is worth noting that the average AOA ratio between red- and purple-fleshed groups depends on the specific varieties represented in each group (</w:t>
      </w:r>
      <w:proofErr w:type="spellStart"/>
      <w:r w:rsidR="00F2389B" w:rsidRPr="008B4AB4">
        <w:rPr>
          <w:rFonts w:ascii="Times New Roman" w:hAnsi="Times New Roman"/>
          <w:color w:val="auto"/>
          <w:sz w:val="24"/>
          <w:szCs w:val="24"/>
        </w:rPr>
        <w:t>Hamouz</w:t>
      </w:r>
      <w:proofErr w:type="spellEnd"/>
      <w:r w:rsidR="00F2389B" w:rsidRPr="008B4AB4">
        <w:rPr>
          <w:rFonts w:ascii="Times New Roman" w:hAnsi="Times New Roman"/>
          <w:color w:val="auto"/>
          <w:sz w:val="24"/>
          <w:szCs w:val="24"/>
        </w:rPr>
        <w:t xml:space="preserve"> et al.</w:t>
      </w:r>
      <w:r w:rsidRPr="008B4AB4">
        <w:rPr>
          <w:rFonts w:ascii="Times New Roman" w:hAnsi="Times New Roman"/>
          <w:color w:val="auto"/>
          <w:sz w:val="24"/>
          <w:szCs w:val="24"/>
        </w:rPr>
        <w:t xml:space="preserve"> 2011). The percentage of DPPH radical scavenging ranged from 3.58% in yellow-fleshed varieties to 12–14% in pigmented potato samples (Table 4).</w:t>
      </w:r>
    </w:p>
    <w:p w14:paraId="79BA3D25"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lastRenderedPageBreak/>
        <w:t>Our experiments confirmed the influence of environmental conditions (i.e., growing location) on the biochemical composition of the tubers. Differences between samples cultivated in the Kostanay region and the Leningrad region were observed in terms of nutritional value - including dry matter, sugars, starch, and protein content - as well as in levels of biologically active compounds such as pigments (carotenoids, anthocyanins, and chlorophyll B) and phenolics (Tables 3 and 4). Colored-flesh tubers grown in Kostanay region on alkaline black soil contained significantly higher levels of dry matter, starch, and protein, but lower levels of monosaccharides and carotenoids compared to those grown in Leningrad region on slightly acidic loamy soils. These differences were statistically significant: the F-values (Fisher’s criterion) were 7.29, 4.37, 5.38, 7.70, and 5.44, respectively, at p &lt; 0.01.</w:t>
      </w:r>
    </w:p>
    <w:p w14:paraId="78C8B7F0" w14:textId="57B3DA33"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Colored-flesh potato breeding samples developed in Kazakhstan: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when cultivated under the conditions of the Leningrad region, exceeded the regional variety </w:t>
      </w:r>
      <w:proofErr w:type="spellStart"/>
      <w:r w:rsidRPr="008B4AB4">
        <w:rPr>
          <w:rFonts w:ascii="Times New Roman" w:hAnsi="Times New Roman"/>
          <w:color w:val="auto"/>
          <w:sz w:val="24"/>
          <w:szCs w:val="24"/>
        </w:rPr>
        <w:t>Fioletovy</w:t>
      </w:r>
      <w:proofErr w:type="spellEnd"/>
      <w:r w:rsidRPr="008B4AB4">
        <w:rPr>
          <w:rFonts w:ascii="Times New Roman" w:hAnsi="Times New Roman"/>
          <w:color w:val="auto"/>
          <w:sz w:val="24"/>
          <w:szCs w:val="24"/>
        </w:rPr>
        <w:t xml:space="preserve"> in terms of nutritional value and the content of biologically active compounds. Based on multi-year studies, the tubers of the </w:t>
      </w:r>
      <w:proofErr w:type="spellStart"/>
      <w:r w:rsidRPr="008B4AB4">
        <w:rPr>
          <w:rFonts w:ascii="Times New Roman" w:hAnsi="Times New Roman"/>
          <w:color w:val="auto"/>
          <w:sz w:val="24"/>
          <w:szCs w:val="24"/>
        </w:rPr>
        <w:t>Fioletovy</w:t>
      </w:r>
      <w:proofErr w:type="spellEnd"/>
      <w:r w:rsidRPr="008B4AB4">
        <w:rPr>
          <w:rFonts w:ascii="Times New Roman" w:hAnsi="Times New Roman"/>
          <w:color w:val="auto"/>
          <w:sz w:val="24"/>
          <w:szCs w:val="24"/>
        </w:rPr>
        <w:t xml:space="preserve"> variety grown at the experimental site of the Pushkin Laboratories of the N.I. Vavilov Institute (VIR) contained 19.7% dry matter, 12.7% starch, 1.99% protein, 0.49% sugars, 16.3 mg/100 g vitamin C, 0.47 mg/100 g carotenoids, and 102 mg/100 g anthocyanins (</w:t>
      </w:r>
      <w:proofErr w:type="spellStart"/>
      <w:r w:rsidRPr="008B4AB4">
        <w:rPr>
          <w:rFonts w:ascii="Times New Roman" w:hAnsi="Times New Roman"/>
          <w:color w:val="auto"/>
          <w:sz w:val="24"/>
          <w:szCs w:val="24"/>
        </w:rPr>
        <w:t>Solovyeva</w:t>
      </w:r>
      <w:proofErr w:type="spellEnd"/>
      <w:r w:rsidRPr="008B4AB4">
        <w:rPr>
          <w:rFonts w:ascii="Times New Roman" w:hAnsi="Times New Roman"/>
          <w:color w:val="auto"/>
          <w:sz w:val="24"/>
          <w:szCs w:val="24"/>
        </w:rPr>
        <w:t xml:space="preserve"> et al. 2024). Compared to </w:t>
      </w:r>
      <w:proofErr w:type="spellStart"/>
      <w:r w:rsidRPr="008B4AB4">
        <w:rPr>
          <w:rFonts w:ascii="Times New Roman" w:hAnsi="Times New Roman"/>
          <w:color w:val="auto"/>
          <w:sz w:val="24"/>
          <w:szCs w:val="24"/>
        </w:rPr>
        <w:t>Fioletovy</w:t>
      </w:r>
      <w:proofErr w:type="spellEnd"/>
      <w:r w:rsidRPr="008B4AB4">
        <w:rPr>
          <w:rFonts w:ascii="Times New Roman" w:hAnsi="Times New Roman"/>
          <w:color w:val="auto"/>
          <w:sz w:val="24"/>
          <w:szCs w:val="24"/>
        </w:rPr>
        <w:t xml:space="preserve">, all tested Kazakh breeding samples with pigmented flesh had higher contents of dry matter, starch, and sugars; the samples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contained 1.5 times more vitamin C and elevated carotenoid levels. The anthocyanin content in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was comparable to that of </w:t>
      </w:r>
      <w:proofErr w:type="spellStart"/>
      <w:r w:rsidRPr="008B4AB4">
        <w:rPr>
          <w:rFonts w:ascii="Times New Roman" w:hAnsi="Times New Roman"/>
          <w:color w:val="auto"/>
          <w:sz w:val="24"/>
          <w:szCs w:val="24"/>
        </w:rPr>
        <w:t>Fioletovy</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Fioletovy</w:t>
      </w:r>
      <w:proofErr w:type="spellEnd"/>
      <w:r w:rsidRPr="008B4AB4">
        <w:rPr>
          <w:rFonts w:ascii="Times New Roman" w:hAnsi="Times New Roman"/>
          <w:color w:val="auto"/>
          <w:sz w:val="24"/>
          <w:szCs w:val="24"/>
        </w:rPr>
        <w:t xml:space="preserve"> is a mid-late maturity variety recommended for cultivation in the Northwestern and Central regions of Russia. When grown in the Moscow region (Central Federal District), tubers of </w:t>
      </w:r>
      <w:proofErr w:type="spellStart"/>
      <w:r w:rsidRPr="008B4AB4">
        <w:rPr>
          <w:rFonts w:ascii="Times New Roman" w:hAnsi="Times New Roman"/>
          <w:color w:val="auto"/>
          <w:sz w:val="24"/>
          <w:szCs w:val="24"/>
        </w:rPr>
        <w:t>Fioletovy</w:t>
      </w:r>
      <w:proofErr w:type="spellEnd"/>
      <w:r w:rsidRPr="008B4AB4">
        <w:rPr>
          <w:rFonts w:ascii="Times New Roman" w:hAnsi="Times New Roman"/>
          <w:color w:val="auto"/>
          <w:sz w:val="24"/>
          <w:szCs w:val="24"/>
        </w:rPr>
        <w:t xml:space="preserve"> also exhibited relatively low dry matter content (13.9–15.9%), although protein and vitamin C levels increased to 3.2–3.9% and 24.2–25.8 mg/100 g, respectively (</w:t>
      </w:r>
      <w:proofErr w:type="spellStart"/>
      <w:r w:rsidRPr="008B4AB4">
        <w:rPr>
          <w:rFonts w:ascii="Times New Roman" w:hAnsi="Times New Roman"/>
          <w:color w:val="auto"/>
          <w:sz w:val="24"/>
          <w:szCs w:val="24"/>
        </w:rPr>
        <w:t>Simakov</w:t>
      </w:r>
      <w:proofErr w:type="spellEnd"/>
      <w:r w:rsidRPr="008B4AB4">
        <w:rPr>
          <w:rFonts w:ascii="Times New Roman" w:hAnsi="Times New Roman"/>
          <w:color w:val="auto"/>
          <w:sz w:val="24"/>
          <w:szCs w:val="24"/>
        </w:rPr>
        <w:t xml:space="preserve"> et al. 2020). In the Leningrad region, this variety may not have had sufficient time to form a high-quality tuber yield due to its longer vegetation period. The breeding samples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significantly outperformed the regional variety </w:t>
      </w:r>
      <w:proofErr w:type="spellStart"/>
      <w:r w:rsidRPr="008B4AB4">
        <w:rPr>
          <w:rFonts w:ascii="Times New Roman" w:hAnsi="Times New Roman"/>
          <w:color w:val="auto"/>
          <w:sz w:val="24"/>
          <w:szCs w:val="24"/>
        </w:rPr>
        <w:t>Fioletovy</w:t>
      </w:r>
      <w:proofErr w:type="spellEnd"/>
      <w:r w:rsidRPr="008B4AB4">
        <w:rPr>
          <w:rFonts w:ascii="Times New Roman" w:hAnsi="Times New Roman"/>
          <w:color w:val="auto"/>
          <w:sz w:val="24"/>
          <w:szCs w:val="24"/>
        </w:rPr>
        <w:t xml:space="preserve"> in yield and were characterized by high nutritional value and a complex of bioactive compounds in tubers, making them recommended for cultivation under the conditions of the Leningrad region. </w:t>
      </w:r>
    </w:p>
    <w:p w14:paraId="474569FF" w14:textId="1ECC8632"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Soil and climatic conditions during the growing season have a substantial impact on the nutritional quality and content of biologically active compounds in potato tubers (</w:t>
      </w:r>
      <w:proofErr w:type="spellStart"/>
      <w:r w:rsidRPr="008B4AB4">
        <w:rPr>
          <w:rFonts w:ascii="Times New Roman" w:hAnsi="Times New Roman"/>
          <w:color w:val="auto"/>
          <w:sz w:val="24"/>
          <w:szCs w:val="24"/>
        </w:rPr>
        <w:t>Solovyeva</w:t>
      </w:r>
      <w:proofErr w:type="spellEnd"/>
      <w:r w:rsidRPr="008B4AB4">
        <w:rPr>
          <w:rFonts w:ascii="Times New Roman" w:hAnsi="Times New Roman"/>
          <w:color w:val="auto"/>
          <w:sz w:val="24"/>
          <w:szCs w:val="24"/>
        </w:rPr>
        <w:t xml:space="preserve"> et al. 2024). In our study, colored-flesh varieties and breeding samples showed a wide range of variation in sugar, chlorophyll, phenolic compound, and anthocyanin content: depending on </w:t>
      </w:r>
      <w:r w:rsidRPr="008B4AB4">
        <w:rPr>
          <w:rFonts w:ascii="Times New Roman" w:hAnsi="Times New Roman"/>
          <w:color w:val="auto"/>
          <w:sz w:val="24"/>
          <w:szCs w:val="24"/>
        </w:rPr>
        <w:lastRenderedPageBreak/>
        <w:t xml:space="preserve">the location and year of harvest, the coefficient of variation ranged from 41.5% to 78.8%. The accumulation of dry matter, monosaccharides, starch, protein, and carotenoids depended on the interaction between two factors: genotype (variety) and environment (growing conditions), indicating that these biochemical traits in colored-flesh potatoes are determined by the cultivar's response to environmental conditions. The effect of genotype was particularly evident in the two closely related samples,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(Table 1). When grown in the Leningrad region, these lines showed significant differences in yield, number of tubers, and β-carotene content (Tables 2, 4; Figs 2, 3). Varieties with a stable biochemical composition across different environments are of particular interest to consumers. In our experiments, the nutritional value of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tubers (dry matter and starch content) and the levels of carotenoids and phenolic compounds in the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sample remained relatively stable under contrasting soil and climatic conditions.</w:t>
      </w:r>
    </w:p>
    <w:p w14:paraId="4D00468F"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Between 2021 and 2024, the varietal specificity of tuber chemical composition as a response to growing conditions was observed in colored potato genotypes grown in the Kostanay region. In both years, high air temperatures and a lack of precipitation were recorded in August during the tuber bulking period. Under these conditions, the ranking order of the three genotypes: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 in terms of dry matter and starch content remained consistent. The highest dry matter content (26.9 and 24.5%) and starch content (19.2–15.9%) were recorded in the breeding line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The lowest dry matter (21.3 and 21.5%) and starch content (15.8–14.9%) among these three samples were found in the variety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w:t>
      </w:r>
    </w:p>
    <w:p w14:paraId="1E9FBD82"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 xml:space="preserve">A distinctive feature of the breeding sample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is its highest anthocyanin content among all studied potato genotypes. The tubers of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have pink-colored flesh, similar to the breeding samples </w:t>
      </w:r>
      <w:proofErr w:type="spellStart"/>
      <w:r w:rsidRPr="008B4AB4">
        <w:rPr>
          <w:rFonts w:ascii="Times New Roman" w:hAnsi="Times New Roman"/>
          <w:color w:val="auto"/>
          <w:sz w:val="24"/>
          <w:szCs w:val="24"/>
        </w:rPr>
        <w:t>Tanyusha</w:t>
      </w:r>
      <w:proofErr w:type="spellEnd"/>
      <w:r w:rsidRPr="008B4AB4">
        <w:rPr>
          <w:rFonts w:ascii="Times New Roman" w:hAnsi="Times New Roman"/>
          <w:color w:val="auto"/>
          <w:sz w:val="24"/>
          <w:szCs w:val="24"/>
        </w:rPr>
        <w:t xml:space="preserve"> and </w:t>
      </w:r>
      <w:proofErr w:type="spellStart"/>
      <w:r w:rsidRPr="008B4AB4">
        <w:rPr>
          <w:rFonts w:ascii="Times New Roman" w:hAnsi="Times New Roman"/>
          <w:color w:val="auto"/>
          <w:sz w:val="24"/>
          <w:szCs w:val="24"/>
        </w:rPr>
        <w:t>Travnik</w:t>
      </w:r>
      <w:proofErr w:type="spellEnd"/>
      <w:r w:rsidRPr="008B4AB4">
        <w:rPr>
          <w:rFonts w:ascii="Times New Roman" w:hAnsi="Times New Roman"/>
          <w:color w:val="auto"/>
          <w:sz w:val="24"/>
          <w:szCs w:val="24"/>
        </w:rPr>
        <w:t xml:space="preserve">. However, in terms of anthocyanin concentration,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significantly exceeded both of them (Fig. 1, Table 4). Further investigation into the anthocyanin composition in colored-flesh potato cultivars is of particular interest. Under the environmental conditions of the Kostanay region, the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breeding sample showed the highest levels of bioactive compounds, including carotenoids (especially beta-carotene), phenolic compounds, and anthocyanins. No statistically significant differences in yield were observed between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and the other two newly developed colored potato genotypes compared to the </w:t>
      </w:r>
      <w:proofErr w:type="spellStart"/>
      <w:r w:rsidRPr="008B4AB4">
        <w:rPr>
          <w:rFonts w:ascii="Times New Roman" w:hAnsi="Times New Roman"/>
          <w:color w:val="auto"/>
          <w:sz w:val="24"/>
          <w:szCs w:val="24"/>
        </w:rPr>
        <w:t>Kiru</w:t>
      </w:r>
      <w:proofErr w:type="spellEnd"/>
      <w:r w:rsidRPr="008B4AB4">
        <w:rPr>
          <w:rFonts w:ascii="Times New Roman" w:hAnsi="Times New Roman"/>
          <w:color w:val="auto"/>
          <w:sz w:val="24"/>
          <w:szCs w:val="24"/>
        </w:rPr>
        <w:t xml:space="preserve"> variety when cultivated in the Kostanay region. Thus, the </w:t>
      </w:r>
      <w:proofErr w:type="spellStart"/>
      <w:r w:rsidRPr="008B4AB4">
        <w:rPr>
          <w:rFonts w:ascii="Times New Roman" w:hAnsi="Times New Roman"/>
          <w:color w:val="auto"/>
          <w:sz w:val="24"/>
          <w:szCs w:val="24"/>
        </w:rPr>
        <w:t>Olyushka</w:t>
      </w:r>
      <w:proofErr w:type="spellEnd"/>
      <w:r w:rsidRPr="008B4AB4">
        <w:rPr>
          <w:rFonts w:ascii="Times New Roman" w:hAnsi="Times New Roman"/>
          <w:color w:val="auto"/>
          <w:sz w:val="24"/>
          <w:szCs w:val="24"/>
        </w:rPr>
        <w:t xml:space="preserve"> breeding sample appears to be the most promising candidate for cultivation and application in functional and dietary nutrition. Although this study provides an overview of colored potato cultivars, it has a number of significant limitations that limit how broadly its conclusions can be applied and point to evident possibilities for further research. Only four </w:t>
      </w:r>
      <w:r w:rsidRPr="008B4AB4">
        <w:rPr>
          <w:rFonts w:ascii="Times New Roman" w:hAnsi="Times New Roman"/>
          <w:color w:val="auto"/>
          <w:sz w:val="24"/>
          <w:szCs w:val="24"/>
        </w:rPr>
        <w:lastRenderedPageBreak/>
        <w:t>genotypes were tested across two sites, which limited the results' wider applicability and highlighted the need for more comprehensive multi-environment trials to accurately quantify genotype-by-environment (G×E) interactions and identify stable performers. </w:t>
      </w:r>
    </w:p>
    <w:p w14:paraId="7135EABB" w14:textId="77777777" w:rsidR="003C2865"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Furthermore, the genetic basis for observed traits is still unknown due to the lack of molecular analysis; this gap could be filled by combining transcriptomics and genomics to find important regulatory genes. Furthermore, some G×E patterns may be explained by unmeasured variables like soil moisture or nutrient levels, suggesting future factorial experiments to analyze management effects. However, the focus on raw tubers alone raises questions about how processing and storage affect nutritional quality.</w:t>
      </w:r>
    </w:p>
    <w:p w14:paraId="021CFA65" w14:textId="071C1285" w:rsidR="00397A3C" w:rsidRPr="008B4AB4" w:rsidRDefault="003C2865" w:rsidP="00650ED4">
      <w:pPr>
        <w:pStyle w:val="MDPI31text"/>
        <w:spacing w:line="360" w:lineRule="auto"/>
        <w:ind w:left="0" w:firstLine="567"/>
        <w:rPr>
          <w:rFonts w:ascii="Times New Roman" w:hAnsi="Times New Roman"/>
          <w:color w:val="auto"/>
          <w:sz w:val="24"/>
          <w:szCs w:val="24"/>
        </w:rPr>
      </w:pPr>
      <w:r w:rsidRPr="008B4AB4">
        <w:rPr>
          <w:rFonts w:ascii="Times New Roman" w:hAnsi="Times New Roman"/>
          <w:color w:val="auto"/>
          <w:sz w:val="24"/>
          <w:szCs w:val="24"/>
        </w:rPr>
        <w:t>Longer-term trials are necessary to fully capture climate impacts, even though the three-year dataset may still reflect unique seasonal conditions. Building on these limitations, future directions should include expanded testing across diverse sites and years, coupled with molecular profiling to enable marker-assisted breeding. Research should also evaluate additional quality traits and post-harvest stability, deliberately test cultivars under controlled abiotic stresses to quantify biochemical responses, and use advanced statistical analyses to inform breeding strategies for developing resilient, high-nutrient colored potatoes (</w:t>
      </w:r>
      <w:proofErr w:type="spellStart"/>
      <w:r w:rsidRPr="008B4AB4">
        <w:rPr>
          <w:rFonts w:ascii="Times New Roman" w:hAnsi="Times New Roman"/>
          <w:color w:val="auto"/>
          <w:sz w:val="24"/>
          <w:szCs w:val="24"/>
        </w:rPr>
        <w:t>Kwambai</w:t>
      </w:r>
      <w:proofErr w:type="spellEnd"/>
      <w:r w:rsidRPr="008B4AB4">
        <w:rPr>
          <w:rFonts w:ascii="Times New Roman" w:hAnsi="Times New Roman"/>
          <w:color w:val="auto"/>
          <w:sz w:val="24"/>
          <w:szCs w:val="24"/>
        </w:rPr>
        <w:t xml:space="preserve"> et al. 2023)</w:t>
      </w:r>
      <w:r w:rsidR="00397A3C" w:rsidRPr="008B4AB4">
        <w:rPr>
          <w:rFonts w:ascii="Times New Roman" w:hAnsi="Times New Roman"/>
          <w:color w:val="auto"/>
          <w:sz w:val="24"/>
          <w:szCs w:val="24"/>
        </w:rPr>
        <w:t>.</w:t>
      </w:r>
    </w:p>
    <w:p w14:paraId="2CBEB07C" w14:textId="77777777" w:rsidR="00397A3C" w:rsidRPr="008B4AB4" w:rsidRDefault="00397A3C" w:rsidP="00650ED4">
      <w:pPr>
        <w:pStyle w:val="MDPI31text"/>
        <w:spacing w:line="360" w:lineRule="auto"/>
        <w:ind w:left="0" w:firstLine="567"/>
        <w:rPr>
          <w:rFonts w:ascii="Times New Roman" w:hAnsi="Times New Roman"/>
          <w:color w:val="auto"/>
          <w:sz w:val="24"/>
          <w:szCs w:val="24"/>
        </w:rPr>
      </w:pPr>
    </w:p>
    <w:p w14:paraId="2A855CF1" w14:textId="4E548E21" w:rsidR="00397A3C" w:rsidRPr="008B4AB4"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8B4AB4">
        <w:rPr>
          <w:rFonts w:ascii="Times New Roman" w:hAnsi="Times New Roman"/>
          <w:color w:val="auto"/>
          <w:sz w:val="24"/>
          <w:szCs w:val="24"/>
        </w:rPr>
        <w:t>CONCLUSION</w:t>
      </w:r>
    </w:p>
    <w:p w14:paraId="3A425B3F" w14:textId="15100EC4" w:rsidR="00397A3C" w:rsidRPr="008B4AB4" w:rsidRDefault="000A1D98" w:rsidP="000A1D98">
      <w:pPr>
        <w:pStyle w:val="afa"/>
        <w:spacing w:line="360" w:lineRule="auto"/>
        <w:ind w:firstLine="567"/>
        <w:rPr>
          <w:color w:val="auto"/>
        </w:rPr>
      </w:pPr>
      <w:r w:rsidRPr="008B4AB4">
        <w:rPr>
          <w:color w:val="auto"/>
        </w:rPr>
        <w:t xml:space="preserve">Based on the evaluation data of potato varieties and breeding samples with pigmented flesh: Kiru, Travnik, Tanyusha, and Olyushka, in terms of yield, nutritional value, and bioactive compound content, the most promising lines for cultivation under the conditions of the Leningrad region are Travnik and Tanyusha, while under the conditions of the Kostanay region, the Olyushka breeding sample is the most suitable. The study provides a clear genetic roadmap for breeders by identifying potato varieties with stable, high-value biochemical traits, such as the high anthocyanin content and yield of Olyushka in Kazakhstan and Travnik and Tanyusha in Russia. The research focus can be shifted to improve these genetic lines for increased trait consistency and environmental adaptability, thereby hastening the creation of nutrient-dense, regionally adapted cultivars. These colored/pigmented potatoes, which are nutrient-rich without genetic modification, spurs a shift for consumers from staple nutrition to functional foods. This notion aligns with the global trend of seeking natural dietary wellness solutions. Cultivating colored potato varieties are industrially relevant as they can start new markets for </w:t>
      </w:r>
      <w:r w:rsidRPr="008B4AB4">
        <w:rPr>
          <w:color w:val="auto"/>
        </w:rPr>
        <w:lastRenderedPageBreak/>
        <w:t>premium fresh produce, natural colorants, and functional ingredients, thereby increasing producer profitability</w:t>
      </w:r>
      <w:r w:rsidR="00397A3C" w:rsidRPr="008B4AB4">
        <w:rPr>
          <w:color w:val="auto"/>
        </w:rPr>
        <w:t>.</w:t>
      </w:r>
    </w:p>
    <w:p w14:paraId="1EB34533" w14:textId="77777777" w:rsidR="00397A3C" w:rsidRPr="008B4AB4" w:rsidRDefault="00397A3C" w:rsidP="000A1D98">
      <w:pPr>
        <w:pStyle w:val="MDPI31text"/>
        <w:spacing w:line="360" w:lineRule="auto"/>
        <w:ind w:left="0" w:firstLine="567"/>
        <w:rPr>
          <w:rFonts w:ascii="Times New Roman" w:hAnsi="Times New Roman"/>
          <w:color w:val="auto"/>
          <w:sz w:val="24"/>
          <w:szCs w:val="24"/>
        </w:rPr>
      </w:pPr>
    </w:p>
    <w:p w14:paraId="5E7269AD" w14:textId="71E521FD" w:rsidR="00397A3C" w:rsidRPr="008B4AB4" w:rsidRDefault="00397A3C" w:rsidP="00320A9D">
      <w:pPr>
        <w:pStyle w:val="MDPI31text"/>
        <w:spacing w:line="360" w:lineRule="auto"/>
        <w:ind w:left="0" w:firstLine="0"/>
        <w:rPr>
          <w:rFonts w:ascii="Times New Roman" w:hAnsi="Times New Roman"/>
          <w:color w:val="auto"/>
          <w:sz w:val="24"/>
          <w:szCs w:val="24"/>
        </w:rPr>
      </w:pPr>
      <w:r w:rsidRPr="008B4AB4">
        <w:rPr>
          <w:rFonts w:ascii="Times New Roman" w:hAnsi="Times New Roman"/>
          <w:b/>
          <w:bCs/>
          <w:color w:val="auto"/>
          <w:sz w:val="24"/>
          <w:szCs w:val="24"/>
        </w:rPr>
        <w:t>F</w:t>
      </w:r>
      <w:r w:rsidR="00F4777F" w:rsidRPr="008B4AB4">
        <w:rPr>
          <w:rFonts w:ascii="Times New Roman" w:hAnsi="Times New Roman"/>
          <w:b/>
          <w:bCs/>
          <w:color w:val="auto"/>
          <w:sz w:val="24"/>
          <w:szCs w:val="24"/>
        </w:rPr>
        <w:t>unding</w:t>
      </w:r>
      <w:r w:rsidRPr="008B4AB4">
        <w:rPr>
          <w:rFonts w:ascii="Times New Roman" w:hAnsi="Times New Roman"/>
          <w:b/>
          <w:bCs/>
          <w:color w:val="auto"/>
          <w:sz w:val="24"/>
          <w:szCs w:val="24"/>
        </w:rPr>
        <w:t>:</w:t>
      </w:r>
      <w:r w:rsidRPr="008B4AB4">
        <w:rPr>
          <w:rFonts w:ascii="Times New Roman" w:hAnsi="Times New Roman"/>
          <w:color w:val="auto"/>
          <w:sz w:val="24"/>
          <w:szCs w:val="24"/>
        </w:rPr>
        <w:t xml:space="preserve"> </w:t>
      </w:r>
      <w:r w:rsidR="000A1D98" w:rsidRPr="008B4AB4">
        <w:rPr>
          <w:rFonts w:ascii="Times New Roman" w:hAnsi="Times New Roman"/>
          <w:color w:val="auto"/>
          <w:sz w:val="24"/>
          <w:szCs w:val="24"/>
        </w:rPr>
        <w:t>State funding source(s) with grant number and sponsoring agency/organization. If you did not get any financial support from any agency/organization, write, "This study did not get any financial support from any organization/agency."</w:t>
      </w:r>
    </w:p>
    <w:p w14:paraId="0F07663D" w14:textId="77777777" w:rsidR="00D772AE" w:rsidRPr="008B4AB4" w:rsidRDefault="00D772AE" w:rsidP="00D772AE">
      <w:pPr>
        <w:pStyle w:val="MDPI31text"/>
        <w:spacing w:line="360" w:lineRule="auto"/>
        <w:ind w:left="0" w:firstLine="0"/>
        <w:rPr>
          <w:rFonts w:ascii="Times New Roman" w:hAnsi="Times New Roman"/>
          <w:color w:val="auto"/>
          <w:sz w:val="24"/>
          <w:szCs w:val="24"/>
        </w:rPr>
      </w:pPr>
    </w:p>
    <w:p w14:paraId="29E9DC92" w14:textId="1B748AB1" w:rsidR="00D772AE" w:rsidRPr="008B4AB4" w:rsidRDefault="00D772AE" w:rsidP="00D772AE">
      <w:pPr>
        <w:spacing w:line="360" w:lineRule="auto"/>
        <w:rPr>
          <w:color w:val="auto"/>
          <w:szCs w:val="24"/>
        </w:rPr>
      </w:pPr>
      <w:r w:rsidRPr="008B4AB4">
        <w:rPr>
          <w:b/>
          <w:color w:val="auto"/>
          <w:szCs w:val="24"/>
        </w:rPr>
        <w:t xml:space="preserve">Acknowledgments: </w:t>
      </w:r>
      <w:bookmarkStart w:id="0" w:name="OLE_LINK3"/>
      <w:bookmarkStart w:id="1" w:name="OLE_LINK4"/>
      <w:r w:rsidR="00C21019" w:rsidRPr="008B4AB4">
        <w:rPr>
          <w:bCs/>
          <w:color w:val="auto"/>
          <w:szCs w:val="28"/>
        </w:rPr>
        <w:t>This work was financially supported within the framework of the project of the Ministry of Education and Science of the Republic of Kazakhstan (2024-2026) on the IRN AP23485559 “Potato with colored flesh for Northern Kazakhstan: selection of varieties and hybrids, creation of biologized protection technology”</w:t>
      </w:r>
      <w:r w:rsidRPr="008B4AB4">
        <w:rPr>
          <w:color w:val="auto"/>
          <w:szCs w:val="24"/>
        </w:rPr>
        <w:t>.</w:t>
      </w:r>
    </w:p>
    <w:p w14:paraId="37F09D06" w14:textId="77777777" w:rsidR="00D772AE" w:rsidRPr="008B4AB4" w:rsidRDefault="00D772AE" w:rsidP="00D772AE">
      <w:pPr>
        <w:spacing w:line="360" w:lineRule="auto"/>
        <w:rPr>
          <w:color w:val="auto"/>
          <w:szCs w:val="24"/>
        </w:rPr>
      </w:pPr>
    </w:p>
    <w:bookmarkEnd w:id="0"/>
    <w:bookmarkEnd w:id="1"/>
    <w:p w14:paraId="34F2A868" w14:textId="5440C5A3" w:rsidR="00F4777F" w:rsidRPr="008B4AB4" w:rsidRDefault="00F4777F" w:rsidP="00374E79">
      <w:pPr>
        <w:spacing w:line="360" w:lineRule="auto"/>
        <w:rPr>
          <w:color w:val="auto"/>
        </w:rPr>
      </w:pPr>
      <w:r w:rsidRPr="008B4AB4">
        <w:rPr>
          <w:b/>
          <w:color w:val="auto"/>
        </w:rPr>
        <w:t xml:space="preserve">Conflict of Interest: </w:t>
      </w:r>
      <w:r w:rsidR="00D54155" w:rsidRPr="008B4AB4">
        <w:rPr>
          <w:color w:val="auto"/>
        </w:rPr>
        <w:t>The authors declare no conflicts of interest</w:t>
      </w:r>
      <w:r w:rsidRPr="008B4AB4">
        <w:rPr>
          <w:color w:val="auto"/>
        </w:rPr>
        <w:t>.</w:t>
      </w:r>
    </w:p>
    <w:p w14:paraId="23D6B474" w14:textId="77777777" w:rsidR="00F4777F" w:rsidRPr="008B4AB4" w:rsidRDefault="00F4777F" w:rsidP="00374E79">
      <w:pPr>
        <w:spacing w:line="360" w:lineRule="auto"/>
        <w:rPr>
          <w:color w:val="auto"/>
        </w:rPr>
      </w:pPr>
    </w:p>
    <w:p w14:paraId="25A24650" w14:textId="57575085" w:rsidR="00F4777F" w:rsidRPr="008B4AB4" w:rsidRDefault="00F4777F" w:rsidP="00374E79">
      <w:pPr>
        <w:spacing w:line="360" w:lineRule="auto"/>
        <w:rPr>
          <w:color w:val="auto"/>
        </w:rPr>
      </w:pPr>
      <w:r w:rsidRPr="008B4AB4">
        <w:rPr>
          <w:b/>
          <w:color w:val="auto"/>
        </w:rPr>
        <w:t xml:space="preserve">Data Availability: </w:t>
      </w:r>
      <w:r w:rsidR="00F64F16" w:rsidRPr="008B4AB4">
        <w:rPr>
          <w:color w:val="auto"/>
        </w:rPr>
        <w:t>If you have presented all the data in the article, then write: All the data is available in the article. Alternatively, if you cannot present all the data and have additional information to share, write "Data will be available upon request."</w:t>
      </w:r>
      <w:r w:rsidRPr="008B4AB4">
        <w:rPr>
          <w:color w:val="auto"/>
        </w:rPr>
        <w:t>.</w:t>
      </w:r>
    </w:p>
    <w:p w14:paraId="0C1B93BE" w14:textId="77777777" w:rsidR="00F4777F" w:rsidRPr="008B4AB4" w:rsidRDefault="00F4777F" w:rsidP="00374E79">
      <w:pPr>
        <w:spacing w:line="360" w:lineRule="auto"/>
        <w:rPr>
          <w:color w:val="auto"/>
        </w:rPr>
      </w:pPr>
    </w:p>
    <w:p w14:paraId="4D535D9F" w14:textId="3A5DAD95" w:rsidR="00374E79" w:rsidRPr="008B4AB4" w:rsidRDefault="00374E79" w:rsidP="00374E79">
      <w:pPr>
        <w:pStyle w:val="style7"/>
        <w:spacing w:before="0" w:beforeAutospacing="0" w:after="0" w:afterAutospacing="0" w:line="360" w:lineRule="auto"/>
        <w:jc w:val="both"/>
        <w:rPr>
          <w:lang w:val="en-US"/>
        </w:rPr>
      </w:pPr>
      <w:r w:rsidRPr="008B4AB4">
        <w:rPr>
          <w:b/>
          <w:bCs/>
          <w:lang w:val="en-US"/>
        </w:rPr>
        <w:t xml:space="preserve">Ethics Statement: </w:t>
      </w:r>
      <w:r w:rsidR="00731CF2" w:rsidRPr="008B4AB4">
        <w:rPr>
          <w:lang w:val="en-US"/>
        </w:rPr>
        <w:t>State, like, the animal study was approved by the Ethics Committee of the [insert name of institute/University; approved vide number</w:t>
      </w:r>
      <w:proofErr w:type="gramStart"/>
      <w:r w:rsidR="00731CF2" w:rsidRPr="008B4AB4">
        <w:rPr>
          <w:lang w:val="en-US"/>
        </w:rPr>
        <w:t>: ??</w:t>
      </w:r>
      <w:proofErr w:type="gramEnd"/>
      <w:r w:rsidR="00731CF2" w:rsidRPr="008B4AB4">
        <w:rPr>
          <w:lang w:val="en-US"/>
        </w:rPr>
        <w:t xml:space="preserve"> Dated: ??] and conducted in accordance with local legislation and institutional requirements</w:t>
      </w:r>
      <w:r w:rsidRPr="008B4AB4">
        <w:rPr>
          <w:lang w:val="en-US"/>
        </w:rPr>
        <w:t>.</w:t>
      </w:r>
    </w:p>
    <w:p w14:paraId="26412726" w14:textId="77777777" w:rsidR="00374E79" w:rsidRPr="008B4AB4" w:rsidRDefault="00374E79" w:rsidP="00374E79">
      <w:pPr>
        <w:spacing w:line="360" w:lineRule="auto"/>
        <w:rPr>
          <w:color w:val="auto"/>
        </w:rPr>
      </w:pPr>
    </w:p>
    <w:p w14:paraId="731F9874" w14:textId="102236DC" w:rsidR="00374E79" w:rsidRPr="008B4AB4" w:rsidRDefault="00374E79" w:rsidP="00374E79">
      <w:pPr>
        <w:spacing w:line="360" w:lineRule="auto"/>
        <w:rPr>
          <w:color w:val="auto"/>
        </w:rPr>
      </w:pPr>
      <w:r w:rsidRPr="008B4AB4">
        <w:rPr>
          <w:b/>
          <w:color w:val="auto"/>
        </w:rPr>
        <w:t xml:space="preserve">Authors’ Contributions: </w:t>
      </w:r>
      <w:r w:rsidR="000A1D98" w:rsidRPr="008B4AB4">
        <w:rPr>
          <w:color w:val="auto"/>
          <w:szCs w:val="24"/>
        </w:rPr>
        <w:t xml:space="preserve">Elena V. Rogozina: Conceptualization; data curation; formal analysis; funding acquisition; investigation; methodology; resources; software; validation; visualization; writing – original draft. Andrey S. Udovitsky: Conceptualization; data curation; funding acquisition; investigation; methodology; resources; supervision; validation; visualization; writing – review and editing. Ekaterina M. Ekaterininskaya: Conceptualization; data curation; formal analysis; methodology; resources; sampling; writing – review and editing. Vladimir I. Semeikin: Resources; supervision; validation; visualization; writing—review and editing. Alexander I. Sidorik: Conceptualization; methodology; resources; supervision; validation; visualization; writing – review and editing. Nadezhda A. Chalaya: Conceptualization; resources; carrying out analysis; writing – review and editing. Alla E. Solovyeva: Carrying out analysis; data curation; formal analysis; software; validation; writing – review and editing. Vadim T. Khasanov: funding acquisition; project administration; concept </w:t>
      </w:r>
      <w:r w:rsidR="000A1D98" w:rsidRPr="008B4AB4">
        <w:rPr>
          <w:color w:val="auto"/>
          <w:szCs w:val="24"/>
        </w:rPr>
        <w:lastRenderedPageBreak/>
        <w:t>development; research planning; data analysis; writing and editing; approval of the final version and submission of the article</w:t>
      </w:r>
      <w:r w:rsidR="00D772AE" w:rsidRPr="008B4AB4">
        <w:rPr>
          <w:rFonts w:asciiTheme="majorBidi" w:hAnsiTheme="majorBidi" w:cstheme="majorBidi"/>
          <w:color w:val="auto"/>
          <w:szCs w:val="24"/>
          <w:u w:color="000000"/>
        </w:rPr>
        <w:t>.</w:t>
      </w:r>
    </w:p>
    <w:p w14:paraId="2ACC3428" w14:textId="77777777" w:rsidR="00374E79" w:rsidRPr="008B4AB4" w:rsidRDefault="00374E79" w:rsidP="00374E79">
      <w:pPr>
        <w:spacing w:line="360" w:lineRule="auto"/>
        <w:rPr>
          <w:color w:val="auto"/>
        </w:rPr>
      </w:pPr>
    </w:p>
    <w:p w14:paraId="45F3E272" w14:textId="0C23A6CF" w:rsidR="00397A3C" w:rsidRPr="008B4AB4" w:rsidRDefault="00397A3C" w:rsidP="00374E79">
      <w:pPr>
        <w:spacing w:line="360" w:lineRule="auto"/>
        <w:rPr>
          <w:color w:val="auto"/>
        </w:rPr>
      </w:pPr>
      <w:r w:rsidRPr="008B4AB4">
        <w:rPr>
          <w:b/>
          <w:color w:val="auto"/>
        </w:rPr>
        <w:t>G</w:t>
      </w:r>
      <w:r w:rsidR="00374E79" w:rsidRPr="008B4AB4">
        <w:rPr>
          <w:b/>
          <w:color w:val="auto"/>
        </w:rPr>
        <w:t>enerative</w:t>
      </w:r>
      <w:r w:rsidRPr="008B4AB4">
        <w:rPr>
          <w:b/>
          <w:color w:val="auto"/>
        </w:rPr>
        <w:t xml:space="preserve"> AI S</w:t>
      </w:r>
      <w:r w:rsidR="00374E79" w:rsidRPr="008B4AB4">
        <w:rPr>
          <w:b/>
          <w:color w:val="auto"/>
        </w:rPr>
        <w:t xml:space="preserve">tatement: </w:t>
      </w:r>
      <w:r w:rsidR="008627A2" w:rsidRPr="008B4AB4">
        <w:rPr>
          <w:color w:val="auto"/>
        </w:rPr>
        <w:t>The authors declare that no Gen AI/DeepSeek was used in the writing/creation of this manuscript</w:t>
      </w:r>
      <w:r w:rsidRPr="008B4AB4">
        <w:rPr>
          <w:color w:val="auto"/>
        </w:rPr>
        <w:t>.</w:t>
      </w:r>
    </w:p>
    <w:p w14:paraId="73CFEC30" w14:textId="77777777" w:rsidR="00D54155" w:rsidRPr="008B4AB4" w:rsidRDefault="00D54155" w:rsidP="00374E79">
      <w:pPr>
        <w:spacing w:line="360" w:lineRule="auto"/>
        <w:rPr>
          <w:color w:val="auto"/>
        </w:rPr>
      </w:pPr>
    </w:p>
    <w:p w14:paraId="1E4A919A" w14:textId="77777777" w:rsidR="00D54155" w:rsidRPr="008B4AB4" w:rsidRDefault="00D54155" w:rsidP="00D54155">
      <w:pPr>
        <w:spacing w:line="360" w:lineRule="auto"/>
        <w:rPr>
          <w:rStyle w:val="y2iqfc"/>
          <w:b/>
          <w:color w:val="auto"/>
          <w:szCs w:val="28"/>
        </w:rPr>
      </w:pPr>
      <w:r w:rsidRPr="008B4AB4">
        <w:rPr>
          <w:rStyle w:val="y2iqfc"/>
          <w:b/>
          <w:color w:val="auto"/>
          <w:szCs w:val="28"/>
        </w:rPr>
        <w:t xml:space="preserve">Abbreviations: </w:t>
      </w:r>
    </w:p>
    <w:p w14:paraId="2DC09025" w14:textId="77777777" w:rsidR="00D54155" w:rsidRPr="008B4AB4" w:rsidRDefault="00D54155" w:rsidP="00D54155">
      <w:pPr>
        <w:spacing w:line="360" w:lineRule="auto"/>
        <w:rPr>
          <w:color w:val="auto"/>
        </w:rPr>
      </w:pPr>
      <w:r w:rsidRPr="008B4AB4">
        <w:rPr>
          <w:color w:val="auto"/>
        </w:rPr>
        <w:t>VIR - N.I. Vavilov Institute of Plant Genetic Resources</w:t>
      </w:r>
    </w:p>
    <w:p w14:paraId="4F66B50E" w14:textId="77777777" w:rsidR="00D54155" w:rsidRPr="008B4AB4" w:rsidRDefault="00D54155" w:rsidP="00D54155">
      <w:pPr>
        <w:pStyle w:val="MDPI31text"/>
        <w:spacing w:line="360" w:lineRule="auto"/>
        <w:ind w:left="0" w:firstLine="0"/>
        <w:rPr>
          <w:rFonts w:ascii="Times New Roman" w:hAnsi="Times New Roman"/>
          <w:color w:val="auto"/>
          <w:sz w:val="24"/>
          <w:lang w:val="sv-SE"/>
        </w:rPr>
      </w:pPr>
      <w:r w:rsidRPr="008B4AB4">
        <w:rPr>
          <w:rFonts w:ascii="Times New Roman" w:hAnsi="Times New Roman"/>
          <w:color w:val="auto"/>
          <w:sz w:val="24"/>
          <w:lang w:val="sv-SE"/>
        </w:rPr>
        <w:t>KR - Kostanay Region</w:t>
      </w:r>
    </w:p>
    <w:p w14:paraId="323CBD38" w14:textId="77777777" w:rsidR="00D54155" w:rsidRPr="008B4AB4" w:rsidRDefault="00D54155" w:rsidP="00D54155">
      <w:pPr>
        <w:pStyle w:val="MDPI31text"/>
        <w:spacing w:line="360" w:lineRule="auto"/>
        <w:ind w:left="0" w:firstLine="0"/>
        <w:rPr>
          <w:rFonts w:ascii="Times New Roman" w:hAnsi="Times New Roman"/>
          <w:color w:val="auto"/>
          <w:sz w:val="24"/>
          <w:lang w:val="sv-SE"/>
        </w:rPr>
      </w:pPr>
      <w:r w:rsidRPr="008B4AB4">
        <w:rPr>
          <w:rFonts w:ascii="Times New Roman" w:hAnsi="Times New Roman"/>
          <w:color w:val="auto"/>
          <w:sz w:val="24"/>
          <w:lang w:val="sv-SE"/>
        </w:rPr>
        <w:t>LR - Leningrad Region</w:t>
      </w:r>
    </w:p>
    <w:p w14:paraId="5F33CCBB" w14:textId="77777777" w:rsidR="00D54155" w:rsidRPr="008B4AB4" w:rsidRDefault="00D54155" w:rsidP="00D54155">
      <w:pPr>
        <w:pStyle w:val="MDPI31text"/>
        <w:spacing w:line="360" w:lineRule="auto"/>
        <w:ind w:left="0" w:firstLine="0"/>
        <w:rPr>
          <w:rFonts w:ascii="Times New Roman" w:hAnsi="Times New Roman"/>
          <w:color w:val="auto"/>
          <w:sz w:val="24"/>
        </w:rPr>
      </w:pPr>
      <w:r w:rsidRPr="008B4AB4">
        <w:rPr>
          <w:rFonts w:ascii="Times New Roman" w:hAnsi="Times New Roman"/>
          <w:color w:val="auto"/>
          <w:sz w:val="24"/>
        </w:rPr>
        <w:t>GAE - gallic acid equivalents</w:t>
      </w:r>
    </w:p>
    <w:p w14:paraId="61421565" w14:textId="77777777" w:rsidR="00D54155" w:rsidRPr="008B4AB4" w:rsidRDefault="00D54155" w:rsidP="00D54155">
      <w:pPr>
        <w:pStyle w:val="MDPI31text"/>
        <w:spacing w:line="360" w:lineRule="auto"/>
        <w:ind w:left="0" w:firstLine="0"/>
        <w:rPr>
          <w:rFonts w:ascii="Times New Roman" w:hAnsi="Times New Roman"/>
          <w:color w:val="auto"/>
          <w:sz w:val="24"/>
        </w:rPr>
      </w:pPr>
      <w:r w:rsidRPr="008B4AB4">
        <w:rPr>
          <w:rFonts w:ascii="Times New Roman" w:hAnsi="Times New Roman"/>
          <w:color w:val="auto"/>
          <w:sz w:val="24"/>
        </w:rPr>
        <w:t>AAE - ascorbic acid equivalents</w:t>
      </w:r>
    </w:p>
    <w:p w14:paraId="22F7298D" w14:textId="3F3BC05F" w:rsidR="00D54155" w:rsidRPr="008B4AB4" w:rsidRDefault="00D54155" w:rsidP="00D54155">
      <w:pPr>
        <w:spacing w:line="360" w:lineRule="auto"/>
        <w:rPr>
          <w:color w:val="auto"/>
        </w:rPr>
      </w:pPr>
      <w:r w:rsidRPr="008B4AB4">
        <w:rPr>
          <w:color w:val="auto"/>
        </w:rPr>
        <w:t>AOA - antioxidant activity</w:t>
      </w:r>
    </w:p>
    <w:p w14:paraId="384301D6" w14:textId="77777777" w:rsidR="00397A3C" w:rsidRPr="008B4AB4" w:rsidRDefault="00397A3C" w:rsidP="00D54155">
      <w:pPr>
        <w:spacing w:line="360" w:lineRule="auto"/>
        <w:rPr>
          <w:color w:val="auto"/>
        </w:rPr>
      </w:pPr>
    </w:p>
    <w:p w14:paraId="068385EF" w14:textId="3C04C579" w:rsidR="00397A3C" w:rsidRPr="008B4AB4" w:rsidRDefault="00397A3C" w:rsidP="00397A3C">
      <w:pPr>
        <w:pStyle w:val="MDPI21heading1"/>
        <w:spacing w:before="0" w:after="120" w:line="360" w:lineRule="auto"/>
        <w:ind w:left="0"/>
        <w:rPr>
          <w:rFonts w:ascii="Times New Roman" w:hAnsi="Times New Roman"/>
          <w:color w:val="auto"/>
          <w:sz w:val="24"/>
          <w:szCs w:val="24"/>
        </w:rPr>
      </w:pPr>
      <w:r w:rsidRPr="008B4AB4">
        <w:rPr>
          <w:rFonts w:ascii="Times New Roman" w:hAnsi="Times New Roman"/>
          <w:color w:val="auto"/>
          <w:sz w:val="24"/>
          <w:szCs w:val="24"/>
        </w:rPr>
        <w:t>REFERENCES</w:t>
      </w:r>
    </w:p>
    <w:p w14:paraId="2412147C" w14:textId="77777777" w:rsidR="00D54155" w:rsidRPr="008B4AB4" w:rsidRDefault="00D54155" w:rsidP="001437B4">
      <w:pPr>
        <w:tabs>
          <w:tab w:val="left" w:pos="8931"/>
        </w:tabs>
        <w:spacing w:line="360" w:lineRule="auto"/>
        <w:ind w:left="567" w:hanging="567"/>
        <w:rPr>
          <w:color w:val="auto"/>
          <w:lang w:val="pt-BR"/>
        </w:rPr>
      </w:pPr>
      <w:r w:rsidRPr="008B4AB4">
        <w:rPr>
          <w:color w:val="auto"/>
        </w:rPr>
        <w:t xml:space="preserve">Ainsworth, E. A., &amp; Gillespie, K. M. (2007). Estimation of total phenolic content and other oxidation substrates in plant tissues using Folin–Ciocalteu reagent. </w:t>
      </w:r>
      <w:r w:rsidRPr="008B4AB4">
        <w:rPr>
          <w:color w:val="auto"/>
          <w:lang w:val="pt-BR"/>
        </w:rPr>
        <w:t>Nature Protocols, 2(4), 875-877. https://doi.org/10.1038/nprot.2007.102</w:t>
      </w:r>
    </w:p>
    <w:p w14:paraId="1F457D86" w14:textId="77777777" w:rsidR="001437B4" w:rsidRPr="008B4AB4" w:rsidRDefault="001437B4" w:rsidP="001437B4">
      <w:pPr>
        <w:pStyle w:val="a6"/>
        <w:tabs>
          <w:tab w:val="left" w:pos="420"/>
        </w:tabs>
        <w:spacing w:line="360" w:lineRule="auto"/>
        <w:ind w:left="567" w:hanging="567"/>
        <w:rPr>
          <w:color w:val="auto"/>
          <w:sz w:val="24"/>
          <w:szCs w:val="24"/>
          <w:lang w:val="pt-BR"/>
        </w:rPr>
      </w:pPr>
      <w:r w:rsidRPr="008B4AB4">
        <w:rPr>
          <w:color w:val="auto"/>
          <w:sz w:val="24"/>
          <w:szCs w:val="24"/>
          <w:lang w:val="pt-BR"/>
        </w:rPr>
        <w:t xml:space="preserve">Asnake, D., Alemayehu, M., &amp; Asredie, S. (2023). </w:t>
      </w:r>
      <w:r w:rsidRPr="008B4AB4">
        <w:rPr>
          <w:color w:val="auto"/>
          <w:sz w:val="24"/>
          <w:szCs w:val="24"/>
        </w:rPr>
        <w:t xml:space="preserve">Growth and tuber yield responses of potato (Solanum tuberosum L.) varieties to seed tuber size in northwest highlands of Ethiopia. </w:t>
      </w:r>
      <w:r w:rsidRPr="008B4AB4">
        <w:rPr>
          <w:color w:val="auto"/>
          <w:sz w:val="24"/>
          <w:szCs w:val="24"/>
          <w:lang w:val="pt-BR"/>
        </w:rPr>
        <w:t xml:space="preserve">Heliyon, 9(3), e14586. </w:t>
      </w:r>
      <w:r w:rsidRPr="008B4AB4">
        <w:rPr>
          <w:rFonts w:eastAsiaTheme="majorEastAsia"/>
          <w:color w:val="auto"/>
          <w:sz w:val="24"/>
          <w:szCs w:val="24"/>
          <w:lang w:val="pt-BR"/>
        </w:rPr>
        <w:t>https://doi.org/10.1016/j.heliyon.2023.e14586</w:t>
      </w:r>
    </w:p>
    <w:p w14:paraId="78E7B457" w14:textId="77777777" w:rsidR="001437B4" w:rsidRPr="008B4AB4" w:rsidRDefault="001437B4" w:rsidP="001437B4">
      <w:pPr>
        <w:pStyle w:val="a6"/>
        <w:tabs>
          <w:tab w:val="left" w:pos="420"/>
        </w:tabs>
        <w:spacing w:line="360" w:lineRule="auto"/>
        <w:ind w:left="567" w:hanging="567"/>
        <w:rPr>
          <w:color w:val="auto"/>
          <w:sz w:val="24"/>
          <w:szCs w:val="24"/>
        </w:rPr>
      </w:pPr>
      <w:r w:rsidRPr="008B4AB4">
        <w:rPr>
          <w:color w:val="auto"/>
          <w:sz w:val="24"/>
          <w:szCs w:val="24"/>
          <w:lang w:val="pt-BR"/>
        </w:rPr>
        <w:t xml:space="preserve">Bellumori, M., Silva, N. C., Vilca, L., Andrenelli, L., Cecchi, L., Innocenti, M., Balli, D., &amp; Mulinacci, N. (2020). </w:t>
      </w:r>
      <w:r w:rsidRPr="008B4AB4">
        <w:rPr>
          <w:color w:val="auto"/>
          <w:sz w:val="24"/>
          <w:szCs w:val="24"/>
        </w:rPr>
        <w:t xml:space="preserve">A study on the biodiversity of pigmented Andean potatoes: nutritional profile and phenolic composition. Molecules, 25(14), 3169. </w:t>
      </w:r>
      <w:r w:rsidRPr="008B4AB4">
        <w:rPr>
          <w:rFonts w:eastAsiaTheme="majorEastAsia"/>
          <w:color w:val="auto"/>
          <w:sz w:val="24"/>
          <w:szCs w:val="24"/>
        </w:rPr>
        <w:t>https://doi.org/10.3390/molecules25143169</w:t>
      </w:r>
    </w:p>
    <w:p w14:paraId="64A8A266" w14:textId="78282C41" w:rsidR="00D54155" w:rsidRPr="008B4AB4" w:rsidRDefault="00D54155" w:rsidP="001437B4">
      <w:pPr>
        <w:tabs>
          <w:tab w:val="left" w:pos="8931"/>
        </w:tabs>
        <w:spacing w:line="360" w:lineRule="auto"/>
        <w:ind w:left="567" w:hanging="567"/>
        <w:rPr>
          <w:rStyle w:val="af1"/>
          <w:rFonts w:eastAsiaTheme="majorEastAsia"/>
          <w:color w:val="auto"/>
          <w:lang w:val="sv-SE"/>
        </w:rPr>
      </w:pPr>
      <w:r w:rsidRPr="008B4AB4">
        <w:rPr>
          <w:color w:val="auto"/>
        </w:rPr>
        <w:t>Bureau of National Statistics, Agency for Strategic Planning and Reforms of the Republic of Kazakhstan. (2024). Agricultural, forestry, hunting and fishing statistics. Gross harvest of agricultural crop</w:t>
      </w:r>
      <w:r w:rsidR="00F2389B" w:rsidRPr="008B4AB4">
        <w:rPr>
          <w:color w:val="auto"/>
        </w:rPr>
        <w:t>s in the Republic of Kazakhstan</w:t>
      </w:r>
      <w:r w:rsidRPr="008B4AB4">
        <w:rPr>
          <w:color w:val="auto"/>
        </w:rPr>
        <w:t xml:space="preserve">. </w:t>
      </w:r>
      <w:hyperlink r:id="rId8" w:history="1">
        <w:r w:rsidRPr="008B4AB4">
          <w:rPr>
            <w:rStyle w:val="af1"/>
            <w:rFonts w:eastAsiaTheme="majorEastAsia"/>
            <w:color w:val="auto"/>
            <w:lang w:val="sv-SE"/>
          </w:rPr>
          <w:t>https://stat.gov.kz/ru/industries/business-statistics/stat-forrest-village-hunt-fish/publications/113764/</w:t>
        </w:r>
      </w:hyperlink>
    </w:p>
    <w:p w14:paraId="346B1C97" w14:textId="77777777" w:rsidR="00D54155" w:rsidRPr="008B4AB4" w:rsidRDefault="00D54155" w:rsidP="001437B4">
      <w:pPr>
        <w:tabs>
          <w:tab w:val="left" w:pos="8931"/>
        </w:tabs>
        <w:spacing w:line="360" w:lineRule="auto"/>
        <w:ind w:left="567" w:hanging="567"/>
        <w:rPr>
          <w:color w:val="auto"/>
        </w:rPr>
      </w:pPr>
      <w:r w:rsidRPr="008B4AB4">
        <w:rPr>
          <w:color w:val="auto"/>
        </w:rPr>
        <w:t xml:space="preserve">Burgos, G., Amoros, W., Muñoa, L., Sosa, P., Cayhualla, E., Sanchez, C., Díaz, C., &amp; Bonierbale, M. (2013). Total phenolic, total anthocyanin and phenolic acid concentrations and antioxidant activity of purple-fleshed potatoes as affected by boiling. </w:t>
      </w:r>
      <w:r w:rsidRPr="008B4AB4">
        <w:rPr>
          <w:color w:val="auto"/>
        </w:rPr>
        <w:lastRenderedPageBreak/>
        <w:t>Journal of Food Composition and Analysis, 30(1), 6-12. https://doi.org/10.1016/j.jfca.2012.12.001</w:t>
      </w:r>
    </w:p>
    <w:p w14:paraId="0C349829" w14:textId="77777777" w:rsidR="00D54155" w:rsidRPr="008B4AB4" w:rsidRDefault="00D54155" w:rsidP="001437B4">
      <w:pPr>
        <w:tabs>
          <w:tab w:val="left" w:pos="8931"/>
        </w:tabs>
        <w:spacing w:line="360" w:lineRule="auto"/>
        <w:ind w:left="567" w:hanging="567"/>
        <w:rPr>
          <w:color w:val="auto"/>
        </w:rPr>
      </w:pPr>
      <w:r w:rsidRPr="008B4AB4">
        <w:rPr>
          <w:color w:val="auto"/>
          <w:lang w:val="sv-SE"/>
        </w:rPr>
        <w:t xml:space="preserve">Burgos, G., Zum Felde, T., Andre, C., &amp; Kubow, S. (2020). </w:t>
      </w:r>
      <w:r w:rsidRPr="008B4AB4">
        <w:rPr>
          <w:color w:val="auto"/>
        </w:rPr>
        <w:t>The potato and its contribution to the human diet and health. In H. Campos, &amp; O. Ortiz (Eds.), The potato crop (pp. 37-74). Cham: Springer. https://doi.org/10.1007/978-3-030-28683-5_2</w:t>
      </w:r>
    </w:p>
    <w:p w14:paraId="58BE256D" w14:textId="77777777" w:rsidR="00D54155" w:rsidRPr="008B4AB4" w:rsidRDefault="00D54155" w:rsidP="001437B4">
      <w:pPr>
        <w:tabs>
          <w:tab w:val="left" w:pos="8931"/>
        </w:tabs>
        <w:spacing w:line="360" w:lineRule="auto"/>
        <w:ind w:left="567" w:hanging="567"/>
        <w:rPr>
          <w:color w:val="auto"/>
        </w:rPr>
      </w:pPr>
      <w:r w:rsidRPr="008B4AB4">
        <w:rPr>
          <w:color w:val="auto"/>
        </w:rPr>
        <w:t>Burton, W. G. (1989). The potato (3rd ed.). Harlow: Longman Scientific and Technical.</w:t>
      </w:r>
    </w:p>
    <w:p w14:paraId="3706FDFD" w14:textId="77777777" w:rsidR="001437B4" w:rsidRPr="008B4AB4" w:rsidRDefault="001437B4" w:rsidP="001437B4">
      <w:pPr>
        <w:pStyle w:val="a6"/>
        <w:tabs>
          <w:tab w:val="left" w:pos="420"/>
        </w:tabs>
        <w:spacing w:line="360" w:lineRule="auto"/>
        <w:ind w:left="567" w:hanging="567"/>
        <w:rPr>
          <w:color w:val="auto"/>
          <w:sz w:val="24"/>
          <w:szCs w:val="24"/>
        </w:rPr>
      </w:pPr>
      <w:r w:rsidRPr="008B4AB4">
        <w:rPr>
          <w:color w:val="auto"/>
          <w:sz w:val="24"/>
          <w:szCs w:val="24"/>
        </w:rPr>
        <w:t xml:space="preserve">Bvenura, C., Witbooi, H., &amp; Kambizi, L. (2022). Pigmented potatoes: a potential panacea for food and nutrition security and health? Foods, 11(2), 175. </w:t>
      </w:r>
      <w:r w:rsidRPr="008B4AB4">
        <w:rPr>
          <w:rFonts w:eastAsiaTheme="majorEastAsia"/>
          <w:color w:val="auto"/>
          <w:sz w:val="24"/>
          <w:szCs w:val="24"/>
        </w:rPr>
        <w:t>https://doi.org/10.3390/foods11020175</w:t>
      </w:r>
    </w:p>
    <w:p w14:paraId="11AE99D9" w14:textId="77777777" w:rsidR="00D54155" w:rsidRPr="008B4AB4" w:rsidRDefault="00D54155" w:rsidP="001437B4">
      <w:pPr>
        <w:tabs>
          <w:tab w:val="left" w:pos="8931"/>
        </w:tabs>
        <w:spacing w:line="360" w:lineRule="auto"/>
        <w:ind w:left="567" w:hanging="567"/>
        <w:rPr>
          <w:color w:val="auto"/>
        </w:rPr>
      </w:pPr>
      <w:r w:rsidRPr="008B4AB4">
        <w:rPr>
          <w:color w:val="auto"/>
        </w:rPr>
        <w:t>Ermakov, A. I., Arasimovich, V. V., Jarosh, N. P., &amp; Peruansky, Yu. V. (1987). Methods of biochemical research in plants. Leningrad: Agropromizdat. [in Russian]</w:t>
      </w:r>
    </w:p>
    <w:p w14:paraId="7250C5BD" w14:textId="68969161" w:rsidR="00D54155" w:rsidRPr="008B4AB4" w:rsidRDefault="00D54155" w:rsidP="001437B4">
      <w:pPr>
        <w:tabs>
          <w:tab w:val="left" w:pos="8931"/>
        </w:tabs>
        <w:spacing w:line="360" w:lineRule="auto"/>
        <w:ind w:left="567" w:hanging="567"/>
        <w:rPr>
          <w:color w:val="auto"/>
        </w:rPr>
      </w:pPr>
      <w:r w:rsidRPr="008B4AB4">
        <w:rPr>
          <w:color w:val="auto"/>
        </w:rPr>
        <w:t xml:space="preserve">Food and Agriculture Organization of the United Nations. (2024). FAOSTAT Statistical Database. </w:t>
      </w:r>
      <w:hyperlink r:id="rId9" w:history="1">
        <w:r w:rsidRPr="008B4AB4">
          <w:rPr>
            <w:color w:val="auto"/>
            <w:u w:val="single"/>
          </w:rPr>
          <w:t>https://www.fao.org/faostat/en/#data</w:t>
        </w:r>
      </w:hyperlink>
      <w:r w:rsidRPr="008B4AB4">
        <w:rPr>
          <w:color w:val="auto"/>
        </w:rPr>
        <w:t xml:space="preserve"> (accessed on December 22, 2024).</w:t>
      </w:r>
    </w:p>
    <w:p w14:paraId="396A27E6" w14:textId="77777777" w:rsidR="001437B4" w:rsidRPr="008B4AB4" w:rsidRDefault="001437B4" w:rsidP="001437B4">
      <w:pPr>
        <w:pStyle w:val="a6"/>
        <w:tabs>
          <w:tab w:val="left" w:pos="420"/>
        </w:tabs>
        <w:spacing w:line="360" w:lineRule="auto"/>
        <w:ind w:left="567" w:hanging="567"/>
        <w:rPr>
          <w:color w:val="auto"/>
          <w:sz w:val="24"/>
          <w:szCs w:val="24"/>
        </w:rPr>
      </w:pPr>
      <w:r w:rsidRPr="008B4AB4">
        <w:rPr>
          <w:color w:val="auto"/>
          <w:sz w:val="24"/>
          <w:szCs w:val="24"/>
        </w:rPr>
        <w:t xml:space="preserve">Gazzea, E., Batáry, P., &amp; Marini, L. (2023). Global meta-analysis shows reduced quality of food crops under inadequate animal pollination. Nature Communications, 14(1), 4463. </w:t>
      </w:r>
      <w:r w:rsidRPr="008B4AB4">
        <w:rPr>
          <w:rFonts w:eastAsiaTheme="majorEastAsia"/>
          <w:color w:val="auto"/>
          <w:sz w:val="24"/>
          <w:szCs w:val="24"/>
        </w:rPr>
        <w:t>https://doi.org/10.1038/s41467-023-40231-y</w:t>
      </w:r>
    </w:p>
    <w:p w14:paraId="1FBECE6F" w14:textId="77777777" w:rsidR="00D54155" w:rsidRPr="008B4AB4" w:rsidRDefault="00D54155" w:rsidP="001437B4">
      <w:pPr>
        <w:tabs>
          <w:tab w:val="left" w:pos="8931"/>
        </w:tabs>
        <w:spacing w:line="360" w:lineRule="auto"/>
        <w:ind w:left="567" w:hanging="567"/>
        <w:rPr>
          <w:color w:val="auto"/>
        </w:rPr>
      </w:pPr>
      <w:r w:rsidRPr="008B4AB4">
        <w:rPr>
          <w:color w:val="auto"/>
        </w:rPr>
        <w:t xml:space="preserve">Hamouz, K., Lachman, J., Pazderů, K., Tomášek, J., Hejtmánková, K., &amp; Pivec, V. (2011). Differences in anthocyanin content and antioxidant activity of potato tubers with different flesh colour. Plant, Soil and Environment, 57(10), 478-485. </w:t>
      </w:r>
      <w:hyperlink r:id="rId10" w:history="1">
        <w:r w:rsidRPr="008B4AB4">
          <w:rPr>
            <w:rStyle w:val="af1"/>
            <w:rFonts w:eastAsiaTheme="majorEastAsia"/>
            <w:color w:val="auto"/>
          </w:rPr>
          <w:t>https://doi.org/10.17221/265/2011-PSE</w:t>
        </w:r>
      </w:hyperlink>
    </w:p>
    <w:p w14:paraId="76024C04" w14:textId="77777777" w:rsidR="00D54155" w:rsidRPr="008B4AB4" w:rsidRDefault="00D54155" w:rsidP="001437B4">
      <w:pPr>
        <w:tabs>
          <w:tab w:val="left" w:pos="8931"/>
        </w:tabs>
        <w:spacing w:line="360" w:lineRule="auto"/>
        <w:ind w:left="567" w:hanging="567"/>
        <w:rPr>
          <w:color w:val="auto"/>
        </w:rPr>
      </w:pPr>
      <w:r w:rsidRPr="008B4AB4">
        <w:rPr>
          <w:color w:val="auto"/>
        </w:rPr>
        <w:t>Hellmann, H., Goyer, A., &amp; Navarre, D. A. (2021). Antioxidants in potatoes: A functional view on one of the major food crops worldwide. Molecules, 26(9), 2446. https://doi.org/10.3390/molecules26092446</w:t>
      </w:r>
    </w:p>
    <w:p w14:paraId="12CF5752" w14:textId="77777777" w:rsidR="001437B4" w:rsidRPr="008B4AB4" w:rsidRDefault="001437B4" w:rsidP="001437B4">
      <w:pPr>
        <w:pStyle w:val="a6"/>
        <w:tabs>
          <w:tab w:val="left" w:pos="420"/>
        </w:tabs>
        <w:spacing w:line="360" w:lineRule="auto"/>
        <w:ind w:left="567" w:hanging="567"/>
        <w:rPr>
          <w:color w:val="auto"/>
          <w:sz w:val="24"/>
          <w:szCs w:val="24"/>
        </w:rPr>
      </w:pPr>
      <w:r w:rsidRPr="008B4AB4">
        <w:rPr>
          <w:color w:val="auto"/>
          <w:sz w:val="24"/>
          <w:szCs w:val="24"/>
        </w:rPr>
        <w:t xml:space="preserve">Kim, I. V., Nawaz, M. A., Volkov, D. I., Klykov, A. G., Razgonova, M. P., &amp; Golokhvast, K. S. (2025). Identification and quantification of anthocyanins in various organs of potato varieties (Solanum tuberosum L.) as potential visual selection markers during breeding. Plants, 14(13), 2042. </w:t>
      </w:r>
      <w:r w:rsidRPr="008B4AB4">
        <w:rPr>
          <w:rFonts w:eastAsiaTheme="majorEastAsia"/>
          <w:color w:val="auto"/>
          <w:sz w:val="24"/>
          <w:szCs w:val="24"/>
        </w:rPr>
        <w:t>https://doi.org/10.3390/plants14132042</w:t>
      </w:r>
    </w:p>
    <w:p w14:paraId="512B3189" w14:textId="77777777" w:rsidR="00D54155" w:rsidRPr="008B4AB4" w:rsidRDefault="00D54155" w:rsidP="001437B4">
      <w:pPr>
        <w:tabs>
          <w:tab w:val="left" w:pos="8931"/>
        </w:tabs>
        <w:spacing w:line="360" w:lineRule="auto"/>
        <w:ind w:left="567" w:hanging="567"/>
        <w:rPr>
          <w:color w:val="auto"/>
        </w:rPr>
      </w:pPr>
      <w:r w:rsidRPr="008B4AB4">
        <w:rPr>
          <w:color w:val="auto"/>
        </w:rPr>
        <w:t>Kim, J., Soh, S. Y., Bae, H., &amp; Nam, S. Y. (2019). Antioxidant and phenolic contents in potatoes (</w:t>
      </w:r>
      <w:r w:rsidRPr="008B4AB4">
        <w:rPr>
          <w:i/>
          <w:color w:val="auto"/>
        </w:rPr>
        <w:t>Solanum tuberosum L</w:t>
      </w:r>
      <w:r w:rsidRPr="008B4AB4">
        <w:rPr>
          <w:color w:val="auto"/>
        </w:rPr>
        <w:t>.) and micropropagated potatoes. Applied Biological Chemistry, 62, 17. https://doi.org/10.1186/s13765-019-0422-8</w:t>
      </w:r>
    </w:p>
    <w:p w14:paraId="011826D2" w14:textId="77777777" w:rsidR="00D54155" w:rsidRPr="008B4AB4" w:rsidRDefault="00D54155" w:rsidP="001437B4">
      <w:pPr>
        <w:tabs>
          <w:tab w:val="left" w:pos="8931"/>
        </w:tabs>
        <w:spacing w:line="360" w:lineRule="auto"/>
        <w:ind w:left="567" w:hanging="567"/>
        <w:rPr>
          <w:color w:val="auto"/>
          <w:lang w:val="sv-SE"/>
        </w:rPr>
      </w:pPr>
      <w:r w:rsidRPr="008B4AB4">
        <w:rPr>
          <w:color w:val="auto"/>
        </w:rPr>
        <w:t xml:space="preserve">Kolyadko, I. I. (Ed.). (2008). Bulba Belarusian: Encyclopedia. Minsk: Belarusian Encyclopedia. </w:t>
      </w:r>
      <w:r w:rsidRPr="008B4AB4">
        <w:rPr>
          <w:color w:val="auto"/>
          <w:lang w:val="sv-SE"/>
        </w:rPr>
        <w:t>[in Russian]</w:t>
      </w:r>
    </w:p>
    <w:p w14:paraId="530B2281"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lang w:val="sv-SE"/>
        </w:rPr>
        <w:t xml:space="preserve">Kubiak, A., Wolna-Maruwka, A., Niewiadomska, A., &amp; Pilarska, A. A. (2022). </w:t>
      </w:r>
      <w:r w:rsidRPr="008B4AB4">
        <w:rPr>
          <w:color w:val="auto"/>
          <w:sz w:val="24"/>
          <w:szCs w:val="24"/>
        </w:rPr>
        <w:t xml:space="preserve">The problem of weed infestation of agricultural plantations vs. the assumptions of the European </w:t>
      </w:r>
      <w:r w:rsidRPr="008B4AB4">
        <w:rPr>
          <w:color w:val="auto"/>
          <w:sz w:val="24"/>
          <w:szCs w:val="24"/>
        </w:rPr>
        <w:lastRenderedPageBreak/>
        <w:t xml:space="preserve">biodiversity strategy. Agronomy, 12(8), 1808. </w:t>
      </w:r>
      <w:r w:rsidRPr="008B4AB4">
        <w:rPr>
          <w:rFonts w:eastAsiaTheme="majorEastAsia"/>
          <w:color w:val="auto"/>
          <w:sz w:val="24"/>
          <w:szCs w:val="24"/>
        </w:rPr>
        <w:t>https://doi.org/10.3390/agronomy12081808</w:t>
      </w:r>
    </w:p>
    <w:p w14:paraId="1695F5CC" w14:textId="77777777" w:rsidR="00D54155" w:rsidRPr="008B4AB4" w:rsidRDefault="00D54155" w:rsidP="001437B4">
      <w:pPr>
        <w:tabs>
          <w:tab w:val="left" w:pos="8931"/>
        </w:tabs>
        <w:spacing w:line="360" w:lineRule="auto"/>
        <w:ind w:left="567" w:hanging="567"/>
        <w:rPr>
          <w:color w:val="auto"/>
        </w:rPr>
      </w:pPr>
      <w:r w:rsidRPr="008B4AB4">
        <w:rPr>
          <w:color w:val="auto"/>
          <w:lang w:val="sv-SE"/>
        </w:rPr>
        <w:t xml:space="preserve">Kuzmin, S. V., Rusakov, V. N., &amp; Setko, A. G. (2024). </w:t>
      </w:r>
      <w:r w:rsidRPr="008B4AB4">
        <w:rPr>
          <w:color w:val="auto"/>
        </w:rPr>
        <w:t>Assessment of the state of actual nutrition in the population of the Russian Federation. Hygiene and Sanitation, 103(1), 58-66. https://doi.org/10.47470/0016-9900-2024-103-1-58-66</w:t>
      </w:r>
    </w:p>
    <w:p w14:paraId="5EFD4725"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Kwambai, T. K., Struik, P. C., Gorman, M., Nyongesa, M., Rop, W., Kemboi, E., &amp; Griffin, D. (2023). Understanding genotype × environment interactions in potato production to guide variety adoption and future breeding strategies. Potato Research, 67(2), 663-694. </w:t>
      </w:r>
      <w:r w:rsidRPr="008B4AB4">
        <w:rPr>
          <w:rFonts w:eastAsiaTheme="majorEastAsia"/>
          <w:color w:val="auto"/>
          <w:sz w:val="24"/>
          <w:szCs w:val="24"/>
        </w:rPr>
        <w:t>https://doi.org/10.1007/s11540-023-09650-8</w:t>
      </w:r>
    </w:p>
    <w:p w14:paraId="12034CBC" w14:textId="77777777" w:rsidR="00D54155" w:rsidRPr="008B4AB4" w:rsidRDefault="00D54155" w:rsidP="001437B4">
      <w:pPr>
        <w:tabs>
          <w:tab w:val="left" w:pos="8931"/>
        </w:tabs>
        <w:spacing w:line="360" w:lineRule="auto"/>
        <w:ind w:left="567" w:hanging="567"/>
        <w:rPr>
          <w:color w:val="auto"/>
        </w:rPr>
      </w:pPr>
      <w:r w:rsidRPr="008B4AB4">
        <w:rPr>
          <w:color w:val="auto"/>
        </w:rPr>
        <w:t>Lachman, J., Hamouz, K., Orsák, M., &amp; Kotíková, Z. (2016). Carotenoids in potatoes – A short overview. Plant, Soil and Environment, 62(10), 474-481. https://doi.org/10.17221/459/2016-PSE</w:t>
      </w:r>
    </w:p>
    <w:p w14:paraId="663AF684"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Larkin, R. P., Honeycutt, C. W., Griffin, T. S., Olanya, O. M., &amp; He, Z. (2021). Potato growth and yield characteristics under different cropping system management strategies in Northeastern U.S. Agronomy, 11(1), 165. </w:t>
      </w:r>
      <w:r w:rsidRPr="008B4AB4">
        <w:rPr>
          <w:rFonts w:eastAsiaTheme="majorEastAsia"/>
          <w:color w:val="auto"/>
          <w:sz w:val="24"/>
          <w:szCs w:val="24"/>
        </w:rPr>
        <w:t>https://doi.org/10.3390/agronomy11010165</w:t>
      </w:r>
    </w:p>
    <w:p w14:paraId="01E930F9"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Liu, Y., Li, Y., Liu, Z., Wang, L., Bi, Z., Sun, C., Yao, P., Zhang, J., Bai, J., &amp; Zeng, Y. (2023). Integrated transcriptomic and metabolomic analysis revealed altitude-related regulatory mechanisms on flavonoid accumulation in potato tubers. Food Research International, 170, 112997. </w:t>
      </w:r>
      <w:r w:rsidRPr="008B4AB4">
        <w:rPr>
          <w:rFonts w:eastAsiaTheme="majorEastAsia"/>
          <w:color w:val="auto"/>
          <w:sz w:val="24"/>
          <w:szCs w:val="24"/>
        </w:rPr>
        <w:t>https://doi.org/10.1016/j.foodres.2023.112997</w:t>
      </w:r>
    </w:p>
    <w:p w14:paraId="3072E66B" w14:textId="77777777" w:rsidR="001437B4" w:rsidRPr="008B4AB4" w:rsidRDefault="001437B4" w:rsidP="001437B4">
      <w:pPr>
        <w:pStyle w:val="a6"/>
        <w:tabs>
          <w:tab w:val="left" w:pos="420"/>
        </w:tabs>
        <w:spacing w:line="360" w:lineRule="auto"/>
        <w:ind w:left="567" w:hanging="567"/>
        <w:rPr>
          <w:color w:val="auto"/>
          <w:sz w:val="24"/>
          <w:szCs w:val="24"/>
        </w:rPr>
      </w:pPr>
      <w:r w:rsidRPr="008B4AB4">
        <w:rPr>
          <w:color w:val="auto"/>
          <w:sz w:val="24"/>
          <w:szCs w:val="24"/>
        </w:rPr>
        <w:t xml:space="preserve">Mattoo, A. K., Dwivedi, S. L., Dutt, S., Singh, B., Garg, M., &amp; Ortiz, R. (2022). Anthocyanin-Rich Vegetables for Human Consumption—Focus on potato, sweetpotato and tomato. International Journal of Molecular Sciences, 23(5), 2634. </w:t>
      </w:r>
      <w:hyperlink r:id="rId11" w:history="1">
        <w:r w:rsidRPr="008B4AB4">
          <w:rPr>
            <w:rStyle w:val="af1"/>
            <w:rFonts w:eastAsiaTheme="majorEastAsia"/>
            <w:color w:val="auto"/>
            <w:sz w:val="24"/>
            <w:szCs w:val="24"/>
          </w:rPr>
          <w:t>https://doi.org/10.3390/ijms23052634</w:t>
        </w:r>
      </w:hyperlink>
    </w:p>
    <w:p w14:paraId="23A37B10" w14:textId="57F5D0D2" w:rsidR="00D54155" w:rsidRPr="008B4AB4" w:rsidRDefault="00D54155" w:rsidP="001437B4">
      <w:pPr>
        <w:tabs>
          <w:tab w:val="left" w:pos="8931"/>
        </w:tabs>
        <w:spacing w:line="360" w:lineRule="auto"/>
        <w:ind w:left="567" w:hanging="567"/>
        <w:rPr>
          <w:color w:val="auto"/>
        </w:rPr>
      </w:pPr>
      <w:r w:rsidRPr="008B4AB4">
        <w:rPr>
          <w:color w:val="auto"/>
        </w:rPr>
        <w:t xml:space="preserve">Ministry of Agriculture of the Republic of Kazakhstan. (2024). Press </w:t>
      </w:r>
      <w:r w:rsidR="00F74B07" w:rsidRPr="008B4AB4">
        <w:rPr>
          <w:color w:val="auto"/>
        </w:rPr>
        <w:t>r</w:t>
      </w:r>
      <w:r w:rsidRPr="008B4AB4">
        <w:rPr>
          <w:color w:val="auto"/>
        </w:rPr>
        <w:t xml:space="preserve">elease. </w:t>
      </w:r>
      <w:hyperlink r:id="rId12" w:history="1">
        <w:r w:rsidRPr="008B4AB4">
          <w:rPr>
            <w:rStyle w:val="af1"/>
            <w:rFonts w:eastAsiaTheme="majorEastAsia"/>
            <w:color w:val="auto"/>
          </w:rPr>
          <w:t>https://www.gov.kz/memleket/entities/moa/press/news/details/920462?lang=en</w:t>
        </w:r>
      </w:hyperlink>
      <w:r w:rsidRPr="008B4AB4">
        <w:rPr>
          <w:color w:val="auto"/>
        </w:rPr>
        <w:t xml:space="preserve"> </w:t>
      </w:r>
    </w:p>
    <w:p w14:paraId="51B4DDD4" w14:textId="25B832BA" w:rsidR="00D54155" w:rsidRPr="008B4AB4" w:rsidRDefault="00D54155" w:rsidP="001437B4">
      <w:pPr>
        <w:tabs>
          <w:tab w:val="left" w:pos="8931"/>
        </w:tabs>
        <w:spacing w:line="360" w:lineRule="auto"/>
        <w:ind w:left="567" w:hanging="567"/>
        <w:rPr>
          <w:color w:val="auto"/>
        </w:rPr>
      </w:pPr>
      <w:r w:rsidRPr="008B4AB4">
        <w:rPr>
          <w:rStyle w:val="rynqvb"/>
          <w:color w:val="auto"/>
          <w:lang w:val="en"/>
        </w:rPr>
        <w:t>Ministry of National Economy of the Republic of Kazakhstan. (2016).</w:t>
      </w:r>
      <w:r w:rsidRPr="008B4AB4">
        <w:rPr>
          <w:color w:val="auto"/>
        </w:rPr>
        <w:t xml:space="preserve"> Order of the Minister of National Economy of the Republic of Kazakhstan of December 9, 2016 No. 503 “On approval of scientifically based physiological standards for food consumption”. https://adilet.zan.kz/rus/docs/V1600014674 [in Russian]</w:t>
      </w:r>
    </w:p>
    <w:p w14:paraId="6B8A75B6"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Muthoni, J., &amp; Shimelis, H. (2020). Heat and drought stress and their implications on potato production under dry African tropics. Australian Journal of Crop Science, 14(9), 1405-1414. </w:t>
      </w:r>
      <w:r w:rsidRPr="008B4AB4">
        <w:rPr>
          <w:rFonts w:eastAsiaTheme="majorEastAsia"/>
          <w:color w:val="auto"/>
          <w:sz w:val="24"/>
          <w:szCs w:val="24"/>
        </w:rPr>
        <w:t>https://doi.org/10.21475/ajcs.20.14.09.p2402</w:t>
      </w:r>
    </w:p>
    <w:p w14:paraId="22AEFB60" w14:textId="77777777" w:rsidR="00D54155" w:rsidRPr="008B4AB4" w:rsidRDefault="00D54155" w:rsidP="001437B4">
      <w:pPr>
        <w:tabs>
          <w:tab w:val="left" w:pos="8931"/>
        </w:tabs>
        <w:spacing w:line="360" w:lineRule="auto"/>
        <w:ind w:left="567" w:hanging="567"/>
        <w:rPr>
          <w:color w:val="auto"/>
        </w:rPr>
      </w:pPr>
      <w:r w:rsidRPr="008B4AB4">
        <w:rPr>
          <w:color w:val="auto"/>
        </w:rPr>
        <w:t xml:space="preserve">Pavlova, M. N. (2006). Assessment of consumer properties and suitability for industrial processing of standard and prospective potato cultivars grown in Ryazan region. In </w:t>
      </w:r>
      <w:r w:rsidRPr="008B4AB4">
        <w:rPr>
          <w:color w:val="auto"/>
        </w:rPr>
        <w:lastRenderedPageBreak/>
        <w:t xml:space="preserve">Proceedings of young scientists of Ryazan State Agricultural Academy: Based on the materials of the scientific and practical conference, Ryazan, Russia (pp. 299-304). </w:t>
      </w:r>
      <w:r w:rsidRPr="008B4AB4">
        <w:rPr>
          <w:rStyle w:val="rynqvb"/>
          <w:color w:val="auto"/>
          <w:lang w:val="en"/>
        </w:rPr>
        <w:t>Ryazan: Ryazan State Agrotechnological University named after P.A.</w:t>
      </w:r>
      <w:r w:rsidRPr="008B4AB4">
        <w:rPr>
          <w:rStyle w:val="hwtze"/>
          <w:color w:val="auto"/>
          <w:lang w:val="en"/>
        </w:rPr>
        <w:t xml:space="preserve"> </w:t>
      </w:r>
      <w:r w:rsidRPr="008B4AB4">
        <w:rPr>
          <w:rStyle w:val="rynqvb"/>
          <w:color w:val="auto"/>
          <w:lang w:val="en"/>
        </w:rPr>
        <w:t>Kostychev.</w:t>
      </w:r>
    </w:p>
    <w:p w14:paraId="320EB384"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Piekutowska, M., Niedbała, G., Piskier, T., Lenartowicz, T., Pilarski, K., Wojciechowski, T., Pilarska, A. A., &amp; Czechowska-Kosacka, A. (2021). The application of multiple linear regression and artificial neural network models for yield prediction of very early potato Cultivars before Harvest. Agronomy, 11(5), 885. </w:t>
      </w:r>
      <w:r w:rsidRPr="008B4AB4">
        <w:rPr>
          <w:rFonts w:eastAsiaTheme="majorEastAsia"/>
          <w:color w:val="auto"/>
          <w:sz w:val="24"/>
          <w:szCs w:val="24"/>
        </w:rPr>
        <w:t>https://doi.org/10.3390/agronomy11050885</w:t>
      </w:r>
    </w:p>
    <w:p w14:paraId="188962CC"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Pino, M., &amp; Vergara, C. (2021). Red and purple flesh potatoes a healthy and attractive alternative associated with new market trends. In M. Yildiz, &amp; Y. Ozgen (Eds.), Solanum tuberosum - A promising crop for starvation problem. IntechOpen. </w:t>
      </w:r>
      <w:r w:rsidRPr="008B4AB4">
        <w:rPr>
          <w:rFonts w:eastAsiaTheme="majorEastAsia"/>
          <w:color w:val="auto"/>
          <w:sz w:val="24"/>
          <w:szCs w:val="24"/>
        </w:rPr>
        <w:t>https://doi.org/10.5772/intechopen.99181</w:t>
      </w:r>
    </w:p>
    <w:p w14:paraId="2DEE5C81" w14:textId="70F87A20" w:rsidR="00D54155" w:rsidRPr="008B4AB4" w:rsidRDefault="00D54155" w:rsidP="001437B4">
      <w:pPr>
        <w:tabs>
          <w:tab w:val="left" w:pos="8931"/>
        </w:tabs>
        <w:spacing w:line="360" w:lineRule="auto"/>
        <w:ind w:left="567" w:hanging="567"/>
        <w:rPr>
          <w:color w:val="auto"/>
        </w:rPr>
      </w:pPr>
      <w:r w:rsidRPr="008B4AB4">
        <w:rPr>
          <w:color w:val="auto"/>
          <w:lang w:val="sv-SE"/>
        </w:rPr>
        <w:t xml:space="preserve">Polivanova, O. B., &amp; Gins, E. M. (2019). </w:t>
      </w:r>
      <w:r w:rsidRPr="008B4AB4">
        <w:rPr>
          <w:color w:val="auto"/>
        </w:rPr>
        <w:t xml:space="preserve">Antioxidant activity of potatoes (Solanum tuberosum L.) and anthocyanin content, its biosynthesis and physiological role. </w:t>
      </w:r>
      <w:r w:rsidRPr="008B4AB4">
        <w:rPr>
          <w:iCs/>
          <w:color w:val="auto"/>
        </w:rPr>
        <w:t xml:space="preserve">Vegetable </w:t>
      </w:r>
      <w:r w:rsidR="00717B82" w:rsidRPr="008B4AB4">
        <w:rPr>
          <w:iCs/>
          <w:color w:val="auto"/>
        </w:rPr>
        <w:t>C</w:t>
      </w:r>
      <w:r w:rsidRPr="008B4AB4">
        <w:rPr>
          <w:iCs/>
          <w:color w:val="auto"/>
        </w:rPr>
        <w:t>rops of Russia</w:t>
      </w:r>
      <w:r w:rsidRPr="008B4AB4">
        <w:rPr>
          <w:color w:val="auto"/>
        </w:rPr>
        <w:t>, 6, 84-90. https://doi.org/10.18619/2072-9146-2019-6-84-90</w:t>
      </w:r>
    </w:p>
    <w:p w14:paraId="2C5F9768" w14:textId="77777777" w:rsidR="00D54155" w:rsidRPr="008B4AB4" w:rsidRDefault="00D54155" w:rsidP="001437B4">
      <w:pPr>
        <w:tabs>
          <w:tab w:val="left" w:pos="8931"/>
        </w:tabs>
        <w:spacing w:line="360" w:lineRule="auto"/>
        <w:ind w:left="567" w:hanging="567"/>
        <w:rPr>
          <w:color w:val="auto"/>
        </w:rPr>
      </w:pPr>
      <w:r w:rsidRPr="008B4AB4">
        <w:rPr>
          <w:color w:val="auto"/>
        </w:rPr>
        <w:t>Pozdnyakov, V. V., &amp; Vasilenko, A. A. (2017). Use of test systems for assessing the total antioxidant activity of seeds. Plant Breeding and Seed Production, 112, 153-163.</w:t>
      </w:r>
    </w:p>
    <w:p w14:paraId="6A4042C0" w14:textId="77777777" w:rsidR="00D54155" w:rsidRPr="008B4AB4" w:rsidRDefault="00D54155" w:rsidP="001437B4">
      <w:pPr>
        <w:tabs>
          <w:tab w:val="left" w:pos="8931"/>
        </w:tabs>
        <w:spacing w:line="360" w:lineRule="auto"/>
        <w:ind w:left="567" w:hanging="567"/>
        <w:rPr>
          <w:color w:val="auto"/>
          <w:lang w:val="es-ES"/>
        </w:rPr>
      </w:pPr>
      <w:r w:rsidRPr="008B4AB4">
        <w:rPr>
          <w:color w:val="auto"/>
        </w:rPr>
        <w:t xml:space="preserve">Rasheed, H., Ahmad, D., &amp; Bao, J. (2022). Genetic diversity and health properties of polyphenols in potato. </w:t>
      </w:r>
      <w:r w:rsidRPr="008B4AB4">
        <w:rPr>
          <w:color w:val="auto"/>
          <w:lang w:val="es-ES"/>
        </w:rPr>
        <w:t>Antioxidants, 11(4), 603. https://doi.org/10.3390/antiox11040603</w:t>
      </w:r>
    </w:p>
    <w:p w14:paraId="51C3E037"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lang w:val="es-ES"/>
        </w:rPr>
        <w:t xml:space="preserve">Samaniego, I., Espin, S., Cuesta, X., Arias, V., Rubio, A., Llerena, W., Angós, I., &amp; Carrillo, W. (2020). </w:t>
      </w:r>
      <w:r w:rsidRPr="008B4AB4">
        <w:rPr>
          <w:color w:val="auto"/>
          <w:sz w:val="24"/>
          <w:szCs w:val="24"/>
        </w:rPr>
        <w:t xml:space="preserve">Analysis of environmental conditions effect in the phytochemical composition of potato (Solanum tuberosum) cultivars. Plants, 9(7), 815. </w:t>
      </w:r>
      <w:r w:rsidRPr="008B4AB4">
        <w:rPr>
          <w:rFonts w:eastAsiaTheme="majorEastAsia"/>
          <w:color w:val="auto"/>
          <w:sz w:val="24"/>
          <w:szCs w:val="24"/>
        </w:rPr>
        <w:t>https://doi.org/10.3390/plants9070815</w:t>
      </w:r>
    </w:p>
    <w:p w14:paraId="3571DEAB"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Scavo, A., Mauromicale, G., &amp; Ierna, A. (2022). Dissecting the genotype × environment interaction for potato tuber yield and components. Agronomy, 13(1), 101. </w:t>
      </w:r>
      <w:r w:rsidRPr="008B4AB4">
        <w:rPr>
          <w:rFonts w:eastAsiaTheme="majorEastAsia"/>
          <w:color w:val="auto"/>
          <w:sz w:val="24"/>
          <w:szCs w:val="24"/>
        </w:rPr>
        <w:t>https://doi.org/10.3390/agronomy13010101</w:t>
      </w:r>
    </w:p>
    <w:p w14:paraId="3E4DB503" w14:textId="77777777" w:rsidR="00D54155" w:rsidRPr="008B4AB4" w:rsidRDefault="00D54155" w:rsidP="001437B4">
      <w:pPr>
        <w:tabs>
          <w:tab w:val="left" w:pos="8931"/>
        </w:tabs>
        <w:spacing w:line="360" w:lineRule="auto"/>
        <w:ind w:left="567" w:hanging="567"/>
        <w:rPr>
          <w:color w:val="auto"/>
        </w:rPr>
      </w:pPr>
      <w:r w:rsidRPr="008B4AB4">
        <w:rPr>
          <w:color w:val="auto"/>
        </w:rPr>
        <w:t>Sharova, Ye. I. (2016). Plant antioxidants: Textbook. St. Petersburg: St. Petersburg University Press. [in Russian]</w:t>
      </w:r>
    </w:p>
    <w:p w14:paraId="46261832" w14:textId="77777777" w:rsidR="00D54155" w:rsidRPr="008B4AB4" w:rsidRDefault="00D54155" w:rsidP="001437B4">
      <w:pPr>
        <w:tabs>
          <w:tab w:val="left" w:pos="8931"/>
        </w:tabs>
        <w:spacing w:line="360" w:lineRule="auto"/>
        <w:ind w:left="567" w:hanging="567"/>
        <w:rPr>
          <w:color w:val="auto"/>
        </w:rPr>
      </w:pPr>
      <w:r w:rsidRPr="008B4AB4">
        <w:rPr>
          <w:color w:val="auto"/>
        </w:rPr>
        <w:t xml:space="preserve">Simakov, E. A., Anisimov, B. V., Zhevora, S. V., Mityushkin, A. V., Zhuravlev, A. A., &amp; Gayzatulin, A. S. (2020). Current trends in the development of potato breeding and seed production in Russia. Potato and Vegetables, 12, 22-26. </w:t>
      </w:r>
      <w:hyperlink r:id="rId13" w:history="1">
        <w:r w:rsidRPr="008B4AB4">
          <w:rPr>
            <w:rStyle w:val="af1"/>
            <w:rFonts w:eastAsiaTheme="majorEastAsia"/>
            <w:color w:val="auto"/>
          </w:rPr>
          <w:t>https://doi.org/10.25630/PAV.2020.49.70.005</w:t>
        </w:r>
      </w:hyperlink>
    </w:p>
    <w:p w14:paraId="4DC7C62B"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lastRenderedPageBreak/>
        <w:t xml:space="preserve">Singh, B., Raigond, P., Dutt, S., &amp; Kumar, M. (2020). Potatoes for food and nutritional security. In P. Raigond, B. Singh, S. Dutt, and S. K. Chakrabarti (Eds.), Potato (pp. 1-12). Singapore: Springer. </w:t>
      </w:r>
      <w:hyperlink r:id="rId14" w:history="1">
        <w:r w:rsidRPr="008B4AB4">
          <w:rPr>
            <w:rStyle w:val="af1"/>
            <w:rFonts w:eastAsiaTheme="majorEastAsia"/>
            <w:color w:val="auto"/>
            <w:sz w:val="24"/>
            <w:szCs w:val="24"/>
          </w:rPr>
          <w:t>https://doi.org/10.1007/978-981-15-7662-1_1</w:t>
        </w:r>
      </w:hyperlink>
    </w:p>
    <w:p w14:paraId="3E7B036A" w14:textId="77777777" w:rsidR="00D54155" w:rsidRPr="008B4AB4" w:rsidRDefault="00D54155" w:rsidP="001437B4">
      <w:pPr>
        <w:tabs>
          <w:tab w:val="left" w:pos="8931"/>
        </w:tabs>
        <w:spacing w:line="360" w:lineRule="auto"/>
        <w:ind w:left="567" w:hanging="567"/>
        <w:rPr>
          <w:color w:val="auto"/>
        </w:rPr>
      </w:pPr>
      <w:r w:rsidRPr="008B4AB4">
        <w:rPr>
          <w:color w:val="auto"/>
        </w:rPr>
        <w:t xml:space="preserve">Solovyeva, A., Rogozina, E., Chalaya, N., &amp; Sitnikov, M. (2024). Biochemical composition of tubers of new Russian potato cultivars. Agronomy, 14(4), 834. https://doi.org/10.3390/agronomy14040834 </w:t>
      </w:r>
    </w:p>
    <w:p w14:paraId="103EDDC4" w14:textId="57B5CDEE" w:rsidR="00D54155" w:rsidRPr="008B4AB4" w:rsidRDefault="00D54155" w:rsidP="001437B4">
      <w:pPr>
        <w:tabs>
          <w:tab w:val="left" w:pos="8931"/>
        </w:tabs>
        <w:spacing w:line="360" w:lineRule="auto"/>
        <w:ind w:left="567" w:hanging="567"/>
        <w:rPr>
          <w:color w:val="auto"/>
        </w:rPr>
      </w:pPr>
      <w:r w:rsidRPr="008B4AB4">
        <w:rPr>
          <w:rStyle w:val="rynqvb"/>
          <w:color w:val="auto"/>
          <w:lang w:val="en"/>
        </w:rPr>
        <w:t xml:space="preserve">State Variety Commission. (2025). </w:t>
      </w:r>
      <w:r w:rsidRPr="008B4AB4">
        <w:rPr>
          <w:color w:val="auto"/>
        </w:rPr>
        <w:t xml:space="preserve">State register for breeding achievements admitted for use [Russian registry]. </w:t>
      </w:r>
      <w:hyperlink r:id="rId15" w:history="1">
        <w:r w:rsidRPr="008B4AB4">
          <w:rPr>
            <w:rStyle w:val="af1"/>
            <w:rFonts w:eastAsiaTheme="majorEastAsia"/>
            <w:color w:val="auto"/>
          </w:rPr>
          <w:t>https://reestr.gossortrf.ru](https://reestr.gossortrf.ru</w:t>
        </w:r>
      </w:hyperlink>
      <w:r w:rsidR="001815AA" w:rsidRPr="008B4AB4">
        <w:rPr>
          <w:color w:val="auto"/>
        </w:rPr>
        <w:t xml:space="preserve"> (a</w:t>
      </w:r>
      <w:r w:rsidRPr="008B4AB4">
        <w:rPr>
          <w:color w:val="auto"/>
        </w:rPr>
        <w:t>ccessed om March 14, 2025).</w:t>
      </w:r>
    </w:p>
    <w:p w14:paraId="56CE5D07" w14:textId="77777777" w:rsidR="00D54155" w:rsidRPr="008B4AB4" w:rsidRDefault="00D54155" w:rsidP="001437B4">
      <w:pPr>
        <w:tabs>
          <w:tab w:val="left" w:pos="8931"/>
        </w:tabs>
        <w:spacing w:line="360" w:lineRule="auto"/>
        <w:ind w:left="567" w:hanging="567"/>
        <w:rPr>
          <w:color w:val="auto"/>
        </w:rPr>
      </w:pPr>
      <w:r w:rsidRPr="008B4AB4">
        <w:rPr>
          <w:color w:val="auto"/>
        </w:rPr>
        <w:t>Sturaro, M. (2025). Carotenoids in potato tubers: A bright yellow future ahead. Plants, 14(2), 272. https://doi.org/10.3390/plants14020272</w:t>
      </w:r>
    </w:p>
    <w:p w14:paraId="11BFED04"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Tessema, L., Mohammed, W., &amp; Abebe, T. (2020). Evaluation of potato (Solanum tuberosum L.) varieties for yield and some agronomic traits. Open Agriculture, 5(1), 63-74. </w:t>
      </w:r>
      <w:r w:rsidRPr="008B4AB4">
        <w:rPr>
          <w:rFonts w:eastAsiaTheme="majorEastAsia"/>
          <w:color w:val="auto"/>
          <w:sz w:val="24"/>
          <w:szCs w:val="24"/>
        </w:rPr>
        <w:t>https://doi.org/10.1515/opag-2020-0006</w:t>
      </w:r>
    </w:p>
    <w:p w14:paraId="0AF87B1D"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Tunio, M. H., Gao, J., Shaikh, S. A., Lakhiar, I. A., Qureshi, W. A., Solangi, K. A., &amp; Chandio, F. A. (2020). Potato production in aeroponics: An emerging food growing system in sustainable agriculture forfood security. Chilean Journal of Agricultural Research, 80(1), 118-132. https://doi.org/10.4067/S0718-58392020000100118</w:t>
      </w:r>
    </w:p>
    <w:p w14:paraId="4AAD3D81" w14:textId="77777777" w:rsidR="00895FA2" w:rsidRPr="008B4AB4" w:rsidRDefault="00895FA2" w:rsidP="00895FA2">
      <w:pPr>
        <w:pStyle w:val="a6"/>
        <w:tabs>
          <w:tab w:val="left" w:pos="420"/>
        </w:tabs>
        <w:spacing w:line="360" w:lineRule="auto"/>
        <w:ind w:left="567" w:hanging="567"/>
        <w:rPr>
          <w:color w:val="auto"/>
          <w:sz w:val="24"/>
          <w:szCs w:val="24"/>
        </w:rPr>
      </w:pPr>
      <w:r w:rsidRPr="008B4AB4">
        <w:rPr>
          <w:color w:val="auto"/>
          <w:sz w:val="24"/>
          <w:szCs w:val="24"/>
        </w:rPr>
        <w:t xml:space="preserve">Wang, H., Li, J., Liu, H., Chen, S., Zaman, Q. U., Rehman, M., El-Kahtany, K., Fahad, S., Deng, G., &amp; Yang, J. (2023). Variability in morpho-biochemical, photosynthetic pigmentation, enzymatic and quality attributes of potato for salinity stress tolerance. Plant Physiology and Biochemistry, 203, 108036. </w:t>
      </w:r>
      <w:r w:rsidRPr="008B4AB4">
        <w:rPr>
          <w:rFonts w:eastAsiaTheme="majorEastAsia"/>
          <w:color w:val="auto"/>
          <w:sz w:val="24"/>
          <w:szCs w:val="24"/>
        </w:rPr>
        <w:t>https://doi.org/10.1016/j.plaphy.2023.108036</w:t>
      </w:r>
    </w:p>
    <w:p w14:paraId="45D3B18E" w14:textId="77777777" w:rsidR="00D54155" w:rsidRPr="008B4AB4" w:rsidRDefault="00D54155" w:rsidP="001437B4">
      <w:pPr>
        <w:tabs>
          <w:tab w:val="left" w:pos="8931"/>
        </w:tabs>
        <w:spacing w:line="360" w:lineRule="auto"/>
        <w:ind w:left="567" w:hanging="567"/>
        <w:rPr>
          <w:color w:val="auto"/>
        </w:rPr>
      </w:pPr>
      <w:r w:rsidRPr="008B4AB4">
        <w:rPr>
          <w:color w:val="auto"/>
        </w:rPr>
        <w:t>Wu, X., Beecher, G. R., Holden, J. M., Haytowitz, D. B., &amp; Gebhardt, S. E. (2006). Concentrations of anthocyanins in common foods in the United States and estimation of normal consumption. Journal of Agricultural and Food Chemistry, 54(11), 4069-4075. https://doi.org/10.1021/jf060300l</w:t>
      </w:r>
    </w:p>
    <w:p w14:paraId="7F2C6E54" w14:textId="77777777" w:rsidR="00895FA2" w:rsidRPr="008B4AB4" w:rsidRDefault="00895FA2" w:rsidP="00895FA2">
      <w:pPr>
        <w:spacing w:line="360" w:lineRule="auto"/>
        <w:ind w:left="567" w:hanging="567"/>
        <w:rPr>
          <w:rFonts w:eastAsiaTheme="majorEastAsia"/>
          <w:color w:val="auto"/>
          <w:szCs w:val="24"/>
        </w:rPr>
      </w:pPr>
      <w:r w:rsidRPr="008B4AB4">
        <w:rPr>
          <w:color w:val="auto"/>
          <w:szCs w:val="24"/>
        </w:rPr>
        <w:t xml:space="preserve">Wu, X., &amp; Xiao, J. (2024). Response and adaptive mechanism of flavonoids in pigmented potatoes at different altitudes. Plant and Cell Physiology, 65(7), 1184-1196. </w:t>
      </w:r>
      <w:hyperlink r:id="rId16" w:history="1">
        <w:r w:rsidRPr="008B4AB4">
          <w:rPr>
            <w:rStyle w:val="af1"/>
            <w:rFonts w:eastAsiaTheme="majorEastAsia"/>
            <w:color w:val="auto"/>
            <w:szCs w:val="24"/>
          </w:rPr>
          <w:t>https://doi.org/10.1093/pcp/pcae045</w:t>
        </w:r>
      </w:hyperlink>
    </w:p>
    <w:p w14:paraId="734A2378" w14:textId="7517189A" w:rsidR="000D463E" w:rsidRPr="008B4AB4" w:rsidRDefault="000D463E" w:rsidP="000D463E">
      <w:pPr>
        <w:tabs>
          <w:tab w:val="left" w:pos="8931"/>
        </w:tabs>
        <w:spacing w:line="360" w:lineRule="auto"/>
        <w:ind w:left="567" w:hanging="567"/>
        <w:rPr>
          <w:rFonts w:eastAsiaTheme="majorEastAsia"/>
          <w:color w:val="auto"/>
        </w:rPr>
      </w:pPr>
      <w:r w:rsidRPr="008B4AB4">
        <w:rPr>
          <w:color w:val="auto"/>
        </w:rPr>
        <w:t xml:space="preserve">Zhang, Z., Zhou, D., Li, S., Pan, J., Liang, J., Wu, X., Wu, X. N., Krall, L., &amp; Zhu, G. (2023). Multiomics analysis reveals the chemical and genetic bases of pigmented potato tuber. Journal of Agricultural and Food Chemistry, 71(43), 16402-16416. </w:t>
      </w:r>
      <w:hyperlink r:id="rId17" w:history="1">
        <w:r w:rsidRPr="008B4AB4">
          <w:rPr>
            <w:rStyle w:val="af1"/>
            <w:rFonts w:eastAsiaTheme="majorEastAsia"/>
            <w:color w:val="auto"/>
          </w:rPr>
          <w:t>https://doi.org/10.1021/acs.jafc.3c04979</w:t>
        </w:r>
      </w:hyperlink>
    </w:p>
    <w:p w14:paraId="079E2850" w14:textId="7E3FA3A8" w:rsidR="00374E79" w:rsidRPr="008B4AB4" w:rsidRDefault="00D54155" w:rsidP="000D463E">
      <w:pPr>
        <w:tabs>
          <w:tab w:val="left" w:pos="8931"/>
        </w:tabs>
        <w:spacing w:line="360" w:lineRule="auto"/>
        <w:ind w:left="567" w:hanging="567"/>
        <w:rPr>
          <w:color w:val="auto"/>
        </w:rPr>
      </w:pPr>
      <w:r w:rsidRPr="008B4AB4">
        <w:rPr>
          <w:color w:val="auto"/>
          <w:lang w:val="es-ES"/>
        </w:rPr>
        <w:lastRenderedPageBreak/>
        <w:t xml:space="preserve">Zhevora, S. V., Starovoitov, V. I., Yashin, A. Y., Manokhina, A. A., &amp; Yashin, Ya. I. (2021). </w:t>
      </w:r>
      <w:r w:rsidRPr="008B4AB4">
        <w:rPr>
          <w:color w:val="auto"/>
        </w:rPr>
        <w:t xml:space="preserve">Research of the chemical composition and antioxidant activity of potatoes. Science in the Central Russia, 1, 80-87. </w:t>
      </w:r>
      <w:hyperlink r:id="rId18" w:history="1">
        <w:r w:rsidRPr="008B4AB4">
          <w:rPr>
            <w:rStyle w:val="af1"/>
            <w:rFonts w:eastAsiaTheme="majorEastAsia"/>
            <w:color w:val="auto"/>
          </w:rPr>
          <w:t>https://doi.org/10.35887/2305-2538-2021-1-80-87</w:t>
        </w:r>
      </w:hyperlink>
      <w:r w:rsidR="00374E79" w:rsidRPr="008B4AB4">
        <w:rPr>
          <w:b/>
          <w:color w:val="auto"/>
        </w:rPr>
        <w:br w:type="page"/>
      </w:r>
    </w:p>
    <w:p w14:paraId="4865C498" w14:textId="77777777" w:rsidR="00B42121" w:rsidRPr="008B4AB4" w:rsidRDefault="00B42121" w:rsidP="00B42121">
      <w:pPr>
        <w:spacing w:line="240" w:lineRule="auto"/>
        <w:rPr>
          <w:color w:val="auto"/>
          <w:szCs w:val="24"/>
        </w:rPr>
      </w:pPr>
      <w:r w:rsidRPr="008B4AB4">
        <w:rPr>
          <w:b/>
          <w:color w:val="auto"/>
          <w:szCs w:val="24"/>
        </w:rPr>
        <w:lastRenderedPageBreak/>
        <w:t>Table 1:</w:t>
      </w:r>
      <w:r w:rsidRPr="008B4AB4">
        <w:rPr>
          <w:color w:val="auto"/>
          <w:szCs w:val="24"/>
        </w:rPr>
        <w:t xml:space="preserve"> Research material</w:t>
      </w:r>
    </w:p>
    <w:tbl>
      <w:tblPr>
        <w:tblW w:w="9015" w:type="dxa"/>
        <w:tblLayout w:type="fixed"/>
        <w:tblLook w:val="04A0" w:firstRow="1" w:lastRow="0" w:firstColumn="1" w:lastColumn="0" w:noHBand="0" w:noVBand="1"/>
      </w:tblPr>
      <w:tblGrid>
        <w:gridCol w:w="526"/>
        <w:gridCol w:w="1176"/>
        <w:gridCol w:w="1132"/>
        <w:gridCol w:w="1985"/>
        <w:gridCol w:w="1277"/>
        <w:gridCol w:w="1206"/>
        <w:gridCol w:w="793"/>
        <w:gridCol w:w="920"/>
      </w:tblGrid>
      <w:tr w:rsidR="008B4AB4" w:rsidRPr="008B4AB4" w14:paraId="00E79C5B" w14:textId="77777777" w:rsidTr="00A80EC6">
        <w:trPr>
          <w:trHeight w:val="20"/>
        </w:trPr>
        <w:tc>
          <w:tcPr>
            <w:tcW w:w="292" w:type="pct"/>
            <w:tcBorders>
              <w:top w:val="single" w:sz="4" w:space="0" w:color="auto"/>
              <w:bottom w:val="single" w:sz="4" w:space="0" w:color="auto"/>
            </w:tcBorders>
            <w:shd w:val="clear" w:color="auto" w:fill="E7E6E6"/>
            <w:vAlign w:val="center"/>
          </w:tcPr>
          <w:p w14:paraId="0333D2D0"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No</w:t>
            </w:r>
          </w:p>
        </w:tc>
        <w:tc>
          <w:tcPr>
            <w:tcW w:w="652" w:type="pct"/>
            <w:tcBorders>
              <w:top w:val="single" w:sz="4" w:space="0" w:color="auto"/>
              <w:bottom w:val="single" w:sz="4" w:space="0" w:color="auto"/>
            </w:tcBorders>
            <w:shd w:val="clear" w:color="auto" w:fill="E7E6E6"/>
            <w:vAlign w:val="center"/>
          </w:tcPr>
          <w:p w14:paraId="762B35FF"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Selection sample</w:t>
            </w:r>
          </w:p>
        </w:tc>
        <w:tc>
          <w:tcPr>
            <w:tcW w:w="628" w:type="pct"/>
            <w:tcBorders>
              <w:top w:val="single" w:sz="4" w:space="0" w:color="auto"/>
              <w:bottom w:val="single" w:sz="4" w:space="0" w:color="auto"/>
            </w:tcBorders>
            <w:shd w:val="clear" w:color="auto" w:fill="E7E6E6"/>
          </w:tcPr>
          <w:p w14:paraId="72C37FEE"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Accession</w:t>
            </w:r>
          </w:p>
          <w:p w14:paraId="510FCDD0"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collection</w:t>
            </w:r>
          </w:p>
          <w:p w14:paraId="6657843E"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number</w:t>
            </w:r>
          </w:p>
        </w:tc>
        <w:tc>
          <w:tcPr>
            <w:tcW w:w="1101" w:type="pct"/>
            <w:tcBorders>
              <w:top w:val="single" w:sz="4" w:space="0" w:color="auto"/>
              <w:bottom w:val="single" w:sz="4" w:space="0" w:color="auto"/>
            </w:tcBorders>
            <w:shd w:val="clear" w:color="auto" w:fill="E7E6E6"/>
            <w:vAlign w:val="center"/>
          </w:tcPr>
          <w:p w14:paraId="46793D01"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Pedigree</w:t>
            </w:r>
          </w:p>
        </w:tc>
        <w:tc>
          <w:tcPr>
            <w:tcW w:w="708" w:type="pct"/>
            <w:tcBorders>
              <w:top w:val="single" w:sz="4" w:space="0" w:color="auto"/>
              <w:bottom w:val="single" w:sz="4" w:space="0" w:color="auto"/>
            </w:tcBorders>
            <w:shd w:val="clear" w:color="auto" w:fill="E7E6E6"/>
            <w:vAlign w:val="center"/>
          </w:tcPr>
          <w:p w14:paraId="34261A38"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 xml:space="preserve">Maturity </w:t>
            </w:r>
          </w:p>
        </w:tc>
        <w:tc>
          <w:tcPr>
            <w:tcW w:w="669" w:type="pct"/>
            <w:tcBorders>
              <w:top w:val="single" w:sz="4" w:space="0" w:color="auto"/>
              <w:bottom w:val="single" w:sz="4" w:space="0" w:color="auto"/>
            </w:tcBorders>
            <w:shd w:val="clear" w:color="auto" w:fill="E7E6E6"/>
            <w:vAlign w:val="center"/>
          </w:tcPr>
          <w:p w14:paraId="34C89B6E"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Tuber shape</w:t>
            </w:r>
          </w:p>
        </w:tc>
        <w:tc>
          <w:tcPr>
            <w:tcW w:w="440" w:type="pct"/>
            <w:tcBorders>
              <w:top w:val="single" w:sz="4" w:space="0" w:color="auto"/>
              <w:bottom w:val="single" w:sz="4" w:space="0" w:color="auto"/>
            </w:tcBorders>
            <w:shd w:val="clear" w:color="auto" w:fill="E7E6E6"/>
            <w:vAlign w:val="center"/>
          </w:tcPr>
          <w:p w14:paraId="0EFF9093"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Skin color</w:t>
            </w:r>
          </w:p>
        </w:tc>
        <w:tc>
          <w:tcPr>
            <w:tcW w:w="510" w:type="pct"/>
            <w:tcBorders>
              <w:top w:val="single" w:sz="4" w:space="0" w:color="auto"/>
              <w:bottom w:val="single" w:sz="4" w:space="0" w:color="auto"/>
            </w:tcBorders>
            <w:shd w:val="clear" w:color="auto" w:fill="E7E6E6"/>
            <w:vAlign w:val="center"/>
          </w:tcPr>
          <w:p w14:paraId="7D5A010F" w14:textId="77777777" w:rsidR="00B42121" w:rsidRPr="008B4AB4" w:rsidRDefault="00B42121" w:rsidP="00B42121">
            <w:pPr>
              <w:widowControl w:val="0"/>
              <w:autoSpaceDE w:val="0"/>
              <w:autoSpaceDN w:val="0"/>
              <w:adjustRightInd w:val="0"/>
              <w:spacing w:line="240" w:lineRule="auto"/>
              <w:jc w:val="center"/>
              <w:rPr>
                <w:b/>
                <w:color w:val="auto"/>
                <w:sz w:val="20"/>
                <w:szCs w:val="24"/>
              </w:rPr>
            </w:pPr>
            <w:r w:rsidRPr="008B4AB4">
              <w:rPr>
                <w:b/>
                <w:color w:val="auto"/>
                <w:sz w:val="20"/>
                <w:szCs w:val="24"/>
              </w:rPr>
              <w:t>Flesh color</w:t>
            </w:r>
          </w:p>
        </w:tc>
      </w:tr>
      <w:tr w:rsidR="008B4AB4" w:rsidRPr="008B4AB4" w14:paraId="230D7574" w14:textId="77777777" w:rsidTr="00A80EC6">
        <w:trPr>
          <w:trHeight w:val="20"/>
        </w:trPr>
        <w:tc>
          <w:tcPr>
            <w:tcW w:w="292" w:type="pct"/>
            <w:tcBorders>
              <w:top w:val="single" w:sz="4" w:space="0" w:color="auto"/>
              <w:bottom w:val="single" w:sz="4" w:space="0" w:color="auto"/>
            </w:tcBorders>
            <w:shd w:val="clear" w:color="000000" w:fill="FFFFFF"/>
          </w:tcPr>
          <w:p w14:paraId="506604EE"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1</w:t>
            </w:r>
          </w:p>
        </w:tc>
        <w:tc>
          <w:tcPr>
            <w:tcW w:w="652" w:type="pct"/>
            <w:tcBorders>
              <w:top w:val="single" w:sz="4" w:space="0" w:color="auto"/>
              <w:bottom w:val="single" w:sz="4" w:space="0" w:color="auto"/>
            </w:tcBorders>
            <w:shd w:val="clear" w:color="000000" w:fill="FFFFFF"/>
          </w:tcPr>
          <w:p w14:paraId="74D80F4D"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Kiru</w:t>
            </w:r>
          </w:p>
        </w:tc>
        <w:tc>
          <w:tcPr>
            <w:tcW w:w="628" w:type="pct"/>
            <w:tcBorders>
              <w:top w:val="single" w:sz="4" w:space="0" w:color="auto"/>
              <w:bottom w:val="single" w:sz="4" w:space="0" w:color="auto"/>
            </w:tcBorders>
            <w:shd w:val="clear" w:color="000000" w:fill="FFFFFF"/>
          </w:tcPr>
          <w:p w14:paraId="1FCFF768" w14:textId="77777777" w:rsidR="00B42121" w:rsidRPr="008B4AB4" w:rsidRDefault="00B42121" w:rsidP="00B42121">
            <w:pPr>
              <w:widowControl w:val="0"/>
              <w:autoSpaceDE w:val="0"/>
              <w:autoSpaceDN w:val="0"/>
              <w:adjustRightInd w:val="0"/>
              <w:spacing w:line="240" w:lineRule="auto"/>
              <w:jc w:val="center"/>
              <w:rPr>
                <w:color w:val="auto"/>
                <w:sz w:val="20"/>
                <w:szCs w:val="24"/>
                <w:lang w:val="ru-RU"/>
              </w:rPr>
            </w:pPr>
            <w:r w:rsidRPr="008B4AB4">
              <w:rPr>
                <w:color w:val="auto"/>
                <w:sz w:val="20"/>
                <w:szCs w:val="24"/>
                <w:lang w:val="ru-RU"/>
              </w:rPr>
              <w:t>25255</w:t>
            </w:r>
          </w:p>
        </w:tc>
        <w:tc>
          <w:tcPr>
            <w:tcW w:w="1101" w:type="pct"/>
            <w:tcBorders>
              <w:top w:val="single" w:sz="4" w:space="0" w:color="auto"/>
              <w:bottom w:val="single" w:sz="4" w:space="0" w:color="auto"/>
            </w:tcBorders>
            <w:shd w:val="clear" w:color="000000" w:fill="FFFFFF"/>
          </w:tcPr>
          <w:p w14:paraId="08532322"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Seedling of the Stepan variety</w:t>
            </w:r>
          </w:p>
        </w:tc>
        <w:tc>
          <w:tcPr>
            <w:tcW w:w="708" w:type="pct"/>
            <w:tcBorders>
              <w:top w:val="single" w:sz="4" w:space="0" w:color="auto"/>
              <w:bottom w:val="single" w:sz="4" w:space="0" w:color="auto"/>
            </w:tcBorders>
            <w:shd w:val="clear" w:color="000000" w:fill="FFFFFF"/>
          </w:tcPr>
          <w:p w14:paraId="7877745D"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Late-maturing</w:t>
            </w:r>
          </w:p>
        </w:tc>
        <w:tc>
          <w:tcPr>
            <w:tcW w:w="669" w:type="pct"/>
            <w:tcBorders>
              <w:top w:val="single" w:sz="4" w:space="0" w:color="auto"/>
              <w:bottom w:val="single" w:sz="4" w:space="0" w:color="auto"/>
            </w:tcBorders>
            <w:shd w:val="clear" w:color="000000" w:fill="FFFFFF"/>
          </w:tcPr>
          <w:p w14:paraId="19B809A6"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Round</w:t>
            </w:r>
          </w:p>
        </w:tc>
        <w:tc>
          <w:tcPr>
            <w:tcW w:w="440" w:type="pct"/>
            <w:tcBorders>
              <w:top w:val="single" w:sz="4" w:space="0" w:color="auto"/>
              <w:bottom w:val="single" w:sz="4" w:space="0" w:color="auto"/>
            </w:tcBorders>
            <w:shd w:val="clear" w:color="000000" w:fill="FFFFFF"/>
          </w:tcPr>
          <w:p w14:paraId="4456F481"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Purple</w:t>
            </w:r>
          </w:p>
        </w:tc>
        <w:tc>
          <w:tcPr>
            <w:tcW w:w="510" w:type="pct"/>
            <w:tcBorders>
              <w:top w:val="single" w:sz="4" w:space="0" w:color="auto"/>
              <w:bottom w:val="single" w:sz="4" w:space="0" w:color="auto"/>
            </w:tcBorders>
            <w:shd w:val="clear" w:color="000000" w:fill="FFFFFF"/>
          </w:tcPr>
          <w:p w14:paraId="56EED27A"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Purple</w:t>
            </w:r>
          </w:p>
        </w:tc>
      </w:tr>
      <w:tr w:rsidR="008B4AB4" w:rsidRPr="008B4AB4" w14:paraId="07DE87A6" w14:textId="77777777" w:rsidTr="00A80EC6">
        <w:trPr>
          <w:trHeight w:val="20"/>
        </w:trPr>
        <w:tc>
          <w:tcPr>
            <w:tcW w:w="292" w:type="pct"/>
            <w:tcBorders>
              <w:top w:val="single" w:sz="4" w:space="0" w:color="auto"/>
              <w:bottom w:val="single" w:sz="4" w:space="0" w:color="auto"/>
            </w:tcBorders>
            <w:shd w:val="clear" w:color="000000" w:fill="FFFFFF"/>
          </w:tcPr>
          <w:p w14:paraId="565FA287"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2</w:t>
            </w:r>
          </w:p>
        </w:tc>
        <w:tc>
          <w:tcPr>
            <w:tcW w:w="652" w:type="pct"/>
            <w:tcBorders>
              <w:top w:val="single" w:sz="4" w:space="0" w:color="auto"/>
              <w:bottom w:val="single" w:sz="4" w:space="0" w:color="auto"/>
            </w:tcBorders>
            <w:shd w:val="clear" w:color="000000" w:fill="FFFFFF"/>
          </w:tcPr>
          <w:p w14:paraId="2DEB0882"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Tanyusha</w:t>
            </w:r>
          </w:p>
        </w:tc>
        <w:tc>
          <w:tcPr>
            <w:tcW w:w="628" w:type="pct"/>
            <w:tcBorders>
              <w:top w:val="single" w:sz="4" w:space="0" w:color="auto"/>
              <w:bottom w:val="single" w:sz="4" w:space="0" w:color="auto"/>
            </w:tcBorders>
            <w:shd w:val="clear" w:color="000000" w:fill="FFFFFF"/>
          </w:tcPr>
          <w:p w14:paraId="2CB2398C" w14:textId="77777777" w:rsidR="00B42121" w:rsidRPr="008B4AB4" w:rsidRDefault="00B42121" w:rsidP="00B42121">
            <w:pPr>
              <w:widowControl w:val="0"/>
              <w:autoSpaceDE w:val="0"/>
              <w:autoSpaceDN w:val="0"/>
              <w:adjustRightInd w:val="0"/>
              <w:spacing w:line="240" w:lineRule="auto"/>
              <w:jc w:val="center"/>
              <w:rPr>
                <w:color w:val="auto"/>
                <w:sz w:val="20"/>
                <w:szCs w:val="24"/>
              </w:rPr>
            </w:pPr>
            <w:r w:rsidRPr="008B4AB4">
              <w:rPr>
                <w:color w:val="auto"/>
                <w:sz w:val="20"/>
                <w:szCs w:val="24"/>
              </w:rPr>
              <w:t>25550</w:t>
            </w:r>
          </w:p>
        </w:tc>
        <w:tc>
          <w:tcPr>
            <w:tcW w:w="1101" w:type="pct"/>
            <w:tcBorders>
              <w:top w:val="single" w:sz="4" w:space="0" w:color="auto"/>
              <w:bottom w:val="single" w:sz="4" w:space="0" w:color="auto"/>
            </w:tcBorders>
            <w:shd w:val="clear" w:color="000000" w:fill="FFFFFF"/>
          </w:tcPr>
          <w:p w14:paraId="4C566CED"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Spontaneous mutagenesis of the Travnik breeding sample</w:t>
            </w:r>
          </w:p>
        </w:tc>
        <w:tc>
          <w:tcPr>
            <w:tcW w:w="708" w:type="pct"/>
            <w:tcBorders>
              <w:top w:val="single" w:sz="4" w:space="0" w:color="auto"/>
              <w:bottom w:val="single" w:sz="4" w:space="0" w:color="auto"/>
            </w:tcBorders>
            <w:shd w:val="clear" w:color="000000" w:fill="FFFFFF"/>
          </w:tcPr>
          <w:p w14:paraId="2A9D9B5D"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Late-maturing</w:t>
            </w:r>
          </w:p>
        </w:tc>
        <w:tc>
          <w:tcPr>
            <w:tcW w:w="669" w:type="pct"/>
            <w:tcBorders>
              <w:top w:val="single" w:sz="4" w:space="0" w:color="auto"/>
              <w:bottom w:val="single" w:sz="4" w:space="0" w:color="auto"/>
            </w:tcBorders>
            <w:shd w:val="clear" w:color="000000" w:fill="FFFFFF"/>
          </w:tcPr>
          <w:p w14:paraId="7B5DFB66"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Elongated oval</w:t>
            </w:r>
          </w:p>
        </w:tc>
        <w:tc>
          <w:tcPr>
            <w:tcW w:w="440" w:type="pct"/>
            <w:tcBorders>
              <w:top w:val="single" w:sz="4" w:space="0" w:color="auto"/>
              <w:bottom w:val="single" w:sz="4" w:space="0" w:color="auto"/>
            </w:tcBorders>
            <w:shd w:val="clear" w:color="000000" w:fill="FFFFFF"/>
          </w:tcPr>
          <w:p w14:paraId="5F82763B"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Red</w:t>
            </w:r>
          </w:p>
        </w:tc>
        <w:tc>
          <w:tcPr>
            <w:tcW w:w="510" w:type="pct"/>
            <w:tcBorders>
              <w:top w:val="single" w:sz="4" w:space="0" w:color="auto"/>
              <w:bottom w:val="single" w:sz="4" w:space="0" w:color="auto"/>
            </w:tcBorders>
            <w:shd w:val="clear" w:color="000000" w:fill="FFFFFF"/>
          </w:tcPr>
          <w:p w14:paraId="2AFEB124" w14:textId="77777777" w:rsidR="00B42121" w:rsidRPr="008B4AB4" w:rsidRDefault="00B42121" w:rsidP="00B42121">
            <w:pPr>
              <w:spacing w:line="240" w:lineRule="auto"/>
              <w:rPr>
                <w:color w:val="auto"/>
                <w:sz w:val="20"/>
                <w:szCs w:val="24"/>
              </w:rPr>
            </w:pPr>
            <w:r w:rsidRPr="008B4AB4">
              <w:rPr>
                <w:color w:val="auto"/>
                <w:sz w:val="20"/>
                <w:szCs w:val="24"/>
              </w:rPr>
              <w:t>Red</w:t>
            </w:r>
          </w:p>
        </w:tc>
      </w:tr>
      <w:tr w:rsidR="008B4AB4" w:rsidRPr="008B4AB4" w14:paraId="00865611" w14:textId="77777777" w:rsidTr="00A80EC6">
        <w:trPr>
          <w:trHeight w:val="20"/>
        </w:trPr>
        <w:tc>
          <w:tcPr>
            <w:tcW w:w="292" w:type="pct"/>
            <w:tcBorders>
              <w:top w:val="single" w:sz="4" w:space="0" w:color="auto"/>
              <w:bottom w:val="single" w:sz="4" w:space="0" w:color="auto"/>
            </w:tcBorders>
            <w:shd w:val="clear" w:color="000000" w:fill="FFFFFF"/>
          </w:tcPr>
          <w:p w14:paraId="7F06AF69"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3</w:t>
            </w:r>
          </w:p>
        </w:tc>
        <w:tc>
          <w:tcPr>
            <w:tcW w:w="652" w:type="pct"/>
            <w:tcBorders>
              <w:top w:val="single" w:sz="4" w:space="0" w:color="auto"/>
              <w:bottom w:val="single" w:sz="4" w:space="0" w:color="auto"/>
            </w:tcBorders>
            <w:shd w:val="clear" w:color="000000" w:fill="FFFFFF"/>
          </w:tcPr>
          <w:p w14:paraId="3E84539E"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Travnik</w:t>
            </w:r>
          </w:p>
        </w:tc>
        <w:tc>
          <w:tcPr>
            <w:tcW w:w="628" w:type="pct"/>
            <w:tcBorders>
              <w:top w:val="single" w:sz="4" w:space="0" w:color="auto"/>
              <w:bottom w:val="single" w:sz="4" w:space="0" w:color="auto"/>
            </w:tcBorders>
            <w:shd w:val="clear" w:color="000000" w:fill="FFFFFF"/>
          </w:tcPr>
          <w:p w14:paraId="7588B3A1" w14:textId="77777777" w:rsidR="00B42121" w:rsidRPr="008B4AB4" w:rsidRDefault="00B42121" w:rsidP="00B42121">
            <w:pPr>
              <w:widowControl w:val="0"/>
              <w:autoSpaceDE w:val="0"/>
              <w:autoSpaceDN w:val="0"/>
              <w:adjustRightInd w:val="0"/>
              <w:spacing w:line="240" w:lineRule="auto"/>
              <w:jc w:val="center"/>
              <w:rPr>
                <w:color w:val="auto"/>
                <w:sz w:val="20"/>
                <w:szCs w:val="24"/>
              </w:rPr>
            </w:pPr>
            <w:r w:rsidRPr="008B4AB4">
              <w:rPr>
                <w:color w:val="auto"/>
                <w:sz w:val="20"/>
                <w:szCs w:val="24"/>
              </w:rPr>
              <w:t>25549</w:t>
            </w:r>
          </w:p>
        </w:tc>
        <w:tc>
          <w:tcPr>
            <w:tcW w:w="1101" w:type="pct"/>
            <w:tcBorders>
              <w:top w:val="single" w:sz="4" w:space="0" w:color="auto"/>
              <w:bottom w:val="single" w:sz="4" w:space="0" w:color="auto"/>
            </w:tcBorders>
            <w:shd w:val="clear" w:color="000000" w:fill="FFFFFF"/>
          </w:tcPr>
          <w:p w14:paraId="18602286"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Seedling of the Stepan variety</w:t>
            </w:r>
          </w:p>
        </w:tc>
        <w:tc>
          <w:tcPr>
            <w:tcW w:w="708" w:type="pct"/>
            <w:tcBorders>
              <w:top w:val="single" w:sz="4" w:space="0" w:color="auto"/>
              <w:bottom w:val="single" w:sz="4" w:space="0" w:color="auto"/>
            </w:tcBorders>
            <w:shd w:val="clear" w:color="000000" w:fill="FFFFFF"/>
          </w:tcPr>
          <w:p w14:paraId="3B192C0C"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Late-maturing</w:t>
            </w:r>
          </w:p>
        </w:tc>
        <w:tc>
          <w:tcPr>
            <w:tcW w:w="669" w:type="pct"/>
            <w:tcBorders>
              <w:top w:val="single" w:sz="4" w:space="0" w:color="auto"/>
              <w:bottom w:val="single" w:sz="4" w:space="0" w:color="auto"/>
            </w:tcBorders>
            <w:shd w:val="clear" w:color="000000" w:fill="FFFFFF"/>
          </w:tcPr>
          <w:p w14:paraId="4FBB9922"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Elongated oval</w:t>
            </w:r>
          </w:p>
        </w:tc>
        <w:tc>
          <w:tcPr>
            <w:tcW w:w="440" w:type="pct"/>
            <w:tcBorders>
              <w:top w:val="single" w:sz="4" w:space="0" w:color="auto"/>
              <w:bottom w:val="single" w:sz="4" w:space="0" w:color="auto"/>
            </w:tcBorders>
            <w:shd w:val="clear" w:color="000000" w:fill="FFFFFF"/>
          </w:tcPr>
          <w:p w14:paraId="6AEE7FD8" w14:textId="77777777" w:rsidR="00B42121" w:rsidRPr="008B4AB4" w:rsidRDefault="00B42121" w:rsidP="00B42121">
            <w:pPr>
              <w:spacing w:line="240" w:lineRule="auto"/>
              <w:rPr>
                <w:color w:val="auto"/>
                <w:sz w:val="20"/>
                <w:szCs w:val="24"/>
              </w:rPr>
            </w:pPr>
            <w:r w:rsidRPr="008B4AB4">
              <w:rPr>
                <w:color w:val="auto"/>
                <w:sz w:val="20"/>
                <w:szCs w:val="24"/>
              </w:rPr>
              <w:t>Red</w:t>
            </w:r>
          </w:p>
        </w:tc>
        <w:tc>
          <w:tcPr>
            <w:tcW w:w="510" w:type="pct"/>
            <w:tcBorders>
              <w:top w:val="single" w:sz="4" w:space="0" w:color="auto"/>
              <w:bottom w:val="single" w:sz="4" w:space="0" w:color="auto"/>
            </w:tcBorders>
            <w:shd w:val="clear" w:color="000000" w:fill="FFFFFF"/>
          </w:tcPr>
          <w:p w14:paraId="5AAB8125" w14:textId="77777777" w:rsidR="00B42121" w:rsidRPr="008B4AB4" w:rsidRDefault="00B42121" w:rsidP="00B42121">
            <w:pPr>
              <w:spacing w:line="240" w:lineRule="auto"/>
              <w:rPr>
                <w:color w:val="auto"/>
                <w:sz w:val="20"/>
                <w:szCs w:val="24"/>
              </w:rPr>
            </w:pPr>
            <w:r w:rsidRPr="008B4AB4">
              <w:rPr>
                <w:color w:val="auto"/>
                <w:sz w:val="20"/>
                <w:szCs w:val="24"/>
              </w:rPr>
              <w:t>Red</w:t>
            </w:r>
          </w:p>
        </w:tc>
      </w:tr>
      <w:tr w:rsidR="008B4AB4" w:rsidRPr="008B4AB4" w14:paraId="109D29A0" w14:textId="77777777" w:rsidTr="00A80EC6">
        <w:trPr>
          <w:trHeight w:val="20"/>
        </w:trPr>
        <w:tc>
          <w:tcPr>
            <w:tcW w:w="292" w:type="pct"/>
            <w:tcBorders>
              <w:top w:val="single" w:sz="4" w:space="0" w:color="auto"/>
              <w:bottom w:val="single" w:sz="4" w:space="0" w:color="auto"/>
            </w:tcBorders>
            <w:shd w:val="clear" w:color="000000" w:fill="FFFFFF"/>
          </w:tcPr>
          <w:p w14:paraId="3CA073B0"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4</w:t>
            </w:r>
          </w:p>
        </w:tc>
        <w:tc>
          <w:tcPr>
            <w:tcW w:w="652" w:type="pct"/>
            <w:tcBorders>
              <w:top w:val="single" w:sz="4" w:space="0" w:color="auto"/>
              <w:bottom w:val="single" w:sz="4" w:space="0" w:color="auto"/>
            </w:tcBorders>
            <w:shd w:val="clear" w:color="000000" w:fill="FFFFFF"/>
          </w:tcPr>
          <w:p w14:paraId="7282F28A"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Olyushka</w:t>
            </w:r>
          </w:p>
        </w:tc>
        <w:tc>
          <w:tcPr>
            <w:tcW w:w="628" w:type="pct"/>
            <w:tcBorders>
              <w:top w:val="single" w:sz="4" w:space="0" w:color="auto"/>
              <w:bottom w:val="single" w:sz="4" w:space="0" w:color="auto"/>
            </w:tcBorders>
            <w:shd w:val="clear" w:color="000000" w:fill="FFFFFF"/>
          </w:tcPr>
          <w:p w14:paraId="249F8801" w14:textId="77777777" w:rsidR="00B42121" w:rsidRPr="008B4AB4" w:rsidRDefault="00B42121" w:rsidP="00B42121">
            <w:pPr>
              <w:widowControl w:val="0"/>
              <w:autoSpaceDE w:val="0"/>
              <w:autoSpaceDN w:val="0"/>
              <w:adjustRightInd w:val="0"/>
              <w:spacing w:line="240" w:lineRule="auto"/>
              <w:jc w:val="center"/>
              <w:rPr>
                <w:color w:val="auto"/>
                <w:sz w:val="20"/>
                <w:szCs w:val="24"/>
              </w:rPr>
            </w:pPr>
            <w:r w:rsidRPr="008B4AB4">
              <w:rPr>
                <w:color w:val="auto"/>
                <w:sz w:val="20"/>
                <w:szCs w:val="24"/>
              </w:rPr>
              <w:t>25644</w:t>
            </w:r>
          </w:p>
        </w:tc>
        <w:tc>
          <w:tcPr>
            <w:tcW w:w="1101" w:type="pct"/>
            <w:tcBorders>
              <w:top w:val="single" w:sz="4" w:space="0" w:color="auto"/>
              <w:bottom w:val="single" w:sz="4" w:space="0" w:color="auto"/>
            </w:tcBorders>
            <w:shd w:val="clear" w:color="000000" w:fill="FFFFFF"/>
          </w:tcPr>
          <w:p w14:paraId="1731492F"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Spontaneous mutagenesis of the Tanyusha breeding sample</w:t>
            </w:r>
          </w:p>
        </w:tc>
        <w:tc>
          <w:tcPr>
            <w:tcW w:w="708" w:type="pct"/>
            <w:tcBorders>
              <w:top w:val="single" w:sz="4" w:space="0" w:color="auto"/>
              <w:bottom w:val="single" w:sz="4" w:space="0" w:color="auto"/>
            </w:tcBorders>
            <w:shd w:val="clear" w:color="000000" w:fill="FFFFFF"/>
          </w:tcPr>
          <w:p w14:paraId="58D15A1A"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 xml:space="preserve">Mid-season </w:t>
            </w:r>
          </w:p>
        </w:tc>
        <w:tc>
          <w:tcPr>
            <w:tcW w:w="669" w:type="pct"/>
            <w:tcBorders>
              <w:top w:val="single" w:sz="4" w:space="0" w:color="auto"/>
              <w:bottom w:val="single" w:sz="4" w:space="0" w:color="auto"/>
            </w:tcBorders>
            <w:shd w:val="clear" w:color="000000" w:fill="FFFFFF"/>
          </w:tcPr>
          <w:p w14:paraId="727A82F7"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Elongated oval</w:t>
            </w:r>
          </w:p>
        </w:tc>
        <w:tc>
          <w:tcPr>
            <w:tcW w:w="440" w:type="pct"/>
            <w:tcBorders>
              <w:top w:val="single" w:sz="4" w:space="0" w:color="auto"/>
              <w:bottom w:val="single" w:sz="4" w:space="0" w:color="auto"/>
            </w:tcBorders>
            <w:shd w:val="clear" w:color="000000" w:fill="FFFFFF"/>
          </w:tcPr>
          <w:p w14:paraId="60FF30AB" w14:textId="77777777" w:rsidR="00B42121" w:rsidRPr="008B4AB4" w:rsidRDefault="00B42121" w:rsidP="00B42121">
            <w:pPr>
              <w:spacing w:line="240" w:lineRule="auto"/>
              <w:rPr>
                <w:color w:val="auto"/>
                <w:sz w:val="20"/>
                <w:szCs w:val="24"/>
              </w:rPr>
            </w:pPr>
            <w:r w:rsidRPr="008B4AB4">
              <w:rPr>
                <w:color w:val="auto"/>
                <w:sz w:val="20"/>
                <w:szCs w:val="24"/>
              </w:rPr>
              <w:t>Red</w:t>
            </w:r>
          </w:p>
        </w:tc>
        <w:tc>
          <w:tcPr>
            <w:tcW w:w="510" w:type="pct"/>
            <w:tcBorders>
              <w:top w:val="single" w:sz="4" w:space="0" w:color="auto"/>
              <w:bottom w:val="single" w:sz="4" w:space="0" w:color="auto"/>
            </w:tcBorders>
            <w:shd w:val="clear" w:color="000000" w:fill="FFFFFF"/>
          </w:tcPr>
          <w:p w14:paraId="38FB028A"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Deep pink</w:t>
            </w:r>
          </w:p>
        </w:tc>
      </w:tr>
      <w:tr w:rsidR="008B4AB4" w:rsidRPr="008B4AB4" w14:paraId="657BE3C0" w14:textId="77777777" w:rsidTr="00A80EC6">
        <w:trPr>
          <w:trHeight w:val="20"/>
        </w:trPr>
        <w:tc>
          <w:tcPr>
            <w:tcW w:w="292" w:type="pct"/>
            <w:tcBorders>
              <w:top w:val="single" w:sz="4" w:space="0" w:color="auto"/>
              <w:bottom w:val="single" w:sz="4" w:space="0" w:color="auto"/>
            </w:tcBorders>
            <w:shd w:val="clear" w:color="000000" w:fill="FFFFFF"/>
          </w:tcPr>
          <w:p w14:paraId="78528928"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5</w:t>
            </w:r>
          </w:p>
        </w:tc>
        <w:tc>
          <w:tcPr>
            <w:tcW w:w="652" w:type="pct"/>
            <w:tcBorders>
              <w:top w:val="single" w:sz="4" w:space="0" w:color="auto"/>
              <w:bottom w:val="single" w:sz="4" w:space="0" w:color="auto"/>
            </w:tcBorders>
            <w:shd w:val="clear" w:color="000000" w:fill="FFFFFF"/>
          </w:tcPr>
          <w:p w14:paraId="1164BFEA"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Udovickij</w:t>
            </w:r>
          </w:p>
        </w:tc>
        <w:tc>
          <w:tcPr>
            <w:tcW w:w="628" w:type="pct"/>
            <w:tcBorders>
              <w:top w:val="single" w:sz="4" w:space="0" w:color="auto"/>
              <w:bottom w:val="single" w:sz="4" w:space="0" w:color="auto"/>
            </w:tcBorders>
            <w:shd w:val="clear" w:color="000000" w:fill="FFFFFF"/>
          </w:tcPr>
          <w:p w14:paraId="61233B90" w14:textId="77777777" w:rsidR="00B42121" w:rsidRPr="008B4AB4" w:rsidRDefault="00B42121" w:rsidP="00B42121">
            <w:pPr>
              <w:widowControl w:val="0"/>
              <w:autoSpaceDE w:val="0"/>
              <w:autoSpaceDN w:val="0"/>
              <w:adjustRightInd w:val="0"/>
              <w:spacing w:line="240" w:lineRule="auto"/>
              <w:jc w:val="center"/>
              <w:rPr>
                <w:color w:val="auto"/>
                <w:sz w:val="20"/>
                <w:szCs w:val="24"/>
              </w:rPr>
            </w:pPr>
            <w:r w:rsidRPr="008B4AB4">
              <w:rPr>
                <w:color w:val="auto"/>
                <w:sz w:val="20"/>
                <w:szCs w:val="24"/>
              </w:rPr>
              <w:t>25260</w:t>
            </w:r>
          </w:p>
        </w:tc>
        <w:tc>
          <w:tcPr>
            <w:tcW w:w="1101" w:type="pct"/>
            <w:tcBorders>
              <w:top w:val="single" w:sz="4" w:space="0" w:color="auto"/>
              <w:bottom w:val="single" w:sz="4" w:space="0" w:color="auto"/>
            </w:tcBorders>
            <w:shd w:val="clear" w:color="000000" w:fill="FFFFFF"/>
          </w:tcPr>
          <w:p w14:paraId="1FB0EF10"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Self-pollination of the Spiridon variety</w:t>
            </w:r>
          </w:p>
        </w:tc>
        <w:tc>
          <w:tcPr>
            <w:tcW w:w="708" w:type="pct"/>
            <w:tcBorders>
              <w:top w:val="single" w:sz="4" w:space="0" w:color="auto"/>
              <w:bottom w:val="single" w:sz="4" w:space="0" w:color="auto"/>
            </w:tcBorders>
            <w:shd w:val="clear" w:color="000000" w:fill="FFFFFF"/>
          </w:tcPr>
          <w:p w14:paraId="61CFF3EE"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Late-maturing</w:t>
            </w:r>
          </w:p>
        </w:tc>
        <w:tc>
          <w:tcPr>
            <w:tcW w:w="669" w:type="pct"/>
            <w:tcBorders>
              <w:top w:val="single" w:sz="4" w:space="0" w:color="auto"/>
              <w:bottom w:val="single" w:sz="4" w:space="0" w:color="auto"/>
            </w:tcBorders>
            <w:shd w:val="clear" w:color="000000" w:fill="FFFFFF"/>
          </w:tcPr>
          <w:p w14:paraId="01CDD75E"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Oval</w:t>
            </w:r>
          </w:p>
        </w:tc>
        <w:tc>
          <w:tcPr>
            <w:tcW w:w="440" w:type="pct"/>
            <w:tcBorders>
              <w:top w:val="single" w:sz="4" w:space="0" w:color="auto"/>
              <w:bottom w:val="single" w:sz="4" w:space="0" w:color="auto"/>
            </w:tcBorders>
            <w:shd w:val="clear" w:color="000000" w:fill="FFFFFF"/>
          </w:tcPr>
          <w:p w14:paraId="50CBE5D3"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Red</w:t>
            </w:r>
          </w:p>
        </w:tc>
        <w:tc>
          <w:tcPr>
            <w:tcW w:w="510" w:type="pct"/>
            <w:tcBorders>
              <w:top w:val="single" w:sz="4" w:space="0" w:color="auto"/>
              <w:bottom w:val="single" w:sz="4" w:space="0" w:color="auto"/>
            </w:tcBorders>
            <w:shd w:val="clear" w:color="000000" w:fill="FFFFFF"/>
          </w:tcPr>
          <w:p w14:paraId="393C9DBB"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Light yellow</w:t>
            </w:r>
          </w:p>
        </w:tc>
      </w:tr>
      <w:tr w:rsidR="008B4AB4" w:rsidRPr="008B4AB4" w14:paraId="16500982" w14:textId="77777777" w:rsidTr="00A80EC6">
        <w:trPr>
          <w:trHeight w:val="20"/>
        </w:trPr>
        <w:tc>
          <w:tcPr>
            <w:tcW w:w="292" w:type="pct"/>
            <w:tcBorders>
              <w:top w:val="single" w:sz="4" w:space="0" w:color="auto"/>
              <w:bottom w:val="single" w:sz="4" w:space="0" w:color="auto"/>
            </w:tcBorders>
            <w:shd w:val="clear" w:color="000000" w:fill="FFFFFF"/>
          </w:tcPr>
          <w:p w14:paraId="5CDD2E44"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 xml:space="preserve">6 </w:t>
            </w:r>
          </w:p>
        </w:tc>
        <w:tc>
          <w:tcPr>
            <w:tcW w:w="652" w:type="pct"/>
            <w:tcBorders>
              <w:top w:val="single" w:sz="4" w:space="0" w:color="auto"/>
              <w:bottom w:val="single" w:sz="4" w:space="0" w:color="auto"/>
            </w:tcBorders>
            <w:shd w:val="clear" w:color="000000" w:fill="FFFFFF"/>
          </w:tcPr>
          <w:p w14:paraId="2C44C7A9"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Fioletovyj</w:t>
            </w:r>
          </w:p>
        </w:tc>
        <w:tc>
          <w:tcPr>
            <w:tcW w:w="628" w:type="pct"/>
            <w:tcBorders>
              <w:top w:val="single" w:sz="4" w:space="0" w:color="auto"/>
              <w:bottom w:val="single" w:sz="4" w:space="0" w:color="auto"/>
            </w:tcBorders>
            <w:shd w:val="clear" w:color="000000" w:fill="FFFFFF"/>
          </w:tcPr>
          <w:p w14:paraId="65AC79E1" w14:textId="77777777" w:rsidR="00B42121" w:rsidRPr="008B4AB4" w:rsidRDefault="00B42121" w:rsidP="00B42121">
            <w:pPr>
              <w:widowControl w:val="0"/>
              <w:autoSpaceDE w:val="0"/>
              <w:autoSpaceDN w:val="0"/>
              <w:adjustRightInd w:val="0"/>
              <w:spacing w:line="240" w:lineRule="auto"/>
              <w:jc w:val="center"/>
              <w:rPr>
                <w:color w:val="auto"/>
                <w:sz w:val="20"/>
                <w:szCs w:val="24"/>
              </w:rPr>
            </w:pPr>
            <w:r w:rsidRPr="008B4AB4">
              <w:rPr>
                <w:color w:val="auto"/>
                <w:sz w:val="20"/>
                <w:szCs w:val="24"/>
              </w:rPr>
              <w:t>25220</w:t>
            </w:r>
          </w:p>
        </w:tc>
        <w:tc>
          <w:tcPr>
            <w:tcW w:w="1101" w:type="pct"/>
            <w:tcBorders>
              <w:top w:val="single" w:sz="4" w:space="0" w:color="auto"/>
              <w:bottom w:val="single" w:sz="4" w:space="0" w:color="auto"/>
            </w:tcBorders>
            <w:shd w:val="clear" w:color="000000" w:fill="FFFFFF"/>
          </w:tcPr>
          <w:p w14:paraId="24CCA4A0"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PRT 703 x 1092-7</w:t>
            </w:r>
          </w:p>
        </w:tc>
        <w:tc>
          <w:tcPr>
            <w:tcW w:w="708" w:type="pct"/>
            <w:tcBorders>
              <w:top w:val="single" w:sz="4" w:space="0" w:color="auto"/>
              <w:bottom w:val="single" w:sz="4" w:space="0" w:color="auto"/>
            </w:tcBorders>
            <w:shd w:val="clear" w:color="000000" w:fill="FFFFFF"/>
          </w:tcPr>
          <w:p w14:paraId="59D45994"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Medium-late maturing</w:t>
            </w:r>
          </w:p>
        </w:tc>
        <w:tc>
          <w:tcPr>
            <w:tcW w:w="669" w:type="pct"/>
            <w:tcBorders>
              <w:top w:val="single" w:sz="4" w:space="0" w:color="auto"/>
              <w:bottom w:val="single" w:sz="4" w:space="0" w:color="auto"/>
            </w:tcBorders>
            <w:shd w:val="clear" w:color="000000" w:fill="FFFFFF"/>
          </w:tcPr>
          <w:p w14:paraId="427D593C" w14:textId="77777777" w:rsidR="00B42121" w:rsidRPr="008B4AB4" w:rsidRDefault="00B42121" w:rsidP="00B42121">
            <w:pPr>
              <w:widowControl w:val="0"/>
              <w:autoSpaceDE w:val="0"/>
              <w:autoSpaceDN w:val="0"/>
              <w:adjustRightInd w:val="0"/>
              <w:spacing w:line="240" w:lineRule="auto"/>
              <w:rPr>
                <w:color w:val="auto"/>
                <w:sz w:val="20"/>
                <w:szCs w:val="24"/>
              </w:rPr>
            </w:pPr>
            <w:r w:rsidRPr="008B4AB4">
              <w:rPr>
                <w:color w:val="auto"/>
                <w:sz w:val="20"/>
                <w:szCs w:val="24"/>
              </w:rPr>
              <w:t>Oval</w:t>
            </w:r>
          </w:p>
        </w:tc>
        <w:tc>
          <w:tcPr>
            <w:tcW w:w="440" w:type="pct"/>
            <w:tcBorders>
              <w:top w:val="single" w:sz="4" w:space="0" w:color="auto"/>
              <w:bottom w:val="single" w:sz="4" w:space="0" w:color="auto"/>
            </w:tcBorders>
            <w:shd w:val="clear" w:color="000000" w:fill="FFFFFF"/>
          </w:tcPr>
          <w:p w14:paraId="5DD51DCC" w14:textId="77777777" w:rsidR="00B42121" w:rsidRPr="008B4AB4" w:rsidRDefault="00B42121" w:rsidP="00B42121">
            <w:pPr>
              <w:spacing w:line="240" w:lineRule="auto"/>
              <w:rPr>
                <w:color w:val="auto"/>
                <w:sz w:val="20"/>
                <w:szCs w:val="24"/>
              </w:rPr>
            </w:pPr>
            <w:r w:rsidRPr="008B4AB4">
              <w:rPr>
                <w:color w:val="auto"/>
                <w:sz w:val="20"/>
                <w:szCs w:val="24"/>
              </w:rPr>
              <w:t>Purple</w:t>
            </w:r>
          </w:p>
        </w:tc>
        <w:tc>
          <w:tcPr>
            <w:tcW w:w="510" w:type="pct"/>
            <w:tcBorders>
              <w:top w:val="single" w:sz="4" w:space="0" w:color="auto"/>
              <w:bottom w:val="single" w:sz="4" w:space="0" w:color="auto"/>
            </w:tcBorders>
            <w:shd w:val="clear" w:color="000000" w:fill="FFFFFF"/>
          </w:tcPr>
          <w:p w14:paraId="53E5147E" w14:textId="77777777" w:rsidR="00B42121" w:rsidRPr="008B4AB4" w:rsidRDefault="00B42121" w:rsidP="00B42121">
            <w:pPr>
              <w:spacing w:line="240" w:lineRule="auto"/>
              <w:rPr>
                <w:color w:val="auto"/>
                <w:sz w:val="20"/>
                <w:szCs w:val="24"/>
              </w:rPr>
            </w:pPr>
            <w:r w:rsidRPr="008B4AB4">
              <w:rPr>
                <w:color w:val="auto"/>
                <w:sz w:val="20"/>
                <w:szCs w:val="24"/>
              </w:rPr>
              <w:t>Purple</w:t>
            </w:r>
          </w:p>
        </w:tc>
      </w:tr>
    </w:tbl>
    <w:p w14:paraId="17896AA4" w14:textId="77777777" w:rsidR="00B42121" w:rsidRPr="008B4AB4" w:rsidRDefault="00B42121" w:rsidP="00B42121">
      <w:pPr>
        <w:spacing w:line="360" w:lineRule="auto"/>
        <w:rPr>
          <w:b/>
          <w:color w:val="auto"/>
        </w:rPr>
      </w:pPr>
    </w:p>
    <w:p w14:paraId="0DCCC1B7" w14:textId="77777777" w:rsidR="00B42121" w:rsidRPr="008B4AB4" w:rsidRDefault="00B42121" w:rsidP="00B42121">
      <w:pPr>
        <w:spacing w:line="240" w:lineRule="auto"/>
        <w:rPr>
          <w:color w:val="auto"/>
          <w:szCs w:val="24"/>
        </w:rPr>
      </w:pPr>
      <w:r w:rsidRPr="008B4AB4">
        <w:rPr>
          <w:b/>
          <w:color w:val="auto"/>
          <w:szCs w:val="24"/>
        </w:rPr>
        <w:t>Table 2:</w:t>
      </w:r>
      <w:r w:rsidRPr="008B4AB4">
        <w:rPr>
          <w:color w:val="auto"/>
          <w:szCs w:val="24"/>
        </w:rPr>
        <w:t xml:space="preserve"> Yield and yield structure of potato varieties under the conditions of the Kostanay Region (KR) and Leningrad Region (LR)</w:t>
      </w:r>
    </w:p>
    <w:tbl>
      <w:tblPr>
        <w:tblW w:w="9015" w:type="dxa"/>
        <w:tblLayout w:type="fixed"/>
        <w:tblLook w:val="04A0" w:firstRow="1" w:lastRow="0" w:firstColumn="1" w:lastColumn="0" w:noHBand="0" w:noVBand="1"/>
      </w:tblPr>
      <w:tblGrid>
        <w:gridCol w:w="1977"/>
        <w:gridCol w:w="1811"/>
        <w:gridCol w:w="1773"/>
        <w:gridCol w:w="1727"/>
        <w:gridCol w:w="1727"/>
      </w:tblGrid>
      <w:tr w:rsidR="008B4AB4" w:rsidRPr="008B4AB4" w14:paraId="1339E1CE" w14:textId="77777777" w:rsidTr="00182F60">
        <w:trPr>
          <w:trHeight w:val="20"/>
        </w:trPr>
        <w:tc>
          <w:tcPr>
            <w:tcW w:w="2127" w:type="dxa"/>
            <w:tcBorders>
              <w:top w:val="single" w:sz="4" w:space="0" w:color="auto"/>
              <w:bottom w:val="single" w:sz="4" w:space="0" w:color="auto"/>
            </w:tcBorders>
            <w:shd w:val="clear" w:color="auto" w:fill="E7E6E6"/>
          </w:tcPr>
          <w:p w14:paraId="03303C70" w14:textId="77777777" w:rsidR="00B42121" w:rsidRPr="008B4AB4" w:rsidRDefault="00B42121" w:rsidP="00182F60">
            <w:pPr>
              <w:widowControl w:val="0"/>
              <w:autoSpaceDE w:val="0"/>
              <w:autoSpaceDN w:val="0"/>
              <w:adjustRightInd w:val="0"/>
              <w:spacing w:line="240" w:lineRule="auto"/>
              <w:jc w:val="center"/>
              <w:rPr>
                <w:b/>
                <w:color w:val="auto"/>
                <w:szCs w:val="24"/>
              </w:rPr>
            </w:pPr>
            <w:r w:rsidRPr="008B4AB4">
              <w:rPr>
                <w:b/>
                <w:color w:val="auto"/>
                <w:szCs w:val="24"/>
              </w:rPr>
              <w:t>Selection sample</w:t>
            </w:r>
          </w:p>
        </w:tc>
        <w:tc>
          <w:tcPr>
            <w:tcW w:w="1947" w:type="dxa"/>
            <w:tcBorders>
              <w:top w:val="single" w:sz="4" w:space="0" w:color="auto"/>
              <w:bottom w:val="single" w:sz="4" w:space="0" w:color="auto"/>
            </w:tcBorders>
            <w:shd w:val="clear" w:color="auto" w:fill="E7E6E6"/>
          </w:tcPr>
          <w:p w14:paraId="6C8B3594" w14:textId="77777777" w:rsidR="00B42121" w:rsidRPr="008B4AB4" w:rsidRDefault="00B42121" w:rsidP="00182F60">
            <w:pPr>
              <w:widowControl w:val="0"/>
              <w:autoSpaceDE w:val="0"/>
              <w:autoSpaceDN w:val="0"/>
              <w:adjustRightInd w:val="0"/>
              <w:spacing w:line="240" w:lineRule="auto"/>
              <w:jc w:val="center"/>
              <w:rPr>
                <w:b/>
                <w:color w:val="auto"/>
                <w:szCs w:val="24"/>
              </w:rPr>
            </w:pPr>
            <w:r w:rsidRPr="008B4AB4">
              <w:rPr>
                <w:b/>
                <w:color w:val="auto"/>
                <w:szCs w:val="24"/>
              </w:rPr>
              <w:t>Yield, g/plant</w:t>
            </w:r>
          </w:p>
        </w:tc>
        <w:tc>
          <w:tcPr>
            <w:tcW w:w="1906" w:type="dxa"/>
            <w:tcBorders>
              <w:top w:val="single" w:sz="4" w:space="0" w:color="auto"/>
              <w:bottom w:val="single" w:sz="4" w:space="0" w:color="auto"/>
            </w:tcBorders>
            <w:shd w:val="clear" w:color="auto" w:fill="E7E6E6"/>
          </w:tcPr>
          <w:p w14:paraId="33936502" w14:textId="77777777" w:rsidR="00B42121" w:rsidRPr="008B4AB4" w:rsidRDefault="00B42121" w:rsidP="00182F60">
            <w:pPr>
              <w:widowControl w:val="0"/>
              <w:autoSpaceDE w:val="0"/>
              <w:autoSpaceDN w:val="0"/>
              <w:adjustRightInd w:val="0"/>
              <w:spacing w:line="240" w:lineRule="auto"/>
              <w:jc w:val="center"/>
              <w:rPr>
                <w:b/>
                <w:color w:val="auto"/>
                <w:szCs w:val="24"/>
              </w:rPr>
            </w:pPr>
            <w:r w:rsidRPr="008B4AB4">
              <w:rPr>
                <w:b/>
                <w:color w:val="auto"/>
                <w:szCs w:val="24"/>
              </w:rPr>
              <w:t>Number of tubers per plant, pcs.</w:t>
            </w:r>
          </w:p>
        </w:tc>
        <w:tc>
          <w:tcPr>
            <w:tcW w:w="1856" w:type="dxa"/>
            <w:tcBorders>
              <w:top w:val="single" w:sz="4" w:space="0" w:color="auto"/>
              <w:bottom w:val="single" w:sz="4" w:space="0" w:color="auto"/>
            </w:tcBorders>
            <w:shd w:val="clear" w:color="auto" w:fill="E7E6E6"/>
          </w:tcPr>
          <w:p w14:paraId="3896BA0B" w14:textId="77777777" w:rsidR="00B42121" w:rsidRPr="008B4AB4" w:rsidRDefault="00B42121" w:rsidP="00182F60">
            <w:pPr>
              <w:widowControl w:val="0"/>
              <w:autoSpaceDE w:val="0"/>
              <w:autoSpaceDN w:val="0"/>
              <w:adjustRightInd w:val="0"/>
              <w:spacing w:line="240" w:lineRule="auto"/>
              <w:jc w:val="center"/>
              <w:rPr>
                <w:b/>
                <w:color w:val="auto"/>
                <w:szCs w:val="24"/>
              </w:rPr>
            </w:pPr>
            <w:r w:rsidRPr="008B4AB4">
              <w:rPr>
                <w:b/>
                <w:color w:val="auto"/>
                <w:szCs w:val="24"/>
              </w:rPr>
              <w:t>Average tuber weight, g</w:t>
            </w:r>
          </w:p>
        </w:tc>
        <w:tc>
          <w:tcPr>
            <w:tcW w:w="1856" w:type="dxa"/>
            <w:tcBorders>
              <w:top w:val="single" w:sz="4" w:space="0" w:color="auto"/>
              <w:bottom w:val="single" w:sz="4" w:space="0" w:color="auto"/>
            </w:tcBorders>
            <w:shd w:val="clear" w:color="auto" w:fill="E7E6E6"/>
          </w:tcPr>
          <w:p w14:paraId="096C1A4E" w14:textId="77777777" w:rsidR="00B42121" w:rsidRPr="008B4AB4" w:rsidRDefault="00B42121" w:rsidP="00182F60">
            <w:pPr>
              <w:spacing w:line="240" w:lineRule="auto"/>
              <w:jc w:val="center"/>
              <w:rPr>
                <w:b/>
                <w:color w:val="auto"/>
                <w:szCs w:val="24"/>
              </w:rPr>
            </w:pPr>
            <w:r w:rsidRPr="008B4AB4">
              <w:rPr>
                <w:b/>
                <w:color w:val="auto"/>
                <w:szCs w:val="24"/>
              </w:rPr>
              <w:t>Marketable yield, %</w:t>
            </w:r>
          </w:p>
        </w:tc>
      </w:tr>
      <w:tr w:rsidR="008B4AB4" w:rsidRPr="008B4AB4" w14:paraId="4C3CE224" w14:textId="77777777" w:rsidTr="00182F60">
        <w:trPr>
          <w:trHeight w:val="20"/>
        </w:trPr>
        <w:tc>
          <w:tcPr>
            <w:tcW w:w="2127" w:type="dxa"/>
            <w:tcBorders>
              <w:top w:val="single" w:sz="4" w:space="0" w:color="auto"/>
            </w:tcBorders>
            <w:shd w:val="clear" w:color="000000" w:fill="FFFFFF"/>
            <w:vAlign w:val="center"/>
          </w:tcPr>
          <w:p w14:paraId="2E98498B"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Kiru (KR)</w:t>
            </w:r>
          </w:p>
        </w:tc>
        <w:tc>
          <w:tcPr>
            <w:tcW w:w="1947" w:type="dxa"/>
            <w:tcBorders>
              <w:top w:val="single" w:sz="4" w:space="0" w:color="auto"/>
            </w:tcBorders>
            <w:shd w:val="clear" w:color="000000" w:fill="FFFFFF"/>
            <w:vAlign w:val="center"/>
          </w:tcPr>
          <w:p w14:paraId="234A2BB2"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777,25±75,60</w:t>
            </w:r>
          </w:p>
        </w:tc>
        <w:tc>
          <w:tcPr>
            <w:tcW w:w="1906" w:type="dxa"/>
            <w:tcBorders>
              <w:top w:val="single" w:sz="4" w:space="0" w:color="auto"/>
            </w:tcBorders>
            <w:shd w:val="clear" w:color="000000" w:fill="FFFFFF"/>
            <w:vAlign w:val="center"/>
          </w:tcPr>
          <w:p w14:paraId="6F7B091A"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5,7±0,30</w:t>
            </w:r>
          </w:p>
        </w:tc>
        <w:tc>
          <w:tcPr>
            <w:tcW w:w="1856" w:type="dxa"/>
            <w:tcBorders>
              <w:top w:val="single" w:sz="4" w:space="0" w:color="auto"/>
            </w:tcBorders>
            <w:shd w:val="clear" w:color="000000" w:fill="FFFFFF"/>
            <w:vAlign w:val="center"/>
          </w:tcPr>
          <w:p w14:paraId="5E19288C"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135,97±9,52</w:t>
            </w:r>
          </w:p>
        </w:tc>
        <w:tc>
          <w:tcPr>
            <w:tcW w:w="1856" w:type="dxa"/>
            <w:tcBorders>
              <w:top w:val="single" w:sz="4" w:space="0" w:color="auto"/>
            </w:tcBorders>
            <w:shd w:val="clear" w:color="000000" w:fill="FFFFFF"/>
            <w:vAlign w:val="center"/>
          </w:tcPr>
          <w:p w14:paraId="063577AD"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100,00</w:t>
            </w:r>
          </w:p>
        </w:tc>
      </w:tr>
      <w:tr w:rsidR="008B4AB4" w:rsidRPr="008B4AB4" w14:paraId="66773168" w14:textId="77777777" w:rsidTr="00182F60">
        <w:trPr>
          <w:trHeight w:val="20"/>
        </w:trPr>
        <w:tc>
          <w:tcPr>
            <w:tcW w:w="2127" w:type="dxa"/>
            <w:shd w:val="clear" w:color="000000" w:fill="FFFFFF"/>
            <w:vAlign w:val="center"/>
          </w:tcPr>
          <w:p w14:paraId="56BC650E"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Tanyusha (KR)</w:t>
            </w:r>
          </w:p>
        </w:tc>
        <w:tc>
          <w:tcPr>
            <w:tcW w:w="1947" w:type="dxa"/>
            <w:shd w:val="clear" w:color="000000" w:fill="FFFFFF"/>
            <w:vAlign w:val="center"/>
          </w:tcPr>
          <w:p w14:paraId="147DAC18"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687,00±9,63</w:t>
            </w:r>
          </w:p>
        </w:tc>
        <w:tc>
          <w:tcPr>
            <w:tcW w:w="1906" w:type="dxa"/>
            <w:shd w:val="clear" w:color="000000" w:fill="FFFFFF"/>
            <w:vAlign w:val="center"/>
          </w:tcPr>
          <w:p w14:paraId="343FDEAD"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13,3±0,80</w:t>
            </w:r>
          </w:p>
        </w:tc>
        <w:tc>
          <w:tcPr>
            <w:tcW w:w="1856" w:type="dxa"/>
            <w:shd w:val="clear" w:color="000000" w:fill="FFFFFF"/>
            <w:vAlign w:val="center"/>
          </w:tcPr>
          <w:p w14:paraId="114E510B"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52,2±3,25</w:t>
            </w:r>
          </w:p>
        </w:tc>
        <w:tc>
          <w:tcPr>
            <w:tcW w:w="1856" w:type="dxa"/>
            <w:shd w:val="clear" w:color="000000" w:fill="FFFFFF"/>
            <w:vAlign w:val="center"/>
          </w:tcPr>
          <w:p w14:paraId="0487BD56"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94,58±1,27</w:t>
            </w:r>
          </w:p>
        </w:tc>
      </w:tr>
      <w:tr w:rsidR="008B4AB4" w:rsidRPr="008B4AB4" w14:paraId="775A63B6" w14:textId="77777777" w:rsidTr="00182F60">
        <w:trPr>
          <w:trHeight w:val="20"/>
        </w:trPr>
        <w:tc>
          <w:tcPr>
            <w:tcW w:w="2127" w:type="dxa"/>
            <w:shd w:val="clear" w:color="000000" w:fill="FFFFFF"/>
            <w:vAlign w:val="center"/>
          </w:tcPr>
          <w:p w14:paraId="05AF4039"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Travnik (KR)</w:t>
            </w:r>
          </w:p>
        </w:tc>
        <w:tc>
          <w:tcPr>
            <w:tcW w:w="1947" w:type="dxa"/>
            <w:shd w:val="clear" w:color="000000" w:fill="FFFFFF"/>
            <w:vAlign w:val="center"/>
          </w:tcPr>
          <w:p w14:paraId="2F3F6B3A"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734,75±54,37</w:t>
            </w:r>
          </w:p>
        </w:tc>
        <w:tc>
          <w:tcPr>
            <w:tcW w:w="1906" w:type="dxa"/>
            <w:shd w:val="clear" w:color="000000" w:fill="FFFFFF"/>
            <w:vAlign w:val="center"/>
          </w:tcPr>
          <w:p w14:paraId="2F016378"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14,85±0,58</w:t>
            </w:r>
          </w:p>
        </w:tc>
        <w:tc>
          <w:tcPr>
            <w:tcW w:w="1856" w:type="dxa"/>
            <w:shd w:val="clear" w:color="000000" w:fill="FFFFFF"/>
            <w:vAlign w:val="center"/>
          </w:tcPr>
          <w:p w14:paraId="6351AC70"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49,4±2,69</w:t>
            </w:r>
          </w:p>
        </w:tc>
        <w:tc>
          <w:tcPr>
            <w:tcW w:w="1856" w:type="dxa"/>
            <w:shd w:val="clear" w:color="000000" w:fill="FFFFFF"/>
            <w:vAlign w:val="center"/>
          </w:tcPr>
          <w:p w14:paraId="4F512738"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72,42±21,81</w:t>
            </w:r>
          </w:p>
        </w:tc>
      </w:tr>
      <w:tr w:rsidR="008B4AB4" w:rsidRPr="008B4AB4" w14:paraId="503E89EE" w14:textId="77777777" w:rsidTr="00182F60">
        <w:trPr>
          <w:trHeight w:val="20"/>
        </w:trPr>
        <w:tc>
          <w:tcPr>
            <w:tcW w:w="2127" w:type="dxa"/>
            <w:shd w:val="clear" w:color="000000" w:fill="FFFFFF"/>
            <w:vAlign w:val="center"/>
          </w:tcPr>
          <w:p w14:paraId="61B02B2F" w14:textId="77777777" w:rsidR="00B42121" w:rsidRPr="008B4AB4" w:rsidRDefault="00B42121" w:rsidP="00182F60">
            <w:pPr>
              <w:spacing w:line="240" w:lineRule="auto"/>
              <w:rPr>
                <w:color w:val="auto"/>
                <w:szCs w:val="24"/>
              </w:rPr>
            </w:pPr>
            <w:r w:rsidRPr="008B4AB4">
              <w:rPr>
                <w:color w:val="auto"/>
                <w:szCs w:val="24"/>
              </w:rPr>
              <w:t>Olyushka (KR)</w:t>
            </w:r>
          </w:p>
        </w:tc>
        <w:tc>
          <w:tcPr>
            <w:tcW w:w="1947" w:type="dxa"/>
            <w:shd w:val="clear" w:color="000000" w:fill="FFFFFF"/>
            <w:vAlign w:val="center"/>
          </w:tcPr>
          <w:p w14:paraId="3E75A3D5"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728,50 ±76,90</w:t>
            </w:r>
          </w:p>
        </w:tc>
        <w:tc>
          <w:tcPr>
            <w:tcW w:w="1906" w:type="dxa"/>
            <w:shd w:val="clear" w:color="000000" w:fill="FFFFFF"/>
            <w:vAlign w:val="center"/>
          </w:tcPr>
          <w:p w14:paraId="421B0296"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8,77±0,49</w:t>
            </w:r>
          </w:p>
        </w:tc>
        <w:tc>
          <w:tcPr>
            <w:tcW w:w="1856" w:type="dxa"/>
            <w:shd w:val="clear" w:color="000000" w:fill="FFFFFF"/>
            <w:vAlign w:val="center"/>
          </w:tcPr>
          <w:p w14:paraId="213F1706"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83,15±8,00</w:t>
            </w:r>
          </w:p>
        </w:tc>
        <w:tc>
          <w:tcPr>
            <w:tcW w:w="1856" w:type="dxa"/>
            <w:shd w:val="clear" w:color="000000" w:fill="FFFFFF"/>
            <w:vAlign w:val="center"/>
          </w:tcPr>
          <w:p w14:paraId="0C63158D"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97,12±1,36</w:t>
            </w:r>
          </w:p>
        </w:tc>
      </w:tr>
      <w:tr w:rsidR="008B4AB4" w:rsidRPr="008B4AB4" w14:paraId="5B6FA06E" w14:textId="77777777" w:rsidTr="00182F60">
        <w:trPr>
          <w:trHeight w:val="20"/>
        </w:trPr>
        <w:tc>
          <w:tcPr>
            <w:tcW w:w="2127" w:type="dxa"/>
            <w:shd w:val="clear" w:color="000000" w:fill="FFFFFF"/>
            <w:vAlign w:val="center"/>
          </w:tcPr>
          <w:p w14:paraId="0A3E42C9"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Kiru (LR)</w:t>
            </w:r>
          </w:p>
        </w:tc>
        <w:tc>
          <w:tcPr>
            <w:tcW w:w="1947" w:type="dxa"/>
            <w:shd w:val="clear" w:color="000000" w:fill="FFFFFF"/>
            <w:vAlign w:val="center"/>
          </w:tcPr>
          <w:p w14:paraId="1194CBE6"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884,95±96,55</w:t>
            </w:r>
          </w:p>
        </w:tc>
        <w:tc>
          <w:tcPr>
            <w:tcW w:w="1906" w:type="dxa"/>
            <w:shd w:val="clear" w:color="000000" w:fill="FFFFFF"/>
            <w:vAlign w:val="center"/>
          </w:tcPr>
          <w:p w14:paraId="145EF6D9"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9,8±0,20</w:t>
            </w:r>
          </w:p>
        </w:tc>
        <w:tc>
          <w:tcPr>
            <w:tcW w:w="1856" w:type="dxa"/>
            <w:shd w:val="clear" w:color="000000" w:fill="FFFFFF"/>
            <w:vAlign w:val="center"/>
          </w:tcPr>
          <w:p w14:paraId="1A309077"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90,52±11,68</w:t>
            </w:r>
          </w:p>
        </w:tc>
        <w:tc>
          <w:tcPr>
            <w:tcW w:w="1856" w:type="dxa"/>
            <w:shd w:val="clear" w:color="000000" w:fill="FFFFFF"/>
            <w:vAlign w:val="center"/>
          </w:tcPr>
          <w:p w14:paraId="5422F075"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92,45±1,45</w:t>
            </w:r>
          </w:p>
        </w:tc>
      </w:tr>
      <w:tr w:rsidR="008B4AB4" w:rsidRPr="008B4AB4" w14:paraId="4B97CFBF" w14:textId="77777777" w:rsidTr="00182F60">
        <w:trPr>
          <w:trHeight w:val="20"/>
        </w:trPr>
        <w:tc>
          <w:tcPr>
            <w:tcW w:w="2127" w:type="dxa"/>
            <w:shd w:val="clear" w:color="000000" w:fill="FFFFFF"/>
            <w:vAlign w:val="center"/>
          </w:tcPr>
          <w:p w14:paraId="646A7353"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Tanyusha (LR)</w:t>
            </w:r>
          </w:p>
        </w:tc>
        <w:tc>
          <w:tcPr>
            <w:tcW w:w="1947" w:type="dxa"/>
            <w:shd w:val="clear" w:color="000000" w:fill="FFFFFF"/>
            <w:vAlign w:val="center"/>
          </w:tcPr>
          <w:p w14:paraId="62D72F69"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678,53±72,96</w:t>
            </w:r>
          </w:p>
        </w:tc>
        <w:tc>
          <w:tcPr>
            <w:tcW w:w="1906" w:type="dxa"/>
            <w:shd w:val="clear" w:color="000000" w:fill="FFFFFF"/>
            <w:vAlign w:val="center"/>
          </w:tcPr>
          <w:p w14:paraId="7442BD70"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17,98±2,07</w:t>
            </w:r>
          </w:p>
        </w:tc>
        <w:tc>
          <w:tcPr>
            <w:tcW w:w="1856" w:type="dxa"/>
            <w:shd w:val="clear" w:color="000000" w:fill="FFFFFF"/>
            <w:vAlign w:val="center"/>
          </w:tcPr>
          <w:p w14:paraId="3F6A59EA"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38,12±2,19</w:t>
            </w:r>
          </w:p>
        </w:tc>
        <w:tc>
          <w:tcPr>
            <w:tcW w:w="1856" w:type="dxa"/>
            <w:shd w:val="clear" w:color="000000" w:fill="FFFFFF"/>
            <w:vAlign w:val="center"/>
          </w:tcPr>
          <w:p w14:paraId="6E0832F5"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68,26±3,68</w:t>
            </w:r>
          </w:p>
        </w:tc>
      </w:tr>
      <w:tr w:rsidR="008B4AB4" w:rsidRPr="008B4AB4" w14:paraId="3F8B106A" w14:textId="77777777" w:rsidTr="00182F60">
        <w:trPr>
          <w:trHeight w:val="20"/>
        </w:trPr>
        <w:tc>
          <w:tcPr>
            <w:tcW w:w="2127" w:type="dxa"/>
            <w:shd w:val="clear" w:color="000000" w:fill="FFFFFF"/>
            <w:vAlign w:val="center"/>
          </w:tcPr>
          <w:p w14:paraId="1A09BE36"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Travnik (LR)</w:t>
            </w:r>
          </w:p>
        </w:tc>
        <w:tc>
          <w:tcPr>
            <w:tcW w:w="1947" w:type="dxa"/>
            <w:shd w:val="clear" w:color="000000" w:fill="FFFFFF"/>
            <w:vAlign w:val="center"/>
          </w:tcPr>
          <w:p w14:paraId="02D2DFB5"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660,37±63,29</w:t>
            </w:r>
          </w:p>
        </w:tc>
        <w:tc>
          <w:tcPr>
            <w:tcW w:w="1906" w:type="dxa"/>
            <w:shd w:val="clear" w:color="000000" w:fill="FFFFFF"/>
            <w:vAlign w:val="center"/>
          </w:tcPr>
          <w:p w14:paraId="6EDCDE2B"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16,61±0,98</w:t>
            </w:r>
          </w:p>
        </w:tc>
        <w:tc>
          <w:tcPr>
            <w:tcW w:w="1856" w:type="dxa"/>
            <w:shd w:val="clear" w:color="000000" w:fill="FFFFFF"/>
            <w:vAlign w:val="center"/>
          </w:tcPr>
          <w:p w14:paraId="2A441967"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39,30±1,72</w:t>
            </w:r>
          </w:p>
        </w:tc>
        <w:tc>
          <w:tcPr>
            <w:tcW w:w="1856" w:type="dxa"/>
            <w:shd w:val="clear" w:color="000000" w:fill="FFFFFF"/>
            <w:vAlign w:val="center"/>
          </w:tcPr>
          <w:p w14:paraId="118F3FB0"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71,01±3,32</w:t>
            </w:r>
          </w:p>
        </w:tc>
      </w:tr>
      <w:tr w:rsidR="008B4AB4" w:rsidRPr="008B4AB4" w14:paraId="1ACDAE32" w14:textId="77777777" w:rsidTr="00182F60">
        <w:trPr>
          <w:trHeight w:val="20"/>
        </w:trPr>
        <w:tc>
          <w:tcPr>
            <w:tcW w:w="2127" w:type="dxa"/>
            <w:shd w:val="clear" w:color="000000" w:fill="FFFFFF"/>
            <w:vAlign w:val="center"/>
          </w:tcPr>
          <w:p w14:paraId="5501854D"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Olyushka (LR)</w:t>
            </w:r>
          </w:p>
        </w:tc>
        <w:tc>
          <w:tcPr>
            <w:tcW w:w="1947" w:type="dxa"/>
            <w:shd w:val="clear" w:color="000000" w:fill="FFFFFF"/>
            <w:vAlign w:val="center"/>
          </w:tcPr>
          <w:p w14:paraId="3663D029"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428,03±73,29</w:t>
            </w:r>
          </w:p>
        </w:tc>
        <w:tc>
          <w:tcPr>
            <w:tcW w:w="1906" w:type="dxa"/>
            <w:shd w:val="clear" w:color="000000" w:fill="FFFFFF"/>
            <w:vAlign w:val="center"/>
          </w:tcPr>
          <w:p w14:paraId="2E359208"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9,57±1,48</w:t>
            </w:r>
          </w:p>
        </w:tc>
        <w:tc>
          <w:tcPr>
            <w:tcW w:w="1856" w:type="dxa"/>
            <w:shd w:val="clear" w:color="000000" w:fill="FFFFFF"/>
            <w:vAlign w:val="center"/>
          </w:tcPr>
          <w:p w14:paraId="58300E47"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44,49±1,67</w:t>
            </w:r>
          </w:p>
        </w:tc>
        <w:tc>
          <w:tcPr>
            <w:tcW w:w="1856" w:type="dxa"/>
            <w:shd w:val="clear" w:color="000000" w:fill="FFFFFF"/>
            <w:vAlign w:val="center"/>
          </w:tcPr>
          <w:p w14:paraId="46A09DAC"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74,06±2,72</w:t>
            </w:r>
          </w:p>
        </w:tc>
      </w:tr>
      <w:tr w:rsidR="008B4AB4" w:rsidRPr="008B4AB4" w14:paraId="3FDFCB64" w14:textId="77777777" w:rsidTr="00182F60">
        <w:trPr>
          <w:trHeight w:val="20"/>
        </w:trPr>
        <w:tc>
          <w:tcPr>
            <w:tcW w:w="2127" w:type="dxa"/>
            <w:shd w:val="clear" w:color="000000" w:fill="FFFFFF"/>
            <w:vAlign w:val="center"/>
          </w:tcPr>
          <w:p w14:paraId="5FA07E6B"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Fioletovyi (LR)</w:t>
            </w:r>
          </w:p>
        </w:tc>
        <w:tc>
          <w:tcPr>
            <w:tcW w:w="1947" w:type="dxa"/>
            <w:shd w:val="clear" w:color="000000" w:fill="FFFFFF"/>
            <w:vAlign w:val="center"/>
          </w:tcPr>
          <w:p w14:paraId="2B1EA8F0"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368,90±39,34</w:t>
            </w:r>
          </w:p>
        </w:tc>
        <w:tc>
          <w:tcPr>
            <w:tcW w:w="1906" w:type="dxa"/>
            <w:shd w:val="clear" w:color="000000" w:fill="FFFFFF"/>
            <w:vAlign w:val="center"/>
          </w:tcPr>
          <w:p w14:paraId="5243BF66"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9,61±1,16</w:t>
            </w:r>
          </w:p>
        </w:tc>
        <w:tc>
          <w:tcPr>
            <w:tcW w:w="1856" w:type="dxa"/>
            <w:shd w:val="clear" w:color="000000" w:fill="FFFFFF"/>
            <w:vAlign w:val="center"/>
          </w:tcPr>
          <w:p w14:paraId="0C129F73"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39,49±3,33</w:t>
            </w:r>
          </w:p>
        </w:tc>
        <w:tc>
          <w:tcPr>
            <w:tcW w:w="1856" w:type="dxa"/>
            <w:shd w:val="clear" w:color="000000" w:fill="FFFFFF"/>
            <w:vAlign w:val="center"/>
          </w:tcPr>
          <w:p w14:paraId="417BA7C3"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63,36±5,39</w:t>
            </w:r>
          </w:p>
        </w:tc>
      </w:tr>
      <w:tr w:rsidR="008B4AB4" w:rsidRPr="008B4AB4" w14:paraId="62054A80" w14:textId="77777777" w:rsidTr="00182F60">
        <w:trPr>
          <w:trHeight w:val="20"/>
        </w:trPr>
        <w:tc>
          <w:tcPr>
            <w:tcW w:w="2127" w:type="dxa"/>
            <w:tcBorders>
              <w:bottom w:val="single" w:sz="4" w:space="0" w:color="auto"/>
            </w:tcBorders>
            <w:shd w:val="clear" w:color="000000" w:fill="FFFFFF"/>
            <w:vAlign w:val="center"/>
          </w:tcPr>
          <w:p w14:paraId="078A9638" w14:textId="77777777" w:rsidR="00B42121" w:rsidRPr="008B4AB4" w:rsidRDefault="00B42121" w:rsidP="00182F60">
            <w:pPr>
              <w:widowControl w:val="0"/>
              <w:autoSpaceDE w:val="0"/>
              <w:autoSpaceDN w:val="0"/>
              <w:adjustRightInd w:val="0"/>
              <w:spacing w:line="240" w:lineRule="auto"/>
              <w:rPr>
                <w:color w:val="auto"/>
                <w:szCs w:val="24"/>
              </w:rPr>
            </w:pPr>
            <w:r w:rsidRPr="008B4AB4">
              <w:rPr>
                <w:color w:val="auto"/>
                <w:szCs w:val="24"/>
              </w:rPr>
              <w:t>Udovitsky (LR)</w:t>
            </w:r>
          </w:p>
        </w:tc>
        <w:tc>
          <w:tcPr>
            <w:tcW w:w="1947" w:type="dxa"/>
            <w:tcBorders>
              <w:bottom w:val="single" w:sz="4" w:space="0" w:color="auto"/>
            </w:tcBorders>
            <w:shd w:val="clear" w:color="000000" w:fill="FFFFFF"/>
            <w:vAlign w:val="center"/>
          </w:tcPr>
          <w:p w14:paraId="6AB1A27B"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285,7±58,1</w:t>
            </w:r>
          </w:p>
        </w:tc>
        <w:tc>
          <w:tcPr>
            <w:tcW w:w="1906" w:type="dxa"/>
            <w:tcBorders>
              <w:bottom w:val="single" w:sz="4" w:space="0" w:color="auto"/>
            </w:tcBorders>
            <w:shd w:val="clear" w:color="000000" w:fill="FFFFFF"/>
            <w:vAlign w:val="center"/>
          </w:tcPr>
          <w:p w14:paraId="3BB3351B"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6,06±0,97</w:t>
            </w:r>
          </w:p>
        </w:tc>
        <w:tc>
          <w:tcPr>
            <w:tcW w:w="1856" w:type="dxa"/>
            <w:tcBorders>
              <w:bottom w:val="single" w:sz="4" w:space="0" w:color="auto"/>
            </w:tcBorders>
            <w:shd w:val="clear" w:color="000000" w:fill="FFFFFF"/>
            <w:vAlign w:val="center"/>
          </w:tcPr>
          <w:p w14:paraId="65092047"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46,51±2,30</w:t>
            </w:r>
          </w:p>
        </w:tc>
        <w:tc>
          <w:tcPr>
            <w:tcW w:w="1856" w:type="dxa"/>
            <w:tcBorders>
              <w:bottom w:val="single" w:sz="4" w:space="0" w:color="auto"/>
            </w:tcBorders>
            <w:shd w:val="clear" w:color="000000" w:fill="FFFFFF"/>
            <w:vAlign w:val="center"/>
          </w:tcPr>
          <w:p w14:paraId="2A282AF9" w14:textId="77777777" w:rsidR="00B42121" w:rsidRPr="008B4AB4" w:rsidRDefault="00B42121" w:rsidP="00182F60">
            <w:pPr>
              <w:widowControl w:val="0"/>
              <w:autoSpaceDE w:val="0"/>
              <w:autoSpaceDN w:val="0"/>
              <w:adjustRightInd w:val="0"/>
              <w:spacing w:line="240" w:lineRule="auto"/>
              <w:jc w:val="center"/>
              <w:rPr>
                <w:color w:val="auto"/>
                <w:szCs w:val="24"/>
              </w:rPr>
            </w:pPr>
            <w:r w:rsidRPr="008B4AB4">
              <w:rPr>
                <w:color w:val="auto"/>
                <w:szCs w:val="24"/>
              </w:rPr>
              <w:t>79,43±1,62</w:t>
            </w:r>
          </w:p>
        </w:tc>
      </w:tr>
    </w:tbl>
    <w:p w14:paraId="00080B9D" w14:textId="77777777" w:rsidR="00B42121" w:rsidRPr="008B4AB4" w:rsidRDefault="00B42121" w:rsidP="00B42121">
      <w:pPr>
        <w:spacing w:line="240" w:lineRule="auto"/>
        <w:rPr>
          <w:color w:val="auto"/>
          <w:szCs w:val="24"/>
        </w:rPr>
      </w:pPr>
      <w:r w:rsidRPr="008B4AB4">
        <w:rPr>
          <w:color w:val="auto"/>
          <w:szCs w:val="24"/>
        </w:rPr>
        <w:t>Note: Values are presented as the mean ± standard error for each parameter.</w:t>
      </w:r>
    </w:p>
    <w:p w14:paraId="4FB223DB" w14:textId="77777777" w:rsidR="00B42121" w:rsidRPr="008B4AB4" w:rsidRDefault="00B42121" w:rsidP="00B42121">
      <w:pPr>
        <w:spacing w:line="360" w:lineRule="auto"/>
        <w:rPr>
          <w:b/>
          <w:color w:val="auto"/>
        </w:rPr>
      </w:pPr>
    </w:p>
    <w:p w14:paraId="00166DA4" w14:textId="77777777" w:rsidR="00B42121" w:rsidRPr="008B4AB4" w:rsidRDefault="00B42121" w:rsidP="00B42121">
      <w:pPr>
        <w:widowControl w:val="0"/>
        <w:autoSpaceDE w:val="0"/>
        <w:autoSpaceDN w:val="0"/>
        <w:adjustRightInd w:val="0"/>
        <w:spacing w:line="240" w:lineRule="auto"/>
        <w:rPr>
          <w:color w:val="auto"/>
          <w:szCs w:val="28"/>
        </w:rPr>
      </w:pPr>
      <w:r w:rsidRPr="008B4AB4">
        <w:rPr>
          <w:b/>
          <w:color w:val="auto"/>
          <w:szCs w:val="28"/>
        </w:rPr>
        <w:t>Table 3.</w:t>
      </w:r>
      <w:r w:rsidRPr="008B4AB4">
        <w:rPr>
          <w:color w:val="auto"/>
          <w:szCs w:val="28"/>
        </w:rPr>
        <w:t xml:space="preserve"> Nutrient content in the tubers of colored-flesh potato varieties grown under the conditions of the Kostanay Region (KR) and the Leningrad Region (LR)</w:t>
      </w:r>
    </w:p>
    <w:tbl>
      <w:tblPr>
        <w:tblW w:w="9015" w:type="dxa"/>
        <w:jc w:val="center"/>
        <w:tblLayout w:type="fixed"/>
        <w:tblLook w:val="04A0" w:firstRow="1" w:lastRow="0" w:firstColumn="1" w:lastColumn="0" w:noHBand="0" w:noVBand="1"/>
      </w:tblPr>
      <w:tblGrid>
        <w:gridCol w:w="1413"/>
        <w:gridCol w:w="1267"/>
        <w:gridCol w:w="1267"/>
        <w:gridCol w:w="1267"/>
        <w:gridCol w:w="1267"/>
        <w:gridCol w:w="1267"/>
        <w:gridCol w:w="1267"/>
      </w:tblGrid>
      <w:tr w:rsidR="008B4AB4" w:rsidRPr="008B4AB4" w14:paraId="5BA233A6" w14:textId="77777777" w:rsidTr="00182F60">
        <w:trPr>
          <w:trHeight w:val="20"/>
          <w:jc w:val="center"/>
        </w:trPr>
        <w:tc>
          <w:tcPr>
            <w:tcW w:w="1413" w:type="dxa"/>
            <w:tcBorders>
              <w:top w:val="single" w:sz="4" w:space="0" w:color="auto"/>
              <w:bottom w:val="single" w:sz="4" w:space="0" w:color="auto"/>
            </w:tcBorders>
            <w:shd w:val="clear" w:color="auto" w:fill="E7E6E6"/>
          </w:tcPr>
          <w:p w14:paraId="7778EEF6" w14:textId="77777777" w:rsidR="00B42121" w:rsidRPr="008B4AB4" w:rsidRDefault="00B42121" w:rsidP="00182F60">
            <w:pPr>
              <w:widowControl w:val="0"/>
              <w:autoSpaceDE w:val="0"/>
              <w:autoSpaceDN w:val="0"/>
              <w:adjustRightInd w:val="0"/>
              <w:spacing w:line="240" w:lineRule="auto"/>
              <w:jc w:val="center"/>
              <w:rPr>
                <w:b/>
                <w:color w:val="auto"/>
                <w:sz w:val="20"/>
              </w:rPr>
            </w:pPr>
            <w:r w:rsidRPr="008B4AB4">
              <w:rPr>
                <w:b/>
                <w:color w:val="auto"/>
                <w:sz w:val="20"/>
              </w:rPr>
              <w:t>Selection sample</w:t>
            </w:r>
          </w:p>
        </w:tc>
        <w:tc>
          <w:tcPr>
            <w:tcW w:w="1267" w:type="dxa"/>
            <w:tcBorders>
              <w:top w:val="single" w:sz="4" w:space="0" w:color="auto"/>
              <w:bottom w:val="single" w:sz="4" w:space="0" w:color="auto"/>
            </w:tcBorders>
            <w:shd w:val="clear" w:color="auto" w:fill="E7E6E6"/>
          </w:tcPr>
          <w:p w14:paraId="75745105" w14:textId="77777777" w:rsidR="00B42121" w:rsidRPr="008B4AB4" w:rsidRDefault="00B42121" w:rsidP="00182F60">
            <w:pPr>
              <w:widowControl w:val="0"/>
              <w:autoSpaceDE w:val="0"/>
              <w:autoSpaceDN w:val="0"/>
              <w:adjustRightInd w:val="0"/>
              <w:spacing w:line="240" w:lineRule="auto"/>
              <w:jc w:val="center"/>
              <w:rPr>
                <w:b/>
                <w:color w:val="auto"/>
                <w:sz w:val="20"/>
              </w:rPr>
            </w:pPr>
            <w:r w:rsidRPr="008B4AB4">
              <w:rPr>
                <w:b/>
                <w:color w:val="auto"/>
                <w:sz w:val="20"/>
              </w:rPr>
              <w:t>Dry matter, % </w:t>
            </w:r>
          </w:p>
        </w:tc>
        <w:tc>
          <w:tcPr>
            <w:tcW w:w="1267" w:type="dxa"/>
            <w:tcBorders>
              <w:top w:val="single" w:sz="4" w:space="0" w:color="auto"/>
              <w:bottom w:val="single" w:sz="4" w:space="0" w:color="auto"/>
            </w:tcBorders>
            <w:shd w:val="clear" w:color="auto" w:fill="E7E6E6"/>
          </w:tcPr>
          <w:p w14:paraId="0A552BD3" w14:textId="77777777" w:rsidR="00B42121" w:rsidRPr="008B4AB4" w:rsidRDefault="00B42121" w:rsidP="00182F60">
            <w:pPr>
              <w:widowControl w:val="0"/>
              <w:autoSpaceDE w:val="0"/>
              <w:autoSpaceDN w:val="0"/>
              <w:adjustRightInd w:val="0"/>
              <w:spacing w:line="240" w:lineRule="auto"/>
              <w:rPr>
                <w:b/>
                <w:color w:val="auto"/>
                <w:sz w:val="20"/>
              </w:rPr>
            </w:pPr>
            <w:r w:rsidRPr="008B4AB4">
              <w:rPr>
                <w:b/>
                <w:color w:val="auto"/>
                <w:sz w:val="20"/>
              </w:rPr>
              <w:t>Starch, % </w:t>
            </w:r>
          </w:p>
        </w:tc>
        <w:tc>
          <w:tcPr>
            <w:tcW w:w="1267" w:type="dxa"/>
            <w:tcBorders>
              <w:top w:val="single" w:sz="4" w:space="0" w:color="auto"/>
              <w:bottom w:val="single" w:sz="4" w:space="0" w:color="auto"/>
            </w:tcBorders>
            <w:shd w:val="clear" w:color="auto" w:fill="E7E6E6"/>
          </w:tcPr>
          <w:p w14:paraId="007EECA3" w14:textId="77777777" w:rsidR="00B42121" w:rsidRPr="008B4AB4" w:rsidRDefault="00B42121" w:rsidP="00182F60">
            <w:pPr>
              <w:widowControl w:val="0"/>
              <w:autoSpaceDE w:val="0"/>
              <w:autoSpaceDN w:val="0"/>
              <w:adjustRightInd w:val="0"/>
              <w:spacing w:line="240" w:lineRule="auto"/>
              <w:rPr>
                <w:b/>
                <w:color w:val="auto"/>
                <w:sz w:val="20"/>
              </w:rPr>
            </w:pPr>
            <w:r w:rsidRPr="008B4AB4">
              <w:rPr>
                <w:b/>
                <w:color w:val="auto"/>
                <w:sz w:val="20"/>
              </w:rPr>
              <w:t>Protein, % </w:t>
            </w:r>
          </w:p>
        </w:tc>
        <w:tc>
          <w:tcPr>
            <w:tcW w:w="1267" w:type="dxa"/>
            <w:tcBorders>
              <w:top w:val="single" w:sz="4" w:space="0" w:color="auto"/>
              <w:bottom w:val="single" w:sz="4" w:space="0" w:color="auto"/>
            </w:tcBorders>
            <w:shd w:val="clear" w:color="auto" w:fill="E7E6E6"/>
          </w:tcPr>
          <w:p w14:paraId="2048D86C" w14:textId="77777777" w:rsidR="00B42121" w:rsidRPr="008B4AB4" w:rsidRDefault="00B42121" w:rsidP="00182F60">
            <w:pPr>
              <w:widowControl w:val="0"/>
              <w:autoSpaceDE w:val="0"/>
              <w:autoSpaceDN w:val="0"/>
              <w:adjustRightInd w:val="0"/>
              <w:spacing w:line="240" w:lineRule="auto"/>
              <w:jc w:val="center"/>
              <w:rPr>
                <w:b/>
                <w:color w:val="auto"/>
                <w:sz w:val="20"/>
              </w:rPr>
            </w:pPr>
            <w:r w:rsidRPr="008B4AB4">
              <w:rPr>
                <w:b/>
                <w:color w:val="auto"/>
                <w:sz w:val="20"/>
              </w:rPr>
              <w:t>Total sugars, % </w:t>
            </w:r>
          </w:p>
        </w:tc>
        <w:tc>
          <w:tcPr>
            <w:tcW w:w="1267" w:type="dxa"/>
            <w:tcBorders>
              <w:top w:val="single" w:sz="4" w:space="0" w:color="auto"/>
              <w:bottom w:val="single" w:sz="4" w:space="0" w:color="auto"/>
            </w:tcBorders>
            <w:shd w:val="clear" w:color="auto" w:fill="E7E6E6"/>
          </w:tcPr>
          <w:p w14:paraId="25A36B59" w14:textId="77777777" w:rsidR="00B42121" w:rsidRPr="008B4AB4" w:rsidRDefault="00B42121" w:rsidP="00182F60">
            <w:pPr>
              <w:widowControl w:val="0"/>
              <w:autoSpaceDE w:val="0"/>
              <w:autoSpaceDN w:val="0"/>
              <w:adjustRightInd w:val="0"/>
              <w:spacing w:line="240" w:lineRule="auto"/>
              <w:jc w:val="center"/>
              <w:rPr>
                <w:b/>
                <w:color w:val="auto"/>
                <w:sz w:val="20"/>
              </w:rPr>
            </w:pPr>
            <w:r w:rsidRPr="008B4AB4">
              <w:rPr>
                <w:b/>
                <w:color w:val="auto"/>
                <w:sz w:val="20"/>
              </w:rPr>
              <w:t>Monosaccharides, % </w:t>
            </w:r>
          </w:p>
        </w:tc>
        <w:tc>
          <w:tcPr>
            <w:tcW w:w="1267" w:type="dxa"/>
            <w:tcBorders>
              <w:top w:val="single" w:sz="4" w:space="0" w:color="auto"/>
              <w:bottom w:val="single" w:sz="4" w:space="0" w:color="auto"/>
            </w:tcBorders>
            <w:shd w:val="clear" w:color="auto" w:fill="E7E6E6"/>
          </w:tcPr>
          <w:p w14:paraId="0959F895" w14:textId="77777777" w:rsidR="00B42121" w:rsidRPr="008B4AB4" w:rsidRDefault="00B42121" w:rsidP="00182F60">
            <w:pPr>
              <w:widowControl w:val="0"/>
              <w:autoSpaceDE w:val="0"/>
              <w:autoSpaceDN w:val="0"/>
              <w:adjustRightInd w:val="0"/>
              <w:spacing w:line="240" w:lineRule="auto"/>
              <w:jc w:val="center"/>
              <w:rPr>
                <w:b/>
                <w:color w:val="auto"/>
                <w:sz w:val="20"/>
              </w:rPr>
            </w:pPr>
            <w:r w:rsidRPr="008B4AB4">
              <w:rPr>
                <w:b/>
                <w:color w:val="auto"/>
                <w:sz w:val="20"/>
              </w:rPr>
              <w:t>Total acidity, %</w:t>
            </w:r>
          </w:p>
        </w:tc>
      </w:tr>
      <w:tr w:rsidR="008B4AB4" w:rsidRPr="008B4AB4" w14:paraId="53162BBF" w14:textId="77777777" w:rsidTr="00182F60">
        <w:trPr>
          <w:trHeight w:val="20"/>
          <w:jc w:val="center"/>
        </w:trPr>
        <w:tc>
          <w:tcPr>
            <w:tcW w:w="1413" w:type="dxa"/>
            <w:tcBorders>
              <w:top w:val="single" w:sz="4" w:space="0" w:color="auto"/>
            </w:tcBorders>
          </w:tcPr>
          <w:p w14:paraId="78A43C62"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Kiru KR</w:t>
            </w:r>
          </w:p>
        </w:tc>
        <w:tc>
          <w:tcPr>
            <w:tcW w:w="1267" w:type="dxa"/>
            <w:tcBorders>
              <w:top w:val="single" w:sz="4" w:space="0" w:color="auto"/>
            </w:tcBorders>
          </w:tcPr>
          <w:p w14:paraId="4FAD724A"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21,46±0,14</w:t>
            </w:r>
            <w:r w:rsidRPr="008B4AB4">
              <w:rPr>
                <w:color w:val="auto"/>
                <w:sz w:val="20"/>
                <w:vertAlign w:val="superscript"/>
              </w:rPr>
              <w:t>b</w:t>
            </w:r>
          </w:p>
        </w:tc>
        <w:tc>
          <w:tcPr>
            <w:tcW w:w="1267" w:type="dxa"/>
            <w:tcBorders>
              <w:top w:val="single" w:sz="4" w:space="0" w:color="auto"/>
            </w:tcBorders>
          </w:tcPr>
          <w:p w14:paraId="4C064FEF"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15,49±0,31</w:t>
            </w:r>
          </w:p>
        </w:tc>
        <w:tc>
          <w:tcPr>
            <w:tcW w:w="1267" w:type="dxa"/>
            <w:tcBorders>
              <w:top w:val="single" w:sz="4" w:space="0" w:color="auto"/>
            </w:tcBorders>
          </w:tcPr>
          <w:p w14:paraId="29354F81"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1,92±0,09</w:t>
            </w:r>
          </w:p>
        </w:tc>
        <w:tc>
          <w:tcPr>
            <w:tcW w:w="1267" w:type="dxa"/>
            <w:tcBorders>
              <w:top w:val="single" w:sz="4" w:space="0" w:color="auto"/>
            </w:tcBorders>
          </w:tcPr>
          <w:p w14:paraId="7D37CCDE"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0,52±0,33</w:t>
            </w:r>
          </w:p>
        </w:tc>
        <w:tc>
          <w:tcPr>
            <w:tcW w:w="1267" w:type="dxa"/>
            <w:tcBorders>
              <w:top w:val="single" w:sz="4" w:space="0" w:color="auto"/>
            </w:tcBorders>
          </w:tcPr>
          <w:p w14:paraId="60BB6C03"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0,24±0,15</w:t>
            </w:r>
          </w:p>
        </w:tc>
        <w:tc>
          <w:tcPr>
            <w:tcW w:w="1267" w:type="dxa"/>
            <w:tcBorders>
              <w:top w:val="single" w:sz="4" w:space="0" w:color="auto"/>
            </w:tcBorders>
          </w:tcPr>
          <w:p w14:paraId="112BA99A"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0,30±0,01</w:t>
            </w:r>
            <w:r w:rsidRPr="008B4AB4">
              <w:rPr>
                <w:color w:val="auto"/>
                <w:sz w:val="20"/>
                <w:vertAlign w:val="superscript"/>
              </w:rPr>
              <w:t>b</w:t>
            </w:r>
          </w:p>
        </w:tc>
      </w:tr>
      <w:tr w:rsidR="008B4AB4" w:rsidRPr="008B4AB4" w14:paraId="0EBFC02B" w14:textId="77777777" w:rsidTr="00182F60">
        <w:trPr>
          <w:trHeight w:val="20"/>
          <w:jc w:val="center"/>
        </w:trPr>
        <w:tc>
          <w:tcPr>
            <w:tcW w:w="1413" w:type="dxa"/>
          </w:tcPr>
          <w:p w14:paraId="14991E13"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Kiru LR</w:t>
            </w:r>
          </w:p>
        </w:tc>
        <w:tc>
          <w:tcPr>
            <w:tcW w:w="1267" w:type="dxa"/>
          </w:tcPr>
          <w:p w14:paraId="512370A7"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20,48±1,08</w:t>
            </w:r>
            <w:r w:rsidRPr="008B4AB4">
              <w:rPr>
                <w:color w:val="auto"/>
                <w:sz w:val="20"/>
                <w:vertAlign w:val="superscript"/>
              </w:rPr>
              <w:t>b</w:t>
            </w:r>
          </w:p>
        </w:tc>
        <w:tc>
          <w:tcPr>
            <w:tcW w:w="1267" w:type="dxa"/>
          </w:tcPr>
          <w:p w14:paraId="57A5A7E2"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14,17±0,60</w:t>
            </w:r>
          </w:p>
        </w:tc>
        <w:tc>
          <w:tcPr>
            <w:tcW w:w="1267" w:type="dxa"/>
          </w:tcPr>
          <w:p w14:paraId="0926748D"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1,60±0,23</w:t>
            </w:r>
          </w:p>
        </w:tc>
        <w:tc>
          <w:tcPr>
            <w:tcW w:w="1267" w:type="dxa"/>
          </w:tcPr>
          <w:p w14:paraId="23520AD5"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1,03±0,04</w:t>
            </w:r>
          </w:p>
        </w:tc>
        <w:tc>
          <w:tcPr>
            <w:tcW w:w="1267" w:type="dxa"/>
          </w:tcPr>
          <w:p w14:paraId="1D765D68"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0,65±0,24</w:t>
            </w:r>
          </w:p>
        </w:tc>
        <w:tc>
          <w:tcPr>
            <w:tcW w:w="1267" w:type="dxa"/>
          </w:tcPr>
          <w:p w14:paraId="60EA11F5"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0,25±0,01</w:t>
            </w:r>
            <w:r w:rsidRPr="008B4AB4">
              <w:rPr>
                <w:color w:val="auto"/>
                <w:sz w:val="20"/>
                <w:vertAlign w:val="superscript"/>
              </w:rPr>
              <w:t>b</w:t>
            </w:r>
          </w:p>
        </w:tc>
      </w:tr>
      <w:tr w:rsidR="008B4AB4" w:rsidRPr="008B4AB4" w14:paraId="1EC59D26" w14:textId="77777777" w:rsidTr="00182F60">
        <w:trPr>
          <w:trHeight w:val="20"/>
          <w:jc w:val="center"/>
        </w:trPr>
        <w:tc>
          <w:tcPr>
            <w:tcW w:w="1413" w:type="dxa"/>
          </w:tcPr>
          <w:p w14:paraId="6D3BF521"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Tanyusha KR</w:t>
            </w:r>
          </w:p>
        </w:tc>
        <w:tc>
          <w:tcPr>
            <w:tcW w:w="1267" w:type="dxa"/>
          </w:tcPr>
          <w:p w14:paraId="3037E614"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26,24±0,48</w:t>
            </w:r>
          </w:p>
        </w:tc>
        <w:tc>
          <w:tcPr>
            <w:tcW w:w="1267" w:type="dxa"/>
          </w:tcPr>
          <w:p w14:paraId="6B82671A"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17,56±0,10</w:t>
            </w:r>
          </w:p>
        </w:tc>
        <w:tc>
          <w:tcPr>
            <w:tcW w:w="1267" w:type="dxa"/>
          </w:tcPr>
          <w:p w14:paraId="04BA487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2,82±0,59</w:t>
            </w:r>
          </w:p>
        </w:tc>
        <w:tc>
          <w:tcPr>
            <w:tcW w:w="1267" w:type="dxa"/>
          </w:tcPr>
          <w:p w14:paraId="797B7038"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0,78±0,51</w:t>
            </w:r>
          </w:p>
        </w:tc>
        <w:tc>
          <w:tcPr>
            <w:tcW w:w="1267" w:type="dxa"/>
          </w:tcPr>
          <w:p w14:paraId="0F8D16DF"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0,31±0,18</w:t>
            </w:r>
          </w:p>
        </w:tc>
        <w:tc>
          <w:tcPr>
            <w:tcW w:w="1267" w:type="dxa"/>
          </w:tcPr>
          <w:p w14:paraId="32B32CA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0,28±0,01</w:t>
            </w:r>
            <w:r w:rsidRPr="008B4AB4">
              <w:rPr>
                <w:color w:val="auto"/>
                <w:sz w:val="20"/>
                <w:vertAlign w:val="superscript"/>
              </w:rPr>
              <w:t>b</w:t>
            </w:r>
          </w:p>
        </w:tc>
      </w:tr>
      <w:tr w:rsidR="008B4AB4" w:rsidRPr="008B4AB4" w14:paraId="7610FC66" w14:textId="77777777" w:rsidTr="00182F60">
        <w:trPr>
          <w:trHeight w:val="20"/>
          <w:jc w:val="center"/>
        </w:trPr>
        <w:tc>
          <w:tcPr>
            <w:tcW w:w="1413" w:type="dxa"/>
          </w:tcPr>
          <w:p w14:paraId="1E2A8C67"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Tanyusha LR</w:t>
            </w:r>
          </w:p>
        </w:tc>
        <w:tc>
          <w:tcPr>
            <w:tcW w:w="1267" w:type="dxa"/>
          </w:tcPr>
          <w:p w14:paraId="61591DD6"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21,11±0,66</w:t>
            </w:r>
          </w:p>
        </w:tc>
        <w:tc>
          <w:tcPr>
            <w:tcW w:w="1267" w:type="dxa"/>
          </w:tcPr>
          <w:p w14:paraId="32DA9374"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13,91±0,91</w:t>
            </w:r>
          </w:p>
        </w:tc>
        <w:tc>
          <w:tcPr>
            <w:tcW w:w="1267" w:type="dxa"/>
          </w:tcPr>
          <w:p w14:paraId="06579486"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1,82±0,04</w:t>
            </w:r>
          </w:p>
        </w:tc>
        <w:tc>
          <w:tcPr>
            <w:tcW w:w="1267" w:type="dxa"/>
          </w:tcPr>
          <w:p w14:paraId="68E981D0"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1,19±0,18</w:t>
            </w:r>
          </w:p>
        </w:tc>
        <w:tc>
          <w:tcPr>
            <w:tcW w:w="1267" w:type="dxa"/>
          </w:tcPr>
          <w:p w14:paraId="6125FE0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0,98±0,05</w:t>
            </w:r>
          </w:p>
        </w:tc>
        <w:tc>
          <w:tcPr>
            <w:tcW w:w="1267" w:type="dxa"/>
          </w:tcPr>
          <w:p w14:paraId="09900B5F"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0,27±0,01</w:t>
            </w:r>
            <w:r w:rsidRPr="008B4AB4">
              <w:rPr>
                <w:color w:val="auto"/>
                <w:sz w:val="20"/>
                <w:vertAlign w:val="superscript"/>
              </w:rPr>
              <w:t>b</w:t>
            </w:r>
          </w:p>
        </w:tc>
      </w:tr>
      <w:tr w:rsidR="008B4AB4" w:rsidRPr="008B4AB4" w14:paraId="11E1CB4A" w14:textId="77777777" w:rsidTr="00182F60">
        <w:trPr>
          <w:trHeight w:val="20"/>
          <w:jc w:val="center"/>
        </w:trPr>
        <w:tc>
          <w:tcPr>
            <w:tcW w:w="1413" w:type="dxa"/>
          </w:tcPr>
          <w:p w14:paraId="04AFBA70"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Travnik KR</w:t>
            </w:r>
          </w:p>
        </w:tc>
        <w:tc>
          <w:tcPr>
            <w:tcW w:w="1267" w:type="dxa"/>
          </w:tcPr>
          <w:p w14:paraId="64900505"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26,44±0,52</w:t>
            </w:r>
            <w:r w:rsidRPr="008B4AB4">
              <w:rPr>
                <w:color w:val="auto"/>
                <w:sz w:val="20"/>
                <w:vertAlign w:val="superscript"/>
              </w:rPr>
              <w:t>а</w:t>
            </w:r>
          </w:p>
        </w:tc>
        <w:tc>
          <w:tcPr>
            <w:tcW w:w="1267" w:type="dxa"/>
          </w:tcPr>
          <w:p w14:paraId="041D82B6"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18,45±0,74</w:t>
            </w:r>
          </w:p>
        </w:tc>
        <w:tc>
          <w:tcPr>
            <w:tcW w:w="1267" w:type="dxa"/>
          </w:tcPr>
          <w:p w14:paraId="7B2C3730"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2,71±0,35</w:t>
            </w:r>
          </w:p>
        </w:tc>
        <w:tc>
          <w:tcPr>
            <w:tcW w:w="1267" w:type="dxa"/>
          </w:tcPr>
          <w:p w14:paraId="6A4E19AE"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0,76±0,22</w:t>
            </w:r>
          </w:p>
        </w:tc>
        <w:tc>
          <w:tcPr>
            <w:tcW w:w="1267" w:type="dxa"/>
          </w:tcPr>
          <w:p w14:paraId="513C221E"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0,29±0,14</w:t>
            </w:r>
          </w:p>
        </w:tc>
        <w:tc>
          <w:tcPr>
            <w:tcW w:w="1267" w:type="dxa"/>
          </w:tcPr>
          <w:p w14:paraId="0AF5C70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0,29±0,01</w:t>
            </w:r>
            <w:r w:rsidRPr="008B4AB4">
              <w:rPr>
                <w:color w:val="auto"/>
                <w:sz w:val="20"/>
                <w:vertAlign w:val="superscript"/>
              </w:rPr>
              <w:t>b</w:t>
            </w:r>
          </w:p>
        </w:tc>
      </w:tr>
      <w:tr w:rsidR="008B4AB4" w:rsidRPr="008B4AB4" w14:paraId="30C347CC" w14:textId="77777777" w:rsidTr="00182F60">
        <w:trPr>
          <w:trHeight w:val="20"/>
          <w:jc w:val="center"/>
        </w:trPr>
        <w:tc>
          <w:tcPr>
            <w:tcW w:w="1413" w:type="dxa"/>
          </w:tcPr>
          <w:p w14:paraId="1E4084A4"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Travnik LR</w:t>
            </w:r>
          </w:p>
        </w:tc>
        <w:tc>
          <w:tcPr>
            <w:tcW w:w="1267" w:type="dxa"/>
          </w:tcPr>
          <w:p w14:paraId="2C2D483E"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23,20±0,27</w:t>
            </w:r>
            <w:r w:rsidRPr="008B4AB4">
              <w:rPr>
                <w:color w:val="auto"/>
                <w:sz w:val="20"/>
                <w:vertAlign w:val="superscript"/>
              </w:rPr>
              <w:t>а</w:t>
            </w:r>
          </w:p>
        </w:tc>
        <w:tc>
          <w:tcPr>
            <w:tcW w:w="1267" w:type="dxa"/>
          </w:tcPr>
          <w:p w14:paraId="603942FF"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14,85±0,64</w:t>
            </w:r>
          </w:p>
        </w:tc>
        <w:tc>
          <w:tcPr>
            <w:tcW w:w="1267" w:type="dxa"/>
          </w:tcPr>
          <w:p w14:paraId="0FCC0DA0"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1,97±0,07</w:t>
            </w:r>
          </w:p>
        </w:tc>
        <w:tc>
          <w:tcPr>
            <w:tcW w:w="1267" w:type="dxa"/>
          </w:tcPr>
          <w:p w14:paraId="22337690"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1,16±0,21</w:t>
            </w:r>
          </w:p>
        </w:tc>
        <w:tc>
          <w:tcPr>
            <w:tcW w:w="1267" w:type="dxa"/>
          </w:tcPr>
          <w:p w14:paraId="2B583813"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0,80±0,04</w:t>
            </w:r>
          </w:p>
        </w:tc>
        <w:tc>
          <w:tcPr>
            <w:tcW w:w="1267" w:type="dxa"/>
          </w:tcPr>
          <w:p w14:paraId="726BE87F"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0,28±0,01</w:t>
            </w:r>
            <w:r w:rsidRPr="008B4AB4">
              <w:rPr>
                <w:color w:val="auto"/>
                <w:sz w:val="20"/>
                <w:vertAlign w:val="superscript"/>
              </w:rPr>
              <w:t>b</w:t>
            </w:r>
          </w:p>
        </w:tc>
      </w:tr>
      <w:tr w:rsidR="008B4AB4" w:rsidRPr="008B4AB4" w14:paraId="3BE354DF" w14:textId="77777777" w:rsidTr="00182F60">
        <w:trPr>
          <w:trHeight w:val="20"/>
          <w:jc w:val="center"/>
        </w:trPr>
        <w:tc>
          <w:tcPr>
            <w:tcW w:w="1413" w:type="dxa"/>
          </w:tcPr>
          <w:p w14:paraId="4EA63A18"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Olyushka KR</w:t>
            </w:r>
          </w:p>
        </w:tc>
        <w:tc>
          <w:tcPr>
            <w:tcW w:w="1267" w:type="dxa"/>
          </w:tcPr>
          <w:p w14:paraId="5A0F9484"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23,02±1,62</w:t>
            </w:r>
          </w:p>
        </w:tc>
        <w:tc>
          <w:tcPr>
            <w:tcW w:w="1267" w:type="dxa"/>
          </w:tcPr>
          <w:p w14:paraId="22C17814"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15,63±0,78</w:t>
            </w:r>
          </w:p>
        </w:tc>
        <w:tc>
          <w:tcPr>
            <w:tcW w:w="1267" w:type="dxa"/>
          </w:tcPr>
          <w:p w14:paraId="73284ED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2,26±0,22</w:t>
            </w:r>
          </w:p>
        </w:tc>
        <w:tc>
          <w:tcPr>
            <w:tcW w:w="1267" w:type="dxa"/>
          </w:tcPr>
          <w:p w14:paraId="6C664594"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0,76±0,39</w:t>
            </w:r>
          </w:p>
        </w:tc>
        <w:tc>
          <w:tcPr>
            <w:tcW w:w="1267" w:type="dxa"/>
          </w:tcPr>
          <w:p w14:paraId="2A88421E"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0,30±0,18</w:t>
            </w:r>
          </w:p>
        </w:tc>
        <w:tc>
          <w:tcPr>
            <w:tcW w:w="1267" w:type="dxa"/>
          </w:tcPr>
          <w:p w14:paraId="485D3C69"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0,29±0,03</w:t>
            </w:r>
            <w:r w:rsidRPr="008B4AB4">
              <w:rPr>
                <w:color w:val="auto"/>
                <w:sz w:val="20"/>
                <w:vertAlign w:val="superscript"/>
              </w:rPr>
              <w:t>b</w:t>
            </w:r>
          </w:p>
        </w:tc>
      </w:tr>
      <w:tr w:rsidR="008B4AB4" w:rsidRPr="008B4AB4" w14:paraId="5FD2ED49" w14:textId="77777777" w:rsidTr="00182F60">
        <w:trPr>
          <w:trHeight w:val="20"/>
          <w:jc w:val="center"/>
        </w:trPr>
        <w:tc>
          <w:tcPr>
            <w:tcW w:w="1413" w:type="dxa"/>
          </w:tcPr>
          <w:p w14:paraId="1B3BC8DA"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Olyushka LR</w:t>
            </w:r>
          </w:p>
        </w:tc>
        <w:tc>
          <w:tcPr>
            <w:tcW w:w="1267" w:type="dxa"/>
          </w:tcPr>
          <w:p w14:paraId="5F9524DE"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20,43±0,37</w:t>
            </w:r>
          </w:p>
        </w:tc>
        <w:tc>
          <w:tcPr>
            <w:tcW w:w="1267" w:type="dxa"/>
          </w:tcPr>
          <w:p w14:paraId="77B43209"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14,16±0,16</w:t>
            </w:r>
          </w:p>
        </w:tc>
        <w:tc>
          <w:tcPr>
            <w:tcW w:w="1267" w:type="dxa"/>
          </w:tcPr>
          <w:p w14:paraId="56F077DB"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1,63±0,14</w:t>
            </w:r>
          </w:p>
        </w:tc>
        <w:tc>
          <w:tcPr>
            <w:tcW w:w="1267" w:type="dxa"/>
          </w:tcPr>
          <w:p w14:paraId="6232FEA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1,07±0,07</w:t>
            </w:r>
          </w:p>
        </w:tc>
        <w:tc>
          <w:tcPr>
            <w:tcW w:w="1267" w:type="dxa"/>
          </w:tcPr>
          <w:p w14:paraId="5960FED3"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0,68±0,06</w:t>
            </w:r>
          </w:p>
        </w:tc>
        <w:tc>
          <w:tcPr>
            <w:tcW w:w="1267" w:type="dxa"/>
          </w:tcPr>
          <w:p w14:paraId="791CC588"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0,23±0,01</w:t>
            </w:r>
            <w:r w:rsidRPr="008B4AB4">
              <w:rPr>
                <w:color w:val="auto"/>
                <w:sz w:val="20"/>
                <w:vertAlign w:val="superscript"/>
              </w:rPr>
              <w:t>b</w:t>
            </w:r>
          </w:p>
        </w:tc>
      </w:tr>
      <w:tr w:rsidR="008B4AB4" w:rsidRPr="008B4AB4" w14:paraId="28E6FCA2" w14:textId="77777777" w:rsidTr="00182F60">
        <w:trPr>
          <w:trHeight w:val="20"/>
          <w:jc w:val="center"/>
        </w:trPr>
        <w:tc>
          <w:tcPr>
            <w:tcW w:w="1413" w:type="dxa"/>
          </w:tcPr>
          <w:p w14:paraId="39E60587"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Udovitsky KR</w:t>
            </w:r>
          </w:p>
        </w:tc>
        <w:tc>
          <w:tcPr>
            <w:tcW w:w="1267" w:type="dxa"/>
          </w:tcPr>
          <w:p w14:paraId="486ED71F"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19,88±0,00</w:t>
            </w:r>
            <w:r w:rsidRPr="008B4AB4">
              <w:rPr>
                <w:color w:val="auto"/>
                <w:sz w:val="20"/>
                <w:vertAlign w:val="superscript"/>
              </w:rPr>
              <w:t>b</w:t>
            </w:r>
          </w:p>
        </w:tc>
        <w:tc>
          <w:tcPr>
            <w:tcW w:w="1267" w:type="dxa"/>
          </w:tcPr>
          <w:p w14:paraId="5F3F9A40"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12,07±0,00</w:t>
            </w:r>
          </w:p>
        </w:tc>
        <w:tc>
          <w:tcPr>
            <w:tcW w:w="1267" w:type="dxa"/>
          </w:tcPr>
          <w:p w14:paraId="260D68D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2,51±0,00</w:t>
            </w:r>
          </w:p>
        </w:tc>
        <w:tc>
          <w:tcPr>
            <w:tcW w:w="1267" w:type="dxa"/>
          </w:tcPr>
          <w:p w14:paraId="6B7C9111"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0,23±0,00</w:t>
            </w:r>
          </w:p>
        </w:tc>
        <w:tc>
          <w:tcPr>
            <w:tcW w:w="1267" w:type="dxa"/>
          </w:tcPr>
          <w:p w14:paraId="24D62E84"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0,09±0,00</w:t>
            </w:r>
          </w:p>
        </w:tc>
        <w:tc>
          <w:tcPr>
            <w:tcW w:w="1267" w:type="dxa"/>
          </w:tcPr>
          <w:p w14:paraId="47C342D0"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0,41±0,00</w:t>
            </w:r>
            <w:r w:rsidRPr="008B4AB4">
              <w:rPr>
                <w:color w:val="auto"/>
                <w:sz w:val="20"/>
                <w:vertAlign w:val="superscript"/>
              </w:rPr>
              <w:t>a</w:t>
            </w:r>
          </w:p>
        </w:tc>
      </w:tr>
      <w:tr w:rsidR="00B42121" w:rsidRPr="008B4AB4" w14:paraId="53CAB616" w14:textId="77777777" w:rsidTr="00182F60">
        <w:trPr>
          <w:trHeight w:val="20"/>
          <w:jc w:val="center"/>
        </w:trPr>
        <w:tc>
          <w:tcPr>
            <w:tcW w:w="1413" w:type="dxa"/>
            <w:tcBorders>
              <w:bottom w:val="single" w:sz="4" w:space="0" w:color="auto"/>
            </w:tcBorders>
          </w:tcPr>
          <w:p w14:paraId="407688E0" w14:textId="77777777" w:rsidR="00B42121" w:rsidRPr="008B4AB4" w:rsidRDefault="00B42121" w:rsidP="00182F60">
            <w:pPr>
              <w:widowControl w:val="0"/>
              <w:autoSpaceDE w:val="0"/>
              <w:autoSpaceDN w:val="0"/>
              <w:adjustRightInd w:val="0"/>
              <w:spacing w:line="240" w:lineRule="auto"/>
              <w:rPr>
                <w:color w:val="auto"/>
                <w:sz w:val="20"/>
              </w:rPr>
            </w:pPr>
            <w:r w:rsidRPr="008B4AB4">
              <w:rPr>
                <w:color w:val="auto"/>
                <w:sz w:val="20"/>
              </w:rPr>
              <w:t>Udovitsky LR</w:t>
            </w:r>
          </w:p>
        </w:tc>
        <w:tc>
          <w:tcPr>
            <w:tcW w:w="1267" w:type="dxa"/>
            <w:tcBorders>
              <w:bottom w:val="single" w:sz="4" w:space="0" w:color="auto"/>
            </w:tcBorders>
          </w:tcPr>
          <w:p w14:paraId="1E6DD1CB"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19,97±1,34</w:t>
            </w:r>
            <w:r w:rsidRPr="008B4AB4">
              <w:rPr>
                <w:color w:val="auto"/>
                <w:sz w:val="20"/>
                <w:vertAlign w:val="superscript"/>
              </w:rPr>
              <w:t>b</w:t>
            </w:r>
          </w:p>
        </w:tc>
        <w:tc>
          <w:tcPr>
            <w:tcW w:w="1267" w:type="dxa"/>
            <w:tcBorders>
              <w:bottom w:val="single" w:sz="4" w:space="0" w:color="auto"/>
            </w:tcBorders>
          </w:tcPr>
          <w:p w14:paraId="7616191B"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13,36±0,99</w:t>
            </w:r>
          </w:p>
        </w:tc>
        <w:tc>
          <w:tcPr>
            <w:tcW w:w="1267" w:type="dxa"/>
            <w:tcBorders>
              <w:bottom w:val="single" w:sz="4" w:space="0" w:color="auto"/>
            </w:tcBorders>
          </w:tcPr>
          <w:p w14:paraId="48CE2222"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1,49±0,01</w:t>
            </w:r>
          </w:p>
        </w:tc>
        <w:tc>
          <w:tcPr>
            <w:tcW w:w="1267" w:type="dxa"/>
            <w:tcBorders>
              <w:bottom w:val="single" w:sz="4" w:space="0" w:color="auto"/>
            </w:tcBorders>
          </w:tcPr>
          <w:p w14:paraId="27005FF9"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0,99±0,05</w:t>
            </w:r>
          </w:p>
        </w:tc>
        <w:tc>
          <w:tcPr>
            <w:tcW w:w="1267" w:type="dxa"/>
            <w:tcBorders>
              <w:bottom w:val="single" w:sz="4" w:space="0" w:color="auto"/>
            </w:tcBorders>
          </w:tcPr>
          <w:p w14:paraId="546EA354"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0,88±0,07</w:t>
            </w:r>
          </w:p>
        </w:tc>
        <w:tc>
          <w:tcPr>
            <w:tcW w:w="1267" w:type="dxa"/>
            <w:tcBorders>
              <w:bottom w:val="single" w:sz="4" w:space="0" w:color="auto"/>
            </w:tcBorders>
          </w:tcPr>
          <w:p w14:paraId="337CBF7C" w14:textId="77777777" w:rsidR="00B42121" w:rsidRPr="008B4AB4" w:rsidRDefault="00B42121" w:rsidP="00182F60">
            <w:pPr>
              <w:widowControl w:val="0"/>
              <w:autoSpaceDE w:val="0"/>
              <w:autoSpaceDN w:val="0"/>
              <w:adjustRightInd w:val="0"/>
              <w:spacing w:line="240" w:lineRule="auto"/>
              <w:jc w:val="center"/>
              <w:rPr>
                <w:color w:val="auto"/>
                <w:sz w:val="20"/>
              </w:rPr>
            </w:pPr>
            <w:r w:rsidRPr="008B4AB4">
              <w:rPr>
                <w:color w:val="auto"/>
                <w:sz w:val="20"/>
              </w:rPr>
              <w:t>0,33±0,01</w:t>
            </w:r>
            <w:r w:rsidRPr="008B4AB4">
              <w:rPr>
                <w:color w:val="auto"/>
                <w:sz w:val="20"/>
                <w:vertAlign w:val="superscript"/>
              </w:rPr>
              <w:t>a</w:t>
            </w:r>
          </w:p>
        </w:tc>
      </w:tr>
    </w:tbl>
    <w:p w14:paraId="22B8531E" w14:textId="77777777" w:rsidR="00B42121" w:rsidRPr="008B4AB4" w:rsidRDefault="00B42121" w:rsidP="00B42121">
      <w:pPr>
        <w:spacing w:line="360" w:lineRule="auto"/>
        <w:rPr>
          <w:b/>
          <w:color w:val="auto"/>
        </w:rPr>
      </w:pPr>
    </w:p>
    <w:p w14:paraId="145979AC" w14:textId="77777777" w:rsidR="00B42121" w:rsidRPr="008B4AB4" w:rsidRDefault="00B42121" w:rsidP="00B42121">
      <w:pPr>
        <w:widowControl w:val="0"/>
        <w:autoSpaceDE w:val="0"/>
        <w:autoSpaceDN w:val="0"/>
        <w:adjustRightInd w:val="0"/>
        <w:spacing w:line="240" w:lineRule="auto"/>
        <w:rPr>
          <w:color w:val="auto"/>
          <w:szCs w:val="28"/>
        </w:rPr>
      </w:pPr>
      <w:r w:rsidRPr="008B4AB4">
        <w:rPr>
          <w:b/>
          <w:color w:val="auto"/>
          <w:szCs w:val="28"/>
        </w:rPr>
        <w:lastRenderedPageBreak/>
        <w:t>Table 4:</w:t>
      </w:r>
      <w:r w:rsidRPr="008B4AB4">
        <w:rPr>
          <w:color w:val="auto"/>
          <w:szCs w:val="28"/>
        </w:rPr>
        <w:t xml:space="preserve"> Content of Biologically Active Compounds in Colored Potato Tubers Grown under the Conditions of the Kostanay Region (KR) and the Leningrad Region (LR)</w:t>
      </w:r>
    </w:p>
    <w:tbl>
      <w:tblPr>
        <w:tblW w:w="9015" w:type="dxa"/>
        <w:tblLayout w:type="fixed"/>
        <w:tblLook w:val="04A0" w:firstRow="1" w:lastRow="0" w:firstColumn="1" w:lastColumn="0" w:noHBand="0" w:noVBand="1"/>
      </w:tblPr>
      <w:tblGrid>
        <w:gridCol w:w="961"/>
        <w:gridCol w:w="879"/>
        <w:gridCol w:w="851"/>
        <w:gridCol w:w="850"/>
        <w:gridCol w:w="992"/>
        <w:gridCol w:w="851"/>
        <w:gridCol w:w="946"/>
        <w:gridCol w:w="895"/>
        <w:gridCol w:w="895"/>
        <w:gridCol w:w="895"/>
      </w:tblGrid>
      <w:tr w:rsidR="008B4AB4" w:rsidRPr="008B4AB4" w14:paraId="5FE11127" w14:textId="77777777" w:rsidTr="00182F60">
        <w:trPr>
          <w:trHeight w:val="20"/>
        </w:trPr>
        <w:tc>
          <w:tcPr>
            <w:tcW w:w="961" w:type="dxa"/>
            <w:tcBorders>
              <w:top w:val="single" w:sz="4" w:space="0" w:color="auto"/>
              <w:bottom w:val="single" w:sz="4" w:space="0" w:color="auto"/>
            </w:tcBorders>
            <w:shd w:val="clear" w:color="auto" w:fill="E7E6E6"/>
          </w:tcPr>
          <w:p w14:paraId="479D71CF"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Selection sample</w:t>
            </w:r>
          </w:p>
        </w:tc>
        <w:tc>
          <w:tcPr>
            <w:tcW w:w="879" w:type="dxa"/>
            <w:tcBorders>
              <w:top w:val="single" w:sz="4" w:space="0" w:color="auto"/>
              <w:bottom w:val="single" w:sz="4" w:space="0" w:color="auto"/>
            </w:tcBorders>
            <w:shd w:val="clear" w:color="auto" w:fill="E7E6E6"/>
          </w:tcPr>
          <w:p w14:paraId="7E23E01F"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 xml:space="preserve">Ascorbic acid, </w:t>
            </w:r>
          </w:p>
          <w:p w14:paraId="415A01DE" w14:textId="77777777" w:rsidR="00B42121" w:rsidRPr="008B4AB4" w:rsidRDefault="00B42121" w:rsidP="00182F60">
            <w:pPr>
              <w:widowControl w:val="0"/>
              <w:autoSpaceDE w:val="0"/>
              <w:autoSpaceDN w:val="0"/>
              <w:adjustRightInd w:val="0"/>
              <w:spacing w:line="240" w:lineRule="auto"/>
              <w:jc w:val="center"/>
              <w:rPr>
                <w:b/>
                <w:color w:val="auto"/>
                <w:sz w:val="12"/>
                <w:szCs w:val="12"/>
                <w:lang w:val="ru-RU"/>
              </w:rPr>
            </w:pPr>
            <w:r w:rsidRPr="008B4AB4">
              <w:rPr>
                <w:b/>
                <w:color w:val="auto"/>
                <w:sz w:val="12"/>
                <w:szCs w:val="12"/>
              </w:rPr>
              <w:t>mg/100 g</w:t>
            </w:r>
          </w:p>
        </w:tc>
        <w:tc>
          <w:tcPr>
            <w:tcW w:w="851" w:type="dxa"/>
            <w:tcBorders>
              <w:top w:val="single" w:sz="4" w:space="0" w:color="auto"/>
              <w:bottom w:val="single" w:sz="4" w:space="0" w:color="auto"/>
            </w:tcBorders>
            <w:shd w:val="clear" w:color="auto" w:fill="E7E6E6"/>
          </w:tcPr>
          <w:p w14:paraId="35067E30"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Carotenoids, mg/100 g</w:t>
            </w:r>
          </w:p>
        </w:tc>
        <w:tc>
          <w:tcPr>
            <w:tcW w:w="850" w:type="dxa"/>
            <w:tcBorders>
              <w:top w:val="single" w:sz="4" w:space="0" w:color="auto"/>
              <w:bottom w:val="single" w:sz="4" w:space="0" w:color="auto"/>
            </w:tcBorders>
            <w:shd w:val="clear" w:color="auto" w:fill="E7E6E6"/>
          </w:tcPr>
          <w:p w14:paraId="5523B76D"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Beta-carotene, mg/100 g</w:t>
            </w:r>
          </w:p>
        </w:tc>
        <w:tc>
          <w:tcPr>
            <w:tcW w:w="992" w:type="dxa"/>
            <w:tcBorders>
              <w:top w:val="single" w:sz="4" w:space="0" w:color="auto"/>
              <w:bottom w:val="single" w:sz="4" w:space="0" w:color="auto"/>
            </w:tcBorders>
            <w:shd w:val="clear" w:color="auto" w:fill="E7E6E6"/>
          </w:tcPr>
          <w:p w14:paraId="5640AF15"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Anthocyanins, mg/100 g</w:t>
            </w:r>
          </w:p>
        </w:tc>
        <w:tc>
          <w:tcPr>
            <w:tcW w:w="851" w:type="dxa"/>
            <w:tcBorders>
              <w:top w:val="single" w:sz="4" w:space="0" w:color="auto"/>
              <w:bottom w:val="single" w:sz="4" w:space="0" w:color="auto"/>
            </w:tcBorders>
            <w:shd w:val="clear" w:color="auto" w:fill="E7E6E6"/>
          </w:tcPr>
          <w:p w14:paraId="0A899458"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 xml:space="preserve">Chlorophyll A, </w:t>
            </w:r>
          </w:p>
          <w:p w14:paraId="5B0CB408"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mg/100 g</w:t>
            </w:r>
          </w:p>
        </w:tc>
        <w:tc>
          <w:tcPr>
            <w:tcW w:w="946" w:type="dxa"/>
            <w:tcBorders>
              <w:top w:val="single" w:sz="4" w:space="0" w:color="auto"/>
              <w:bottom w:val="single" w:sz="4" w:space="0" w:color="auto"/>
            </w:tcBorders>
            <w:shd w:val="clear" w:color="auto" w:fill="E7E6E6"/>
          </w:tcPr>
          <w:p w14:paraId="11637C5D"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 xml:space="preserve">Chlorophyll B, </w:t>
            </w:r>
          </w:p>
          <w:p w14:paraId="30A6AD04"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mg/100 g</w:t>
            </w:r>
          </w:p>
        </w:tc>
        <w:tc>
          <w:tcPr>
            <w:tcW w:w="895" w:type="dxa"/>
            <w:tcBorders>
              <w:top w:val="single" w:sz="4" w:space="0" w:color="auto"/>
              <w:bottom w:val="single" w:sz="4" w:space="0" w:color="auto"/>
            </w:tcBorders>
            <w:shd w:val="clear" w:color="auto" w:fill="E7E6E6"/>
          </w:tcPr>
          <w:p w14:paraId="054832E5"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 xml:space="preserve">Phenolic compounds, </w:t>
            </w:r>
          </w:p>
          <w:p w14:paraId="3DD536C3"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mg GAE/100 g</w:t>
            </w:r>
          </w:p>
        </w:tc>
        <w:tc>
          <w:tcPr>
            <w:tcW w:w="895" w:type="dxa"/>
            <w:tcBorders>
              <w:top w:val="single" w:sz="4" w:space="0" w:color="auto"/>
              <w:bottom w:val="single" w:sz="4" w:space="0" w:color="auto"/>
            </w:tcBorders>
            <w:shd w:val="clear" w:color="auto" w:fill="E7E6E6"/>
          </w:tcPr>
          <w:p w14:paraId="37A299D4"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 xml:space="preserve">AOC, </w:t>
            </w:r>
          </w:p>
          <w:p w14:paraId="73F41C53" w14:textId="77777777" w:rsidR="00B42121" w:rsidRPr="008B4AB4" w:rsidRDefault="00B42121" w:rsidP="00182F60">
            <w:pPr>
              <w:widowControl w:val="0"/>
              <w:autoSpaceDE w:val="0"/>
              <w:autoSpaceDN w:val="0"/>
              <w:adjustRightInd w:val="0"/>
              <w:spacing w:line="240" w:lineRule="auto"/>
              <w:jc w:val="center"/>
              <w:rPr>
                <w:b/>
                <w:color w:val="auto"/>
                <w:sz w:val="12"/>
                <w:szCs w:val="12"/>
                <w:lang w:val="ru-RU"/>
              </w:rPr>
            </w:pPr>
            <w:r w:rsidRPr="008B4AB4">
              <w:rPr>
                <w:b/>
                <w:color w:val="auto"/>
                <w:sz w:val="12"/>
                <w:szCs w:val="12"/>
              </w:rPr>
              <w:t>mg AAE/100 g</w:t>
            </w:r>
          </w:p>
        </w:tc>
        <w:tc>
          <w:tcPr>
            <w:tcW w:w="895" w:type="dxa"/>
            <w:tcBorders>
              <w:top w:val="single" w:sz="4" w:space="0" w:color="auto"/>
              <w:bottom w:val="single" w:sz="4" w:space="0" w:color="auto"/>
            </w:tcBorders>
            <w:shd w:val="clear" w:color="auto" w:fill="E7E6E6"/>
          </w:tcPr>
          <w:p w14:paraId="76EF92D6" w14:textId="77777777" w:rsidR="00B42121" w:rsidRPr="008B4AB4" w:rsidRDefault="00B42121" w:rsidP="00182F60">
            <w:pPr>
              <w:widowControl w:val="0"/>
              <w:autoSpaceDE w:val="0"/>
              <w:autoSpaceDN w:val="0"/>
              <w:adjustRightInd w:val="0"/>
              <w:spacing w:line="240" w:lineRule="auto"/>
              <w:jc w:val="center"/>
              <w:rPr>
                <w:b/>
                <w:color w:val="auto"/>
                <w:sz w:val="12"/>
                <w:szCs w:val="12"/>
              </w:rPr>
            </w:pPr>
            <w:r w:rsidRPr="008B4AB4">
              <w:rPr>
                <w:b/>
                <w:color w:val="auto"/>
                <w:sz w:val="12"/>
                <w:szCs w:val="12"/>
              </w:rPr>
              <w:t>DPPH, %</w:t>
            </w:r>
          </w:p>
        </w:tc>
      </w:tr>
      <w:tr w:rsidR="008B4AB4" w:rsidRPr="008B4AB4" w14:paraId="432D4EA6" w14:textId="77777777" w:rsidTr="00182F60">
        <w:trPr>
          <w:trHeight w:val="20"/>
        </w:trPr>
        <w:tc>
          <w:tcPr>
            <w:tcW w:w="961" w:type="dxa"/>
            <w:tcBorders>
              <w:top w:val="single" w:sz="4" w:space="0" w:color="auto"/>
            </w:tcBorders>
          </w:tcPr>
          <w:p w14:paraId="585BF748"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Kiru KR</w:t>
            </w:r>
          </w:p>
        </w:tc>
        <w:tc>
          <w:tcPr>
            <w:tcW w:w="879" w:type="dxa"/>
            <w:tcBorders>
              <w:top w:val="single" w:sz="4" w:space="0" w:color="auto"/>
            </w:tcBorders>
          </w:tcPr>
          <w:p w14:paraId="5B2A777F"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20,14±0,34</w:t>
            </w:r>
          </w:p>
        </w:tc>
        <w:tc>
          <w:tcPr>
            <w:tcW w:w="851" w:type="dxa"/>
            <w:tcBorders>
              <w:top w:val="single" w:sz="4" w:space="0" w:color="auto"/>
            </w:tcBorders>
          </w:tcPr>
          <w:p w14:paraId="0737240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0,15±0,01</w:t>
            </w:r>
            <w:r w:rsidRPr="008B4AB4">
              <w:rPr>
                <w:color w:val="auto"/>
                <w:sz w:val="12"/>
                <w:szCs w:val="12"/>
                <w:vertAlign w:val="superscript"/>
              </w:rPr>
              <w:t>a</w:t>
            </w:r>
          </w:p>
        </w:tc>
        <w:tc>
          <w:tcPr>
            <w:tcW w:w="850" w:type="dxa"/>
            <w:tcBorders>
              <w:top w:val="single" w:sz="4" w:space="0" w:color="auto"/>
            </w:tcBorders>
          </w:tcPr>
          <w:p w14:paraId="696DA855"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0,02±0,00</w:t>
            </w:r>
            <w:r w:rsidRPr="008B4AB4">
              <w:rPr>
                <w:color w:val="auto"/>
                <w:sz w:val="12"/>
                <w:szCs w:val="12"/>
                <w:vertAlign w:val="superscript"/>
              </w:rPr>
              <w:t>b</w:t>
            </w:r>
          </w:p>
        </w:tc>
        <w:tc>
          <w:tcPr>
            <w:tcW w:w="992" w:type="dxa"/>
            <w:tcBorders>
              <w:top w:val="single" w:sz="4" w:space="0" w:color="auto"/>
            </w:tcBorders>
          </w:tcPr>
          <w:p w14:paraId="2EDFC0E3"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15,20±12,61</w:t>
            </w:r>
            <w:r w:rsidRPr="008B4AB4">
              <w:rPr>
                <w:color w:val="auto"/>
                <w:sz w:val="12"/>
                <w:szCs w:val="12"/>
                <w:vertAlign w:val="superscript"/>
              </w:rPr>
              <w:t>b</w:t>
            </w:r>
          </w:p>
        </w:tc>
        <w:tc>
          <w:tcPr>
            <w:tcW w:w="851" w:type="dxa"/>
            <w:tcBorders>
              <w:top w:val="single" w:sz="4" w:space="0" w:color="auto"/>
            </w:tcBorders>
          </w:tcPr>
          <w:p w14:paraId="58F78F8B"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0,06±0,03</w:t>
            </w:r>
          </w:p>
        </w:tc>
        <w:tc>
          <w:tcPr>
            <w:tcW w:w="946" w:type="dxa"/>
            <w:tcBorders>
              <w:top w:val="single" w:sz="4" w:space="0" w:color="auto"/>
            </w:tcBorders>
          </w:tcPr>
          <w:p w14:paraId="2C4AA17D"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0,03±0,03</w:t>
            </w:r>
          </w:p>
        </w:tc>
        <w:tc>
          <w:tcPr>
            <w:tcW w:w="895" w:type="dxa"/>
            <w:tcBorders>
              <w:top w:val="single" w:sz="4" w:space="0" w:color="auto"/>
            </w:tcBorders>
          </w:tcPr>
          <w:p w14:paraId="4621F1A8"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32,38±13,02</w:t>
            </w:r>
          </w:p>
        </w:tc>
        <w:tc>
          <w:tcPr>
            <w:tcW w:w="895" w:type="dxa"/>
            <w:tcBorders>
              <w:top w:val="single" w:sz="4" w:space="0" w:color="auto"/>
            </w:tcBorders>
            <w:shd w:val="clear" w:color="000000" w:fill="FFFFFF"/>
          </w:tcPr>
          <w:p w14:paraId="1F408B2E"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26,23±6,98</w:t>
            </w:r>
            <w:r w:rsidRPr="008B4AB4">
              <w:rPr>
                <w:color w:val="auto"/>
                <w:sz w:val="12"/>
                <w:szCs w:val="12"/>
                <w:vertAlign w:val="superscript"/>
              </w:rPr>
              <w:t>b</w:t>
            </w:r>
          </w:p>
        </w:tc>
        <w:tc>
          <w:tcPr>
            <w:tcW w:w="895" w:type="dxa"/>
            <w:tcBorders>
              <w:top w:val="single" w:sz="4" w:space="0" w:color="auto"/>
            </w:tcBorders>
            <w:shd w:val="clear" w:color="000000" w:fill="FFFFFF"/>
          </w:tcPr>
          <w:p w14:paraId="0A2832B0"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14,22±1,11</w:t>
            </w:r>
            <w:r w:rsidRPr="008B4AB4">
              <w:rPr>
                <w:color w:val="auto"/>
                <w:sz w:val="12"/>
                <w:szCs w:val="12"/>
                <w:vertAlign w:val="superscript"/>
              </w:rPr>
              <w:t>b</w:t>
            </w:r>
          </w:p>
        </w:tc>
      </w:tr>
      <w:tr w:rsidR="008B4AB4" w:rsidRPr="008B4AB4" w14:paraId="259B0B74" w14:textId="77777777" w:rsidTr="00182F60">
        <w:trPr>
          <w:trHeight w:val="20"/>
        </w:trPr>
        <w:tc>
          <w:tcPr>
            <w:tcW w:w="961" w:type="dxa"/>
          </w:tcPr>
          <w:p w14:paraId="3C2EFF6F"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Kiru LR</w:t>
            </w:r>
          </w:p>
        </w:tc>
        <w:tc>
          <w:tcPr>
            <w:tcW w:w="879" w:type="dxa"/>
          </w:tcPr>
          <w:p w14:paraId="720A29F3"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15,63±3,90</w:t>
            </w:r>
          </w:p>
        </w:tc>
        <w:tc>
          <w:tcPr>
            <w:tcW w:w="851" w:type="dxa"/>
          </w:tcPr>
          <w:p w14:paraId="0AF84D4F"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0,32±0,04</w:t>
            </w:r>
            <w:r w:rsidRPr="008B4AB4">
              <w:rPr>
                <w:color w:val="auto"/>
                <w:sz w:val="12"/>
                <w:szCs w:val="12"/>
                <w:vertAlign w:val="superscript"/>
              </w:rPr>
              <w:t>a</w:t>
            </w:r>
          </w:p>
        </w:tc>
        <w:tc>
          <w:tcPr>
            <w:tcW w:w="850" w:type="dxa"/>
          </w:tcPr>
          <w:p w14:paraId="72BA974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0,04±0,01</w:t>
            </w:r>
            <w:r w:rsidRPr="008B4AB4">
              <w:rPr>
                <w:color w:val="auto"/>
                <w:sz w:val="12"/>
                <w:szCs w:val="12"/>
                <w:vertAlign w:val="superscript"/>
              </w:rPr>
              <w:t>b</w:t>
            </w:r>
          </w:p>
        </w:tc>
        <w:tc>
          <w:tcPr>
            <w:tcW w:w="992" w:type="dxa"/>
          </w:tcPr>
          <w:p w14:paraId="7B49845B"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39,57±8,84</w:t>
            </w:r>
            <w:r w:rsidRPr="008B4AB4">
              <w:rPr>
                <w:color w:val="auto"/>
                <w:sz w:val="12"/>
                <w:szCs w:val="12"/>
                <w:vertAlign w:val="superscript"/>
              </w:rPr>
              <w:t>b</w:t>
            </w:r>
          </w:p>
        </w:tc>
        <w:tc>
          <w:tcPr>
            <w:tcW w:w="851" w:type="dxa"/>
          </w:tcPr>
          <w:p w14:paraId="4E679F0E"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0,09±0,01</w:t>
            </w:r>
          </w:p>
        </w:tc>
        <w:tc>
          <w:tcPr>
            <w:tcW w:w="946" w:type="dxa"/>
          </w:tcPr>
          <w:p w14:paraId="784DA9A2"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0,15±0,03</w:t>
            </w:r>
          </w:p>
        </w:tc>
        <w:tc>
          <w:tcPr>
            <w:tcW w:w="895" w:type="dxa"/>
          </w:tcPr>
          <w:p w14:paraId="5671ABF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46,58±18,39</w:t>
            </w:r>
          </w:p>
        </w:tc>
        <w:tc>
          <w:tcPr>
            <w:tcW w:w="895" w:type="dxa"/>
            <w:shd w:val="clear" w:color="000000" w:fill="FFFFFF"/>
          </w:tcPr>
          <w:p w14:paraId="61DF8709"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31,02±10,22</w:t>
            </w:r>
            <w:r w:rsidRPr="008B4AB4">
              <w:rPr>
                <w:color w:val="auto"/>
                <w:sz w:val="12"/>
                <w:szCs w:val="12"/>
                <w:vertAlign w:val="superscript"/>
              </w:rPr>
              <w:t>b</w:t>
            </w:r>
          </w:p>
        </w:tc>
        <w:tc>
          <w:tcPr>
            <w:tcW w:w="895" w:type="dxa"/>
            <w:shd w:val="clear" w:color="000000" w:fill="FFFFFF"/>
          </w:tcPr>
          <w:p w14:paraId="574C4FB7"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14,24±1,28</w:t>
            </w:r>
            <w:r w:rsidRPr="008B4AB4">
              <w:rPr>
                <w:color w:val="auto"/>
                <w:sz w:val="12"/>
                <w:szCs w:val="12"/>
                <w:vertAlign w:val="superscript"/>
              </w:rPr>
              <w:t>b</w:t>
            </w:r>
          </w:p>
        </w:tc>
      </w:tr>
      <w:tr w:rsidR="008B4AB4" w:rsidRPr="008B4AB4" w14:paraId="1A52298F" w14:textId="77777777" w:rsidTr="00182F60">
        <w:trPr>
          <w:trHeight w:val="20"/>
        </w:trPr>
        <w:tc>
          <w:tcPr>
            <w:tcW w:w="961" w:type="dxa"/>
          </w:tcPr>
          <w:p w14:paraId="4813312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Tanyusha KR</w:t>
            </w:r>
          </w:p>
        </w:tc>
        <w:tc>
          <w:tcPr>
            <w:tcW w:w="879" w:type="dxa"/>
          </w:tcPr>
          <w:p w14:paraId="2351F1CD"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25,24±7,76</w:t>
            </w:r>
          </w:p>
        </w:tc>
        <w:tc>
          <w:tcPr>
            <w:tcW w:w="851" w:type="dxa"/>
          </w:tcPr>
          <w:p w14:paraId="19B5FB4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0,36±0,01</w:t>
            </w:r>
            <w:r w:rsidRPr="008B4AB4">
              <w:rPr>
                <w:color w:val="auto"/>
                <w:sz w:val="12"/>
                <w:szCs w:val="12"/>
                <w:vertAlign w:val="superscript"/>
              </w:rPr>
              <w:t>b</w:t>
            </w:r>
          </w:p>
        </w:tc>
        <w:tc>
          <w:tcPr>
            <w:tcW w:w="850" w:type="dxa"/>
          </w:tcPr>
          <w:p w14:paraId="75756FF0"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0,05±0,01</w:t>
            </w:r>
            <w:r w:rsidRPr="008B4AB4">
              <w:rPr>
                <w:color w:val="auto"/>
                <w:sz w:val="12"/>
                <w:szCs w:val="12"/>
                <w:vertAlign w:val="superscript"/>
              </w:rPr>
              <w:t>b</w:t>
            </w:r>
          </w:p>
        </w:tc>
        <w:tc>
          <w:tcPr>
            <w:tcW w:w="992" w:type="dxa"/>
          </w:tcPr>
          <w:p w14:paraId="35543D47"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43,44±30,46</w:t>
            </w:r>
          </w:p>
        </w:tc>
        <w:tc>
          <w:tcPr>
            <w:tcW w:w="851" w:type="dxa"/>
          </w:tcPr>
          <w:p w14:paraId="7BBFA6A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0,16±0,16</w:t>
            </w:r>
          </w:p>
        </w:tc>
        <w:tc>
          <w:tcPr>
            <w:tcW w:w="946" w:type="dxa"/>
          </w:tcPr>
          <w:p w14:paraId="02686687"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0,06±0,02</w:t>
            </w:r>
          </w:p>
        </w:tc>
        <w:tc>
          <w:tcPr>
            <w:tcW w:w="895" w:type="dxa"/>
          </w:tcPr>
          <w:p w14:paraId="7A31FC37"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43,68±10,40</w:t>
            </w:r>
          </w:p>
        </w:tc>
        <w:tc>
          <w:tcPr>
            <w:tcW w:w="895" w:type="dxa"/>
            <w:shd w:val="clear" w:color="000000" w:fill="FFFFFF"/>
          </w:tcPr>
          <w:p w14:paraId="6AA5CC81"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23,80±9,26</w:t>
            </w:r>
            <w:r w:rsidRPr="008B4AB4">
              <w:rPr>
                <w:color w:val="auto"/>
                <w:sz w:val="12"/>
                <w:szCs w:val="12"/>
                <w:vertAlign w:val="superscript"/>
              </w:rPr>
              <w:t>b</w:t>
            </w:r>
          </w:p>
        </w:tc>
        <w:tc>
          <w:tcPr>
            <w:tcW w:w="895" w:type="dxa"/>
            <w:shd w:val="clear" w:color="000000" w:fill="FFFFFF"/>
          </w:tcPr>
          <w:p w14:paraId="75A371D0"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12.25±3,0</w:t>
            </w:r>
            <w:r w:rsidRPr="008B4AB4">
              <w:rPr>
                <w:color w:val="auto"/>
                <w:sz w:val="12"/>
                <w:szCs w:val="12"/>
                <w:vertAlign w:val="superscript"/>
              </w:rPr>
              <w:t>b</w:t>
            </w:r>
          </w:p>
        </w:tc>
      </w:tr>
      <w:tr w:rsidR="008B4AB4" w:rsidRPr="008B4AB4" w14:paraId="76C18559" w14:textId="77777777" w:rsidTr="00182F60">
        <w:trPr>
          <w:trHeight w:val="20"/>
        </w:trPr>
        <w:tc>
          <w:tcPr>
            <w:tcW w:w="961" w:type="dxa"/>
          </w:tcPr>
          <w:p w14:paraId="5D110320"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Tanyusha LR</w:t>
            </w:r>
          </w:p>
        </w:tc>
        <w:tc>
          <w:tcPr>
            <w:tcW w:w="879" w:type="dxa"/>
          </w:tcPr>
          <w:p w14:paraId="70B1DAF5"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28,29±5,93</w:t>
            </w:r>
          </w:p>
        </w:tc>
        <w:tc>
          <w:tcPr>
            <w:tcW w:w="851" w:type="dxa"/>
          </w:tcPr>
          <w:p w14:paraId="7229DE44"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0,64±0,04</w:t>
            </w:r>
            <w:r w:rsidRPr="008B4AB4">
              <w:rPr>
                <w:color w:val="auto"/>
                <w:sz w:val="12"/>
                <w:szCs w:val="12"/>
                <w:vertAlign w:val="superscript"/>
              </w:rPr>
              <w:t>b</w:t>
            </w:r>
          </w:p>
        </w:tc>
        <w:tc>
          <w:tcPr>
            <w:tcW w:w="850" w:type="dxa"/>
          </w:tcPr>
          <w:p w14:paraId="4B40BAE2"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0,08±0,01</w:t>
            </w:r>
            <w:r w:rsidRPr="008B4AB4">
              <w:rPr>
                <w:color w:val="auto"/>
                <w:sz w:val="12"/>
                <w:szCs w:val="12"/>
                <w:vertAlign w:val="superscript"/>
              </w:rPr>
              <w:t>b</w:t>
            </w:r>
          </w:p>
        </w:tc>
        <w:tc>
          <w:tcPr>
            <w:tcW w:w="992" w:type="dxa"/>
          </w:tcPr>
          <w:p w14:paraId="0D4E446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44,72±14,20</w:t>
            </w:r>
          </w:p>
        </w:tc>
        <w:tc>
          <w:tcPr>
            <w:tcW w:w="851" w:type="dxa"/>
          </w:tcPr>
          <w:p w14:paraId="0EA2BDCC"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0,15±0,05</w:t>
            </w:r>
          </w:p>
        </w:tc>
        <w:tc>
          <w:tcPr>
            <w:tcW w:w="946" w:type="dxa"/>
          </w:tcPr>
          <w:p w14:paraId="1457EC3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0,18±0,01</w:t>
            </w:r>
          </w:p>
        </w:tc>
        <w:tc>
          <w:tcPr>
            <w:tcW w:w="895" w:type="dxa"/>
          </w:tcPr>
          <w:p w14:paraId="0C0CC64E"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48,61±9,34</w:t>
            </w:r>
          </w:p>
        </w:tc>
        <w:tc>
          <w:tcPr>
            <w:tcW w:w="895" w:type="dxa"/>
            <w:shd w:val="clear" w:color="000000" w:fill="FFFFFF"/>
          </w:tcPr>
          <w:p w14:paraId="61206225"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30,82±6,46</w:t>
            </w:r>
            <w:r w:rsidRPr="008B4AB4">
              <w:rPr>
                <w:color w:val="auto"/>
                <w:sz w:val="12"/>
                <w:szCs w:val="12"/>
                <w:vertAlign w:val="superscript"/>
              </w:rPr>
              <w:t>b</w:t>
            </w:r>
          </w:p>
        </w:tc>
        <w:tc>
          <w:tcPr>
            <w:tcW w:w="895" w:type="dxa"/>
            <w:shd w:val="clear" w:color="000000" w:fill="FFFFFF"/>
          </w:tcPr>
          <w:p w14:paraId="32620E0B"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14,30±0,92</w:t>
            </w:r>
            <w:r w:rsidRPr="008B4AB4">
              <w:rPr>
                <w:color w:val="auto"/>
                <w:sz w:val="12"/>
                <w:szCs w:val="12"/>
                <w:vertAlign w:val="superscript"/>
              </w:rPr>
              <w:t>b</w:t>
            </w:r>
          </w:p>
        </w:tc>
      </w:tr>
      <w:tr w:rsidR="008B4AB4" w:rsidRPr="008B4AB4" w14:paraId="72AE9A3A" w14:textId="77777777" w:rsidTr="00182F60">
        <w:trPr>
          <w:trHeight w:val="20"/>
        </w:trPr>
        <w:tc>
          <w:tcPr>
            <w:tcW w:w="961" w:type="dxa"/>
          </w:tcPr>
          <w:p w14:paraId="7925A0DD"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Travnik KR</w:t>
            </w:r>
          </w:p>
        </w:tc>
        <w:tc>
          <w:tcPr>
            <w:tcW w:w="879" w:type="dxa"/>
          </w:tcPr>
          <w:p w14:paraId="3399301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22,52±3,89</w:t>
            </w:r>
          </w:p>
        </w:tc>
        <w:tc>
          <w:tcPr>
            <w:tcW w:w="851" w:type="dxa"/>
          </w:tcPr>
          <w:p w14:paraId="16D72BFE"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0,58±0,12</w:t>
            </w:r>
            <w:r w:rsidRPr="008B4AB4">
              <w:rPr>
                <w:color w:val="auto"/>
                <w:sz w:val="12"/>
                <w:szCs w:val="12"/>
                <w:vertAlign w:val="superscript"/>
              </w:rPr>
              <w:t>b</w:t>
            </w:r>
          </w:p>
        </w:tc>
        <w:tc>
          <w:tcPr>
            <w:tcW w:w="850" w:type="dxa"/>
          </w:tcPr>
          <w:p w14:paraId="57BF5AE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0,07±0,03</w:t>
            </w:r>
            <w:r w:rsidRPr="008B4AB4">
              <w:rPr>
                <w:color w:val="auto"/>
                <w:sz w:val="12"/>
                <w:szCs w:val="12"/>
                <w:vertAlign w:val="superscript"/>
              </w:rPr>
              <w:t>b</w:t>
            </w:r>
          </w:p>
        </w:tc>
        <w:tc>
          <w:tcPr>
            <w:tcW w:w="992" w:type="dxa"/>
          </w:tcPr>
          <w:p w14:paraId="630E5F00"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55,17±31,75</w:t>
            </w:r>
          </w:p>
        </w:tc>
        <w:tc>
          <w:tcPr>
            <w:tcW w:w="851" w:type="dxa"/>
          </w:tcPr>
          <w:p w14:paraId="395F671B"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0,43±0,39</w:t>
            </w:r>
          </w:p>
        </w:tc>
        <w:tc>
          <w:tcPr>
            <w:tcW w:w="946" w:type="dxa"/>
          </w:tcPr>
          <w:p w14:paraId="1C034410"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0,11±0,10</w:t>
            </w:r>
          </w:p>
        </w:tc>
        <w:tc>
          <w:tcPr>
            <w:tcW w:w="895" w:type="dxa"/>
          </w:tcPr>
          <w:p w14:paraId="4456D7B4"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41,16±13,58</w:t>
            </w:r>
          </w:p>
        </w:tc>
        <w:tc>
          <w:tcPr>
            <w:tcW w:w="895" w:type="dxa"/>
            <w:shd w:val="clear" w:color="000000" w:fill="FFFFFF"/>
          </w:tcPr>
          <w:p w14:paraId="529DEF94"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25,34±7,63</w:t>
            </w:r>
            <w:r w:rsidRPr="008B4AB4">
              <w:rPr>
                <w:color w:val="auto"/>
                <w:sz w:val="12"/>
                <w:szCs w:val="12"/>
                <w:vertAlign w:val="superscript"/>
              </w:rPr>
              <w:t>b</w:t>
            </w:r>
          </w:p>
        </w:tc>
        <w:tc>
          <w:tcPr>
            <w:tcW w:w="895" w:type="dxa"/>
            <w:shd w:val="clear" w:color="000000" w:fill="FFFFFF"/>
          </w:tcPr>
          <w:p w14:paraId="0FFCDCC8"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13,53±1,68</w:t>
            </w:r>
            <w:r w:rsidRPr="008B4AB4">
              <w:rPr>
                <w:color w:val="auto"/>
                <w:sz w:val="12"/>
                <w:szCs w:val="12"/>
                <w:vertAlign w:val="superscript"/>
              </w:rPr>
              <w:t>b</w:t>
            </w:r>
          </w:p>
        </w:tc>
      </w:tr>
      <w:tr w:rsidR="008B4AB4" w:rsidRPr="008B4AB4" w14:paraId="7BFC0363" w14:textId="77777777" w:rsidTr="00182F60">
        <w:trPr>
          <w:trHeight w:val="20"/>
        </w:trPr>
        <w:tc>
          <w:tcPr>
            <w:tcW w:w="961" w:type="dxa"/>
          </w:tcPr>
          <w:p w14:paraId="2F5F9E67"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Travnik LR</w:t>
            </w:r>
          </w:p>
        </w:tc>
        <w:tc>
          <w:tcPr>
            <w:tcW w:w="879" w:type="dxa"/>
          </w:tcPr>
          <w:p w14:paraId="024CAEA9"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23,77±5,37</w:t>
            </w:r>
          </w:p>
        </w:tc>
        <w:tc>
          <w:tcPr>
            <w:tcW w:w="851" w:type="dxa"/>
          </w:tcPr>
          <w:p w14:paraId="52D549AF"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0,51±0,04</w:t>
            </w:r>
            <w:r w:rsidRPr="008B4AB4">
              <w:rPr>
                <w:color w:val="auto"/>
                <w:sz w:val="12"/>
                <w:szCs w:val="12"/>
                <w:vertAlign w:val="superscript"/>
              </w:rPr>
              <w:t>b</w:t>
            </w:r>
          </w:p>
        </w:tc>
        <w:tc>
          <w:tcPr>
            <w:tcW w:w="850" w:type="dxa"/>
          </w:tcPr>
          <w:p w14:paraId="5B789292"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0,06±0,00</w:t>
            </w:r>
            <w:r w:rsidRPr="008B4AB4">
              <w:rPr>
                <w:color w:val="auto"/>
                <w:sz w:val="12"/>
                <w:szCs w:val="12"/>
                <w:vertAlign w:val="superscript"/>
              </w:rPr>
              <w:t>b</w:t>
            </w:r>
          </w:p>
        </w:tc>
        <w:tc>
          <w:tcPr>
            <w:tcW w:w="992" w:type="dxa"/>
          </w:tcPr>
          <w:p w14:paraId="3B9BCD45"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57,21±17,24</w:t>
            </w:r>
          </w:p>
        </w:tc>
        <w:tc>
          <w:tcPr>
            <w:tcW w:w="851" w:type="dxa"/>
          </w:tcPr>
          <w:p w14:paraId="631EAEEC"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0,08±0,02</w:t>
            </w:r>
          </w:p>
        </w:tc>
        <w:tc>
          <w:tcPr>
            <w:tcW w:w="946" w:type="dxa"/>
          </w:tcPr>
          <w:p w14:paraId="2B29924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0,13±0,02</w:t>
            </w:r>
          </w:p>
        </w:tc>
        <w:tc>
          <w:tcPr>
            <w:tcW w:w="895" w:type="dxa"/>
          </w:tcPr>
          <w:p w14:paraId="74DDF2B4"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49,17±7,59</w:t>
            </w:r>
          </w:p>
        </w:tc>
        <w:tc>
          <w:tcPr>
            <w:tcW w:w="895" w:type="dxa"/>
            <w:shd w:val="clear" w:color="000000" w:fill="FFFFFF"/>
          </w:tcPr>
          <w:p w14:paraId="01B4CAB9"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31,37±6,32</w:t>
            </w:r>
            <w:r w:rsidRPr="008B4AB4">
              <w:rPr>
                <w:color w:val="auto"/>
                <w:sz w:val="12"/>
                <w:szCs w:val="12"/>
                <w:vertAlign w:val="superscript"/>
              </w:rPr>
              <w:t>b</w:t>
            </w:r>
          </w:p>
        </w:tc>
        <w:tc>
          <w:tcPr>
            <w:tcW w:w="895" w:type="dxa"/>
            <w:shd w:val="clear" w:color="000000" w:fill="FFFFFF"/>
          </w:tcPr>
          <w:p w14:paraId="0FD1BAE8"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14,69±0,80</w:t>
            </w:r>
            <w:r w:rsidRPr="008B4AB4">
              <w:rPr>
                <w:color w:val="auto"/>
                <w:sz w:val="12"/>
                <w:szCs w:val="12"/>
                <w:vertAlign w:val="superscript"/>
              </w:rPr>
              <w:t>b</w:t>
            </w:r>
          </w:p>
        </w:tc>
      </w:tr>
      <w:tr w:rsidR="008B4AB4" w:rsidRPr="008B4AB4" w14:paraId="1C00BF77" w14:textId="77777777" w:rsidTr="00182F60">
        <w:trPr>
          <w:trHeight w:val="20"/>
        </w:trPr>
        <w:tc>
          <w:tcPr>
            <w:tcW w:w="961" w:type="dxa"/>
          </w:tcPr>
          <w:p w14:paraId="0E1AEB2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Olyushka KR</w:t>
            </w:r>
          </w:p>
        </w:tc>
        <w:tc>
          <w:tcPr>
            <w:tcW w:w="879" w:type="dxa"/>
          </w:tcPr>
          <w:p w14:paraId="39BBBFC9"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26,16±6,84</w:t>
            </w:r>
          </w:p>
        </w:tc>
        <w:tc>
          <w:tcPr>
            <w:tcW w:w="851" w:type="dxa"/>
          </w:tcPr>
          <w:p w14:paraId="72B9579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0,49±0,08</w:t>
            </w:r>
            <w:r w:rsidRPr="008B4AB4">
              <w:rPr>
                <w:color w:val="auto"/>
                <w:sz w:val="12"/>
                <w:szCs w:val="12"/>
                <w:vertAlign w:val="superscript"/>
              </w:rPr>
              <w:t>b</w:t>
            </w:r>
          </w:p>
        </w:tc>
        <w:tc>
          <w:tcPr>
            <w:tcW w:w="850" w:type="dxa"/>
          </w:tcPr>
          <w:p w14:paraId="4B61FFF7"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0,07±0,02</w:t>
            </w:r>
            <w:r w:rsidRPr="008B4AB4">
              <w:rPr>
                <w:color w:val="auto"/>
                <w:sz w:val="12"/>
                <w:szCs w:val="12"/>
                <w:vertAlign w:val="superscript"/>
              </w:rPr>
              <w:t>a</w:t>
            </w:r>
          </w:p>
        </w:tc>
        <w:tc>
          <w:tcPr>
            <w:tcW w:w="992" w:type="dxa"/>
          </w:tcPr>
          <w:p w14:paraId="09A584EB"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76,86±37,72</w:t>
            </w:r>
            <w:r w:rsidRPr="008B4AB4">
              <w:rPr>
                <w:color w:val="auto"/>
                <w:sz w:val="12"/>
                <w:szCs w:val="12"/>
                <w:vertAlign w:val="superscript"/>
              </w:rPr>
              <w:t>a</w:t>
            </w:r>
          </w:p>
        </w:tc>
        <w:tc>
          <w:tcPr>
            <w:tcW w:w="851" w:type="dxa"/>
          </w:tcPr>
          <w:p w14:paraId="2DE8EB3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0,58±0,56</w:t>
            </w:r>
          </w:p>
        </w:tc>
        <w:tc>
          <w:tcPr>
            <w:tcW w:w="946" w:type="dxa"/>
          </w:tcPr>
          <w:p w14:paraId="5B94472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0,18±0,10</w:t>
            </w:r>
          </w:p>
        </w:tc>
        <w:tc>
          <w:tcPr>
            <w:tcW w:w="895" w:type="dxa"/>
          </w:tcPr>
          <w:p w14:paraId="627AFA3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47,84±10,65</w:t>
            </w:r>
            <w:r w:rsidRPr="008B4AB4">
              <w:rPr>
                <w:color w:val="auto"/>
                <w:sz w:val="12"/>
                <w:szCs w:val="12"/>
                <w:vertAlign w:val="superscript"/>
              </w:rPr>
              <w:t>a</w:t>
            </w:r>
          </w:p>
        </w:tc>
        <w:tc>
          <w:tcPr>
            <w:tcW w:w="895" w:type="dxa"/>
            <w:shd w:val="clear" w:color="000000" w:fill="FFFFFF"/>
          </w:tcPr>
          <w:p w14:paraId="22DDCF4C"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25,48±6,59</w:t>
            </w:r>
            <w:r w:rsidRPr="008B4AB4">
              <w:rPr>
                <w:color w:val="auto"/>
                <w:sz w:val="12"/>
                <w:szCs w:val="12"/>
                <w:vertAlign w:val="superscript"/>
              </w:rPr>
              <w:t>b</w:t>
            </w:r>
          </w:p>
        </w:tc>
        <w:tc>
          <w:tcPr>
            <w:tcW w:w="895" w:type="dxa"/>
            <w:shd w:val="clear" w:color="000000" w:fill="FFFFFF"/>
          </w:tcPr>
          <w:p w14:paraId="32665CBE"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13,75±0,94</w:t>
            </w:r>
            <w:r w:rsidRPr="008B4AB4">
              <w:rPr>
                <w:color w:val="auto"/>
                <w:sz w:val="12"/>
                <w:szCs w:val="12"/>
                <w:vertAlign w:val="superscript"/>
              </w:rPr>
              <w:t>b</w:t>
            </w:r>
          </w:p>
        </w:tc>
      </w:tr>
      <w:tr w:rsidR="008B4AB4" w:rsidRPr="008B4AB4" w14:paraId="3BCBF106" w14:textId="77777777" w:rsidTr="00182F60">
        <w:trPr>
          <w:trHeight w:val="20"/>
        </w:trPr>
        <w:tc>
          <w:tcPr>
            <w:tcW w:w="961" w:type="dxa"/>
          </w:tcPr>
          <w:p w14:paraId="63BDF4EC"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Olyushka LR</w:t>
            </w:r>
          </w:p>
        </w:tc>
        <w:tc>
          <w:tcPr>
            <w:tcW w:w="879" w:type="dxa"/>
          </w:tcPr>
          <w:p w14:paraId="0969E08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23,99±7,00</w:t>
            </w:r>
          </w:p>
        </w:tc>
        <w:tc>
          <w:tcPr>
            <w:tcW w:w="851" w:type="dxa"/>
          </w:tcPr>
          <w:p w14:paraId="3DD71F8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0,74±0,13</w:t>
            </w:r>
            <w:r w:rsidRPr="008B4AB4">
              <w:rPr>
                <w:color w:val="auto"/>
                <w:sz w:val="12"/>
                <w:szCs w:val="12"/>
                <w:vertAlign w:val="superscript"/>
              </w:rPr>
              <w:t>b</w:t>
            </w:r>
          </w:p>
        </w:tc>
        <w:tc>
          <w:tcPr>
            <w:tcW w:w="850" w:type="dxa"/>
          </w:tcPr>
          <w:p w14:paraId="00E1C714"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0,10±0,02</w:t>
            </w:r>
            <w:r w:rsidRPr="008B4AB4">
              <w:rPr>
                <w:color w:val="auto"/>
                <w:sz w:val="12"/>
                <w:szCs w:val="12"/>
                <w:vertAlign w:val="superscript"/>
              </w:rPr>
              <w:t>a</w:t>
            </w:r>
          </w:p>
        </w:tc>
        <w:tc>
          <w:tcPr>
            <w:tcW w:w="992" w:type="dxa"/>
          </w:tcPr>
          <w:p w14:paraId="709F0AD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101,43±11,21</w:t>
            </w:r>
            <w:r w:rsidRPr="008B4AB4">
              <w:rPr>
                <w:color w:val="auto"/>
                <w:sz w:val="12"/>
                <w:szCs w:val="12"/>
                <w:vertAlign w:val="superscript"/>
              </w:rPr>
              <w:t>a</w:t>
            </w:r>
          </w:p>
        </w:tc>
        <w:tc>
          <w:tcPr>
            <w:tcW w:w="851" w:type="dxa"/>
          </w:tcPr>
          <w:p w14:paraId="20703D1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0,13±0,05</w:t>
            </w:r>
          </w:p>
        </w:tc>
        <w:tc>
          <w:tcPr>
            <w:tcW w:w="946" w:type="dxa"/>
          </w:tcPr>
          <w:p w14:paraId="0CE37B89"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0,34±0,12</w:t>
            </w:r>
          </w:p>
        </w:tc>
        <w:tc>
          <w:tcPr>
            <w:tcW w:w="895" w:type="dxa"/>
          </w:tcPr>
          <w:p w14:paraId="0E06FFC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59,34±12,51</w:t>
            </w:r>
            <w:r w:rsidRPr="008B4AB4">
              <w:rPr>
                <w:color w:val="auto"/>
                <w:sz w:val="12"/>
                <w:szCs w:val="12"/>
                <w:vertAlign w:val="superscript"/>
              </w:rPr>
              <w:t>a</w:t>
            </w:r>
          </w:p>
        </w:tc>
        <w:tc>
          <w:tcPr>
            <w:tcW w:w="895" w:type="dxa"/>
            <w:shd w:val="clear" w:color="000000" w:fill="FFFFFF"/>
          </w:tcPr>
          <w:p w14:paraId="3D8E3F71" w14:textId="77777777" w:rsidR="00B42121" w:rsidRPr="008B4AB4" w:rsidRDefault="00B42121" w:rsidP="00182F60">
            <w:pPr>
              <w:widowControl w:val="0"/>
              <w:autoSpaceDE w:val="0"/>
              <w:autoSpaceDN w:val="0"/>
              <w:adjustRightInd w:val="0"/>
              <w:spacing w:line="240" w:lineRule="auto"/>
              <w:rPr>
                <w:color w:val="auto"/>
                <w:sz w:val="12"/>
                <w:szCs w:val="12"/>
                <w:vertAlign w:val="subscript"/>
              </w:rPr>
            </w:pPr>
            <w:r w:rsidRPr="008B4AB4">
              <w:rPr>
                <w:color w:val="auto"/>
                <w:sz w:val="12"/>
                <w:szCs w:val="12"/>
              </w:rPr>
              <w:t>33,09±6,59</w:t>
            </w:r>
            <w:r w:rsidRPr="008B4AB4">
              <w:rPr>
                <w:color w:val="auto"/>
                <w:sz w:val="12"/>
                <w:szCs w:val="12"/>
                <w:vertAlign w:val="superscript"/>
              </w:rPr>
              <w:t>b</w:t>
            </w:r>
          </w:p>
        </w:tc>
        <w:tc>
          <w:tcPr>
            <w:tcW w:w="895" w:type="dxa"/>
            <w:shd w:val="clear" w:color="000000" w:fill="FFFFFF"/>
          </w:tcPr>
          <w:p w14:paraId="1524B1F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13,98±0,85</w:t>
            </w:r>
            <w:r w:rsidRPr="008B4AB4">
              <w:rPr>
                <w:color w:val="auto"/>
                <w:sz w:val="12"/>
                <w:szCs w:val="12"/>
                <w:vertAlign w:val="superscript"/>
              </w:rPr>
              <w:t>b</w:t>
            </w:r>
          </w:p>
        </w:tc>
      </w:tr>
      <w:tr w:rsidR="008B4AB4" w:rsidRPr="008B4AB4" w14:paraId="4CBA19F9" w14:textId="77777777" w:rsidTr="00182F60">
        <w:trPr>
          <w:trHeight w:val="20"/>
        </w:trPr>
        <w:tc>
          <w:tcPr>
            <w:tcW w:w="961" w:type="dxa"/>
          </w:tcPr>
          <w:p w14:paraId="19EA5809"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Udovitsky KR</w:t>
            </w:r>
          </w:p>
        </w:tc>
        <w:tc>
          <w:tcPr>
            <w:tcW w:w="879" w:type="dxa"/>
          </w:tcPr>
          <w:p w14:paraId="4E40177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26,40±0,00</w:t>
            </w:r>
          </w:p>
        </w:tc>
        <w:tc>
          <w:tcPr>
            <w:tcW w:w="851" w:type="dxa"/>
          </w:tcPr>
          <w:p w14:paraId="0BD184BB"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0,32±0,00</w:t>
            </w:r>
          </w:p>
        </w:tc>
        <w:tc>
          <w:tcPr>
            <w:tcW w:w="850" w:type="dxa"/>
          </w:tcPr>
          <w:p w14:paraId="7FDDB280"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0,06±0,00</w:t>
            </w:r>
            <w:r w:rsidRPr="008B4AB4">
              <w:rPr>
                <w:color w:val="auto"/>
                <w:sz w:val="12"/>
                <w:szCs w:val="12"/>
                <w:vertAlign w:val="superscript"/>
              </w:rPr>
              <w:t>b</w:t>
            </w:r>
          </w:p>
        </w:tc>
        <w:tc>
          <w:tcPr>
            <w:tcW w:w="992" w:type="dxa"/>
          </w:tcPr>
          <w:p w14:paraId="7715DE05"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2,91±0,00</w:t>
            </w:r>
            <w:r w:rsidRPr="008B4AB4">
              <w:rPr>
                <w:color w:val="auto"/>
                <w:sz w:val="12"/>
                <w:szCs w:val="12"/>
                <w:vertAlign w:val="superscript"/>
              </w:rPr>
              <w:t>b</w:t>
            </w:r>
          </w:p>
        </w:tc>
        <w:tc>
          <w:tcPr>
            <w:tcW w:w="851" w:type="dxa"/>
          </w:tcPr>
          <w:p w14:paraId="1CF35A08"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0,36±0,00</w:t>
            </w:r>
          </w:p>
        </w:tc>
        <w:tc>
          <w:tcPr>
            <w:tcW w:w="946" w:type="dxa"/>
          </w:tcPr>
          <w:p w14:paraId="3ED1B44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0,01±0,00</w:t>
            </w:r>
          </w:p>
        </w:tc>
        <w:tc>
          <w:tcPr>
            <w:tcW w:w="895" w:type="dxa"/>
          </w:tcPr>
          <w:p w14:paraId="0DFD092B"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13,97±0,00</w:t>
            </w:r>
            <w:r w:rsidRPr="008B4AB4">
              <w:rPr>
                <w:color w:val="auto"/>
                <w:sz w:val="12"/>
                <w:szCs w:val="12"/>
                <w:vertAlign w:val="superscript"/>
              </w:rPr>
              <w:t>b</w:t>
            </w:r>
          </w:p>
        </w:tc>
        <w:tc>
          <w:tcPr>
            <w:tcW w:w="895" w:type="dxa"/>
            <w:shd w:val="clear" w:color="000000" w:fill="FFFFFF"/>
          </w:tcPr>
          <w:p w14:paraId="3F556B25"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2,82±0,00</w:t>
            </w:r>
            <w:r w:rsidRPr="008B4AB4">
              <w:rPr>
                <w:color w:val="auto"/>
                <w:sz w:val="12"/>
                <w:szCs w:val="12"/>
                <w:vertAlign w:val="superscript"/>
              </w:rPr>
              <w:t>a</w:t>
            </w:r>
          </w:p>
        </w:tc>
        <w:tc>
          <w:tcPr>
            <w:tcW w:w="895" w:type="dxa"/>
            <w:shd w:val="clear" w:color="000000" w:fill="FFFFFF"/>
          </w:tcPr>
          <w:p w14:paraId="4AFC50F1"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0,00±0,00</w:t>
            </w:r>
            <w:r w:rsidRPr="008B4AB4">
              <w:rPr>
                <w:color w:val="auto"/>
                <w:sz w:val="12"/>
                <w:szCs w:val="12"/>
                <w:vertAlign w:val="superscript"/>
              </w:rPr>
              <w:t>a</w:t>
            </w:r>
          </w:p>
        </w:tc>
      </w:tr>
      <w:tr w:rsidR="008B4AB4" w:rsidRPr="008B4AB4" w14:paraId="24EA2153" w14:textId="77777777" w:rsidTr="00182F60">
        <w:trPr>
          <w:trHeight w:val="20"/>
        </w:trPr>
        <w:tc>
          <w:tcPr>
            <w:tcW w:w="961" w:type="dxa"/>
            <w:tcBorders>
              <w:bottom w:val="single" w:sz="4" w:space="0" w:color="auto"/>
            </w:tcBorders>
          </w:tcPr>
          <w:p w14:paraId="1A8338EE"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Udovitsky LR</w:t>
            </w:r>
          </w:p>
        </w:tc>
        <w:tc>
          <w:tcPr>
            <w:tcW w:w="879" w:type="dxa"/>
            <w:tcBorders>
              <w:bottom w:val="single" w:sz="4" w:space="0" w:color="auto"/>
            </w:tcBorders>
          </w:tcPr>
          <w:p w14:paraId="372BC346"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23,61±1,24</w:t>
            </w:r>
          </w:p>
        </w:tc>
        <w:tc>
          <w:tcPr>
            <w:tcW w:w="851" w:type="dxa"/>
            <w:tcBorders>
              <w:bottom w:val="single" w:sz="4" w:space="0" w:color="auto"/>
            </w:tcBorders>
          </w:tcPr>
          <w:p w14:paraId="24EF32D7"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0,48±0,05</w:t>
            </w:r>
          </w:p>
        </w:tc>
        <w:tc>
          <w:tcPr>
            <w:tcW w:w="850" w:type="dxa"/>
            <w:tcBorders>
              <w:bottom w:val="single" w:sz="4" w:space="0" w:color="auto"/>
            </w:tcBorders>
          </w:tcPr>
          <w:p w14:paraId="077E36DA"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0,06±0,01</w:t>
            </w:r>
            <w:r w:rsidRPr="008B4AB4">
              <w:rPr>
                <w:color w:val="auto"/>
                <w:sz w:val="12"/>
                <w:szCs w:val="12"/>
                <w:vertAlign w:val="superscript"/>
              </w:rPr>
              <w:t>b</w:t>
            </w:r>
          </w:p>
        </w:tc>
        <w:tc>
          <w:tcPr>
            <w:tcW w:w="992" w:type="dxa"/>
            <w:tcBorders>
              <w:bottom w:val="single" w:sz="4" w:space="0" w:color="auto"/>
            </w:tcBorders>
          </w:tcPr>
          <w:p w14:paraId="100B0D62"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6,94±2,40</w:t>
            </w:r>
            <w:r w:rsidRPr="008B4AB4">
              <w:rPr>
                <w:color w:val="auto"/>
                <w:sz w:val="12"/>
                <w:szCs w:val="12"/>
                <w:vertAlign w:val="superscript"/>
              </w:rPr>
              <w:t>b</w:t>
            </w:r>
          </w:p>
        </w:tc>
        <w:tc>
          <w:tcPr>
            <w:tcW w:w="851" w:type="dxa"/>
            <w:tcBorders>
              <w:bottom w:val="single" w:sz="4" w:space="0" w:color="auto"/>
            </w:tcBorders>
          </w:tcPr>
          <w:p w14:paraId="130D2752"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0,07±0,01</w:t>
            </w:r>
          </w:p>
        </w:tc>
        <w:tc>
          <w:tcPr>
            <w:tcW w:w="946" w:type="dxa"/>
            <w:tcBorders>
              <w:bottom w:val="single" w:sz="4" w:space="0" w:color="auto"/>
            </w:tcBorders>
          </w:tcPr>
          <w:p w14:paraId="7AAA2989"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0,12±0,03</w:t>
            </w:r>
          </w:p>
        </w:tc>
        <w:tc>
          <w:tcPr>
            <w:tcW w:w="895" w:type="dxa"/>
            <w:tcBorders>
              <w:bottom w:val="single" w:sz="4" w:space="0" w:color="auto"/>
            </w:tcBorders>
          </w:tcPr>
          <w:p w14:paraId="6D08682D"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21,21±3,56</w:t>
            </w:r>
            <w:r w:rsidRPr="008B4AB4">
              <w:rPr>
                <w:color w:val="auto"/>
                <w:sz w:val="12"/>
                <w:szCs w:val="12"/>
                <w:vertAlign w:val="superscript"/>
              </w:rPr>
              <w:t>b</w:t>
            </w:r>
          </w:p>
        </w:tc>
        <w:tc>
          <w:tcPr>
            <w:tcW w:w="895" w:type="dxa"/>
            <w:tcBorders>
              <w:bottom w:val="single" w:sz="4" w:space="0" w:color="auto"/>
            </w:tcBorders>
            <w:shd w:val="clear" w:color="000000" w:fill="FFFFFF"/>
          </w:tcPr>
          <w:p w14:paraId="7691667A" w14:textId="77777777" w:rsidR="00B42121" w:rsidRPr="008B4AB4" w:rsidRDefault="00B42121" w:rsidP="00182F60">
            <w:pPr>
              <w:widowControl w:val="0"/>
              <w:autoSpaceDE w:val="0"/>
              <w:autoSpaceDN w:val="0"/>
              <w:adjustRightInd w:val="0"/>
              <w:spacing w:line="240" w:lineRule="auto"/>
              <w:rPr>
                <w:color w:val="auto"/>
                <w:sz w:val="12"/>
                <w:szCs w:val="12"/>
                <w:vertAlign w:val="superscript"/>
              </w:rPr>
            </w:pPr>
            <w:r w:rsidRPr="008B4AB4">
              <w:rPr>
                <w:color w:val="auto"/>
                <w:sz w:val="12"/>
                <w:szCs w:val="12"/>
              </w:rPr>
              <w:t>11,59±1,29</w:t>
            </w:r>
            <w:r w:rsidRPr="008B4AB4">
              <w:rPr>
                <w:color w:val="auto"/>
                <w:sz w:val="12"/>
                <w:szCs w:val="12"/>
                <w:vertAlign w:val="superscript"/>
              </w:rPr>
              <w:t>a</w:t>
            </w:r>
          </w:p>
        </w:tc>
        <w:tc>
          <w:tcPr>
            <w:tcW w:w="895" w:type="dxa"/>
            <w:tcBorders>
              <w:bottom w:val="single" w:sz="4" w:space="0" w:color="auto"/>
            </w:tcBorders>
            <w:shd w:val="clear" w:color="000000" w:fill="FFFFFF"/>
          </w:tcPr>
          <w:p w14:paraId="43155852" w14:textId="77777777" w:rsidR="00B42121" w:rsidRPr="008B4AB4" w:rsidRDefault="00B42121" w:rsidP="00182F60">
            <w:pPr>
              <w:widowControl w:val="0"/>
              <w:autoSpaceDE w:val="0"/>
              <w:autoSpaceDN w:val="0"/>
              <w:adjustRightInd w:val="0"/>
              <w:spacing w:line="240" w:lineRule="auto"/>
              <w:rPr>
                <w:color w:val="auto"/>
                <w:sz w:val="12"/>
                <w:szCs w:val="12"/>
              </w:rPr>
            </w:pPr>
            <w:r w:rsidRPr="008B4AB4">
              <w:rPr>
                <w:color w:val="auto"/>
                <w:sz w:val="12"/>
                <w:szCs w:val="12"/>
              </w:rPr>
              <w:t>3,58±0,95</w:t>
            </w:r>
            <w:r w:rsidRPr="008B4AB4">
              <w:rPr>
                <w:color w:val="auto"/>
                <w:sz w:val="12"/>
                <w:szCs w:val="12"/>
                <w:vertAlign w:val="superscript"/>
              </w:rPr>
              <w:t>a</w:t>
            </w:r>
          </w:p>
        </w:tc>
      </w:tr>
    </w:tbl>
    <w:p w14:paraId="450D3755" w14:textId="77777777" w:rsidR="00B42121" w:rsidRPr="008B4AB4" w:rsidRDefault="00B42121" w:rsidP="00B42121">
      <w:pPr>
        <w:spacing w:line="240" w:lineRule="auto"/>
        <w:rPr>
          <w:b/>
          <w:color w:val="auto"/>
          <w:sz w:val="32"/>
        </w:rPr>
      </w:pPr>
      <w:r w:rsidRPr="008B4AB4">
        <w:rPr>
          <w:color w:val="auto"/>
        </w:rPr>
        <w:t>Note: Values are presented as means ± standard error. Letter indices indicate parameters with statistically significant differences.</w:t>
      </w:r>
    </w:p>
    <w:p w14:paraId="27108AFA" w14:textId="77777777" w:rsidR="00B42121" w:rsidRPr="008B4AB4" w:rsidRDefault="00B42121" w:rsidP="00B42121">
      <w:pPr>
        <w:spacing w:line="360" w:lineRule="auto"/>
        <w:rPr>
          <w:b/>
          <w:color w:val="auto"/>
        </w:rPr>
      </w:pPr>
    </w:p>
    <w:tbl>
      <w:tblPr>
        <w:tblStyle w:val="ac"/>
        <w:tblW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6"/>
        <w:gridCol w:w="3558"/>
      </w:tblGrid>
      <w:tr w:rsidR="008B4AB4" w:rsidRPr="008B4AB4" w14:paraId="1D2BA1F3" w14:textId="77777777" w:rsidTr="00182F60">
        <w:tc>
          <w:tcPr>
            <w:tcW w:w="4952" w:type="dxa"/>
          </w:tcPr>
          <w:p w14:paraId="40B05D28"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szCs w:val="24"/>
                <w:lang w:val="ru-RU" w:eastAsia="ru-RU"/>
              </w:rPr>
              <w:drawing>
                <wp:inline distT="0" distB="0" distL="0" distR="0" wp14:anchorId="15DCDCB1" wp14:editId="550B1C8F">
                  <wp:extent cx="2244090" cy="2727960"/>
                  <wp:effectExtent l="0" t="0" r="3810" b="0"/>
                  <wp:docPr id="4" name="Рисунок 4" descr="Киру сж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Киру сжат"/>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248407" cy="2732790"/>
                          </a:xfrm>
                          <a:prstGeom prst="rect">
                            <a:avLst/>
                          </a:prstGeom>
                          <a:noFill/>
                          <a:ln>
                            <a:noFill/>
                          </a:ln>
                        </pic:spPr>
                      </pic:pic>
                    </a:graphicData>
                  </a:graphic>
                </wp:inline>
              </w:drawing>
            </w:r>
          </w:p>
        </w:tc>
        <w:tc>
          <w:tcPr>
            <w:tcW w:w="4953" w:type="dxa"/>
          </w:tcPr>
          <w:p w14:paraId="48F2942F"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w w:val="0"/>
                <w:szCs w:val="24"/>
                <w:u w:color="000000"/>
                <w:shd w:val="clear" w:color="000000" w:fill="000000"/>
                <w:lang w:val="ru-RU" w:eastAsia="ru-RU"/>
              </w:rPr>
              <w:drawing>
                <wp:inline distT="0" distB="0" distL="0" distR="0" wp14:anchorId="265384E0" wp14:editId="6D1D4091">
                  <wp:extent cx="2089150" cy="272732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094227" cy="2734165"/>
                          </a:xfrm>
                          <a:prstGeom prst="rect">
                            <a:avLst/>
                          </a:prstGeom>
                          <a:noFill/>
                          <a:ln>
                            <a:noFill/>
                          </a:ln>
                        </pic:spPr>
                      </pic:pic>
                    </a:graphicData>
                  </a:graphic>
                </wp:inline>
              </w:drawing>
            </w:r>
          </w:p>
        </w:tc>
      </w:tr>
      <w:tr w:rsidR="008B4AB4" w:rsidRPr="008B4AB4" w14:paraId="02233551" w14:textId="77777777" w:rsidTr="00182F60">
        <w:tc>
          <w:tcPr>
            <w:tcW w:w="4952" w:type="dxa"/>
          </w:tcPr>
          <w:p w14:paraId="2DF096B5"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szCs w:val="24"/>
              </w:rPr>
              <w:t>a)</w:t>
            </w:r>
          </w:p>
        </w:tc>
        <w:tc>
          <w:tcPr>
            <w:tcW w:w="4953" w:type="dxa"/>
          </w:tcPr>
          <w:p w14:paraId="01D276C6"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szCs w:val="24"/>
              </w:rPr>
              <w:t>b)</w:t>
            </w:r>
          </w:p>
        </w:tc>
      </w:tr>
      <w:tr w:rsidR="008B4AB4" w:rsidRPr="008B4AB4" w14:paraId="04CF2307" w14:textId="77777777" w:rsidTr="00182F60">
        <w:tc>
          <w:tcPr>
            <w:tcW w:w="4952" w:type="dxa"/>
          </w:tcPr>
          <w:p w14:paraId="1BC11E6D"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szCs w:val="24"/>
                <w:lang w:val="ru-RU" w:eastAsia="ru-RU"/>
              </w:rPr>
              <w:drawing>
                <wp:inline distT="0" distB="0" distL="0" distR="0" wp14:anchorId="1642E78D" wp14:editId="1FB9BCDA">
                  <wp:extent cx="2263775" cy="2857500"/>
                  <wp:effectExtent l="0" t="0" r="3175" b="0"/>
                  <wp:docPr id="2" name="Рисунок 2" descr="Танюша сж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Танюша сжат"/>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272843" cy="2868771"/>
                          </a:xfrm>
                          <a:prstGeom prst="rect">
                            <a:avLst/>
                          </a:prstGeom>
                          <a:noFill/>
                          <a:ln>
                            <a:noFill/>
                          </a:ln>
                        </pic:spPr>
                      </pic:pic>
                    </a:graphicData>
                  </a:graphic>
                </wp:inline>
              </w:drawing>
            </w:r>
          </w:p>
        </w:tc>
        <w:tc>
          <w:tcPr>
            <w:tcW w:w="4953" w:type="dxa"/>
          </w:tcPr>
          <w:p w14:paraId="5AB8F656"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szCs w:val="24"/>
                <w:lang w:val="ru-RU" w:eastAsia="ru-RU"/>
              </w:rPr>
              <w:drawing>
                <wp:inline distT="0" distB="0" distL="0" distR="0" wp14:anchorId="338ECC9D" wp14:editId="084C7F93">
                  <wp:extent cx="2122170" cy="2857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150578" cy="2895275"/>
                          </a:xfrm>
                          <a:prstGeom prst="rect">
                            <a:avLst/>
                          </a:prstGeom>
                          <a:noFill/>
                          <a:ln>
                            <a:noFill/>
                          </a:ln>
                        </pic:spPr>
                      </pic:pic>
                    </a:graphicData>
                  </a:graphic>
                </wp:inline>
              </w:drawing>
            </w:r>
          </w:p>
        </w:tc>
      </w:tr>
      <w:tr w:rsidR="008B4AB4" w:rsidRPr="008B4AB4" w14:paraId="67496080" w14:textId="77777777" w:rsidTr="00182F60">
        <w:tc>
          <w:tcPr>
            <w:tcW w:w="4952" w:type="dxa"/>
          </w:tcPr>
          <w:p w14:paraId="197F7898"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szCs w:val="24"/>
              </w:rPr>
              <w:t>c)</w:t>
            </w:r>
          </w:p>
        </w:tc>
        <w:tc>
          <w:tcPr>
            <w:tcW w:w="4953" w:type="dxa"/>
          </w:tcPr>
          <w:p w14:paraId="4A4229C6" w14:textId="77777777" w:rsidR="00B42121" w:rsidRPr="008B4AB4" w:rsidRDefault="00B42121" w:rsidP="00B42121">
            <w:pPr>
              <w:widowControl w:val="0"/>
              <w:autoSpaceDE w:val="0"/>
              <w:autoSpaceDN w:val="0"/>
              <w:adjustRightInd w:val="0"/>
              <w:spacing w:line="240" w:lineRule="auto"/>
              <w:jc w:val="center"/>
              <w:rPr>
                <w:color w:val="auto"/>
                <w:szCs w:val="24"/>
              </w:rPr>
            </w:pPr>
            <w:r w:rsidRPr="008B4AB4">
              <w:rPr>
                <w:color w:val="auto"/>
                <w:szCs w:val="24"/>
              </w:rPr>
              <w:t>d)</w:t>
            </w:r>
          </w:p>
        </w:tc>
      </w:tr>
    </w:tbl>
    <w:p w14:paraId="05080AF6" w14:textId="77777777" w:rsidR="00B42121" w:rsidRPr="008B4AB4" w:rsidRDefault="00B42121" w:rsidP="00B42121">
      <w:pPr>
        <w:widowControl w:val="0"/>
        <w:autoSpaceDE w:val="0"/>
        <w:autoSpaceDN w:val="0"/>
        <w:adjustRightInd w:val="0"/>
        <w:spacing w:line="240" w:lineRule="auto"/>
        <w:rPr>
          <w:color w:val="auto"/>
          <w:szCs w:val="24"/>
        </w:rPr>
      </w:pPr>
      <w:r w:rsidRPr="008B4AB4">
        <w:rPr>
          <w:b/>
          <w:color w:val="auto"/>
          <w:szCs w:val="24"/>
        </w:rPr>
        <w:t>Fig. 1:</w:t>
      </w:r>
      <w:r w:rsidRPr="008B4AB4">
        <w:rPr>
          <w:color w:val="auto"/>
          <w:szCs w:val="24"/>
        </w:rPr>
        <w:t xml:space="preserve"> Tuber samples of pigmented-flesh potato varieties and breeding lines, 2024 harvest, Leningrad Region, VIR Pushkin Laboratories: a) Kiru, b) Olyushka, c) Tanyusha, d) Travnik</w:t>
      </w:r>
    </w:p>
    <w:p w14:paraId="20992788" w14:textId="77777777" w:rsidR="00B42121" w:rsidRPr="008B4AB4" w:rsidRDefault="00B42121" w:rsidP="00B42121">
      <w:pPr>
        <w:spacing w:line="360" w:lineRule="auto"/>
        <w:rPr>
          <w:b/>
          <w:color w:val="auto"/>
        </w:rPr>
      </w:pPr>
    </w:p>
    <w:p w14:paraId="2E8E4DAC" w14:textId="77777777" w:rsidR="00B42121" w:rsidRPr="008B4AB4" w:rsidRDefault="00B42121" w:rsidP="00B42121">
      <w:pPr>
        <w:spacing w:line="240" w:lineRule="auto"/>
        <w:rPr>
          <w:color w:val="auto"/>
          <w:sz w:val="28"/>
          <w:szCs w:val="28"/>
        </w:rPr>
      </w:pPr>
      <w:r w:rsidRPr="008B4AB4">
        <w:rPr>
          <w:color w:val="auto"/>
          <w:szCs w:val="28"/>
          <w:lang w:val="ru-RU" w:eastAsia="ru-RU"/>
        </w:rPr>
        <w:lastRenderedPageBreak/>
        <w:drawing>
          <wp:inline distT="0" distB="0" distL="0" distR="0" wp14:anchorId="79C6EA63" wp14:editId="5F1ADCD0">
            <wp:extent cx="4518660" cy="3383280"/>
            <wp:effectExtent l="0" t="0" r="0" b="7620"/>
            <wp:docPr id="6" name="Рисунок 6" descr="Y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Yiel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521295" cy="3385511"/>
                    </a:xfrm>
                    <a:prstGeom prst="rect">
                      <a:avLst/>
                    </a:prstGeom>
                    <a:noFill/>
                    <a:ln>
                      <a:noFill/>
                    </a:ln>
                  </pic:spPr>
                </pic:pic>
              </a:graphicData>
            </a:graphic>
          </wp:inline>
        </w:drawing>
      </w:r>
    </w:p>
    <w:p w14:paraId="24467AFB" w14:textId="77777777" w:rsidR="00B42121" w:rsidRPr="008B4AB4" w:rsidRDefault="00B42121" w:rsidP="00B42121">
      <w:pPr>
        <w:spacing w:line="240" w:lineRule="auto"/>
        <w:rPr>
          <w:color w:val="auto"/>
          <w:szCs w:val="24"/>
        </w:rPr>
      </w:pPr>
      <w:r w:rsidRPr="008B4AB4">
        <w:rPr>
          <w:b/>
          <w:color w:val="auto"/>
          <w:szCs w:val="24"/>
        </w:rPr>
        <w:t>Fig. 2:</w:t>
      </w:r>
      <w:r w:rsidRPr="008B4AB4">
        <w:rPr>
          <w:color w:val="auto"/>
          <w:szCs w:val="24"/>
        </w:rPr>
        <w:t xml:space="preserve"> Yield of pigmented potato varieties and breeding samples across different trial sites</w:t>
      </w:r>
    </w:p>
    <w:p w14:paraId="3EE8AB34" w14:textId="77777777" w:rsidR="00B42121" w:rsidRPr="008B4AB4" w:rsidRDefault="00B42121" w:rsidP="00B42121">
      <w:pPr>
        <w:spacing w:line="360" w:lineRule="auto"/>
        <w:rPr>
          <w:b/>
          <w:color w:val="auto"/>
        </w:rPr>
      </w:pPr>
    </w:p>
    <w:p w14:paraId="7EFCB052" w14:textId="77777777" w:rsidR="00B42121" w:rsidRPr="008B4AB4" w:rsidRDefault="00B42121" w:rsidP="00B42121">
      <w:pPr>
        <w:spacing w:line="240" w:lineRule="auto"/>
        <w:rPr>
          <w:color w:val="auto"/>
          <w:sz w:val="28"/>
          <w:szCs w:val="28"/>
        </w:rPr>
      </w:pPr>
      <w:r w:rsidRPr="008B4AB4">
        <w:rPr>
          <w:color w:val="auto"/>
          <w:szCs w:val="24"/>
          <w:lang w:val="ru-RU" w:eastAsia="ru-RU"/>
        </w:rPr>
        <w:drawing>
          <wp:inline distT="0" distB="0" distL="0" distR="0" wp14:anchorId="2495F35A" wp14:editId="27A58ABB">
            <wp:extent cx="4526280" cy="3394710"/>
            <wp:effectExtent l="0" t="0" r="7620" b="0"/>
            <wp:docPr id="10" name="Рисунок 10" descr="tubers per 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tubers per pla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526280" cy="3394710"/>
                    </a:xfrm>
                    <a:prstGeom prst="rect">
                      <a:avLst/>
                    </a:prstGeom>
                    <a:noFill/>
                    <a:ln>
                      <a:noFill/>
                    </a:ln>
                  </pic:spPr>
                </pic:pic>
              </a:graphicData>
            </a:graphic>
          </wp:inline>
        </w:drawing>
      </w:r>
    </w:p>
    <w:p w14:paraId="3F05301A" w14:textId="77777777" w:rsidR="00B42121" w:rsidRPr="008B4AB4" w:rsidRDefault="00B42121" w:rsidP="00B42121">
      <w:pPr>
        <w:spacing w:line="240" w:lineRule="auto"/>
        <w:rPr>
          <w:color w:val="auto"/>
          <w:szCs w:val="24"/>
        </w:rPr>
      </w:pPr>
      <w:r w:rsidRPr="008B4AB4">
        <w:rPr>
          <w:b/>
          <w:color w:val="auto"/>
          <w:szCs w:val="24"/>
        </w:rPr>
        <w:t>Fig. 3:</w:t>
      </w:r>
      <w:r w:rsidRPr="008B4AB4">
        <w:rPr>
          <w:color w:val="auto"/>
          <w:szCs w:val="24"/>
        </w:rPr>
        <w:t xml:space="preserve"> Number of tubers in colored-flesh potato varieties and breeding samples across different trial locations</w:t>
      </w:r>
    </w:p>
    <w:p w14:paraId="45132817" w14:textId="77777777" w:rsidR="00B42121" w:rsidRPr="008B4AB4" w:rsidRDefault="00B42121" w:rsidP="00B42121">
      <w:pPr>
        <w:spacing w:line="240" w:lineRule="auto"/>
        <w:rPr>
          <w:color w:val="auto"/>
          <w:szCs w:val="24"/>
        </w:rPr>
      </w:pPr>
      <w:r w:rsidRPr="008B4AB4">
        <w:rPr>
          <w:b/>
          <w:color w:val="auto"/>
          <w:szCs w:val="24"/>
          <w:lang w:val="ru-RU" w:eastAsia="ru-RU"/>
        </w:rPr>
        <w:lastRenderedPageBreak/>
        <w:drawing>
          <wp:inline distT="0" distB="0" distL="0" distR="0" wp14:anchorId="14C7E2E8" wp14:editId="53588FE2">
            <wp:extent cx="4495800" cy="3362325"/>
            <wp:effectExtent l="0" t="0" r="0" b="9525"/>
            <wp:docPr id="7" name="Рисунок 7" descr="Tuber w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Tuber weight"/>
                    <pic:cNvPicPr>
                      <a:picLocks noChangeAspect="1" noChangeArrowheads="1"/>
                    </pic:cNvPicPr>
                  </pic:nvPicPr>
                  <pic:blipFill>
                    <a:blip r:embed="rId25">
                      <a:extLst>
                        <a:ext uri="{28A0092B-C50C-407E-A947-70E740481C1C}">
                          <a14:useLocalDpi xmlns:a14="http://schemas.microsoft.com/office/drawing/2010/main" val="0"/>
                        </a:ext>
                      </a:extLst>
                    </a:blip>
                    <a:srcRect r="7686"/>
                    <a:stretch>
                      <a:fillRect/>
                    </a:stretch>
                  </pic:blipFill>
                  <pic:spPr>
                    <a:xfrm>
                      <a:off x="0" y="0"/>
                      <a:ext cx="4503147" cy="3368208"/>
                    </a:xfrm>
                    <a:prstGeom prst="rect">
                      <a:avLst/>
                    </a:prstGeom>
                    <a:noFill/>
                    <a:ln>
                      <a:noFill/>
                    </a:ln>
                  </pic:spPr>
                </pic:pic>
              </a:graphicData>
            </a:graphic>
          </wp:inline>
        </w:drawing>
      </w:r>
    </w:p>
    <w:p w14:paraId="0AF5E19C" w14:textId="77777777" w:rsidR="00B42121" w:rsidRPr="008B4AB4" w:rsidRDefault="00B42121" w:rsidP="00B42121">
      <w:pPr>
        <w:spacing w:line="240" w:lineRule="auto"/>
        <w:rPr>
          <w:color w:val="auto"/>
          <w:szCs w:val="24"/>
        </w:rPr>
      </w:pPr>
      <w:r w:rsidRPr="008B4AB4">
        <w:rPr>
          <w:b/>
          <w:color w:val="auto"/>
          <w:szCs w:val="24"/>
        </w:rPr>
        <w:t>Fig. 4:</w:t>
      </w:r>
      <w:r w:rsidRPr="008B4AB4">
        <w:rPr>
          <w:color w:val="auto"/>
          <w:szCs w:val="24"/>
        </w:rPr>
        <w:t xml:space="preserve"> Average tuber weight of colored-flesh potato varieties and breeding samples across different trial location</w:t>
      </w:r>
    </w:p>
    <w:sectPr w:rsidR="00B42121" w:rsidRPr="008B4AB4" w:rsidSect="00BB2249">
      <w:footerReference w:type="default" r:id="rId26"/>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F9288" w14:textId="77777777" w:rsidR="002C1AD6" w:rsidRDefault="002C1AD6" w:rsidP="00374E79">
      <w:pPr>
        <w:spacing w:line="240" w:lineRule="auto"/>
      </w:pPr>
      <w:r>
        <w:separator/>
      </w:r>
    </w:p>
  </w:endnote>
  <w:endnote w:type="continuationSeparator" w:id="0">
    <w:p w14:paraId="51F19B01" w14:textId="77777777" w:rsidR="002C1AD6" w:rsidRDefault="002C1AD6"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sig w:usb0="00000000" w:usb1="00000000"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182F60" w:rsidRDefault="00182F60">
        <w:pPr>
          <w:pStyle w:val="ad"/>
          <w:jc w:val="right"/>
        </w:pPr>
        <w:r>
          <w:fldChar w:fldCharType="begin"/>
        </w:r>
        <w:r>
          <w:instrText>PAGE   \* MERGEFORMAT</w:instrText>
        </w:r>
        <w:r>
          <w:fldChar w:fldCharType="separate"/>
        </w:r>
        <w:r w:rsidR="00731CF2" w:rsidRPr="00731CF2">
          <w:rPr>
            <w:lang w:val="ru-RU"/>
          </w:rPr>
          <w:t>28</w:t>
        </w:r>
        <w:r>
          <w:fldChar w:fldCharType="end"/>
        </w:r>
      </w:p>
    </w:sdtContent>
  </w:sdt>
  <w:p w14:paraId="04E3E057" w14:textId="77777777" w:rsidR="00182F60" w:rsidRDefault="00182F6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099BE" w14:textId="77777777" w:rsidR="002C1AD6" w:rsidRDefault="002C1AD6" w:rsidP="00374E79">
      <w:pPr>
        <w:spacing w:line="240" w:lineRule="auto"/>
      </w:pPr>
      <w:r>
        <w:separator/>
      </w:r>
    </w:p>
  </w:footnote>
  <w:footnote w:type="continuationSeparator" w:id="0">
    <w:p w14:paraId="0C47A921" w14:textId="77777777" w:rsidR="002C1AD6" w:rsidRDefault="002C1AD6"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05F50"/>
    <w:multiLevelType w:val="hybridMultilevel"/>
    <w:tmpl w:val="8E6C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1"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2"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6"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5889"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2"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9"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CD0F96"/>
    <w:multiLevelType w:val="hybridMultilevel"/>
    <w:tmpl w:val="3FF64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3"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400798">
    <w:abstractNumId w:val="12"/>
  </w:num>
  <w:num w:numId="2" w16cid:durableId="637607191">
    <w:abstractNumId w:val="14"/>
  </w:num>
  <w:num w:numId="3" w16cid:durableId="1375470026">
    <w:abstractNumId w:val="9"/>
  </w:num>
  <w:num w:numId="4" w16cid:durableId="1393894256">
    <w:abstractNumId w:val="13"/>
  </w:num>
  <w:num w:numId="5" w16cid:durableId="1589342888">
    <w:abstractNumId w:val="21"/>
  </w:num>
  <w:num w:numId="6" w16cid:durableId="596326155">
    <w:abstractNumId w:val="6"/>
  </w:num>
  <w:num w:numId="7" w16cid:durableId="6006476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6612013">
    <w:abstractNumId w:val="23"/>
  </w:num>
  <w:num w:numId="9" w16cid:durableId="464396586">
    <w:abstractNumId w:val="29"/>
  </w:num>
  <w:num w:numId="10" w16cid:durableId="379322821">
    <w:abstractNumId w:val="5"/>
  </w:num>
  <w:num w:numId="11" w16cid:durableId="237180930">
    <w:abstractNumId w:val="20"/>
  </w:num>
  <w:num w:numId="12" w16cid:durableId="2139689504">
    <w:abstractNumId w:val="3"/>
  </w:num>
  <w:num w:numId="13" w16cid:durableId="2093231164">
    <w:abstractNumId w:val="28"/>
  </w:num>
  <w:num w:numId="14" w16cid:durableId="1424761483">
    <w:abstractNumId w:val="7"/>
  </w:num>
  <w:num w:numId="15" w16cid:durableId="54476511">
    <w:abstractNumId w:val="27"/>
  </w:num>
  <w:num w:numId="16" w16cid:durableId="503012251">
    <w:abstractNumId w:val="31"/>
  </w:num>
  <w:num w:numId="17" w16cid:durableId="297803645">
    <w:abstractNumId w:val="16"/>
  </w:num>
  <w:num w:numId="18" w16cid:durableId="1655793806">
    <w:abstractNumId w:val="26"/>
  </w:num>
  <w:num w:numId="19" w16cid:durableId="1863010040">
    <w:abstractNumId w:val="18"/>
  </w:num>
  <w:num w:numId="20" w16cid:durableId="1244334430">
    <w:abstractNumId w:val="11"/>
  </w:num>
  <w:num w:numId="21" w16cid:durableId="1686785220">
    <w:abstractNumId w:val="24"/>
  </w:num>
  <w:num w:numId="22" w16cid:durableId="1667128214">
    <w:abstractNumId w:val="25"/>
  </w:num>
  <w:num w:numId="23" w16cid:durableId="825123590">
    <w:abstractNumId w:val="10"/>
  </w:num>
  <w:num w:numId="24" w16cid:durableId="1250969687">
    <w:abstractNumId w:val="32"/>
  </w:num>
  <w:num w:numId="25" w16cid:durableId="1924341548">
    <w:abstractNumId w:val="19"/>
  </w:num>
  <w:num w:numId="26" w16cid:durableId="1333945712">
    <w:abstractNumId w:val="8"/>
  </w:num>
  <w:num w:numId="27" w16cid:durableId="972751453">
    <w:abstractNumId w:val="34"/>
  </w:num>
  <w:num w:numId="28" w16cid:durableId="442919045">
    <w:abstractNumId w:val="15"/>
  </w:num>
  <w:num w:numId="29" w16cid:durableId="1387725004">
    <w:abstractNumId w:val="22"/>
  </w:num>
  <w:num w:numId="30" w16cid:durableId="852694453">
    <w:abstractNumId w:val="17"/>
  </w:num>
  <w:num w:numId="31" w16cid:durableId="486089593">
    <w:abstractNumId w:val="33"/>
  </w:num>
  <w:num w:numId="32" w16cid:durableId="1236237154">
    <w:abstractNumId w:val="1"/>
  </w:num>
  <w:num w:numId="33" w16cid:durableId="206529530">
    <w:abstractNumId w:val="0"/>
  </w:num>
  <w:num w:numId="34" w16cid:durableId="183906279">
    <w:abstractNumId w:val="2"/>
  </w:num>
  <w:num w:numId="35" w16cid:durableId="739064925">
    <w:abstractNumId w:val="4"/>
  </w:num>
  <w:num w:numId="36" w16cid:durableId="175743620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hideSpellingErrors/>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24210"/>
    <w:rsid w:val="00030CB4"/>
    <w:rsid w:val="000314E0"/>
    <w:rsid w:val="00042F55"/>
    <w:rsid w:val="00046977"/>
    <w:rsid w:val="00066EDB"/>
    <w:rsid w:val="000778CE"/>
    <w:rsid w:val="00083271"/>
    <w:rsid w:val="000A01F8"/>
    <w:rsid w:val="000A1D98"/>
    <w:rsid w:val="000B066F"/>
    <w:rsid w:val="000B6631"/>
    <w:rsid w:val="000B7E76"/>
    <w:rsid w:val="000C1E34"/>
    <w:rsid w:val="000C7CBD"/>
    <w:rsid w:val="000D463E"/>
    <w:rsid w:val="000D5702"/>
    <w:rsid w:val="000E40E5"/>
    <w:rsid w:val="00105096"/>
    <w:rsid w:val="001139B1"/>
    <w:rsid w:val="001361E4"/>
    <w:rsid w:val="0014336E"/>
    <w:rsid w:val="001437B4"/>
    <w:rsid w:val="00164AFA"/>
    <w:rsid w:val="00165B26"/>
    <w:rsid w:val="00171316"/>
    <w:rsid w:val="001815AA"/>
    <w:rsid w:val="00181954"/>
    <w:rsid w:val="00182F60"/>
    <w:rsid w:val="001A47E0"/>
    <w:rsid w:val="001B4D79"/>
    <w:rsid w:val="001C02B0"/>
    <w:rsid w:val="001D3F3D"/>
    <w:rsid w:val="00206E10"/>
    <w:rsid w:val="0022223C"/>
    <w:rsid w:val="0022665E"/>
    <w:rsid w:val="002273A1"/>
    <w:rsid w:val="00245281"/>
    <w:rsid w:val="002503C3"/>
    <w:rsid w:val="002524EA"/>
    <w:rsid w:val="00253294"/>
    <w:rsid w:val="00287377"/>
    <w:rsid w:val="002A1475"/>
    <w:rsid w:val="002C1AD6"/>
    <w:rsid w:val="002C7DDA"/>
    <w:rsid w:val="002D09A4"/>
    <w:rsid w:val="002E6641"/>
    <w:rsid w:val="003023E5"/>
    <w:rsid w:val="003136ED"/>
    <w:rsid w:val="003142CA"/>
    <w:rsid w:val="00314E3F"/>
    <w:rsid w:val="00320A9D"/>
    <w:rsid w:val="003334DF"/>
    <w:rsid w:val="00364307"/>
    <w:rsid w:val="00374E79"/>
    <w:rsid w:val="003823C8"/>
    <w:rsid w:val="00383FDB"/>
    <w:rsid w:val="00397A3C"/>
    <w:rsid w:val="003A682F"/>
    <w:rsid w:val="003A76E1"/>
    <w:rsid w:val="003C2865"/>
    <w:rsid w:val="003D614B"/>
    <w:rsid w:val="003E1F46"/>
    <w:rsid w:val="0040161F"/>
    <w:rsid w:val="00425FA4"/>
    <w:rsid w:val="0044392C"/>
    <w:rsid w:val="00444B97"/>
    <w:rsid w:val="004617CA"/>
    <w:rsid w:val="0046185A"/>
    <w:rsid w:val="00472D0C"/>
    <w:rsid w:val="00480B1B"/>
    <w:rsid w:val="0048717D"/>
    <w:rsid w:val="00491BC9"/>
    <w:rsid w:val="00496FDC"/>
    <w:rsid w:val="004B461B"/>
    <w:rsid w:val="004E0A28"/>
    <w:rsid w:val="004E1BA8"/>
    <w:rsid w:val="004E1E67"/>
    <w:rsid w:val="004E4034"/>
    <w:rsid w:val="004E42AB"/>
    <w:rsid w:val="004F01B8"/>
    <w:rsid w:val="004F0F8B"/>
    <w:rsid w:val="004F4700"/>
    <w:rsid w:val="00503878"/>
    <w:rsid w:val="00507037"/>
    <w:rsid w:val="00512157"/>
    <w:rsid w:val="005122E2"/>
    <w:rsid w:val="00512868"/>
    <w:rsid w:val="005153D0"/>
    <w:rsid w:val="00517D46"/>
    <w:rsid w:val="00524ABC"/>
    <w:rsid w:val="00541C8E"/>
    <w:rsid w:val="00543FBB"/>
    <w:rsid w:val="005624BB"/>
    <w:rsid w:val="00562BC7"/>
    <w:rsid w:val="00563486"/>
    <w:rsid w:val="00564E77"/>
    <w:rsid w:val="0057611D"/>
    <w:rsid w:val="00581750"/>
    <w:rsid w:val="00593853"/>
    <w:rsid w:val="005A338D"/>
    <w:rsid w:val="005A3CF0"/>
    <w:rsid w:val="005B7712"/>
    <w:rsid w:val="005C3074"/>
    <w:rsid w:val="005C5989"/>
    <w:rsid w:val="00620724"/>
    <w:rsid w:val="006218E9"/>
    <w:rsid w:val="00625D42"/>
    <w:rsid w:val="00650ED4"/>
    <w:rsid w:val="00660358"/>
    <w:rsid w:val="0067206E"/>
    <w:rsid w:val="0067360D"/>
    <w:rsid w:val="0069523E"/>
    <w:rsid w:val="006A6660"/>
    <w:rsid w:val="006C70D3"/>
    <w:rsid w:val="007122A7"/>
    <w:rsid w:val="007135F9"/>
    <w:rsid w:val="00717B82"/>
    <w:rsid w:val="00723856"/>
    <w:rsid w:val="00731CF2"/>
    <w:rsid w:val="00754A3B"/>
    <w:rsid w:val="0076591E"/>
    <w:rsid w:val="0077303D"/>
    <w:rsid w:val="007932F1"/>
    <w:rsid w:val="007A103F"/>
    <w:rsid w:val="007A1B7F"/>
    <w:rsid w:val="007A3515"/>
    <w:rsid w:val="007A6DCD"/>
    <w:rsid w:val="007D0E99"/>
    <w:rsid w:val="007D4CFA"/>
    <w:rsid w:val="007E2B58"/>
    <w:rsid w:val="007E74CC"/>
    <w:rsid w:val="007F122E"/>
    <w:rsid w:val="007F50D1"/>
    <w:rsid w:val="008176FE"/>
    <w:rsid w:val="00825B71"/>
    <w:rsid w:val="00851E4B"/>
    <w:rsid w:val="008619DB"/>
    <w:rsid w:val="008627A2"/>
    <w:rsid w:val="00863F3F"/>
    <w:rsid w:val="008767C6"/>
    <w:rsid w:val="00885437"/>
    <w:rsid w:val="00887DE4"/>
    <w:rsid w:val="00895FA2"/>
    <w:rsid w:val="008B4AB4"/>
    <w:rsid w:val="008D1C74"/>
    <w:rsid w:val="008E2C19"/>
    <w:rsid w:val="008E3C41"/>
    <w:rsid w:val="008F0352"/>
    <w:rsid w:val="008F228C"/>
    <w:rsid w:val="00910B0D"/>
    <w:rsid w:val="00981AFB"/>
    <w:rsid w:val="00986758"/>
    <w:rsid w:val="00997A2A"/>
    <w:rsid w:val="009A48CC"/>
    <w:rsid w:val="009B0A93"/>
    <w:rsid w:val="009D30D3"/>
    <w:rsid w:val="009E64E5"/>
    <w:rsid w:val="009E7B2C"/>
    <w:rsid w:val="00A22721"/>
    <w:rsid w:val="00A35FDE"/>
    <w:rsid w:val="00A6011B"/>
    <w:rsid w:val="00A65FF3"/>
    <w:rsid w:val="00A80EC6"/>
    <w:rsid w:val="00A84ABE"/>
    <w:rsid w:val="00A908A1"/>
    <w:rsid w:val="00AA0278"/>
    <w:rsid w:val="00AA3439"/>
    <w:rsid w:val="00AA6A30"/>
    <w:rsid w:val="00AB2E6B"/>
    <w:rsid w:val="00AB769A"/>
    <w:rsid w:val="00AD22B3"/>
    <w:rsid w:val="00AE5B70"/>
    <w:rsid w:val="00AF3847"/>
    <w:rsid w:val="00B01DD3"/>
    <w:rsid w:val="00B06541"/>
    <w:rsid w:val="00B14726"/>
    <w:rsid w:val="00B330A7"/>
    <w:rsid w:val="00B42121"/>
    <w:rsid w:val="00B5071B"/>
    <w:rsid w:val="00B63A47"/>
    <w:rsid w:val="00B63F4D"/>
    <w:rsid w:val="00B6672E"/>
    <w:rsid w:val="00B705C2"/>
    <w:rsid w:val="00B74863"/>
    <w:rsid w:val="00B834E8"/>
    <w:rsid w:val="00B845F9"/>
    <w:rsid w:val="00BA41E6"/>
    <w:rsid w:val="00BA4FB9"/>
    <w:rsid w:val="00BB2249"/>
    <w:rsid w:val="00BC3539"/>
    <w:rsid w:val="00BD2FC7"/>
    <w:rsid w:val="00BD47DE"/>
    <w:rsid w:val="00C21019"/>
    <w:rsid w:val="00C32293"/>
    <w:rsid w:val="00C3527B"/>
    <w:rsid w:val="00C70AA0"/>
    <w:rsid w:val="00C85712"/>
    <w:rsid w:val="00C93009"/>
    <w:rsid w:val="00CA5C5C"/>
    <w:rsid w:val="00CB6038"/>
    <w:rsid w:val="00CB7983"/>
    <w:rsid w:val="00CD09EE"/>
    <w:rsid w:val="00CD314C"/>
    <w:rsid w:val="00CD77E0"/>
    <w:rsid w:val="00CF3B8A"/>
    <w:rsid w:val="00D01586"/>
    <w:rsid w:val="00D21453"/>
    <w:rsid w:val="00D21B78"/>
    <w:rsid w:val="00D40CBE"/>
    <w:rsid w:val="00D54155"/>
    <w:rsid w:val="00D54353"/>
    <w:rsid w:val="00D772AE"/>
    <w:rsid w:val="00DA6863"/>
    <w:rsid w:val="00DD0660"/>
    <w:rsid w:val="00DD37A7"/>
    <w:rsid w:val="00DE5A5B"/>
    <w:rsid w:val="00DF1861"/>
    <w:rsid w:val="00E066E7"/>
    <w:rsid w:val="00E1211D"/>
    <w:rsid w:val="00E21E7C"/>
    <w:rsid w:val="00E46630"/>
    <w:rsid w:val="00E636EC"/>
    <w:rsid w:val="00E665C6"/>
    <w:rsid w:val="00E80C55"/>
    <w:rsid w:val="00E83AF7"/>
    <w:rsid w:val="00E86408"/>
    <w:rsid w:val="00EB674C"/>
    <w:rsid w:val="00ED5168"/>
    <w:rsid w:val="00EE44B6"/>
    <w:rsid w:val="00EE7A19"/>
    <w:rsid w:val="00F00CA5"/>
    <w:rsid w:val="00F2389B"/>
    <w:rsid w:val="00F27F54"/>
    <w:rsid w:val="00F34F54"/>
    <w:rsid w:val="00F4551E"/>
    <w:rsid w:val="00F4777F"/>
    <w:rsid w:val="00F5126D"/>
    <w:rsid w:val="00F64F16"/>
    <w:rsid w:val="00F7164A"/>
    <w:rsid w:val="00F71F54"/>
    <w:rsid w:val="00F74B07"/>
    <w:rsid w:val="00FA4052"/>
    <w:rsid w:val="00FB0687"/>
    <w:rsid w:val="00FB4B79"/>
    <w:rsid w:val="00FC603D"/>
    <w:rsid w:val="00FC73F3"/>
    <w:rsid w:val="00FD033C"/>
    <w:rsid w:val="00FE3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qFormat/>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qFormat/>
    <w:rsid w:val="00BB2249"/>
    <w:rPr>
      <w:b/>
      <w:bCs/>
    </w:rPr>
  </w:style>
  <w:style w:type="character" w:customStyle="1" w:styleId="a9">
    <w:name w:val="Тема примечания Знак"/>
    <w:basedOn w:val="a7"/>
    <w:link w:val="a8"/>
    <w:qFormat/>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qFormat/>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qForma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customStyle="1" w:styleId="Hyperlink0">
    <w:name w:val="Hyperlink.0"/>
    <w:basedOn w:val="af1"/>
    <w:qFormat/>
    <w:rsid w:val="00885437"/>
    <w:rPr>
      <w:color w:val="0000FF"/>
      <w:u w:val="single"/>
    </w:rPr>
  </w:style>
  <w:style w:type="character" w:customStyle="1" w:styleId="Hyperlink1">
    <w:name w:val="Hyperlink.1"/>
    <w:basedOn w:val="Hyperlink0"/>
    <w:qFormat/>
    <w:rsid w:val="00885437"/>
    <w:rPr>
      <w:rFonts w:ascii="Times New Roman" w:eastAsia="Times New Roman" w:hAnsi="Times New Roman" w:cs="Times New Roman"/>
      <w:color w:val="0563C1"/>
      <w:sz w:val="20"/>
      <w:szCs w:val="20"/>
      <w:u w:val="single" w:color="0563C1"/>
      <w:lang w:val="en-US"/>
    </w:rPr>
  </w:style>
  <w:style w:type="character" w:customStyle="1" w:styleId="field-value">
    <w:name w:val="field-value"/>
    <w:basedOn w:val="a1"/>
    <w:qFormat/>
    <w:rsid w:val="00885437"/>
  </w:style>
  <w:style w:type="table" w:customStyle="1" w:styleId="TableNormal1">
    <w:name w:val="Table Normal1"/>
    <w:qFormat/>
    <w:rsid w:val="008767C6"/>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ObjectTitle">
    <w:name w:val="Object Title"/>
    <w:qFormat/>
    <w:rsid w:val="00CA5C5C"/>
    <w:pPr>
      <w:spacing w:after="0" w:line="240" w:lineRule="auto"/>
      <w:jc w:val="center"/>
    </w:pPr>
    <w:rPr>
      <w:rFonts w:ascii="Helvetica Neue" w:eastAsia="Arial Unicode MS" w:hAnsi="Helvetica Neue" w:cs="Arial Unicode MS"/>
      <w:color w:val="000000"/>
      <w:sz w:val="24"/>
      <w:szCs w:val="24"/>
      <w:lang w:val="en-US" w:eastAsia="ru-RU"/>
    </w:rPr>
  </w:style>
  <w:style w:type="character" w:customStyle="1" w:styleId="y2iqfc">
    <w:name w:val="y2iqfc"/>
    <w:qFormat/>
    <w:rsid w:val="00D54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gov.kz/ru/industries/business-statistics/stat-forrest-village-hunt-fish/publications/113764/" TargetMode="External"/><Relationship Id="rId13" Type="http://schemas.openxmlformats.org/officeDocument/2006/relationships/hyperlink" Target="https://doi.org/10.25630/PAV.2020.49.70.005" TargetMode="External"/><Relationship Id="rId18" Type="http://schemas.openxmlformats.org/officeDocument/2006/relationships/hyperlink" Target="https://doi.org/10.35887/2305-2538-2021-1-80-87"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www.gov.kz/memleket/entities/moa/press/news/details/920462?lang=en" TargetMode="External"/><Relationship Id="rId17" Type="http://schemas.openxmlformats.org/officeDocument/2006/relationships/hyperlink" Target="https://doi.org/10.1021/acs.jafc.3c04979" TargetMode="External"/><Relationship Id="rId25"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doi.org/10.1093/pcp/pcae045"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ijms23052634" TargetMode="External"/><Relationship Id="rId24"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reestr.gossortrf.ru](https://reestr.gossortrf.ru" TargetMode="External"/><Relationship Id="rId23" Type="http://schemas.openxmlformats.org/officeDocument/2006/relationships/image" Target="media/image5.jpeg"/><Relationship Id="rId28" Type="http://schemas.openxmlformats.org/officeDocument/2006/relationships/theme" Target="theme/theme1.xml"/><Relationship Id="rId10" Type="http://schemas.openxmlformats.org/officeDocument/2006/relationships/hyperlink" Target="https://doi.org/10.17221/265/2011-PSE" TargetMode="Externa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fao.org/faostat/en/" TargetMode="External"/><Relationship Id="rId14" Type="http://schemas.openxmlformats.org/officeDocument/2006/relationships/hyperlink" Target="https://doi.org/10.1007/978-981-15-7662-1_1" TargetMode="Externa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98087A4F-D029-4109-8EC4-5F34BADC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10160</Words>
  <Characters>57915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27</cp:revision>
  <dcterms:created xsi:type="dcterms:W3CDTF">2026-05-22T21:52:00Z</dcterms:created>
  <dcterms:modified xsi:type="dcterms:W3CDTF">2026-05-27T21:59:00Z</dcterms:modified>
</cp:coreProperties>
</file>